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alt="09BFBAAE4DA94808BECE77E714F0B0E7" style="width:451.25pt;height:397.65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t>ANNEXE</w:t>
      </w:r>
    </w:p>
    <w:p>
      <w:pPr>
        <w:pStyle w:val="Accompagnant"/>
        <w:rPr>
          <w:noProof/>
        </w:rPr>
      </w:pPr>
      <w:r>
        <w:rPr>
          <w:noProof/>
        </w:rPr>
        <w:t>à la</w:t>
      </w:r>
    </w:p>
    <w:p>
      <w:pPr>
        <w:pStyle w:val="Typeacteprincipal"/>
        <w:rPr>
          <w:noProof/>
        </w:rPr>
      </w:pPr>
      <w:r>
        <w:rPr>
          <w:noProof/>
        </w:rPr>
        <w:t>DIRECTIVE DÉLÉGUÉE (UE) .../… DE LA COMMISSION</w:t>
      </w:r>
    </w:p>
    <w:p>
      <w:pPr>
        <w:pStyle w:val="Objetacteprincipal"/>
        <w:rPr>
          <w:noProof/>
        </w:rPr>
      </w:pPr>
      <w:r>
        <w:rPr>
          <w:noProof/>
        </w:rPr>
        <w:t>modifiant, aux fins de son adaptation au progrès technique, l’annexe III de la directive 2011/65/UE du Parlement européen et du Conseil en ce qui concerne une exemption relative au plomb dans le verre blanc destiné aux applications optiques</w:t>
      </w:r>
    </w:p>
    <w:p>
      <w:pPr>
        <w:spacing w:before="480"/>
        <w:rPr>
          <w:noProof/>
        </w:rPr>
      </w:pPr>
      <w:r>
        <w:rPr>
          <w:noProof/>
        </w:rPr>
        <w:t>À l’annexe III, le point 13 a) est remplacé par le texte suivant:</w:t>
      </w:r>
    </w:p>
    <w:p>
      <w:pPr>
        <w:rPr>
          <w:noProof/>
        </w:rPr>
      </w:pPr>
      <w:r>
        <w:rPr>
          <w:noProof/>
        </w:rPr>
        <w:t>«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959"/>
        <w:gridCol w:w="2977"/>
        <w:gridCol w:w="5670"/>
      </w:tblGrid>
      <w:tr>
        <w:trPr>
          <w:trHeight w:val="970"/>
        </w:trPr>
        <w:tc>
          <w:tcPr>
            <w:tcW w:w="959" w:type="dxa"/>
            <w:tcBorders>
              <w:left w:val="nil"/>
            </w:tcBorders>
            <w:vAlign w:val="center"/>
          </w:tcPr>
          <w:p>
            <w:pPr>
              <w:rPr>
                <w:noProof/>
              </w:rPr>
            </w:pPr>
            <w:r>
              <w:rPr>
                <w:noProof/>
              </w:rPr>
              <w:t>13 a)</w:t>
            </w:r>
          </w:p>
        </w:tc>
        <w:tc>
          <w:tcPr>
            <w:tcW w:w="2977" w:type="dxa"/>
          </w:tcPr>
          <w:p>
            <w:pPr>
              <w:rPr>
                <w:noProof/>
              </w:rPr>
            </w:pPr>
            <w:r>
              <w:rPr>
                <w:noProof/>
              </w:rPr>
              <w:t>Le plomb dans le verre blanc destiné aux applications optiques</w:t>
            </w:r>
          </w:p>
          <w:p>
            <w:pPr>
              <w:rPr>
                <w:noProof/>
              </w:rPr>
            </w:pPr>
          </w:p>
        </w:tc>
        <w:tc>
          <w:tcPr>
            <w:tcW w:w="5670" w:type="dxa"/>
            <w:tcBorders>
              <w:right w:val="nil"/>
            </w:tcBorders>
          </w:tcPr>
          <w:p>
            <w:pPr>
              <w:rPr>
                <w:noProof/>
              </w:rPr>
            </w:pPr>
            <w:r>
              <w:rPr>
                <w:noProof/>
              </w:rPr>
              <w:t>S’applique à toutes les catégories et expire aux dates suivantes:</w:t>
            </w:r>
          </w:p>
          <w:p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>
              <w:rPr>
                <w:noProof/>
              </w:rPr>
              <w:t>le 21 juillet 2023 pour les dispositifs médicaux de diagnostic in vitro de la catégorie 8;</w:t>
            </w:r>
          </w:p>
          <w:p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>
              <w:rPr>
                <w:noProof/>
              </w:rPr>
              <w:t>le 21 juillet 2024 pour les instruments de surveillance et de contrôle industriels de la catégorie 9 et pour la catégorie 11;</w:t>
            </w:r>
          </w:p>
          <w:p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>
              <w:rPr>
                <w:noProof/>
              </w:rPr>
              <w:t>le 21 juillet 2021 pour toutes les autres catégories et sous-catégories.</w:t>
            </w:r>
          </w:p>
        </w:tc>
      </w:tr>
    </w:tbl>
    <w:p>
      <w:pPr>
        <w:rPr>
          <w:noProof/>
        </w:rPr>
      </w:pPr>
      <w:r>
        <w:rPr>
          <w:noProof/>
        </w:rPr>
        <w:t>»</w:t>
      </w:r>
    </w:p>
    <w:sectPr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FR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FR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FR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FR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0B47B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30D272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FF90DBB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E9E0B6C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A1A8281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F62A6D8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B7C21DD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83F6EC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22">
    <w:nsid w:val="7F1D4483"/>
    <w:multiLevelType w:val="hybridMultilevel"/>
    <w:tmpl w:val="50B8F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22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18"/>
  </w:num>
  <w:num w:numId="11">
    <w:abstractNumId w:val="12"/>
  </w:num>
  <w:num w:numId="12">
    <w:abstractNumId w:val="20"/>
  </w:num>
  <w:num w:numId="13">
    <w:abstractNumId w:val="11"/>
  </w:num>
  <w:num w:numId="14">
    <w:abstractNumId w:val="13"/>
  </w:num>
  <w:num w:numId="15">
    <w:abstractNumId w:val="9"/>
  </w:num>
  <w:num w:numId="16">
    <w:abstractNumId w:val="19"/>
  </w:num>
  <w:num w:numId="17">
    <w:abstractNumId w:val="8"/>
  </w:num>
  <w:num w:numId="18">
    <w:abstractNumId w:val="14"/>
  </w:num>
  <w:num w:numId="19">
    <w:abstractNumId w:val="16"/>
  </w:num>
  <w:num w:numId="20">
    <w:abstractNumId w:val="17"/>
  </w:num>
  <w:num w:numId="21">
    <w:abstractNumId w:val="10"/>
  </w:num>
  <w:num w:numId="22">
    <w:abstractNumId w:val="15"/>
  </w:num>
  <w:num w:numId="23">
    <w:abstractNumId w:val="21"/>
  </w:num>
  <w:num w:numId="24">
    <w:abstractNumId w:val="18"/>
  </w:num>
  <w:num w:numId="25">
    <w:abstractNumId w:val="12"/>
  </w:num>
  <w:num w:numId="26">
    <w:abstractNumId w:val="20"/>
  </w:num>
  <w:num w:numId="27">
    <w:abstractNumId w:val="11"/>
  </w:num>
  <w:num w:numId="28">
    <w:abstractNumId w:val="13"/>
  </w:num>
  <w:num w:numId="29">
    <w:abstractNumId w:val="9"/>
  </w:num>
  <w:num w:numId="30">
    <w:abstractNumId w:val="19"/>
  </w:num>
  <w:num w:numId="31">
    <w:abstractNumId w:val="8"/>
  </w:num>
  <w:num w:numId="32">
    <w:abstractNumId w:val="14"/>
  </w:num>
  <w:num w:numId="33">
    <w:abstractNumId w:val="16"/>
  </w:num>
  <w:num w:numId="34">
    <w:abstractNumId w:val="17"/>
  </w:num>
  <w:num w:numId="35">
    <w:abstractNumId w:val="10"/>
  </w:num>
  <w:num w:numId="36">
    <w:abstractNumId w:val="15"/>
  </w:num>
  <w:num w:numId="37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7-03-06 10:27:03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FigNum" w:val="1"/>
    <w:docVar w:name="LW_ACCOMPAGNANT.CP" w:val="à la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09BFBAAE4DA94808BECE77E714F0B0E7"/>
    <w:docVar w:name="LW_CROSSREFERENCE" w:val="&lt;UNUSED&gt;"/>
    <w:docVar w:name="LW_DocType" w:val="ANNEX"/>
    <w:docVar w:name="LW_EMISSION" w:val="15.3.2017"/>
    <w:docVar w:name="LW_EMISSION_ISODATE" w:val="2017-03-15"/>
    <w:docVar w:name="LW_EMISSION_LOCATION" w:val="BRX"/>
    <w:docVar w:name="LW_EMISSION_PREFIX" w:val="Bruxelles, le "/>
    <w:docVar w:name="LW_EMISSION_SUFFIX" w:val=" "/>
    <w:docVar w:name="LW_ID_DOCSTRUCTURE" w:val="COM/ANNEX"/>
    <w:docVar w:name="LW_ID_DOCTYPE" w:val="SG-068"/>
    <w:docVar w:name="LW_LANGUE" w:val="FR"/>
    <w:docVar w:name="LW_MARKING" w:val="&lt;UNUSED&gt;"/>
    <w:docVar w:name="LW_NOM.INST" w:val="COMMISSION EUROPÉENNE"/>
    <w:docVar w:name="LW_NOM.INST_JOINTDOC" w:val="&lt;EMPTY&gt;"/>
    <w:docVar w:name="LW_OBJETACTEPRINCIPAL.CP" w:val="modifiant, aux fins de son adaptation au progrès technique, l\u8217?annexe III de la directive 2011/65/UE du Parlement européen et du Conseil en ce qui concerne une exemption relative au plomb dans le verre blanc destiné aux applications optiques"/>
    <w:docVar w:name="LW_PART_NBR" w:val="1"/>
    <w:docVar w:name="LW_PART_NBR_TOTAL" w:val="1"/>
    <w:docVar w:name="LW_REF.INST.NEW" w:val="C"/>
    <w:docVar w:name="LW_REF.INST.NEW_ADOPTED" w:val="final"/>
    <w:docVar w:name="LW_REF.INST.NEW_TEXT" w:val="(2017) 1527"/>
    <w:docVar w:name="LW_REF.INTERNE" w:val="&lt;UNUSED&gt;"/>
    <w:docVar w:name="LW_SUPERTITRE" w:val="&lt;UNUSED&gt;"/>
    <w:docVar w:name="LW_TITRE.OBJ.CP" w:val="&lt;UNUSED&gt;"/>
    <w:docVar w:name="LW_TYPE.DOC.CP" w:val="ANNEXE"/>
    <w:docVar w:name="LW_TYPEACTEPRINCIPAL.CP" w:val="DIRECTIVE DÉLÉGUÉE (UE) .../\u8230? DE LA COMMISSION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fr-F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0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r-FR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r-FR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9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9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9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9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1"/>
      </w:numPr>
    </w:pPr>
  </w:style>
  <w:style w:type="paragraph" w:customStyle="1" w:styleId="Point1number">
    <w:name w:val="Point 1 (number)"/>
    <w:basedOn w:val="Normal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pPr>
      <w:numPr>
        <w:ilvl w:val="8"/>
        <w:numId w:val="31"/>
      </w:numPr>
    </w:pPr>
  </w:style>
  <w:style w:type="paragraph" w:customStyle="1" w:styleId="Bullet0">
    <w:name w:val="Bullet 0"/>
    <w:basedOn w:val="Normal"/>
    <w:pPr>
      <w:numPr>
        <w:numId w:val="32"/>
      </w:numPr>
    </w:pPr>
  </w:style>
  <w:style w:type="paragraph" w:customStyle="1" w:styleId="Bullet1">
    <w:name w:val="Bullet 1"/>
    <w:basedOn w:val="Normal"/>
    <w:pPr>
      <w:numPr>
        <w:numId w:val="33"/>
      </w:numPr>
    </w:pPr>
  </w:style>
  <w:style w:type="paragraph" w:customStyle="1" w:styleId="Bullet2">
    <w:name w:val="Bullet 2"/>
    <w:basedOn w:val="Normal"/>
    <w:pPr>
      <w:numPr>
        <w:numId w:val="34"/>
      </w:numPr>
    </w:pPr>
  </w:style>
  <w:style w:type="paragraph" w:customStyle="1" w:styleId="Bullet3">
    <w:name w:val="Bullet 3"/>
    <w:basedOn w:val="Normal"/>
    <w:pPr>
      <w:numPr>
        <w:numId w:val="35"/>
      </w:numPr>
    </w:pPr>
  </w:style>
  <w:style w:type="paragraph" w:customStyle="1" w:styleId="Bullet4">
    <w:name w:val="Bullet 4"/>
    <w:basedOn w:val="Normal"/>
    <w:pPr>
      <w:numPr>
        <w:numId w:val="36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fr-F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0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fr-FR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fr-FR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9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9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9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9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1"/>
      </w:numPr>
    </w:pPr>
  </w:style>
  <w:style w:type="paragraph" w:customStyle="1" w:styleId="Point1number">
    <w:name w:val="Point 1 (number)"/>
    <w:basedOn w:val="Normal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pPr>
      <w:numPr>
        <w:ilvl w:val="8"/>
        <w:numId w:val="31"/>
      </w:numPr>
    </w:pPr>
  </w:style>
  <w:style w:type="paragraph" w:customStyle="1" w:styleId="Bullet0">
    <w:name w:val="Bullet 0"/>
    <w:basedOn w:val="Normal"/>
    <w:pPr>
      <w:numPr>
        <w:numId w:val="32"/>
      </w:numPr>
    </w:pPr>
  </w:style>
  <w:style w:type="paragraph" w:customStyle="1" w:styleId="Bullet1">
    <w:name w:val="Bullet 1"/>
    <w:basedOn w:val="Normal"/>
    <w:pPr>
      <w:numPr>
        <w:numId w:val="33"/>
      </w:numPr>
    </w:pPr>
  </w:style>
  <w:style w:type="paragraph" w:customStyle="1" w:styleId="Bullet2">
    <w:name w:val="Bullet 2"/>
    <w:basedOn w:val="Normal"/>
    <w:pPr>
      <w:numPr>
        <w:numId w:val="34"/>
      </w:numPr>
    </w:pPr>
  </w:style>
  <w:style w:type="paragraph" w:customStyle="1" w:styleId="Bullet3">
    <w:name w:val="Bullet 3"/>
    <w:basedOn w:val="Normal"/>
    <w:pPr>
      <w:numPr>
        <w:numId w:val="35"/>
      </w:numPr>
    </w:pPr>
  </w:style>
  <w:style w:type="paragraph" w:customStyle="1" w:styleId="Bullet4">
    <w:name w:val="Bullet 4"/>
    <w:basedOn w:val="Normal"/>
    <w:pPr>
      <w:numPr>
        <w:numId w:val="36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2</Pages>
  <Words>134</Words>
  <Characters>666</Characters>
  <Application>Microsoft Office Word</Application>
  <DocSecurity>0</DocSecurity>
  <Lines>25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16</cp:revision>
  <dcterms:created xsi:type="dcterms:W3CDTF">2017-03-03T09:28:00Z</dcterms:created>
  <dcterms:modified xsi:type="dcterms:W3CDTF">2017-03-06T09:27:00Z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5.84.2.0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SG-068</vt:lpwstr>
  </property>
  <property fmtid="{D5CDD505-2E9C-101B-9397-08002B2CF9AE}" pid="12" name="DQCStatus">
    <vt:lpwstr>Green (DQC version 03)</vt:lpwstr>
  </property>
  <property name="OP_sanitized" fmtid="{D5CDD505-2E9C-101B-9397-08002B2CF9AE}" pid="13">
    <vt:lpwstr>True</vt:lpwstr>
  </property>
</Properties>
</file>