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1F562" w14:textId="3F08A742" w:rsidR="00DA0187" w:rsidRDefault="0000665C" w:rsidP="0000665C">
      <w:pPr>
        <w:pStyle w:val="Pagedecouverture"/>
        <w:rPr>
          <w:noProof/>
        </w:rPr>
      </w:pPr>
      <w:bookmarkStart w:id="0" w:name="LW_BM_COVERPAGE"/>
      <w:r>
        <w:rPr>
          <w:noProof/>
        </w:rPr>
        <w:pict w14:anchorId="63937F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E3A6B58C-F275-4702-B184-CDD4DF08E26B" style="width:455.25pt;height:324pt">
            <v:imagedata r:id="rId8" o:title=""/>
          </v:shape>
        </w:pict>
      </w:r>
    </w:p>
    <w:bookmarkEnd w:id="0"/>
    <w:p w14:paraId="17A39104" w14:textId="77777777" w:rsidR="00D5573C" w:rsidRDefault="00D5573C" w:rsidP="00D5573C">
      <w:pPr>
        <w:rPr>
          <w:noProof/>
          <w:shd w:val="clear" w:color="auto" w:fill="FFFFFF"/>
        </w:rPr>
        <w:sectPr w:rsidR="00D5573C" w:rsidSect="0000665C">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1134" w:left="1417" w:header="709" w:footer="709" w:gutter="0"/>
          <w:pgNumType w:start="1"/>
          <w:cols w:space="720"/>
          <w:docGrid w:linePitch="360"/>
        </w:sectPr>
      </w:pPr>
    </w:p>
    <w:p w14:paraId="1B0B0147" w14:textId="77777777" w:rsidR="00DA0187" w:rsidRDefault="00B54112">
      <w:pPr>
        <w:pStyle w:val="Heading1"/>
        <w:rPr>
          <w:noProof/>
        </w:rPr>
      </w:pPr>
      <w:bookmarkStart w:id="1" w:name="_GoBack"/>
      <w:bookmarkEnd w:id="1"/>
      <w:r>
        <w:rPr>
          <w:noProof/>
        </w:rPr>
        <w:lastRenderedPageBreak/>
        <w:t>ARUANDE EESMÄRK</w:t>
      </w:r>
    </w:p>
    <w:p w14:paraId="103CBC5D" w14:textId="3E336F6E" w:rsidR="00DA0187" w:rsidRDefault="00B54112">
      <w:pPr>
        <w:pStyle w:val="Text1"/>
        <w:rPr>
          <w:noProof/>
        </w:rPr>
      </w:pPr>
      <w:r>
        <w:rPr>
          <w:noProof/>
        </w:rPr>
        <w:t>Komisjon esitab käesoleva aruande eesmärgiga täita talle Euroopa Liidu ametnike personalieeskirjade ning Euroopa Liidu muude teenistujate teenistustingimuste (edaspidi „personalieeskirjad“) artikli 65 lõikega 1 ette nähtud kohustust esitada andmeid selle kohta, milline on liidu ametnike töötasude ja pensionide eelarveline mõju, võttes arvesse ELi ametnike ja muude teenistujate töötasude ja pensionide ning nimetatud töötasude ja pensionide suhtes kohaldatavate paranduskoefitsienti</w:t>
      </w:r>
      <w:r w:rsidR="00A6441A">
        <w:rPr>
          <w:noProof/>
        </w:rPr>
        <w:t>de ajakohastamist 2021. aastal.</w:t>
      </w:r>
    </w:p>
    <w:p w14:paraId="0512FEC6" w14:textId="07B067BD" w:rsidR="00DA0187" w:rsidRDefault="00B54112">
      <w:pPr>
        <w:pStyle w:val="Text1"/>
        <w:rPr>
          <w:noProof/>
        </w:rPr>
      </w:pPr>
      <w:r>
        <w:rPr>
          <w:noProof/>
        </w:rPr>
        <w:t>ELi ametnike ja muude teenistujate töötasude ja pensionide 2021. aastal toimuvat ajakohastamist rakendatakse vastavalt personalieeskirjade XI lisale ja see toimub enne käesoleva aasta lõppu. Selle jaoks kasutatakse statistilisi andmeid, mille ELi statistikaamet valmistas ette kokkuleppel liikmesriikide statistikaametitega ja mis kajastavad liikmesriikide olukorda 1. juuli 2021. aasta seisuga.</w:t>
      </w:r>
    </w:p>
    <w:p w14:paraId="44C4B43E" w14:textId="77777777" w:rsidR="00DA0187" w:rsidRDefault="00B54112">
      <w:pPr>
        <w:pStyle w:val="Heading1"/>
        <w:rPr>
          <w:noProof/>
        </w:rPr>
      </w:pPr>
      <w:r>
        <w:rPr>
          <w:noProof/>
        </w:rPr>
        <w:t>TAUSTTEAVE</w:t>
      </w:r>
    </w:p>
    <w:p w14:paraId="49437ED9" w14:textId="77777777" w:rsidR="00DA0187" w:rsidRDefault="00B54112">
      <w:pPr>
        <w:pStyle w:val="Text1"/>
        <w:rPr>
          <w:noProof/>
        </w:rPr>
      </w:pPr>
      <w:r>
        <w:rPr>
          <w:noProof/>
        </w:rPr>
        <w:t xml:space="preserve">Euroopa Parlamendi ja nõukogu 22. oktoobri 2013. aasta määrusega (EL, Euratom) nr 1023/2013 muudeti palkade ajakohastamise mehhanismi ehk nn meetodit, võimaldades kõikide palkade, pensionide ja toetuste automaatset ajakohastamist. Seepärast tuleks personalieeskirjades esitatud vastavaid summasid ja paranduskoefitsiente käsitleda võrdlussummade ja -paranduskoefitsientidena, mida korrapäraselt automaatselt ajakohastatakse. Komisjon peaks need ajakohastatud summad ja paranduskoefitsiendid kahe nädala jooksul pärast ajakohastamist avaldama teavitamise eesmärgil </w:t>
      </w:r>
      <w:r>
        <w:rPr>
          <w:i/>
          <w:iCs/>
          <w:noProof/>
        </w:rPr>
        <w:t>Euroopa Liidu Teataja</w:t>
      </w:r>
      <w:r>
        <w:rPr>
          <w:noProof/>
        </w:rPr>
        <w:t xml:space="preserve"> (ELT) C-seerias.</w:t>
      </w:r>
    </w:p>
    <w:p w14:paraId="3D6619E2" w14:textId="62311483" w:rsidR="00DA0187" w:rsidRDefault="00B54112">
      <w:pPr>
        <w:pStyle w:val="Text1"/>
        <w:rPr>
          <w:noProof/>
        </w:rPr>
      </w:pPr>
      <w:r>
        <w:rPr>
          <w:noProof/>
        </w:rPr>
        <w:t>Kooskõlas personalieeskirjade artikli 65 lõikega 4 ei olnud 2013. ega 2014. aastaks ette nähtud Belgias ja Luksemburgis töötavate ELi töötajate töötasude ja pensionide ajakohastamist, mis tähendab, et Belgias ja Luksemburgis töötavate ELi töötajate palkasid 2013. ja 2014. aastal ei ajakohastatud. Lisaks sellele kohandati 2011. ja 2012. aastal töötasusid ja pension</w:t>
      </w:r>
      <w:r w:rsidR="00A6441A">
        <w:rPr>
          <w:noProof/>
        </w:rPr>
        <w:t>e piiratud ulatuses vastavalt 0 % ja 0,8 </w:t>
      </w:r>
      <w:r>
        <w:rPr>
          <w:noProof/>
        </w:rPr>
        <w:t>%, mis tulenes 2011. ja 2012. aasta töötasude ja pensionide kohandamist käsitlevate vaidluste lahendamiseks võ</w:t>
      </w:r>
      <w:r w:rsidR="00A6441A">
        <w:rPr>
          <w:noProof/>
        </w:rPr>
        <w:t>etud üldisest lähenemisviisist.</w:t>
      </w:r>
    </w:p>
    <w:p w14:paraId="10FBBEC8" w14:textId="5B0AA202" w:rsidR="00DA0187" w:rsidRPr="00EE65BD" w:rsidRDefault="00B54112">
      <w:pPr>
        <w:pStyle w:val="Text1"/>
        <w:rPr>
          <w:noProof/>
        </w:rPr>
      </w:pPr>
      <w:r>
        <w:rPr>
          <w:noProof/>
        </w:rPr>
        <w:t>ELi töötajad kogesid ajavahemikul 2004–2021 tegeliku ostujõu märkimisväärset langust, samal ajal kui liikmesriikide riigiteenistujate ostujõud suurenes. Kõnealusel perioodil kahanes ELi töötajate ostujõud ligikaudu 10,3 % 2004. ja 2013. aasta personalieeskirjade reformide, palkade väiksema kohandamise ja 2020. aastal kohaldatud erandiklausli koostoime tõttu. Liikmesriikide keskvalitsustes töötavate riigiteenistujate ostujõud k</w:t>
      </w:r>
      <w:r w:rsidR="00A6441A">
        <w:rPr>
          <w:noProof/>
        </w:rPr>
        <w:t>asvas samal ajavahemikul 0,9 %.</w:t>
      </w:r>
    </w:p>
    <w:p w14:paraId="24D2C3AB" w14:textId="7EE48797" w:rsidR="00DA0187" w:rsidRDefault="00B54112">
      <w:pPr>
        <w:pStyle w:val="Text1"/>
        <w:rPr>
          <w:noProof/>
        </w:rPr>
      </w:pPr>
      <w:r>
        <w:rPr>
          <w:noProof/>
        </w:rPr>
        <w:t>Kuna 2011. ja 2012. aastal ei kasutatud palkade kohandamiseks kõnealust meetodit ning 2013. ja 2014. aastal töötasud ja pensionid külmutati, säästeti 2014.–2020. aasta mitmeaastases finantsraamistikus umbes 3 miljardit eurot ja pikas perspektiivis 500 miljonit eurot aastas. Personalieeskirjade viimatine läbivaatamine võimaldas mitmeaastase finantsraamistiku perioodil hoida halduskulude arvelt kokku ligikaudu 4,3 miljardit eurot. Peale selle kujutavad ilma otsese eelarvelise mõjuta erimeetmed, näiteks pikem tööaeg ja palgata põhipuhkuste kasutamise vähendamine, institutsioonide jaoks umbes 1,</w:t>
      </w:r>
      <w:r w:rsidR="00A6441A">
        <w:rPr>
          <w:noProof/>
        </w:rPr>
        <w:t>5 miljardi euro suurust säästu.</w:t>
      </w:r>
    </w:p>
    <w:p w14:paraId="44A935C3" w14:textId="77777777" w:rsidR="00DA0187" w:rsidRDefault="00B54112">
      <w:pPr>
        <w:pStyle w:val="Heading1"/>
        <w:rPr>
          <w:noProof/>
        </w:rPr>
      </w:pPr>
      <w:r>
        <w:rPr>
          <w:noProof/>
        </w:rPr>
        <w:t>ELi ametnike ja muude teenistujate töötasude ja pensionide ning nimetatud töötasude ja pensionide suhtes kohaldatavate paranduskoefitsientide ajakohastamist käsitlevad õigussätted</w:t>
      </w:r>
    </w:p>
    <w:p w14:paraId="2A804DFC" w14:textId="77777777" w:rsidR="00DA0187" w:rsidRDefault="00B54112">
      <w:pPr>
        <w:pStyle w:val="ManualHeading2"/>
        <w:rPr>
          <w:noProof/>
        </w:rPr>
      </w:pPr>
      <w:r>
        <w:rPr>
          <w:noProof/>
        </w:rPr>
        <w:t>3.1.</w:t>
      </w:r>
      <w:r>
        <w:rPr>
          <w:noProof/>
        </w:rPr>
        <w:tab/>
        <w:t>ELi ametnike ja muude teenistujate töötasude ja pensionide ajakohastamine (personalieeskirjade artikli 65 lõike 1 teine lõik)</w:t>
      </w:r>
    </w:p>
    <w:p w14:paraId="173C95B7" w14:textId="41026864" w:rsidR="00DA0187" w:rsidRDefault="00B54112">
      <w:pPr>
        <w:pStyle w:val="Text1"/>
        <w:rPr>
          <w:noProof/>
        </w:rPr>
      </w:pPr>
      <w:r>
        <w:rPr>
          <w:noProof/>
        </w:rPr>
        <w:t>Personalieeskirjade artikli 65 lõike 1 teises lõigus on sätestatud, et teatavaid põhipalkade, eri toetuste ja koefitsientide määramiseks kasutatavaid osutatud summasid ajakohastatakse igal aastal vastavalt XI lisale. Komisjon avaldab ajakohastatud summad kahe nädala jooksul pärast ajakohastamist teavi</w:t>
      </w:r>
      <w:r w:rsidR="00A6441A">
        <w:rPr>
          <w:noProof/>
        </w:rPr>
        <w:t>tamise eesmärgil ELT C-seerias.</w:t>
      </w:r>
    </w:p>
    <w:p w14:paraId="0A4846CE" w14:textId="77777777" w:rsidR="00DA0187" w:rsidRDefault="00B54112">
      <w:pPr>
        <w:pStyle w:val="Text1"/>
        <w:rPr>
          <w:noProof/>
        </w:rPr>
      </w:pPr>
      <w:r>
        <w:rPr>
          <w:noProof/>
        </w:rPr>
        <w:t>Peale selle on personalieeskirjade artikli 65 lõikes 3 sätestatud, et kõnealuseid (artikli 65 lõike 1 teises lõigus osutatud) summasid käsitatakse summadena, mille tegelikku väärtust teataval ajahetkel ajakohastatakse, ilma et selleks tuleks võtta vastu uus õigusakt.</w:t>
      </w:r>
    </w:p>
    <w:p w14:paraId="11D0FE97" w14:textId="77777777" w:rsidR="00DA0187" w:rsidRDefault="00B54112">
      <w:pPr>
        <w:pStyle w:val="Text1"/>
        <w:rPr>
          <w:noProof/>
        </w:rPr>
      </w:pPr>
      <w:r>
        <w:rPr>
          <w:noProof/>
        </w:rPr>
        <w:t>Personalieeskirjade artikli 65a kohaselt on artiklite 64 ja 65 rakenduseeskirjad sätestatud XI lisas.</w:t>
      </w:r>
    </w:p>
    <w:p w14:paraId="19C3B1B6" w14:textId="77777777" w:rsidR="00DA0187" w:rsidRDefault="00B54112">
      <w:pPr>
        <w:pStyle w:val="Text1"/>
        <w:rPr>
          <w:noProof/>
        </w:rPr>
      </w:pPr>
      <w:r>
        <w:rPr>
          <w:noProof/>
        </w:rPr>
        <w:t>Personalieeskirjade XI lisa artikli 3 kohaselt ajakohastatakse töötasusid ja pensioneid vastavalt personalieeskirjade artiklile 65 otseselt, lähtudes muutustest liikmesriikide riigiteenistujate töötasude ostujõus (erinäitaja) ning elukalliduse muutumisest Belgias ja Luksemburgis (ühisindeks).</w:t>
      </w:r>
    </w:p>
    <w:p w14:paraId="03855835" w14:textId="090F02BD" w:rsidR="00461FA8" w:rsidRDefault="00B54112">
      <w:pPr>
        <w:pStyle w:val="Text1"/>
        <w:rPr>
          <w:noProof/>
        </w:rPr>
      </w:pPr>
      <w:r>
        <w:rPr>
          <w:noProof/>
        </w:rPr>
        <w:t>Erinäitajaga mõõdetakse liikmesriikide keskvalitsustes töötavate riigiteenistujate netotöötasu muutusi, võtmata arvesse inflatsiooni. Eurostat arvutab selle näitaja XI lisa artikli 1 lõikes 4 nimetatud 10 liikme</w:t>
      </w:r>
      <w:r w:rsidR="00A6441A">
        <w:rPr>
          <w:noProof/>
        </w:rPr>
        <w:t>sriigi esitatud andmete põhjal.</w:t>
      </w:r>
    </w:p>
    <w:p w14:paraId="2D958880" w14:textId="44169C61" w:rsidR="00F06C2C" w:rsidRDefault="00F06C2C">
      <w:pPr>
        <w:pStyle w:val="Text1"/>
        <w:rPr>
          <w:noProof/>
        </w:rPr>
      </w:pPr>
      <w:r>
        <w:rPr>
          <w:noProof/>
        </w:rPr>
        <w:t>Ühendkuningriik astus EList välja 1. veebruaril 2020 ja on nüüd kolmas riik. Väljaastumislepinguga kehtestatud üleminekuperiood lõppes 31. detsembril 2020. Seepärast ei kuulu Ühendkuningriik enam XI lisa artikli 1 lõike 4 kohasesse liikmesriikide põhivalimisse erinäitajate arvutamiseks (ülejäänud kümnest liikmesriigist koosnev val</w:t>
      </w:r>
      <w:r w:rsidR="00A6441A">
        <w:rPr>
          <w:noProof/>
        </w:rPr>
        <w:t>im esindab endiselt vähemalt 75 </w:t>
      </w:r>
      <w:r>
        <w:rPr>
          <w:noProof/>
        </w:rPr>
        <w:t>% EL 27</w:t>
      </w:r>
      <w:r w:rsidR="00A6441A">
        <w:rPr>
          <w:noProof/>
        </w:rPr>
        <w:t xml:space="preserve"> sisemajanduse koguproduktist).</w:t>
      </w:r>
    </w:p>
    <w:p w14:paraId="5D43FC38" w14:textId="77777777" w:rsidR="00DA0187" w:rsidRDefault="00B54112">
      <w:pPr>
        <w:pStyle w:val="Text1"/>
        <w:rPr>
          <w:noProof/>
        </w:rPr>
      </w:pPr>
      <w:r>
        <w:rPr>
          <w:noProof/>
        </w:rPr>
        <w:t>Ühisindeksiga mõõdetakse elukalliduse muutumist Belgias ja Luksemburgis ELi ametnike jaoks vastavalt töötajate jaotumisele kõnealuses kahes liikmesriigis. Eurostat arvutab selle indeksi Belgia ja Luksemburgi ametiasutuste esitatud hinnaandmete ning ELi institutsioonide siseandmebaasides sisalduva töötajate arvu käsitleva teabe põhjal.</w:t>
      </w:r>
    </w:p>
    <w:p w14:paraId="142FCC82" w14:textId="77777777" w:rsidR="00DA0187" w:rsidRDefault="00B54112">
      <w:pPr>
        <w:pStyle w:val="Text1"/>
        <w:rPr>
          <w:noProof/>
        </w:rPr>
      </w:pPr>
      <w:r>
        <w:rPr>
          <w:noProof/>
        </w:rPr>
        <w:t>Lisaks sellele on personalieeskirjade XI lisa artiklis 10 sätestatud mõõdukusklausel, mille kohaselt on iga-aastasel ajakohastamisel kasutatava erinäitaja väärtuse ülempiir +2 % ja alampiir –2 %. Kui erinäitaja väärtus ületab ülempiiri või jääb alampiirist allapoole, kasutatakse iga-aastase ajakohastamise väärtuse arvutamisel vastavalt ülem- või alampiiri väärtust. Ülem- või alampiiri kohaldatakse alates 1. juulist ning iga-aastase ajakohastamise ülejäänud osa kohaldatakse alates järgmise aasta 1. aprillist.</w:t>
      </w:r>
    </w:p>
    <w:p w14:paraId="08C55ABE" w14:textId="02437719" w:rsidR="00DA0187" w:rsidRDefault="00B54112">
      <w:pPr>
        <w:pStyle w:val="Text1"/>
        <w:rPr>
          <w:noProof/>
        </w:rPr>
      </w:pPr>
      <w:r>
        <w:rPr>
          <w:noProof/>
        </w:rPr>
        <w:t>Personalieeskirjade XI lisa artiklis 11 on sätestatud erandiklausel, mida kohaldatakse juhul, kui liidu reaalne sisemajanduse koguprodukt (SKP) komisjoni prognoosi kohaselt väheneb. Vastavalt personalieeskirjade XI lisa artiklile 11 kohaldatakse erandiklauslit juhul, kui erinäitaja väärtus on positiivne, kuid liidu SKP jooksval aastal väheneb. Sellisel juhul ja sõltuvalt ELi SKP vähenemise ulatusest kasutatakse iga-aastase ajakohastuse väärtuse arvutamisel erinäitajat osaliselt või täielikult ning ülejäänud osa kohaldatakse alates järgmise aasta hilisemast kuupäevast või kui liidu SKP kumulatiivne kasv, mõõdetuna aastast, mil erandiklauslit kohaldati, muutub positiivseks.</w:t>
      </w:r>
    </w:p>
    <w:p w14:paraId="1636D164" w14:textId="77777777" w:rsidR="00DA0187" w:rsidRDefault="00B54112">
      <w:pPr>
        <w:pStyle w:val="ManualHeading2"/>
        <w:rPr>
          <w:noProof/>
        </w:rPr>
      </w:pPr>
      <w:r>
        <w:rPr>
          <w:noProof/>
        </w:rPr>
        <w:t>3.2.</w:t>
      </w:r>
      <w:r>
        <w:rPr>
          <w:noProof/>
        </w:rPr>
        <w:tab/>
        <w:t>ELis töötavate ELi ametnike ja muude teenistujate töötasude ja pensionide suhtes kohaldatavate paranduskoefitsientide ajakohastamine (artikli 64 teine lõik)</w:t>
      </w:r>
    </w:p>
    <w:p w14:paraId="500B9CCE" w14:textId="77777777" w:rsidR="00DA0187" w:rsidRDefault="00B54112">
      <w:pPr>
        <w:pStyle w:val="Text1"/>
        <w:rPr>
          <w:noProof/>
        </w:rPr>
      </w:pPr>
      <w:r>
        <w:rPr>
          <w:noProof/>
        </w:rPr>
        <w:t>Personalieeskirjade artikli 64 kohaselt kohaldatakse ametniku eurodes väljendatud töötasu suhtes paranduskoefitsienti, mis on suurem kui 100 %, sellest väiksem või sellega võrdne, sõltuvalt elamistingimustest eri teenistuskohtades. Belgias ja Luksemburgis paranduskoefitsiente ei kohaldata, kuna nendes riikides asuvad enamiku institutsioonide peamised ja algsed asukohad, mistõttu on neil eriline roll võrdlusalusena.</w:t>
      </w:r>
    </w:p>
    <w:p w14:paraId="688B5C81" w14:textId="77777777" w:rsidR="00DA0187" w:rsidRDefault="00B54112">
      <w:pPr>
        <w:pStyle w:val="Text1"/>
        <w:rPr>
          <w:noProof/>
        </w:rPr>
      </w:pPr>
      <w:r>
        <w:rPr>
          <w:noProof/>
        </w:rPr>
        <w:t>Peale selle arvutatakse või tühistatakse paranduskoefitsiente ning ajakohastatakse neid igal aastal kooskõlas XI lisaga. Ajakohastamise puhul käsitatakse kõiki väärtusi võrdlusväärtustena. Komisjon avaldab ajakohastatud väärtused kahe nädala jooksul pärast ajakohastamist teavitamise eesmärgil ELT C-seerias.</w:t>
      </w:r>
    </w:p>
    <w:p w14:paraId="4568C09E" w14:textId="77777777" w:rsidR="00DA0187" w:rsidRDefault="00B54112">
      <w:pPr>
        <w:pStyle w:val="Text1"/>
        <w:rPr>
          <w:noProof/>
        </w:rPr>
      </w:pPr>
      <w:r>
        <w:rPr>
          <w:noProof/>
        </w:rPr>
        <w:t>Vastavalt personalieeskirjade XI lisa artiklile 3 ajakohastatakse töötasude ja pensionide suhtes kohaldatavaid paranduskoefitsiente XI lisa artiklis 1 osutatud vastavate ostujõu pariteetide ja personalieeskirjade artiklis 63 asjaomaste riikide suhtes kindlaks määratud vahetuskursside vaheliste suhete põhjal.</w:t>
      </w:r>
    </w:p>
    <w:p w14:paraId="5EB23B9F" w14:textId="77777777" w:rsidR="00DA0187" w:rsidRDefault="00B54112">
      <w:pPr>
        <w:pStyle w:val="Text1"/>
        <w:rPr>
          <w:noProof/>
        </w:rPr>
      </w:pPr>
      <w:r>
        <w:rPr>
          <w:noProof/>
        </w:rPr>
        <w:t>Töötasude ostujõu pariteedid määravad kindlaks töötasude ostujõu suhte võrdluslinna Brüsseli ja muude teenistuskohtade vahel. Eurostat arvutab need pariteedid kokkuleppel liikmesriikide statistikaametitega.</w:t>
      </w:r>
    </w:p>
    <w:p w14:paraId="76A634E0" w14:textId="77777777" w:rsidR="00DA0187" w:rsidRDefault="00B54112">
      <w:pPr>
        <w:pStyle w:val="Text1"/>
        <w:rPr>
          <w:noProof/>
        </w:rPr>
      </w:pPr>
      <w:r>
        <w:rPr>
          <w:noProof/>
        </w:rPr>
        <w:t>Pensionide ostujõu pariteedid määravad kindlaks pensionide ostujõu suhte võrdlusriigi Belgia ja muude elukohariikide vahel. Eurostat arvutab need pariteedid kokkuleppel liikmesriikide statistikaametitega. Vastavalt personalieeskirjade XIII lisa artiklile 20 kohaldatakse neid paranduskoefitsiente ainult pensioni selle osa suhtes, mis vastab enne 1. maid 2004 omandatud pensioniõigustele. Minimaalne pensionide suhtes kohaldatav paranduskoefitsient on 100.</w:t>
      </w:r>
    </w:p>
    <w:p w14:paraId="614767B7" w14:textId="77777777" w:rsidR="00DA0187" w:rsidRDefault="00B54112">
      <w:pPr>
        <w:pStyle w:val="Text1"/>
        <w:rPr>
          <w:noProof/>
        </w:rPr>
      </w:pPr>
      <w:r>
        <w:rPr>
          <w:noProof/>
        </w:rPr>
        <w:t>Vastavalt personalieeskirjade VII lisa artikli 17 lõikele 3 kohaldatakse konkreetseid paranduskoefitsiente ametnike ja muude teenistujate teatavate ülekannete suhtes.</w:t>
      </w:r>
    </w:p>
    <w:p w14:paraId="0B62B884" w14:textId="77777777" w:rsidR="00DA0187" w:rsidRDefault="00B54112">
      <w:pPr>
        <w:pStyle w:val="ManualHeading2"/>
        <w:rPr>
          <w:noProof/>
        </w:rPr>
      </w:pPr>
      <w:r>
        <w:rPr>
          <w:noProof/>
        </w:rPr>
        <w:t>3.3.</w:t>
      </w:r>
      <w:r>
        <w:rPr>
          <w:noProof/>
        </w:rPr>
        <w:tab/>
        <w:t>Kolmandates riikides töötavate ELi ametnike ning ajutiste ja lepinguliste töötajate töötasude suhtes kohaldatavate paranduskoefitsientide ajakohastamine (personalieeskirjade X lisa artikli 13 esimene lõik)</w:t>
      </w:r>
    </w:p>
    <w:p w14:paraId="654D5C0B" w14:textId="092221A3" w:rsidR="00DA0187" w:rsidRDefault="00B54112">
      <w:pPr>
        <w:pStyle w:val="Text1"/>
        <w:rPr>
          <w:noProof/>
        </w:rPr>
      </w:pPr>
      <w:r>
        <w:rPr>
          <w:noProof/>
        </w:rPr>
        <w:t>Personalieeskirjade X lisa artiklid 11, 12 ja 13 sisaldavad sätteid kolmandates riikides töötavatele ametnikele ja muudele teenistujatele makstavate töötasude kohta. Töötasu makstakse ELis eurodes ja selle suhtes kohaldatakse Belgias töötavate ametnike töötasude suhtes kohaldatavat paranduskoefitsienti, kuid ametniku taotluse korral võib selle kas täies ulatuses või osaliselt maksta ka teenistuskoha riigi vääringus. Sellisel juhul kohaldatakse summa suhtes teenistuskoha paranduskoefitsienti ja summa konverteeritak</w:t>
      </w:r>
      <w:r w:rsidR="00A6441A">
        <w:rPr>
          <w:noProof/>
        </w:rPr>
        <w:t>se vastava vahetuskursi põhjal.</w:t>
      </w:r>
    </w:p>
    <w:p w14:paraId="63D105C2" w14:textId="77777777" w:rsidR="00DA0187" w:rsidRDefault="00B54112">
      <w:pPr>
        <w:pStyle w:val="Text1"/>
        <w:rPr>
          <w:noProof/>
        </w:rPr>
      </w:pPr>
      <w:r>
        <w:rPr>
          <w:noProof/>
        </w:rPr>
        <w:t>Et tagada liidu ametnike ning ajutiste ja lepinguliste töötajate võimalikult samaväärne ostujõud, olenemata nende teenistuskohast, ajakohastatakse paranduskoefitsiente kord aastas kooskõlas personalieeskirjade XI lisas sätestatud eeskirjadega. Ajakohastamise puhul käsitatakse kõiki väärtusi võrdlusväärtustena. Komisjon avaldab ajakohastatud väärtused kahe nädala jooksul pärast ajakohastamist teavitamise eesmärgil ELT C-seerias.</w:t>
      </w:r>
    </w:p>
    <w:p w14:paraId="64D6D5AA" w14:textId="77777777" w:rsidR="00DA0187" w:rsidRDefault="00B54112">
      <w:pPr>
        <w:pStyle w:val="Text1"/>
        <w:rPr>
          <w:noProof/>
        </w:rPr>
      </w:pPr>
      <w:r>
        <w:rPr>
          <w:noProof/>
        </w:rPr>
        <w:t>Et teha kindlaks Brüsseli ja muude teenistuskohtade töötasude ostujõu suhe, arvutab Eurostat ostujõu pariteedid. Paranduskoefitsient saadakse ostujõu pariteedi jagamisel vahetuskursiga. Kasutatavad vahetuskursid kehtestatakse vastavalt ELi üldeelarve rakenduseeskirjadele ja need vastavad paranduskoefitsientide kohaldamise alguskuupäevale.</w:t>
      </w:r>
    </w:p>
    <w:p w14:paraId="20CFD412" w14:textId="77777777" w:rsidR="00DA0187" w:rsidRDefault="00B54112">
      <w:pPr>
        <w:pStyle w:val="ManualHeading2"/>
        <w:rPr>
          <w:noProof/>
        </w:rPr>
      </w:pPr>
      <w:r>
        <w:rPr>
          <w:noProof/>
        </w:rPr>
        <w:t>3.4.</w:t>
      </w:r>
      <w:r>
        <w:rPr>
          <w:noProof/>
        </w:rPr>
        <w:tab/>
        <w:t>ELis töötavate ELi ametnike ja muude teenistujate töötasude ja pensionide vahepealne ajakohastamine (personalieeskirjade artikli 65 lõige 2)</w:t>
      </w:r>
    </w:p>
    <w:p w14:paraId="60076CEF" w14:textId="77777777" w:rsidR="00DA0187" w:rsidRDefault="00B54112">
      <w:pPr>
        <w:pStyle w:val="Text1"/>
        <w:rPr>
          <w:noProof/>
        </w:rPr>
      </w:pPr>
      <w:r>
        <w:rPr>
          <w:noProof/>
        </w:rPr>
        <w:t>Artikli 65 lõikes 2 on sätestatud, et elukalliduse olulise muutumise korral ajakohastatakse artikli 65 lõikes 1 osutatud summasid ja artiklis 64 osutatud paranduskoefitsiente vastavalt XI lisale. Komisjon avaldab ajakohastatud summad ja paranduskoefitsiendid kahe nädala jooksul pärast ajakohastamist teavitamise eesmärgil ELT C-seerias.</w:t>
      </w:r>
    </w:p>
    <w:p w14:paraId="17EB0816" w14:textId="77777777" w:rsidR="00DA0187" w:rsidRDefault="00B54112">
      <w:pPr>
        <w:pStyle w:val="Text1"/>
        <w:rPr>
          <w:noProof/>
        </w:rPr>
      </w:pPr>
      <w:r>
        <w:rPr>
          <w:noProof/>
        </w:rPr>
        <w:t>Vastavalt personalieeskirjade XI lisa artikli 4 lõikele 1 tehakse töötasude ja pensionide vahepealseid ajakohastusi, mis jõustuvad 1. jaanuaril, juhul kui elukallidus juuni ja detsembri vahel oluliselt muutub (arvestades personalieeskirjade XI lisa artiklis 6 määratletud tundlikkusläve). Selles võetakse arvesse prognoosi ostujõu muutumise kohta jooksval iga-aastasel vaatlusperioodil. Vahepealseid ajakohastusi võetakse arvesse palkade iga-aastasel ajakohastamisel.</w:t>
      </w:r>
    </w:p>
    <w:p w14:paraId="2EA1DFC0" w14:textId="77777777" w:rsidR="00DA0187" w:rsidRDefault="00B54112">
      <w:pPr>
        <w:pStyle w:val="Text1"/>
        <w:rPr>
          <w:noProof/>
        </w:rPr>
      </w:pPr>
      <w:r>
        <w:rPr>
          <w:noProof/>
        </w:rPr>
        <w:t>Peale selle tehakse vahepealseid ajakohastusi vastavalt personalieeskirjade XI lisa artiklile 6 kõikide kohtade (sh Brüsseli ja Luxembourgi) suhtes siis, kui Brüsselis ja Luxembourgis saavutatakse tundlikkuslävi või see ületatakse. Kui Brüsselis ja Luxembourgis seda tundlikkusläve ei saavutata, tehakse vahepealseid ajakohastusi ainult nende kohtade suhtes, kus tundlikkuslävi on saavutatud või ületatud.</w:t>
      </w:r>
    </w:p>
    <w:p w14:paraId="1311A597" w14:textId="77777777" w:rsidR="00DA0187" w:rsidRDefault="00B54112">
      <w:pPr>
        <w:pStyle w:val="Text1"/>
        <w:rPr>
          <w:noProof/>
        </w:rPr>
      </w:pPr>
      <w:r>
        <w:rPr>
          <w:noProof/>
        </w:rPr>
        <w:t>Kooskõlas personalieeskirjade XI lisa artikliga 7 on vahepealse ajakohastuse suurus ühisindeks, mida korrutatakse vajaduse korral poolega prognoositavast erinäitaja väärtusest juhul, kui see on negatiivne.</w:t>
      </w:r>
    </w:p>
    <w:p w14:paraId="270A475B" w14:textId="77777777" w:rsidR="00DA0187" w:rsidRDefault="00B54112">
      <w:pPr>
        <w:pStyle w:val="Text1"/>
        <w:rPr>
          <w:noProof/>
        </w:rPr>
      </w:pPr>
      <w:r>
        <w:rPr>
          <w:noProof/>
        </w:rPr>
        <w:t>Paranduskoefitsiendid on asjaomase ostujõu pariteedi ja personalieeskirjade artiklis 63 ette nähtud vastava vahetuskursi vaheline suhe, mida juhul, kui tundlikkusläve ei ole Belgias ja Luksemburgis saavutatud, korrutatakse ajakohastuse summaga.</w:t>
      </w:r>
    </w:p>
    <w:p w14:paraId="50603C0F" w14:textId="77777777" w:rsidR="00DA0187" w:rsidRDefault="00B54112">
      <w:pPr>
        <w:pStyle w:val="ManualHeading2"/>
        <w:rPr>
          <w:noProof/>
        </w:rPr>
      </w:pPr>
      <w:r>
        <w:rPr>
          <w:noProof/>
        </w:rPr>
        <w:t>3.5.</w:t>
      </w:r>
      <w:r>
        <w:rPr>
          <w:noProof/>
        </w:rPr>
        <w:tab/>
        <w:t>Kolmandates riikides töötavate ELi ametnike ning ajutiste ja lepinguliste töötajate töötasude suhtes kohaldatavate paranduskoefitsientide vahepealne ajakohastus (personalieeskirjade X lisa artikli 13 teine lõik)</w:t>
      </w:r>
    </w:p>
    <w:p w14:paraId="16ECE8AA" w14:textId="59D669E4" w:rsidR="00DA0187" w:rsidRDefault="00B54112">
      <w:pPr>
        <w:pStyle w:val="Text1"/>
        <w:rPr>
          <w:noProof/>
        </w:rPr>
      </w:pPr>
      <w:r>
        <w:rPr>
          <w:noProof/>
        </w:rPr>
        <w:t>Peale kolmandates riikides töötavate ELi ametnike ning ajutiste ja lepinguliste töötajate töötasude iga-aastase ajakohastamise vastavalt personalieeskirjade X lisa artikli 13 esimesele lõigule (vt punkt 3.3 eespool) tehakse juhul, kui teatava riigi puhul on paranduskoefitsiendi ja vastava vahetuskursi alusel mõõdetud elukalliduse muutus viimase ajakohas</w:t>
      </w:r>
      <w:r w:rsidR="00A6441A">
        <w:rPr>
          <w:noProof/>
        </w:rPr>
        <w:t>tamisega võrreldes suurem kui 5 </w:t>
      </w:r>
      <w:r>
        <w:rPr>
          <w:noProof/>
        </w:rPr>
        <w:t>%, paranduskoefitsiendi vahepealne ajakohastus personalieeskirjade X lisa artikli 13 esimeses lõigus sätestatud korras.</w:t>
      </w:r>
    </w:p>
    <w:p w14:paraId="19A673BD" w14:textId="77777777" w:rsidR="00DA0187" w:rsidRDefault="00B54112">
      <w:pPr>
        <w:pStyle w:val="Text1"/>
        <w:rPr>
          <w:noProof/>
        </w:rPr>
      </w:pPr>
      <w:r>
        <w:rPr>
          <w:noProof/>
        </w:rPr>
        <w:t>Et teha kindlaks Brüsseli ja muude teenistuskohtade töötasude ostujõu suhe, arvutab Eurostat ostujõu pariteedid. Paranduskoefitsient saadakse ostujõu pariteedi jagamisel vahetuskursiga. Kasutatavad vahetuskursid kehtestatakse vastavalt ELi üldeelarve rakenduseeskirjadele ja need vastavad paranduskoefitsientide kohaldamise alguskuupäevale.</w:t>
      </w:r>
    </w:p>
    <w:p w14:paraId="21B2D30F" w14:textId="76E95B64" w:rsidR="00DA0187" w:rsidRDefault="00061F5E">
      <w:pPr>
        <w:pStyle w:val="Heading1"/>
        <w:rPr>
          <w:noProof/>
        </w:rPr>
      </w:pPr>
      <w:r>
        <w:rPr>
          <w:noProof/>
        </w:rPr>
        <w:t>ELi ametnike ja muude teenistujate töötasude ja pensionide ning nimetatud töötasude ja pensionide suhtes kohaldatavate paranduskoefitsientide ajakohastamised 2021. aastal</w:t>
      </w:r>
    </w:p>
    <w:p w14:paraId="64579F2B" w14:textId="43243E10" w:rsidR="00DA0187" w:rsidRDefault="00B54112">
      <w:pPr>
        <w:pStyle w:val="Text1"/>
        <w:rPr>
          <w:noProof/>
        </w:rPr>
      </w:pPr>
      <w:r>
        <w:rPr>
          <w:noProof/>
        </w:rPr>
        <w:t>Komisjon võtab teadmiseks ELi ametnike ja muude teenistujate töötasudes ja pensionides kooskõlas personalieeskirjade XI lisaga 12-kuulise vaatlusperioodi jooksul kuni 1. juulini 2021 tehtud eri ajakohastamised ja enne 2021. aasta lõppu tehtavad ajakohastamised. Need allpool punktis 4 loetletud ajakohastamised põhinevad statistilistel andmetel, mille Eurostat koostas kokkuleppel liikmesriikide statistikaametitega ja mis kajastavad liikmesriikide olukorda 1. juuli 2021. aasta seisuga</w:t>
      </w:r>
      <w:r>
        <w:rPr>
          <w:rStyle w:val="FootnoteReference"/>
          <w:noProof/>
        </w:rPr>
        <w:footnoteReference w:id="1"/>
      </w:r>
      <w:r>
        <w:rPr>
          <w:noProof/>
        </w:rPr>
        <w:t>.</w:t>
      </w:r>
    </w:p>
    <w:p w14:paraId="108221B8" w14:textId="53D7BA66" w:rsidR="00DA0187" w:rsidRDefault="003D4BBA" w:rsidP="003D4BBA">
      <w:pPr>
        <w:pStyle w:val="ManualHeading2"/>
        <w:rPr>
          <w:noProof/>
        </w:rPr>
      </w:pPr>
      <w:r w:rsidRPr="003D4BBA">
        <w:t>4.1.</w:t>
      </w:r>
      <w:r w:rsidRPr="003D4BBA">
        <w:tab/>
      </w:r>
      <w:r w:rsidR="00061F5E">
        <w:rPr>
          <w:noProof/>
        </w:rPr>
        <w:t>ELi ametnike ja muude teenistujate töötasude ja pensionide ajakohastamine 2021. aastal (personalieeskirjade artikli 65 lõike 1 teine lõik)</w:t>
      </w:r>
    </w:p>
    <w:p w14:paraId="6B54554D" w14:textId="77777777" w:rsidR="00DA0187" w:rsidRDefault="00B54112">
      <w:pPr>
        <w:pStyle w:val="Text1"/>
        <w:rPr>
          <w:noProof/>
        </w:rPr>
      </w:pPr>
      <w:r>
        <w:rPr>
          <w:noProof/>
        </w:rPr>
        <w:t>Vastavalt personalieeskirjade XI lisa artiklile 1 koostas Eurostat aruande, milles käsitletakse elukalliduse muutumist Belgias ja Luksemburgis, muutusi liikmesriikide riigiteenistujate töötasude ostujõus ning ostujõu pariteete, millel põhinevad paranduskoefitsiendid</w:t>
      </w:r>
      <w:r>
        <w:rPr>
          <w:rStyle w:val="FootnoteReference"/>
          <w:noProof/>
        </w:rPr>
        <w:footnoteReference w:id="2"/>
      </w:r>
      <w:r>
        <w:rPr>
          <w:noProof/>
        </w:rPr>
        <w:t>.</w:t>
      </w:r>
    </w:p>
    <w:p w14:paraId="1D59536D" w14:textId="369CD26F" w:rsidR="00DA0187" w:rsidRDefault="00B54112">
      <w:pPr>
        <w:pStyle w:val="Text1"/>
        <w:rPr>
          <w:noProof/>
        </w:rPr>
      </w:pPr>
      <w:r>
        <w:rPr>
          <w:noProof/>
        </w:rPr>
        <w:t>Erinäitajaga väljendatav liikmesriikide riigiteenistujate töötasude ostujõu keskmine muut</w:t>
      </w:r>
      <w:r w:rsidR="00A6441A">
        <w:rPr>
          <w:noProof/>
        </w:rPr>
        <w:t>us oli vaatlusperioodil -0,2 %.</w:t>
      </w:r>
    </w:p>
    <w:p w14:paraId="06E2382B" w14:textId="3F43258D" w:rsidR="00717A7B" w:rsidRDefault="00B54112" w:rsidP="00C67424">
      <w:pPr>
        <w:pStyle w:val="Text1"/>
        <w:rPr>
          <w:noProof/>
        </w:rPr>
      </w:pPr>
      <w:r>
        <w:rPr>
          <w:noProof/>
        </w:rPr>
        <w:t>Ühisindeksiga väljendatav, Eurostati arvutatud Belgia ja Luksemburgi elukalliduse muu</w:t>
      </w:r>
      <w:r w:rsidR="00A6441A">
        <w:rPr>
          <w:noProof/>
        </w:rPr>
        <w:t>tus oli võrdlusperioodil 2,1 %.</w:t>
      </w:r>
    </w:p>
    <w:p w14:paraId="2F918C9C" w14:textId="42105E68" w:rsidR="00DA0187" w:rsidRPr="00EC0EEF" w:rsidRDefault="00C67424" w:rsidP="00C67424">
      <w:pPr>
        <w:pStyle w:val="Text1"/>
        <w:rPr>
          <w:noProof/>
        </w:rPr>
      </w:pPr>
      <w:r>
        <w:rPr>
          <w:noProof/>
        </w:rPr>
        <w:t>Vastavalt personalieeskirjade XI lisa artikli 3 lõikele 2 saadakse ajakohastuse suurus Eurostati arvutatud erinäitaja korrutamisel Eurostati arvutatud ühisindeksiga. Seega on töötasude ja pensionide ajakohastus Belgias ja Luksemburgis 1,9 %. Personalieeskirjade XI lisa artikli 3 lõike 5 kohaselt Belgias ega Luksemburgis paranduskoefitsienti ei kohaldata.</w:t>
      </w:r>
    </w:p>
    <w:p w14:paraId="7DCBFEFB" w14:textId="500B80B5" w:rsidR="00DA0187" w:rsidRDefault="00B54112">
      <w:pPr>
        <w:pStyle w:val="Text1"/>
        <w:rPr>
          <w:noProof/>
        </w:rPr>
      </w:pPr>
      <w:r>
        <w:rPr>
          <w:noProof/>
        </w:rPr>
        <w:t>Üldine erinäitaja (– 0,2 %) jääb personalieeskirjade XI lisa artiklis 10 sät</w:t>
      </w:r>
      <w:r w:rsidR="00A6441A">
        <w:rPr>
          <w:noProof/>
        </w:rPr>
        <w:t>estatud vahemikku (ülempiir + 2 </w:t>
      </w:r>
      <w:r>
        <w:rPr>
          <w:noProof/>
        </w:rPr>
        <w:t xml:space="preserve">% </w:t>
      </w:r>
      <w:r w:rsidR="00A6441A">
        <w:rPr>
          <w:noProof/>
        </w:rPr>
        <w:t>ja alampiir – 2 </w:t>
      </w:r>
      <w:r>
        <w:rPr>
          <w:noProof/>
        </w:rPr>
        <w:t>%). Seepärast</w:t>
      </w:r>
      <w:r w:rsidR="00A6441A">
        <w:rPr>
          <w:noProof/>
        </w:rPr>
        <w:t xml:space="preserve"> mõõdukusklauslit ei kohaldata.</w:t>
      </w:r>
    </w:p>
    <w:p w14:paraId="1601D9DF" w14:textId="29E2F804" w:rsidR="002F6CAE" w:rsidRDefault="00C67424" w:rsidP="00C67424">
      <w:pPr>
        <w:pStyle w:val="Text1"/>
        <w:rPr>
          <w:noProof/>
        </w:rPr>
      </w:pPr>
      <w:r>
        <w:rPr>
          <w:noProof/>
        </w:rPr>
        <w:t>Kuna reaalse SKP muutuse prognoos on positiivne (+ 5 %),</w:t>
      </w:r>
      <w:r>
        <w:rPr>
          <w:rStyle w:val="FootnoteReference"/>
          <w:noProof/>
        </w:rPr>
        <w:footnoteReference w:id="3"/>
      </w:r>
      <w:r>
        <w:rPr>
          <w:noProof/>
        </w:rPr>
        <w:t xml:space="preserve"> siis personalieeskirjade XI lisa artikli 11 koha</w:t>
      </w:r>
      <w:r w:rsidR="00A6441A">
        <w:rPr>
          <w:noProof/>
        </w:rPr>
        <w:t>st erandiklauslit ei kohaldata.</w:t>
      </w:r>
    </w:p>
    <w:p w14:paraId="29993AC9" w14:textId="303DF5DC" w:rsidR="00B3727F" w:rsidRDefault="00F06C2C" w:rsidP="00B3727F">
      <w:pPr>
        <w:pStyle w:val="Text1"/>
        <w:rPr>
          <w:noProof/>
        </w:rPr>
      </w:pPr>
      <w:r>
        <w:rPr>
          <w:noProof/>
        </w:rPr>
        <w:t>Mis puutub erandiklausli alusel peatatud 2020. aasta er</w:t>
      </w:r>
      <w:r w:rsidR="00A6441A">
        <w:rPr>
          <w:noProof/>
        </w:rPr>
        <w:t>inäitaja (2,5 </w:t>
      </w:r>
      <w:r>
        <w:rPr>
          <w:noProof/>
        </w:rPr>
        <w:t>%) taastamist, siis Eurostati andmed näitavad, et võttes arvesse 2020. aas</w:t>
      </w:r>
      <w:r w:rsidR="00A6441A">
        <w:rPr>
          <w:noProof/>
        </w:rPr>
        <w:t>taks arvutatud SKP muutust –5,9 </w:t>
      </w:r>
      <w:r>
        <w:rPr>
          <w:noProof/>
        </w:rPr>
        <w:t>% ja 2021. aasta</w:t>
      </w:r>
      <w:r w:rsidR="00A6441A">
        <w:rPr>
          <w:noProof/>
        </w:rPr>
        <w:t>ks prognoositud SKP muutust + 5 </w:t>
      </w:r>
      <w:r>
        <w:rPr>
          <w:noProof/>
        </w:rPr>
        <w:t>%, on selge, et kumulatiivsest kogusummast ei piisa kriisieelse (st 2019. aasta) taseme saavutamiseks. Sellest lähtuvalt ei võe</w:t>
      </w:r>
      <w:r w:rsidR="00A6441A">
        <w:rPr>
          <w:noProof/>
        </w:rPr>
        <w:t>ta 2020. aasta erinäitajat (2,5 </w:t>
      </w:r>
      <w:r>
        <w:rPr>
          <w:noProof/>
        </w:rPr>
        <w:t>%) 2021. aasta iga-aastase ajakohastamise arvutamisel arvesse ning 2020. aastal kohaldatud erandiklausli mõju jääb samaks.</w:t>
      </w:r>
    </w:p>
    <w:p w14:paraId="7670EFA8" w14:textId="3FA6B9E0" w:rsidR="00732527" w:rsidRPr="00013154" w:rsidRDefault="00FF6A0E">
      <w:pPr>
        <w:pStyle w:val="Text1"/>
        <w:rPr>
          <w:noProof/>
        </w:rPr>
      </w:pPr>
      <w:r>
        <w:rPr>
          <w:noProof/>
        </w:rPr>
        <w:t>Eespool toodut silmas pidades on töötasude ja pensionide ajakohastus Belgi</w:t>
      </w:r>
      <w:r w:rsidR="00A6441A">
        <w:rPr>
          <w:noProof/>
        </w:rPr>
        <w:t>as ja Luksemburgis seega 1,9 %.</w:t>
      </w:r>
    </w:p>
    <w:p w14:paraId="65A6FA89" w14:textId="7F5A11B4" w:rsidR="00DA0187" w:rsidRDefault="00B54112" w:rsidP="00B3727F">
      <w:pPr>
        <w:pStyle w:val="Text1"/>
        <w:rPr>
          <w:noProof/>
        </w:rPr>
      </w:pPr>
      <w:r>
        <w:rPr>
          <w:noProof/>
        </w:rPr>
        <w:t>Seetõttu avaldab komisjon 2021. aasta lõpuks ELT C-seerias personalieeskirjade artikli 65 lõike 1 teises lõigus osutatud ajakohastatud summad, millega kohandatakse alates 1. juulist 2021 Euroopa Liidu ametnike ja muude teenistujate töötasusid ja pensioneid, nagu on näid</w:t>
      </w:r>
      <w:r w:rsidR="00A6441A">
        <w:rPr>
          <w:noProof/>
        </w:rPr>
        <w:t>atud käesoleva aruande I lisas.</w:t>
      </w:r>
    </w:p>
    <w:p w14:paraId="51E6595F" w14:textId="4AAFC2F9" w:rsidR="00DA0187" w:rsidRDefault="003D4BBA" w:rsidP="003D4BBA">
      <w:pPr>
        <w:pStyle w:val="ManualHeading2"/>
        <w:rPr>
          <w:noProof/>
        </w:rPr>
      </w:pPr>
      <w:r w:rsidRPr="003D4BBA">
        <w:t>4.2.</w:t>
      </w:r>
      <w:r w:rsidRPr="003D4BBA">
        <w:tab/>
      </w:r>
      <w:r w:rsidR="00061F5E">
        <w:rPr>
          <w:noProof/>
        </w:rPr>
        <w:t>ELis töötavate ELi ametnike ja muude teenistujate töötasude ja pensionide suhtes kohaldatavate paranduskoefitsientide ajakohastamine 2021. aastal (artikli 64 teine lõik)</w:t>
      </w:r>
    </w:p>
    <w:p w14:paraId="0CFF782B" w14:textId="77777777" w:rsidR="00DA0187" w:rsidRDefault="00B54112">
      <w:pPr>
        <w:pStyle w:val="Text1"/>
        <w:rPr>
          <w:noProof/>
        </w:rPr>
      </w:pPr>
      <w:r>
        <w:rPr>
          <w:noProof/>
        </w:rPr>
        <w:t>Vastavalt personalieeskirjade XI lisa artiklile 1 koostas Eurostat aruande, milles käsitletakse elukalliduse muutumist Belgias ja Luksemburgis, muutusi liikmesriikide riigiteenistujate töötasude ostujõus ning ostujõu pariteete, millel põhinevad paranduskoefitsiendid</w:t>
      </w:r>
      <w:r>
        <w:rPr>
          <w:rStyle w:val="FootnoteReference"/>
          <w:noProof/>
        </w:rPr>
        <w:footnoteReference w:id="4"/>
      </w:r>
      <w:r>
        <w:rPr>
          <w:noProof/>
        </w:rPr>
        <w:t>.</w:t>
      </w:r>
    </w:p>
    <w:p w14:paraId="3FB1B741" w14:textId="77777777" w:rsidR="00DA0187" w:rsidRDefault="00B54112">
      <w:pPr>
        <w:pStyle w:val="Text1"/>
        <w:rPr>
          <w:noProof/>
        </w:rPr>
      </w:pPr>
      <w:r>
        <w:rPr>
          <w:noProof/>
        </w:rPr>
        <w:t>Töötasude ja pensionide ajakohastamine väljaspool Belgiat ja Luksemburgi tuleneb Belgia ja Luksemburgi kohanduse ja paranduskoefitsientide ning vahetuskursi muutuse korrutisest.</w:t>
      </w:r>
    </w:p>
    <w:p w14:paraId="1FD003D8" w14:textId="77777777" w:rsidR="00DA0187" w:rsidRDefault="00B54112">
      <w:pPr>
        <w:pStyle w:val="Text1"/>
        <w:rPr>
          <w:noProof/>
        </w:rPr>
      </w:pPr>
      <w:r>
        <w:rPr>
          <w:noProof/>
        </w:rPr>
        <w:t>Töötasude, pensionide ja töötasude osalise ülekandmise suhtes kohaldatavad paranduskoefitsiendid arvutas Eurostat alljärgnevalt kirjeldatud viisil.</w:t>
      </w:r>
    </w:p>
    <w:p w14:paraId="0A303709" w14:textId="77777777" w:rsidR="00DA0187" w:rsidRDefault="00B54112">
      <w:pPr>
        <w:pStyle w:val="Heading3"/>
        <w:rPr>
          <w:noProof/>
        </w:rPr>
      </w:pPr>
      <w:r>
        <w:rPr>
          <w:noProof/>
        </w:rPr>
        <w:t>Paranduskoefitsiendid väljaspool Belgiat ja Luksemburgi teenivate töötajate jaoks</w:t>
      </w:r>
    </w:p>
    <w:p w14:paraId="76BC0545" w14:textId="6CA999A2" w:rsidR="00DA0187" w:rsidRDefault="00B54112">
      <w:pPr>
        <w:pStyle w:val="Text1"/>
        <w:rPr>
          <w:noProof/>
        </w:rPr>
      </w:pPr>
      <w:r>
        <w:rPr>
          <w:noProof/>
        </w:rPr>
        <w:t>Eurostat on kokkuleppel liikmesriikide statistikaametitega arvutanud välja ostujõu pariteedid, mille alusel tehakse kindlaks Brüsseli ja muude teenistuskohtade töötasude ostujõu suhe 1. juuli 2021. aasta seisuga.</w:t>
      </w:r>
    </w:p>
    <w:p w14:paraId="26232054" w14:textId="4177BB29" w:rsidR="00DA0187" w:rsidRDefault="00B54112">
      <w:pPr>
        <w:pStyle w:val="Text1"/>
        <w:rPr>
          <w:noProof/>
        </w:rPr>
      </w:pPr>
      <w:r>
        <w:rPr>
          <w:noProof/>
        </w:rPr>
        <w:t>Muudes liikmesriikides kui Belgia ja Luksemburg teenivate ametnike ja muude teenistujate töötasude suhtes kohaldatavad paranduskoefitsiendid määratakse nende ostujõu pariteetide ja 1. juulil 2021 kehtinud vahetuskursside suhte põhjal.</w:t>
      </w:r>
    </w:p>
    <w:p w14:paraId="2C9BFE86" w14:textId="29E41A61" w:rsidR="00952BBC" w:rsidRDefault="00952BBC" w:rsidP="00E871CD">
      <w:pPr>
        <w:pStyle w:val="Text1"/>
        <w:rPr>
          <w:noProof/>
        </w:rPr>
      </w:pPr>
      <w:r>
        <w:rPr>
          <w:noProof/>
        </w:rPr>
        <w:t>Riiklikult statistikaametilt ei ole Bonni kohta enam võimalik saada paranduskoefitsienti, mis vastavalt Euroopa võrdlusprogrammi metoodikale kehtestatakse muude Saksamaal asuvate teenistuskohtade (Berliin, Karlsruhe ja München) suhtes. Selliste usaldusväärsete andmete puudumisel kohaldatakse Bonnis töötava personali töötasude suhtes Saksamaa (</w:t>
      </w:r>
      <w:r w:rsidR="00A6441A">
        <w:rPr>
          <w:noProof/>
        </w:rPr>
        <w:t>Berliini) paranduskoefitsienti.</w:t>
      </w:r>
    </w:p>
    <w:p w14:paraId="77802382" w14:textId="28B275DA" w:rsidR="00DA0187" w:rsidRDefault="00CB1CD9">
      <w:pPr>
        <w:pStyle w:val="Text1"/>
        <w:rPr>
          <w:noProof/>
        </w:rPr>
      </w:pPr>
      <w:r>
        <w:rPr>
          <w:noProof/>
        </w:rPr>
        <w:t>Seetõttu avaldab komisjon 2021. aasta lõpuks ELT C-seerias paranduskoefitsiendid, mida kohaldatakse alates 1. juulist 2021 Euroopa Liidu ametnike ja muude teenistujate töötasude ja pensionide suhtes, nagu on näidatud käes</w:t>
      </w:r>
      <w:r w:rsidR="00A6441A">
        <w:rPr>
          <w:noProof/>
        </w:rPr>
        <w:t>oleva aruande I lisas.</w:t>
      </w:r>
    </w:p>
    <w:p w14:paraId="09DF2159" w14:textId="77777777" w:rsidR="00DA0187" w:rsidRDefault="00B54112">
      <w:pPr>
        <w:pStyle w:val="Heading3"/>
        <w:rPr>
          <w:noProof/>
        </w:rPr>
      </w:pPr>
      <w:r>
        <w:rPr>
          <w:noProof/>
        </w:rPr>
        <w:t>Pensionide paranduskoefitsiendid väljaspool Belgiat ja Luksemburgi ning ülekannete paranduskoefitsiendid</w:t>
      </w:r>
    </w:p>
    <w:p w14:paraId="500F1531" w14:textId="77143A09" w:rsidR="00DA0187" w:rsidRDefault="00B54112">
      <w:pPr>
        <w:pStyle w:val="Text1"/>
        <w:rPr>
          <w:noProof/>
        </w:rPr>
      </w:pPr>
      <w:r>
        <w:rPr>
          <w:noProof/>
        </w:rPr>
        <w:t>Eurostat on kokkuleppel liikmesriikide statistikaametitega arvutanud välja ostujõu pariteedid, mille alusel tehakse kindlaks Belgia ja muude elukohariikide pensionide ostujõu suhe 1. juuli 2021. aasta seisuga.</w:t>
      </w:r>
    </w:p>
    <w:p w14:paraId="6DACEC0A" w14:textId="5E0361CE" w:rsidR="00DA0187" w:rsidRDefault="00B54112">
      <w:pPr>
        <w:pStyle w:val="Text1"/>
        <w:rPr>
          <w:noProof/>
        </w:rPr>
      </w:pPr>
      <w:r>
        <w:rPr>
          <w:noProof/>
        </w:rPr>
        <w:t>Muudes riikides kui Belgia ja Luksemburg elavate isikute pensionide paranduskoefitsiendid määratakse nende ostujõu pariteetide ja 1. juulil 2021 kehtinud vahetuskursside suhte põhjal. Vastavalt personalieeskirjade XIII lisa artiklile 20 kohaldatakse neid paranduskoefitsiente ainult pensioni selle osa suhtes, mis vastab enne 1. maid 2004 omandatud pensioniõigustele.</w:t>
      </w:r>
    </w:p>
    <w:p w14:paraId="1DE82369" w14:textId="77777777" w:rsidR="00DA0187" w:rsidRDefault="00B54112">
      <w:pPr>
        <w:pStyle w:val="Text1"/>
        <w:rPr>
          <w:noProof/>
        </w:rPr>
      </w:pPr>
      <w:r>
        <w:rPr>
          <w:noProof/>
        </w:rPr>
        <w:t>Vastavalt personalieeskirjade VII lisa artiklile 17 on need paranduskoefitsiendid otseselt kohaldatavad ametnike ja muude teenistujate ülekannete suhtes.</w:t>
      </w:r>
    </w:p>
    <w:p w14:paraId="6DA33CA6" w14:textId="134FD821" w:rsidR="00DA0187" w:rsidRDefault="00B54112">
      <w:pPr>
        <w:pStyle w:val="Text1"/>
        <w:rPr>
          <w:noProof/>
        </w:rPr>
      </w:pPr>
      <w:r>
        <w:rPr>
          <w:noProof/>
        </w:rPr>
        <w:t>Seetõttu avaldab komisjon 2021. aasta lõpuks ELT C-seerias paranduskoefitsiendid, mida kohaldatakse alates 1. juulist 2021 väljaspool Belgiat ja Luksemburgi makstavate pensionide suhtes, ning Euroopa Liidu ametnike ja muude teenistujate ülekannete paranduskoefitsiendid, nagu on näid</w:t>
      </w:r>
      <w:r w:rsidR="00A6441A">
        <w:rPr>
          <w:noProof/>
        </w:rPr>
        <w:t>atud käesoleva aruande I lisas.</w:t>
      </w:r>
    </w:p>
    <w:p w14:paraId="2A5A8D6A" w14:textId="253DB0AE" w:rsidR="00DA0187" w:rsidRDefault="003D4BBA" w:rsidP="003D4BBA">
      <w:pPr>
        <w:pStyle w:val="ManualHeading2"/>
        <w:rPr>
          <w:noProof/>
        </w:rPr>
      </w:pPr>
      <w:r w:rsidRPr="003D4BBA">
        <w:t>4.3.</w:t>
      </w:r>
      <w:r w:rsidRPr="003D4BBA">
        <w:tab/>
      </w:r>
      <w:r w:rsidR="00061F5E">
        <w:rPr>
          <w:noProof/>
        </w:rPr>
        <w:t>Kolmandates riikides töötavate ELi ametnike ning ajutiste ja lepinguliste töötajate töötasude suhtes kohaldatavate paranduskoefitsientide ajakohastamine 2021. aastal (personalieeskirjade X lisa artikli 13 esimene lõik)</w:t>
      </w:r>
    </w:p>
    <w:p w14:paraId="6EEFDE91" w14:textId="62EBB0BC" w:rsidR="00DA0187" w:rsidRDefault="00B54112">
      <w:pPr>
        <w:pStyle w:val="Text1"/>
        <w:rPr>
          <w:noProof/>
        </w:rPr>
      </w:pPr>
      <w:r>
        <w:rPr>
          <w:noProof/>
        </w:rPr>
        <w:t>Komisjonile kättesaadav statistika hõlmas 141 teenistuskohta. Ostujõu pariteete ei esitatud, kui andmed ei olnud kohaliku ebastabiilsuse tõttu või muudel põhjustel kä</w:t>
      </w:r>
      <w:r w:rsidR="00A6441A">
        <w:rPr>
          <w:noProof/>
        </w:rPr>
        <w:t>ttesaadavad või usaldusväärsed.</w:t>
      </w:r>
    </w:p>
    <w:p w14:paraId="033A5053" w14:textId="3C4085FD" w:rsidR="00DA0187" w:rsidRDefault="00B54112">
      <w:pPr>
        <w:pStyle w:val="Text1"/>
        <w:rPr>
          <w:bCs/>
          <w:iCs/>
          <w:noProof/>
          <w:szCs w:val="28"/>
        </w:rPr>
      </w:pPr>
      <w:r>
        <w:rPr>
          <w:noProof/>
        </w:rPr>
        <w:t>Kõikide ELi-väliste teenistuskohtade paranduskoefitsiendid arvutati 1. juuli 2021. aasta seisuga. Iga-aastasel ajakohastamisel määratakse kindlaks paranduskoefitsiendid, mis põhinevad Eurostati esitatud ostujõu pariteetide</w:t>
      </w:r>
      <w:r w:rsidR="00A6441A">
        <w:rPr>
          <w:noProof/>
        </w:rPr>
        <w:t>l 1. juuli 2021. aasta seisuga.</w:t>
      </w:r>
    </w:p>
    <w:p w14:paraId="6F282623" w14:textId="57506D33" w:rsidR="00DA0187" w:rsidRDefault="002E2671">
      <w:pPr>
        <w:pStyle w:val="Text1"/>
        <w:rPr>
          <w:b/>
          <w:noProof/>
        </w:rPr>
      </w:pPr>
      <w:r>
        <w:rPr>
          <w:noProof/>
        </w:rPr>
        <w:t>Seetõttu avaldab komisjon 2021. aasta lõpuks ELT C-seerias paranduskoefitsiendid, mida kohaldatakse alates 1. juulist 2021 kolmandates riikides töötavate ELi ametnike ning ajutiste ja lepinguliste töötajate töötasude suhtes, nagu on näida</w:t>
      </w:r>
      <w:r w:rsidR="00A6441A">
        <w:rPr>
          <w:noProof/>
        </w:rPr>
        <w:t>tud käesoleva aruande II lisas.</w:t>
      </w:r>
    </w:p>
    <w:p w14:paraId="724C1070" w14:textId="1E0447A8" w:rsidR="00DA0187" w:rsidRDefault="003D4BBA" w:rsidP="003D4BBA">
      <w:pPr>
        <w:pStyle w:val="ManualHeading2"/>
        <w:rPr>
          <w:noProof/>
        </w:rPr>
      </w:pPr>
      <w:r w:rsidRPr="003D4BBA">
        <w:t>4.4.</w:t>
      </w:r>
      <w:r w:rsidRPr="003D4BBA">
        <w:tab/>
      </w:r>
      <w:r w:rsidR="00061F5E">
        <w:rPr>
          <w:noProof/>
        </w:rPr>
        <w:t xml:space="preserve">ELis töötavate ELi ametnike ja muude teenistujate töötasude ja pensionide vahepealne ajakohastamine 2021. aastal (personalieeskirjade artikli 65 lõige 2) </w:t>
      </w:r>
    </w:p>
    <w:p w14:paraId="6B1F960A" w14:textId="77777777" w:rsidR="00DA0187" w:rsidRDefault="00B54112">
      <w:pPr>
        <w:pStyle w:val="Text1"/>
        <w:rPr>
          <w:noProof/>
        </w:rPr>
      </w:pPr>
      <w:r>
        <w:rPr>
          <w:noProof/>
        </w:rPr>
        <w:t>Personalieeskirjade XI lisa artikli 4 kohaselt tuleb töötasusid ja pensioneid ajakohastada nendes kohtades, kus elukallidus on oluliselt muutunud.</w:t>
      </w:r>
    </w:p>
    <w:p w14:paraId="35CBF97D" w14:textId="3A703482" w:rsidR="00DA0187" w:rsidRPr="007906A5" w:rsidRDefault="00B54112">
      <w:pPr>
        <w:pStyle w:val="Text1"/>
        <w:rPr>
          <w:noProof/>
        </w:rPr>
      </w:pPr>
      <w:r>
        <w:rPr>
          <w:noProof/>
        </w:rPr>
        <w:t>Eurostat on kokkuleppel liikmesriikide statistikaametitega</w:t>
      </w:r>
      <w:r>
        <w:rPr>
          <w:rStyle w:val="FootnoteReference"/>
          <w:noProof/>
        </w:rPr>
        <w:footnoteReference w:id="5"/>
      </w:r>
      <w:r>
        <w:rPr>
          <w:noProof/>
        </w:rPr>
        <w:t xml:space="preserve"> välja arvutanud, et muutus Belgia ja Luksemburgi elukalliduses (mõõdetuna ühisindeksiga) oli ajavahemikul 2020. aasta juunist </w:t>
      </w:r>
      <w:r w:rsidR="00A6441A">
        <w:rPr>
          <w:noProof/>
        </w:rPr>
        <w:t>2020. aasta detsembrini +0,5 %.</w:t>
      </w:r>
    </w:p>
    <w:p w14:paraId="6D2F13FD" w14:textId="77777777" w:rsidR="00DA0187" w:rsidRPr="007906A5" w:rsidRDefault="00B54112">
      <w:pPr>
        <w:pStyle w:val="Text1"/>
        <w:rPr>
          <w:noProof/>
        </w:rPr>
      </w:pPr>
      <w:r>
        <w:rPr>
          <w:noProof/>
        </w:rPr>
        <w:t>Elukalliduse muutumist vaatlusperioodi jooksul muudes kohtades kui Belgia ja Luksemburg mõõdeti Eurostati</w:t>
      </w:r>
      <w:r>
        <w:rPr>
          <w:rStyle w:val="FootnoteReference"/>
          <w:noProof/>
        </w:rPr>
        <w:footnoteReference w:id="6"/>
      </w:r>
      <w:r>
        <w:rPr>
          <w:noProof/>
        </w:rPr>
        <w:t xml:space="preserve"> arvutatud kaudsete indeksite abil. Kõnealuste indeksite arvutamiseks korrutati ühisindeks ostujõu pariteedi muutusega.</w:t>
      </w:r>
    </w:p>
    <w:p w14:paraId="421EBA1C" w14:textId="61FB0006" w:rsidR="00DA0187" w:rsidRPr="007906A5" w:rsidRDefault="00B54112">
      <w:pPr>
        <w:pStyle w:val="Text1"/>
        <w:rPr>
          <w:noProof/>
        </w:rPr>
      </w:pPr>
      <w:r>
        <w:rPr>
          <w:noProof/>
        </w:rPr>
        <w:t>Elukalliduse olulise muutuse korral kohaldatav tundlikkuslävi on</w:t>
      </w:r>
      <w:r w:rsidR="00A6441A">
        <w:rPr>
          <w:noProof/>
        </w:rPr>
        <w:t xml:space="preserve"> 12-kuulise ajavahemiku puhul 6 </w:t>
      </w:r>
      <w:r>
        <w:rPr>
          <w:noProof/>
        </w:rPr>
        <w:t>% (</w:t>
      </w:r>
      <w:r w:rsidR="00A6441A">
        <w:rPr>
          <w:noProof/>
        </w:rPr>
        <w:t>kuuekuulise ajavahemiku puhul 3 </w:t>
      </w:r>
      <w:r>
        <w:rPr>
          <w:noProof/>
        </w:rPr>
        <w:t>%).</w:t>
      </w:r>
    </w:p>
    <w:p w14:paraId="2FD69EE9" w14:textId="152E1925" w:rsidR="00AD699C" w:rsidRDefault="00AD699C" w:rsidP="00AD699C">
      <w:pPr>
        <w:pStyle w:val="Text1"/>
        <w:rPr>
          <w:noProof/>
        </w:rPr>
      </w:pPr>
      <w:r>
        <w:rPr>
          <w:noProof/>
        </w:rPr>
        <w:t>Kuna vaatlusperioodi (2020. aasta juuni – 2020. aasta detsember) ühisindeks oli 100,5 (st + 0,5 %), jäi kõnealune muutus kin</w:t>
      </w:r>
      <w:r w:rsidR="00A6441A">
        <w:rPr>
          <w:noProof/>
        </w:rPr>
        <w:t>dlaksmääratud piiridesse (± 3,0 </w:t>
      </w:r>
      <w:r>
        <w:rPr>
          <w:noProof/>
        </w:rPr>
        <w:t>%). Seetõttu ei olnud vajadust Belgias ja Luksemburgis töötavate ELi ametnike nominaalsete töötasude ja pensionide vahepealseks ajakohastamiseks.</w:t>
      </w:r>
    </w:p>
    <w:p w14:paraId="70D0959E" w14:textId="0A4560AD" w:rsidR="00656E3C" w:rsidRDefault="00931799" w:rsidP="00931799">
      <w:pPr>
        <w:pStyle w:val="Text1"/>
        <w:rPr>
          <w:noProof/>
        </w:rPr>
      </w:pPr>
      <w:r>
        <w:rPr>
          <w:noProof/>
        </w:rPr>
        <w:t>Paranduskoefitsiendid on asjakohase ostujõu pariteedi ja vastava vahetuskursi vaheline suhe, mis juhul, kui tundlikkusläve ei ole Brüsselis ja Luxembourgis saavutatud, korrutatakse v</w:t>
      </w:r>
      <w:r w:rsidR="00A6441A">
        <w:rPr>
          <w:noProof/>
        </w:rPr>
        <w:t>ahepealse ajakohastuse summaga.</w:t>
      </w:r>
    </w:p>
    <w:p w14:paraId="0D08C22B" w14:textId="77777777" w:rsidR="00AD699C" w:rsidRDefault="00AD699C" w:rsidP="00AD699C">
      <w:pPr>
        <w:pStyle w:val="Text1"/>
        <w:rPr>
          <w:noProof/>
        </w:rPr>
      </w:pPr>
      <w:r>
        <w:rPr>
          <w:noProof/>
        </w:rPr>
        <w:t>Eurostat on kokkuleppel liikmesriikide statistikaametitega</w:t>
      </w:r>
      <w:r>
        <w:rPr>
          <w:rStyle w:val="FootnoteReference"/>
          <w:noProof/>
        </w:rPr>
        <w:footnoteReference w:id="7"/>
      </w:r>
      <w:r>
        <w:rPr>
          <w:noProof/>
        </w:rPr>
        <w:t xml:space="preserve"> välja arvutanud, et ühegi ELis asuva teenistuskoha kaudne hinnaindeks ei ületa kõnealuseks perioodiks kindlaks määratud läve. Seetõttu ei olnud vajadust Euroopa Liidu ametnike ja muude teenistujate töötasude suhtes kohaldatavate paranduskoefitsientide vahepealseks ajakohastamiseks.</w:t>
      </w:r>
    </w:p>
    <w:p w14:paraId="240D912A" w14:textId="5F027D03" w:rsidR="00AD699C" w:rsidRDefault="00AD699C" w:rsidP="00AD699C">
      <w:pPr>
        <w:pStyle w:val="Text1"/>
        <w:rPr>
          <w:noProof/>
        </w:rPr>
      </w:pPr>
      <w:r>
        <w:rPr>
          <w:noProof/>
        </w:rPr>
        <w:t>Samuti on Eurostat kokkuleppel liikmesriikide statistikaametitega</w:t>
      </w:r>
      <w:r>
        <w:rPr>
          <w:rStyle w:val="FootnoteReference"/>
          <w:noProof/>
        </w:rPr>
        <w:footnoteReference w:id="8"/>
      </w:r>
      <w:r>
        <w:rPr>
          <w:noProof/>
        </w:rPr>
        <w:t xml:space="preserve"> välja arvutanud, et ühegi ELi liikmesriigi kaudne hinnaindeks ei ületa kõnealuseks perioodiks kindlaks määratud läve. Seetõttu ei olnud vajadust nendes riikides makstavate pensionide puhul Eurostati arvutatavate paranduskoefitsientide</w:t>
      </w:r>
      <w:r w:rsidR="00A6441A">
        <w:rPr>
          <w:noProof/>
        </w:rPr>
        <w:t xml:space="preserve"> vahepealseks ajakohastamiseks.</w:t>
      </w:r>
    </w:p>
    <w:p w14:paraId="0139C67B" w14:textId="6833D458" w:rsidR="00DA0187" w:rsidRPr="00A160EF" w:rsidRDefault="007E0ECF" w:rsidP="00A160EF">
      <w:pPr>
        <w:pStyle w:val="Text1"/>
        <w:rPr>
          <w:noProof/>
        </w:rPr>
      </w:pPr>
      <w:r>
        <w:rPr>
          <w:noProof/>
        </w:rPr>
        <w:t>Seetõttu ei olnud komisjonil vaja ELis töötavate ELi ametnike ja muude teenistujate töötasude ja pensionide suhtes alates 1. jaanuarist 2021 kohaldatavate paranduskoefitsientide vahepealset ajakoha</w:t>
      </w:r>
      <w:r w:rsidR="00A6441A">
        <w:rPr>
          <w:noProof/>
        </w:rPr>
        <w:t>stamist ELT C-seerias avaldada.</w:t>
      </w:r>
    </w:p>
    <w:p w14:paraId="207FFE8E" w14:textId="57922E3A" w:rsidR="00DA0187" w:rsidRDefault="003D4BBA" w:rsidP="003D4BBA">
      <w:pPr>
        <w:pStyle w:val="ManualHeading2"/>
        <w:rPr>
          <w:noProof/>
        </w:rPr>
      </w:pPr>
      <w:r w:rsidRPr="003D4BBA">
        <w:t>4.5.</w:t>
      </w:r>
      <w:r w:rsidRPr="003D4BBA">
        <w:tab/>
      </w:r>
      <w:r w:rsidR="00061F5E">
        <w:rPr>
          <w:noProof/>
        </w:rPr>
        <w:t>Kolmandates riikides töötavate ELi ametnike ning ajutiste ja lepinguliste töötajate töötasude suhtes kohaldatavate paranduskoefitsientide vahepealne ajakohastamine 2021. aastal (personalieeskirjade X lisa artikli 13 teine lõik)</w:t>
      </w:r>
    </w:p>
    <w:p w14:paraId="695544F5" w14:textId="43CEFEB8" w:rsidR="00DA0187" w:rsidRDefault="00B54112">
      <w:pPr>
        <w:pStyle w:val="Heading3"/>
        <w:rPr>
          <w:noProof/>
        </w:rPr>
      </w:pPr>
      <w:r>
        <w:rPr>
          <w:noProof/>
        </w:rPr>
        <w:t>Periood alates 2020. aasta augustist 2021. aasta jaanuarini</w:t>
      </w:r>
    </w:p>
    <w:p w14:paraId="07435944" w14:textId="14C95500" w:rsidR="00DA0187" w:rsidRDefault="00B54112">
      <w:pPr>
        <w:pStyle w:val="Text1"/>
        <w:rPr>
          <w:noProof/>
        </w:rPr>
      </w:pPr>
      <w:r>
        <w:rPr>
          <w:noProof/>
        </w:rPr>
        <w:t>Komisjonile kättesaadav statistika</w:t>
      </w:r>
      <w:r>
        <w:rPr>
          <w:rStyle w:val="FootnoteReference"/>
          <w:noProof/>
        </w:rPr>
        <w:footnoteReference w:id="9"/>
      </w:r>
      <w:r>
        <w:rPr>
          <w:noProof/>
        </w:rPr>
        <w:t xml:space="preserve"> näitas, et teatavate kolmandate riikide puhul oli paranduskoefitsiendi ja vastava vahetuskursi alusel mõõdetud elukalliduse muutus alates kolmandates riikides töötavatele Euroopa Liidu ametnikele ning ajutistele ja lepingulistele töötajatele teenistuskoha riigi vääringus makstavate töötasude suhtes kohaldatavate paranduskoefitsientide viimasest kehtestamisest, st alate</w:t>
      </w:r>
      <w:r w:rsidR="00A6441A">
        <w:rPr>
          <w:noProof/>
        </w:rPr>
        <w:t>s 1. juulist 2020, suurem kui 5 %.</w:t>
      </w:r>
    </w:p>
    <w:p w14:paraId="3DC430DD" w14:textId="5C85955F" w:rsidR="00DA0187" w:rsidRDefault="00B54112">
      <w:pPr>
        <w:pStyle w:val="Text1"/>
        <w:rPr>
          <w:noProof/>
        </w:rPr>
      </w:pPr>
      <w:r>
        <w:rPr>
          <w:noProof/>
        </w:rPr>
        <w:t>Personalieeskirjade X lisa artikli 13 teise lõigu kohaselt tehakse sellisel juhul paranduskoefitsiendi vahepealne ajakohastamine personalieeskirj</w:t>
      </w:r>
      <w:r w:rsidR="00A6441A">
        <w:rPr>
          <w:noProof/>
        </w:rPr>
        <w:t>ade XI lisas sätestatud korras.</w:t>
      </w:r>
    </w:p>
    <w:p w14:paraId="2A9359BD" w14:textId="67A630CA" w:rsidR="00DA0187" w:rsidRDefault="00B54112">
      <w:pPr>
        <w:pStyle w:val="Text1"/>
        <w:rPr>
          <w:noProof/>
        </w:rPr>
      </w:pPr>
      <w:r>
        <w:rPr>
          <w:noProof/>
        </w:rPr>
        <w:t>Vahepealsel ajakohastamisel esitati Eurostati arvutatud ostujõu pariteedid ja nendest tulenevad paranduskoefitsiendid vastavalt seisuga 1. august, 1. september, 1. oktoober, 1. november, 1. det</w:t>
      </w:r>
      <w:r w:rsidR="00A6441A">
        <w:rPr>
          <w:noProof/>
        </w:rPr>
        <w:t>sember 2020 ja 1. jaanuar 2021.</w:t>
      </w:r>
    </w:p>
    <w:p w14:paraId="328182FE" w14:textId="6EF28C63" w:rsidR="00DA0187" w:rsidRPr="004360E6" w:rsidRDefault="00B54112" w:rsidP="004360E6">
      <w:pPr>
        <w:pStyle w:val="Text1"/>
        <w:rPr>
          <w:noProof/>
        </w:rPr>
      </w:pPr>
      <w:r>
        <w:rPr>
          <w:noProof/>
        </w:rPr>
        <w:t>Seetõttu avaldas komisjon 25. juunil 2021 ELT C-seerias kuus tabelit, millest igaühes käsitletakse üht kuud ning täpsustatakse asjaomased riigid, vastavad paranduskoefitsiendid ja nende kohaldamise kuupäevad</w:t>
      </w:r>
      <w:r>
        <w:rPr>
          <w:rStyle w:val="FootnoteReference"/>
          <w:noProof/>
        </w:rPr>
        <w:footnoteReference w:id="10"/>
      </w:r>
      <w:r>
        <w:rPr>
          <w:noProof/>
        </w:rPr>
        <w:t xml:space="preserve"> (vt käesoleva aruande VI lisa).</w:t>
      </w:r>
    </w:p>
    <w:p w14:paraId="2D8B1D5F" w14:textId="349831C9" w:rsidR="00DA0187" w:rsidRDefault="002E2671">
      <w:pPr>
        <w:pStyle w:val="Heading3"/>
        <w:rPr>
          <w:noProof/>
        </w:rPr>
      </w:pPr>
      <w:r>
        <w:rPr>
          <w:noProof/>
        </w:rPr>
        <w:t>Periood alates 2021. aasta veebruarist 2021. aasta juunini</w:t>
      </w:r>
    </w:p>
    <w:p w14:paraId="4CF289D9" w14:textId="591A59F4" w:rsidR="00DA0187" w:rsidRDefault="00B54112">
      <w:pPr>
        <w:pStyle w:val="Text1"/>
        <w:rPr>
          <w:noProof/>
        </w:rPr>
      </w:pPr>
      <w:r>
        <w:rPr>
          <w:noProof/>
        </w:rPr>
        <w:t>Komisjonile kättesaadav statistika</w:t>
      </w:r>
      <w:r>
        <w:rPr>
          <w:rStyle w:val="FootnoteReference"/>
          <w:noProof/>
        </w:rPr>
        <w:footnoteReference w:id="11"/>
      </w:r>
      <w:r>
        <w:rPr>
          <w:noProof/>
        </w:rPr>
        <w:t xml:space="preserve"> näitab, et teatavate kolmandate riikide puhul on paranduskoefitsiendi ja vastava vahetuskursi alusel mõõdetud elukalliduse muutus alates kolmandates riikides töötavatele ELi ametnikele ning ajutistele ja lepingulistele töötajatele teenistuskoha riigi vääringus makstavate töötasude suhtes kohaldatavate paranduskoefitsientide viimas</w:t>
      </w:r>
      <w:r w:rsidR="00A6441A">
        <w:rPr>
          <w:noProof/>
        </w:rPr>
        <w:t>est kehtestamisest suurem kui 5 </w:t>
      </w:r>
      <w:r>
        <w:rPr>
          <w:noProof/>
        </w:rPr>
        <w:t>%.</w:t>
      </w:r>
    </w:p>
    <w:p w14:paraId="0F9F167D" w14:textId="58965B89" w:rsidR="00DA0187" w:rsidRDefault="00B54112">
      <w:pPr>
        <w:pStyle w:val="Text1"/>
        <w:rPr>
          <w:noProof/>
        </w:rPr>
      </w:pPr>
      <w:r>
        <w:rPr>
          <w:noProof/>
        </w:rPr>
        <w:t>Personalieeskirjade X lisa artikli 13 teise lõigu kohaselt tehakse sellisel juhul paranduskoefitsiendi vahepealne ajakohastamine personalieeskirj</w:t>
      </w:r>
      <w:r w:rsidR="00A6441A">
        <w:rPr>
          <w:noProof/>
        </w:rPr>
        <w:t>ade XI lisas sätestatud korras.</w:t>
      </w:r>
    </w:p>
    <w:p w14:paraId="652E65EA" w14:textId="0BA419FB" w:rsidR="00DA0187" w:rsidRDefault="00B54112">
      <w:pPr>
        <w:pStyle w:val="Text1"/>
        <w:rPr>
          <w:noProof/>
        </w:rPr>
      </w:pPr>
      <w:r>
        <w:rPr>
          <w:noProof/>
        </w:rPr>
        <w:t>Vahepealsel ajakohastamisel määrati kindlaks paranduskoefitsiendid, mis põhinevad Eurostati esitatud ostujõu pariteetidel vastavalt 1. veebruari, 1. märtsi, 1. aprilli, 1. mai ja 1. juuni 20</w:t>
      </w:r>
      <w:r w:rsidR="00A6441A">
        <w:rPr>
          <w:noProof/>
        </w:rPr>
        <w:t>21. aasta seisuga.</w:t>
      </w:r>
    </w:p>
    <w:p w14:paraId="4008BE2A" w14:textId="3605883D" w:rsidR="00DA0187" w:rsidRDefault="008764B4">
      <w:pPr>
        <w:pStyle w:val="Text1"/>
        <w:rPr>
          <w:b/>
          <w:noProof/>
        </w:rPr>
      </w:pPr>
      <w:r>
        <w:rPr>
          <w:noProof/>
        </w:rPr>
        <w:t>Seetõttu avaldab komisjon 2021. aasta lõpuks ELT C-seerias viis tabelit, millest igaühes käsitletakse üht kuud ning täpsustatakse asjaomased riigid, vastavad paranduskoefitsiendid ja nende kohaldamise kuupäevad, nagu on näidatud käesoleva aruande III lisas</w:t>
      </w:r>
      <w:r w:rsidR="00A6441A">
        <w:rPr>
          <w:noProof/>
        </w:rPr>
        <w:t>.</w:t>
      </w:r>
    </w:p>
    <w:p w14:paraId="2A742A46" w14:textId="77777777" w:rsidR="00DA0187" w:rsidRDefault="00B54112">
      <w:pPr>
        <w:pStyle w:val="Heading1"/>
        <w:rPr>
          <w:noProof/>
        </w:rPr>
      </w:pPr>
      <w:r>
        <w:rPr>
          <w:noProof/>
        </w:rPr>
        <w:t>ELi ametnike ja muude teenistujate töötasude ja pensionide ning nimetatud töötasude ja pensionide suhtes kohaldatavate paranduskoefitsientide mõju eelarvele</w:t>
      </w:r>
    </w:p>
    <w:p w14:paraId="4586912D" w14:textId="15814A86" w:rsidR="00DA0187" w:rsidRDefault="00B54112">
      <w:pPr>
        <w:pStyle w:val="Text1"/>
        <w:rPr>
          <w:noProof/>
        </w:rPr>
      </w:pPr>
      <w:r>
        <w:rPr>
          <w:noProof/>
        </w:rPr>
        <w:t>Käesolevas jaos esitatakse üksikasjalik prognoos ELi töötajate töötasude ja pensionide 2021. aasta ajakohastamise mõju kohta eelarvele.</w:t>
      </w:r>
    </w:p>
    <w:p w14:paraId="567C4BB4" w14:textId="7BE69294" w:rsidR="00DA0187" w:rsidRDefault="003D4BBA" w:rsidP="003D4BBA">
      <w:pPr>
        <w:pStyle w:val="ManualHeading2"/>
        <w:rPr>
          <w:noProof/>
        </w:rPr>
      </w:pPr>
      <w:r w:rsidRPr="003D4BBA">
        <w:t>5.1.</w:t>
      </w:r>
      <w:r w:rsidRPr="003D4BBA">
        <w:tab/>
      </w:r>
      <w:r w:rsidR="00061F5E">
        <w:rPr>
          <w:noProof/>
        </w:rPr>
        <w:t>ELi ametnike ja muude teenistujate töötasude ja pensionide ajakohastamine 2021. aastal (personalieeskirjade artikli 65 lõike 1 teine lõik)</w:t>
      </w:r>
    </w:p>
    <w:p w14:paraId="797128DB" w14:textId="77777777" w:rsidR="00DA0187" w:rsidRDefault="00B54112">
      <w:pPr>
        <w:pStyle w:val="Text1"/>
        <w:rPr>
          <w:noProof/>
        </w:rPr>
      </w:pPr>
      <w:r>
        <w:rPr>
          <w:noProof/>
        </w:rPr>
        <w:t>Personalieeskirjade artikli 65 lõike 1 teises lõigus osutatud summade ajakohastamisel on finantsmõju kõigile eelarveridadele, mis on seotud töötajate kuludega kõigis institutsioonides ja asutustes.</w:t>
      </w:r>
    </w:p>
    <w:p w14:paraId="05394C0E" w14:textId="77777777" w:rsidR="001F6127" w:rsidRDefault="001F6127">
      <w:pPr>
        <w:pStyle w:val="Text1"/>
        <w:rPr>
          <w:noProof/>
        </w:rPr>
      </w:pPr>
    </w:p>
    <w:p w14:paraId="0227572F" w14:textId="77777777" w:rsidR="00DA0187" w:rsidRDefault="00B54112">
      <w:pPr>
        <w:spacing w:before="120" w:after="120" w:line="240" w:lineRule="auto"/>
        <w:ind w:left="5040" w:firstLine="720"/>
        <w:jc w:val="center"/>
        <w:rPr>
          <w:rFonts w:ascii="Times New Roman" w:eastAsia="Times New Roman" w:hAnsi="Times New Roman" w:cs="Times New Roman"/>
          <w:i/>
          <w:noProof/>
          <w:sz w:val="20"/>
          <w:szCs w:val="20"/>
        </w:rPr>
      </w:pPr>
      <w:r>
        <w:rPr>
          <w:rFonts w:ascii="Times New Roman" w:hAnsi="Times New Roman"/>
          <w:noProof/>
          <w:sz w:val="20"/>
          <w:szCs w:val="20"/>
        </w:rPr>
        <w:t xml:space="preserve">Miljonites eurodes </w:t>
      </w:r>
    </w:p>
    <w:tbl>
      <w:tblPr>
        <w:tblStyle w:val="TableGrid"/>
        <w:tblW w:w="0" w:type="auto"/>
        <w:tblInd w:w="850" w:type="dxa"/>
        <w:tblLayout w:type="fixed"/>
        <w:tblLook w:val="04A0" w:firstRow="1" w:lastRow="0" w:firstColumn="1" w:lastColumn="0" w:noHBand="0" w:noVBand="1"/>
      </w:tblPr>
      <w:tblGrid>
        <w:gridCol w:w="2415"/>
        <w:gridCol w:w="1004"/>
        <w:gridCol w:w="1004"/>
        <w:gridCol w:w="1004"/>
        <w:gridCol w:w="1004"/>
        <w:gridCol w:w="1004"/>
        <w:gridCol w:w="1004"/>
      </w:tblGrid>
      <w:tr w:rsidR="00DA0187" w14:paraId="1941E6F5" w14:textId="77777777">
        <w:trPr>
          <w:trHeight w:val="548"/>
        </w:trPr>
        <w:tc>
          <w:tcPr>
            <w:tcW w:w="2415" w:type="dxa"/>
            <w:tcBorders>
              <w:top w:val="nil"/>
              <w:left w:val="nil"/>
              <w:bottom w:val="nil"/>
            </w:tcBorders>
            <w:vAlign w:val="center"/>
          </w:tcPr>
          <w:p w14:paraId="3A484BFD" w14:textId="77777777" w:rsidR="00DA0187" w:rsidRDefault="00DA0187">
            <w:pPr>
              <w:pStyle w:val="Text1"/>
              <w:ind w:left="0"/>
              <w:jc w:val="center"/>
              <w:rPr>
                <w:noProof/>
              </w:rPr>
            </w:pPr>
          </w:p>
        </w:tc>
        <w:tc>
          <w:tcPr>
            <w:tcW w:w="3012" w:type="dxa"/>
            <w:gridSpan w:val="3"/>
            <w:shd w:val="clear" w:color="auto" w:fill="D9D9D9" w:themeFill="background1" w:themeFillShade="D9"/>
            <w:vAlign w:val="center"/>
          </w:tcPr>
          <w:p w14:paraId="0297FF4F" w14:textId="77777777" w:rsidR="00DA0187" w:rsidRDefault="00B54112">
            <w:pPr>
              <w:pStyle w:val="Text1"/>
              <w:ind w:left="0"/>
              <w:jc w:val="center"/>
              <w:rPr>
                <w:noProof/>
              </w:rPr>
            </w:pPr>
            <w:r>
              <w:rPr>
                <w:noProof/>
              </w:rPr>
              <w:t>Rubriik 7</w:t>
            </w:r>
            <w:r>
              <w:rPr>
                <w:rStyle w:val="FootnoteReference"/>
                <w:noProof/>
              </w:rPr>
              <w:footnoteReference w:id="12"/>
            </w:r>
          </w:p>
        </w:tc>
        <w:tc>
          <w:tcPr>
            <w:tcW w:w="3012" w:type="dxa"/>
            <w:gridSpan w:val="3"/>
            <w:shd w:val="clear" w:color="auto" w:fill="D9D9D9" w:themeFill="background1" w:themeFillShade="D9"/>
            <w:vAlign w:val="center"/>
          </w:tcPr>
          <w:p w14:paraId="1C2A2E60" w14:textId="77777777" w:rsidR="00DA0187" w:rsidRDefault="00B54112">
            <w:pPr>
              <w:pStyle w:val="Text1"/>
              <w:ind w:left="0"/>
              <w:jc w:val="center"/>
              <w:rPr>
                <w:noProof/>
              </w:rPr>
            </w:pPr>
            <w:r>
              <w:rPr>
                <w:noProof/>
              </w:rPr>
              <w:t>Muud rubriigid (1–6)</w:t>
            </w:r>
          </w:p>
        </w:tc>
      </w:tr>
      <w:tr w:rsidR="00DA0187" w14:paraId="12C142CD" w14:textId="77777777">
        <w:trPr>
          <w:trHeight w:val="816"/>
        </w:trPr>
        <w:tc>
          <w:tcPr>
            <w:tcW w:w="2415" w:type="dxa"/>
            <w:tcBorders>
              <w:top w:val="nil"/>
              <w:left w:val="nil"/>
            </w:tcBorders>
            <w:vAlign w:val="center"/>
          </w:tcPr>
          <w:p w14:paraId="1045F376" w14:textId="77777777" w:rsidR="00DA0187" w:rsidRPr="00AE12B6" w:rsidRDefault="00DA0187">
            <w:pPr>
              <w:pStyle w:val="Text1"/>
              <w:ind w:left="0"/>
              <w:jc w:val="center"/>
              <w:rPr>
                <w:noProof/>
              </w:rPr>
            </w:pPr>
          </w:p>
        </w:tc>
        <w:tc>
          <w:tcPr>
            <w:tcW w:w="1004" w:type="dxa"/>
            <w:vAlign w:val="center"/>
          </w:tcPr>
          <w:p w14:paraId="6699C105" w14:textId="4D6EC0D9" w:rsidR="00DA0187" w:rsidRPr="00AE12B6" w:rsidRDefault="000C0457" w:rsidP="00761E7A">
            <w:pPr>
              <w:pStyle w:val="Text1"/>
              <w:ind w:left="0"/>
              <w:jc w:val="center"/>
              <w:rPr>
                <w:i/>
                <w:noProof/>
              </w:rPr>
            </w:pPr>
            <w:r>
              <w:rPr>
                <w:i/>
                <w:noProof/>
              </w:rPr>
              <w:t>Aasta</w:t>
            </w:r>
            <w:r>
              <w:rPr>
                <w:noProof/>
              </w:rPr>
              <w:t xml:space="preserve"> </w:t>
            </w:r>
            <w:r>
              <w:rPr>
                <w:noProof/>
              </w:rPr>
              <w:br/>
            </w:r>
            <w:r>
              <w:rPr>
                <w:i/>
                <w:noProof/>
              </w:rPr>
              <w:t>2021</w:t>
            </w:r>
          </w:p>
        </w:tc>
        <w:tc>
          <w:tcPr>
            <w:tcW w:w="1004" w:type="dxa"/>
            <w:vAlign w:val="center"/>
          </w:tcPr>
          <w:p w14:paraId="338EBDC6" w14:textId="2CE93620" w:rsidR="00DA0187" w:rsidRPr="00AE12B6" w:rsidRDefault="00B54112" w:rsidP="00761E7A">
            <w:pPr>
              <w:pStyle w:val="Text1"/>
              <w:ind w:left="0"/>
              <w:jc w:val="center"/>
              <w:rPr>
                <w:i/>
                <w:noProof/>
              </w:rPr>
            </w:pPr>
            <w:r>
              <w:rPr>
                <w:i/>
                <w:noProof/>
              </w:rPr>
              <w:t>Aasta</w:t>
            </w:r>
            <w:r>
              <w:rPr>
                <w:noProof/>
              </w:rPr>
              <w:t xml:space="preserve"> </w:t>
            </w:r>
            <w:r>
              <w:rPr>
                <w:noProof/>
              </w:rPr>
              <w:br/>
            </w:r>
            <w:r>
              <w:rPr>
                <w:i/>
                <w:noProof/>
              </w:rPr>
              <w:t>2022</w:t>
            </w:r>
          </w:p>
        </w:tc>
        <w:tc>
          <w:tcPr>
            <w:tcW w:w="1004" w:type="dxa"/>
            <w:vAlign w:val="center"/>
          </w:tcPr>
          <w:p w14:paraId="0613306C" w14:textId="77777777" w:rsidR="00DA0187" w:rsidRPr="00AE12B6" w:rsidRDefault="00B54112">
            <w:pPr>
              <w:pStyle w:val="Text1"/>
              <w:ind w:left="0"/>
              <w:jc w:val="center"/>
              <w:rPr>
                <w:i/>
                <w:noProof/>
                <w:sz w:val="16"/>
              </w:rPr>
            </w:pPr>
            <w:r>
              <w:rPr>
                <w:i/>
                <w:noProof/>
                <w:sz w:val="16"/>
              </w:rPr>
              <w:t>Järgnevad aastad</w:t>
            </w:r>
          </w:p>
        </w:tc>
        <w:tc>
          <w:tcPr>
            <w:tcW w:w="1004" w:type="dxa"/>
            <w:vAlign w:val="center"/>
          </w:tcPr>
          <w:p w14:paraId="29354A65" w14:textId="46EE15B3" w:rsidR="00DA0187" w:rsidRPr="00AE12B6" w:rsidRDefault="00B54112" w:rsidP="00761E7A">
            <w:pPr>
              <w:pStyle w:val="Text1"/>
              <w:ind w:left="0"/>
              <w:jc w:val="center"/>
              <w:rPr>
                <w:i/>
                <w:noProof/>
              </w:rPr>
            </w:pPr>
            <w:r>
              <w:rPr>
                <w:i/>
                <w:noProof/>
              </w:rPr>
              <w:t>Aasta</w:t>
            </w:r>
            <w:r>
              <w:rPr>
                <w:noProof/>
              </w:rPr>
              <w:t xml:space="preserve"> </w:t>
            </w:r>
            <w:r>
              <w:rPr>
                <w:noProof/>
              </w:rPr>
              <w:br/>
            </w:r>
            <w:r>
              <w:rPr>
                <w:i/>
                <w:noProof/>
              </w:rPr>
              <w:t>2021</w:t>
            </w:r>
          </w:p>
        </w:tc>
        <w:tc>
          <w:tcPr>
            <w:tcW w:w="1004" w:type="dxa"/>
            <w:vAlign w:val="center"/>
          </w:tcPr>
          <w:p w14:paraId="7C73D024" w14:textId="36C3446D" w:rsidR="00DA0187" w:rsidRPr="00AE12B6" w:rsidRDefault="00B54112" w:rsidP="00761E7A">
            <w:pPr>
              <w:pStyle w:val="Text1"/>
              <w:ind w:left="0"/>
              <w:jc w:val="center"/>
              <w:rPr>
                <w:i/>
                <w:noProof/>
              </w:rPr>
            </w:pPr>
            <w:r>
              <w:rPr>
                <w:i/>
                <w:noProof/>
              </w:rPr>
              <w:t>Aasta</w:t>
            </w:r>
            <w:r>
              <w:rPr>
                <w:noProof/>
              </w:rPr>
              <w:t xml:space="preserve"> </w:t>
            </w:r>
            <w:r>
              <w:rPr>
                <w:noProof/>
              </w:rPr>
              <w:br/>
            </w:r>
            <w:r>
              <w:rPr>
                <w:i/>
                <w:noProof/>
              </w:rPr>
              <w:t>2022</w:t>
            </w:r>
          </w:p>
        </w:tc>
        <w:tc>
          <w:tcPr>
            <w:tcW w:w="1004" w:type="dxa"/>
            <w:vAlign w:val="center"/>
          </w:tcPr>
          <w:p w14:paraId="0204F1EA" w14:textId="77777777" w:rsidR="00DA0187" w:rsidRPr="00AE12B6" w:rsidRDefault="00B54112">
            <w:pPr>
              <w:pStyle w:val="Text1"/>
              <w:ind w:left="0"/>
              <w:jc w:val="center"/>
              <w:rPr>
                <w:i/>
                <w:noProof/>
              </w:rPr>
            </w:pPr>
            <w:r>
              <w:rPr>
                <w:i/>
                <w:noProof/>
                <w:sz w:val="16"/>
              </w:rPr>
              <w:t>Järgnevad aastad</w:t>
            </w:r>
          </w:p>
        </w:tc>
      </w:tr>
      <w:tr w:rsidR="00E91FC6" w14:paraId="0F848C59" w14:textId="77777777">
        <w:trPr>
          <w:trHeight w:val="816"/>
        </w:trPr>
        <w:tc>
          <w:tcPr>
            <w:tcW w:w="2415" w:type="dxa"/>
            <w:shd w:val="clear" w:color="auto" w:fill="D9D9D9" w:themeFill="background1" w:themeFillShade="D9"/>
            <w:vAlign w:val="center"/>
          </w:tcPr>
          <w:p w14:paraId="1B2C6D12" w14:textId="77777777" w:rsidR="00E91FC6" w:rsidRPr="00AE12B6" w:rsidRDefault="00E91FC6" w:rsidP="00E91FC6">
            <w:pPr>
              <w:pStyle w:val="Text1"/>
              <w:ind w:left="0"/>
              <w:jc w:val="center"/>
              <w:rPr>
                <w:noProof/>
              </w:rPr>
            </w:pPr>
            <w:r>
              <w:rPr>
                <w:noProof/>
              </w:rPr>
              <w:t>Hinnanguline mõju kuludele</w:t>
            </w:r>
          </w:p>
        </w:tc>
        <w:tc>
          <w:tcPr>
            <w:tcW w:w="1004" w:type="dxa"/>
            <w:vAlign w:val="center"/>
          </w:tcPr>
          <w:p w14:paraId="126117AB" w14:textId="7C24DF9D" w:rsidR="00E91FC6" w:rsidRPr="00E91FC6" w:rsidRDefault="00E91FC6" w:rsidP="00044434">
            <w:pPr>
              <w:pStyle w:val="Text1"/>
              <w:ind w:left="0"/>
              <w:jc w:val="center"/>
              <w:rPr>
                <w:noProof/>
              </w:rPr>
            </w:pPr>
            <w:r>
              <w:rPr>
                <w:noProof/>
              </w:rPr>
              <w:t xml:space="preserve">+ 86,9 </w:t>
            </w:r>
          </w:p>
        </w:tc>
        <w:tc>
          <w:tcPr>
            <w:tcW w:w="1004" w:type="dxa"/>
            <w:vAlign w:val="center"/>
          </w:tcPr>
          <w:p w14:paraId="31D5C394" w14:textId="2DA377F5" w:rsidR="00E91FC6" w:rsidRPr="00E91FC6" w:rsidRDefault="00E91FC6" w:rsidP="00044434">
            <w:pPr>
              <w:pStyle w:val="Text1"/>
              <w:ind w:left="0"/>
              <w:jc w:val="center"/>
              <w:rPr>
                <w:noProof/>
              </w:rPr>
            </w:pPr>
            <w:r>
              <w:rPr>
                <w:noProof/>
              </w:rPr>
              <w:t xml:space="preserve">+ 173,8 </w:t>
            </w:r>
          </w:p>
        </w:tc>
        <w:tc>
          <w:tcPr>
            <w:tcW w:w="1004" w:type="dxa"/>
            <w:vAlign w:val="center"/>
          </w:tcPr>
          <w:p w14:paraId="70BCD10A" w14:textId="733DB776" w:rsidR="00E91FC6" w:rsidRPr="00E91FC6" w:rsidRDefault="00E91FC6" w:rsidP="00044434">
            <w:pPr>
              <w:pStyle w:val="Text1"/>
              <w:ind w:left="0"/>
              <w:jc w:val="center"/>
              <w:rPr>
                <w:noProof/>
              </w:rPr>
            </w:pPr>
            <w:r>
              <w:rPr>
                <w:noProof/>
              </w:rPr>
              <w:t xml:space="preserve">+ 173,8 </w:t>
            </w:r>
          </w:p>
        </w:tc>
        <w:tc>
          <w:tcPr>
            <w:tcW w:w="1004" w:type="dxa"/>
            <w:vAlign w:val="center"/>
          </w:tcPr>
          <w:p w14:paraId="16AC6964" w14:textId="142F8F5C" w:rsidR="00E91FC6" w:rsidRPr="00E91FC6" w:rsidRDefault="00E91FC6" w:rsidP="00044434">
            <w:pPr>
              <w:pStyle w:val="Text1"/>
              <w:ind w:left="0"/>
              <w:jc w:val="center"/>
              <w:rPr>
                <w:noProof/>
              </w:rPr>
            </w:pPr>
            <w:r>
              <w:rPr>
                <w:noProof/>
              </w:rPr>
              <w:t xml:space="preserve">+ 19,2 </w:t>
            </w:r>
          </w:p>
        </w:tc>
        <w:tc>
          <w:tcPr>
            <w:tcW w:w="1004" w:type="dxa"/>
            <w:vAlign w:val="center"/>
          </w:tcPr>
          <w:p w14:paraId="6F53E56F" w14:textId="0B73A176" w:rsidR="00E91FC6" w:rsidRPr="00E91FC6" w:rsidRDefault="00E91FC6" w:rsidP="00044434">
            <w:pPr>
              <w:pStyle w:val="Text1"/>
              <w:ind w:left="0"/>
              <w:jc w:val="center"/>
              <w:rPr>
                <w:noProof/>
              </w:rPr>
            </w:pPr>
            <w:r>
              <w:rPr>
                <w:noProof/>
              </w:rPr>
              <w:t xml:space="preserve">+ 38,5 </w:t>
            </w:r>
          </w:p>
        </w:tc>
        <w:tc>
          <w:tcPr>
            <w:tcW w:w="1004" w:type="dxa"/>
            <w:vAlign w:val="center"/>
          </w:tcPr>
          <w:p w14:paraId="0095D7CD" w14:textId="70EBD4EF" w:rsidR="00E91FC6" w:rsidRPr="00E91FC6" w:rsidRDefault="00E91FC6" w:rsidP="00044434">
            <w:pPr>
              <w:pStyle w:val="Text1"/>
              <w:ind w:left="0"/>
              <w:jc w:val="center"/>
              <w:rPr>
                <w:noProof/>
              </w:rPr>
            </w:pPr>
            <w:r>
              <w:rPr>
                <w:noProof/>
              </w:rPr>
              <w:t xml:space="preserve">+ 38.5 </w:t>
            </w:r>
          </w:p>
        </w:tc>
      </w:tr>
      <w:tr w:rsidR="00E91FC6" w14:paraId="6D66E8D5" w14:textId="77777777">
        <w:trPr>
          <w:trHeight w:val="816"/>
        </w:trPr>
        <w:tc>
          <w:tcPr>
            <w:tcW w:w="2415" w:type="dxa"/>
            <w:shd w:val="clear" w:color="auto" w:fill="D9D9D9" w:themeFill="background1" w:themeFillShade="D9"/>
            <w:vAlign w:val="center"/>
          </w:tcPr>
          <w:p w14:paraId="6B08E0A3" w14:textId="77777777" w:rsidR="00E91FC6" w:rsidRPr="00AE12B6" w:rsidRDefault="00E91FC6" w:rsidP="00E91FC6">
            <w:pPr>
              <w:pStyle w:val="Text1"/>
              <w:ind w:left="0"/>
              <w:jc w:val="center"/>
              <w:rPr>
                <w:noProof/>
              </w:rPr>
            </w:pPr>
            <w:r>
              <w:rPr>
                <w:noProof/>
              </w:rPr>
              <w:t>Hinnanguline mõju tuludele</w:t>
            </w:r>
          </w:p>
        </w:tc>
        <w:tc>
          <w:tcPr>
            <w:tcW w:w="1004" w:type="dxa"/>
            <w:vAlign w:val="center"/>
          </w:tcPr>
          <w:p w14:paraId="4E9EBC4C" w14:textId="2254C2BF" w:rsidR="00E91FC6" w:rsidRPr="00E91FC6" w:rsidRDefault="00E91FC6" w:rsidP="00044434">
            <w:pPr>
              <w:pStyle w:val="Text1"/>
              <w:ind w:left="0"/>
              <w:jc w:val="center"/>
              <w:rPr>
                <w:noProof/>
              </w:rPr>
            </w:pPr>
            <w:r>
              <w:rPr>
                <w:noProof/>
              </w:rPr>
              <w:t>+ 15,2</w:t>
            </w:r>
          </w:p>
        </w:tc>
        <w:tc>
          <w:tcPr>
            <w:tcW w:w="1004" w:type="dxa"/>
            <w:vAlign w:val="center"/>
          </w:tcPr>
          <w:p w14:paraId="3AAA8135" w14:textId="63D4ECEB" w:rsidR="00E91FC6" w:rsidRPr="00E91FC6" w:rsidRDefault="00E91FC6" w:rsidP="00044434">
            <w:pPr>
              <w:pStyle w:val="Text1"/>
              <w:ind w:left="0"/>
              <w:jc w:val="center"/>
              <w:rPr>
                <w:noProof/>
              </w:rPr>
            </w:pPr>
            <w:r>
              <w:rPr>
                <w:noProof/>
              </w:rPr>
              <w:t xml:space="preserve">+ 30,4 </w:t>
            </w:r>
          </w:p>
        </w:tc>
        <w:tc>
          <w:tcPr>
            <w:tcW w:w="1004" w:type="dxa"/>
            <w:vAlign w:val="center"/>
          </w:tcPr>
          <w:p w14:paraId="3A2BA0AD" w14:textId="47AB1495" w:rsidR="00E91FC6" w:rsidRPr="00E91FC6" w:rsidRDefault="00E91FC6" w:rsidP="00044434">
            <w:pPr>
              <w:pStyle w:val="Text1"/>
              <w:ind w:left="0"/>
              <w:jc w:val="center"/>
              <w:rPr>
                <w:noProof/>
              </w:rPr>
            </w:pPr>
            <w:r>
              <w:rPr>
                <w:noProof/>
              </w:rPr>
              <w:t xml:space="preserve">+ 30,4 </w:t>
            </w:r>
          </w:p>
        </w:tc>
        <w:tc>
          <w:tcPr>
            <w:tcW w:w="1004" w:type="dxa"/>
            <w:vAlign w:val="center"/>
          </w:tcPr>
          <w:p w14:paraId="36BFDF32" w14:textId="2C73A326" w:rsidR="00E91FC6" w:rsidRPr="00E91FC6" w:rsidRDefault="00E91FC6" w:rsidP="00044434">
            <w:pPr>
              <w:pStyle w:val="Text1"/>
              <w:ind w:left="0"/>
              <w:jc w:val="center"/>
              <w:rPr>
                <w:noProof/>
              </w:rPr>
            </w:pPr>
            <w:r>
              <w:rPr>
                <w:noProof/>
              </w:rPr>
              <w:t xml:space="preserve">+ 3,3 </w:t>
            </w:r>
          </w:p>
        </w:tc>
        <w:tc>
          <w:tcPr>
            <w:tcW w:w="1004" w:type="dxa"/>
            <w:vAlign w:val="center"/>
          </w:tcPr>
          <w:p w14:paraId="79E24C8A" w14:textId="14164C15" w:rsidR="00E91FC6" w:rsidRPr="00E91FC6" w:rsidRDefault="00E91FC6" w:rsidP="00044434">
            <w:pPr>
              <w:pStyle w:val="Text1"/>
              <w:ind w:left="0"/>
              <w:jc w:val="center"/>
              <w:rPr>
                <w:noProof/>
              </w:rPr>
            </w:pPr>
            <w:r>
              <w:rPr>
                <w:noProof/>
              </w:rPr>
              <w:t xml:space="preserve">+ 6,6 </w:t>
            </w:r>
          </w:p>
        </w:tc>
        <w:tc>
          <w:tcPr>
            <w:tcW w:w="1004" w:type="dxa"/>
            <w:vAlign w:val="center"/>
          </w:tcPr>
          <w:p w14:paraId="799F3FFE" w14:textId="3BB746AF" w:rsidR="00E91FC6" w:rsidRPr="00E91FC6" w:rsidRDefault="00E91FC6" w:rsidP="00044434">
            <w:pPr>
              <w:pStyle w:val="Text1"/>
              <w:ind w:left="0"/>
              <w:jc w:val="center"/>
              <w:rPr>
                <w:noProof/>
              </w:rPr>
            </w:pPr>
            <w:r>
              <w:rPr>
                <w:noProof/>
              </w:rPr>
              <w:t xml:space="preserve">+ 6,6 </w:t>
            </w:r>
          </w:p>
        </w:tc>
      </w:tr>
    </w:tbl>
    <w:p w14:paraId="1FFF336F" w14:textId="77777777" w:rsidR="00DA0187" w:rsidRDefault="00DA0187">
      <w:pPr>
        <w:pStyle w:val="Text1"/>
        <w:rPr>
          <w:noProof/>
        </w:rPr>
      </w:pPr>
    </w:p>
    <w:p w14:paraId="1C64ED23" w14:textId="77777777" w:rsidR="00DA0187" w:rsidRDefault="00DA0187">
      <w:pPr>
        <w:pStyle w:val="Text1"/>
        <w:rPr>
          <w:noProof/>
        </w:rPr>
      </w:pPr>
    </w:p>
    <w:p w14:paraId="66EA19F3" w14:textId="3B67103C" w:rsidR="00DA0187" w:rsidRDefault="003D4BBA" w:rsidP="003D4BBA">
      <w:pPr>
        <w:pStyle w:val="ManualHeading2"/>
        <w:rPr>
          <w:noProof/>
        </w:rPr>
      </w:pPr>
      <w:r w:rsidRPr="003D4BBA">
        <w:t>5.2.</w:t>
      </w:r>
      <w:r w:rsidRPr="003D4BBA">
        <w:tab/>
      </w:r>
      <w:r w:rsidR="00061F5E">
        <w:rPr>
          <w:noProof/>
        </w:rPr>
        <w:t>ELis töötavate ELi ametnike ja muude teenistujate töötasude ja pensionide suhtes kohaldatavate paranduskoefitsientide ajakohastamine 2021. aastal (personalieeskirjade artikli 64 teine lõik, XIII lisa artikli 20 lõige 1)</w:t>
      </w:r>
    </w:p>
    <w:p w14:paraId="3DF26EFF" w14:textId="31FC4270" w:rsidR="00DA0187" w:rsidRDefault="00B54112">
      <w:pPr>
        <w:pStyle w:val="Text1"/>
        <w:rPr>
          <w:noProof/>
        </w:rPr>
      </w:pPr>
      <w:r>
        <w:rPr>
          <w:noProof/>
        </w:rPr>
        <w:t>ELi liikmesriikides, kuid mujal kui Brüsselis ja Luxembourgis töötavate ELi töötajate töötasude ja pensionide suhtes kohaldatavate paranduskoefitsientide ajakohastamisel alates 1. juulist 2021 on finantsmõju mitmele eelarvereale, mis on seotud töötajate kuludega.</w:t>
      </w:r>
    </w:p>
    <w:p w14:paraId="1898FFCF" w14:textId="77777777" w:rsidR="001F6127" w:rsidRDefault="001F6127">
      <w:pPr>
        <w:pStyle w:val="Text1"/>
        <w:rPr>
          <w:noProof/>
        </w:rPr>
      </w:pPr>
    </w:p>
    <w:p w14:paraId="409A7381" w14:textId="77777777" w:rsidR="00DA0187" w:rsidRDefault="00B54112">
      <w:pPr>
        <w:spacing w:before="120" w:after="120" w:line="240" w:lineRule="auto"/>
        <w:ind w:left="5040" w:firstLine="720"/>
        <w:jc w:val="center"/>
        <w:rPr>
          <w:rFonts w:ascii="Times New Roman" w:eastAsia="Times New Roman" w:hAnsi="Times New Roman" w:cs="Times New Roman"/>
          <w:i/>
          <w:noProof/>
          <w:sz w:val="20"/>
          <w:szCs w:val="20"/>
        </w:rPr>
      </w:pPr>
      <w:r>
        <w:rPr>
          <w:rFonts w:ascii="Times New Roman" w:hAnsi="Times New Roman"/>
          <w:noProof/>
          <w:sz w:val="20"/>
          <w:szCs w:val="20"/>
        </w:rPr>
        <w:t xml:space="preserve">Miljonites eurodes </w:t>
      </w:r>
    </w:p>
    <w:tbl>
      <w:tblPr>
        <w:tblStyle w:val="TableGrid"/>
        <w:tblW w:w="0" w:type="auto"/>
        <w:jc w:val="center"/>
        <w:tblLayout w:type="fixed"/>
        <w:tblLook w:val="04A0" w:firstRow="1" w:lastRow="0" w:firstColumn="1" w:lastColumn="0" w:noHBand="0" w:noVBand="1"/>
      </w:tblPr>
      <w:tblGrid>
        <w:gridCol w:w="2415"/>
        <w:gridCol w:w="1004"/>
        <w:gridCol w:w="1004"/>
        <w:gridCol w:w="1004"/>
        <w:gridCol w:w="1004"/>
        <w:gridCol w:w="1004"/>
        <w:gridCol w:w="1004"/>
      </w:tblGrid>
      <w:tr w:rsidR="00DA0187" w14:paraId="392757AA" w14:textId="77777777">
        <w:trPr>
          <w:trHeight w:val="548"/>
          <w:jc w:val="center"/>
        </w:trPr>
        <w:tc>
          <w:tcPr>
            <w:tcW w:w="2415" w:type="dxa"/>
            <w:tcBorders>
              <w:top w:val="nil"/>
              <w:left w:val="nil"/>
              <w:bottom w:val="nil"/>
            </w:tcBorders>
            <w:vAlign w:val="center"/>
          </w:tcPr>
          <w:p w14:paraId="004DE466" w14:textId="77777777" w:rsidR="00DA0187" w:rsidRDefault="00DA0187">
            <w:pPr>
              <w:pStyle w:val="Text1"/>
              <w:ind w:left="0"/>
              <w:jc w:val="center"/>
              <w:rPr>
                <w:noProof/>
              </w:rPr>
            </w:pPr>
          </w:p>
        </w:tc>
        <w:tc>
          <w:tcPr>
            <w:tcW w:w="3012" w:type="dxa"/>
            <w:gridSpan w:val="3"/>
            <w:shd w:val="clear" w:color="auto" w:fill="D9D9D9" w:themeFill="background1" w:themeFillShade="D9"/>
            <w:vAlign w:val="center"/>
          </w:tcPr>
          <w:p w14:paraId="473FC9F0" w14:textId="77777777" w:rsidR="00DA0187" w:rsidRDefault="00B54112">
            <w:pPr>
              <w:pStyle w:val="Text1"/>
              <w:ind w:left="0"/>
              <w:jc w:val="center"/>
              <w:rPr>
                <w:noProof/>
              </w:rPr>
            </w:pPr>
            <w:r>
              <w:rPr>
                <w:noProof/>
              </w:rPr>
              <w:t>Rubriik 7</w:t>
            </w:r>
          </w:p>
        </w:tc>
        <w:tc>
          <w:tcPr>
            <w:tcW w:w="3012" w:type="dxa"/>
            <w:gridSpan w:val="3"/>
            <w:shd w:val="clear" w:color="auto" w:fill="D9D9D9" w:themeFill="background1" w:themeFillShade="D9"/>
            <w:vAlign w:val="center"/>
          </w:tcPr>
          <w:p w14:paraId="7532CE75" w14:textId="77777777" w:rsidR="00DA0187" w:rsidRDefault="00B54112" w:rsidP="00425AC6">
            <w:pPr>
              <w:pStyle w:val="Text1"/>
              <w:ind w:left="0"/>
              <w:jc w:val="center"/>
              <w:rPr>
                <w:noProof/>
              </w:rPr>
            </w:pPr>
            <w:r>
              <w:rPr>
                <w:noProof/>
              </w:rPr>
              <w:t>Muud rubriigid (1–6)</w:t>
            </w:r>
          </w:p>
        </w:tc>
      </w:tr>
      <w:tr w:rsidR="00DA0187" w14:paraId="52893F7F" w14:textId="77777777">
        <w:trPr>
          <w:trHeight w:val="816"/>
          <w:jc w:val="center"/>
        </w:trPr>
        <w:tc>
          <w:tcPr>
            <w:tcW w:w="2415" w:type="dxa"/>
            <w:tcBorders>
              <w:top w:val="nil"/>
              <w:left w:val="nil"/>
            </w:tcBorders>
            <w:vAlign w:val="center"/>
          </w:tcPr>
          <w:p w14:paraId="355AE3A9" w14:textId="77777777" w:rsidR="00DA0187" w:rsidRDefault="00DA0187">
            <w:pPr>
              <w:pStyle w:val="Text1"/>
              <w:ind w:left="0"/>
              <w:jc w:val="center"/>
              <w:rPr>
                <w:noProof/>
              </w:rPr>
            </w:pPr>
          </w:p>
        </w:tc>
        <w:tc>
          <w:tcPr>
            <w:tcW w:w="1004" w:type="dxa"/>
            <w:vAlign w:val="center"/>
          </w:tcPr>
          <w:p w14:paraId="7ADC8822" w14:textId="133F554A" w:rsidR="00DA0187" w:rsidRPr="00AE12B6" w:rsidRDefault="00B54112" w:rsidP="00425AC6">
            <w:pPr>
              <w:pStyle w:val="Text1"/>
              <w:ind w:left="0"/>
              <w:jc w:val="center"/>
              <w:rPr>
                <w:i/>
                <w:noProof/>
              </w:rPr>
            </w:pPr>
            <w:r>
              <w:rPr>
                <w:i/>
                <w:noProof/>
              </w:rPr>
              <w:t>Aasta</w:t>
            </w:r>
            <w:r>
              <w:rPr>
                <w:noProof/>
              </w:rPr>
              <w:t xml:space="preserve"> </w:t>
            </w:r>
            <w:r>
              <w:rPr>
                <w:noProof/>
              </w:rPr>
              <w:br/>
            </w:r>
            <w:r>
              <w:rPr>
                <w:i/>
                <w:noProof/>
              </w:rPr>
              <w:t>2021</w:t>
            </w:r>
          </w:p>
        </w:tc>
        <w:tc>
          <w:tcPr>
            <w:tcW w:w="1004" w:type="dxa"/>
            <w:vAlign w:val="center"/>
          </w:tcPr>
          <w:p w14:paraId="795F73F6" w14:textId="7FB7C069" w:rsidR="00DA0187" w:rsidRPr="00AE12B6" w:rsidRDefault="00B54112" w:rsidP="00425AC6">
            <w:pPr>
              <w:pStyle w:val="Text1"/>
              <w:ind w:left="0"/>
              <w:jc w:val="center"/>
              <w:rPr>
                <w:i/>
                <w:noProof/>
              </w:rPr>
            </w:pPr>
            <w:r>
              <w:rPr>
                <w:i/>
                <w:noProof/>
              </w:rPr>
              <w:t>Aasta</w:t>
            </w:r>
            <w:r>
              <w:rPr>
                <w:noProof/>
              </w:rPr>
              <w:t xml:space="preserve"> </w:t>
            </w:r>
            <w:r>
              <w:rPr>
                <w:noProof/>
              </w:rPr>
              <w:br/>
            </w:r>
            <w:r>
              <w:rPr>
                <w:i/>
                <w:noProof/>
              </w:rPr>
              <w:t>2022</w:t>
            </w:r>
          </w:p>
        </w:tc>
        <w:tc>
          <w:tcPr>
            <w:tcW w:w="1004" w:type="dxa"/>
            <w:vAlign w:val="center"/>
          </w:tcPr>
          <w:p w14:paraId="5DF0AF0F" w14:textId="77777777" w:rsidR="00DA0187" w:rsidRPr="00AE12B6" w:rsidRDefault="00B54112">
            <w:pPr>
              <w:pStyle w:val="Text1"/>
              <w:ind w:left="0"/>
              <w:jc w:val="center"/>
              <w:rPr>
                <w:i/>
                <w:noProof/>
                <w:sz w:val="16"/>
              </w:rPr>
            </w:pPr>
            <w:r>
              <w:rPr>
                <w:i/>
                <w:noProof/>
                <w:sz w:val="16"/>
              </w:rPr>
              <w:t>Järgnevad aastad</w:t>
            </w:r>
          </w:p>
        </w:tc>
        <w:tc>
          <w:tcPr>
            <w:tcW w:w="1004" w:type="dxa"/>
            <w:vAlign w:val="center"/>
          </w:tcPr>
          <w:p w14:paraId="7578B4AD" w14:textId="677B3F75" w:rsidR="00DA0187" w:rsidRPr="00AE12B6" w:rsidRDefault="00B54112" w:rsidP="00425AC6">
            <w:pPr>
              <w:pStyle w:val="Text1"/>
              <w:ind w:left="0"/>
              <w:jc w:val="center"/>
              <w:rPr>
                <w:i/>
                <w:noProof/>
              </w:rPr>
            </w:pPr>
            <w:r>
              <w:rPr>
                <w:i/>
                <w:noProof/>
              </w:rPr>
              <w:t>Aasta</w:t>
            </w:r>
            <w:r>
              <w:rPr>
                <w:noProof/>
              </w:rPr>
              <w:t xml:space="preserve"> </w:t>
            </w:r>
            <w:r>
              <w:rPr>
                <w:noProof/>
              </w:rPr>
              <w:br/>
            </w:r>
            <w:r>
              <w:rPr>
                <w:i/>
                <w:noProof/>
              </w:rPr>
              <w:t>2021</w:t>
            </w:r>
          </w:p>
        </w:tc>
        <w:tc>
          <w:tcPr>
            <w:tcW w:w="1004" w:type="dxa"/>
            <w:vAlign w:val="center"/>
          </w:tcPr>
          <w:p w14:paraId="32B85612" w14:textId="7E3E5D3E" w:rsidR="00DA0187" w:rsidRPr="00AE12B6" w:rsidRDefault="00B54112" w:rsidP="00761E7A">
            <w:pPr>
              <w:pStyle w:val="Text1"/>
              <w:ind w:left="0"/>
              <w:jc w:val="center"/>
              <w:rPr>
                <w:i/>
                <w:noProof/>
              </w:rPr>
            </w:pPr>
            <w:r>
              <w:rPr>
                <w:i/>
                <w:noProof/>
              </w:rPr>
              <w:t>Aasta</w:t>
            </w:r>
            <w:r>
              <w:rPr>
                <w:noProof/>
              </w:rPr>
              <w:t xml:space="preserve"> </w:t>
            </w:r>
            <w:r>
              <w:rPr>
                <w:noProof/>
              </w:rPr>
              <w:br/>
            </w:r>
            <w:r>
              <w:rPr>
                <w:i/>
                <w:noProof/>
              </w:rPr>
              <w:t>2022</w:t>
            </w:r>
          </w:p>
        </w:tc>
        <w:tc>
          <w:tcPr>
            <w:tcW w:w="1004" w:type="dxa"/>
            <w:vAlign w:val="center"/>
          </w:tcPr>
          <w:p w14:paraId="64CAC8E1" w14:textId="77777777" w:rsidR="00DA0187" w:rsidRPr="00AE12B6" w:rsidRDefault="00B54112">
            <w:pPr>
              <w:pStyle w:val="Text1"/>
              <w:ind w:left="0"/>
              <w:jc w:val="center"/>
              <w:rPr>
                <w:i/>
                <w:noProof/>
              </w:rPr>
            </w:pPr>
            <w:r>
              <w:rPr>
                <w:i/>
                <w:noProof/>
                <w:sz w:val="16"/>
              </w:rPr>
              <w:t>Järgnevad aastad</w:t>
            </w:r>
          </w:p>
        </w:tc>
      </w:tr>
      <w:tr w:rsidR="00E91FC6" w14:paraId="140BC489" w14:textId="77777777">
        <w:trPr>
          <w:trHeight w:val="816"/>
          <w:jc w:val="center"/>
        </w:trPr>
        <w:tc>
          <w:tcPr>
            <w:tcW w:w="2415" w:type="dxa"/>
            <w:shd w:val="clear" w:color="auto" w:fill="D9D9D9" w:themeFill="background1" w:themeFillShade="D9"/>
            <w:vAlign w:val="center"/>
          </w:tcPr>
          <w:p w14:paraId="7655CA38" w14:textId="77777777" w:rsidR="00E91FC6" w:rsidRDefault="00E91FC6" w:rsidP="00E91FC6">
            <w:pPr>
              <w:pStyle w:val="Text1"/>
              <w:ind w:left="0"/>
              <w:jc w:val="center"/>
              <w:rPr>
                <w:noProof/>
              </w:rPr>
            </w:pPr>
            <w:r>
              <w:rPr>
                <w:noProof/>
              </w:rPr>
              <w:t>Hinnanguline mõju kuludele</w:t>
            </w:r>
          </w:p>
        </w:tc>
        <w:tc>
          <w:tcPr>
            <w:tcW w:w="1004" w:type="dxa"/>
            <w:vAlign w:val="center"/>
          </w:tcPr>
          <w:p w14:paraId="543BB370" w14:textId="2AD5476A" w:rsidR="00E91FC6" w:rsidRPr="00F64270" w:rsidRDefault="00E91FC6" w:rsidP="00F878D0">
            <w:pPr>
              <w:pStyle w:val="Text1"/>
              <w:ind w:left="0"/>
              <w:jc w:val="center"/>
              <w:rPr>
                <w:noProof/>
              </w:rPr>
            </w:pPr>
            <w:r>
              <w:rPr>
                <w:noProof/>
              </w:rPr>
              <w:t>+ 6,7</w:t>
            </w:r>
          </w:p>
        </w:tc>
        <w:tc>
          <w:tcPr>
            <w:tcW w:w="1004" w:type="dxa"/>
            <w:vAlign w:val="center"/>
          </w:tcPr>
          <w:p w14:paraId="115FBB83" w14:textId="375BE6CE" w:rsidR="00E91FC6" w:rsidRPr="00F64270" w:rsidRDefault="00E91FC6" w:rsidP="00EF71A0">
            <w:pPr>
              <w:pStyle w:val="Text1"/>
              <w:ind w:left="0"/>
              <w:jc w:val="center"/>
              <w:rPr>
                <w:noProof/>
              </w:rPr>
            </w:pPr>
            <w:r>
              <w:rPr>
                <w:noProof/>
              </w:rPr>
              <w:t>+ 13,4</w:t>
            </w:r>
          </w:p>
        </w:tc>
        <w:tc>
          <w:tcPr>
            <w:tcW w:w="1004" w:type="dxa"/>
            <w:vAlign w:val="center"/>
          </w:tcPr>
          <w:p w14:paraId="20A952AE" w14:textId="259C0212" w:rsidR="00E91FC6" w:rsidRPr="00F64270" w:rsidRDefault="00E91FC6" w:rsidP="00EF71A0">
            <w:pPr>
              <w:pStyle w:val="Text1"/>
              <w:ind w:left="0"/>
              <w:jc w:val="center"/>
              <w:rPr>
                <w:noProof/>
              </w:rPr>
            </w:pPr>
            <w:r>
              <w:rPr>
                <w:noProof/>
              </w:rPr>
              <w:t>+ 13,4</w:t>
            </w:r>
          </w:p>
        </w:tc>
        <w:tc>
          <w:tcPr>
            <w:tcW w:w="1004" w:type="dxa"/>
            <w:vAlign w:val="center"/>
          </w:tcPr>
          <w:p w14:paraId="1AD598A2" w14:textId="45991E3A" w:rsidR="00E91FC6" w:rsidRPr="00F64270" w:rsidRDefault="00E91FC6" w:rsidP="00F878D0">
            <w:pPr>
              <w:pStyle w:val="Text1"/>
              <w:ind w:left="0"/>
              <w:jc w:val="center"/>
              <w:rPr>
                <w:noProof/>
              </w:rPr>
            </w:pPr>
            <w:r>
              <w:rPr>
                <w:noProof/>
              </w:rPr>
              <w:t>+ 3,6</w:t>
            </w:r>
          </w:p>
        </w:tc>
        <w:tc>
          <w:tcPr>
            <w:tcW w:w="1004" w:type="dxa"/>
            <w:vAlign w:val="center"/>
          </w:tcPr>
          <w:p w14:paraId="0F4D33E7" w14:textId="3667919F" w:rsidR="00E91FC6" w:rsidRPr="00F64270" w:rsidRDefault="00E91FC6" w:rsidP="00F878D0">
            <w:pPr>
              <w:pStyle w:val="Text1"/>
              <w:ind w:left="0"/>
              <w:jc w:val="center"/>
              <w:rPr>
                <w:noProof/>
              </w:rPr>
            </w:pPr>
            <w:r>
              <w:rPr>
                <w:noProof/>
              </w:rPr>
              <w:t>+ 7,2</w:t>
            </w:r>
          </w:p>
        </w:tc>
        <w:tc>
          <w:tcPr>
            <w:tcW w:w="1004" w:type="dxa"/>
            <w:vAlign w:val="center"/>
          </w:tcPr>
          <w:p w14:paraId="1FCCEF79" w14:textId="42049FD6" w:rsidR="00E91FC6" w:rsidRPr="00F64270" w:rsidRDefault="00E91FC6" w:rsidP="00F878D0">
            <w:pPr>
              <w:pStyle w:val="Text1"/>
              <w:ind w:left="0"/>
              <w:jc w:val="center"/>
              <w:rPr>
                <w:noProof/>
              </w:rPr>
            </w:pPr>
            <w:r>
              <w:rPr>
                <w:noProof/>
              </w:rPr>
              <w:t>+ 7,2</w:t>
            </w:r>
          </w:p>
        </w:tc>
      </w:tr>
    </w:tbl>
    <w:p w14:paraId="3244B9CF" w14:textId="73D83D28" w:rsidR="00DA0187" w:rsidRDefault="00DA0187" w:rsidP="001D0CCE">
      <w:pPr>
        <w:pStyle w:val="Text1"/>
        <w:ind w:left="0"/>
        <w:rPr>
          <w:noProof/>
        </w:rPr>
      </w:pPr>
    </w:p>
    <w:p w14:paraId="1198F5B2" w14:textId="44E25F19" w:rsidR="00DA0187" w:rsidRDefault="003D4BBA" w:rsidP="003D4BBA">
      <w:pPr>
        <w:pStyle w:val="ManualHeading2"/>
        <w:rPr>
          <w:noProof/>
        </w:rPr>
      </w:pPr>
      <w:r w:rsidRPr="003D4BBA">
        <w:t>5.3.</w:t>
      </w:r>
      <w:r w:rsidRPr="003D4BBA">
        <w:tab/>
      </w:r>
      <w:r w:rsidR="00061F5E">
        <w:rPr>
          <w:noProof/>
        </w:rPr>
        <w:t>Kolmandates riikides töötavate ELi ametnike ning ajutiste ja lepinguliste töötajate töötasude suhtes kohaldatavate paranduskoefitsientide ajakohastamine 2021. aastal (personalieeskirjade X lisa artikli 13 esimene lõik)</w:t>
      </w:r>
    </w:p>
    <w:p w14:paraId="341669AF" w14:textId="07A1E18D" w:rsidR="00DA0187" w:rsidRDefault="00B54112">
      <w:pPr>
        <w:pStyle w:val="Text1"/>
        <w:rPr>
          <w:noProof/>
        </w:rPr>
      </w:pPr>
      <w:r>
        <w:rPr>
          <w:noProof/>
        </w:rPr>
        <w:t>Kolmandates riikides töötavate ELi töötajate töötasude suhtes kohaldatavate paranduskoefitsientide iga-aastasel ajakohastamisel alates 1. juulist 2021 on finantsmõju mitmele eelarvereale, mis on seotud töötajate kuludega rubriigis 7.</w:t>
      </w:r>
    </w:p>
    <w:p w14:paraId="5AE12501" w14:textId="77777777" w:rsidR="001F6127" w:rsidRPr="00C9789A" w:rsidRDefault="001F6127">
      <w:pPr>
        <w:pStyle w:val="Text1"/>
        <w:rPr>
          <w:noProof/>
        </w:rPr>
      </w:pPr>
    </w:p>
    <w:p w14:paraId="0A558DAE" w14:textId="77777777" w:rsidR="00DA0187" w:rsidRPr="00C9789A" w:rsidRDefault="00B54112">
      <w:pPr>
        <w:spacing w:before="120" w:after="120" w:line="240" w:lineRule="auto"/>
        <w:ind w:left="5040" w:firstLine="720"/>
        <w:rPr>
          <w:rFonts w:ascii="Times New Roman" w:eastAsia="Times New Roman" w:hAnsi="Times New Roman" w:cs="Times New Roman"/>
          <w:i/>
          <w:noProof/>
          <w:sz w:val="20"/>
          <w:szCs w:val="20"/>
        </w:rPr>
      </w:pPr>
      <w:r>
        <w:rPr>
          <w:rFonts w:ascii="Times New Roman" w:hAnsi="Times New Roman"/>
          <w:noProof/>
          <w:sz w:val="20"/>
          <w:szCs w:val="20"/>
        </w:rPr>
        <w:t xml:space="preserve">Miljonites eurodes </w:t>
      </w:r>
    </w:p>
    <w:tbl>
      <w:tblPr>
        <w:tblStyle w:val="TableGrid"/>
        <w:tblW w:w="0" w:type="auto"/>
        <w:jc w:val="center"/>
        <w:tblLayout w:type="fixed"/>
        <w:tblLook w:val="04A0" w:firstRow="1" w:lastRow="0" w:firstColumn="1" w:lastColumn="0" w:noHBand="0" w:noVBand="1"/>
      </w:tblPr>
      <w:tblGrid>
        <w:gridCol w:w="2415"/>
        <w:gridCol w:w="1004"/>
        <w:gridCol w:w="1004"/>
        <w:gridCol w:w="1004"/>
      </w:tblGrid>
      <w:tr w:rsidR="00DA0187" w:rsidRPr="00C9789A" w14:paraId="6D6C1EAA" w14:textId="77777777">
        <w:trPr>
          <w:trHeight w:val="548"/>
          <w:jc w:val="center"/>
        </w:trPr>
        <w:tc>
          <w:tcPr>
            <w:tcW w:w="2415" w:type="dxa"/>
            <w:tcBorders>
              <w:top w:val="nil"/>
              <w:left w:val="nil"/>
              <w:bottom w:val="nil"/>
            </w:tcBorders>
            <w:vAlign w:val="center"/>
          </w:tcPr>
          <w:p w14:paraId="0F28F86C" w14:textId="77777777" w:rsidR="00DA0187" w:rsidRPr="00C9789A" w:rsidRDefault="00DA0187">
            <w:pPr>
              <w:pStyle w:val="Text1"/>
              <w:ind w:left="0"/>
              <w:jc w:val="center"/>
              <w:rPr>
                <w:noProof/>
              </w:rPr>
            </w:pPr>
          </w:p>
        </w:tc>
        <w:tc>
          <w:tcPr>
            <w:tcW w:w="3012" w:type="dxa"/>
            <w:gridSpan w:val="3"/>
            <w:shd w:val="clear" w:color="auto" w:fill="D9D9D9" w:themeFill="background1" w:themeFillShade="D9"/>
            <w:vAlign w:val="center"/>
          </w:tcPr>
          <w:p w14:paraId="31CF0128" w14:textId="77777777" w:rsidR="00DA0187" w:rsidRPr="00C9789A" w:rsidRDefault="00B54112">
            <w:pPr>
              <w:pStyle w:val="Text1"/>
              <w:ind w:left="0"/>
              <w:jc w:val="center"/>
              <w:rPr>
                <w:noProof/>
              </w:rPr>
            </w:pPr>
            <w:r>
              <w:rPr>
                <w:noProof/>
              </w:rPr>
              <w:t>Rubriik 7</w:t>
            </w:r>
          </w:p>
        </w:tc>
      </w:tr>
      <w:tr w:rsidR="00DA0187" w:rsidRPr="00C9789A" w14:paraId="59904181" w14:textId="77777777">
        <w:trPr>
          <w:trHeight w:val="816"/>
          <w:jc w:val="center"/>
        </w:trPr>
        <w:tc>
          <w:tcPr>
            <w:tcW w:w="2415" w:type="dxa"/>
            <w:tcBorders>
              <w:top w:val="nil"/>
              <w:left w:val="nil"/>
            </w:tcBorders>
            <w:vAlign w:val="center"/>
          </w:tcPr>
          <w:p w14:paraId="67E1565E" w14:textId="77777777" w:rsidR="00DA0187" w:rsidRPr="00C9789A" w:rsidRDefault="00DA0187">
            <w:pPr>
              <w:pStyle w:val="Text1"/>
              <w:ind w:left="0"/>
              <w:jc w:val="center"/>
              <w:rPr>
                <w:noProof/>
              </w:rPr>
            </w:pPr>
          </w:p>
        </w:tc>
        <w:tc>
          <w:tcPr>
            <w:tcW w:w="1004" w:type="dxa"/>
            <w:vAlign w:val="center"/>
          </w:tcPr>
          <w:p w14:paraId="4ABB42AB" w14:textId="5D2BA5AC" w:rsidR="00DA0187" w:rsidRPr="00C9789A" w:rsidRDefault="00B54112" w:rsidP="00425AC6">
            <w:pPr>
              <w:pStyle w:val="Text1"/>
              <w:ind w:left="0"/>
              <w:jc w:val="center"/>
              <w:rPr>
                <w:i/>
                <w:noProof/>
              </w:rPr>
            </w:pPr>
            <w:r>
              <w:rPr>
                <w:i/>
                <w:noProof/>
              </w:rPr>
              <w:t>Aasta</w:t>
            </w:r>
            <w:r>
              <w:rPr>
                <w:noProof/>
              </w:rPr>
              <w:t xml:space="preserve"> </w:t>
            </w:r>
            <w:r>
              <w:rPr>
                <w:noProof/>
              </w:rPr>
              <w:br/>
            </w:r>
            <w:r>
              <w:rPr>
                <w:i/>
                <w:noProof/>
              </w:rPr>
              <w:t>2021</w:t>
            </w:r>
          </w:p>
        </w:tc>
        <w:tc>
          <w:tcPr>
            <w:tcW w:w="1004" w:type="dxa"/>
            <w:vAlign w:val="center"/>
          </w:tcPr>
          <w:p w14:paraId="0CF970E4" w14:textId="6E7F913F" w:rsidR="00DA0187" w:rsidRPr="00C9789A" w:rsidRDefault="00B54112" w:rsidP="00425AC6">
            <w:pPr>
              <w:pStyle w:val="Text1"/>
              <w:ind w:left="0"/>
              <w:jc w:val="center"/>
              <w:rPr>
                <w:i/>
                <w:noProof/>
              </w:rPr>
            </w:pPr>
            <w:r>
              <w:rPr>
                <w:i/>
                <w:noProof/>
              </w:rPr>
              <w:t>Aasta</w:t>
            </w:r>
            <w:r>
              <w:rPr>
                <w:noProof/>
              </w:rPr>
              <w:t xml:space="preserve"> </w:t>
            </w:r>
            <w:r>
              <w:rPr>
                <w:noProof/>
              </w:rPr>
              <w:br/>
            </w:r>
            <w:r>
              <w:rPr>
                <w:i/>
                <w:noProof/>
              </w:rPr>
              <w:t>2022</w:t>
            </w:r>
          </w:p>
        </w:tc>
        <w:tc>
          <w:tcPr>
            <w:tcW w:w="1004" w:type="dxa"/>
            <w:vAlign w:val="center"/>
          </w:tcPr>
          <w:p w14:paraId="586C9B57" w14:textId="77777777" w:rsidR="00DA0187" w:rsidRPr="00C9789A" w:rsidRDefault="00B54112">
            <w:pPr>
              <w:pStyle w:val="Text1"/>
              <w:ind w:left="0"/>
              <w:jc w:val="center"/>
              <w:rPr>
                <w:i/>
                <w:noProof/>
                <w:sz w:val="16"/>
              </w:rPr>
            </w:pPr>
            <w:r>
              <w:rPr>
                <w:i/>
                <w:noProof/>
                <w:sz w:val="16"/>
              </w:rPr>
              <w:t>Järgnevad aastad</w:t>
            </w:r>
          </w:p>
        </w:tc>
      </w:tr>
      <w:tr w:rsidR="00DA0187" w:rsidRPr="00C9789A" w14:paraId="40ACE8BD" w14:textId="77777777" w:rsidTr="000E4160">
        <w:trPr>
          <w:trHeight w:val="816"/>
          <w:jc w:val="center"/>
        </w:trPr>
        <w:tc>
          <w:tcPr>
            <w:tcW w:w="2415" w:type="dxa"/>
            <w:shd w:val="clear" w:color="auto" w:fill="D9D9D9" w:themeFill="background1" w:themeFillShade="D9"/>
            <w:vAlign w:val="center"/>
          </w:tcPr>
          <w:p w14:paraId="0E2DD718" w14:textId="77777777" w:rsidR="00DA0187" w:rsidRPr="00C9789A" w:rsidRDefault="00B54112">
            <w:pPr>
              <w:pStyle w:val="Text1"/>
              <w:ind w:left="0"/>
              <w:jc w:val="center"/>
              <w:rPr>
                <w:noProof/>
              </w:rPr>
            </w:pPr>
            <w:r>
              <w:rPr>
                <w:noProof/>
              </w:rPr>
              <w:t>Hinnanguline mõju kuludele</w:t>
            </w:r>
          </w:p>
        </w:tc>
        <w:tc>
          <w:tcPr>
            <w:tcW w:w="1004" w:type="dxa"/>
            <w:shd w:val="clear" w:color="auto" w:fill="auto"/>
            <w:vAlign w:val="center"/>
          </w:tcPr>
          <w:p w14:paraId="0FA17669" w14:textId="2EF40EF4" w:rsidR="00DA0187" w:rsidRPr="0082274A" w:rsidRDefault="006E61ED" w:rsidP="003F1CBF">
            <w:pPr>
              <w:pStyle w:val="Text1"/>
              <w:ind w:left="0"/>
              <w:jc w:val="center"/>
              <w:rPr>
                <w:noProof/>
              </w:rPr>
            </w:pPr>
            <w:r>
              <w:rPr>
                <w:noProof/>
              </w:rPr>
              <w:t>– 0,17</w:t>
            </w:r>
          </w:p>
        </w:tc>
        <w:tc>
          <w:tcPr>
            <w:tcW w:w="1004" w:type="dxa"/>
            <w:shd w:val="clear" w:color="auto" w:fill="auto"/>
            <w:vAlign w:val="center"/>
          </w:tcPr>
          <w:p w14:paraId="40484095" w14:textId="63EE8439" w:rsidR="00DA0187" w:rsidRPr="0082274A" w:rsidRDefault="006E61ED" w:rsidP="006E61ED">
            <w:pPr>
              <w:pStyle w:val="Text1"/>
              <w:ind w:left="0"/>
              <w:jc w:val="center"/>
              <w:rPr>
                <w:noProof/>
              </w:rPr>
            </w:pPr>
            <w:r>
              <w:rPr>
                <w:noProof/>
              </w:rPr>
              <w:t>– 0,34</w:t>
            </w:r>
          </w:p>
        </w:tc>
        <w:tc>
          <w:tcPr>
            <w:tcW w:w="1004" w:type="dxa"/>
            <w:shd w:val="clear" w:color="auto" w:fill="auto"/>
            <w:vAlign w:val="center"/>
          </w:tcPr>
          <w:p w14:paraId="2EE274F0" w14:textId="505379E3" w:rsidR="00DA0187" w:rsidRPr="0082274A" w:rsidRDefault="006E61ED" w:rsidP="006E61ED">
            <w:pPr>
              <w:pStyle w:val="Text1"/>
              <w:ind w:left="0"/>
              <w:jc w:val="center"/>
              <w:rPr>
                <w:noProof/>
              </w:rPr>
            </w:pPr>
            <w:r>
              <w:rPr>
                <w:noProof/>
              </w:rPr>
              <w:t>– 0,34</w:t>
            </w:r>
          </w:p>
        </w:tc>
      </w:tr>
    </w:tbl>
    <w:p w14:paraId="4469746D" w14:textId="77777777" w:rsidR="00DA0187" w:rsidRPr="00C9789A" w:rsidRDefault="00DA0187">
      <w:pPr>
        <w:pStyle w:val="Text1"/>
        <w:rPr>
          <w:noProof/>
        </w:rPr>
      </w:pPr>
    </w:p>
    <w:p w14:paraId="1CA4444E" w14:textId="6DB14649" w:rsidR="00DA0187" w:rsidRDefault="003D4BBA" w:rsidP="003D4BBA">
      <w:pPr>
        <w:pStyle w:val="ManualHeading2"/>
        <w:rPr>
          <w:noProof/>
        </w:rPr>
      </w:pPr>
      <w:r w:rsidRPr="003D4BBA">
        <w:t>5.4.</w:t>
      </w:r>
      <w:r w:rsidRPr="003D4BBA">
        <w:tab/>
      </w:r>
      <w:r w:rsidR="00061F5E">
        <w:rPr>
          <w:noProof/>
        </w:rPr>
        <w:t>Kolmandates riikides töötavate ELi ametnike ning ajutiste ja lepinguliste töötajate töötasude suhtes kohaldatavate paranduskoefitsientide vahepealne ajakohastamine 2021. aastal (personalieeskirjade X lisa artikli 13 teine lõik)</w:t>
      </w:r>
    </w:p>
    <w:p w14:paraId="64DD1B7B" w14:textId="3A164C46" w:rsidR="00DA0187" w:rsidRDefault="00B54112">
      <w:pPr>
        <w:pStyle w:val="Heading3"/>
        <w:rPr>
          <w:noProof/>
        </w:rPr>
      </w:pPr>
      <w:r>
        <w:rPr>
          <w:noProof/>
        </w:rPr>
        <w:t>Periood alates 2020. aasta augustist 2021. aasta jaanuarini</w:t>
      </w:r>
    </w:p>
    <w:p w14:paraId="117431E7" w14:textId="1C462588" w:rsidR="00DA0187" w:rsidRDefault="00B54112">
      <w:pPr>
        <w:pStyle w:val="Text1"/>
        <w:rPr>
          <w:noProof/>
        </w:rPr>
      </w:pPr>
      <w:r>
        <w:rPr>
          <w:noProof/>
        </w:rPr>
        <w:t>Kolmandates riikides töötavate ELi töötajate töötasude suhtes kohaldatavate teatavate paranduskoefitsientide vahepealsel ajakohastamisel alates 1. augustist 2020, 1. septembrist 2020, 1. oktoobrist 2020, 1. novembrist 2020, 1. detsembrist 2020 ja 1. jaanuarist 2021 on finantsmõju mitmele eelarvereale, mis on seotud töötajate kuludega rubriigis 7.</w:t>
      </w:r>
    </w:p>
    <w:p w14:paraId="31AB13D4" w14:textId="77777777" w:rsidR="001F6127" w:rsidRPr="00C9789A" w:rsidRDefault="001F6127">
      <w:pPr>
        <w:pStyle w:val="Text1"/>
        <w:rPr>
          <w:noProof/>
        </w:rPr>
      </w:pPr>
    </w:p>
    <w:p w14:paraId="0B248C9A" w14:textId="77777777" w:rsidR="00DA0187" w:rsidRPr="00C9789A" w:rsidRDefault="00B54112">
      <w:pPr>
        <w:spacing w:before="120" w:after="120" w:line="240" w:lineRule="auto"/>
        <w:ind w:left="5040" w:firstLine="720"/>
        <w:rPr>
          <w:rFonts w:ascii="Times New Roman" w:eastAsia="Times New Roman" w:hAnsi="Times New Roman" w:cs="Times New Roman"/>
          <w:i/>
          <w:noProof/>
          <w:sz w:val="20"/>
          <w:szCs w:val="20"/>
        </w:rPr>
      </w:pPr>
      <w:r>
        <w:rPr>
          <w:rFonts w:ascii="Times New Roman" w:hAnsi="Times New Roman"/>
          <w:noProof/>
          <w:sz w:val="20"/>
          <w:szCs w:val="20"/>
        </w:rPr>
        <w:t xml:space="preserve">Miljonites eurodes </w:t>
      </w:r>
    </w:p>
    <w:tbl>
      <w:tblPr>
        <w:tblStyle w:val="TableGrid"/>
        <w:tblW w:w="0" w:type="auto"/>
        <w:jc w:val="center"/>
        <w:tblLayout w:type="fixed"/>
        <w:tblLook w:val="04A0" w:firstRow="1" w:lastRow="0" w:firstColumn="1" w:lastColumn="0" w:noHBand="0" w:noVBand="1"/>
      </w:tblPr>
      <w:tblGrid>
        <w:gridCol w:w="2415"/>
        <w:gridCol w:w="1004"/>
        <w:gridCol w:w="1004"/>
        <w:gridCol w:w="1004"/>
      </w:tblGrid>
      <w:tr w:rsidR="00DA0187" w:rsidRPr="00C9789A" w14:paraId="56CC2320" w14:textId="77777777">
        <w:trPr>
          <w:trHeight w:val="548"/>
          <w:jc w:val="center"/>
        </w:trPr>
        <w:tc>
          <w:tcPr>
            <w:tcW w:w="2415" w:type="dxa"/>
            <w:tcBorders>
              <w:top w:val="nil"/>
              <w:left w:val="nil"/>
              <w:bottom w:val="nil"/>
            </w:tcBorders>
            <w:vAlign w:val="center"/>
          </w:tcPr>
          <w:p w14:paraId="1432A898" w14:textId="77777777" w:rsidR="00DA0187" w:rsidRPr="00C9789A" w:rsidRDefault="00DA0187">
            <w:pPr>
              <w:pStyle w:val="Text1"/>
              <w:ind w:left="0"/>
              <w:jc w:val="center"/>
              <w:rPr>
                <w:noProof/>
              </w:rPr>
            </w:pPr>
          </w:p>
        </w:tc>
        <w:tc>
          <w:tcPr>
            <w:tcW w:w="3012" w:type="dxa"/>
            <w:gridSpan w:val="3"/>
            <w:shd w:val="clear" w:color="auto" w:fill="D9D9D9" w:themeFill="background1" w:themeFillShade="D9"/>
            <w:vAlign w:val="center"/>
          </w:tcPr>
          <w:p w14:paraId="767A8EFB" w14:textId="77777777" w:rsidR="00DA0187" w:rsidRPr="00C9789A" w:rsidRDefault="00B54112">
            <w:pPr>
              <w:pStyle w:val="Text1"/>
              <w:ind w:left="0"/>
              <w:jc w:val="center"/>
              <w:rPr>
                <w:noProof/>
              </w:rPr>
            </w:pPr>
            <w:r>
              <w:rPr>
                <w:noProof/>
              </w:rPr>
              <w:t>Rubriik 7</w:t>
            </w:r>
          </w:p>
        </w:tc>
      </w:tr>
      <w:tr w:rsidR="00DA0187" w:rsidRPr="00C9789A" w14:paraId="498E077A" w14:textId="77777777">
        <w:trPr>
          <w:trHeight w:val="816"/>
          <w:jc w:val="center"/>
        </w:trPr>
        <w:tc>
          <w:tcPr>
            <w:tcW w:w="2415" w:type="dxa"/>
            <w:tcBorders>
              <w:top w:val="nil"/>
              <w:left w:val="nil"/>
            </w:tcBorders>
            <w:vAlign w:val="center"/>
          </w:tcPr>
          <w:p w14:paraId="706C6AD9" w14:textId="77777777" w:rsidR="00DA0187" w:rsidRPr="00C9789A" w:rsidRDefault="00DA0187">
            <w:pPr>
              <w:pStyle w:val="Text1"/>
              <w:ind w:left="0"/>
              <w:jc w:val="center"/>
              <w:rPr>
                <w:noProof/>
              </w:rPr>
            </w:pPr>
          </w:p>
        </w:tc>
        <w:tc>
          <w:tcPr>
            <w:tcW w:w="1004" w:type="dxa"/>
            <w:vAlign w:val="center"/>
          </w:tcPr>
          <w:p w14:paraId="0A4BFA13" w14:textId="79691FEC" w:rsidR="00DA0187" w:rsidRPr="00C9789A" w:rsidRDefault="00AE12B6" w:rsidP="00425AC6">
            <w:pPr>
              <w:pStyle w:val="Text1"/>
              <w:ind w:left="0"/>
              <w:jc w:val="center"/>
              <w:rPr>
                <w:i/>
                <w:noProof/>
              </w:rPr>
            </w:pPr>
            <w:r>
              <w:rPr>
                <w:i/>
                <w:noProof/>
              </w:rPr>
              <w:t>Aasta</w:t>
            </w:r>
            <w:r>
              <w:rPr>
                <w:noProof/>
              </w:rPr>
              <w:t xml:space="preserve"> </w:t>
            </w:r>
            <w:r>
              <w:rPr>
                <w:noProof/>
              </w:rPr>
              <w:br/>
            </w:r>
            <w:r>
              <w:rPr>
                <w:i/>
                <w:noProof/>
              </w:rPr>
              <w:t>2021</w:t>
            </w:r>
          </w:p>
        </w:tc>
        <w:tc>
          <w:tcPr>
            <w:tcW w:w="1004" w:type="dxa"/>
            <w:vAlign w:val="center"/>
          </w:tcPr>
          <w:p w14:paraId="1FC56C78" w14:textId="50FA958C" w:rsidR="00DA0187" w:rsidRPr="00C9789A" w:rsidRDefault="00AE12B6" w:rsidP="00425AC6">
            <w:pPr>
              <w:pStyle w:val="Text1"/>
              <w:ind w:left="0"/>
              <w:jc w:val="center"/>
              <w:rPr>
                <w:i/>
                <w:noProof/>
              </w:rPr>
            </w:pPr>
            <w:r>
              <w:rPr>
                <w:i/>
                <w:noProof/>
              </w:rPr>
              <w:t>Aasta</w:t>
            </w:r>
            <w:r>
              <w:rPr>
                <w:noProof/>
              </w:rPr>
              <w:t xml:space="preserve"> </w:t>
            </w:r>
            <w:r>
              <w:rPr>
                <w:noProof/>
              </w:rPr>
              <w:br/>
            </w:r>
            <w:r>
              <w:rPr>
                <w:i/>
                <w:noProof/>
              </w:rPr>
              <w:t>2022</w:t>
            </w:r>
          </w:p>
        </w:tc>
        <w:tc>
          <w:tcPr>
            <w:tcW w:w="1004" w:type="dxa"/>
            <w:vAlign w:val="center"/>
          </w:tcPr>
          <w:p w14:paraId="73DEE898" w14:textId="77777777" w:rsidR="00DA0187" w:rsidRPr="00C9789A" w:rsidRDefault="00B54112">
            <w:pPr>
              <w:pStyle w:val="Text1"/>
              <w:ind w:left="0"/>
              <w:jc w:val="center"/>
              <w:rPr>
                <w:i/>
                <w:noProof/>
                <w:sz w:val="16"/>
              </w:rPr>
            </w:pPr>
            <w:r>
              <w:rPr>
                <w:i/>
                <w:noProof/>
                <w:sz w:val="16"/>
              </w:rPr>
              <w:t>Järgnevad aastad</w:t>
            </w:r>
          </w:p>
        </w:tc>
      </w:tr>
      <w:tr w:rsidR="00DA0187" w:rsidRPr="00C9789A" w14:paraId="3CE78F25" w14:textId="77777777">
        <w:trPr>
          <w:trHeight w:val="816"/>
          <w:jc w:val="center"/>
        </w:trPr>
        <w:tc>
          <w:tcPr>
            <w:tcW w:w="2415" w:type="dxa"/>
            <w:shd w:val="clear" w:color="auto" w:fill="D9D9D9" w:themeFill="background1" w:themeFillShade="D9"/>
            <w:vAlign w:val="center"/>
          </w:tcPr>
          <w:p w14:paraId="68C1C1B0" w14:textId="77777777" w:rsidR="00DA0187" w:rsidRPr="00C9789A" w:rsidRDefault="00B54112">
            <w:pPr>
              <w:pStyle w:val="Text1"/>
              <w:ind w:left="0"/>
              <w:jc w:val="center"/>
              <w:rPr>
                <w:noProof/>
              </w:rPr>
            </w:pPr>
            <w:r>
              <w:rPr>
                <w:noProof/>
              </w:rPr>
              <w:t>Hinnanguline mõju kuludele</w:t>
            </w:r>
          </w:p>
        </w:tc>
        <w:tc>
          <w:tcPr>
            <w:tcW w:w="1004" w:type="dxa"/>
            <w:vAlign w:val="center"/>
          </w:tcPr>
          <w:p w14:paraId="6C306C21" w14:textId="1794AB5C" w:rsidR="00DA0187" w:rsidRPr="00002D16" w:rsidRDefault="00183B91" w:rsidP="00183B91">
            <w:pPr>
              <w:pStyle w:val="Text1"/>
              <w:ind w:left="0"/>
              <w:jc w:val="center"/>
              <w:rPr>
                <w:noProof/>
              </w:rPr>
            </w:pPr>
            <w:r>
              <w:rPr>
                <w:noProof/>
              </w:rPr>
              <w:t>– 0,07</w:t>
            </w:r>
          </w:p>
        </w:tc>
        <w:tc>
          <w:tcPr>
            <w:tcW w:w="1004" w:type="dxa"/>
            <w:vAlign w:val="center"/>
          </w:tcPr>
          <w:p w14:paraId="18B11D1C" w14:textId="47D3EB1D" w:rsidR="00DA0187" w:rsidRPr="00002D16" w:rsidRDefault="00183B91" w:rsidP="008E702F">
            <w:pPr>
              <w:pStyle w:val="Text1"/>
              <w:ind w:left="0"/>
              <w:jc w:val="center"/>
              <w:rPr>
                <w:noProof/>
              </w:rPr>
            </w:pPr>
            <w:r>
              <w:rPr>
                <w:noProof/>
              </w:rPr>
              <w:t>– 0,14</w:t>
            </w:r>
          </w:p>
        </w:tc>
        <w:tc>
          <w:tcPr>
            <w:tcW w:w="1004" w:type="dxa"/>
            <w:vAlign w:val="center"/>
          </w:tcPr>
          <w:p w14:paraId="5DB67D08" w14:textId="6438E766" w:rsidR="00DA0187" w:rsidRPr="00002D16" w:rsidRDefault="00183B91" w:rsidP="008E702F">
            <w:pPr>
              <w:pStyle w:val="Text1"/>
              <w:ind w:left="0"/>
              <w:jc w:val="center"/>
              <w:rPr>
                <w:noProof/>
              </w:rPr>
            </w:pPr>
            <w:r>
              <w:rPr>
                <w:noProof/>
              </w:rPr>
              <w:t>– 0,14</w:t>
            </w:r>
          </w:p>
        </w:tc>
      </w:tr>
    </w:tbl>
    <w:p w14:paraId="1A6B6638" w14:textId="77777777" w:rsidR="00DA0187" w:rsidRPr="00C9789A" w:rsidRDefault="00DA0187">
      <w:pPr>
        <w:pStyle w:val="Text1"/>
        <w:rPr>
          <w:noProof/>
        </w:rPr>
      </w:pPr>
    </w:p>
    <w:p w14:paraId="253D3BC7" w14:textId="77777777" w:rsidR="00DA0187" w:rsidRPr="00C9789A" w:rsidRDefault="00DA0187">
      <w:pPr>
        <w:pStyle w:val="Text1"/>
        <w:rPr>
          <w:noProof/>
        </w:rPr>
      </w:pPr>
    </w:p>
    <w:p w14:paraId="392AF512" w14:textId="2E1BF6D2" w:rsidR="00DA0187" w:rsidRPr="00C9789A" w:rsidRDefault="00E562B7">
      <w:pPr>
        <w:pStyle w:val="Heading3"/>
        <w:rPr>
          <w:noProof/>
        </w:rPr>
      </w:pPr>
      <w:r>
        <w:rPr>
          <w:noProof/>
        </w:rPr>
        <w:t>Periood alates 2021. aasta veebruarist 2021. aasta juunini</w:t>
      </w:r>
    </w:p>
    <w:p w14:paraId="40087AB9" w14:textId="5D16094C" w:rsidR="00DA0187" w:rsidRDefault="00B54112">
      <w:pPr>
        <w:pStyle w:val="Text1"/>
        <w:rPr>
          <w:noProof/>
        </w:rPr>
      </w:pPr>
      <w:r>
        <w:rPr>
          <w:noProof/>
        </w:rPr>
        <w:t>Kolmandates riikides töötavate ELi töötajate töötasude suhtes kohaldatavate teatavate paranduskoefitsientide vahepealsel ajakohastamisel alates 1. veebruarist 2021, 1. märtsist 2021, 1. aprillist 2021, 1. maist 2021 ja 1. juunist 2021 on finantsmõju mitmele eelarvereale, mis on seotud töötajate kuludega rubriigis 7.</w:t>
      </w:r>
    </w:p>
    <w:p w14:paraId="2058D41D" w14:textId="77777777" w:rsidR="001F6127" w:rsidRPr="00C9789A" w:rsidRDefault="001F6127">
      <w:pPr>
        <w:pStyle w:val="Text1"/>
        <w:rPr>
          <w:noProof/>
        </w:rPr>
      </w:pPr>
    </w:p>
    <w:p w14:paraId="0ACE2C43" w14:textId="77777777" w:rsidR="00DA0187" w:rsidRPr="00C9789A" w:rsidRDefault="00B54112">
      <w:pPr>
        <w:spacing w:before="120" w:after="120" w:line="240" w:lineRule="auto"/>
        <w:ind w:left="5040" w:firstLine="720"/>
        <w:rPr>
          <w:rFonts w:ascii="Times New Roman" w:eastAsia="Times New Roman" w:hAnsi="Times New Roman" w:cs="Times New Roman"/>
          <w:i/>
          <w:noProof/>
          <w:sz w:val="20"/>
          <w:szCs w:val="20"/>
        </w:rPr>
      </w:pPr>
      <w:r>
        <w:rPr>
          <w:rFonts w:ascii="Times New Roman" w:hAnsi="Times New Roman"/>
          <w:noProof/>
          <w:sz w:val="20"/>
          <w:szCs w:val="20"/>
        </w:rPr>
        <w:t xml:space="preserve">Miljonites eurodes </w:t>
      </w:r>
    </w:p>
    <w:tbl>
      <w:tblPr>
        <w:tblStyle w:val="TableGrid"/>
        <w:tblW w:w="0" w:type="auto"/>
        <w:jc w:val="center"/>
        <w:tblLayout w:type="fixed"/>
        <w:tblLook w:val="04A0" w:firstRow="1" w:lastRow="0" w:firstColumn="1" w:lastColumn="0" w:noHBand="0" w:noVBand="1"/>
      </w:tblPr>
      <w:tblGrid>
        <w:gridCol w:w="2415"/>
        <w:gridCol w:w="1004"/>
        <w:gridCol w:w="1004"/>
        <w:gridCol w:w="1004"/>
      </w:tblGrid>
      <w:tr w:rsidR="00DA0187" w:rsidRPr="00C9789A" w14:paraId="3A91001A" w14:textId="77777777">
        <w:trPr>
          <w:trHeight w:val="548"/>
          <w:jc w:val="center"/>
        </w:trPr>
        <w:tc>
          <w:tcPr>
            <w:tcW w:w="2415" w:type="dxa"/>
            <w:tcBorders>
              <w:top w:val="nil"/>
              <w:left w:val="nil"/>
              <w:bottom w:val="nil"/>
            </w:tcBorders>
            <w:vAlign w:val="center"/>
          </w:tcPr>
          <w:p w14:paraId="2284C402" w14:textId="77777777" w:rsidR="00DA0187" w:rsidRPr="00C9789A" w:rsidRDefault="00DA0187">
            <w:pPr>
              <w:pStyle w:val="Text1"/>
              <w:ind w:left="0"/>
              <w:jc w:val="center"/>
              <w:rPr>
                <w:noProof/>
              </w:rPr>
            </w:pPr>
          </w:p>
        </w:tc>
        <w:tc>
          <w:tcPr>
            <w:tcW w:w="3012" w:type="dxa"/>
            <w:gridSpan w:val="3"/>
            <w:shd w:val="clear" w:color="auto" w:fill="D9D9D9" w:themeFill="background1" w:themeFillShade="D9"/>
            <w:vAlign w:val="center"/>
          </w:tcPr>
          <w:p w14:paraId="5A604702" w14:textId="77777777" w:rsidR="00DA0187" w:rsidRPr="00C9789A" w:rsidRDefault="00B54112">
            <w:pPr>
              <w:pStyle w:val="Text1"/>
              <w:ind w:left="0"/>
              <w:jc w:val="center"/>
              <w:rPr>
                <w:noProof/>
              </w:rPr>
            </w:pPr>
            <w:r>
              <w:rPr>
                <w:noProof/>
              </w:rPr>
              <w:t>Rubriik 7</w:t>
            </w:r>
          </w:p>
        </w:tc>
      </w:tr>
      <w:tr w:rsidR="00DA0187" w:rsidRPr="00C9789A" w14:paraId="660487D5" w14:textId="77777777">
        <w:trPr>
          <w:trHeight w:val="816"/>
          <w:jc w:val="center"/>
        </w:trPr>
        <w:tc>
          <w:tcPr>
            <w:tcW w:w="2415" w:type="dxa"/>
            <w:tcBorders>
              <w:top w:val="nil"/>
              <w:left w:val="nil"/>
            </w:tcBorders>
            <w:vAlign w:val="center"/>
          </w:tcPr>
          <w:p w14:paraId="67BDC042" w14:textId="77777777" w:rsidR="00DA0187" w:rsidRPr="00C9789A" w:rsidRDefault="00DA0187">
            <w:pPr>
              <w:pStyle w:val="Text1"/>
              <w:ind w:left="0"/>
              <w:jc w:val="center"/>
              <w:rPr>
                <w:noProof/>
              </w:rPr>
            </w:pPr>
          </w:p>
        </w:tc>
        <w:tc>
          <w:tcPr>
            <w:tcW w:w="1004" w:type="dxa"/>
            <w:vAlign w:val="center"/>
          </w:tcPr>
          <w:p w14:paraId="75858382" w14:textId="207BA9F7" w:rsidR="00DA0187" w:rsidRPr="00C9789A" w:rsidRDefault="00AE12B6" w:rsidP="00425AC6">
            <w:pPr>
              <w:pStyle w:val="Text1"/>
              <w:ind w:left="0"/>
              <w:jc w:val="center"/>
              <w:rPr>
                <w:i/>
                <w:noProof/>
              </w:rPr>
            </w:pPr>
            <w:r>
              <w:rPr>
                <w:i/>
                <w:noProof/>
              </w:rPr>
              <w:t>Aasta</w:t>
            </w:r>
            <w:r>
              <w:rPr>
                <w:noProof/>
              </w:rPr>
              <w:t xml:space="preserve"> </w:t>
            </w:r>
            <w:r>
              <w:rPr>
                <w:noProof/>
              </w:rPr>
              <w:br/>
            </w:r>
            <w:r>
              <w:rPr>
                <w:i/>
                <w:noProof/>
              </w:rPr>
              <w:t>2021</w:t>
            </w:r>
          </w:p>
        </w:tc>
        <w:tc>
          <w:tcPr>
            <w:tcW w:w="1004" w:type="dxa"/>
            <w:vAlign w:val="center"/>
          </w:tcPr>
          <w:p w14:paraId="1E1302C5" w14:textId="43342F3D" w:rsidR="00DA0187" w:rsidRPr="00C9789A" w:rsidRDefault="00AE12B6" w:rsidP="00425AC6">
            <w:pPr>
              <w:pStyle w:val="Text1"/>
              <w:ind w:left="0"/>
              <w:jc w:val="center"/>
              <w:rPr>
                <w:i/>
                <w:noProof/>
              </w:rPr>
            </w:pPr>
            <w:r>
              <w:rPr>
                <w:i/>
                <w:noProof/>
              </w:rPr>
              <w:t>Aasta</w:t>
            </w:r>
            <w:r>
              <w:rPr>
                <w:noProof/>
              </w:rPr>
              <w:t xml:space="preserve"> </w:t>
            </w:r>
            <w:r>
              <w:rPr>
                <w:noProof/>
              </w:rPr>
              <w:br/>
            </w:r>
            <w:r>
              <w:rPr>
                <w:i/>
                <w:noProof/>
              </w:rPr>
              <w:t>2022</w:t>
            </w:r>
          </w:p>
        </w:tc>
        <w:tc>
          <w:tcPr>
            <w:tcW w:w="1004" w:type="dxa"/>
            <w:vAlign w:val="center"/>
          </w:tcPr>
          <w:p w14:paraId="5A5E12CF" w14:textId="77777777" w:rsidR="00DA0187" w:rsidRPr="00C9789A" w:rsidRDefault="00B54112">
            <w:pPr>
              <w:pStyle w:val="Text1"/>
              <w:ind w:left="0"/>
              <w:jc w:val="center"/>
              <w:rPr>
                <w:i/>
                <w:noProof/>
                <w:sz w:val="16"/>
              </w:rPr>
            </w:pPr>
            <w:r>
              <w:rPr>
                <w:i/>
                <w:noProof/>
                <w:sz w:val="16"/>
              </w:rPr>
              <w:t>Järgnevad aastad</w:t>
            </w:r>
          </w:p>
        </w:tc>
      </w:tr>
      <w:tr w:rsidR="00DA0187" w:rsidRPr="00C9789A" w14:paraId="378DF5CF" w14:textId="77777777" w:rsidTr="00002D16">
        <w:trPr>
          <w:trHeight w:val="816"/>
          <w:jc w:val="center"/>
        </w:trPr>
        <w:tc>
          <w:tcPr>
            <w:tcW w:w="2415" w:type="dxa"/>
            <w:shd w:val="clear" w:color="auto" w:fill="D9D9D9" w:themeFill="background1" w:themeFillShade="D9"/>
            <w:vAlign w:val="center"/>
          </w:tcPr>
          <w:p w14:paraId="56DBE127" w14:textId="77777777" w:rsidR="00DA0187" w:rsidRPr="00C9789A" w:rsidRDefault="00B54112">
            <w:pPr>
              <w:pStyle w:val="Text1"/>
              <w:ind w:left="0"/>
              <w:jc w:val="center"/>
              <w:rPr>
                <w:noProof/>
              </w:rPr>
            </w:pPr>
            <w:r>
              <w:rPr>
                <w:noProof/>
              </w:rPr>
              <w:t>Hinnanguline mõju kuludele</w:t>
            </w:r>
          </w:p>
        </w:tc>
        <w:tc>
          <w:tcPr>
            <w:tcW w:w="1004" w:type="dxa"/>
            <w:shd w:val="clear" w:color="auto" w:fill="auto"/>
            <w:vAlign w:val="center"/>
          </w:tcPr>
          <w:p w14:paraId="4C5968CA" w14:textId="7E2221D4" w:rsidR="00DA0187" w:rsidRPr="00E91FC6" w:rsidRDefault="009E3D60" w:rsidP="008E702F">
            <w:pPr>
              <w:pStyle w:val="Text1"/>
              <w:ind w:left="0"/>
              <w:jc w:val="center"/>
              <w:rPr>
                <w:noProof/>
                <w:highlight w:val="yellow"/>
              </w:rPr>
            </w:pPr>
            <w:r>
              <w:rPr>
                <w:noProof/>
              </w:rPr>
              <w:t>– 0,12</w:t>
            </w:r>
          </w:p>
        </w:tc>
        <w:tc>
          <w:tcPr>
            <w:tcW w:w="1004" w:type="dxa"/>
            <w:shd w:val="clear" w:color="auto" w:fill="auto"/>
            <w:vAlign w:val="center"/>
          </w:tcPr>
          <w:p w14:paraId="1D15DC23" w14:textId="309893CD" w:rsidR="00DA0187" w:rsidRPr="00E91FC6" w:rsidRDefault="009E3D60" w:rsidP="008E702F">
            <w:pPr>
              <w:pStyle w:val="Text1"/>
              <w:ind w:left="0"/>
              <w:jc w:val="center"/>
              <w:rPr>
                <w:noProof/>
                <w:highlight w:val="yellow"/>
              </w:rPr>
            </w:pPr>
            <w:r>
              <w:rPr>
                <w:noProof/>
              </w:rPr>
              <w:t>– 0,23</w:t>
            </w:r>
          </w:p>
        </w:tc>
        <w:tc>
          <w:tcPr>
            <w:tcW w:w="1004" w:type="dxa"/>
            <w:shd w:val="clear" w:color="auto" w:fill="auto"/>
            <w:vAlign w:val="center"/>
          </w:tcPr>
          <w:p w14:paraId="6AAADA84" w14:textId="1D69A2BD" w:rsidR="00DA0187" w:rsidRPr="00E91FC6" w:rsidRDefault="009E3D60" w:rsidP="008E702F">
            <w:pPr>
              <w:pStyle w:val="Text1"/>
              <w:ind w:left="0"/>
              <w:jc w:val="center"/>
              <w:rPr>
                <w:noProof/>
                <w:highlight w:val="yellow"/>
              </w:rPr>
            </w:pPr>
            <w:r>
              <w:rPr>
                <w:noProof/>
              </w:rPr>
              <w:t>– 0,23</w:t>
            </w:r>
          </w:p>
        </w:tc>
      </w:tr>
    </w:tbl>
    <w:p w14:paraId="5C1BE9B4" w14:textId="77777777" w:rsidR="00DA0187" w:rsidRPr="00C9789A" w:rsidRDefault="00DA0187">
      <w:pPr>
        <w:pStyle w:val="Text1"/>
        <w:rPr>
          <w:noProof/>
        </w:rPr>
      </w:pPr>
    </w:p>
    <w:p w14:paraId="35E1809F" w14:textId="77777777" w:rsidR="001F6127" w:rsidRDefault="001F6127">
      <w:pPr>
        <w:rPr>
          <w:rFonts w:ascii="Times New Roman" w:eastAsiaTheme="majorEastAsia" w:hAnsi="Times New Roman" w:cs="Times New Roman"/>
          <w:noProof/>
          <w:spacing w:val="5"/>
          <w:kern w:val="28"/>
          <w:sz w:val="24"/>
          <w:szCs w:val="24"/>
        </w:rPr>
      </w:pPr>
      <w:r>
        <w:rPr>
          <w:noProof/>
        </w:rPr>
        <w:br w:type="page"/>
      </w:r>
    </w:p>
    <w:p w14:paraId="2710329F" w14:textId="77777777" w:rsidR="00DA0187" w:rsidRPr="00C9789A" w:rsidRDefault="00B54112">
      <w:pPr>
        <w:pStyle w:val="Title"/>
        <w:rPr>
          <w:rFonts w:ascii="Times New Roman" w:hAnsi="Times New Roman" w:cs="Times New Roman"/>
          <w:noProof/>
          <w:color w:val="auto"/>
          <w:sz w:val="24"/>
          <w:szCs w:val="24"/>
        </w:rPr>
      </w:pPr>
      <w:r>
        <w:rPr>
          <w:rFonts w:ascii="Times New Roman" w:hAnsi="Times New Roman"/>
          <w:noProof/>
          <w:color w:val="auto"/>
          <w:sz w:val="24"/>
          <w:szCs w:val="24"/>
        </w:rPr>
        <w:t>Lisad:</w:t>
      </w:r>
    </w:p>
    <w:p w14:paraId="3372D5F4" w14:textId="02F86B3A" w:rsidR="00DA0187" w:rsidRPr="00C9789A" w:rsidRDefault="00B54112">
      <w:pPr>
        <w:pStyle w:val="ListNumber"/>
        <w:rPr>
          <w:noProof/>
        </w:rPr>
      </w:pPr>
      <w:r>
        <w:rPr>
          <w:noProof/>
        </w:rPr>
        <w:t xml:space="preserve">Eelnõu: avaldamine </w:t>
      </w:r>
      <w:r>
        <w:rPr>
          <w:i/>
          <w:iCs/>
          <w:noProof/>
        </w:rPr>
        <w:t>Euroopa Liidu Teataja</w:t>
      </w:r>
      <w:r>
        <w:rPr>
          <w:noProof/>
        </w:rPr>
        <w:t xml:space="preserve"> C-seerias – Euroopa Liidu ametnike ja muude teenistujate töötasude ja pensionide ning nimetatud töötasude ja pensionide suhtes kohaldatavate paranduskoefitsientide ajakohastamine 2021. aastal</w:t>
      </w:r>
    </w:p>
    <w:p w14:paraId="5786C376" w14:textId="0F363A68" w:rsidR="00DA0187" w:rsidRPr="00C9789A" w:rsidRDefault="00B54112">
      <w:pPr>
        <w:pStyle w:val="ListNumber"/>
        <w:rPr>
          <w:noProof/>
        </w:rPr>
      </w:pPr>
      <w:r>
        <w:rPr>
          <w:noProof/>
        </w:rPr>
        <w:t xml:space="preserve">Eelnõu: avaldamine </w:t>
      </w:r>
      <w:r>
        <w:rPr>
          <w:i/>
          <w:iCs/>
          <w:noProof/>
        </w:rPr>
        <w:t>Euroopa Liidu Teataja</w:t>
      </w:r>
      <w:r>
        <w:rPr>
          <w:noProof/>
        </w:rPr>
        <w:t xml:space="preserve"> C-seerias – kolmandates riikides töötavate Euroopa Liidu ametnike ning ajutiste ja lepinguliste töötajate töötasude suhtes kohaldatavate paranduskoefitsientide ajakohastamine 2021. aastal</w:t>
      </w:r>
    </w:p>
    <w:p w14:paraId="68056D31" w14:textId="77777777" w:rsidR="000257B5" w:rsidRDefault="00B54112" w:rsidP="000257B5">
      <w:pPr>
        <w:pStyle w:val="ListNumber"/>
        <w:rPr>
          <w:noProof/>
        </w:rPr>
      </w:pPr>
      <w:r>
        <w:rPr>
          <w:noProof/>
        </w:rPr>
        <w:t xml:space="preserve">Eelnõu: avaldamine </w:t>
      </w:r>
      <w:r>
        <w:rPr>
          <w:i/>
          <w:iCs/>
          <w:noProof/>
        </w:rPr>
        <w:t>Euroopa Liidu Teataja</w:t>
      </w:r>
      <w:r>
        <w:rPr>
          <w:noProof/>
        </w:rPr>
        <w:t xml:space="preserve"> C-seerias – kolmandates riikides töötavate Euroopa Liidu ametnike ning ajutiste ja lepinguliste töötajate töötasude suhtes kohaldatavate paranduskoefitsientide vahepealne ajakohastamine </w:t>
      </w:r>
    </w:p>
    <w:p w14:paraId="40E4E6A2" w14:textId="4EC66A3F" w:rsidR="003F7F89" w:rsidRPr="00524BA6" w:rsidRDefault="003F7F89" w:rsidP="003F7F89">
      <w:pPr>
        <w:pStyle w:val="ListNumber"/>
        <w:rPr>
          <w:noProof/>
        </w:rPr>
      </w:pPr>
      <w:r>
        <w:rPr>
          <w:noProof/>
        </w:rPr>
        <w:t xml:space="preserve">Avaldatud </w:t>
      </w:r>
      <w:r>
        <w:rPr>
          <w:i/>
          <w:iCs/>
          <w:noProof/>
        </w:rPr>
        <w:t>Euroopa Liidu Teataja</w:t>
      </w:r>
      <w:r>
        <w:rPr>
          <w:noProof/>
        </w:rPr>
        <w:t xml:space="preserve"> C-seerias – kolmandates riikides töötavate Euroopa Liidu ametnike ning ajutiste ja lepinguliste töötajate töötasude suhtes kohaldatavate paranduskoefitsientide vahepealne ajakohastamine</w:t>
      </w:r>
      <w:r>
        <w:rPr>
          <w:rStyle w:val="FootnoteReference"/>
          <w:noProof/>
        </w:rPr>
        <w:footnoteReference w:id="13"/>
      </w:r>
      <w:r>
        <w:rPr>
          <w:noProof/>
        </w:rPr>
        <w:t xml:space="preserve"> </w:t>
      </w:r>
    </w:p>
    <w:p w14:paraId="2870B2E3" w14:textId="77777777" w:rsidR="003F7F89" w:rsidRPr="00524BA6" w:rsidRDefault="003F7F89" w:rsidP="003F7F89">
      <w:pPr>
        <w:pStyle w:val="ListNumber"/>
        <w:numPr>
          <w:ilvl w:val="0"/>
          <w:numId w:val="0"/>
        </w:numPr>
        <w:rPr>
          <w:noProof/>
        </w:rPr>
      </w:pPr>
    </w:p>
    <w:sectPr w:rsidR="003F7F89" w:rsidRPr="00524BA6" w:rsidSect="001B201C">
      <w:headerReference w:type="even" r:id="rId15"/>
      <w:headerReference w:type="default" r:id="rId16"/>
      <w:footerReference w:type="even" r:id="rId17"/>
      <w:footerReference w:type="default" r:id="rId18"/>
      <w:headerReference w:type="first" r:id="rId19"/>
      <w:footerReference w:type="first" r:id="rId20"/>
      <w:pgSz w:w="11907" w:h="16839"/>
      <w:pgMar w:top="1134" w:right="1417" w:bottom="1134" w:left="141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A9680" w14:textId="77777777" w:rsidR="0032511E" w:rsidRDefault="0032511E">
      <w:pPr>
        <w:spacing w:after="0" w:line="240" w:lineRule="auto"/>
      </w:pPr>
      <w:r>
        <w:separator/>
      </w:r>
    </w:p>
  </w:endnote>
  <w:endnote w:type="continuationSeparator" w:id="0">
    <w:p w14:paraId="304A6A5E" w14:textId="77777777" w:rsidR="0032511E" w:rsidRDefault="0032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791BE" w14:textId="77777777" w:rsidR="0000665C" w:rsidRPr="0000665C" w:rsidRDefault="0000665C" w:rsidP="000066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6A642" w14:textId="30ABD645" w:rsidR="00491D5B" w:rsidRPr="0000665C" w:rsidRDefault="0000665C" w:rsidP="0000665C">
    <w:pPr>
      <w:pStyle w:val="FooterCoverPage"/>
      <w:rPr>
        <w:rFonts w:ascii="Arial" w:hAnsi="Arial" w:cs="Arial"/>
        <w:b/>
        <w:sz w:val="48"/>
      </w:rPr>
    </w:pPr>
    <w:r w:rsidRPr="0000665C">
      <w:rPr>
        <w:rFonts w:ascii="Arial" w:hAnsi="Arial" w:cs="Arial"/>
        <w:b/>
        <w:sz w:val="48"/>
      </w:rPr>
      <w:t>ET</w:t>
    </w:r>
    <w:r w:rsidRPr="0000665C">
      <w:rPr>
        <w:rFonts w:ascii="Arial" w:hAnsi="Arial" w:cs="Arial"/>
        <w:b/>
        <w:sz w:val="48"/>
      </w:rPr>
      <w:tab/>
    </w:r>
    <w:r w:rsidRPr="0000665C">
      <w:rPr>
        <w:rFonts w:ascii="Arial" w:hAnsi="Arial" w:cs="Arial"/>
        <w:b/>
        <w:sz w:val="48"/>
      </w:rPr>
      <w:tab/>
    </w:r>
    <w:r w:rsidRPr="0000665C">
      <w:tab/>
    </w:r>
    <w:r w:rsidRPr="0000665C">
      <w:rPr>
        <w:rFonts w:ascii="Arial" w:hAnsi="Arial" w:cs="Arial"/>
        <w:b/>
        <w:sz w:val="48"/>
      </w:rPr>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686C" w14:textId="77777777" w:rsidR="0000665C" w:rsidRPr="0000665C" w:rsidRDefault="0000665C" w:rsidP="0000665C">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148AC" w14:textId="77777777" w:rsidR="000C0457" w:rsidRDefault="000C04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641782"/>
      <w:docPartObj>
        <w:docPartGallery w:val="Page Numbers (Bottom of Page)"/>
        <w:docPartUnique/>
      </w:docPartObj>
    </w:sdtPr>
    <w:sdtEndPr>
      <w:rPr>
        <w:noProof/>
      </w:rPr>
    </w:sdtEndPr>
    <w:sdtContent>
      <w:p w14:paraId="798125F1" w14:textId="55AE6728" w:rsidR="000C0457" w:rsidRDefault="000C0457" w:rsidP="00A02FA3">
        <w:pPr>
          <w:pStyle w:val="Footer"/>
          <w:jc w:val="center"/>
        </w:pPr>
        <w:r>
          <w:fldChar w:fldCharType="begin"/>
        </w:r>
        <w:r>
          <w:instrText xml:space="preserve"> PAGE   \* MERGEFORMAT </w:instrText>
        </w:r>
        <w:r>
          <w:fldChar w:fldCharType="separate"/>
        </w:r>
        <w:r w:rsidR="0000665C">
          <w:rPr>
            <w:noProof/>
          </w:rPr>
          <w:t>1</w:t>
        </w:r>
        <w:r>
          <w:fldChar w:fldCharType="end"/>
        </w:r>
      </w:p>
    </w:sdtContent>
  </w:sdt>
  <w:p w14:paraId="6A9985C2" w14:textId="77777777" w:rsidR="000C0457" w:rsidRDefault="000C045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8DD44" w14:textId="77777777" w:rsidR="000C0457" w:rsidRDefault="000C0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8CCB5" w14:textId="77777777" w:rsidR="0032511E" w:rsidRDefault="0032511E">
      <w:pPr>
        <w:spacing w:after="0" w:line="240" w:lineRule="auto"/>
      </w:pPr>
      <w:r>
        <w:separator/>
      </w:r>
    </w:p>
  </w:footnote>
  <w:footnote w:type="continuationSeparator" w:id="0">
    <w:p w14:paraId="34CB9930" w14:textId="77777777" w:rsidR="0032511E" w:rsidRDefault="0032511E">
      <w:pPr>
        <w:spacing w:after="0" w:line="240" w:lineRule="auto"/>
      </w:pPr>
      <w:r>
        <w:continuationSeparator/>
      </w:r>
    </w:p>
  </w:footnote>
  <w:footnote w:id="1">
    <w:p w14:paraId="0264DDB8" w14:textId="77777777" w:rsidR="000C0457" w:rsidRPr="002031CA" w:rsidRDefault="000C0457">
      <w:pPr>
        <w:pStyle w:val="FootnoteText"/>
      </w:pPr>
      <w:r>
        <w:rPr>
          <w:rStyle w:val="FootnoteReference"/>
        </w:rPr>
        <w:footnoteRef/>
      </w:r>
      <w:r>
        <w:t xml:space="preserve"> </w:t>
      </w:r>
      <w:r>
        <w:tab/>
        <w:t>Täpsemalt viidatakse järgmistele Eurostati aruannetele:</w:t>
      </w:r>
    </w:p>
    <w:p w14:paraId="729A808E" w14:textId="71429873" w:rsidR="000C0457" w:rsidRPr="002031CA" w:rsidRDefault="000C0457">
      <w:pPr>
        <w:pStyle w:val="FootnoteText"/>
        <w:numPr>
          <w:ilvl w:val="0"/>
          <w:numId w:val="7"/>
        </w:numPr>
      </w:pPr>
      <w:r>
        <w:t>Eurostati 28. oktoobri 2021. aasta aruanne ELi ametnike töötasude ja pensionide ajakohastamise kohta 2021. aastal kooskõlas Euroopa Liidu ametnike ja teiste teenistujate suhtes kohaldatavate personalieeskirjade artiklitega 64 ja 65 ning XI lisaga, kohandades alates 1. juulist 2021 ELi töötajate töötasusid ja pensionile jäänud töötajate pensione ning ajakohastades alates 1. juulist 2021 paranduskoefitsiente, mida kohaldatakse ELis ja EList väljaspool asuvates teenistuskohtades töötavate töötajate töötasude suhtes, pensionile jäänud töötajate pensionide suhtes vastavalt nende elukohariigile ja pensionide ülekannete suhtes.</w:t>
      </w:r>
    </w:p>
    <w:p w14:paraId="2C42C7F1" w14:textId="6B32672C" w:rsidR="000C0457" w:rsidRPr="002031CA" w:rsidRDefault="000C0457">
      <w:pPr>
        <w:pStyle w:val="FootnoteText"/>
        <w:numPr>
          <w:ilvl w:val="0"/>
          <w:numId w:val="7"/>
        </w:numPr>
      </w:pPr>
      <w:r>
        <w:t>Eurostati 26. mai 2021. aasta aruanne ELi ametnike töötasude ja pensionide vahepealse ajakohastamise kohta kooskõlas Euroopa Liidu ametnike ja teiste teenistujate suhtes kohaldatavate personalieeskirjade artiklitega 64 ja 65 ning XI lisaga.</w:t>
      </w:r>
    </w:p>
    <w:p w14:paraId="18FD38CD" w14:textId="6AA76ECD" w:rsidR="000C0457" w:rsidRPr="002031CA" w:rsidRDefault="000C0457">
      <w:pPr>
        <w:pStyle w:val="FootnoteText"/>
        <w:numPr>
          <w:ilvl w:val="0"/>
          <w:numId w:val="7"/>
        </w:numPr>
      </w:pPr>
      <w:r>
        <w:t>Eurostati 5. mai 2021. aasta ja 18. oktoobri 2021. aasta aruanded liiduvälistes delegatsioonides töötavate Euroopa Liidu ametnike ning ajutiste ja lepinguliste töötajate töötasude suhtes kohaldatavate paranduskoefitsientide vahepealse ajakohastamise kohta Euroopa Liidu ametnike ja teiste teenistujate suhtes kohaldatavate personalieeskirjade artikli 64, X ja XI lisa kohaselt.</w:t>
      </w:r>
    </w:p>
    <w:p w14:paraId="4578D88E" w14:textId="77777777" w:rsidR="000C0457" w:rsidRPr="002031CA" w:rsidRDefault="000C0457">
      <w:pPr>
        <w:pStyle w:val="FootnoteText"/>
      </w:pPr>
    </w:p>
  </w:footnote>
  <w:footnote w:id="2">
    <w:p w14:paraId="48188F62" w14:textId="49B27E19" w:rsidR="000C0457" w:rsidRDefault="000C0457">
      <w:pPr>
        <w:pStyle w:val="FootnoteText"/>
      </w:pPr>
      <w:r>
        <w:rPr>
          <w:rStyle w:val="FootnoteReference"/>
        </w:rPr>
        <w:footnoteRef/>
      </w:r>
      <w:r>
        <w:t xml:space="preserve"> </w:t>
      </w:r>
      <w:r>
        <w:tab/>
        <w:t>Eurostati 28. oktoobri 2021. aasta aruanne ELi ametnike töötasude ja pensionide ajakohastamise kohta 2021. aastal kooskõlas Euroopa Liidu ametnike ja teiste teenistujate suhtes kohaldatavate personalieeskirjade artiklitega 64 ja 65 ning XI lisaga, kohandades alates 1. juulist 2021 ELi töötajate töötasusid ja pensionile jäänud töötajate pensione ning ajakohastades alates 1. juulist 2021 paranduskoefitsiente, mida kohaldatakse ELis ja EList väljaspool asuvates teenistuskohtades töötavate töötajate töötasude suhtes, pensionile jäänud töötajate pensionide suhtes vastavalt nende elukohariigile ja pensionide ülekannete suhtes.</w:t>
      </w:r>
    </w:p>
  </w:footnote>
  <w:footnote w:id="3">
    <w:p w14:paraId="71418D99" w14:textId="23A917F4" w:rsidR="00C67424" w:rsidRDefault="00C67424" w:rsidP="00C67424">
      <w:pPr>
        <w:pStyle w:val="FootnoteText"/>
      </w:pPr>
      <w:r>
        <w:rPr>
          <w:rStyle w:val="FootnoteReference"/>
        </w:rPr>
        <w:footnoteRef/>
      </w:r>
      <w:r>
        <w:t xml:space="preserve"> </w:t>
      </w:r>
      <w:r>
        <w:tab/>
        <w:t>Majandus- ja rahandusküsimuste peadirektoraadi 11. novembril 2021 avaldatud Euroopa majandusprognoosi kohaselt on ELi kui terviku SKP reaalkasv 2021. aastal + 5 % ja 2022. aastal + 4,3 %.</w:t>
      </w:r>
    </w:p>
  </w:footnote>
  <w:footnote w:id="4">
    <w:p w14:paraId="4D6A67A2" w14:textId="6E4D8D14" w:rsidR="000C0457" w:rsidRDefault="000C0457">
      <w:pPr>
        <w:pStyle w:val="FootnoteText"/>
      </w:pPr>
      <w:r>
        <w:rPr>
          <w:rStyle w:val="FootnoteReference"/>
        </w:rPr>
        <w:footnoteRef/>
      </w:r>
      <w:r>
        <w:t xml:space="preserve"> </w:t>
      </w:r>
      <w:r>
        <w:tab/>
        <w:t>Eurostati 28. oktoobri 2021. aasta aruanne ELi ametnike töötasude ja pensionide ajakohastamise kohta 2021. aastal (</w:t>
      </w:r>
      <w:r>
        <w:rPr>
          <w:i/>
        </w:rPr>
        <w:t>vt joonealune märkus nr 2 eespool</w:t>
      </w:r>
      <w:r>
        <w:t>).</w:t>
      </w:r>
    </w:p>
  </w:footnote>
  <w:footnote w:id="5">
    <w:p w14:paraId="06169031" w14:textId="7E8E7FA5" w:rsidR="000C0457" w:rsidRDefault="000C0457">
      <w:pPr>
        <w:pStyle w:val="FootnoteText"/>
      </w:pPr>
      <w:r>
        <w:rPr>
          <w:rStyle w:val="FootnoteReference"/>
        </w:rPr>
        <w:footnoteRef/>
      </w:r>
      <w:r>
        <w:t xml:space="preserve"> </w:t>
      </w:r>
      <w:r>
        <w:tab/>
        <w:t>Eurostati 26. mai 2021. aasta aruanne ELi ametnike töötasude ja pensionide vahepealse ajakohastuse kohta kooskõlas Euroopa Liidu ametnike ja teiste teenistujate suhtes kohaldatavate personalieeskirjade artiklitega 64 ja 65 ning XI lisaga.</w:t>
      </w:r>
    </w:p>
  </w:footnote>
  <w:footnote w:id="6">
    <w:p w14:paraId="2AA64F37" w14:textId="77777777" w:rsidR="000C0457" w:rsidRDefault="000C0457">
      <w:pPr>
        <w:pStyle w:val="FootnoteText"/>
      </w:pPr>
      <w:r>
        <w:rPr>
          <w:rStyle w:val="FootnoteReference"/>
        </w:rPr>
        <w:footnoteRef/>
      </w:r>
      <w:r>
        <w:t xml:space="preserve"> </w:t>
      </w:r>
      <w:r>
        <w:tab/>
        <w:t>Samas</w:t>
      </w:r>
      <w:r>
        <w:rPr>
          <w:i/>
        </w:rPr>
        <w:t>.</w:t>
      </w:r>
    </w:p>
  </w:footnote>
  <w:footnote w:id="7">
    <w:p w14:paraId="4939B949" w14:textId="77777777" w:rsidR="00AD699C" w:rsidRDefault="00AD699C" w:rsidP="00AD699C">
      <w:pPr>
        <w:pStyle w:val="FootnoteText"/>
      </w:pPr>
      <w:r>
        <w:rPr>
          <w:rStyle w:val="FootnoteReference"/>
        </w:rPr>
        <w:footnoteRef/>
      </w:r>
      <w:r>
        <w:t xml:space="preserve"> </w:t>
      </w:r>
      <w:r>
        <w:tab/>
        <w:t>Samas</w:t>
      </w:r>
      <w:r>
        <w:rPr>
          <w:i/>
        </w:rPr>
        <w:t>.</w:t>
      </w:r>
    </w:p>
  </w:footnote>
  <w:footnote w:id="8">
    <w:p w14:paraId="46860A39" w14:textId="77777777" w:rsidR="00AD699C" w:rsidRDefault="00AD699C" w:rsidP="00AD699C">
      <w:pPr>
        <w:pStyle w:val="FootnoteText"/>
      </w:pPr>
      <w:r>
        <w:rPr>
          <w:rStyle w:val="FootnoteReference"/>
        </w:rPr>
        <w:footnoteRef/>
      </w:r>
      <w:r>
        <w:t xml:space="preserve"> </w:t>
      </w:r>
      <w:r>
        <w:tab/>
        <w:t>Samas</w:t>
      </w:r>
      <w:r>
        <w:rPr>
          <w:i/>
        </w:rPr>
        <w:t>.</w:t>
      </w:r>
    </w:p>
  </w:footnote>
  <w:footnote w:id="9">
    <w:p w14:paraId="6A16F241" w14:textId="797BD20B" w:rsidR="000C0457" w:rsidRPr="00AE12B6" w:rsidRDefault="000C0457">
      <w:pPr>
        <w:pStyle w:val="FootnoteText"/>
      </w:pPr>
      <w:r>
        <w:rPr>
          <w:rStyle w:val="FootnoteReference"/>
        </w:rPr>
        <w:footnoteRef/>
      </w:r>
      <w:r>
        <w:t xml:space="preserve"> </w:t>
      </w:r>
      <w:r>
        <w:tab/>
        <w:t>Eurostati 5. mai 2021. aasta aruanne liiduvälistes delegatsioonides töötavate Euroopa Liidu ametnike ning ajutiste ja lepinguliste töötajate töötasude suhtes kohaldatavate paranduskoefitsientide vahepealse ajakohastamise kohta Euroopa Liidu ametnike ja teiste teenistujate suhtes kohaldatavate personalieeskirjade artikli 64, X ja XI lisa kohaselt.</w:t>
      </w:r>
    </w:p>
  </w:footnote>
  <w:footnote w:id="10">
    <w:p w14:paraId="0D5885CD" w14:textId="399F89AC" w:rsidR="00B72DC7" w:rsidRPr="00AE12B6" w:rsidRDefault="00B72DC7" w:rsidP="00B72DC7">
      <w:pPr>
        <w:pStyle w:val="FootnoteText"/>
      </w:pPr>
      <w:r>
        <w:rPr>
          <w:rStyle w:val="FootnoteReference"/>
        </w:rPr>
        <w:footnoteRef/>
      </w:r>
      <w:r>
        <w:t xml:space="preserve"> </w:t>
      </w:r>
      <w:r>
        <w:tab/>
        <w:t>ELT C 229/2, 15.6.2021.</w:t>
      </w:r>
    </w:p>
  </w:footnote>
  <w:footnote w:id="11">
    <w:p w14:paraId="7D64D29B" w14:textId="293E7ACC" w:rsidR="000C0457" w:rsidRDefault="000C0457">
      <w:pPr>
        <w:pStyle w:val="FootnoteText"/>
      </w:pPr>
      <w:r>
        <w:rPr>
          <w:rStyle w:val="FootnoteReference"/>
        </w:rPr>
        <w:footnoteRef/>
      </w:r>
      <w:r>
        <w:t xml:space="preserve"> </w:t>
      </w:r>
      <w:r>
        <w:tab/>
        <w:t>Eurostati 18. oktoobri 2021. aasta aruanne liiduvälistes delegatsioonides töötavate Euroopa Liidu ametnike ning ajutiste ja lepinguliste töötajate töötasude suhtes kohaldatavate paranduskoefitsientide vahepealse ajakohastamise kohta Euroopa Liidu ametnike ja teiste teenistujate suhtes kohaldatavate personalieeskirjade artikli 64, X ja XI lisa kohaselt.</w:t>
      </w:r>
    </w:p>
  </w:footnote>
  <w:footnote w:id="12">
    <w:p w14:paraId="1FF08EA1" w14:textId="77777777" w:rsidR="0081625B" w:rsidRPr="0081625B" w:rsidRDefault="0081625B">
      <w:pPr>
        <w:pStyle w:val="FootnoteText"/>
      </w:pPr>
      <w:r>
        <w:rPr>
          <w:rStyle w:val="FootnoteReference"/>
        </w:rPr>
        <w:footnoteRef/>
      </w:r>
      <w:r>
        <w:t xml:space="preserve"> Mitmeaastase finantsraamistiku 2014–2020 raames vastab rubriik 7 rubriigile 5 ja rubriigid 1–6 rubriikidele 1–4.</w:t>
      </w:r>
    </w:p>
  </w:footnote>
  <w:footnote w:id="13">
    <w:p w14:paraId="532A4950" w14:textId="34935FD4" w:rsidR="003F7F89" w:rsidRPr="003F7F89" w:rsidRDefault="003F7F89" w:rsidP="003F7F89">
      <w:pPr>
        <w:pStyle w:val="FootnoteText"/>
      </w:pPr>
      <w:r>
        <w:rPr>
          <w:rStyle w:val="FootnoteReference"/>
        </w:rPr>
        <w:footnoteRef/>
      </w:r>
      <w:r>
        <w:t xml:space="preserve"> </w:t>
      </w:r>
      <w:r>
        <w:tab/>
        <w:t>ELT C 229/2, 15.6.2021.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9EA90" w14:textId="77777777" w:rsidR="0000665C" w:rsidRPr="0000665C" w:rsidRDefault="0000665C" w:rsidP="000066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1114E" w14:textId="77777777" w:rsidR="0000665C" w:rsidRPr="0000665C" w:rsidRDefault="0000665C" w:rsidP="0000665C">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7AD02" w14:textId="77777777" w:rsidR="0000665C" w:rsidRPr="0000665C" w:rsidRDefault="0000665C" w:rsidP="0000665C">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46B55" w14:textId="77777777" w:rsidR="000C0457" w:rsidRDefault="000C04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E0DDE" w14:textId="77777777" w:rsidR="000C0457" w:rsidRDefault="000C045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A5C66" w14:textId="77777777" w:rsidR="000C0457" w:rsidRDefault="000C04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398D0CC1"/>
    <w:multiLevelType w:val="hybridMultilevel"/>
    <w:tmpl w:val="EBD884B2"/>
    <w:lvl w:ilvl="0" w:tplc="080C0001">
      <w:start w:val="1"/>
      <w:numFmt w:val="bullet"/>
      <w:lvlText w:val=""/>
      <w:lvlJc w:val="left"/>
      <w:pPr>
        <w:ind w:left="1630" w:hanging="360"/>
      </w:pPr>
      <w:rPr>
        <w:rFonts w:ascii="Symbol" w:hAnsi="Symbol" w:hint="default"/>
      </w:rPr>
    </w:lvl>
    <w:lvl w:ilvl="1" w:tplc="080C0003" w:tentative="1">
      <w:start w:val="1"/>
      <w:numFmt w:val="bullet"/>
      <w:lvlText w:val="o"/>
      <w:lvlJc w:val="left"/>
      <w:pPr>
        <w:ind w:left="2350" w:hanging="360"/>
      </w:pPr>
      <w:rPr>
        <w:rFonts w:ascii="Courier New" w:hAnsi="Courier New" w:cs="Courier New" w:hint="default"/>
      </w:rPr>
    </w:lvl>
    <w:lvl w:ilvl="2" w:tplc="080C0005" w:tentative="1">
      <w:start w:val="1"/>
      <w:numFmt w:val="bullet"/>
      <w:lvlText w:val=""/>
      <w:lvlJc w:val="left"/>
      <w:pPr>
        <w:ind w:left="3070" w:hanging="360"/>
      </w:pPr>
      <w:rPr>
        <w:rFonts w:ascii="Wingdings" w:hAnsi="Wingdings" w:hint="default"/>
      </w:rPr>
    </w:lvl>
    <w:lvl w:ilvl="3" w:tplc="080C0001" w:tentative="1">
      <w:start w:val="1"/>
      <w:numFmt w:val="bullet"/>
      <w:lvlText w:val=""/>
      <w:lvlJc w:val="left"/>
      <w:pPr>
        <w:ind w:left="3790" w:hanging="360"/>
      </w:pPr>
      <w:rPr>
        <w:rFonts w:ascii="Symbol" w:hAnsi="Symbol" w:hint="default"/>
      </w:rPr>
    </w:lvl>
    <w:lvl w:ilvl="4" w:tplc="080C0003" w:tentative="1">
      <w:start w:val="1"/>
      <w:numFmt w:val="bullet"/>
      <w:lvlText w:val="o"/>
      <w:lvlJc w:val="left"/>
      <w:pPr>
        <w:ind w:left="4510" w:hanging="360"/>
      </w:pPr>
      <w:rPr>
        <w:rFonts w:ascii="Courier New" w:hAnsi="Courier New" w:cs="Courier New" w:hint="default"/>
      </w:rPr>
    </w:lvl>
    <w:lvl w:ilvl="5" w:tplc="080C0005" w:tentative="1">
      <w:start w:val="1"/>
      <w:numFmt w:val="bullet"/>
      <w:lvlText w:val=""/>
      <w:lvlJc w:val="left"/>
      <w:pPr>
        <w:ind w:left="5230" w:hanging="360"/>
      </w:pPr>
      <w:rPr>
        <w:rFonts w:ascii="Wingdings" w:hAnsi="Wingdings" w:hint="default"/>
      </w:rPr>
    </w:lvl>
    <w:lvl w:ilvl="6" w:tplc="080C0001" w:tentative="1">
      <w:start w:val="1"/>
      <w:numFmt w:val="bullet"/>
      <w:lvlText w:val=""/>
      <w:lvlJc w:val="left"/>
      <w:pPr>
        <w:ind w:left="5950" w:hanging="360"/>
      </w:pPr>
      <w:rPr>
        <w:rFonts w:ascii="Symbol" w:hAnsi="Symbol" w:hint="default"/>
      </w:rPr>
    </w:lvl>
    <w:lvl w:ilvl="7" w:tplc="080C0003" w:tentative="1">
      <w:start w:val="1"/>
      <w:numFmt w:val="bullet"/>
      <w:lvlText w:val="o"/>
      <w:lvlJc w:val="left"/>
      <w:pPr>
        <w:ind w:left="6670" w:hanging="360"/>
      </w:pPr>
      <w:rPr>
        <w:rFonts w:ascii="Courier New" w:hAnsi="Courier New" w:cs="Courier New" w:hint="default"/>
      </w:rPr>
    </w:lvl>
    <w:lvl w:ilvl="8" w:tplc="080C0005" w:tentative="1">
      <w:start w:val="1"/>
      <w:numFmt w:val="bullet"/>
      <w:lvlText w:val=""/>
      <w:lvlJc w:val="left"/>
      <w:pPr>
        <w:ind w:left="7390" w:hanging="360"/>
      </w:pPr>
      <w:rPr>
        <w:rFonts w:ascii="Wingdings" w:hAnsi="Wingdings" w:hint="default"/>
      </w:rPr>
    </w:lvl>
  </w:abstractNum>
  <w:abstractNum w:abstractNumId="2" w15:restartNumberingAfterBreak="0">
    <w:nsid w:val="40315490"/>
    <w:multiLevelType w:val="singleLevel"/>
    <w:tmpl w:val="1F86C700"/>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3"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4" w15:restartNumberingAfterBreak="0">
    <w:nsid w:val="69995580"/>
    <w:multiLevelType w:val="singleLevel"/>
    <w:tmpl w:val="75CC7CBA"/>
    <w:name w:val="Bullet 3"/>
    <w:lvl w:ilvl="0">
      <w:start w:val="1"/>
      <w:numFmt w:val="decimal"/>
      <w:lvlRestart w:val="0"/>
      <w:pStyle w:val="Considrant"/>
      <w:lvlText w:val="(%1)"/>
      <w:lvlJc w:val="left"/>
      <w:pPr>
        <w:tabs>
          <w:tab w:val="num" w:pos="709"/>
        </w:tabs>
        <w:ind w:left="709" w:hanging="709"/>
      </w:pPr>
    </w:lvl>
  </w:abstractNum>
  <w:abstractNum w:abstractNumId="5" w15:restartNumberingAfterBreak="0">
    <w:nsid w:val="71F06166"/>
    <w:multiLevelType w:val="multilevel"/>
    <w:tmpl w:val="C08066D2"/>
    <w:name w:val="Bullet 2"/>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5C26F71"/>
    <w:multiLevelType w:val="multilevel"/>
    <w:tmpl w:val="E01E7708"/>
    <w:name w:val="0,2934338"/>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79200769"/>
    <w:multiLevelType w:val="hybridMultilevel"/>
    <w:tmpl w:val="EDC079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5"/>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E3A6B58C-F275-4702-B184-CDD4DF08E26B"/>
    <w:docVar w:name="LW_COVERPAGE_TYPE" w:val="1"/>
    <w:docVar w:name="LW_CROSSREFERENCE" w:val="&lt;UNUSED&gt;"/>
    <w:docVar w:name="LW_DocType" w:val="NORMAL"/>
    <w:docVar w:name="LW_EMISSION" w:val="30.11.2021"/>
    <w:docVar w:name="LW_EMISSION_ISODATE" w:val="2021-11-30"/>
    <w:docVar w:name="LW_EMISSION_LOCATION" w:val="BRX"/>
    <w:docVar w:name="LW_EMISSION_PREFIX" w:val="Brüssel,"/>
    <w:docVar w:name="LW_EMISSION_SUFFIX" w:val=" "/>
    <w:docVar w:name="LW_ID_DOCTYPE_NONLW" w:val="CP-006"/>
    <w:docVar w:name="LW_LANGUE" w:val="ET"/>
    <w:docVar w:name="LW_LEVEL_OF_SENSITIVITY" w:val="Standard treatment"/>
    <w:docVar w:name="LW_NOM.INST" w:val="EUROOPA KOMISJON"/>
    <w:docVar w:name="LW_NOM.INST_JOINTDOC" w:val="&lt;EMPTY&gt;"/>
    <w:docVar w:name="LW_PART_NBR" w:val="1"/>
    <w:docVar w:name="LW_PART_NBR_TOTAL" w:val="1"/>
    <w:docVar w:name="LW_REF.INST.NEW" w:val="COM"/>
    <w:docVar w:name="LW_REF.INST.NEW_ADOPTED" w:val="final"/>
    <w:docVar w:name="LW_REF.INST.NEW_TEXT" w:val="(2021) 729"/>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OUS.TITRE.OBJ.CP" w:val="&lt;UNUSED&gt;"/>
    <w:docVar w:name="LW_SUPERTITRE" w:val="&lt;UNUSED&gt;"/>
    <w:docVar w:name="LW_TITRE.OBJ.CP" w:val="Euroopa Liidu ametnike ja muude teenistujate töötasude ja pensionide ning nimetatud töötasude ja pensionide suhtes kohaldatavate paranduskoefitsientide 2021. aasta ajakohastamisest eelarvele tulenevat mõju käsitlev teave"/>
    <w:docVar w:name="LW_TYPE.DOC.CP" w:val="KOMISJONI ARUANNE EUROOPA PARLAMENDILE JA NÕUKOGULE"/>
    <w:docVar w:name="LwApiVersions" w:val="LW4CoDe 1.23.1.0; LW 8.0, Build 20210728"/>
  </w:docVars>
  <w:rsids>
    <w:rsidRoot w:val="00DA0187"/>
    <w:rsid w:val="00002D16"/>
    <w:rsid w:val="0000665C"/>
    <w:rsid w:val="00013154"/>
    <w:rsid w:val="00015FC8"/>
    <w:rsid w:val="000257B5"/>
    <w:rsid w:val="0003678D"/>
    <w:rsid w:val="00037DBD"/>
    <w:rsid w:val="00044434"/>
    <w:rsid w:val="00061F5E"/>
    <w:rsid w:val="00063365"/>
    <w:rsid w:val="00084BA5"/>
    <w:rsid w:val="00093DC9"/>
    <w:rsid w:val="000B29E5"/>
    <w:rsid w:val="000B68AB"/>
    <w:rsid w:val="000B7B0E"/>
    <w:rsid w:val="000C0457"/>
    <w:rsid w:val="000D6E17"/>
    <w:rsid w:val="000D7C60"/>
    <w:rsid w:val="000E28EF"/>
    <w:rsid w:val="000E4160"/>
    <w:rsid w:val="000E75F3"/>
    <w:rsid w:val="0011040B"/>
    <w:rsid w:val="00111EB3"/>
    <w:rsid w:val="00114C11"/>
    <w:rsid w:val="00117792"/>
    <w:rsid w:val="00126BB4"/>
    <w:rsid w:val="00127255"/>
    <w:rsid w:val="00127747"/>
    <w:rsid w:val="001333E6"/>
    <w:rsid w:val="00183B91"/>
    <w:rsid w:val="001A0117"/>
    <w:rsid w:val="001B201C"/>
    <w:rsid w:val="001D0CCE"/>
    <w:rsid w:val="001E665F"/>
    <w:rsid w:val="001F6127"/>
    <w:rsid w:val="001F7968"/>
    <w:rsid w:val="002031CA"/>
    <w:rsid w:val="002329B4"/>
    <w:rsid w:val="002329C3"/>
    <w:rsid w:val="00234A78"/>
    <w:rsid w:val="00235AAB"/>
    <w:rsid w:val="002406F5"/>
    <w:rsid w:val="00245F6A"/>
    <w:rsid w:val="00255318"/>
    <w:rsid w:val="002705B6"/>
    <w:rsid w:val="002911CC"/>
    <w:rsid w:val="00294809"/>
    <w:rsid w:val="002A2B92"/>
    <w:rsid w:val="002A5E7F"/>
    <w:rsid w:val="002D2C74"/>
    <w:rsid w:val="002E046C"/>
    <w:rsid w:val="002E1117"/>
    <w:rsid w:val="002E2671"/>
    <w:rsid w:val="002F6CAE"/>
    <w:rsid w:val="00307E12"/>
    <w:rsid w:val="00313252"/>
    <w:rsid w:val="0032511E"/>
    <w:rsid w:val="00342586"/>
    <w:rsid w:val="00350209"/>
    <w:rsid w:val="00356350"/>
    <w:rsid w:val="00361278"/>
    <w:rsid w:val="00364736"/>
    <w:rsid w:val="003731EC"/>
    <w:rsid w:val="003A4F99"/>
    <w:rsid w:val="003B322A"/>
    <w:rsid w:val="003B6B6D"/>
    <w:rsid w:val="003D4AA9"/>
    <w:rsid w:val="003D4BBA"/>
    <w:rsid w:val="003D7815"/>
    <w:rsid w:val="003E57B7"/>
    <w:rsid w:val="003F16DF"/>
    <w:rsid w:val="003F1CBF"/>
    <w:rsid w:val="003F7F89"/>
    <w:rsid w:val="004001E8"/>
    <w:rsid w:val="00422D7F"/>
    <w:rsid w:val="004250CB"/>
    <w:rsid w:val="00425AC6"/>
    <w:rsid w:val="004360E6"/>
    <w:rsid w:val="00452676"/>
    <w:rsid w:val="00454994"/>
    <w:rsid w:val="00461FA8"/>
    <w:rsid w:val="00467D06"/>
    <w:rsid w:val="004761F9"/>
    <w:rsid w:val="0049094E"/>
    <w:rsid w:val="004919B1"/>
    <w:rsid w:val="00491D5B"/>
    <w:rsid w:val="004A54F8"/>
    <w:rsid w:val="004B0E56"/>
    <w:rsid w:val="004B11F9"/>
    <w:rsid w:val="004C37EE"/>
    <w:rsid w:val="004D26AF"/>
    <w:rsid w:val="004D52D3"/>
    <w:rsid w:val="004E647A"/>
    <w:rsid w:val="005040A3"/>
    <w:rsid w:val="00524BA6"/>
    <w:rsid w:val="00525CF4"/>
    <w:rsid w:val="005322DA"/>
    <w:rsid w:val="00545E50"/>
    <w:rsid w:val="00557EE4"/>
    <w:rsid w:val="005719CC"/>
    <w:rsid w:val="00571F67"/>
    <w:rsid w:val="005766BE"/>
    <w:rsid w:val="00577354"/>
    <w:rsid w:val="00580A17"/>
    <w:rsid w:val="005847BA"/>
    <w:rsid w:val="00592576"/>
    <w:rsid w:val="00592EF6"/>
    <w:rsid w:val="00594DFD"/>
    <w:rsid w:val="005A41A4"/>
    <w:rsid w:val="005C316C"/>
    <w:rsid w:val="00623D1F"/>
    <w:rsid w:val="00642C32"/>
    <w:rsid w:val="00656E3C"/>
    <w:rsid w:val="0067394E"/>
    <w:rsid w:val="00674C39"/>
    <w:rsid w:val="00694E24"/>
    <w:rsid w:val="006A1E87"/>
    <w:rsid w:val="006D2F25"/>
    <w:rsid w:val="006D459D"/>
    <w:rsid w:val="006E073B"/>
    <w:rsid w:val="006E086A"/>
    <w:rsid w:val="006E4D19"/>
    <w:rsid w:val="006E61ED"/>
    <w:rsid w:val="006E63FD"/>
    <w:rsid w:val="006E7ECB"/>
    <w:rsid w:val="006F0C9C"/>
    <w:rsid w:val="006F1F1F"/>
    <w:rsid w:val="00705060"/>
    <w:rsid w:val="0070712F"/>
    <w:rsid w:val="00717A7B"/>
    <w:rsid w:val="0072155F"/>
    <w:rsid w:val="00731734"/>
    <w:rsid w:val="00732527"/>
    <w:rsid w:val="00761E7A"/>
    <w:rsid w:val="00765B76"/>
    <w:rsid w:val="00776D8E"/>
    <w:rsid w:val="007906A5"/>
    <w:rsid w:val="007A43A8"/>
    <w:rsid w:val="007A5283"/>
    <w:rsid w:val="007B34D1"/>
    <w:rsid w:val="007E0ECF"/>
    <w:rsid w:val="00805373"/>
    <w:rsid w:val="0081625B"/>
    <w:rsid w:val="00817E6D"/>
    <w:rsid w:val="00821703"/>
    <w:rsid w:val="00822481"/>
    <w:rsid w:val="0082274A"/>
    <w:rsid w:val="00840235"/>
    <w:rsid w:val="00862D2A"/>
    <w:rsid w:val="008645AD"/>
    <w:rsid w:val="008658B6"/>
    <w:rsid w:val="00873911"/>
    <w:rsid w:val="008764B4"/>
    <w:rsid w:val="008850F4"/>
    <w:rsid w:val="00890159"/>
    <w:rsid w:val="0089117D"/>
    <w:rsid w:val="008925DC"/>
    <w:rsid w:val="008C4C1D"/>
    <w:rsid w:val="008C556E"/>
    <w:rsid w:val="008C5ABE"/>
    <w:rsid w:val="008C7870"/>
    <w:rsid w:val="008C7E38"/>
    <w:rsid w:val="008E64B7"/>
    <w:rsid w:val="008E702F"/>
    <w:rsid w:val="008F4668"/>
    <w:rsid w:val="00921970"/>
    <w:rsid w:val="009248B2"/>
    <w:rsid w:val="00931799"/>
    <w:rsid w:val="009506F2"/>
    <w:rsid w:val="00952BBC"/>
    <w:rsid w:val="00965A24"/>
    <w:rsid w:val="00971617"/>
    <w:rsid w:val="00973D74"/>
    <w:rsid w:val="00983C3A"/>
    <w:rsid w:val="0098531D"/>
    <w:rsid w:val="009B6082"/>
    <w:rsid w:val="009C3249"/>
    <w:rsid w:val="009D62AD"/>
    <w:rsid w:val="009E3D60"/>
    <w:rsid w:val="009F7B2F"/>
    <w:rsid w:val="00A02FA3"/>
    <w:rsid w:val="00A160EF"/>
    <w:rsid w:val="00A25841"/>
    <w:rsid w:val="00A32D5B"/>
    <w:rsid w:val="00A37883"/>
    <w:rsid w:val="00A52858"/>
    <w:rsid w:val="00A62F9E"/>
    <w:rsid w:val="00A6441A"/>
    <w:rsid w:val="00A7127F"/>
    <w:rsid w:val="00A93170"/>
    <w:rsid w:val="00AA0C0F"/>
    <w:rsid w:val="00AB22AC"/>
    <w:rsid w:val="00AB44DA"/>
    <w:rsid w:val="00AB6D95"/>
    <w:rsid w:val="00AD08EB"/>
    <w:rsid w:val="00AD699C"/>
    <w:rsid w:val="00AE05C9"/>
    <w:rsid w:val="00AE12B6"/>
    <w:rsid w:val="00B02649"/>
    <w:rsid w:val="00B0316E"/>
    <w:rsid w:val="00B06502"/>
    <w:rsid w:val="00B135E5"/>
    <w:rsid w:val="00B25ABC"/>
    <w:rsid w:val="00B27907"/>
    <w:rsid w:val="00B3727F"/>
    <w:rsid w:val="00B5006F"/>
    <w:rsid w:val="00B54112"/>
    <w:rsid w:val="00B57029"/>
    <w:rsid w:val="00B605ED"/>
    <w:rsid w:val="00B638FA"/>
    <w:rsid w:val="00B70B3A"/>
    <w:rsid w:val="00B72DC7"/>
    <w:rsid w:val="00B84443"/>
    <w:rsid w:val="00B94BB0"/>
    <w:rsid w:val="00BA008D"/>
    <w:rsid w:val="00BA3FFF"/>
    <w:rsid w:val="00BC7901"/>
    <w:rsid w:val="00BD3C93"/>
    <w:rsid w:val="00BD775C"/>
    <w:rsid w:val="00C17744"/>
    <w:rsid w:val="00C32B87"/>
    <w:rsid w:val="00C35450"/>
    <w:rsid w:val="00C41454"/>
    <w:rsid w:val="00C44C8A"/>
    <w:rsid w:val="00C62E19"/>
    <w:rsid w:val="00C67424"/>
    <w:rsid w:val="00C82C1D"/>
    <w:rsid w:val="00C85F73"/>
    <w:rsid w:val="00C93779"/>
    <w:rsid w:val="00C9789A"/>
    <w:rsid w:val="00CA24EB"/>
    <w:rsid w:val="00CA6A33"/>
    <w:rsid w:val="00CB1CD9"/>
    <w:rsid w:val="00CB7642"/>
    <w:rsid w:val="00CD15CD"/>
    <w:rsid w:val="00CE1D2E"/>
    <w:rsid w:val="00CE6F64"/>
    <w:rsid w:val="00CF1BAB"/>
    <w:rsid w:val="00D11070"/>
    <w:rsid w:val="00D2028C"/>
    <w:rsid w:val="00D44F48"/>
    <w:rsid w:val="00D5573C"/>
    <w:rsid w:val="00D6389D"/>
    <w:rsid w:val="00D872C1"/>
    <w:rsid w:val="00D95113"/>
    <w:rsid w:val="00D972D7"/>
    <w:rsid w:val="00DA0187"/>
    <w:rsid w:val="00DA0765"/>
    <w:rsid w:val="00DA2A68"/>
    <w:rsid w:val="00DA3DFF"/>
    <w:rsid w:val="00DE1D7D"/>
    <w:rsid w:val="00DE3552"/>
    <w:rsid w:val="00E13E49"/>
    <w:rsid w:val="00E258E7"/>
    <w:rsid w:val="00E37370"/>
    <w:rsid w:val="00E45E7B"/>
    <w:rsid w:val="00E562B7"/>
    <w:rsid w:val="00E871CD"/>
    <w:rsid w:val="00E91FC6"/>
    <w:rsid w:val="00E95C0E"/>
    <w:rsid w:val="00EA0D8C"/>
    <w:rsid w:val="00EA4C2B"/>
    <w:rsid w:val="00EB027B"/>
    <w:rsid w:val="00EC0EEF"/>
    <w:rsid w:val="00EC1BD1"/>
    <w:rsid w:val="00EC3B68"/>
    <w:rsid w:val="00ED5EBE"/>
    <w:rsid w:val="00EE65BD"/>
    <w:rsid w:val="00EF399C"/>
    <w:rsid w:val="00EF71A0"/>
    <w:rsid w:val="00F06C2C"/>
    <w:rsid w:val="00F10728"/>
    <w:rsid w:val="00F24615"/>
    <w:rsid w:val="00F25421"/>
    <w:rsid w:val="00F403DA"/>
    <w:rsid w:val="00F42FE8"/>
    <w:rsid w:val="00F46513"/>
    <w:rsid w:val="00F63730"/>
    <w:rsid w:val="00F64270"/>
    <w:rsid w:val="00F7319B"/>
    <w:rsid w:val="00F878D0"/>
    <w:rsid w:val="00F90327"/>
    <w:rsid w:val="00F97E5C"/>
    <w:rsid w:val="00FC6C39"/>
    <w:rsid w:val="00FE41FA"/>
    <w:rsid w:val="00FF6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7963C"/>
  <w15:docId w15:val="{0237DD5A-89D9-484D-B6E8-755F1CD76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Text1"/>
    <w:link w:val="Heading1Char"/>
    <w:qFormat/>
    <w:pPr>
      <w:keepNext/>
      <w:numPr>
        <w:numId w:val="1"/>
      </w:numPr>
      <w:spacing w:before="360" w:after="120" w:line="240" w:lineRule="auto"/>
      <w:jc w:val="both"/>
      <w:outlineLvl w:val="0"/>
    </w:pPr>
    <w:rPr>
      <w:rFonts w:ascii="Times New Roman" w:eastAsia="Times New Roman" w:hAnsi="Times New Roman" w:cs="Times New Roman"/>
      <w:b/>
      <w:bCs/>
      <w:smallCaps/>
      <w:sz w:val="24"/>
      <w:szCs w:val="32"/>
    </w:rPr>
  </w:style>
  <w:style w:type="paragraph" w:styleId="Heading2">
    <w:name w:val="heading 2"/>
    <w:basedOn w:val="Normal"/>
    <w:next w:val="Text1"/>
    <w:link w:val="Heading2Char"/>
    <w:qFormat/>
    <w:pPr>
      <w:keepNext/>
      <w:numPr>
        <w:ilvl w:val="1"/>
        <w:numId w:val="1"/>
      </w:numPr>
      <w:spacing w:before="120" w:after="120" w:line="240" w:lineRule="auto"/>
      <w:jc w:val="both"/>
      <w:outlineLvl w:val="1"/>
    </w:pPr>
    <w:rPr>
      <w:rFonts w:ascii="Times New Roman" w:eastAsia="Times New Roman" w:hAnsi="Times New Roman" w:cs="Times New Roman"/>
      <w:b/>
      <w:bCs/>
      <w:iCs/>
      <w:sz w:val="24"/>
      <w:szCs w:val="28"/>
    </w:rPr>
  </w:style>
  <w:style w:type="paragraph" w:styleId="Heading3">
    <w:name w:val="heading 3"/>
    <w:basedOn w:val="Normal"/>
    <w:next w:val="Text1"/>
    <w:link w:val="Heading3Char"/>
    <w:qFormat/>
    <w:pPr>
      <w:keepNext/>
      <w:numPr>
        <w:ilvl w:val="2"/>
        <w:numId w:val="1"/>
      </w:numPr>
      <w:spacing w:before="120" w:after="120" w:line="240" w:lineRule="auto"/>
      <w:jc w:val="both"/>
      <w:outlineLvl w:val="2"/>
    </w:pPr>
    <w:rPr>
      <w:rFonts w:ascii="Times New Roman" w:eastAsia="Times New Roman" w:hAnsi="Times New Roman" w:cs="Times New Roman"/>
      <w:bCs/>
      <w:i/>
      <w:sz w:val="24"/>
      <w:szCs w:val="26"/>
    </w:rPr>
  </w:style>
  <w:style w:type="paragraph" w:styleId="Heading4">
    <w:name w:val="heading 4"/>
    <w:basedOn w:val="Normal"/>
    <w:next w:val="Text1"/>
    <w:link w:val="Heading4Char"/>
    <w:qFormat/>
    <w:pPr>
      <w:keepNext/>
      <w:numPr>
        <w:ilvl w:val="3"/>
        <w:numId w:val="1"/>
      </w:numPr>
      <w:spacing w:before="120" w:after="120" w:line="240" w:lineRule="auto"/>
      <w:jc w:val="both"/>
      <w:outlineLvl w:val="3"/>
    </w:pPr>
    <w:rPr>
      <w:rFonts w:ascii="Times New Roman" w:eastAsia="Times New Roman" w:hAnsi="Times New Roman" w:cs="Times New Roman"/>
      <w:bCs/>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rsid w:val="00524BA6"/>
    <w:pPr>
      <w:tabs>
        <w:tab w:val="center" w:pos="4535"/>
        <w:tab w:val="right" w:pos="9071"/>
      </w:tabs>
      <w:spacing w:after="120" w:line="240" w:lineRule="auto"/>
      <w:jc w:val="both"/>
    </w:pPr>
    <w:rPr>
      <w:rFonts w:ascii="Times New Roman" w:hAnsi="Times New Roman" w:cs="Times New Roman"/>
      <w:sz w:val="24"/>
    </w:rPr>
  </w:style>
  <w:style w:type="character" w:customStyle="1" w:styleId="HeaderChar">
    <w:name w:val="Header Char"/>
    <w:basedOn w:val="DefaultParagraphFont"/>
    <w:link w:val="Header"/>
    <w:uiPriority w:val="99"/>
    <w:rsid w:val="00524BA6"/>
    <w:rPr>
      <w:rFonts w:ascii="Times New Roman" w:hAnsi="Times New Roman" w:cs="Times New Roman"/>
      <w:sz w:val="24"/>
    </w:rPr>
  </w:style>
  <w:style w:type="paragraph" w:styleId="Footer">
    <w:name w:val="footer"/>
    <w:basedOn w:val="Normal"/>
    <w:link w:val="FooterChar"/>
    <w:uiPriority w:val="99"/>
    <w:unhideWhenUsed/>
    <w:rsid w:val="00524BA6"/>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har">
    <w:name w:val="Footer Char"/>
    <w:basedOn w:val="DefaultParagraphFont"/>
    <w:link w:val="Footer"/>
    <w:uiPriority w:val="99"/>
    <w:rsid w:val="00524BA6"/>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character" w:customStyle="1" w:styleId="Heading1Char">
    <w:name w:val="Heading 1 Char"/>
    <w:basedOn w:val="DefaultParagraphFont"/>
    <w:link w:val="Heading1"/>
    <w:rPr>
      <w:rFonts w:ascii="Times New Roman" w:eastAsia="Times New Roman" w:hAnsi="Times New Roman" w:cs="Times New Roman"/>
      <w:b/>
      <w:bCs/>
      <w:smallCaps/>
      <w:sz w:val="24"/>
      <w:szCs w:val="32"/>
    </w:rPr>
  </w:style>
  <w:style w:type="character" w:customStyle="1" w:styleId="Heading2Char">
    <w:name w:val="Heading 2 Char"/>
    <w:basedOn w:val="DefaultParagraphFont"/>
    <w:link w:val="Heading2"/>
    <w:rPr>
      <w:rFonts w:ascii="Times New Roman" w:eastAsia="Times New Roman" w:hAnsi="Times New Roman" w:cs="Times New Roman"/>
      <w:b/>
      <w:bCs/>
      <w:iCs/>
      <w:sz w:val="24"/>
      <w:szCs w:val="28"/>
    </w:rPr>
  </w:style>
  <w:style w:type="character" w:customStyle="1" w:styleId="Heading3Char">
    <w:name w:val="Heading 3 Char"/>
    <w:basedOn w:val="DefaultParagraphFont"/>
    <w:link w:val="Heading3"/>
    <w:rPr>
      <w:rFonts w:ascii="Times New Roman" w:eastAsia="Times New Roman" w:hAnsi="Times New Roman" w:cs="Times New Roman"/>
      <w:bCs/>
      <w:i/>
      <w:sz w:val="24"/>
      <w:szCs w:val="26"/>
    </w:rPr>
  </w:style>
  <w:style w:type="character" w:customStyle="1" w:styleId="Heading4Char">
    <w:name w:val="Heading 4 Char"/>
    <w:basedOn w:val="DefaultParagraphFont"/>
    <w:link w:val="Heading4"/>
    <w:rPr>
      <w:rFonts w:ascii="Times New Roman" w:eastAsia="Times New Roman" w:hAnsi="Times New Roman" w:cs="Times New Roman"/>
      <w:bCs/>
      <w:sz w:val="24"/>
      <w:szCs w:val="28"/>
    </w:rPr>
  </w:style>
  <w:style w:type="paragraph" w:styleId="FootnoteText">
    <w:name w:val="footnote text"/>
    <w:basedOn w:val="Normal"/>
    <w:link w:val="FootnoteTextChar"/>
    <w:semiHidden/>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Pr>
      <w:rFonts w:ascii="Times New Roman" w:eastAsia="Times New Roman" w:hAnsi="Times New Roman" w:cs="Times New Roman"/>
      <w:sz w:val="20"/>
      <w:szCs w:val="20"/>
    </w:rPr>
  </w:style>
  <w:style w:type="paragraph" w:customStyle="1" w:styleId="HeaderLandscape">
    <w:name w:val="HeaderLandscape"/>
    <w:basedOn w:val="Normal"/>
    <w:rsid w:val="00524BA6"/>
    <w:pPr>
      <w:tabs>
        <w:tab w:val="center" w:pos="7285"/>
        <w:tab w:val="right" w:pos="14003"/>
      </w:tabs>
      <w:spacing w:after="120" w:line="240" w:lineRule="auto"/>
      <w:jc w:val="both"/>
    </w:pPr>
    <w:rPr>
      <w:rFonts w:ascii="Times New Roman" w:hAnsi="Times New Roman" w:cs="Times New Roman"/>
      <w:sz w:val="24"/>
    </w:rPr>
  </w:style>
  <w:style w:type="paragraph" w:customStyle="1" w:styleId="FooterLandscape">
    <w:name w:val="FooterLandscape"/>
    <w:basedOn w:val="Normal"/>
    <w:rsid w:val="00524BA6"/>
    <w:pPr>
      <w:tabs>
        <w:tab w:val="center" w:pos="7285"/>
        <w:tab w:val="center" w:pos="10913"/>
        <w:tab w:val="right" w:pos="15137"/>
      </w:tabs>
      <w:spacing w:before="360" w:after="0" w:line="240" w:lineRule="auto"/>
      <w:ind w:left="-567" w:right="-567"/>
    </w:pPr>
    <w:rPr>
      <w:rFonts w:ascii="Times New Roman" w:hAnsi="Times New Roman" w:cs="Times New Roman"/>
      <w:sz w:val="24"/>
    </w:rPr>
  </w:style>
  <w:style w:type="character" w:styleId="FootnoteReference">
    <w:name w:val="footnote reference"/>
    <w:semiHidden/>
    <w:rPr>
      <w:shd w:val="clear" w:color="auto" w:fill="auto"/>
      <w:vertAlign w:val="superscript"/>
    </w:rPr>
  </w:style>
  <w:style w:type="paragraph" w:customStyle="1" w:styleId="Text1">
    <w:name w:val="Text 1"/>
    <w:basedOn w:val="Normal"/>
    <w:pPr>
      <w:spacing w:before="120" w:after="120" w:line="240" w:lineRule="auto"/>
      <w:ind w:left="850"/>
      <w:jc w:val="both"/>
    </w:pPr>
    <w:rPr>
      <w:rFonts w:ascii="Times New Roman" w:eastAsia="Times New Roman" w:hAnsi="Times New Roman" w:cs="Times New Roman"/>
      <w:sz w:val="24"/>
      <w:szCs w:val="24"/>
    </w:rPr>
  </w:style>
  <w:style w:type="paragraph" w:customStyle="1" w:styleId="ManualHeading2">
    <w:name w:val="Manual Heading 2"/>
    <w:basedOn w:val="Normal"/>
    <w:next w:val="Text1"/>
    <w:pPr>
      <w:keepNext/>
      <w:tabs>
        <w:tab w:val="left" w:pos="850"/>
      </w:tabs>
      <w:spacing w:before="120" w:after="120" w:line="240" w:lineRule="auto"/>
      <w:ind w:left="850" w:hanging="850"/>
      <w:jc w:val="both"/>
      <w:outlineLvl w:val="1"/>
    </w:pPr>
    <w:rPr>
      <w:rFonts w:ascii="Times New Roman" w:eastAsia="Times New Roman" w:hAnsi="Times New Roman" w:cs="Times New Roman"/>
      <w:b/>
      <w:sz w:val="24"/>
      <w:szCs w:val="24"/>
    </w:rPr>
  </w:style>
  <w:style w:type="paragraph" w:customStyle="1" w:styleId="Applicationdirecte">
    <w:name w:val="Application directe"/>
    <w:basedOn w:val="Normal"/>
    <w:next w:val="Fait"/>
    <w:pPr>
      <w:spacing w:before="480" w:after="120" w:line="240" w:lineRule="auto"/>
      <w:jc w:val="both"/>
    </w:pPr>
    <w:rPr>
      <w:rFonts w:ascii="Times New Roman" w:eastAsia="Times New Roman" w:hAnsi="Times New Roman" w:cs="Times New Roman"/>
      <w:sz w:val="24"/>
      <w:szCs w:val="24"/>
    </w:rPr>
  </w:style>
  <w:style w:type="paragraph" w:customStyle="1" w:styleId="Considrant">
    <w:name w:val="Considérant"/>
    <w:basedOn w:val="Normal"/>
    <w:pPr>
      <w:numPr>
        <w:numId w:val="2"/>
      </w:numPr>
      <w:spacing w:before="120" w:after="120" w:line="240" w:lineRule="auto"/>
      <w:jc w:val="both"/>
    </w:pPr>
    <w:rPr>
      <w:rFonts w:ascii="Times New Roman" w:eastAsia="Times New Roman" w:hAnsi="Times New Roman" w:cs="Times New Roman"/>
      <w:sz w:val="24"/>
      <w:szCs w:val="24"/>
    </w:rPr>
  </w:style>
  <w:style w:type="paragraph" w:customStyle="1" w:styleId="Exposdesmotifstitre">
    <w:name w:val="Exposé des motifs titre"/>
    <w:basedOn w:val="Normal"/>
    <w:next w:val="Normal"/>
    <w:pPr>
      <w:spacing w:before="120" w:after="120" w:line="240" w:lineRule="auto"/>
      <w:jc w:val="center"/>
    </w:pPr>
    <w:rPr>
      <w:rFonts w:ascii="Times New Roman" w:eastAsia="Times New Roman" w:hAnsi="Times New Roman" w:cs="Times New Roman"/>
      <w:b/>
      <w:sz w:val="24"/>
      <w:szCs w:val="24"/>
      <w:u w:val="single"/>
    </w:rPr>
  </w:style>
  <w:style w:type="paragraph" w:customStyle="1" w:styleId="Fait">
    <w:name w:val="Fait à"/>
    <w:basedOn w:val="Normal"/>
    <w:next w:val="Institutionquisigne"/>
    <w:pPr>
      <w:keepNext/>
      <w:spacing w:before="120" w:after="0" w:line="240" w:lineRule="auto"/>
      <w:jc w:val="both"/>
    </w:pPr>
    <w:rPr>
      <w:rFonts w:ascii="Times New Roman" w:eastAsia="Times New Roman" w:hAnsi="Times New Roman" w:cs="Times New Roman"/>
      <w:sz w:val="24"/>
      <w:szCs w:val="24"/>
    </w:rPr>
  </w:style>
  <w:style w:type="paragraph" w:customStyle="1" w:styleId="Formuledadoption">
    <w:name w:val="Formule d'adoption"/>
    <w:basedOn w:val="Normal"/>
    <w:next w:val="Titrearticle"/>
    <w:pPr>
      <w:keepNext/>
      <w:spacing w:before="120" w:after="120" w:line="240" w:lineRule="auto"/>
      <w:jc w:val="both"/>
    </w:pPr>
    <w:rPr>
      <w:rFonts w:ascii="Times New Roman" w:eastAsia="Times New Roman" w:hAnsi="Times New Roman" w:cs="Times New Roman"/>
      <w:sz w:val="24"/>
      <w:szCs w:val="24"/>
    </w:rPr>
  </w:style>
  <w:style w:type="paragraph" w:customStyle="1" w:styleId="Institutionquiagit">
    <w:name w:val="Institution qui agit"/>
    <w:basedOn w:val="Normal"/>
    <w:next w:val="Normal"/>
    <w:pPr>
      <w:keepNext/>
      <w:spacing w:before="600" w:after="120" w:line="240" w:lineRule="auto"/>
      <w:jc w:val="both"/>
    </w:pPr>
    <w:rPr>
      <w:rFonts w:ascii="Times New Roman" w:eastAsia="Times New Roman" w:hAnsi="Times New Roman" w:cs="Times New Roman"/>
      <w:sz w:val="24"/>
      <w:szCs w:val="24"/>
    </w:rPr>
  </w:style>
  <w:style w:type="paragraph" w:customStyle="1" w:styleId="Institutionquisigne">
    <w:name w:val="Institution qui signe"/>
    <w:basedOn w:val="Normal"/>
    <w:next w:val="Personnequisigne"/>
    <w:pPr>
      <w:keepNext/>
      <w:tabs>
        <w:tab w:val="left" w:pos="4252"/>
      </w:tabs>
      <w:spacing w:before="720" w:after="0" w:line="240" w:lineRule="auto"/>
      <w:jc w:val="both"/>
    </w:pPr>
    <w:rPr>
      <w:rFonts w:ascii="Times New Roman" w:eastAsia="Times New Roman" w:hAnsi="Times New Roman" w:cs="Times New Roman"/>
      <w:i/>
      <w:sz w:val="24"/>
      <w:szCs w:val="24"/>
    </w:rPr>
  </w:style>
  <w:style w:type="paragraph" w:customStyle="1" w:styleId="Personnequisigne">
    <w:name w:val="Personne qui signe"/>
    <w:basedOn w:val="Normal"/>
    <w:next w:val="Institutionquisigne"/>
    <w:pPr>
      <w:tabs>
        <w:tab w:val="left" w:pos="4252"/>
      </w:tabs>
      <w:spacing w:after="0" w:line="240" w:lineRule="auto"/>
    </w:pPr>
    <w:rPr>
      <w:rFonts w:ascii="Times New Roman" w:eastAsia="Times New Roman" w:hAnsi="Times New Roman" w:cs="Times New Roman"/>
      <w:i/>
      <w:sz w:val="24"/>
      <w:szCs w:val="24"/>
    </w:rPr>
  </w:style>
  <w:style w:type="paragraph" w:customStyle="1" w:styleId="Statut">
    <w:name w:val="Statut"/>
    <w:basedOn w:val="Normal"/>
    <w:next w:val="Typedudocument"/>
    <w:pPr>
      <w:spacing w:before="360" w:after="0" w:line="240" w:lineRule="auto"/>
      <w:jc w:val="center"/>
    </w:pPr>
    <w:rPr>
      <w:rFonts w:ascii="Times New Roman" w:eastAsia="Times New Roman" w:hAnsi="Times New Roman" w:cs="Times New Roman"/>
      <w:sz w:val="24"/>
      <w:szCs w:val="24"/>
    </w:rPr>
  </w:style>
  <w:style w:type="paragraph" w:customStyle="1" w:styleId="Titrearticle">
    <w:name w:val="Titre article"/>
    <w:basedOn w:val="Normal"/>
    <w:next w:val="Normal"/>
    <w:pPr>
      <w:keepNext/>
      <w:spacing w:before="360" w:after="120" w:line="240" w:lineRule="auto"/>
      <w:jc w:val="center"/>
    </w:pPr>
    <w:rPr>
      <w:rFonts w:ascii="Times New Roman" w:eastAsia="Times New Roman" w:hAnsi="Times New Roman" w:cs="Times New Roman"/>
      <w:i/>
      <w:sz w:val="24"/>
      <w:szCs w:val="24"/>
    </w:rPr>
  </w:style>
  <w:style w:type="paragraph" w:customStyle="1" w:styleId="Titreobjet">
    <w:name w:val="Titre objet"/>
    <w:basedOn w:val="Normal"/>
    <w:next w:val="Normal"/>
    <w:pPr>
      <w:spacing w:before="360" w:after="360" w:line="240" w:lineRule="auto"/>
      <w:jc w:val="center"/>
    </w:pPr>
    <w:rPr>
      <w:rFonts w:ascii="Times New Roman" w:eastAsia="Times New Roman" w:hAnsi="Times New Roman" w:cs="Times New Roman"/>
      <w:b/>
      <w:sz w:val="24"/>
      <w:szCs w:val="24"/>
    </w:rPr>
  </w:style>
  <w:style w:type="paragraph" w:customStyle="1" w:styleId="Typedudocument">
    <w:name w:val="Type du document"/>
    <w:basedOn w:val="Normal"/>
    <w:next w:val="Titreobjet"/>
    <w:pPr>
      <w:spacing w:before="360" w:after="0" w:line="240" w:lineRule="auto"/>
      <w:jc w:val="center"/>
    </w:pPr>
    <w:rPr>
      <w:rFonts w:ascii="Times New Roman" w:eastAsia="Times New Roman" w:hAnsi="Times New Roman" w:cs="Times New Roman"/>
      <w:b/>
      <w:sz w:val="24"/>
      <w:szCs w:val="24"/>
    </w:rPr>
  </w:style>
  <w:style w:type="paragraph" w:customStyle="1" w:styleId="Fichefinanciretitre">
    <w:name w:val="Fiche financière titre"/>
    <w:basedOn w:val="Normal"/>
    <w:next w:val="Normal"/>
    <w:pPr>
      <w:spacing w:before="120" w:after="120" w:line="240" w:lineRule="auto"/>
      <w:jc w:val="center"/>
    </w:pPr>
    <w:rPr>
      <w:rFonts w:ascii="Times New Roman" w:eastAsia="Times New Roman" w:hAnsi="Times New Roman" w:cs="Times New Roman"/>
      <w:b/>
      <w:sz w:val="24"/>
      <w:szCs w:val="24"/>
      <w:u w:val="single"/>
    </w:rPr>
  </w:style>
  <w:style w:type="paragraph" w:styleId="ListNumber">
    <w:name w:val="List Number"/>
    <w:basedOn w:val="Normal"/>
    <w:pPr>
      <w:numPr>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Bullet1">
    <w:name w:val="List Bullet 1"/>
    <w:basedOn w:val="Normal"/>
    <w:pPr>
      <w:numPr>
        <w:numId w:val="3"/>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Dash1">
    <w:name w:val="List Dash 1"/>
    <w:basedOn w:val="Normal"/>
    <w:pPr>
      <w:numPr>
        <w:numId w:val="4"/>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2">
    <w:name w:val="List Number (Level 2)"/>
    <w:basedOn w:val="Normal"/>
    <w:pPr>
      <w:numPr>
        <w:ilvl w:val="1"/>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3">
    <w:name w:val="List Number (Level 3)"/>
    <w:basedOn w:val="Normal"/>
    <w:pPr>
      <w:numPr>
        <w:ilvl w:val="2"/>
        <w:numId w:val="5"/>
      </w:numPr>
      <w:spacing w:before="120" w:after="120" w:line="240" w:lineRule="auto"/>
      <w:jc w:val="both"/>
    </w:pPr>
    <w:rPr>
      <w:rFonts w:ascii="Times New Roman" w:eastAsia="Times New Roman" w:hAnsi="Times New Roman" w:cs="Times New Roman"/>
      <w:sz w:val="24"/>
      <w:szCs w:val="24"/>
      <w:lang w:eastAsia="de-DE"/>
    </w:rPr>
  </w:style>
  <w:style w:type="paragraph" w:customStyle="1" w:styleId="ListNumberLevel4">
    <w:name w:val="List Number (Level 4)"/>
    <w:basedOn w:val="Normal"/>
    <w:pPr>
      <w:numPr>
        <w:ilvl w:val="3"/>
        <w:numId w:val="5"/>
      </w:numPr>
      <w:spacing w:before="120" w:after="120" w:line="240" w:lineRule="auto"/>
      <w:jc w:val="both"/>
    </w:pPr>
    <w:rPr>
      <w:rFonts w:ascii="Times New Roman" w:eastAsia="Times New Roman" w:hAnsi="Times New Roman" w:cs="Times New Roman"/>
      <w:sz w:val="24"/>
      <w:szCs w:val="24"/>
      <w:lang w:eastAsia="de-DE"/>
    </w:rPr>
  </w:style>
  <w:style w:type="character" w:styleId="Hyperlink">
    <w:name w:val="Hyperlink"/>
    <w:rPr>
      <w:color w:val="0000FF"/>
      <w:u w:val="single"/>
      <w:shd w:val="clear" w:color="auto" w:fill="auto"/>
    </w:rPr>
  </w:style>
  <w:style w:type="paragraph" w:customStyle="1" w:styleId="ListDash">
    <w:name w:val="List Dash"/>
    <w:basedOn w:val="Normal"/>
    <w:pPr>
      <w:numPr>
        <w:numId w:val="6"/>
      </w:numPr>
      <w:spacing w:before="120" w:after="120" w:line="240" w:lineRule="auto"/>
      <w:jc w:val="both"/>
    </w:pPr>
    <w:rPr>
      <w:rFonts w:ascii="Times New Roman" w:eastAsia="Times New Roman" w:hAnsi="Times New Roman" w:cs="Times New Roman"/>
      <w:sz w:val="24"/>
      <w:szCs w:val="24"/>
      <w:lang w:eastAsia="de-D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57B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classification">
    <w:name w:val="Declassification"/>
    <w:basedOn w:val="Normal"/>
    <w:next w:val="Normal"/>
    <w:rsid w:val="00524BA6"/>
    <w:pPr>
      <w:spacing w:after="0" w:line="240" w:lineRule="auto"/>
      <w:jc w:val="both"/>
    </w:pPr>
    <w:rPr>
      <w:rFonts w:ascii="Times New Roman" w:hAnsi="Times New Roman" w:cs="Times New Roman"/>
      <w:sz w:val="24"/>
    </w:rPr>
  </w:style>
  <w:style w:type="paragraph" w:customStyle="1" w:styleId="HeaderSensitivity">
    <w:name w:val="Header Sensitivity"/>
    <w:basedOn w:val="Normal"/>
    <w:rsid w:val="00524BA6"/>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Sensitivity">
    <w:name w:val="Footer Sensitivity"/>
    <w:basedOn w:val="Normal"/>
    <w:rsid w:val="00524BA6"/>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SecurityMarking">
    <w:name w:val="SecurityMarking"/>
    <w:basedOn w:val="Normal"/>
    <w:rsid w:val="008F4668"/>
    <w:pPr>
      <w:spacing w:after="0"/>
      <w:ind w:left="5103"/>
    </w:pPr>
    <w:rPr>
      <w:rFonts w:ascii="Times New Roman" w:hAnsi="Times New Roman" w:cs="Times New Roman"/>
      <w:sz w:val="28"/>
    </w:rPr>
  </w:style>
  <w:style w:type="paragraph" w:customStyle="1" w:styleId="DateMarking">
    <w:name w:val="DateMarking"/>
    <w:basedOn w:val="Normal"/>
    <w:rsid w:val="008F4668"/>
    <w:pPr>
      <w:spacing w:after="0"/>
      <w:ind w:left="5103"/>
    </w:pPr>
    <w:rPr>
      <w:rFonts w:ascii="Times New Roman" w:hAnsi="Times New Roman" w:cs="Times New Roman"/>
      <w:i/>
      <w:sz w:val="28"/>
    </w:rPr>
  </w:style>
  <w:style w:type="paragraph" w:customStyle="1" w:styleId="ReleasableTo">
    <w:name w:val="ReleasableTo"/>
    <w:basedOn w:val="Normal"/>
    <w:rsid w:val="008F4668"/>
    <w:pPr>
      <w:spacing w:after="0"/>
      <w:ind w:left="5103"/>
    </w:pPr>
    <w:rPr>
      <w:rFonts w:ascii="Times New Roman" w:hAnsi="Times New Roman" w:cs="Times New Roman"/>
      <w:i/>
      <w:sz w:val="28"/>
    </w:rPr>
  </w:style>
  <w:style w:type="paragraph" w:customStyle="1" w:styleId="HeaderSensitivityRight">
    <w:name w:val="Header Sensitivity Right"/>
    <w:basedOn w:val="Normal"/>
    <w:rsid w:val="008F4668"/>
    <w:pPr>
      <w:spacing w:after="120" w:line="240" w:lineRule="auto"/>
      <w:jc w:val="right"/>
    </w:pPr>
    <w:rPr>
      <w:rFonts w:ascii="Times New Roman" w:hAnsi="Times New Roman" w:cs="Times New Roman"/>
      <w:sz w:val="28"/>
    </w:rPr>
  </w:style>
  <w:style w:type="character" w:styleId="CommentReference">
    <w:name w:val="annotation reference"/>
    <w:basedOn w:val="DefaultParagraphFont"/>
    <w:uiPriority w:val="99"/>
    <w:semiHidden/>
    <w:unhideWhenUsed/>
    <w:rsid w:val="00EF399C"/>
    <w:rPr>
      <w:sz w:val="16"/>
      <w:szCs w:val="16"/>
    </w:rPr>
  </w:style>
  <w:style w:type="paragraph" w:styleId="CommentText">
    <w:name w:val="annotation text"/>
    <w:basedOn w:val="Normal"/>
    <w:link w:val="CommentTextChar"/>
    <w:uiPriority w:val="99"/>
    <w:semiHidden/>
    <w:unhideWhenUsed/>
    <w:rsid w:val="00EF399C"/>
    <w:pPr>
      <w:spacing w:line="240" w:lineRule="auto"/>
    </w:pPr>
    <w:rPr>
      <w:sz w:val="20"/>
      <w:szCs w:val="20"/>
    </w:rPr>
  </w:style>
  <w:style w:type="character" w:customStyle="1" w:styleId="CommentTextChar">
    <w:name w:val="Comment Text Char"/>
    <w:basedOn w:val="DefaultParagraphFont"/>
    <w:link w:val="CommentText"/>
    <w:uiPriority w:val="99"/>
    <w:semiHidden/>
    <w:rsid w:val="00EF399C"/>
    <w:rPr>
      <w:sz w:val="20"/>
      <w:szCs w:val="20"/>
    </w:rPr>
  </w:style>
  <w:style w:type="paragraph" w:styleId="CommentSubject">
    <w:name w:val="annotation subject"/>
    <w:basedOn w:val="CommentText"/>
    <w:next w:val="CommentText"/>
    <w:link w:val="CommentSubjectChar"/>
    <w:uiPriority w:val="99"/>
    <w:semiHidden/>
    <w:unhideWhenUsed/>
    <w:rsid w:val="00EF399C"/>
    <w:rPr>
      <w:b/>
      <w:bCs/>
    </w:rPr>
  </w:style>
  <w:style w:type="character" w:customStyle="1" w:styleId="CommentSubjectChar">
    <w:name w:val="Comment Subject Char"/>
    <w:basedOn w:val="CommentTextChar"/>
    <w:link w:val="CommentSubject"/>
    <w:uiPriority w:val="99"/>
    <w:semiHidden/>
    <w:rsid w:val="00EF399C"/>
    <w:rPr>
      <w:b/>
      <w:bCs/>
      <w:sz w:val="20"/>
      <w:szCs w:val="20"/>
    </w:rPr>
  </w:style>
  <w:style w:type="paragraph" w:styleId="Revision">
    <w:name w:val="Revision"/>
    <w:hidden/>
    <w:uiPriority w:val="99"/>
    <w:semiHidden/>
    <w:rsid w:val="00B638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4388092">
      <w:bodyDiv w:val="1"/>
      <w:marLeft w:val="0"/>
      <w:marRight w:val="0"/>
      <w:marTop w:val="0"/>
      <w:marBottom w:val="0"/>
      <w:divBdr>
        <w:top w:val="none" w:sz="0" w:space="0" w:color="auto"/>
        <w:left w:val="none" w:sz="0" w:space="0" w:color="auto"/>
        <w:bottom w:val="none" w:sz="0" w:space="0" w:color="auto"/>
        <w:right w:val="none" w:sz="0" w:space="0" w:color="auto"/>
      </w:divBdr>
    </w:div>
    <w:div w:id="108051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B20D3-F923-42BE-A36B-119030588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3424</Words>
  <Characters>25785</Characters>
  <Application>Microsoft Office Word</Application>
  <DocSecurity>0</DocSecurity>
  <Lines>526</Lines>
  <Paragraphs>196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29</cp:revision>
  <cp:lastPrinted>2019-11-05T08:16:00Z</cp:lastPrinted>
  <dcterms:created xsi:type="dcterms:W3CDTF">2021-11-11T13:33:00Z</dcterms:created>
  <dcterms:modified xsi:type="dcterms:W3CDTF">2021-11-26T08:53:00Z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1</vt:lpwstr>
  </property>
  <property fmtid="{D5CDD505-2E9C-101B-9397-08002B2CF9AE}" pid="3" name="Total parts">
    <vt:lpwstr>1</vt:lpwstr>
  </property>
  <property fmtid="{D5CDD505-2E9C-101B-9397-08002B2CF9AE}" pid="4" name="DocStatus">
    <vt:lpwstr>Green</vt:lpwstr>
  </property>
  <property fmtid="{D5CDD505-2E9C-101B-9397-08002B2CF9AE}" pid="5" name="Level of sensitivity">
    <vt:lpwstr>Standard treatment</vt:lpwstr>
  </property>
  <property fmtid="{D5CDD505-2E9C-101B-9397-08002B2CF9AE}" pid="6" name="Last edited using">
    <vt:lpwstr>LW 7.0.1, Build 20200226</vt:lpwstr>
  </property>
  <property fmtid="{D5CDD505-2E9C-101B-9397-08002B2CF9AE}" pid="7" name="CPTemplateID">
    <vt:lpwstr>CP-006</vt:lpwstr>
  </property>
  <property name="OP_sanitized" fmtid="{D5CDD505-2E9C-101B-9397-08002B2CF9AE}" pid="8">
    <vt:lpwstr>True</vt:lpwstr>
  </property>
</Properties>
</file>