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03B36" w14:textId="185420A3" w:rsidR="00560666" w:rsidRDefault="003C6C4D" w:rsidP="003C6C4D">
      <w:pPr>
        <w:pStyle w:val="Pagedecouverture"/>
        <w:rPr>
          <w:noProof/>
        </w:rPr>
      </w:pPr>
      <w:r>
        <w:rPr>
          <w:noProof/>
        </w:rPr>
        <w:pict w14:anchorId="4900CF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BC03D26E-3A44-4B73-BC64-69416553B5E6" style="width:455.25pt;height:369.75pt">
            <v:imagedata r:id="rId8" o:title=""/>
          </v:shape>
        </w:pict>
      </w:r>
    </w:p>
    <w:p w14:paraId="59CC835F" w14:textId="77777777" w:rsidR="0097221A" w:rsidRDefault="0097221A" w:rsidP="0097221A">
      <w:pPr>
        <w:rPr>
          <w:noProof/>
        </w:rPr>
        <w:sectPr w:rsidR="0097221A" w:rsidSect="003C6C4D">
          <w:footerReference w:type="default" r:id="rId9"/>
          <w:pgSz w:w="11907" w:h="16839"/>
          <w:pgMar w:top="1134" w:right="1417" w:bottom="1134" w:left="1417" w:header="709" w:footer="709" w:gutter="0"/>
          <w:pgNumType w:start="0"/>
          <w:cols w:space="720"/>
          <w:docGrid w:linePitch="360"/>
        </w:sectPr>
      </w:pPr>
    </w:p>
    <w:p w14:paraId="15D8BDFD" w14:textId="77777777" w:rsidR="00560666" w:rsidRDefault="00560666" w:rsidP="00BB6B30">
      <w:pPr>
        <w:pStyle w:val="Exposdesmotifstitre"/>
        <w:rPr>
          <w:noProof/>
        </w:rPr>
      </w:pPr>
      <w:bookmarkStart w:id="0" w:name="_GoBack"/>
      <w:bookmarkEnd w:id="0"/>
      <w:r w:rsidRPr="006F770D">
        <w:rPr>
          <w:noProof/>
        </w:rPr>
        <w:lastRenderedPageBreak/>
        <w:t>EXPLANATORY MEMORANDUM</w:t>
      </w:r>
    </w:p>
    <w:p w14:paraId="36FD4AA8" w14:textId="77777777" w:rsidR="00560666" w:rsidRPr="006F770D" w:rsidRDefault="00560666" w:rsidP="00BB6B30">
      <w:pPr>
        <w:pStyle w:val="ManualHeading1"/>
        <w:rPr>
          <w:noProof/>
        </w:rPr>
      </w:pPr>
      <w:r w:rsidRPr="00C567EE">
        <w:rPr>
          <w:noProof/>
        </w:rPr>
        <w:t>1.</w:t>
      </w:r>
      <w:r w:rsidRPr="00C567EE">
        <w:rPr>
          <w:noProof/>
        </w:rPr>
        <w:tab/>
      </w:r>
      <w:r w:rsidRPr="006F770D">
        <w:rPr>
          <w:noProof/>
        </w:rPr>
        <w:t>CONTEXT OF THE PROPOSAL</w:t>
      </w:r>
    </w:p>
    <w:p w14:paraId="2E25EE44" w14:textId="77777777" w:rsidR="00560666" w:rsidRPr="00044058" w:rsidRDefault="00560666" w:rsidP="00044058">
      <w:pPr>
        <w:pStyle w:val="ManualHeading2"/>
        <w:rPr>
          <w:rFonts w:eastAsia="Arial Unicode MS"/>
          <w:noProof/>
        </w:rPr>
      </w:pPr>
      <w:r w:rsidRPr="0029266A">
        <w:rPr>
          <w:rFonts w:eastAsia="Arial Unicode MS"/>
          <w:noProof/>
          <w:color w:val="000000"/>
          <w:u w:color="000000"/>
          <w:bdr w:val="nil"/>
          <w:lang w:val="en-US" w:eastAsia="en-GB"/>
        </w:rPr>
        <w:t>•</w:t>
      </w:r>
      <w:r w:rsidRPr="0029266A">
        <w:rPr>
          <w:rFonts w:eastAsia="Arial Unicode MS"/>
          <w:noProof/>
          <w:color w:val="000000"/>
          <w:u w:color="000000"/>
          <w:bdr w:val="nil"/>
          <w:lang w:val="en-US" w:eastAsia="en-GB"/>
        </w:rPr>
        <w:tab/>
      </w:r>
      <w:r w:rsidRPr="00044058">
        <w:rPr>
          <w:rFonts w:eastAsia="Arial Unicode MS"/>
          <w:noProof/>
        </w:rPr>
        <w:t>Reasons for and objectives of the proposal</w:t>
      </w:r>
    </w:p>
    <w:p w14:paraId="00327B60" w14:textId="77777777" w:rsidR="00A21AB2" w:rsidRDefault="008B3F89" w:rsidP="0029266A">
      <w:pPr>
        <w:pBdr>
          <w:top w:val="nil"/>
          <w:left w:val="nil"/>
          <w:bottom w:val="nil"/>
          <w:right w:val="nil"/>
          <w:between w:val="nil"/>
          <w:bar w:val="nil"/>
        </w:pBdr>
        <w:spacing w:before="0" w:after="240"/>
        <w:rPr>
          <w:noProof/>
        </w:rPr>
      </w:pPr>
      <w:r>
        <w:rPr>
          <w:noProof/>
        </w:rPr>
        <w:t>The Doha Round of trade negotiations (also called the Doha Development Agenda or "DDA") in the World Trade Organization (</w:t>
      </w:r>
      <w:r w:rsidR="00183041">
        <w:rPr>
          <w:noProof/>
        </w:rPr>
        <w:t>“</w:t>
      </w:r>
      <w:r>
        <w:rPr>
          <w:noProof/>
        </w:rPr>
        <w:t>WTO</w:t>
      </w:r>
      <w:r w:rsidR="00183041">
        <w:rPr>
          <w:noProof/>
        </w:rPr>
        <w:t>”</w:t>
      </w:r>
      <w:r>
        <w:rPr>
          <w:noProof/>
        </w:rPr>
        <w:t xml:space="preserve">) was launched in 2001 and covered a broad set of issues including fisheries subsidies, agriculture, industrial goods, services, industrial </w:t>
      </w:r>
      <w:r w:rsidR="00A21AB2">
        <w:rPr>
          <w:noProof/>
        </w:rPr>
        <w:t>subsidies,</w:t>
      </w:r>
      <w:r>
        <w:rPr>
          <w:noProof/>
        </w:rPr>
        <w:t xml:space="preserve"> and development issues.</w:t>
      </w:r>
      <w:r w:rsidR="00A21AB2">
        <w:rPr>
          <w:noProof/>
        </w:rPr>
        <w:t xml:space="preserve"> </w:t>
      </w:r>
      <w:r w:rsidR="00D71F1E" w:rsidRPr="00D71F1E">
        <w:rPr>
          <w:noProof/>
        </w:rPr>
        <w:t xml:space="preserve">The </w:t>
      </w:r>
      <w:r w:rsidR="00D71F1E">
        <w:rPr>
          <w:noProof/>
        </w:rPr>
        <w:t>WTO</w:t>
      </w:r>
      <w:r w:rsidR="00D71F1E" w:rsidRPr="00D71F1E">
        <w:rPr>
          <w:noProof/>
        </w:rPr>
        <w:t xml:space="preserve"> negotiations on fisheries subsidies were tasked to deliver </w:t>
      </w:r>
      <w:r w:rsidR="00D71F1E">
        <w:rPr>
          <w:noProof/>
        </w:rPr>
        <w:t xml:space="preserve">on </w:t>
      </w:r>
      <w:r w:rsidR="00D71F1E" w:rsidRPr="00D71F1E">
        <w:rPr>
          <w:noProof/>
        </w:rPr>
        <w:t>the United Nations Sustainable Development Goal Target 14.6</w:t>
      </w:r>
      <w:r w:rsidR="004A7836">
        <w:rPr>
          <w:noProof/>
        </w:rPr>
        <w:t>.</w:t>
      </w:r>
    </w:p>
    <w:p w14:paraId="2BB3CF18" w14:textId="77777777" w:rsidR="00560666" w:rsidRPr="00A21AB2" w:rsidRDefault="00A21AB2" w:rsidP="0029266A">
      <w:pPr>
        <w:pBdr>
          <w:top w:val="nil"/>
          <w:left w:val="nil"/>
          <w:bottom w:val="nil"/>
          <w:right w:val="nil"/>
          <w:between w:val="nil"/>
          <w:bar w:val="nil"/>
        </w:pBdr>
        <w:spacing w:before="0" w:after="240"/>
        <w:rPr>
          <w:noProof/>
          <w:lang w:val="en-IE"/>
        </w:rPr>
      </w:pPr>
      <w:r>
        <w:rPr>
          <w:noProof/>
        </w:rPr>
        <w:t>The UN Sustainable Development Goal Target 14.6 set</w:t>
      </w:r>
      <w:r w:rsidR="00D71F1E">
        <w:rPr>
          <w:noProof/>
        </w:rPr>
        <w:t>s</w:t>
      </w:r>
      <w:r>
        <w:rPr>
          <w:noProof/>
        </w:rPr>
        <w:t xml:space="preserve"> out the aim to </w:t>
      </w:r>
      <w:r w:rsidRPr="00A21AB2">
        <w:rPr>
          <w:noProof/>
        </w:rPr>
        <w:t>prohibit certain f</w:t>
      </w:r>
      <w:r>
        <w:rPr>
          <w:noProof/>
        </w:rPr>
        <w:t>orms</w:t>
      </w:r>
      <w:r w:rsidRPr="00A21AB2">
        <w:rPr>
          <w:noProof/>
        </w:rPr>
        <w:t xml:space="preserve"> of fisheries subsidies which contribute to overcapacity and overfishing, and eliminate subsidies that contribute to </w:t>
      </w:r>
      <w:r>
        <w:rPr>
          <w:noProof/>
        </w:rPr>
        <w:t>illegal, unregulated and unreported f</w:t>
      </w:r>
      <w:r w:rsidRPr="00A21AB2">
        <w:rPr>
          <w:noProof/>
        </w:rPr>
        <w:t>ishing, and refrain from introducing new such subsidies, recognizing that appropriate and effective special and differential treatment for developing and least developed countries should be an integral part of the WTO fisheries subsidies negotiation</w:t>
      </w:r>
      <w:r>
        <w:rPr>
          <w:noProof/>
        </w:rPr>
        <w:t>.</w:t>
      </w:r>
    </w:p>
    <w:p w14:paraId="2C1C8E8F" w14:textId="77777777" w:rsidR="00A21AB2" w:rsidRDefault="008B3F89" w:rsidP="00A21AB2">
      <w:pPr>
        <w:pBdr>
          <w:top w:val="nil"/>
          <w:left w:val="nil"/>
          <w:bottom w:val="nil"/>
          <w:right w:val="nil"/>
          <w:between w:val="nil"/>
          <w:bar w:val="nil"/>
        </w:pBdr>
        <w:spacing w:before="0" w:after="240"/>
        <w:rPr>
          <w:noProof/>
        </w:rPr>
      </w:pPr>
      <w:r>
        <w:rPr>
          <w:noProof/>
        </w:rPr>
        <w:t>At the 12</w:t>
      </w:r>
      <w:r w:rsidRPr="008B3F89">
        <w:rPr>
          <w:noProof/>
          <w:vertAlign w:val="superscript"/>
        </w:rPr>
        <w:t>th</w:t>
      </w:r>
      <w:r>
        <w:rPr>
          <w:noProof/>
        </w:rPr>
        <w:t xml:space="preserve"> WTO Ministerial Conference that took place on 12-17 June 2022 in Geneva, consensus was reached on</w:t>
      </w:r>
      <w:r w:rsidR="00A21AB2">
        <w:rPr>
          <w:noProof/>
        </w:rPr>
        <w:t xml:space="preserve"> </w:t>
      </w:r>
      <w:r w:rsidR="00C46A3F">
        <w:rPr>
          <w:noProof/>
        </w:rPr>
        <w:t xml:space="preserve">the </w:t>
      </w:r>
      <w:r w:rsidR="00A21AB2">
        <w:rPr>
          <w:noProof/>
        </w:rPr>
        <w:t xml:space="preserve">Agreement on Fisheries </w:t>
      </w:r>
      <w:r w:rsidR="00C46A3F">
        <w:rPr>
          <w:noProof/>
        </w:rPr>
        <w:t>S</w:t>
      </w:r>
      <w:r w:rsidR="00A21AB2">
        <w:rPr>
          <w:noProof/>
        </w:rPr>
        <w:t>ubsidies</w:t>
      </w:r>
      <w:r w:rsidR="00183041">
        <w:rPr>
          <w:noProof/>
        </w:rPr>
        <w:t xml:space="preserve"> (“the Agreement”)</w:t>
      </w:r>
      <w:r w:rsidR="00F83EF1">
        <w:rPr>
          <w:noProof/>
        </w:rPr>
        <w:t>. The 12</w:t>
      </w:r>
      <w:r w:rsidR="00F83EF1" w:rsidRPr="008B3F89">
        <w:rPr>
          <w:noProof/>
          <w:vertAlign w:val="superscript"/>
        </w:rPr>
        <w:t>th</w:t>
      </w:r>
      <w:r w:rsidR="00F83EF1">
        <w:rPr>
          <w:noProof/>
        </w:rPr>
        <w:t xml:space="preserve"> WTO Ministerial Conference</w:t>
      </w:r>
      <w:r w:rsidR="00A21AB2">
        <w:rPr>
          <w:noProof/>
        </w:rPr>
        <w:t xml:space="preserve"> adopted</w:t>
      </w:r>
      <w:r w:rsidR="00A21AB2">
        <w:rPr>
          <w:rStyle w:val="FootnoteReference"/>
          <w:noProof/>
        </w:rPr>
        <w:footnoteReference w:id="1"/>
      </w:r>
      <w:r w:rsidR="00A21AB2">
        <w:rPr>
          <w:noProof/>
        </w:rPr>
        <w:t xml:space="preserve"> </w:t>
      </w:r>
      <w:r w:rsidR="00A21AB2" w:rsidRPr="00A21AB2">
        <w:rPr>
          <w:noProof/>
        </w:rPr>
        <w:t xml:space="preserve">the Protocol Amending the Marrakesh Agreement Establishing the World Trade Organization </w:t>
      </w:r>
      <w:r w:rsidR="00A21AB2">
        <w:rPr>
          <w:noProof/>
        </w:rPr>
        <w:t>by inserting the Agreement on Fisheries Subsidies</w:t>
      </w:r>
      <w:r w:rsidR="00A21AB2" w:rsidRPr="00AD397B">
        <w:rPr>
          <w:rFonts w:eastAsia="Calibri"/>
          <w:noProof/>
          <w:color w:val="000000"/>
          <w:szCs w:val="18"/>
        </w:rPr>
        <w:t>, as set out in the Annex to th</w:t>
      </w:r>
      <w:r w:rsidR="00A21AB2">
        <w:rPr>
          <w:rFonts w:eastAsia="Calibri"/>
          <w:noProof/>
          <w:color w:val="000000"/>
          <w:szCs w:val="18"/>
        </w:rPr>
        <w:t>at</w:t>
      </w:r>
      <w:r w:rsidR="00A21AB2" w:rsidRPr="00AD397B">
        <w:rPr>
          <w:rFonts w:eastAsia="Calibri"/>
          <w:noProof/>
          <w:color w:val="000000"/>
          <w:szCs w:val="18"/>
        </w:rPr>
        <w:t xml:space="preserve"> Protocol</w:t>
      </w:r>
      <w:r w:rsidR="0020600F">
        <w:rPr>
          <w:rFonts w:eastAsia="Calibri"/>
          <w:noProof/>
          <w:color w:val="000000"/>
          <w:szCs w:val="18"/>
        </w:rPr>
        <w:t xml:space="preserve">, into the Marrakech Agreement </w:t>
      </w:r>
      <w:r w:rsidR="0020600F" w:rsidRPr="00AD397B">
        <w:rPr>
          <w:rFonts w:eastAsia="Calibri"/>
          <w:noProof/>
          <w:color w:val="000000"/>
          <w:szCs w:val="18"/>
        </w:rPr>
        <w:t xml:space="preserve">after the Agreement on </w:t>
      </w:r>
      <w:r w:rsidR="0020600F">
        <w:rPr>
          <w:rFonts w:eastAsia="Calibri"/>
          <w:noProof/>
          <w:color w:val="000000"/>
          <w:szCs w:val="18"/>
        </w:rPr>
        <w:t>Subsidies and Countervailing Measures</w:t>
      </w:r>
      <w:r w:rsidR="00A21AB2">
        <w:rPr>
          <w:rFonts w:eastAsia="Calibri"/>
          <w:noProof/>
          <w:color w:val="000000"/>
          <w:szCs w:val="18"/>
        </w:rPr>
        <w:t>.</w:t>
      </w:r>
    </w:p>
    <w:p w14:paraId="5E95C6B5" w14:textId="77777777" w:rsidR="008B3F89" w:rsidRDefault="008B3F89" w:rsidP="008B3F89">
      <w:pPr>
        <w:pBdr>
          <w:top w:val="nil"/>
          <w:left w:val="nil"/>
          <w:bottom w:val="nil"/>
          <w:right w:val="nil"/>
          <w:between w:val="nil"/>
          <w:bar w:val="nil"/>
        </w:pBdr>
        <w:spacing w:before="0" w:after="240"/>
        <w:rPr>
          <w:noProof/>
        </w:rPr>
      </w:pPr>
      <w:r>
        <w:rPr>
          <w:noProof/>
        </w:rPr>
        <w:t>The Agreement</w:t>
      </w:r>
      <w:r w:rsidR="00F80EDE">
        <w:rPr>
          <w:noProof/>
        </w:rPr>
        <w:t xml:space="preserve"> </w:t>
      </w:r>
      <w:r>
        <w:rPr>
          <w:noProof/>
        </w:rPr>
        <w:t xml:space="preserve">is a crucial step to ensure that fisheries subsidies </w:t>
      </w:r>
      <w:r w:rsidR="00D228E9">
        <w:rPr>
          <w:noProof/>
        </w:rPr>
        <w:t xml:space="preserve">employ </w:t>
      </w:r>
      <w:r>
        <w:rPr>
          <w:noProof/>
        </w:rPr>
        <w:t xml:space="preserve">sustainability as their core objective and avoid harm to the oceans and fish stocks that </w:t>
      </w:r>
      <w:r w:rsidR="00D228E9">
        <w:rPr>
          <w:noProof/>
        </w:rPr>
        <w:t xml:space="preserve">are </w:t>
      </w:r>
      <w:r>
        <w:rPr>
          <w:noProof/>
        </w:rPr>
        <w:t xml:space="preserve">indispensable for the livelihood </w:t>
      </w:r>
      <w:r w:rsidR="00D228E9">
        <w:rPr>
          <w:noProof/>
        </w:rPr>
        <w:t xml:space="preserve">of </w:t>
      </w:r>
      <w:r>
        <w:rPr>
          <w:noProof/>
        </w:rPr>
        <w:t>coastal communities around the world. In an unprecedented way, all WTO Members signed up to substantial limitations on subsidising unsustainable fishing, notably:</w:t>
      </w:r>
    </w:p>
    <w:p w14:paraId="32F507E3" w14:textId="77777777" w:rsidR="008B3F89" w:rsidRDefault="008B3F89" w:rsidP="000E31C8">
      <w:pPr>
        <w:pStyle w:val="Bullet1"/>
        <w:numPr>
          <w:ilvl w:val="0"/>
          <w:numId w:val="10"/>
        </w:numPr>
        <w:rPr>
          <w:noProof/>
        </w:rPr>
      </w:pPr>
      <w:r>
        <w:rPr>
          <w:noProof/>
        </w:rPr>
        <w:t>Prohibition of subsidies to illegal, unregulated and unreported fishing;</w:t>
      </w:r>
    </w:p>
    <w:p w14:paraId="7D3C6C26" w14:textId="77777777" w:rsidR="008B3F89" w:rsidRDefault="008B3F89" w:rsidP="001D2873">
      <w:pPr>
        <w:pStyle w:val="Bullet1"/>
        <w:rPr>
          <w:noProof/>
        </w:rPr>
      </w:pPr>
      <w:r>
        <w:rPr>
          <w:noProof/>
        </w:rPr>
        <w:t xml:space="preserve">Prohibition of subsidies for fishing </w:t>
      </w:r>
      <w:r w:rsidRPr="00B33722">
        <w:rPr>
          <w:noProof/>
          <w:lang w:val="en-CA" w:eastAsia="ko-KR"/>
        </w:rPr>
        <w:t xml:space="preserve">outside of the jurisdiction of a coastal </w:t>
      </w:r>
      <w:r>
        <w:rPr>
          <w:noProof/>
          <w:lang w:val="en-CA" w:eastAsia="ko-KR"/>
        </w:rPr>
        <w:t xml:space="preserve">State </w:t>
      </w:r>
      <w:r w:rsidRPr="00B33722">
        <w:rPr>
          <w:noProof/>
          <w:lang w:val="en-CA" w:eastAsia="ko-KR"/>
        </w:rPr>
        <w:t xml:space="preserve">and outside the competence of a relevant </w:t>
      </w:r>
      <w:r>
        <w:rPr>
          <w:noProof/>
          <w:lang w:val="en-CA" w:eastAsia="ko-KR"/>
        </w:rPr>
        <w:t>regional fisheries management organisation (</w:t>
      </w:r>
      <w:r w:rsidRPr="00B33722">
        <w:rPr>
          <w:noProof/>
          <w:lang w:val="en-CA" w:eastAsia="ko-KR"/>
        </w:rPr>
        <w:t>RFMO/A</w:t>
      </w:r>
      <w:r>
        <w:rPr>
          <w:noProof/>
          <w:lang w:val="en-CA" w:eastAsia="ko-KR"/>
        </w:rPr>
        <w:t xml:space="preserve">) to protect </w:t>
      </w:r>
      <w:r>
        <w:rPr>
          <w:noProof/>
        </w:rPr>
        <w:t>the most vulnerable areas lacking established and coordinated fisheries management regime;</w:t>
      </w:r>
    </w:p>
    <w:p w14:paraId="120DE219" w14:textId="77777777" w:rsidR="008B3F89" w:rsidRDefault="008B3F89" w:rsidP="001D2873">
      <w:pPr>
        <w:pStyle w:val="Bullet1"/>
        <w:rPr>
          <w:noProof/>
        </w:rPr>
      </w:pPr>
      <w:r>
        <w:rPr>
          <w:noProof/>
        </w:rPr>
        <w:t xml:space="preserve">Prohibition of subsidies to fishing regarding overfished </w:t>
      </w:r>
      <w:r w:rsidR="00FA7FB6">
        <w:rPr>
          <w:noProof/>
        </w:rPr>
        <w:t>stocks</w:t>
      </w:r>
      <w:r>
        <w:rPr>
          <w:noProof/>
        </w:rPr>
        <w:t xml:space="preserve"> </w:t>
      </w:r>
      <w:r w:rsidR="00FA7FB6">
        <w:rPr>
          <w:noProof/>
        </w:rPr>
        <w:t xml:space="preserve">conditional on sustainability standards to rebuild such stocks to healthy level; </w:t>
      </w:r>
    </w:p>
    <w:p w14:paraId="39A788F6" w14:textId="77777777" w:rsidR="008B3F89" w:rsidRDefault="00FA7FB6" w:rsidP="001D2873">
      <w:pPr>
        <w:pStyle w:val="Bullet1"/>
        <w:rPr>
          <w:noProof/>
        </w:rPr>
      </w:pPr>
      <w:r>
        <w:rPr>
          <w:noProof/>
        </w:rPr>
        <w:t xml:space="preserve">Disciplines regarding </w:t>
      </w:r>
      <w:r w:rsidR="00D228E9">
        <w:rPr>
          <w:noProof/>
        </w:rPr>
        <w:t>subsidies benefitting vessels not flying the flag of the subsidising Member</w:t>
      </w:r>
      <w:r>
        <w:rPr>
          <w:noProof/>
        </w:rPr>
        <w:t xml:space="preserve">; </w:t>
      </w:r>
      <w:r w:rsidR="00765A7C">
        <w:rPr>
          <w:noProof/>
        </w:rPr>
        <w:t xml:space="preserve">and </w:t>
      </w:r>
    </w:p>
    <w:p w14:paraId="6B3E21D4" w14:textId="77777777" w:rsidR="008B3F89" w:rsidRDefault="008B3F89" w:rsidP="001D2873">
      <w:pPr>
        <w:pStyle w:val="Bullet1"/>
        <w:rPr>
          <w:noProof/>
        </w:rPr>
      </w:pPr>
      <w:r>
        <w:rPr>
          <w:noProof/>
        </w:rPr>
        <w:t>Extensive transparency and notification provisions to monitor the implementation</w:t>
      </w:r>
      <w:r w:rsidR="00FA7FB6">
        <w:rPr>
          <w:noProof/>
        </w:rPr>
        <w:t xml:space="preserve"> of the Agreement.</w:t>
      </w:r>
    </w:p>
    <w:p w14:paraId="49A4A166" w14:textId="77777777" w:rsidR="008B3F89" w:rsidRDefault="00A21AB2" w:rsidP="0029266A">
      <w:pPr>
        <w:pBdr>
          <w:top w:val="nil"/>
          <w:left w:val="nil"/>
          <w:bottom w:val="nil"/>
          <w:right w:val="nil"/>
          <w:between w:val="nil"/>
          <w:bar w:val="nil"/>
        </w:pBdr>
        <w:spacing w:before="0" w:after="240"/>
        <w:rPr>
          <w:noProof/>
        </w:rPr>
      </w:pPr>
      <w:r>
        <w:rPr>
          <w:noProof/>
        </w:rPr>
        <w:t>The WTO Members also committed to</w:t>
      </w:r>
      <w:r w:rsidR="008B3F89" w:rsidRPr="008B3F89">
        <w:rPr>
          <w:noProof/>
        </w:rPr>
        <w:t xml:space="preserve"> continue negotiations based on the outstanding issues in documents WT/MIN(21)/W/5 and WT/MIN(22)/W/20 with a view to making recommendations to the </w:t>
      </w:r>
      <w:r>
        <w:rPr>
          <w:noProof/>
        </w:rPr>
        <w:t>13</w:t>
      </w:r>
      <w:r w:rsidRPr="00A21AB2">
        <w:rPr>
          <w:noProof/>
          <w:vertAlign w:val="superscript"/>
        </w:rPr>
        <w:t>th</w:t>
      </w:r>
      <w:r>
        <w:rPr>
          <w:noProof/>
        </w:rPr>
        <w:t xml:space="preserve"> </w:t>
      </w:r>
      <w:r w:rsidR="008B3F89" w:rsidRPr="008B3F89">
        <w:rPr>
          <w:noProof/>
        </w:rPr>
        <w:t>WTO Ministerial Conference for additional provisions that would achieve a comprehensive agreement on fisheries subsidies, including through further disciplines on certain forms of fisheries subsidies that contribute to overcapacity and overfishing, recognizing that appropriate and effective special and differential treatment for developing country Members and least developed country Members should be an integral part of these negotiations.</w:t>
      </w:r>
    </w:p>
    <w:p w14:paraId="4BD0A8BC" w14:textId="77777777" w:rsidR="00F80EDE" w:rsidRPr="00DC77B7" w:rsidRDefault="00D02CD9" w:rsidP="00DC77B7">
      <w:pPr>
        <w:pBdr>
          <w:top w:val="nil"/>
          <w:left w:val="nil"/>
          <w:bottom w:val="nil"/>
          <w:right w:val="nil"/>
          <w:between w:val="nil"/>
          <w:bar w:val="nil"/>
        </w:pBdr>
        <w:spacing w:before="0" w:after="240"/>
        <w:rPr>
          <w:noProof/>
        </w:rPr>
      </w:pPr>
      <w:r w:rsidRPr="00F80EDE">
        <w:rPr>
          <w:noProof/>
        </w:rPr>
        <w:t>The Agreement on Fisheries Subsidies will enter into force for the WTO M</w:t>
      </w:r>
      <w:r w:rsidR="00F80EDE">
        <w:rPr>
          <w:noProof/>
        </w:rPr>
        <w:t xml:space="preserve">embers that have </w:t>
      </w:r>
      <w:r w:rsidRPr="00F80EDE">
        <w:rPr>
          <w:noProof/>
        </w:rPr>
        <w:t>accepted it upon acceptance by two thirds of the WTO Members. T</w:t>
      </w:r>
      <w:r w:rsidR="00F80EDE">
        <w:rPr>
          <w:noProof/>
        </w:rPr>
        <w:t xml:space="preserve">he present </w:t>
      </w:r>
      <w:r w:rsidRPr="00F80EDE">
        <w:rPr>
          <w:noProof/>
        </w:rPr>
        <w:t xml:space="preserve">Commission proposal for a Council decision </w:t>
      </w:r>
      <w:r w:rsidR="00F80EDE">
        <w:rPr>
          <w:noProof/>
        </w:rPr>
        <w:t xml:space="preserve">aims at formally concluding the </w:t>
      </w:r>
      <w:r w:rsidRPr="00F80EDE">
        <w:rPr>
          <w:noProof/>
        </w:rPr>
        <w:t xml:space="preserve">Agreement in accordance with Article 218(6) </w:t>
      </w:r>
      <w:r w:rsidR="00183041" w:rsidRPr="00F80EDE">
        <w:rPr>
          <w:noProof/>
        </w:rPr>
        <w:t>of the Treaty on the F</w:t>
      </w:r>
      <w:r w:rsidR="00F80EDE">
        <w:rPr>
          <w:noProof/>
        </w:rPr>
        <w:t xml:space="preserve">unctioning of the </w:t>
      </w:r>
      <w:r w:rsidR="00183041" w:rsidRPr="00F80EDE">
        <w:rPr>
          <w:noProof/>
        </w:rPr>
        <w:t>European Union (TFEU)</w:t>
      </w:r>
      <w:r w:rsidRPr="00F80EDE">
        <w:rPr>
          <w:noProof/>
        </w:rPr>
        <w:t xml:space="preserve"> to enable the Union to notify its acceptance to the WTO. </w:t>
      </w:r>
    </w:p>
    <w:p w14:paraId="1EE6169B" w14:textId="77777777" w:rsidR="00560666" w:rsidRPr="002D5EE2" w:rsidRDefault="00560666" w:rsidP="00044058">
      <w:pPr>
        <w:pStyle w:val="ManualHeading2"/>
        <w:rPr>
          <w:rFonts w:eastAsia="Arial Unicode MS"/>
          <w:noProof/>
          <w:color w:val="000000"/>
          <w:u w:color="000000"/>
          <w:bdr w:val="nil"/>
          <w:lang w:val="en-US" w:eastAsia="en-GB"/>
        </w:rPr>
      </w:pPr>
      <w:r w:rsidRPr="0029266A">
        <w:rPr>
          <w:rFonts w:eastAsia="Arial Unicode MS"/>
          <w:noProof/>
          <w:color w:val="000000"/>
          <w:u w:color="000000"/>
          <w:bdr w:val="nil"/>
          <w:lang w:val="en-US" w:eastAsia="en-GB"/>
        </w:rPr>
        <w:t>•</w:t>
      </w:r>
      <w:r w:rsidRPr="0029266A">
        <w:rPr>
          <w:rFonts w:eastAsia="Arial Unicode MS"/>
          <w:noProof/>
          <w:color w:val="000000"/>
          <w:u w:color="000000"/>
          <w:bdr w:val="nil"/>
          <w:lang w:val="en-US" w:eastAsia="en-GB"/>
        </w:rPr>
        <w:tab/>
      </w:r>
      <w:r w:rsidRPr="00044058">
        <w:rPr>
          <w:rFonts w:eastAsia="Arial Unicode MS"/>
          <w:noProof/>
        </w:rPr>
        <w:t>Consistency with existing policy provisions in the</w:t>
      </w:r>
      <w:r>
        <w:rPr>
          <w:rFonts w:eastAsia="Arial Unicode MS"/>
          <w:noProof/>
        </w:rPr>
        <w:t xml:space="preserve"> </w:t>
      </w:r>
      <w:r w:rsidRPr="002D5EE2">
        <w:rPr>
          <w:rFonts w:eastAsia="Arial Unicode MS"/>
          <w:noProof/>
        </w:rPr>
        <w:t>policy area</w:t>
      </w:r>
    </w:p>
    <w:p w14:paraId="7BFDF7C5" w14:textId="77777777" w:rsidR="00765A7C" w:rsidRPr="0017345E" w:rsidRDefault="00765A7C" w:rsidP="00765A7C">
      <w:pPr>
        <w:pBdr>
          <w:top w:val="nil"/>
          <w:left w:val="nil"/>
          <w:bottom w:val="nil"/>
          <w:right w:val="nil"/>
          <w:between w:val="nil"/>
          <w:bar w:val="nil"/>
        </w:pBdr>
        <w:spacing w:before="0" w:after="240"/>
        <w:rPr>
          <w:noProof/>
        </w:rPr>
      </w:pPr>
      <w:bookmarkStart w:id="1" w:name="_Hlk106801557"/>
      <w:r w:rsidRPr="0017345E">
        <w:rPr>
          <w:noProof/>
        </w:rPr>
        <w:t>The negotiations were conducted in close consultation with the Trade Policy Committee as provided for by Article 218(3)</w:t>
      </w:r>
      <w:r w:rsidR="00183041">
        <w:rPr>
          <w:noProof/>
        </w:rPr>
        <w:t xml:space="preserve"> of the TFEU</w:t>
      </w:r>
      <w:r w:rsidRPr="0017345E">
        <w:rPr>
          <w:noProof/>
        </w:rPr>
        <w:t>. The formal conclusion of the negotiations by the Council is one of the necessary steps under Article 218(6)</w:t>
      </w:r>
      <w:r w:rsidR="00183041">
        <w:rPr>
          <w:noProof/>
        </w:rPr>
        <w:t xml:space="preserve"> of the TFEU</w:t>
      </w:r>
      <w:r w:rsidRPr="0017345E">
        <w:rPr>
          <w:noProof/>
        </w:rPr>
        <w:t xml:space="preserve"> to give legal effect to the negotiated outcome. </w:t>
      </w:r>
    </w:p>
    <w:bookmarkEnd w:id="1"/>
    <w:p w14:paraId="59173AFF" w14:textId="77777777" w:rsidR="00560666" w:rsidRPr="002D5EE2" w:rsidRDefault="00560666" w:rsidP="00A4693B">
      <w:pPr>
        <w:pStyle w:val="ManualHeading2"/>
        <w:rPr>
          <w:rFonts w:eastAsia="Arial Unicode MS"/>
          <w:noProof/>
        </w:rPr>
      </w:pPr>
      <w:r w:rsidRPr="002D5EE2">
        <w:rPr>
          <w:rFonts w:eastAsia="Arial Unicode MS"/>
          <w:noProof/>
          <w:color w:val="000000"/>
          <w:u w:color="000000"/>
          <w:bdr w:val="nil"/>
          <w:lang w:val="en-US" w:eastAsia="en-GB"/>
        </w:rPr>
        <w:t>•</w:t>
      </w:r>
      <w:r w:rsidRPr="002D5EE2">
        <w:rPr>
          <w:rFonts w:eastAsia="Arial Unicode MS"/>
          <w:noProof/>
          <w:color w:val="000000"/>
          <w:u w:color="000000"/>
          <w:bdr w:val="nil"/>
          <w:lang w:val="en-US" w:eastAsia="en-GB"/>
        </w:rPr>
        <w:tab/>
      </w:r>
      <w:r w:rsidRPr="002D5EE2">
        <w:rPr>
          <w:rFonts w:eastAsia="Arial Unicode MS"/>
          <w:noProof/>
        </w:rPr>
        <w:t>Consistency with other Union policies</w:t>
      </w:r>
    </w:p>
    <w:p w14:paraId="6B3F4158" w14:textId="505477BB" w:rsidR="00560666" w:rsidRPr="002D5EE2" w:rsidRDefault="00FA2E28" w:rsidP="0029266A">
      <w:pPr>
        <w:pBdr>
          <w:top w:val="nil"/>
          <w:left w:val="nil"/>
          <w:bottom w:val="nil"/>
          <w:right w:val="nil"/>
          <w:between w:val="nil"/>
          <w:bar w:val="nil"/>
        </w:pBdr>
        <w:spacing w:before="0" w:after="240"/>
        <w:rPr>
          <w:rFonts w:eastAsia="Arial Unicode MS"/>
          <w:noProof/>
        </w:rPr>
      </w:pPr>
      <w:r w:rsidRPr="0017345E">
        <w:rPr>
          <w:noProof/>
        </w:rPr>
        <w:t xml:space="preserve">The </w:t>
      </w:r>
      <w:r w:rsidR="00F83EF1">
        <w:rPr>
          <w:noProof/>
        </w:rPr>
        <w:t>A</w:t>
      </w:r>
      <w:r w:rsidRPr="0017345E">
        <w:rPr>
          <w:noProof/>
        </w:rPr>
        <w:t>greement is fully consistent with Union policies</w:t>
      </w:r>
      <w:r>
        <w:rPr>
          <w:noProof/>
        </w:rPr>
        <w:t>, in partic</w:t>
      </w:r>
      <w:r w:rsidR="00F83EF1">
        <w:rPr>
          <w:noProof/>
        </w:rPr>
        <w:t xml:space="preserve">ular </w:t>
      </w:r>
      <w:r>
        <w:rPr>
          <w:noProof/>
        </w:rPr>
        <w:t xml:space="preserve">with </w:t>
      </w:r>
      <w:r w:rsidR="00F83EF1">
        <w:rPr>
          <w:noProof/>
        </w:rPr>
        <w:t xml:space="preserve">the </w:t>
      </w:r>
      <w:r>
        <w:rPr>
          <w:noProof/>
        </w:rPr>
        <w:t xml:space="preserve">Common Commercial Policy, </w:t>
      </w:r>
      <w:r w:rsidR="00F83EF1">
        <w:rPr>
          <w:noProof/>
        </w:rPr>
        <w:t xml:space="preserve">the </w:t>
      </w:r>
      <w:r>
        <w:rPr>
          <w:noProof/>
        </w:rPr>
        <w:t>Common Fisheries Policy</w:t>
      </w:r>
      <w:r w:rsidR="00AC1666">
        <w:rPr>
          <w:noProof/>
        </w:rPr>
        <w:t>,</w:t>
      </w:r>
      <w:r>
        <w:rPr>
          <w:noProof/>
        </w:rPr>
        <w:t xml:space="preserve"> State aid rules</w:t>
      </w:r>
      <w:r w:rsidR="00AC1666">
        <w:rPr>
          <w:noProof/>
        </w:rPr>
        <w:t xml:space="preserve"> and policy on decent work</w:t>
      </w:r>
      <w:r>
        <w:rPr>
          <w:noProof/>
        </w:rPr>
        <w:t>.</w:t>
      </w:r>
    </w:p>
    <w:p w14:paraId="74BABEB5" w14:textId="77777777" w:rsidR="00560666" w:rsidRPr="002D5EE2" w:rsidRDefault="00560666" w:rsidP="00550536">
      <w:pPr>
        <w:pStyle w:val="ManualHeading1"/>
        <w:rPr>
          <w:noProof/>
        </w:rPr>
      </w:pPr>
      <w:r w:rsidRPr="002D5EE2">
        <w:rPr>
          <w:noProof/>
        </w:rPr>
        <w:t>2.</w:t>
      </w:r>
      <w:r w:rsidRPr="002D5EE2">
        <w:rPr>
          <w:noProof/>
        </w:rPr>
        <w:tab/>
        <w:t>LEGAL BASIS, SUBSIDIARITY AND PROPORTIONALITY</w:t>
      </w:r>
    </w:p>
    <w:p w14:paraId="3B331BC4" w14:textId="77777777" w:rsidR="00560666" w:rsidRPr="002D5EE2" w:rsidRDefault="00560666" w:rsidP="00A4693B">
      <w:pPr>
        <w:pStyle w:val="ManualHeading2"/>
        <w:rPr>
          <w:rFonts w:eastAsia="Arial Unicode MS"/>
          <w:noProof/>
          <w:u w:color="000000"/>
          <w:bdr w:val="nil"/>
          <w:lang w:val="en-US" w:eastAsia="en-GB"/>
        </w:rPr>
      </w:pPr>
      <w:r w:rsidRPr="002D5EE2">
        <w:rPr>
          <w:rFonts w:eastAsia="Arial Unicode MS"/>
          <w:noProof/>
          <w:u w:color="000000"/>
          <w:bdr w:val="nil"/>
          <w:lang w:val="en-US" w:eastAsia="en-GB"/>
        </w:rPr>
        <w:t>•</w:t>
      </w:r>
      <w:r w:rsidRPr="002D5EE2">
        <w:rPr>
          <w:rFonts w:eastAsia="Arial Unicode MS"/>
          <w:noProof/>
          <w:u w:color="000000"/>
          <w:bdr w:val="nil"/>
          <w:lang w:val="en-US" w:eastAsia="en-GB"/>
        </w:rPr>
        <w:tab/>
        <w:t>Legal basis</w:t>
      </w:r>
    </w:p>
    <w:p w14:paraId="32BD0B57" w14:textId="77777777" w:rsidR="00FA2E28" w:rsidRPr="0017345E" w:rsidRDefault="00FA2E28" w:rsidP="00FA2E28">
      <w:pPr>
        <w:pBdr>
          <w:top w:val="nil"/>
          <w:left w:val="nil"/>
          <w:bottom w:val="nil"/>
          <w:right w:val="nil"/>
          <w:between w:val="nil"/>
          <w:bar w:val="nil"/>
        </w:pBdr>
        <w:spacing w:before="0" w:after="240"/>
        <w:rPr>
          <w:noProof/>
        </w:rPr>
      </w:pPr>
      <w:bookmarkStart w:id="2" w:name="_Hlk106801635"/>
      <w:r w:rsidRPr="0017345E">
        <w:rPr>
          <w:noProof/>
        </w:rPr>
        <w:t xml:space="preserve">The </w:t>
      </w:r>
      <w:r w:rsidR="00183041">
        <w:rPr>
          <w:noProof/>
        </w:rPr>
        <w:t>A</w:t>
      </w:r>
      <w:r w:rsidRPr="0017345E">
        <w:rPr>
          <w:noProof/>
        </w:rPr>
        <w:t>greement is to be concluded by the Union pursuant to a decision of the Council based on Article 218(6)</w:t>
      </w:r>
      <w:r w:rsidR="00183041">
        <w:rPr>
          <w:noProof/>
        </w:rPr>
        <w:t xml:space="preserve"> of the</w:t>
      </w:r>
      <w:r w:rsidRPr="0017345E">
        <w:rPr>
          <w:noProof/>
        </w:rPr>
        <w:t xml:space="preserve"> TFEU, following the European Parliament’s consent.</w:t>
      </w:r>
    </w:p>
    <w:bookmarkEnd w:id="2"/>
    <w:p w14:paraId="1968D9FB" w14:textId="77777777" w:rsidR="00560666" w:rsidRPr="002D5EE2" w:rsidRDefault="00560666" w:rsidP="00A4693B">
      <w:pPr>
        <w:pStyle w:val="ManualHeading2"/>
        <w:rPr>
          <w:rFonts w:eastAsia="Arial Unicode MS"/>
          <w:noProof/>
          <w:u w:color="000000"/>
          <w:bdr w:val="nil"/>
          <w:lang w:val="en-US" w:eastAsia="en-GB"/>
        </w:rPr>
      </w:pPr>
      <w:r w:rsidRPr="002D5EE2">
        <w:rPr>
          <w:rFonts w:eastAsia="Arial Unicode MS"/>
          <w:noProof/>
          <w:u w:color="000000"/>
          <w:bdr w:val="nil"/>
          <w:lang w:val="en-US" w:eastAsia="en-GB"/>
        </w:rPr>
        <w:t>•</w:t>
      </w:r>
      <w:r w:rsidRPr="002D5EE2">
        <w:rPr>
          <w:rFonts w:eastAsia="Arial Unicode MS"/>
          <w:noProof/>
          <w:u w:color="000000"/>
          <w:bdr w:val="nil"/>
          <w:lang w:val="en-US" w:eastAsia="en-GB"/>
        </w:rPr>
        <w:tab/>
        <w:t xml:space="preserve">Subsidiarity (for non-exclusive competence) </w:t>
      </w:r>
    </w:p>
    <w:p w14:paraId="667F2FB3" w14:textId="77777777" w:rsidR="00FA2E28" w:rsidRPr="0017345E" w:rsidRDefault="00FA2E28" w:rsidP="00FA2E28">
      <w:pPr>
        <w:pBdr>
          <w:top w:val="nil"/>
          <w:left w:val="nil"/>
          <w:bottom w:val="nil"/>
          <w:right w:val="nil"/>
          <w:between w:val="nil"/>
          <w:bar w:val="nil"/>
        </w:pBdr>
        <w:spacing w:before="0" w:after="240"/>
        <w:rPr>
          <w:noProof/>
          <w:lang w:val="en-US" w:eastAsia="en-GB"/>
        </w:rPr>
      </w:pPr>
      <w:bookmarkStart w:id="3" w:name="_Hlk106801660"/>
      <w:r w:rsidRPr="0017345E">
        <w:rPr>
          <w:noProof/>
          <w:lang w:val="en-US" w:eastAsia="en-GB"/>
        </w:rPr>
        <w:t xml:space="preserve">According to Article 5(3) of the </w:t>
      </w:r>
      <w:r w:rsidR="00183041">
        <w:rPr>
          <w:noProof/>
          <w:lang w:val="en-US" w:eastAsia="en-GB"/>
        </w:rPr>
        <w:t>Treaty on European Union</w:t>
      </w:r>
      <w:r w:rsidRPr="0017345E">
        <w:rPr>
          <w:noProof/>
          <w:lang w:val="en-US" w:eastAsia="en-GB"/>
        </w:rPr>
        <w:t xml:space="preserve">, the subsidiarity principle does not apply in areas of exclusive </w:t>
      </w:r>
      <w:r w:rsidRPr="009A659B">
        <w:rPr>
          <w:noProof/>
        </w:rPr>
        <w:t>EU</w:t>
      </w:r>
      <w:r w:rsidRPr="0017345E">
        <w:rPr>
          <w:noProof/>
          <w:lang w:val="en-US" w:eastAsia="en-GB"/>
        </w:rPr>
        <w:t xml:space="preserve"> competence. </w:t>
      </w:r>
    </w:p>
    <w:bookmarkEnd w:id="3"/>
    <w:p w14:paraId="3855C4BD"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Proportionality</w:t>
      </w:r>
    </w:p>
    <w:p w14:paraId="4D6950EA" w14:textId="77777777" w:rsidR="0052029A" w:rsidRPr="0017345E" w:rsidRDefault="0052029A" w:rsidP="0052029A">
      <w:pPr>
        <w:pBdr>
          <w:top w:val="nil"/>
          <w:left w:val="nil"/>
          <w:bottom w:val="nil"/>
          <w:right w:val="nil"/>
          <w:between w:val="nil"/>
          <w:bar w:val="nil"/>
        </w:pBdr>
        <w:spacing w:before="0" w:after="240"/>
        <w:rPr>
          <w:noProof/>
        </w:rPr>
      </w:pPr>
      <w:bookmarkStart w:id="4" w:name="_Hlk106801674"/>
      <w:r w:rsidRPr="0017345E">
        <w:rPr>
          <w:noProof/>
        </w:rPr>
        <w:t xml:space="preserve">The proposal to conclude the </w:t>
      </w:r>
      <w:r w:rsidR="00FA2E28">
        <w:rPr>
          <w:noProof/>
        </w:rPr>
        <w:t>A</w:t>
      </w:r>
      <w:r w:rsidRPr="0017345E">
        <w:rPr>
          <w:noProof/>
        </w:rPr>
        <w:t xml:space="preserve">greement does not exceed what is necessary to achieve the objective of taking additional commitments under </w:t>
      </w:r>
      <w:r>
        <w:rPr>
          <w:noProof/>
        </w:rPr>
        <w:t xml:space="preserve">the Marrakesh Agrement </w:t>
      </w:r>
      <w:r w:rsidR="0006507D">
        <w:rPr>
          <w:noProof/>
        </w:rPr>
        <w:t>E</w:t>
      </w:r>
      <w:r w:rsidR="00D228E9">
        <w:rPr>
          <w:noProof/>
        </w:rPr>
        <w:t xml:space="preserve">stablishing </w:t>
      </w:r>
      <w:r>
        <w:rPr>
          <w:noProof/>
        </w:rPr>
        <w:t xml:space="preserve">the World Trade Organization </w:t>
      </w:r>
      <w:r w:rsidRPr="0017345E">
        <w:rPr>
          <w:noProof/>
        </w:rPr>
        <w:t>on behalf of the European Union.</w:t>
      </w:r>
    </w:p>
    <w:bookmarkEnd w:id="4"/>
    <w:p w14:paraId="5C51FB12"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r>
      <w:r>
        <w:rPr>
          <w:rFonts w:eastAsia="Arial Unicode MS"/>
          <w:noProof/>
          <w:u w:color="000000"/>
          <w:bdr w:val="nil"/>
          <w:lang w:val="en-US" w:eastAsia="en-GB"/>
        </w:rPr>
        <w:t>Choice of the instrument</w:t>
      </w:r>
    </w:p>
    <w:p w14:paraId="5019C81E" w14:textId="77777777" w:rsidR="0052029A" w:rsidRPr="0017345E" w:rsidRDefault="0052029A" w:rsidP="0052029A">
      <w:pPr>
        <w:pBdr>
          <w:top w:val="nil"/>
          <w:left w:val="nil"/>
          <w:bottom w:val="nil"/>
          <w:right w:val="nil"/>
          <w:between w:val="nil"/>
          <w:bar w:val="nil"/>
        </w:pBdr>
        <w:spacing w:before="0" w:after="240"/>
        <w:rPr>
          <w:noProof/>
        </w:rPr>
      </w:pPr>
      <w:bookmarkStart w:id="5" w:name="_Hlk106801716"/>
      <w:r w:rsidRPr="0017345E">
        <w:rPr>
          <w:noProof/>
        </w:rPr>
        <w:t xml:space="preserve">This proposal for a Council decision is submitted in accordance with </w:t>
      </w:r>
      <w:r w:rsidR="00183041">
        <w:rPr>
          <w:noProof/>
        </w:rPr>
        <w:t>Article 218(6) of the TFEU</w:t>
      </w:r>
      <w:r w:rsidRPr="0017345E">
        <w:rPr>
          <w:noProof/>
        </w:rPr>
        <w:t xml:space="preserve">, which envisages the adoption by the Council of a decision authorising the conclusion of the agreement. This </w:t>
      </w:r>
      <w:r w:rsidR="00183041">
        <w:rPr>
          <w:noProof/>
        </w:rPr>
        <w:t>is</w:t>
      </w:r>
      <w:r w:rsidRPr="0017345E">
        <w:rPr>
          <w:noProof/>
        </w:rPr>
        <w:t xml:space="preserve"> the </w:t>
      </w:r>
      <w:r w:rsidR="00183041">
        <w:rPr>
          <w:noProof/>
        </w:rPr>
        <w:t>only</w:t>
      </w:r>
      <w:r w:rsidRPr="0017345E">
        <w:rPr>
          <w:noProof/>
        </w:rPr>
        <w:t xml:space="preserve"> legal instrument</w:t>
      </w:r>
      <w:r w:rsidR="00183041">
        <w:rPr>
          <w:noProof/>
        </w:rPr>
        <w:t xml:space="preserve"> available</w:t>
      </w:r>
      <w:r w:rsidRPr="0017345E">
        <w:rPr>
          <w:noProof/>
        </w:rPr>
        <w:t xml:space="preserve"> to achieve the objective expressed in this proposal</w:t>
      </w:r>
      <w:r>
        <w:rPr>
          <w:noProof/>
        </w:rPr>
        <w:t>.</w:t>
      </w:r>
    </w:p>
    <w:bookmarkEnd w:id="5"/>
    <w:p w14:paraId="081EF3EE" w14:textId="77777777" w:rsidR="00560666" w:rsidRPr="00550536" w:rsidRDefault="00560666" w:rsidP="00550536">
      <w:pPr>
        <w:pStyle w:val="ManualHeading1"/>
        <w:rPr>
          <w:noProof/>
        </w:rPr>
      </w:pPr>
      <w:r w:rsidRPr="00550536">
        <w:rPr>
          <w:noProof/>
        </w:rPr>
        <w:t>3.</w:t>
      </w:r>
      <w:r w:rsidRPr="00550536">
        <w:rPr>
          <w:noProof/>
        </w:rPr>
        <w:tab/>
        <w:t>RESULTS OF EX-POST EVALUATIONS, STAKEHOLDER CONSULTATIONS AND IMPACT ASSESSMENTS</w:t>
      </w:r>
    </w:p>
    <w:p w14:paraId="26809A73"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Ex-post evaluations/fitness checks</w:t>
      </w:r>
      <w:r>
        <w:rPr>
          <w:rFonts w:eastAsia="Arial Unicode MS"/>
          <w:noProof/>
          <w:u w:color="000000"/>
          <w:bdr w:val="nil"/>
          <w:lang w:val="en-US" w:eastAsia="en-GB"/>
        </w:rPr>
        <w:t xml:space="preserve"> of existing legislation</w:t>
      </w:r>
    </w:p>
    <w:p w14:paraId="2EB1EEF7" w14:textId="77777777" w:rsidR="0052029A" w:rsidRPr="0017345E" w:rsidRDefault="0052029A" w:rsidP="0052029A">
      <w:pPr>
        <w:pBdr>
          <w:top w:val="nil"/>
          <w:left w:val="nil"/>
          <w:bottom w:val="nil"/>
          <w:right w:val="nil"/>
          <w:between w:val="nil"/>
          <w:bar w:val="nil"/>
        </w:pBdr>
        <w:spacing w:before="0" w:after="240"/>
        <w:rPr>
          <w:noProof/>
        </w:rPr>
      </w:pPr>
      <w:r w:rsidRPr="0017345E">
        <w:rPr>
          <w:noProof/>
        </w:rPr>
        <w:t>Not applicable</w:t>
      </w:r>
      <w:r w:rsidR="00F83EF1">
        <w:rPr>
          <w:noProof/>
        </w:rPr>
        <w:t>.</w:t>
      </w:r>
    </w:p>
    <w:p w14:paraId="7B29549D"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Stakeholder consultations</w:t>
      </w:r>
    </w:p>
    <w:p w14:paraId="7BA017E6" w14:textId="77777777" w:rsidR="0052029A" w:rsidRPr="0017345E" w:rsidRDefault="0052029A" w:rsidP="0052029A">
      <w:pPr>
        <w:pBdr>
          <w:top w:val="nil"/>
          <w:left w:val="nil"/>
          <w:bottom w:val="nil"/>
          <w:right w:val="nil"/>
          <w:between w:val="nil"/>
          <w:bar w:val="nil"/>
        </w:pBdr>
        <w:spacing w:before="0" w:after="240"/>
        <w:rPr>
          <w:noProof/>
        </w:rPr>
      </w:pPr>
      <w:r w:rsidRPr="0017345E">
        <w:rPr>
          <w:noProof/>
        </w:rPr>
        <w:t>Not applicable</w:t>
      </w:r>
      <w:r w:rsidR="00F83EF1">
        <w:rPr>
          <w:noProof/>
        </w:rPr>
        <w:t>.</w:t>
      </w:r>
    </w:p>
    <w:p w14:paraId="47C1BEFA"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r>
      <w:r>
        <w:rPr>
          <w:rFonts w:eastAsia="Arial Unicode MS"/>
          <w:noProof/>
          <w:u w:color="000000"/>
          <w:bdr w:val="nil"/>
          <w:lang w:val="en-US" w:eastAsia="en-GB"/>
        </w:rPr>
        <w:t>Collection and use of expertise</w:t>
      </w:r>
    </w:p>
    <w:p w14:paraId="6EC8505D" w14:textId="77777777" w:rsidR="0052029A" w:rsidRPr="0017345E" w:rsidRDefault="0052029A" w:rsidP="0052029A">
      <w:pPr>
        <w:pBdr>
          <w:top w:val="nil"/>
          <w:left w:val="nil"/>
          <w:bottom w:val="nil"/>
          <w:right w:val="nil"/>
          <w:between w:val="nil"/>
          <w:bar w:val="nil"/>
        </w:pBdr>
        <w:spacing w:before="0" w:after="240"/>
        <w:rPr>
          <w:noProof/>
        </w:rPr>
      </w:pPr>
      <w:r w:rsidRPr="0017345E">
        <w:rPr>
          <w:noProof/>
        </w:rPr>
        <w:t>Not applicable</w:t>
      </w:r>
      <w:r w:rsidR="00F83EF1">
        <w:rPr>
          <w:noProof/>
        </w:rPr>
        <w:t>.</w:t>
      </w:r>
    </w:p>
    <w:p w14:paraId="15BFEDEF"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Impact assessment</w:t>
      </w:r>
    </w:p>
    <w:p w14:paraId="7F179DE5" w14:textId="77777777" w:rsidR="0052029A" w:rsidRPr="0017345E" w:rsidRDefault="0052029A" w:rsidP="0052029A">
      <w:pPr>
        <w:pBdr>
          <w:top w:val="nil"/>
          <w:left w:val="nil"/>
          <w:bottom w:val="nil"/>
          <w:right w:val="nil"/>
          <w:between w:val="nil"/>
          <w:bar w:val="nil"/>
        </w:pBdr>
        <w:spacing w:before="0" w:after="240"/>
        <w:rPr>
          <w:noProof/>
        </w:rPr>
      </w:pPr>
      <w:r w:rsidRPr="0017345E">
        <w:rPr>
          <w:noProof/>
        </w:rPr>
        <w:t>Not applicable</w:t>
      </w:r>
      <w:r w:rsidR="00F83EF1">
        <w:rPr>
          <w:noProof/>
        </w:rPr>
        <w:t>.</w:t>
      </w:r>
    </w:p>
    <w:p w14:paraId="4811639C"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Regulatory fitness and simplification</w:t>
      </w:r>
    </w:p>
    <w:p w14:paraId="5E27369B" w14:textId="77777777" w:rsidR="0052029A" w:rsidRPr="0017345E" w:rsidRDefault="0052029A" w:rsidP="0052029A">
      <w:pPr>
        <w:pBdr>
          <w:top w:val="nil"/>
          <w:left w:val="nil"/>
          <w:bottom w:val="nil"/>
          <w:right w:val="nil"/>
          <w:between w:val="nil"/>
          <w:bar w:val="nil"/>
        </w:pBdr>
        <w:spacing w:before="0" w:after="240"/>
        <w:rPr>
          <w:noProof/>
        </w:rPr>
      </w:pPr>
      <w:bookmarkStart w:id="6" w:name="_Hlk106801769"/>
      <w:r w:rsidRPr="0017345E">
        <w:rPr>
          <w:noProof/>
        </w:rPr>
        <w:t xml:space="preserve">The agreement </w:t>
      </w:r>
      <w:r>
        <w:rPr>
          <w:noProof/>
        </w:rPr>
        <w:t>is</w:t>
      </w:r>
      <w:r w:rsidRPr="0017345E">
        <w:rPr>
          <w:noProof/>
        </w:rPr>
        <w:t xml:space="preserve"> not subject to REFIT procedures.</w:t>
      </w:r>
    </w:p>
    <w:bookmarkEnd w:id="6"/>
    <w:p w14:paraId="2166B778"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Fundamental rights</w:t>
      </w:r>
    </w:p>
    <w:p w14:paraId="7C99444B" w14:textId="77777777" w:rsidR="0052029A" w:rsidRPr="0017345E" w:rsidRDefault="0052029A" w:rsidP="0052029A">
      <w:pPr>
        <w:pBdr>
          <w:top w:val="nil"/>
          <w:left w:val="nil"/>
          <w:bottom w:val="nil"/>
          <w:right w:val="nil"/>
          <w:between w:val="nil"/>
          <w:bar w:val="nil"/>
        </w:pBdr>
        <w:spacing w:before="0" w:after="240"/>
        <w:rPr>
          <w:noProof/>
        </w:rPr>
      </w:pPr>
      <w:bookmarkStart w:id="7" w:name="_Hlk106801784"/>
      <w:r w:rsidRPr="0017345E">
        <w:rPr>
          <w:noProof/>
        </w:rPr>
        <w:t>The proposal does not affect the protection of fundamental rights within the Union.</w:t>
      </w:r>
    </w:p>
    <w:bookmarkEnd w:id="7"/>
    <w:p w14:paraId="1EDDD8F3" w14:textId="77777777" w:rsidR="00560666" w:rsidRDefault="00560666" w:rsidP="00550536">
      <w:pPr>
        <w:pStyle w:val="ManualHeading1"/>
        <w:rPr>
          <w:noProof/>
        </w:rPr>
      </w:pPr>
      <w:r w:rsidRPr="00550536">
        <w:rPr>
          <w:noProof/>
        </w:rPr>
        <w:t>4.</w:t>
      </w:r>
      <w:r w:rsidRPr="00550536">
        <w:rPr>
          <w:noProof/>
        </w:rPr>
        <w:tab/>
        <w:t>BUDGETARY IMPLICATIONS</w:t>
      </w:r>
    </w:p>
    <w:p w14:paraId="3FD8A4BD" w14:textId="77777777" w:rsidR="0052029A" w:rsidRPr="0017345E" w:rsidRDefault="0052029A" w:rsidP="0052029A">
      <w:pPr>
        <w:pBdr>
          <w:top w:val="nil"/>
          <w:left w:val="nil"/>
          <w:bottom w:val="nil"/>
          <w:right w:val="nil"/>
          <w:between w:val="nil"/>
          <w:bar w:val="nil"/>
        </w:pBdr>
        <w:spacing w:before="0" w:after="240"/>
        <w:rPr>
          <w:noProof/>
        </w:rPr>
      </w:pPr>
      <w:bookmarkStart w:id="8" w:name="_Hlk106801795"/>
      <w:r w:rsidRPr="0017345E">
        <w:rPr>
          <w:noProof/>
        </w:rPr>
        <w:t>The agreement is not expected to have a financial impact on the EU budget.</w:t>
      </w:r>
    </w:p>
    <w:bookmarkEnd w:id="8"/>
    <w:p w14:paraId="7534C4EB" w14:textId="77777777" w:rsidR="00560666" w:rsidRPr="00550536" w:rsidRDefault="00560666" w:rsidP="00550536">
      <w:pPr>
        <w:pStyle w:val="ManualHeading1"/>
        <w:rPr>
          <w:noProof/>
        </w:rPr>
      </w:pPr>
      <w:r w:rsidRPr="00550536">
        <w:rPr>
          <w:noProof/>
        </w:rPr>
        <w:t>5.</w:t>
      </w:r>
      <w:r w:rsidRPr="00550536">
        <w:rPr>
          <w:noProof/>
        </w:rPr>
        <w:tab/>
        <w:t>OTHER ELEMENTS</w:t>
      </w:r>
    </w:p>
    <w:p w14:paraId="0473588C" w14:textId="77777777" w:rsidR="00560666" w:rsidRDefault="00560666" w:rsidP="00A4693B">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 xml:space="preserve">Implementation plans and </w:t>
      </w:r>
      <w:r w:rsidRPr="007718A8">
        <w:rPr>
          <w:rFonts w:eastAsia="Arial Unicode MS"/>
          <w:noProof/>
          <w:u w:color="000000"/>
          <w:bdr w:val="nil"/>
          <w:lang w:val="en-US" w:eastAsia="en-GB"/>
        </w:rPr>
        <w:t>monitoring, evaluation and reporting arrangements</w:t>
      </w:r>
    </w:p>
    <w:p w14:paraId="581898FF" w14:textId="77777777" w:rsidR="0052029A" w:rsidRPr="0017345E" w:rsidRDefault="0052029A" w:rsidP="0052029A">
      <w:pPr>
        <w:pBdr>
          <w:top w:val="nil"/>
          <w:left w:val="nil"/>
          <w:bottom w:val="nil"/>
          <w:right w:val="nil"/>
          <w:between w:val="nil"/>
          <w:bar w:val="nil"/>
        </w:pBdr>
        <w:spacing w:before="0" w:after="240"/>
        <w:rPr>
          <w:noProof/>
          <w:lang w:val="en-US" w:eastAsia="en-GB"/>
        </w:rPr>
      </w:pPr>
      <w:bookmarkStart w:id="9" w:name="_Hlk106801809"/>
      <w:r w:rsidRPr="0017345E">
        <w:rPr>
          <w:noProof/>
          <w:lang w:val="en-US" w:eastAsia="en-GB"/>
        </w:rPr>
        <w:t>Not applicable</w:t>
      </w:r>
      <w:r w:rsidR="00F83EF1">
        <w:rPr>
          <w:noProof/>
          <w:lang w:val="en-US" w:eastAsia="en-GB"/>
        </w:rPr>
        <w:t>.</w:t>
      </w:r>
    </w:p>
    <w:bookmarkEnd w:id="9"/>
    <w:p w14:paraId="42B259EF"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Explanatory documents (for directives)</w:t>
      </w:r>
    </w:p>
    <w:p w14:paraId="4F3103DC" w14:textId="77777777" w:rsidR="0052029A" w:rsidRPr="0017345E" w:rsidRDefault="0052029A" w:rsidP="0052029A">
      <w:pPr>
        <w:pBdr>
          <w:top w:val="nil"/>
          <w:left w:val="nil"/>
          <w:bottom w:val="nil"/>
          <w:right w:val="nil"/>
          <w:between w:val="nil"/>
          <w:bar w:val="nil"/>
        </w:pBdr>
        <w:spacing w:before="0" w:after="240"/>
        <w:rPr>
          <w:noProof/>
          <w:lang w:val="en-US" w:eastAsia="en-GB"/>
        </w:rPr>
      </w:pPr>
      <w:r w:rsidRPr="0017345E">
        <w:rPr>
          <w:noProof/>
          <w:lang w:val="en-US" w:eastAsia="en-GB"/>
        </w:rPr>
        <w:t>Not applicable</w:t>
      </w:r>
      <w:r w:rsidR="00F83EF1">
        <w:rPr>
          <w:noProof/>
          <w:lang w:val="en-US" w:eastAsia="en-GB"/>
        </w:rPr>
        <w:t>.</w:t>
      </w:r>
    </w:p>
    <w:p w14:paraId="266DE730" w14:textId="77777777" w:rsidR="00560666" w:rsidRDefault="00560666" w:rsidP="00A4693B">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 xml:space="preserve">Detailed explanation of </w:t>
      </w:r>
      <w:r>
        <w:rPr>
          <w:rFonts w:eastAsia="Arial Unicode MS"/>
          <w:noProof/>
          <w:u w:color="000000"/>
          <w:bdr w:val="nil"/>
          <w:lang w:val="en-US" w:eastAsia="en-GB"/>
        </w:rPr>
        <w:t xml:space="preserve">the </w:t>
      </w:r>
      <w:r w:rsidRPr="007718A8">
        <w:rPr>
          <w:rFonts w:eastAsia="Arial Unicode MS"/>
          <w:noProof/>
          <w:u w:color="000000"/>
          <w:bdr w:val="nil"/>
          <w:lang w:val="en-US" w:eastAsia="en-GB"/>
        </w:rPr>
        <w:t>specific provisions of the proposal</w:t>
      </w:r>
    </w:p>
    <w:p w14:paraId="614AF53A" w14:textId="77777777" w:rsidR="00B9626C" w:rsidRDefault="00B9626C" w:rsidP="00B9626C">
      <w:pPr>
        <w:pBdr>
          <w:top w:val="nil"/>
          <w:left w:val="nil"/>
          <w:bottom w:val="nil"/>
          <w:right w:val="nil"/>
          <w:between w:val="nil"/>
          <w:bar w:val="nil"/>
        </w:pBdr>
        <w:spacing w:before="0" w:after="240"/>
        <w:rPr>
          <w:noProof/>
        </w:rPr>
      </w:pPr>
      <w:r w:rsidRPr="0017345E">
        <w:rPr>
          <w:noProof/>
        </w:rPr>
        <w:t xml:space="preserve">The </w:t>
      </w:r>
      <w:r w:rsidR="00183041">
        <w:rPr>
          <w:noProof/>
        </w:rPr>
        <w:t xml:space="preserve">acceptance </w:t>
      </w:r>
      <w:r>
        <w:rPr>
          <w:noProof/>
        </w:rPr>
        <w:t xml:space="preserve">of the Protocol </w:t>
      </w:r>
      <w:r w:rsidR="00E44E38">
        <w:rPr>
          <w:noProof/>
        </w:rPr>
        <w:t>by</w:t>
      </w:r>
      <w:r>
        <w:rPr>
          <w:noProof/>
        </w:rPr>
        <w:t xml:space="preserve"> the Union </w:t>
      </w:r>
      <w:r w:rsidRPr="0017345E">
        <w:rPr>
          <w:noProof/>
        </w:rPr>
        <w:t xml:space="preserve">would permit the incorporation of </w:t>
      </w:r>
      <w:r>
        <w:rPr>
          <w:noProof/>
        </w:rPr>
        <w:t xml:space="preserve">the Agreement </w:t>
      </w:r>
      <w:r w:rsidRPr="0017345E">
        <w:rPr>
          <w:noProof/>
        </w:rPr>
        <w:t>in</w:t>
      </w:r>
      <w:r w:rsidR="00C46A3F">
        <w:rPr>
          <w:noProof/>
        </w:rPr>
        <w:t>to Annex 1A of the WTO Agr</w:t>
      </w:r>
      <w:r w:rsidR="00E44E38">
        <w:rPr>
          <w:noProof/>
        </w:rPr>
        <w:t>e</w:t>
      </w:r>
      <w:r w:rsidR="00C46A3F">
        <w:rPr>
          <w:noProof/>
        </w:rPr>
        <w:t>ement</w:t>
      </w:r>
      <w:r w:rsidRPr="0017345E">
        <w:rPr>
          <w:noProof/>
        </w:rPr>
        <w:t>.</w:t>
      </w:r>
    </w:p>
    <w:p w14:paraId="13AE9547" w14:textId="77777777" w:rsidR="00560666" w:rsidRPr="00FD40BA" w:rsidRDefault="00560666" w:rsidP="00FD40BA">
      <w:pPr>
        <w:rPr>
          <w:noProof/>
        </w:rPr>
        <w:sectPr w:rsidR="00560666" w:rsidRPr="00FD40BA" w:rsidSect="003C6C4D">
          <w:footerReference w:type="default" r:id="rId10"/>
          <w:footerReference w:type="first" r:id="rId11"/>
          <w:pgSz w:w="11907" w:h="16839"/>
          <w:pgMar w:top="1134" w:right="1417" w:bottom="1134" w:left="1417" w:header="709" w:footer="709" w:gutter="0"/>
          <w:cols w:space="708"/>
          <w:docGrid w:linePitch="360"/>
        </w:sectPr>
      </w:pPr>
    </w:p>
    <w:p w14:paraId="3C7F846C" w14:textId="056F6B11" w:rsidR="006B3592" w:rsidRDefault="006B3592" w:rsidP="006B3592">
      <w:pPr>
        <w:pStyle w:val="Rfrenceinterinstitutionnelle"/>
        <w:rPr>
          <w:noProof/>
        </w:rPr>
      </w:pPr>
      <w:r w:rsidRPr="006B3592">
        <w:t>2022/0364 (NLE)</w:t>
      </w:r>
    </w:p>
    <w:p w14:paraId="2BA18B27" w14:textId="3FEE8560" w:rsidR="00560666" w:rsidRPr="00FD40BA" w:rsidRDefault="009865C2" w:rsidP="009865C2">
      <w:pPr>
        <w:pStyle w:val="Statut"/>
        <w:rPr>
          <w:noProof/>
        </w:rPr>
      </w:pPr>
      <w:r w:rsidRPr="009865C2">
        <w:rPr>
          <w:noProof/>
        </w:rPr>
        <w:t>Proposal for a</w:t>
      </w:r>
    </w:p>
    <w:p w14:paraId="6F642025" w14:textId="77777777" w:rsidR="00560666" w:rsidRPr="00FD40BA" w:rsidRDefault="009865C2" w:rsidP="009865C2">
      <w:pPr>
        <w:pStyle w:val="Typedudocument"/>
        <w:rPr>
          <w:noProof/>
        </w:rPr>
      </w:pPr>
      <w:r w:rsidRPr="009865C2">
        <w:rPr>
          <w:noProof/>
        </w:rPr>
        <w:t>COUNCIL DECISION</w:t>
      </w:r>
    </w:p>
    <w:p w14:paraId="6F32287F" w14:textId="77777777" w:rsidR="0097221A" w:rsidRDefault="009865C2" w:rsidP="009865C2">
      <w:pPr>
        <w:pStyle w:val="Titreobjet"/>
        <w:rPr>
          <w:noProof/>
        </w:rPr>
      </w:pPr>
      <w:r w:rsidRPr="009865C2">
        <w:rPr>
          <w:noProof/>
        </w:rPr>
        <w:t>on the conclusion, on behalf of the European Union, of the Protocol Amending the Marrakesh Agreement Establishing the World Trade Organization</w:t>
      </w:r>
      <w:r w:rsidRPr="009865C2">
        <w:rPr>
          <w:noProof/>
        </w:rPr>
        <w:br/>
      </w:r>
    </w:p>
    <w:p w14:paraId="7248701E" w14:textId="77777777" w:rsidR="00560666" w:rsidRPr="00FD40BA" w:rsidRDefault="00560666" w:rsidP="00197315">
      <w:pPr>
        <w:pStyle w:val="Institutionquiagit"/>
        <w:rPr>
          <w:noProof/>
        </w:rPr>
      </w:pPr>
      <w:r w:rsidRPr="00FD40BA">
        <w:rPr>
          <w:noProof/>
        </w:rPr>
        <w:t>THE COUNCIL OF THE EUROPEAN UNION,</w:t>
      </w:r>
    </w:p>
    <w:p w14:paraId="600222F6" w14:textId="77777777" w:rsidR="00560666" w:rsidRPr="00FD40BA" w:rsidRDefault="00560666" w:rsidP="00197315">
      <w:pPr>
        <w:rPr>
          <w:noProof/>
        </w:rPr>
      </w:pPr>
      <w:r w:rsidRPr="00FD40BA">
        <w:rPr>
          <w:noProof/>
        </w:rPr>
        <w:t>Having regard to the Treaty on the Functioning of the European Union, and in particular</w:t>
      </w:r>
      <w:r w:rsidR="00322807">
        <w:rPr>
          <w:noProof/>
        </w:rPr>
        <w:t xml:space="preserve"> the </w:t>
      </w:r>
      <w:r w:rsidR="00322807" w:rsidRPr="00F80EDE">
        <w:rPr>
          <w:noProof/>
        </w:rPr>
        <w:t>first subparagraph of Article 207(4), in conjunction with point v) of Article 218(6)(a) thereof,</w:t>
      </w:r>
    </w:p>
    <w:p w14:paraId="4D041F24" w14:textId="77777777" w:rsidR="00560666" w:rsidRPr="00FD40BA" w:rsidRDefault="00560666" w:rsidP="00197315">
      <w:pPr>
        <w:rPr>
          <w:noProof/>
        </w:rPr>
      </w:pPr>
      <w:r w:rsidRPr="00FD40BA">
        <w:rPr>
          <w:noProof/>
        </w:rPr>
        <w:t>Having regard to the proposal from the European Commission,</w:t>
      </w:r>
    </w:p>
    <w:p w14:paraId="322B97DF" w14:textId="77777777" w:rsidR="00560666" w:rsidRPr="00BA7A69" w:rsidRDefault="00560666" w:rsidP="007A350E">
      <w:pPr>
        <w:rPr>
          <w:noProof/>
        </w:rPr>
      </w:pPr>
      <w:r w:rsidRPr="00FD40BA">
        <w:rPr>
          <w:noProof/>
        </w:rPr>
        <w:t xml:space="preserve">Having </w:t>
      </w:r>
      <w:r w:rsidRPr="00BA7A69">
        <w:rPr>
          <w:noProof/>
        </w:rPr>
        <w:t>regard to the</w:t>
      </w:r>
      <w:r w:rsidR="007A350E" w:rsidRPr="00BA7A69">
        <w:rPr>
          <w:noProof/>
        </w:rPr>
        <w:t xml:space="preserve"> consent </w:t>
      </w:r>
      <w:r w:rsidRPr="00BA7A69">
        <w:rPr>
          <w:noProof/>
        </w:rPr>
        <w:t>of the European Parliament</w:t>
      </w:r>
      <w:r w:rsidRPr="00BA7A69">
        <w:rPr>
          <w:rStyle w:val="FootnoteReference"/>
          <w:noProof/>
        </w:rPr>
        <w:footnoteReference w:id="2"/>
      </w:r>
      <w:r w:rsidRPr="00BA7A69">
        <w:rPr>
          <w:noProof/>
        </w:rPr>
        <w:t xml:space="preserve">, </w:t>
      </w:r>
    </w:p>
    <w:p w14:paraId="4D6E2026" w14:textId="77777777" w:rsidR="00560666" w:rsidRPr="00BA7A69" w:rsidRDefault="00560666" w:rsidP="00197315">
      <w:pPr>
        <w:rPr>
          <w:noProof/>
        </w:rPr>
      </w:pPr>
      <w:r w:rsidRPr="00BA7A69">
        <w:rPr>
          <w:noProof/>
        </w:rPr>
        <w:t>Whereas:</w:t>
      </w:r>
    </w:p>
    <w:p w14:paraId="14D43F5A" w14:textId="224E3F95" w:rsidR="00322807" w:rsidRPr="00BA7A69" w:rsidRDefault="00BA1DBE" w:rsidP="00BA1DBE">
      <w:pPr>
        <w:pStyle w:val="ManualConsidrant"/>
        <w:rPr>
          <w:noProof/>
        </w:rPr>
      </w:pPr>
      <w:r w:rsidRPr="00BA1DBE">
        <w:t>(1)</w:t>
      </w:r>
      <w:r w:rsidRPr="00BA1DBE">
        <w:tab/>
      </w:r>
      <w:r w:rsidR="00322807" w:rsidRPr="00BA7A69">
        <w:rPr>
          <w:noProof/>
        </w:rPr>
        <w:t xml:space="preserve">The </w:t>
      </w:r>
      <w:r w:rsidR="00D96933">
        <w:rPr>
          <w:noProof/>
        </w:rPr>
        <w:t xml:space="preserve">Union is a Member to the </w:t>
      </w:r>
      <w:r w:rsidR="00322807" w:rsidRPr="00BA7A69">
        <w:rPr>
          <w:noProof/>
        </w:rPr>
        <w:t xml:space="preserve">World Trade Organization ("WTO") </w:t>
      </w:r>
      <w:r w:rsidR="00D96933">
        <w:rPr>
          <w:noProof/>
        </w:rPr>
        <w:t xml:space="preserve">which </w:t>
      </w:r>
      <w:r w:rsidR="00322807" w:rsidRPr="00BA7A69">
        <w:rPr>
          <w:noProof/>
        </w:rPr>
        <w:t xml:space="preserve">launched the Doha Round of trade negotiations, known as the Doha Development Agenda in November 2001. The </w:t>
      </w:r>
      <w:r w:rsidR="00453205">
        <w:rPr>
          <w:noProof/>
        </w:rPr>
        <w:t xml:space="preserve">WTO </w:t>
      </w:r>
      <w:r w:rsidR="00322807" w:rsidRPr="00BA7A69">
        <w:rPr>
          <w:noProof/>
        </w:rPr>
        <w:t xml:space="preserve">negotiations on fisheries subsidies </w:t>
      </w:r>
      <w:r w:rsidR="00BA7A69">
        <w:rPr>
          <w:noProof/>
        </w:rPr>
        <w:t xml:space="preserve">were </w:t>
      </w:r>
      <w:r w:rsidR="00453205">
        <w:rPr>
          <w:noProof/>
        </w:rPr>
        <w:t xml:space="preserve">tasked to </w:t>
      </w:r>
      <w:r w:rsidR="00BA7A69">
        <w:rPr>
          <w:noProof/>
        </w:rPr>
        <w:t xml:space="preserve">deliver </w:t>
      </w:r>
      <w:r w:rsidR="004A7836">
        <w:rPr>
          <w:noProof/>
        </w:rPr>
        <w:t xml:space="preserve">on </w:t>
      </w:r>
      <w:r w:rsidR="00BA7A69">
        <w:rPr>
          <w:noProof/>
        </w:rPr>
        <w:t xml:space="preserve">the </w:t>
      </w:r>
      <w:r w:rsidR="00322807" w:rsidRPr="00BA7A69">
        <w:rPr>
          <w:noProof/>
        </w:rPr>
        <w:t>United Nations Sustainable Development Goal Target 14.6</w:t>
      </w:r>
      <w:r w:rsidR="00E44E38">
        <w:rPr>
          <w:noProof/>
        </w:rPr>
        <w:t>.</w:t>
      </w:r>
    </w:p>
    <w:p w14:paraId="2D8F289A" w14:textId="143076E7" w:rsidR="00322807" w:rsidRPr="00BA7A69" w:rsidRDefault="00BA1DBE" w:rsidP="00BA1DBE">
      <w:pPr>
        <w:pStyle w:val="ManualConsidrant"/>
        <w:rPr>
          <w:noProof/>
        </w:rPr>
      </w:pPr>
      <w:r w:rsidRPr="00BA1DBE">
        <w:t>(2)</w:t>
      </w:r>
      <w:r w:rsidRPr="00BA1DBE">
        <w:tab/>
      </w:r>
      <w:r w:rsidR="00D96933">
        <w:rPr>
          <w:noProof/>
        </w:rPr>
        <w:t>The Commission negotiated with other</w:t>
      </w:r>
      <w:r w:rsidR="00322807" w:rsidRPr="00BA7A69">
        <w:rPr>
          <w:noProof/>
        </w:rPr>
        <w:t xml:space="preserve"> </w:t>
      </w:r>
      <w:r w:rsidR="00D96933">
        <w:rPr>
          <w:noProof/>
        </w:rPr>
        <w:t xml:space="preserve">Members </w:t>
      </w:r>
      <w:r w:rsidR="00322807" w:rsidRPr="00BA7A69">
        <w:rPr>
          <w:noProof/>
        </w:rPr>
        <w:t>in consultation with the Committee established by Article 207(3) of the Treaty</w:t>
      </w:r>
      <w:r w:rsidR="00E44E38">
        <w:rPr>
          <w:noProof/>
        </w:rPr>
        <w:t>.</w:t>
      </w:r>
    </w:p>
    <w:p w14:paraId="68156BAB" w14:textId="72C53FE0" w:rsidR="00560666" w:rsidRPr="00BA7A69" w:rsidRDefault="00BA1DBE" w:rsidP="00BA1DBE">
      <w:pPr>
        <w:pStyle w:val="ManualConsidrant"/>
        <w:rPr>
          <w:noProof/>
        </w:rPr>
      </w:pPr>
      <w:r w:rsidRPr="00BA1DBE">
        <w:t>(3)</w:t>
      </w:r>
      <w:r w:rsidRPr="00BA1DBE">
        <w:tab/>
      </w:r>
      <w:r w:rsidR="00322807" w:rsidRPr="00BA7A69">
        <w:rPr>
          <w:noProof/>
        </w:rPr>
        <w:t>The negotiations were concluded at the 12</w:t>
      </w:r>
      <w:r w:rsidR="00322807" w:rsidRPr="00BA7A69">
        <w:rPr>
          <w:noProof/>
          <w:vertAlign w:val="superscript"/>
        </w:rPr>
        <w:t>th</w:t>
      </w:r>
      <w:r w:rsidR="00322807" w:rsidRPr="00BA7A69">
        <w:rPr>
          <w:noProof/>
        </w:rPr>
        <w:t xml:space="preserve"> WTO Minister</w:t>
      </w:r>
      <w:r w:rsidR="00F80EDE">
        <w:rPr>
          <w:noProof/>
        </w:rPr>
        <w:t xml:space="preserve">ial Conference on 17 June 2022. </w:t>
      </w:r>
      <w:r w:rsidR="00322807" w:rsidRPr="00BA7A69">
        <w:rPr>
          <w:noProof/>
        </w:rPr>
        <w:t>The WTO Ministerial Conference adopted</w:t>
      </w:r>
      <w:r w:rsidR="0006507D">
        <w:rPr>
          <w:rStyle w:val="FootnoteReference"/>
          <w:noProof/>
        </w:rPr>
        <w:footnoteReference w:id="3"/>
      </w:r>
      <w:r w:rsidR="00322807" w:rsidRPr="00BA7A69">
        <w:rPr>
          <w:noProof/>
        </w:rPr>
        <w:t xml:space="preserve"> the Protocol amending the Marrakesh Agreement establishing the World Trade Organization ("the Protocol") and </w:t>
      </w:r>
      <w:r w:rsidR="00E44E38">
        <w:rPr>
          <w:noProof/>
        </w:rPr>
        <w:t xml:space="preserve">declared it </w:t>
      </w:r>
      <w:r w:rsidR="00322807" w:rsidRPr="00BA7A69">
        <w:rPr>
          <w:noProof/>
        </w:rPr>
        <w:t>open for acceptance by the WTO Members</w:t>
      </w:r>
      <w:r w:rsidR="00E44E38">
        <w:rPr>
          <w:noProof/>
        </w:rPr>
        <w:t>.</w:t>
      </w:r>
    </w:p>
    <w:p w14:paraId="18D06327" w14:textId="4B4A0C43" w:rsidR="00BA7A69" w:rsidRPr="00BA7A69" w:rsidRDefault="00BA1DBE" w:rsidP="00BA1DBE">
      <w:pPr>
        <w:pStyle w:val="ManualConsidrant"/>
        <w:rPr>
          <w:noProof/>
        </w:rPr>
      </w:pPr>
      <w:r w:rsidRPr="00BA1DBE">
        <w:t>(4)</w:t>
      </w:r>
      <w:r w:rsidRPr="00BA1DBE">
        <w:tab/>
      </w:r>
      <w:r w:rsidR="00BA7A69" w:rsidRPr="00BA7A69">
        <w:rPr>
          <w:noProof/>
        </w:rPr>
        <w:t xml:space="preserve">The Protocol includes the Agreement on </w:t>
      </w:r>
      <w:r w:rsidR="00BA7A69">
        <w:rPr>
          <w:noProof/>
        </w:rPr>
        <w:t>Fisheries</w:t>
      </w:r>
      <w:r w:rsidR="00555DB2">
        <w:rPr>
          <w:noProof/>
        </w:rPr>
        <w:t xml:space="preserve"> </w:t>
      </w:r>
      <w:r w:rsidR="00C46A3F">
        <w:rPr>
          <w:noProof/>
        </w:rPr>
        <w:t>Subsidies in its Annex</w:t>
      </w:r>
      <w:r w:rsidR="00E44E38">
        <w:rPr>
          <w:noProof/>
        </w:rPr>
        <w:t>, which</w:t>
      </w:r>
      <w:r w:rsidR="00F80EDE">
        <w:rPr>
          <w:noProof/>
        </w:rPr>
        <w:t xml:space="preserve"> </w:t>
      </w:r>
      <w:r w:rsidR="00555DB2">
        <w:rPr>
          <w:noProof/>
        </w:rPr>
        <w:t xml:space="preserve">will be inserted into Annex 1A to the </w:t>
      </w:r>
      <w:r w:rsidR="00B6564D" w:rsidRPr="00B6564D">
        <w:rPr>
          <w:noProof/>
        </w:rPr>
        <w:t xml:space="preserve">Marrakesh Agreement </w:t>
      </w:r>
      <w:r w:rsidR="0006507D">
        <w:rPr>
          <w:noProof/>
        </w:rPr>
        <w:t>E</w:t>
      </w:r>
      <w:r w:rsidR="00B6564D" w:rsidRPr="00B6564D">
        <w:rPr>
          <w:noProof/>
        </w:rPr>
        <w:t>stablishi</w:t>
      </w:r>
      <w:r w:rsidR="00F80EDE">
        <w:rPr>
          <w:noProof/>
        </w:rPr>
        <w:t>ng the World Trade Organization</w:t>
      </w:r>
      <w:r w:rsidR="00555DB2">
        <w:rPr>
          <w:noProof/>
        </w:rPr>
        <w:t xml:space="preserve"> upon entry into force of th</w:t>
      </w:r>
      <w:r w:rsidR="00C46A3F">
        <w:rPr>
          <w:noProof/>
        </w:rPr>
        <w:t>e</w:t>
      </w:r>
      <w:r w:rsidR="00555DB2">
        <w:rPr>
          <w:noProof/>
        </w:rPr>
        <w:t xml:space="preserve"> Protocol</w:t>
      </w:r>
      <w:r w:rsidR="00E44E38">
        <w:rPr>
          <w:noProof/>
        </w:rPr>
        <w:t>.</w:t>
      </w:r>
      <w:r w:rsidR="00BA7A69" w:rsidRPr="00BA7A69">
        <w:rPr>
          <w:noProof/>
        </w:rPr>
        <w:t xml:space="preserve"> </w:t>
      </w:r>
    </w:p>
    <w:p w14:paraId="0D789574" w14:textId="40384F61" w:rsidR="00BA7A69" w:rsidRPr="00BA7A69" w:rsidRDefault="00BA1DBE" w:rsidP="00BA1DBE">
      <w:pPr>
        <w:pStyle w:val="ManualConsidrant"/>
        <w:rPr>
          <w:noProof/>
        </w:rPr>
      </w:pPr>
      <w:r w:rsidRPr="00BA1DBE">
        <w:t>(5)</w:t>
      </w:r>
      <w:r w:rsidRPr="00BA1DBE">
        <w:tab/>
      </w:r>
      <w:r w:rsidR="00BA7A69" w:rsidRPr="00BA7A69">
        <w:rPr>
          <w:noProof/>
        </w:rPr>
        <w:t>The Protocol should be concluded on behalf of the Union</w:t>
      </w:r>
      <w:r w:rsidR="00453205">
        <w:rPr>
          <w:noProof/>
        </w:rPr>
        <w:t>,</w:t>
      </w:r>
    </w:p>
    <w:p w14:paraId="660A4527" w14:textId="77777777" w:rsidR="00560666" w:rsidRPr="00FD40BA" w:rsidRDefault="00560666" w:rsidP="00197315">
      <w:pPr>
        <w:pStyle w:val="Formuledadoption"/>
        <w:rPr>
          <w:noProof/>
        </w:rPr>
      </w:pPr>
      <w:r w:rsidRPr="00FD40BA">
        <w:rPr>
          <w:noProof/>
        </w:rPr>
        <w:t xml:space="preserve">HAS ADOPTED THIS DECISION: </w:t>
      </w:r>
    </w:p>
    <w:p w14:paraId="330BC3FB" w14:textId="77777777" w:rsidR="007A350E" w:rsidRPr="0017345E" w:rsidRDefault="007A350E" w:rsidP="00322807">
      <w:pPr>
        <w:pStyle w:val="Titrearticle"/>
        <w:rPr>
          <w:noProof/>
        </w:rPr>
      </w:pPr>
      <w:r w:rsidRPr="0017345E">
        <w:rPr>
          <w:noProof/>
        </w:rPr>
        <w:t>Article 1</w:t>
      </w:r>
    </w:p>
    <w:p w14:paraId="656A53B7" w14:textId="1A40F8DF" w:rsidR="00322807" w:rsidRPr="00322807" w:rsidRDefault="00322807" w:rsidP="00322807">
      <w:pPr>
        <w:pStyle w:val="Titrearticle"/>
        <w:jc w:val="both"/>
        <w:rPr>
          <w:i w:val="0"/>
          <w:noProof/>
        </w:rPr>
      </w:pPr>
      <w:bookmarkStart w:id="10" w:name="_CopyToNewDocument_"/>
      <w:bookmarkEnd w:id="10"/>
      <w:r w:rsidRPr="00322807">
        <w:rPr>
          <w:i w:val="0"/>
          <w:noProof/>
        </w:rPr>
        <w:t xml:space="preserve">The Protocol Amending the Marrakesh Agreement Establishing the World Trade Organization is hereby concluded on behalf of the Union. </w:t>
      </w:r>
    </w:p>
    <w:p w14:paraId="3B1A8406" w14:textId="77777777" w:rsidR="00322807" w:rsidRDefault="00322807" w:rsidP="00322807">
      <w:pPr>
        <w:pStyle w:val="Titrearticle"/>
        <w:jc w:val="both"/>
        <w:rPr>
          <w:i w:val="0"/>
          <w:noProof/>
        </w:rPr>
      </w:pPr>
      <w:r w:rsidRPr="00322807">
        <w:rPr>
          <w:i w:val="0"/>
          <w:noProof/>
        </w:rPr>
        <w:t>The text of the Protocol is attached to this Decision.</w:t>
      </w:r>
    </w:p>
    <w:p w14:paraId="0347AD47" w14:textId="77777777" w:rsidR="007A350E" w:rsidRDefault="007A350E" w:rsidP="00322807">
      <w:pPr>
        <w:pStyle w:val="Titrearticle"/>
        <w:rPr>
          <w:noProof/>
        </w:rPr>
      </w:pPr>
      <w:r w:rsidRPr="0017345E">
        <w:rPr>
          <w:noProof/>
        </w:rPr>
        <w:t>Article 2</w:t>
      </w:r>
    </w:p>
    <w:p w14:paraId="6FCF4120" w14:textId="77777777" w:rsidR="007A350E" w:rsidRDefault="007A350E" w:rsidP="00322807">
      <w:pPr>
        <w:rPr>
          <w:noProof/>
        </w:rPr>
      </w:pPr>
      <w:r>
        <w:rPr>
          <w:noProof/>
        </w:rPr>
        <w:t>The President of the Council shall designate the person(s) empowered to deposit, on behalf of the Union, the instrument of acceptance, as specified in paragraph</w:t>
      </w:r>
      <w:r w:rsidR="00B44F29">
        <w:rPr>
          <w:noProof/>
        </w:rPr>
        <w:t>s 3 and</w:t>
      </w:r>
      <w:r>
        <w:rPr>
          <w:noProof/>
        </w:rPr>
        <w:t xml:space="preserve"> 5 of the Protocol in order to express the consent of the Union to be bound by the Protocol</w:t>
      </w:r>
      <w:r>
        <w:rPr>
          <w:rStyle w:val="FootnoteReference"/>
          <w:noProof/>
        </w:rPr>
        <w:footnoteReference w:id="4"/>
      </w:r>
      <w:r w:rsidR="00322807">
        <w:rPr>
          <w:noProof/>
        </w:rPr>
        <w:t>.</w:t>
      </w:r>
    </w:p>
    <w:p w14:paraId="7D025BA4" w14:textId="77777777" w:rsidR="00462540" w:rsidRDefault="00462540" w:rsidP="00462540">
      <w:pPr>
        <w:pStyle w:val="Titrearticle"/>
        <w:rPr>
          <w:noProof/>
        </w:rPr>
      </w:pPr>
      <w:r w:rsidRPr="0017345E">
        <w:rPr>
          <w:noProof/>
        </w:rPr>
        <w:t xml:space="preserve">Article </w:t>
      </w:r>
      <w:r>
        <w:rPr>
          <w:noProof/>
        </w:rPr>
        <w:t>3</w:t>
      </w:r>
    </w:p>
    <w:p w14:paraId="5E828C73" w14:textId="77777777" w:rsidR="007A350E" w:rsidRPr="007A350E" w:rsidRDefault="007A350E" w:rsidP="00322807">
      <w:pPr>
        <w:rPr>
          <w:noProof/>
        </w:rPr>
      </w:pPr>
      <w:r>
        <w:rPr>
          <w:noProof/>
        </w:rPr>
        <w:t xml:space="preserve">This Protocol shall not be construed as conferring rights or imposing obligations which can be directly invoked in courts of the Union or </w:t>
      </w:r>
      <w:r w:rsidR="00322807">
        <w:rPr>
          <w:noProof/>
        </w:rPr>
        <w:t xml:space="preserve">the </w:t>
      </w:r>
      <w:r>
        <w:rPr>
          <w:noProof/>
        </w:rPr>
        <w:t>Member State</w:t>
      </w:r>
      <w:r w:rsidR="00322807">
        <w:rPr>
          <w:noProof/>
        </w:rPr>
        <w:t>s</w:t>
      </w:r>
      <w:r>
        <w:rPr>
          <w:noProof/>
        </w:rPr>
        <w:t>.</w:t>
      </w:r>
    </w:p>
    <w:p w14:paraId="51530AF1" w14:textId="77777777" w:rsidR="007A350E" w:rsidRPr="0017345E" w:rsidRDefault="007A350E" w:rsidP="00B7271C">
      <w:pPr>
        <w:pStyle w:val="Titrearticle"/>
        <w:rPr>
          <w:noProof/>
        </w:rPr>
      </w:pPr>
      <w:r w:rsidRPr="0017345E">
        <w:rPr>
          <w:noProof/>
        </w:rPr>
        <w:t xml:space="preserve">Article </w:t>
      </w:r>
      <w:r>
        <w:rPr>
          <w:noProof/>
        </w:rPr>
        <w:t>4</w:t>
      </w:r>
    </w:p>
    <w:p w14:paraId="79D7A05B" w14:textId="77777777" w:rsidR="00453205" w:rsidRDefault="007A350E" w:rsidP="00322807">
      <w:pPr>
        <w:rPr>
          <w:noProof/>
        </w:rPr>
      </w:pPr>
      <w:r w:rsidRPr="00F80EDE">
        <w:rPr>
          <w:noProof/>
        </w:rPr>
        <w:t xml:space="preserve">This Decision shall enter into force on the day of its adoption and shall be published in the Official Journal of the European Union. </w:t>
      </w:r>
    </w:p>
    <w:p w14:paraId="602FB6F9" w14:textId="4BB8CE82" w:rsidR="00560666" w:rsidRDefault="00182780" w:rsidP="00B7271C">
      <w:pPr>
        <w:pStyle w:val="Fait"/>
        <w:rPr>
          <w:noProof/>
        </w:rPr>
      </w:pPr>
      <w:r w:rsidRPr="00182780">
        <w:t>Done at Brussels,</w:t>
      </w:r>
    </w:p>
    <w:p w14:paraId="218B484C" w14:textId="77777777" w:rsidR="00560666" w:rsidRDefault="00560666" w:rsidP="00B7271C">
      <w:pPr>
        <w:pStyle w:val="Institutionquisigne"/>
        <w:rPr>
          <w:noProof/>
        </w:rPr>
      </w:pPr>
      <w:r w:rsidRPr="00560666">
        <w:rPr>
          <w:noProof/>
        </w:rPr>
        <w:tab/>
        <w:t>For the Council</w:t>
      </w:r>
    </w:p>
    <w:p w14:paraId="77615D47" w14:textId="77777777" w:rsidR="00560666" w:rsidRPr="00560666" w:rsidRDefault="00560666" w:rsidP="00560666">
      <w:pPr>
        <w:pStyle w:val="Personnequisigne"/>
        <w:rPr>
          <w:noProof/>
        </w:rPr>
      </w:pPr>
      <w:r w:rsidRPr="00560666">
        <w:rPr>
          <w:noProof/>
        </w:rPr>
        <w:tab/>
        <w:t>The President</w:t>
      </w:r>
    </w:p>
    <w:sectPr w:rsidR="00560666" w:rsidRPr="00560666" w:rsidSect="003C6C4D">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2C6B3" w14:textId="77777777" w:rsidR="00B87E25" w:rsidRDefault="00B87E25" w:rsidP="00560666">
      <w:pPr>
        <w:spacing w:before="0" w:after="0"/>
      </w:pPr>
      <w:r>
        <w:separator/>
      </w:r>
    </w:p>
  </w:endnote>
  <w:endnote w:type="continuationSeparator" w:id="0">
    <w:p w14:paraId="240EC5FF" w14:textId="77777777" w:rsidR="00B87E25" w:rsidRDefault="00B87E25" w:rsidP="0056066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65596" w14:textId="4A9997DB" w:rsidR="00560666" w:rsidRPr="003C6C4D" w:rsidRDefault="003C6C4D" w:rsidP="003C6C4D">
    <w:pPr>
      <w:pStyle w:val="Footer"/>
      <w:rPr>
        <w:rFonts w:ascii="Arial" w:hAnsi="Arial" w:cs="Arial"/>
        <w:b/>
        <w:sz w:val="48"/>
      </w:rPr>
    </w:pPr>
    <w:r w:rsidRPr="003C6C4D">
      <w:rPr>
        <w:rFonts w:ascii="Arial" w:hAnsi="Arial" w:cs="Arial"/>
        <w:b/>
        <w:sz w:val="48"/>
      </w:rPr>
      <w:t>EN</w:t>
    </w:r>
    <w:r w:rsidRPr="003C6C4D">
      <w:rPr>
        <w:rFonts w:ascii="Arial" w:hAnsi="Arial" w:cs="Arial"/>
        <w:b/>
        <w:sz w:val="48"/>
      </w:rPr>
      <w:tab/>
    </w:r>
    <w:r w:rsidRPr="003C6C4D">
      <w:rPr>
        <w:rFonts w:ascii="Arial" w:hAnsi="Arial" w:cs="Arial"/>
        <w:b/>
        <w:sz w:val="48"/>
      </w:rPr>
      <w:tab/>
    </w:r>
    <w:r w:rsidRPr="003C6C4D">
      <w:tab/>
    </w:r>
    <w:r w:rsidRPr="003C6C4D">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126FF" w14:textId="22F25BAD" w:rsidR="003C6C4D" w:rsidRPr="003C6C4D" w:rsidRDefault="003C6C4D" w:rsidP="003C6C4D">
    <w:pPr>
      <w:pStyle w:val="Footer"/>
      <w:rPr>
        <w:rFonts w:ascii="Arial" w:hAnsi="Arial" w:cs="Arial"/>
        <w:b/>
        <w:sz w:val="48"/>
      </w:rPr>
    </w:pPr>
    <w:r w:rsidRPr="003C6C4D">
      <w:rPr>
        <w:rFonts w:ascii="Arial" w:hAnsi="Arial" w:cs="Arial"/>
        <w:b/>
        <w:sz w:val="48"/>
      </w:rPr>
      <w:t>EN</w:t>
    </w:r>
    <w:r w:rsidRPr="003C6C4D">
      <w:rPr>
        <w:rFonts w:ascii="Arial" w:hAnsi="Arial" w:cs="Arial"/>
        <w:b/>
        <w:sz w:val="48"/>
      </w:rPr>
      <w:tab/>
    </w:r>
    <w:r>
      <w:fldChar w:fldCharType="begin"/>
    </w:r>
    <w:r>
      <w:instrText xml:space="preserve"> PAGE  \* MERGEFORMAT </w:instrText>
    </w:r>
    <w:r>
      <w:fldChar w:fldCharType="separate"/>
    </w:r>
    <w:r w:rsidR="00B7271C">
      <w:rPr>
        <w:noProof/>
      </w:rPr>
      <w:t>5</w:t>
    </w:r>
    <w:r>
      <w:fldChar w:fldCharType="end"/>
    </w:r>
    <w:r>
      <w:tab/>
    </w:r>
    <w:r w:rsidRPr="003C6C4D">
      <w:tab/>
    </w:r>
    <w:r w:rsidRPr="003C6C4D">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5FCB" w14:textId="77777777" w:rsidR="003C6C4D" w:rsidRPr="003C6C4D" w:rsidRDefault="003C6C4D" w:rsidP="003C6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3C8B0" w14:textId="77777777" w:rsidR="00B87E25" w:rsidRDefault="00B87E25" w:rsidP="00560666">
      <w:pPr>
        <w:spacing w:before="0" w:after="0"/>
      </w:pPr>
      <w:r>
        <w:separator/>
      </w:r>
    </w:p>
  </w:footnote>
  <w:footnote w:type="continuationSeparator" w:id="0">
    <w:p w14:paraId="2E3C71A2" w14:textId="77777777" w:rsidR="00B87E25" w:rsidRDefault="00B87E25" w:rsidP="00560666">
      <w:pPr>
        <w:spacing w:before="0" w:after="0"/>
      </w:pPr>
      <w:r>
        <w:continuationSeparator/>
      </w:r>
    </w:p>
  </w:footnote>
  <w:footnote w:id="1">
    <w:p w14:paraId="2704CC01" w14:textId="77777777" w:rsidR="00A21AB2" w:rsidRPr="0097221A" w:rsidRDefault="00A21AB2" w:rsidP="00A21AB2">
      <w:pPr>
        <w:pStyle w:val="FootnoteText"/>
        <w:rPr>
          <w:lang w:val="fi-FI"/>
        </w:rPr>
      </w:pPr>
      <w:r w:rsidRPr="008626D1">
        <w:rPr>
          <w:rStyle w:val="FootnoteReference"/>
        </w:rPr>
        <w:footnoteRef/>
      </w:r>
      <w:r w:rsidR="008626D1">
        <w:rPr>
          <w:lang w:val="fi-FI"/>
        </w:rPr>
        <w:tab/>
      </w:r>
      <w:r w:rsidRPr="0097221A">
        <w:rPr>
          <w:lang w:val="fi-FI"/>
        </w:rPr>
        <w:t>WT/MIN(22)/</w:t>
      </w:r>
      <w:r w:rsidR="0006507D" w:rsidRPr="0097221A">
        <w:rPr>
          <w:lang w:val="fi-FI"/>
        </w:rPr>
        <w:t>33</w:t>
      </w:r>
    </w:p>
  </w:footnote>
  <w:footnote w:id="2">
    <w:p w14:paraId="7E130725" w14:textId="77777777" w:rsidR="00560666" w:rsidRPr="00DD74D3" w:rsidRDefault="00560666" w:rsidP="00197315">
      <w:pPr>
        <w:pStyle w:val="FootnoteText"/>
        <w:rPr>
          <w:lang w:val="pl-PL"/>
        </w:rPr>
      </w:pPr>
      <w:r>
        <w:rPr>
          <w:rStyle w:val="FootnoteReference"/>
        </w:rPr>
        <w:footnoteRef/>
      </w:r>
      <w:r w:rsidRPr="00DD74D3">
        <w:rPr>
          <w:lang w:val="pl-PL"/>
        </w:rPr>
        <w:tab/>
        <w:t>OJ C , , p. .</w:t>
      </w:r>
    </w:p>
  </w:footnote>
  <w:footnote w:id="3">
    <w:p w14:paraId="3B060CE7" w14:textId="77777777" w:rsidR="0006507D" w:rsidRPr="0097221A" w:rsidRDefault="0006507D">
      <w:pPr>
        <w:pStyle w:val="FootnoteText"/>
        <w:rPr>
          <w:lang w:val="fi-FI"/>
        </w:rPr>
      </w:pPr>
      <w:r w:rsidRPr="008626D1">
        <w:rPr>
          <w:rStyle w:val="FootnoteReference"/>
        </w:rPr>
        <w:footnoteRef/>
      </w:r>
      <w:r w:rsidR="008626D1">
        <w:rPr>
          <w:lang w:val="fi-FI"/>
        </w:rPr>
        <w:tab/>
      </w:r>
      <w:r w:rsidRPr="0097221A">
        <w:rPr>
          <w:lang w:val="fi-FI"/>
        </w:rPr>
        <w:t>WT/MIN(22)/33</w:t>
      </w:r>
    </w:p>
  </w:footnote>
  <w:footnote w:id="4">
    <w:p w14:paraId="7229DA7F" w14:textId="77777777" w:rsidR="007A350E" w:rsidRPr="007A350E" w:rsidRDefault="007A350E" w:rsidP="00F83EF1">
      <w:pPr>
        <w:pStyle w:val="FootnoteText"/>
        <w:rPr>
          <w:lang w:val="en-IE"/>
        </w:rPr>
      </w:pPr>
      <w:r w:rsidRPr="008626D1">
        <w:rPr>
          <w:rStyle w:val="FootnoteReference"/>
        </w:rPr>
        <w:footnoteRef/>
      </w:r>
      <w:r w:rsidR="008626D1">
        <w:tab/>
      </w:r>
      <w:r>
        <w:t>The date of entry into force of the Protocol will be published in the Official Journal of the European Union by the General Secretariat of the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9D5C5220"/>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9176DFA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5888F50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6FBE504E"/>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1AF6911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0C022C04"/>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ADCCD1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F558F3F0"/>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2"/>
    <w:lvlOverride w:ilvl="0">
      <w:startOverride w:val="1"/>
    </w:lvlOverride>
  </w:num>
  <w:num w:numId="6">
    <w:abstractNumId w:val="6"/>
  </w:num>
  <w:num w:numId="7">
    <w:abstractNumId w:val="2"/>
  </w:num>
  <w:num w:numId="8">
    <w:abstractNumId w:val="1"/>
  </w:num>
  <w:num w:numId="9">
    <w:abstractNumId w:val="0"/>
  </w:num>
  <w:num w:numId="10">
    <w:abstractNumId w:val="17"/>
    <w:lvlOverride w:ilvl="0">
      <w:startOverride w:val="1"/>
    </w:lvlOverride>
  </w:num>
  <w:num w:numId="11">
    <w:abstractNumId w:val="19"/>
  </w:num>
  <w:num w:numId="12">
    <w:abstractNumId w:val="12"/>
  </w:num>
  <w:num w:numId="13">
    <w:abstractNumId w:val="21"/>
  </w:num>
  <w:num w:numId="14">
    <w:abstractNumId w:val="11"/>
  </w:num>
  <w:num w:numId="15">
    <w:abstractNumId w:val="13"/>
  </w:num>
  <w:num w:numId="16">
    <w:abstractNumId w:val="14"/>
  </w:num>
  <w:num w:numId="17">
    <w:abstractNumId w:val="9"/>
  </w:num>
  <w:num w:numId="18">
    <w:abstractNumId w:val="20"/>
  </w:num>
  <w:num w:numId="19">
    <w:abstractNumId w:val="8"/>
  </w:num>
  <w:num w:numId="20">
    <w:abstractNumId w:val="15"/>
  </w:num>
  <w:num w:numId="21">
    <w:abstractNumId w:val="17"/>
  </w:num>
  <w:num w:numId="22">
    <w:abstractNumId w:val="18"/>
  </w:num>
  <w:num w:numId="23">
    <w:abstractNumId w:val="10"/>
  </w:num>
  <w:num w:numId="24">
    <w:abstractNumId w:val="16"/>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2-10-31 10:35:40"/>
    <w:docVar w:name="DQCResult_Distribution" w:val="0;0"/>
    <w:docVar w:name="DQCResult_DocumentContent" w:val="0;0"/>
    <w:docVar w:name="DQCResult_DocumentSize"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1"/>
    <w:docVar w:name="LW_CORRIGENDUM" w:val="&lt;UNUSED&gt;"/>
    <w:docVar w:name="LW_COVERPAGE_EXISTS" w:val="True"/>
    <w:docVar w:name="LW_COVERPAGE_GUID" w:val="BC03D26E-3A44-4B73-BC64-69416553B5E6"/>
    <w:docVar w:name="LW_COVERPAGE_TYPE" w:val="1"/>
    <w:docVar w:name="LW_CROSSREFERENCE" w:val="&lt;UNUSED&gt;"/>
    <w:docVar w:name="LW_DocType" w:val="COM"/>
    <w:docVar w:name="LW_EMISSION" w:val="9.11.2022"/>
    <w:docVar w:name="LW_EMISSION_ISODATE" w:val="2022-11-09"/>
    <w:docVar w:name="LW_EMISSION_LOCATION" w:val="BRX"/>
    <w:docVar w:name="LW_EMISSION_PREFIX" w:val="Brussels, "/>
    <w:docVar w:name="LW_EMISSION_SUFFIX" w:val=" "/>
    <w:docVar w:name="LW_ID_DOCMODEL" w:val="SJ-019"/>
    <w:docVar w:name="LW_ID_DOCSIGNATURE" w:val="SJ-019"/>
    <w:docVar w:name="LW_ID_DOCSTRUCTURE" w:val="COM/PL/ORG"/>
    <w:docVar w:name="LW_ID_DOCTYPE" w:val="SJ-019"/>
    <w:docVar w:name="LW_ID_EXP.MOTIFS.NEW" w:val="EM_PL_"/>
    <w:docVar w:name="LW_ID_STATUT" w:val="SJ-019"/>
    <w:docVar w:name="LW_INTERETEEE.CP" w:val="&lt;UNUSED&gt;"/>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NLE"/>
    <w:docVar w:name="LW_REF.II.NEW.CP_NUMBER" w:val="0364"/>
    <w:docVar w:name="LW_REF.II.NEW.CP_YEAR" w:val="2022"/>
    <w:docVar w:name="LW_REF.INST.NEW" w:val="COM"/>
    <w:docVar w:name="LW_REF.INST.NEW_ADOPTED" w:val="final"/>
    <w:docVar w:name="LW_REF.INST.NEW_TEXT" w:val="(2022) 58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al for a"/>
    <w:docVar w:name="LW_SUPERTITRE" w:val="&lt;UNUSED&gt;"/>
    <w:docVar w:name="LW_TITRE.OBJ.CP" w:val="on the conclusion, on behalf of the European Union, of the Protocol Amending the Marrakesh Agreement Establishing the World Trade Organization_x000b_"/>
    <w:docVar w:name="LW_TYPE.DOC.CP" w:val="COUNCIL DECISION"/>
    <w:docVar w:name="LwApiVersions" w:val="LW4CoDe 1.23.2.0; LW 8.0, Build 20211117"/>
  </w:docVars>
  <w:rsids>
    <w:rsidRoot w:val="00560666"/>
    <w:rsid w:val="0006507D"/>
    <w:rsid w:val="0007570A"/>
    <w:rsid w:val="000B0731"/>
    <w:rsid w:val="000B7A7D"/>
    <w:rsid w:val="000E31C8"/>
    <w:rsid w:val="00152894"/>
    <w:rsid w:val="00182780"/>
    <w:rsid w:val="00183041"/>
    <w:rsid w:val="001D2873"/>
    <w:rsid w:val="0020600F"/>
    <w:rsid w:val="002566B7"/>
    <w:rsid w:val="00286E5F"/>
    <w:rsid w:val="002B76E9"/>
    <w:rsid w:val="00322807"/>
    <w:rsid w:val="00396ACD"/>
    <w:rsid w:val="003C6C4D"/>
    <w:rsid w:val="00437AA5"/>
    <w:rsid w:val="00453205"/>
    <w:rsid w:val="00462540"/>
    <w:rsid w:val="00492396"/>
    <w:rsid w:val="004A7836"/>
    <w:rsid w:val="004E19F9"/>
    <w:rsid w:val="004F76F0"/>
    <w:rsid w:val="00505DB4"/>
    <w:rsid w:val="00517205"/>
    <w:rsid w:val="0052029A"/>
    <w:rsid w:val="00542487"/>
    <w:rsid w:val="00555DB2"/>
    <w:rsid w:val="00560666"/>
    <w:rsid w:val="00582810"/>
    <w:rsid w:val="00583B67"/>
    <w:rsid w:val="00584386"/>
    <w:rsid w:val="00595540"/>
    <w:rsid w:val="005A18C2"/>
    <w:rsid w:val="005B5FA6"/>
    <w:rsid w:val="005C2251"/>
    <w:rsid w:val="00647E7F"/>
    <w:rsid w:val="00663054"/>
    <w:rsid w:val="006654AB"/>
    <w:rsid w:val="006B3592"/>
    <w:rsid w:val="006F7EFE"/>
    <w:rsid w:val="00765A7C"/>
    <w:rsid w:val="007A350E"/>
    <w:rsid w:val="007D0861"/>
    <w:rsid w:val="007E010B"/>
    <w:rsid w:val="00802FC2"/>
    <w:rsid w:val="0081446B"/>
    <w:rsid w:val="00821749"/>
    <w:rsid w:val="00855ECE"/>
    <w:rsid w:val="008626D1"/>
    <w:rsid w:val="008B3F89"/>
    <w:rsid w:val="008C0399"/>
    <w:rsid w:val="008C5DF0"/>
    <w:rsid w:val="008D3A48"/>
    <w:rsid w:val="008E2694"/>
    <w:rsid w:val="008F50A7"/>
    <w:rsid w:val="00940731"/>
    <w:rsid w:val="0097221A"/>
    <w:rsid w:val="009865C2"/>
    <w:rsid w:val="009957C5"/>
    <w:rsid w:val="009C756D"/>
    <w:rsid w:val="00A21AB2"/>
    <w:rsid w:val="00A565C7"/>
    <w:rsid w:val="00A9258A"/>
    <w:rsid w:val="00AB487B"/>
    <w:rsid w:val="00AC1666"/>
    <w:rsid w:val="00AC2A02"/>
    <w:rsid w:val="00AE3EB3"/>
    <w:rsid w:val="00B23F0E"/>
    <w:rsid w:val="00B44F29"/>
    <w:rsid w:val="00B52236"/>
    <w:rsid w:val="00B6564D"/>
    <w:rsid w:val="00B7271C"/>
    <w:rsid w:val="00B87E25"/>
    <w:rsid w:val="00B9626C"/>
    <w:rsid w:val="00BA1DBE"/>
    <w:rsid w:val="00BA51B6"/>
    <w:rsid w:val="00BA7A69"/>
    <w:rsid w:val="00BC2137"/>
    <w:rsid w:val="00C3731F"/>
    <w:rsid w:val="00C46A17"/>
    <w:rsid w:val="00C46A3F"/>
    <w:rsid w:val="00C74050"/>
    <w:rsid w:val="00CD40AE"/>
    <w:rsid w:val="00CE38D1"/>
    <w:rsid w:val="00D02CD9"/>
    <w:rsid w:val="00D228E9"/>
    <w:rsid w:val="00D64476"/>
    <w:rsid w:val="00D71F1E"/>
    <w:rsid w:val="00D8547B"/>
    <w:rsid w:val="00D96933"/>
    <w:rsid w:val="00DB4B20"/>
    <w:rsid w:val="00DC6AAB"/>
    <w:rsid w:val="00DC77B7"/>
    <w:rsid w:val="00E07235"/>
    <w:rsid w:val="00E247C3"/>
    <w:rsid w:val="00E33C9F"/>
    <w:rsid w:val="00E44E38"/>
    <w:rsid w:val="00E979AB"/>
    <w:rsid w:val="00EC39BC"/>
    <w:rsid w:val="00EE140B"/>
    <w:rsid w:val="00EE6774"/>
    <w:rsid w:val="00F45BA6"/>
    <w:rsid w:val="00F80EDE"/>
    <w:rsid w:val="00F83EF1"/>
    <w:rsid w:val="00F87A37"/>
    <w:rsid w:val="00F94B2E"/>
    <w:rsid w:val="00FA2E28"/>
    <w:rsid w:val="00FA7FB6"/>
    <w:rsid w:val="00FC2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2820A4"/>
  <w15:docId w15:val="{F1D6699C-BE0F-4D93-AF0A-68090711B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1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F89"/>
    <w:pPr>
      <w:ind w:left="720"/>
      <w:contextualSpacing/>
    </w:pPr>
  </w:style>
  <w:style w:type="paragraph" w:styleId="ListBullet">
    <w:name w:val="List Bullet"/>
    <w:basedOn w:val="Normal"/>
    <w:uiPriority w:val="99"/>
    <w:semiHidden/>
    <w:unhideWhenUsed/>
    <w:rsid w:val="00D228E9"/>
    <w:pPr>
      <w:numPr>
        <w:numId w:val="1"/>
      </w:numPr>
      <w:contextualSpacing/>
    </w:pPr>
  </w:style>
  <w:style w:type="paragraph" w:styleId="ListBullet2">
    <w:name w:val="List Bullet 2"/>
    <w:basedOn w:val="Normal"/>
    <w:uiPriority w:val="99"/>
    <w:semiHidden/>
    <w:unhideWhenUsed/>
    <w:rsid w:val="00D228E9"/>
    <w:pPr>
      <w:numPr>
        <w:numId w:val="2"/>
      </w:numPr>
      <w:contextualSpacing/>
    </w:pPr>
  </w:style>
  <w:style w:type="paragraph" w:styleId="ListBullet3">
    <w:name w:val="List Bullet 3"/>
    <w:basedOn w:val="Normal"/>
    <w:uiPriority w:val="99"/>
    <w:semiHidden/>
    <w:unhideWhenUsed/>
    <w:rsid w:val="00D228E9"/>
    <w:pPr>
      <w:numPr>
        <w:numId w:val="3"/>
      </w:numPr>
      <w:contextualSpacing/>
    </w:pPr>
  </w:style>
  <w:style w:type="paragraph" w:styleId="ListBullet4">
    <w:name w:val="List Bullet 4"/>
    <w:basedOn w:val="Normal"/>
    <w:uiPriority w:val="99"/>
    <w:semiHidden/>
    <w:unhideWhenUsed/>
    <w:rsid w:val="00D228E9"/>
    <w:pPr>
      <w:numPr>
        <w:numId w:val="4"/>
      </w:numPr>
      <w:contextualSpacing/>
    </w:pPr>
  </w:style>
  <w:style w:type="character" w:styleId="CommentReference">
    <w:name w:val="annotation reference"/>
    <w:basedOn w:val="DefaultParagraphFont"/>
    <w:uiPriority w:val="99"/>
    <w:semiHidden/>
    <w:unhideWhenUsed/>
    <w:rsid w:val="00D228E9"/>
    <w:rPr>
      <w:sz w:val="16"/>
      <w:szCs w:val="16"/>
    </w:rPr>
  </w:style>
  <w:style w:type="paragraph" w:styleId="CommentText">
    <w:name w:val="annotation text"/>
    <w:basedOn w:val="Normal"/>
    <w:link w:val="CommentTextChar"/>
    <w:uiPriority w:val="99"/>
    <w:semiHidden/>
    <w:unhideWhenUsed/>
    <w:rsid w:val="00D228E9"/>
    <w:rPr>
      <w:sz w:val="20"/>
      <w:szCs w:val="20"/>
    </w:rPr>
  </w:style>
  <w:style w:type="character" w:customStyle="1" w:styleId="CommentTextChar">
    <w:name w:val="Comment Text Char"/>
    <w:basedOn w:val="DefaultParagraphFont"/>
    <w:link w:val="CommentText"/>
    <w:uiPriority w:val="99"/>
    <w:semiHidden/>
    <w:rsid w:val="00D228E9"/>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228E9"/>
    <w:rPr>
      <w:b/>
      <w:bCs/>
    </w:rPr>
  </w:style>
  <w:style w:type="character" w:customStyle="1" w:styleId="CommentSubjectChar">
    <w:name w:val="Comment Subject Char"/>
    <w:basedOn w:val="CommentTextChar"/>
    <w:link w:val="CommentSubject"/>
    <w:uiPriority w:val="99"/>
    <w:semiHidden/>
    <w:rsid w:val="00D228E9"/>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D228E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8E9"/>
    <w:rPr>
      <w:rFonts w:ascii="Segoe UI" w:hAnsi="Segoe UI" w:cs="Segoe UI"/>
      <w:sz w:val="18"/>
      <w:szCs w:val="18"/>
      <w:lang w:val="en-GB"/>
    </w:rPr>
  </w:style>
  <w:style w:type="paragraph" w:styleId="Revision">
    <w:name w:val="Revision"/>
    <w:hidden/>
    <w:uiPriority w:val="99"/>
    <w:semiHidden/>
    <w:rsid w:val="00D228E9"/>
    <w:pPr>
      <w:spacing w:after="0" w:line="240" w:lineRule="auto"/>
    </w:pPr>
    <w:rPr>
      <w:rFonts w:ascii="Times New Roman" w:hAnsi="Times New Roman" w:cs="Times New Roman"/>
      <w:sz w:val="24"/>
      <w:lang w:val="en-GB"/>
    </w:rPr>
  </w:style>
  <w:style w:type="paragraph" w:styleId="Caption">
    <w:name w:val="caption"/>
    <w:basedOn w:val="Normal"/>
    <w:next w:val="Normal"/>
    <w:uiPriority w:val="35"/>
    <w:semiHidden/>
    <w:unhideWhenUsed/>
    <w:qFormat/>
    <w:rsid w:val="00505DB4"/>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505DB4"/>
    <w:pPr>
      <w:spacing w:after="0"/>
    </w:pPr>
  </w:style>
  <w:style w:type="paragraph" w:styleId="ListNumber">
    <w:name w:val="List Number"/>
    <w:basedOn w:val="Normal"/>
    <w:uiPriority w:val="99"/>
    <w:semiHidden/>
    <w:unhideWhenUsed/>
    <w:rsid w:val="00505DB4"/>
    <w:pPr>
      <w:numPr>
        <w:numId w:val="6"/>
      </w:numPr>
      <w:contextualSpacing/>
    </w:pPr>
  </w:style>
  <w:style w:type="paragraph" w:styleId="ListNumber2">
    <w:name w:val="List Number 2"/>
    <w:basedOn w:val="Normal"/>
    <w:uiPriority w:val="99"/>
    <w:semiHidden/>
    <w:unhideWhenUsed/>
    <w:rsid w:val="00505DB4"/>
    <w:pPr>
      <w:numPr>
        <w:numId w:val="7"/>
      </w:numPr>
      <w:contextualSpacing/>
    </w:pPr>
  </w:style>
  <w:style w:type="paragraph" w:styleId="ListNumber3">
    <w:name w:val="List Number 3"/>
    <w:basedOn w:val="Normal"/>
    <w:uiPriority w:val="99"/>
    <w:semiHidden/>
    <w:unhideWhenUsed/>
    <w:rsid w:val="00505DB4"/>
    <w:pPr>
      <w:numPr>
        <w:numId w:val="8"/>
      </w:numPr>
      <w:contextualSpacing/>
    </w:pPr>
  </w:style>
  <w:style w:type="paragraph" w:styleId="ListNumber4">
    <w:name w:val="List Number 4"/>
    <w:basedOn w:val="Normal"/>
    <w:uiPriority w:val="99"/>
    <w:semiHidden/>
    <w:unhideWhenUsed/>
    <w:rsid w:val="00505DB4"/>
    <w:pPr>
      <w:numPr>
        <w:numId w:val="9"/>
      </w:numPr>
      <w:contextualSpacing/>
    </w:pPr>
  </w:style>
  <w:style w:type="paragraph" w:styleId="Header">
    <w:name w:val="header"/>
    <w:basedOn w:val="Normal"/>
    <w:link w:val="HeaderChar"/>
    <w:uiPriority w:val="99"/>
    <w:unhideWhenUsed/>
    <w:rsid w:val="003C6C4D"/>
    <w:pPr>
      <w:tabs>
        <w:tab w:val="center" w:pos="4535"/>
        <w:tab w:val="right" w:pos="9071"/>
      </w:tabs>
      <w:spacing w:before="0"/>
    </w:pPr>
  </w:style>
  <w:style w:type="character" w:customStyle="1" w:styleId="HeaderChar">
    <w:name w:val="Header Char"/>
    <w:basedOn w:val="DefaultParagraphFont"/>
    <w:link w:val="Header"/>
    <w:uiPriority w:val="99"/>
    <w:rsid w:val="003C6C4D"/>
    <w:rPr>
      <w:rFonts w:ascii="Times New Roman" w:hAnsi="Times New Roman" w:cs="Times New Roman"/>
      <w:sz w:val="24"/>
      <w:lang w:val="en-GB"/>
    </w:rPr>
  </w:style>
  <w:style w:type="paragraph" w:styleId="Footer">
    <w:name w:val="footer"/>
    <w:basedOn w:val="Normal"/>
    <w:link w:val="FooterChar"/>
    <w:uiPriority w:val="99"/>
    <w:unhideWhenUsed/>
    <w:rsid w:val="003C6C4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3C6C4D"/>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3C6C4D"/>
    <w:pPr>
      <w:tabs>
        <w:tab w:val="center" w:pos="7285"/>
        <w:tab w:val="right" w:pos="14003"/>
      </w:tabs>
      <w:spacing w:before="0"/>
    </w:pPr>
  </w:style>
  <w:style w:type="paragraph" w:customStyle="1" w:styleId="FooterLandscape">
    <w:name w:val="FooterLandscape"/>
    <w:basedOn w:val="Normal"/>
    <w:rsid w:val="003C6C4D"/>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3C6C4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3C6C4D"/>
    <w:pPr>
      <w:spacing w:before="0"/>
      <w:jc w:val="right"/>
    </w:pPr>
    <w:rPr>
      <w:sz w:val="28"/>
    </w:rPr>
  </w:style>
  <w:style w:type="paragraph" w:customStyle="1" w:styleId="FooterSensitivity">
    <w:name w:val="Footer Sensitivity"/>
    <w:basedOn w:val="Normal"/>
    <w:rsid w:val="003C6C4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Tiret5">
    <w:name w:val="Tiret 5"/>
    <w:basedOn w:val="Point5"/>
    <w:pPr>
      <w:numPr>
        <w:numId w:val="1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7"/>
      </w:numPr>
    </w:pPr>
  </w:style>
  <w:style w:type="paragraph" w:customStyle="1" w:styleId="NumPar2">
    <w:name w:val="NumPar 2"/>
    <w:basedOn w:val="Normal"/>
    <w:next w:val="Text1"/>
    <w:pPr>
      <w:numPr>
        <w:ilvl w:val="1"/>
        <w:numId w:val="17"/>
      </w:numPr>
    </w:pPr>
  </w:style>
  <w:style w:type="paragraph" w:customStyle="1" w:styleId="NumPar3">
    <w:name w:val="NumPar 3"/>
    <w:basedOn w:val="Normal"/>
    <w:next w:val="Text1"/>
    <w:pPr>
      <w:numPr>
        <w:ilvl w:val="2"/>
        <w:numId w:val="17"/>
      </w:numPr>
    </w:pPr>
  </w:style>
  <w:style w:type="paragraph" w:customStyle="1" w:styleId="NumPar4">
    <w:name w:val="NumPar 4"/>
    <w:basedOn w:val="Normal"/>
    <w:next w:val="Text1"/>
    <w:pPr>
      <w:numPr>
        <w:ilvl w:val="3"/>
        <w:numId w:val="17"/>
      </w:numPr>
    </w:pPr>
  </w:style>
  <w:style w:type="paragraph" w:customStyle="1" w:styleId="NumPar5">
    <w:name w:val="NumPar 5"/>
    <w:basedOn w:val="Normal"/>
    <w:next w:val="Text2"/>
    <w:pPr>
      <w:numPr>
        <w:ilvl w:val="4"/>
        <w:numId w:val="17"/>
      </w:numPr>
    </w:pPr>
  </w:style>
  <w:style w:type="paragraph" w:customStyle="1" w:styleId="NumPar6">
    <w:name w:val="NumPar 6"/>
    <w:basedOn w:val="Normal"/>
    <w:next w:val="Text2"/>
    <w:pPr>
      <w:numPr>
        <w:ilvl w:val="5"/>
        <w:numId w:val="17"/>
      </w:numPr>
    </w:pPr>
  </w:style>
  <w:style w:type="paragraph" w:customStyle="1" w:styleId="NumPar7">
    <w:name w:val="NumPar 7"/>
    <w:basedOn w:val="Normal"/>
    <w:next w:val="Text2"/>
    <w:pPr>
      <w:numPr>
        <w:ilvl w:val="6"/>
        <w:numId w:val="1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9"/>
      </w:numPr>
    </w:pPr>
  </w:style>
  <w:style w:type="paragraph" w:customStyle="1" w:styleId="Point1number">
    <w:name w:val="Point 1 (number)"/>
    <w:basedOn w:val="Normal"/>
    <w:pPr>
      <w:numPr>
        <w:ilvl w:val="2"/>
        <w:numId w:val="19"/>
      </w:numPr>
    </w:pPr>
  </w:style>
  <w:style w:type="paragraph" w:customStyle="1" w:styleId="Point2number">
    <w:name w:val="Point 2 (number)"/>
    <w:basedOn w:val="Normal"/>
    <w:pPr>
      <w:numPr>
        <w:ilvl w:val="4"/>
        <w:numId w:val="19"/>
      </w:numPr>
    </w:pPr>
  </w:style>
  <w:style w:type="paragraph" w:customStyle="1" w:styleId="Point3number">
    <w:name w:val="Point 3 (number)"/>
    <w:basedOn w:val="Normal"/>
    <w:pPr>
      <w:numPr>
        <w:ilvl w:val="6"/>
        <w:numId w:val="19"/>
      </w:numPr>
    </w:pPr>
  </w:style>
  <w:style w:type="paragraph" w:customStyle="1" w:styleId="Point0letter">
    <w:name w:val="Point 0 (letter)"/>
    <w:basedOn w:val="Normal"/>
    <w:pPr>
      <w:numPr>
        <w:ilvl w:val="1"/>
        <w:numId w:val="19"/>
      </w:numPr>
    </w:pPr>
  </w:style>
  <w:style w:type="paragraph" w:customStyle="1" w:styleId="Point1letter">
    <w:name w:val="Point 1 (letter)"/>
    <w:basedOn w:val="Normal"/>
    <w:pPr>
      <w:numPr>
        <w:ilvl w:val="3"/>
        <w:numId w:val="19"/>
      </w:numPr>
    </w:pPr>
  </w:style>
  <w:style w:type="paragraph" w:customStyle="1" w:styleId="Point2letter">
    <w:name w:val="Point 2 (letter)"/>
    <w:basedOn w:val="Normal"/>
    <w:pPr>
      <w:numPr>
        <w:ilvl w:val="5"/>
        <w:numId w:val="19"/>
      </w:numPr>
    </w:pPr>
  </w:style>
  <w:style w:type="paragraph" w:customStyle="1" w:styleId="Point3letter">
    <w:name w:val="Point 3 (letter)"/>
    <w:basedOn w:val="Normal"/>
    <w:pPr>
      <w:numPr>
        <w:ilvl w:val="7"/>
        <w:numId w:val="19"/>
      </w:numPr>
    </w:pPr>
  </w:style>
  <w:style w:type="paragraph" w:customStyle="1" w:styleId="Point4letter">
    <w:name w:val="Point 4 (letter)"/>
    <w:basedOn w:val="Normal"/>
    <w:pPr>
      <w:numPr>
        <w:ilvl w:val="8"/>
        <w:numId w:val="19"/>
      </w:numPr>
    </w:pPr>
  </w:style>
  <w:style w:type="paragraph" w:customStyle="1" w:styleId="Bullet0">
    <w:name w:val="Bullet 0"/>
    <w:basedOn w:val="Normal"/>
    <w:pPr>
      <w:numPr>
        <w:numId w:val="20"/>
      </w:numPr>
    </w:pPr>
  </w:style>
  <w:style w:type="paragraph" w:customStyle="1" w:styleId="Bullet1">
    <w:name w:val="Bullet 1"/>
    <w:basedOn w:val="Normal"/>
    <w:pPr>
      <w:numPr>
        <w:numId w:val="21"/>
      </w:numPr>
    </w:pPr>
  </w:style>
  <w:style w:type="paragraph" w:customStyle="1" w:styleId="Bullet2">
    <w:name w:val="Bullet 2"/>
    <w:basedOn w:val="Normal"/>
    <w:pPr>
      <w:numPr>
        <w:numId w:val="22"/>
      </w:numPr>
    </w:pPr>
  </w:style>
  <w:style w:type="paragraph" w:customStyle="1" w:styleId="Bullet3">
    <w:name w:val="Bullet 3"/>
    <w:basedOn w:val="Normal"/>
    <w:pPr>
      <w:numPr>
        <w:numId w:val="23"/>
      </w:numPr>
    </w:pPr>
  </w:style>
  <w:style w:type="paragraph" w:customStyle="1" w:styleId="Bullet4">
    <w:name w:val="Bullet 4"/>
    <w:basedOn w:val="Normal"/>
    <w:pPr>
      <w:numPr>
        <w:numId w:val="2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29714">
      <w:bodyDiv w:val="1"/>
      <w:marLeft w:val="0"/>
      <w:marRight w:val="0"/>
      <w:marTop w:val="0"/>
      <w:marBottom w:val="0"/>
      <w:divBdr>
        <w:top w:val="none" w:sz="0" w:space="0" w:color="auto"/>
        <w:left w:val="none" w:sz="0" w:space="0" w:color="auto"/>
        <w:bottom w:val="none" w:sz="0" w:space="0" w:color="auto"/>
        <w:right w:val="none" w:sz="0" w:space="0" w:color="auto"/>
      </w:divBdr>
    </w:div>
    <w:div w:id="51454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5B997-2EEA-4CE0-910D-841DC00DF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5</TotalTime>
  <Pages>6</Pages>
  <Words>1271</Words>
  <Characters>7275</Characters>
  <Application>Microsoft Office Word</Application>
  <DocSecurity>0</DocSecurity>
  <Lines>145</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39</cp:revision>
  <dcterms:created xsi:type="dcterms:W3CDTF">2022-10-10T07:55:00Z</dcterms:created>
  <dcterms:modified xsi:type="dcterms:W3CDTF">2022-10-31T09:35:00Z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8.1, Build 20220902</vt:lpwstr>
  </property>
  <property fmtid="{D5CDD505-2E9C-101B-9397-08002B2CF9AE}" pid="5" name="Created using">
    <vt:lpwstr>LW 8.0, Build 20220128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MSIP_Label_6bd9ddd1-4d20-43f6-abfa-fc3c07406f94_Enabled">
    <vt:lpwstr>true</vt:lpwstr>
  </property>
  <property fmtid="{D5CDD505-2E9C-101B-9397-08002B2CF9AE}" pid="11" name="MSIP_Label_6bd9ddd1-4d20-43f6-abfa-fc3c07406f94_SetDate">
    <vt:lpwstr>2022-06-22T12:21:35Z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215b6464-b647-43f2-a71d-ecb13d2a589f</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