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alt="CD38936E-C76E-45E8-A7F6-F9EBBF07679B" style="width:450.4pt;height:370.05pt">
            <v:imagedata r:id="rId8" o:title=""/>
          </v:shape>
        </w:pict>
      </w:r>
    </w:p>
    <w:p>
      <w:pPr>
        <w:rPr>
          <w:noProof/>
        </w:rPr>
        <w:sectPr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pStyle w:val="Annexetitre"/>
        <w:rPr>
          <w:noProof/>
        </w:rPr>
      </w:pPr>
      <w:bookmarkStart w:id="0" w:name="_GoBack"/>
      <w:bookmarkEnd w:id="0"/>
      <w:r>
        <w:rPr>
          <w:noProof/>
        </w:rPr>
        <w:lastRenderedPageBreak/>
        <w:t>ANEXĂ</w:t>
      </w:r>
      <w:r>
        <w:rPr>
          <w:noProof/>
        </w:rPr>
        <w:br/>
      </w:r>
      <w:r>
        <w:rPr>
          <w:noProof/>
        </w:rPr>
        <w:br/>
        <w:t>Tabelul cadrului financiar multianual</w:t>
      </w:r>
    </w:p>
    <w:p>
      <w:pPr>
        <w:rPr>
          <w:noProof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5402"/>
        <w:gridCol w:w="1098"/>
        <w:gridCol w:w="1240"/>
        <w:gridCol w:w="1240"/>
        <w:gridCol w:w="1240"/>
        <w:gridCol w:w="1240"/>
        <w:gridCol w:w="1240"/>
        <w:gridCol w:w="1240"/>
        <w:gridCol w:w="1240"/>
      </w:tblGrid>
      <w:tr>
        <w:trPr>
          <w:trHeight w:val="375"/>
        </w:trPr>
        <w:tc>
          <w:tcPr>
            <w:tcW w:w="151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i/>
                <w:iCs/>
                <w:noProof/>
                <w:sz w:val="20"/>
                <w:szCs w:val="20"/>
              </w:rPr>
            </w:pPr>
            <w:r>
              <w:rPr>
                <w:rFonts w:ascii="Arial" w:hAnsi="Arial"/>
                <w:i/>
                <w:noProof/>
                <w:sz w:val="20"/>
              </w:rPr>
              <w:t>(milioane EUR – prețuri din 2018)</w:t>
            </w:r>
          </w:p>
        </w:tc>
      </w:tr>
      <w:tr>
        <w:trPr>
          <w:trHeight w:val="615"/>
        </w:trPr>
        <w:tc>
          <w:tcPr>
            <w:tcW w:w="5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Credite de angajament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2022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2023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2024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2025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2026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0" w:after="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2027</w:t>
            </w: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>
            <w:pPr>
              <w:spacing w:before="0" w:after="0"/>
              <w:jc w:val="center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  <w:br/>
            </w:r>
            <w:r>
              <w:rPr>
                <w:rFonts w:ascii="Arial" w:hAnsi="Arial"/>
                <w:b/>
                <w:noProof/>
                <w:sz w:val="20"/>
              </w:rPr>
              <w:t>2021-2027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1. Piața unică, inovare și sectorul digital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23 955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23 918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24 203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23 624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23 505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23 644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23 454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166 303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 xml:space="preserve">2. Coeziune și valori 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51 444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54 171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56</w:t>
            </w:r>
            <w:r>
              <w:rPr>
                <w:rFonts w:ascii="Arial" w:hAnsi="Arial"/>
                <w:noProof/>
                <w:sz w:val="20"/>
              </w:rPr>
              <w:t> </w:t>
            </w:r>
            <w:r>
              <w:rPr>
                <w:rFonts w:ascii="Arial" w:hAnsi="Arial"/>
                <w:b/>
                <w:noProof/>
                <w:sz w:val="20"/>
              </w:rPr>
              <w:t>062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56 600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57 148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59 200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57 349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391 974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din care: Coeziune economică, socială și teritorială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45 597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46 091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46 650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47 212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47 776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48 348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48 968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330 642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3. Resurse naturale și mediu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50 323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49 580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48 886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48 097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47 326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46 575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45 836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336 623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din care: Cheltuieli de piață și plăți directe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37 976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37 441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36 946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36 346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35 756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35 176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34 606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254 247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4. Migrație și gestionarea frontierelor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3 076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4 219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4 414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4 647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4 719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4 846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4 908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30 829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5. Securitate și apărare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3 154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3 229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3 183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3 281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3 517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3 743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4 216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24 323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6. Vecinătate și întreaga lume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14 765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14 831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15 002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15 290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15 711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16 298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17 032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108 929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7. Administrația publică europeană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10 388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10 518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10 705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10 864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10 910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11 052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11 165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75 602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din care: Cheltuieli administrative ale instituțiilor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8 128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8 201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8 330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8 432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8 412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8 493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8 551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58 547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TOTAL CREDITE DE ANGAJAMENT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157 105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160 466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162 455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162 403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162 836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165 358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163 960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1 134 583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ca procentaj din VNB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1,12 %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1,13 %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1,13 %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1,12 %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1,11 %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1,11 %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1,09 %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1,11 %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</w:p>
        </w:tc>
      </w:tr>
      <w:tr>
        <w:trPr>
          <w:trHeight w:val="300"/>
        </w:trPr>
        <w:tc>
          <w:tcPr>
            <w:tcW w:w="540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TOTAL CREDITE DE PLATĂ</w:t>
            </w:r>
          </w:p>
        </w:tc>
        <w:tc>
          <w:tcPr>
            <w:tcW w:w="109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150 168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151 482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160 631</w:t>
            </w:r>
          </w:p>
        </w:tc>
        <w:tc>
          <w:tcPr>
            <w:tcW w:w="12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rFonts w:ascii="Arial" w:hAnsi="Arial"/>
                <w:b/>
                <w:noProof/>
                <w:sz w:val="20"/>
              </w:rPr>
              <w:t>1 104 805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ca procentaj din VNB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1,07 %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1,07 %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1,12 %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1,10 %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1,08 %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1,07 %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1,08 %</w:t>
            </w:r>
          </w:p>
        </w:tc>
      </w:tr>
      <w:tr>
        <w:trPr>
          <w:trHeight w:val="300"/>
        </w:trPr>
        <w:tc>
          <w:tcPr>
            <w:tcW w:w="540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Marja disponibilă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0,22 %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0,22 %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0,17 %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0,19 %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0,20 %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0,21 %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0,22 %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0,21 %</w:t>
            </w:r>
          </w:p>
        </w:tc>
      </w:tr>
      <w:tr>
        <w:trPr>
          <w:trHeight w:val="315"/>
        </w:trPr>
        <w:tc>
          <w:tcPr>
            <w:tcW w:w="54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Plafonul resurselor proprii ca procentaj din VNB (*)</w:t>
            </w:r>
          </w:p>
        </w:tc>
        <w:tc>
          <w:tcPr>
            <w:tcW w:w="109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  <w:tc>
          <w:tcPr>
            <w:tcW w:w="1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spacing w:before="20" w:after="20"/>
              <w:jc w:val="right"/>
              <w:rPr>
                <w:rFonts w:ascii="Arial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>1,29 %</w:t>
            </w:r>
          </w:p>
        </w:tc>
      </w:tr>
      <w:tr>
        <w:trPr>
          <w:trHeight w:val="315"/>
        </w:trPr>
        <w:tc>
          <w:tcPr>
            <w:tcW w:w="15180" w:type="dxa"/>
            <w:gridSpan w:val="9"/>
            <w:tcBorders>
              <w:top w:val="single" w:sz="8" w:space="0" w:color="auto"/>
            </w:tcBorders>
            <w:shd w:val="clear" w:color="auto" w:fill="auto"/>
            <w:noWrap/>
            <w:vAlign w:val="center"/>
          </w:tcPr>
          <w:p>
            <w:pPr>
              <w:spacing w:before="0" w:after="0"/>
              <w:jc w:val="left"/>
              <w:rPr>
                <w:rFonts w:ascii="Arial" w:eastAsia="Times New Roman" w:hAnsi="Arial" w:cs="Arial"/>
                <w:noProof/>
                <w:sz w:val="20"/>
                <w:szCs w:val="20"/>
              </w:rPr>
            </w:pPr>
            <w:r>
              <w:rPr>
                <w:rFonts w:ascii="Arial" w:hAnsi="Arial"/>
                <w:noProof/>
                <w:sz w:val="20"/>
              </w:rPr>
              <w:t xml:space="preserve">(*) </w:t>
            </w:r>
            <w:r>
              <w:rPr>
                <w:rFonts w:ascii="Arial" w:hAnsi="Arial"/>
                <w:noProof/>
                <w:sz w:val="18"/>
              </w:rPr>
              <w:t>Aceste procentaje nu aduc atingere plafonului stabilit în Decizia privind resursele proprii aflată în vigoare.</w:t>
            </w:r>
          </w:p>
        </w:tc>
      </w:tr>
    </w:tbl>
    <w:p>
      <w:pPr>
        <w:rPr>
          <w:noProof/>
        </w:rPr>
      </w:pPr>
    </w:p>
    <w:sectPr>
      <w:headerReference w:type="default" r:id="rId15"/>
      <w:footerReference w:type="default" r:id="rId16"/>
      <w:headerReference w:type="first" r:id="rId17"/>
      <w:footerReference w:type="first" r:id="rId18"/>
      <w:pgSz w:w="16839" w:h="11907" w:orient="landscape"/>
      <w:pgMar w:top="1417" w:right="1134" w:bottom="141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RO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tab/>
    </w:r>
    <w:r>
      <w:rPr>
        <w:rFonts w:ascii="Arial" w:hAnsi="Arial" w:cs="Arial"/>
        <w:b/>
        <w:sz w:val="48"/>
      </w:rPr>
      <w:t>RO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andscap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RO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  <w:r>
      <w:tab/>
    </w:r>
    <w:r>
      <w:tab/>
    </w:r>
    <w:r>
      <w:rPr>
        <w:rFonts w:ascii="Arial" w:hAnsi="Arial" w:cs="Arial"/>
        <w:b/>
        <w:sz w:val="48"/>
      </w:rPr>
      <w:t>RO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andscap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andscape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andscap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884EB50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7A7C8D2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157464F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5C8E358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614AD92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C21AEA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0D0494F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D5FA88E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 w:numId="23">
    <w:abstractNumId w:val="18"/>
  </w:num>
  <w:num w:numId="24">
    <w:abstractNumId w:val="12"/>
  </w:num>
  <w:num w:numId="25">
    <w:abstractNumId w:val="20"/>
  </w:num>
  <w:num w:numId="26">
    <w:abstractNumId w:val="11"/>
  </w:num>
  <w:num w:numId="27">
    <w:abstractNumId w:val="13"/>
  </w:num>
  <w:num w:numId="28">
    <w:abstractNumId w:val="9"/>
  </w:num>
  <w:num w:numId="29">
    <w:abstractNumId w:val="19"/>
  </w:num>
  <w:num w:numId="30">
    <w:abstractNumId w:val="8"/>
  </w:num>
  <w:num w:numId="31">
    <w:abstractNumId w:val="14"/>
  </w:num>
  <w:num w:numId="32">
    <w:abstractNumId w:val="16"/>
  </w:num>
  <w:num w:numId="33">
    <w:abstractNumId w:val="17"/>
  </w:num>
  <w:num w:numId="34">
    <w:abstractNumId w:val="10"/>
  </w:num>
  <w:num w:numId="35">
    <w:abstractNumId w:val="15"/>
  </w:num>
  <w:num w:numId="36">
    <w:abstractNumId w:val="21"/>
  </w:num>
  <w:num w:numId="37">
    <w:abstractNumId w:val="18"/>
  </w:num>
  <w:num w:numId="38">
    <w:abstractNumId w:val="12"/>
  </w:num>
  <w:num w:numId="39">
    <w:abstractNumId w:val="20"/>
  </w:num>
  <w:num w:numId="40">
    <w:abstractNumId w:val="11"/>
  </w:num>
  <w:num w:numId="41">
    <w:abstractNumId w:val="13"/>
  </w:num>
  <w:num w:numId="42">
    <w:abstractNumId w:val="9"/>
  </w:num>
  <w:num w:numId="43">
    <w:abstractNumId w:val="19"/>
  </w:num>
  <w:num w:numId="44">
    <w:abstractNumId w:val="8"/>
  </w:num>
  <w:num w:numId="45">
    <w:abstractNumId w:val="14"/>
  </w:num>
  <w:num w:numId="46">
    <w:abstractNumId w:val="16"/>
  </w:num>
  <w:num w:numId="47">
    <w:abstractNumId w:val="17"/>
  </w:num>
  <w:num w:numId="48">
    <w:abstractNumId w:val="10"/>
  </w:num>
  <w:num w:numId="49">
    <w:abstractNumId w:val="15"/>
  </w:num>
  <w:num w:numId="50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90"/>
  <w:hideSpellingErrors/>
  <w:hideGrammaticalErrors/>
  <w:attachedTemplate r:id="rId1"/>
  <w:revisionView w:markup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QCDateTime" w:val="2018-05-04 18:10:13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1"/>
    <w:docVar w:name="DQCResult_UnknownFonts" w:val="0;0"/>
    <w:docVar w:name="DQCResult_UnknownStyles" w:val="0;0"/>
    <w:docVar w:name="DQCStatus" w:val="Green"/>
    <w:docVar w:name="DQCVersion" w:val="3"/>
    <w:docVar w:name="DQCWithWarnings" w:val="0"/>
    <w:docVar w:name="LW_ACCOMPAGNANT" w:val="la propunerea de"/>
    <w:docVar w:name="LW_ACCOMPAGNANT.CP" w:val="la propunerea de"/>
    <w:docVar w:name="LW_ANNEX_NBR_FIRST" w:val="1"/>
    <w:docVar w:name="LW_ANNEX_NBR_LAST" w:val="1"/>
    <w:docVar w:name="LW_ANNEX_UNIQUE" w:val="1"/>
    <w:docVar w:name="LW_CORRIGENDUM" w:val="&lt;UNUSED&gt;"/>
    <w:docVar w:name="LW_COVERPAGE_EXISTS" w:val="True"/>
    <w:docVar w:name="LW_COVERPAGE_GUID" w:val="CD38936E-C76E-45E8-A7F6-F9EBBF07679B"/>
    <w:docVar w:name="LW_COVERPAGE_TYPE" w:val="1"/>
    <w:docVar w:name="LW_CROSSREFERENCE" w:val="&lt;UNUSED&gt;"/>
    <w:docVar w:name="LW_DocType" w:val="ANNEX"/>
    <w:docVar w:name="LW_EMISSION" w:val="2.5.2018"/>
    <w:docVar w:name="LW_EMISSION_ISODATE" w:val="2018-05-02"/>
    <w:docVar w:name="LW_EMISSION_LOCATION" w:val="BRX"/>
    <w:docVar w:name="LW_EMISSION_PREFIX" w:val="Bruxelles, "/>
    <w:docVar w:name="LW_EMISSION_SUFFIX" w:val="&lt;EMPTY&gt;"/>
    <w:docVar w:name="LW_ID_DOCSTRUCTURE" w:val="COM/ANNEX"/>
    <w:docVar w:name="LW_ID_DOCTYPE" w:val="SG-017"/>
    <w:docVar w:name="LW_LANGUE" w:val="RO"/>
    <w:docVar w:name="LW_LEVEL_OF_SENSITIVITY" w:val="Standard treatment"/>
    <w:docVar w:name="LW_NOM.INST" w:val="COMISIA EUROPEAN\u258?"/>
    <w:docVar w:name="LW_NOM.INST_JOINTDOC" w:val="&lt;EMPTY&gt;"/>
    <w:docVar w:name="LW_OBJETACTEPRINCIPAL" w:val="de stabilire a cadrului financiar multianual pentru perioada 2021-2027"/>
    <w:docVar w:name="LW_OBJETACTEPRINCIPAL.CP" w:val="de stabilire a cadrului financiar multianual pentru perioada 2021-2027"/>
    <w:docVar w:name="LW_PART_NBR" w:val="1"/>
    <w:docVar w:name="LW_PART_NBR_TOTAL" w:val="1"/>
    <w:docVar w:name="LW_REF.INST.NEW" w:val="COM"/>
    <w:docVar w:name="LW_REF.INST.NEW_ADOPTED" w:val="final"/>
    <w:docVar w:name="LW_REF.INST.NEW_TEXT" w:val="(2018) 322"/>
    <w:docVar w:name="LW_REF.INTERNE" w:val="&lt;UNUSED&gt;"/>
    <w:docVar w:name="LW_SENSITIVITY" w:val="&lt;?xml version=&quot;1.0&quot; encoding=&quot;utf-8&quot;?&gt;_x000d__x000a_&lt;SensitivityLevel xmlns:xsi=&quot;http://www.w3.org/2001/XMLSchema-instance&quot; xmlns:xsd=&quot;http://www.w3.org/2001/XMLSchema&quot; id=&quot;standard&quot;&gt;_x000d__x000a_  &lt;nicename EN=&quot;Standard treatment&quot; FR=&quot;Traitement standard&quot; /&gt;_x000d__x000a_  &lt;documentProperty&gt;Standard treatment&lt;/documentProperty&gt;_x000d__x000a_  &lt;marking xsi:nil=&quot;true&quot; /&gt;_x000d__x000a_  &lt;limited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footnote xsi:nil=&quot;true&quot; /&gt;_x000d__x000a_  &lt;isRestricted&gt;false&lt;/isRestricted&gt;_x000d__x000a_&lt;/SensitivityLevel&gt;"/>
    <w:docVar w:name="LW_SUPERTITRE" w:val="&lt;UNUSED&gt;"/>
    <w:docVar w:name="LW_TYPE.DOC" w:val="ANEX\u258?"/>
    <w:docVar w:name="LW_TYPE.DOC.CP" w:val="ANEX\u258?"/>
    <w:docVar w:name="LW_TYPEACTEPRINCIPAL" w:val="REGULAMENT AL CONSILIULUI"/>
    <w:docVar w:name="LW_TYPEACTEPRINCIPAL.CP" w:val="REGULAMENT AL CONSILIULUI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ro-RO" w:bidi="ro-RO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4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4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4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43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37"/>
      </w:numPr>
    </w:pPr>
  </w:style>
  <w:style w:type="paragraph" w:customStyle="1" w:styleId="Tiret1">
    <w:name w:val="Tiret 1"/>
    <w:basedOn w:val="Point1"/>
    <w:pPr>
      <w:numPr>
        <w:numId w:val="38"/>
      </w:numPr>
    </w:pPr>
  </w:style>
  <w:style w:type="paragraph" w:customStyle="1" w:styleId="Tiret2">
    <w:name w:val="Tiret 2"/>
    <w:basedOn w:val="Point2"/>
    <w:pPr>
      <w:numPr>
        <w:numId w:val="39"/>
      </w:numPr>
    </w:pPr>
  </w:style>
  <w:style w:type="paragraph" w:customStyle="1" w:styleId="Tiret3">
    <w:name w:val="Tiret 3"/>
    <w:basedOn w:val="Point3"/>
    <w:pPr>
      <w:numPr>
        <w:numId w:val="40"/>
      </w:numPr>
    </w:pPr>
  </w:style>
  <w:style w:type="paragraph" w:customStyle="1" w:styleId="Tiret4">
    <w:name w:val="Tiret 4"/>
    <w:basedOn w:val="Point4"/>
    <w:pPr>
      <w:numPr>
        <w:numId w:val="4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4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4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4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4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44"/>
      </w:numPr>
    </w:pPr>
  </w:style>
  <w:style w:type="paragraph" w:customStyle="1" w:styleId="Point1number">
    <w:name w:val="Point 1 (number)"/>
    <w:basedOn w:val="Normal"/>
    <w:pPr>
      <w:numPr>
        <w:ilvl w:val="2"/>
        <w:numId w:val="44"/>
      </w:numPr>
    </w:pPr>
  </w:style>
  <w:style w:type="paragraph" w:customStyle="1" w:styleId="Point2number">
    <w:name w:val="Point 2 (number)"/>
    <w:basedOn w:val="Normal"/>
    <w:pPr>
      <w:numPr>
        <w:ilvl w:val="4"/>
        <w:numId w:val="44"/>
      </w:numPr>
    </w:pPr>
  </w:style>
  <w:style w:type="paragraph" w:customStyle="1" w:styleId="Point3number">
    <w:name w:val="Point 3 (number)"/>
    <w:basedOn w:val="Normal"/>
    <w:pPr>
      <w:numPr>
        <w:ilvl w:val="6"/>
        <w:numId w:val="44"/>
      </w:numPr>
    </w:pPr>
  </w:style>
  <w:style w:type="paragraph" w:customStyle="1" w:styleId="Point0letter">
    <w:name w:val="Point 0 (letter)"/>
    <w:basedOn w:val="Normal"/>
    <w:pPr>
      <w:numPr>
        <w:ilvl w:val="1"/>
        <w:numId w:val="44"/>
      </w:numPr>
    </w:pPr>
  </w:style>
  <w:style w:type="paragraph" w:customStyle="1" w:styleId="Point1letter">
    <w:name w:val="Point 1 (letter)"/>
    <w:basedOn w:val="Normal"/>
    <w:pPr>
      <w:numPr>
        <w:ilvl w:val="3"/>
        <w:numId w:val="44"/>
      </w:numPr>
    </w:pPr>
  </w:style>
  <w:style w:type="paragraph" w:customStyle="1" w:styleId="Point2letter">
    <w:name w:val="Point 2 (letter)"/>
    <w:basedOn w:val="Normal"/>
    <w:pPr>
      <w:numPr>
        <w:ilvl w:val="5"/>
        <w:numId w:val="44"/>
      </w:numPr>
    </w:pPr>
  </w:style>
  <w:style w:type="paragraph" w:customStyle="1" w:styleId="Point3letter">
    <w:name w:val="Point 3 (letter)"/>
    <w:basedOn w:val="Normal"/>
    <w:pPr>
      <w:numPr>
        <w:ilvl w:val="7"/>
        <w:numId w:val="44"/>
      </w:numPr>
    </w:pPr>
  </w:style>
  <w:style w:type="paragraph" w:customStyle="1" w:styleId="Point4letter">
    <w:name w:val="Point 4 (letter)"/>
    <w:basedOn w:val="Normal"/>
    <w:pPr>
      <w:numPr>
        <w:ilvl w:val="8"/>
        <w:numId w:val="44"/>
      </w:numPr>
    </w:pPr>
  </w:style>
  <w:style w:type="paragraph" w:customStyle="1" w:styleId="Bullet0">
    <w:name w:val="Bullet 0"/>
    <w:basedOn w:val="Normal"/>
    <w:pPr>
      <w:numPr>
        <w:numId w:val="45"/>
      </w:numPr>
    </w:pPr>
  </w:style>
  <w:style w:type="paragraph" w:customStyle="1" w:styleId="Bullet1">
    <w:name w:val="Bullet 1"/>
    <w:basedOn w:val="Normal"/>
    <w:pPr>
      <w:numPr>
        <w:numId w:val="46"/>
      </w:numPr>
    </w:pPr>
  </w:style>
  <w:style w:type="paragraph" w:customStyle="1" w:styleId="Bullet2">
    <w:name w:val="Bullet 2"/>
    <w:basedOn w:val="Normal"/>
    <w:pPr>
      <w:numPr>
        <w:numId w:val="47"/>
      </w:numPr>
    </w:pPr>
  </w:style>
  <w:style w:type="paragraph" w:customStyle="1" w:styleId="Bullet3">
    <w:name w:val="Bullet 3"/>
    <w:basedOn w:val="Normal"/>
    <w:pPr>
      <w:numPr>
        <w:numId w:val="48"/>
      </w:numPr>
    </w:pPr>
  </w:style>
  <w:style w:type="paragraph" w:customStyle="1" w:styleId="Bullet4">
    <w:name w:val="Bullet 4"/>
    <w:basedOn w:val="Normal"/>
    <w:pPr>
      <w:numPr>
        <w:numId w:val="4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5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ro-RO" w:bidi="ro-RO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4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4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4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43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before="0" w:after="200"/>
    </w:pPr>
    <w:rPr>
      <w:b/>
      <w:bCs/>
      <w:color w:val="4F81BD" w:themeColor="accent1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pPr>
      <w:spacing w:after="0"/>
    </w:pPr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ro-RO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  <w:rPr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lang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  <w:rPr>
      <w:lang w:eastAsia="en-US" w:bidi="ar-SA"/>
    </w:r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  <w:lang w:eastAsia="en-US" w:bidi="ar-SA"/>
    </w:rPr>
  </w:style>
  <w:style w:type="paragraph" w:customStyle="1" w:styleId="FooterSensitivity">
    <w:name w:val="Footer Sensitivity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  <w:lang w:eastAsia="en-US" w:bidi="ar-SA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37"/>
      </w:numPr>
    </w:pPr>
  </w:style>
  <w:style w:type="paragraph" w:customStyle="1" w:styleId="Tiret1">
    <w:name w:val="Tiret 1"/>
    <w:basedOn w:val="Point1"/>
    <w:pPr>
      <w:numPr>
        <w:numId w:val="38"/>
      </w:numPr>
    </w:pPr>
  </w:style>
  <w:style w:type="paragraph" w:customStyle="1" w:styleId="Tiret2">
    <w:name w:val="Tiret 2"/>
    <w:basedOn w:val="Point2"/>
    <w:pPr>
      <w:numPr>
        <w:numId w:val="39"/>
      </w:numPr>
    </w:pPr>
  </w:style>
  <w:style w:type="paragraph" w:customStyle="1" w:styleId="Tiret3">
    <w:name w:val="Tiret 3"/>
    <w:basedOn w:val="Point3"/>
    <w:pPr>
      <w:numPr>
        <w:numId w:val="40"/>
      </w:numPr>
    </w:pPr>
  </w:style>
  <w:style w:type="paragraph" w:customStyle="1" w:styleId="Tiret4">
    <w:name w:val="Tiret 4"/>
    <w:basedOn w:val="Point4"/>
    <w:pPr>
      <w:numPr>
        <w:numId w:val="4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4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4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4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4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44"/>
      </w:numPr>
    </w:pPr>
  </w:style>
  <w:style w:type="paragraph" w:customStyle="1" w:styleId="Point1number">
    <w:name w:val="Point 1 (number)"/>
    <w:basedOn w:val="Normal"/>
    <w:pPr>
      <w:numPr>
        <w:ilvl w:val="2"/>
        <w:numId w:val="44"/>
      </w:numPr>
    </w:pPr>
  </w:style>
  <w:style w:type="paragraph" w:customStyle="1" w:styleId="Point2number">
    <w:name w:val="Point 2 (number)"/>
    <w:basedOn w:val="Normal"/>
    <w:pPr>
      <w:numPr>
        <w:ilvl w:val="4"/>
        <w:numId w:val="44"/>
      </w:numPr>
    </w:pPr>
  </w:style>
  <w:style w:type="paragraph" w:customStyle="1" w:styleId="Point3number">
    <w:name w:val="Point 3 (number)"/>
    <w:basedOn w:val="Normal"/>
    <w:pPr>
      <w:numPr>
        <w:ilvl w:val="6"/>
        <w:numId w:val="44"/>
      </w:numPr>
    </w:pPr>
  </w:style>
  <w:style w:type="paragraph" w:customStyle="1" w:styleId="Point0letter">
    <w:name w:val="Point 0 (letter)"/>
    <w:basedOn w:val="Normal"/>
    <w:pPr>
      <w:numPr>
        <w:ilvl w:val="1"/>
        <w:numId w:val="44"/>
      </w:numPr>
    </w:pPr>
  </w:style>
  <w:style w:type="paragraph" w:customStyle="1" w:styleId="Point1letter">
    <w:name w:val="Point 1 (letter)"/>
    <w:basedOn w:val="Normal"/>
    <w:pPr>
      <w:numPr>
        <w:ilvl w:val="3"/>
        <w:numId w:val="44"/>
      </w:numPr>
    </w:pPr>
  </w:style>
  <w:style w:type="paragraph" w:customStyle="1" w:styleId="Point2letter">
    <w:name w:val="Point 2 (letter)"/>
    <w:basedOn w:val="Normal"/>
    <w:pPr>
      <w:numPr>
        <w:ilvl w:val="5"/>
        <w:numId w:val="44"/>
      </w:numPr>
    </w:pPr>
  </w:style>
  <w:style w:type="paragraph" w:customStyle="1" w:styleId="Point3letter">
    <w:name w:val="Point 3 (letter)"/>
    <w:basedOn w:val="Normal"/>
    <w:pPr>
      <w:numPr>
        <w:ilvl w:val="7"/>
        <w:numId w:val="44"/>
      </w:numPr>
    </w:pPr>
  </w:style>
  <w:style w:type="paragraph" w:customStyle="1" w:styleId="Point4letter">
    <w:name w:val="Point 4 (letter)"/>
    <w:basedOn w:val="Normal"/>
    <w:pPr>
      <w:numPr>
        <w:ilvl w:val="8"/>
        <w:numId w:val="44"/>
      </w:numPr>
    </w:pPr>
  </w:style>
  <w:style w:type="paragraph" w:customStyle="1" w:styleId="Bullet0">
    <w:name w:val="Bullet 0"/>
    <w:basedOn w:val="Normal"/>
    <w:pPr>
      <w:numPr>
        <w:numId w:val="45"/>
      </w:numPr>
    </w:pPr>
  </w:style>
  <w:style w:type="paragraph" w:customStyle="1" w:styleId="Bullet1">
    <w:name w:val="Bullet 1"/>
    <w:basedOn w:val="Normal"/>
    <w:pPr>
      <w:numPr>
        <w:numId w:val="46"/>
      </w:numPr>
    </w:pPr>
  </w:style>
  <w:style w:type="paragraph" w:customStyle="1" w:styleId="Bullet2">
    <w:name w:val="Bullet 2"/>
    <w:basedOn w:val="Normal"/>
    <w:pPr>
      <w:numPr>
        <w:numId w:val="47"/>
      </w:numPr>
    </w:pPr>
  </w:style>
  <w:style w:type="paragraph" w:customStyle="1" w:styleId="Bullet3">
    <w:name w:val="Bullet 3"/>
    <w:basedOn w:val="Normal"/>
    <w:pPr>
      <w:numPr>
        <w:numId w:val="48"/>
      </w:numPr>
    </w:pPr>
  </w:style>
  <w:style w:type="paragraph" w:customStyle="1" w:styleId="Bullet4">
    <w:name w:val="Bullet 4"/>
    <w:basedOn w:val="Normal"/>
    <w:pPr>
      <w:numPr>
        <w:numId w:val="4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5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0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oter" Target="foot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</TotalTime>
  <Pages>2</Pages>
  <Words>385</Words>
  <Characters>1362</Characters>
  <Application>Microsoft Office Word</Application>
  <DocSecurity>0</DocSecurity>
  <Lines>194</Lines>
  <Paragraphs>194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10</cp:revision>
  <cp:lastPrinted>2018-05-01T15:45:00Z</cp:lastPrinted>
  <dcterms:created xsi:type="dcterms:W3CDTF">2018-05-04T12:11:00Z</dcterms:created>
  <dcterms:modified xsi:type="dcterms:W3CDTF">2018-05-04T16:10:00Z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6.0.1.0</vt:lpwstr>
  </property>
  <property fmtid="{D5CDD505-2E9C-101B-9397-08002B2CF9AE}" pid="4" name="Last edited using">
    <vt:lpwstr>LW 6.0, Build 20171009</vt:lpwstr>
  </property>
  <property fmtid="{D5CDD505-2E9C-101B-9397-08002B2CF9AE}" pid="5" name="Created using">
    <vt:lpwstr>LW 6.0, Build 20171009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DQCStatus">
    <vt:lpwstr>Green (DQC version 03)</vt:lpwstr>
  </property>
  <property name="OP_sanitized" fmtid="{D5CDD505-2E9C-101B-9397-08002B2CF9AE}" pid="14">
    <vt:lpwstr>True</vt:lpwstr>
  </property>
</Properties>
</file>