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1D7" w:rsidRDefault="00C54D8B" w:rsidP="00C54D8B">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7CBDFE1F-9154-4A8E-9CC7-B05B80B5ADED" style="width:455.25pt;height:410.25pt">
            <v:imagedata r:id="rId11" o:title=""/>
          </v:shape>
        </w:pict>
      </w:r>
    </w:p>
    <w:bookmarkEnd w:id="0"/>
    <w:p w:rsidR="00EA31D7" w:rsidRDefault="00EA31D7" w:rsidP="00EA31D7">
      <w:pPr>
        <w:rPr>
          <w:noProof/>
        </w:rPr>
        <w:sectPr w:rsidR="00EA31D7" w:rsidSect="00C54D8B">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26"/>
        </w:sectPr>
      </w:pPr>
    </w:p>
    <w:p w:rsidR="00EA31D7" w:rsidRPr="00F81F59" w:rsidRDefault="00EA31D7" w:rsidP="00EA31D7">
      <w:pPr>
        <w:pStyle w:val="Annexetitre"/>
        <w:rPr>
          <w:noProof/>
        </w:rPr>
      </w:pPr>
      <w:bookmarkStart w:id="1" w:name="_GoBack"/>
      <w:bookmarkEnd w:id="1"/>
      <w:r>
        <w:rPr>
          <w:noProof/>
        </w:rPr>
        <w:lastRenderedPageBreak/>
        <w:t>BILAGA I</w:t>
      </w:r>
    </w:p>
    <w:p w:rsidR="00EA31D7" w:rsidRPr="00AA581B" w:rsidRDefault="00EA31D7" w:rsidP="00EA31D7">
      <w:pPr>
        <w:pStyle w:val="Titrearticle"/>
        <w:rPr>
          <w:b/>
          <w:noProof/>
        </w:rPr>
      </w:pPr>
      <w:r>
        <w:rPr>
          <w:b/>
          <w:bCs/>
          <w:noProof/>
        </w:rPr>
        <w:t>Fluorerade växthusgaser som avses i artikel 2.1</w:t>
      </w:r>
      <w:r>
        <w:rPr>
          <w:rStyle w:val="FootnoteReference"/>
          <w:noProof/>
        </w:rPr>
        <w:footnoteReference w:id="1"/>
      </w:r>
    </w:p>
    <w:tbl>
      <w:tblPr>
        <w:tblOverlap w:val="neve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843"/>
        <w:gridCol w:w="3317"/>
        <w:gridCol w:w="1724"/>
        <w:gridCol w:w="1316"/>
        <w:gridCol w:w="1440"/>
      </w:tblGrid>
      <w:tr w:rsidR="00EA31D7" w:rsidTr="00EA31D7">
        <w:trPr>
          <w:trHeight w:hRule="exact" w:val="600"/>
          <w:jc w:val="center"/>
        </w:trPr>
        <w:tc>
          <w:tcPr>
            <w:tcW w:w="6884" w:type="dxa"/>
            <w:gridSpan w:val="3"/>
            <w:shd w:val="clear" w:color="auto" w:fill="FFFFFF" w:themeFill="background1"/>
            <w:vAlign w:val="center"/>
          </w:tcPr>
          <w:p w:rsidR="00EA31D7" w:rsidRPr="00D43C22" w:rsidRDefault="00EA31D7" w:rsidP="00EA31D7">
            <w:pPr>
              <w:pStyle w:val="Other10"/>
              <w:spacing w:after="0"/>
              <w:jc w:val="center"/>
              <w:rPr>
                <w:b/>
                <w:noProof/>
                <w:sz w:val="24"/>
                <w:szCs w:val="24"/>
              </w:rPr>
            </w:pPr>
            <w:r>
              <w:rPr>
                <w:b/>
                <w:noProof/>
                <w:color w:val="000000"/>
                <w:sz w:val="24"/>
                <w:szCs w:val="24"/>
              </w:rPr>
              <w:t>Ämne</w:t>
            </w:r>
          </w:p>
        </w:tc>
        <w:tc>
          <w:tcPr>
            <w:tcW w:w="1316" w:type="dxa"/>
            <w:vMerge w:val="restart"/>
            <w:shd w:val="clear" w:color="auto" w:fill="FFFFFF" w:themeFill="background1"/>
            <w:vAlign w:val="center"/>
          </w:tcPr>
          <w:p w:rsidR="00EA31D7" w:rsidRPr="00D43C22" w:rsidRDefault="00EA31D7" w:rsidP="00EA31D7">
            <w:pPr>
              <w:pStyle w:val="Other10"/>
              <w:spacing w:after="0"/>
              <w:jc w:val="center"/>
              <w:rPr>
                <w:b/>
                <w:noProof/>
                <w:sz w:val="24"/>
                <w:szCs w:val="24"/>
              </w:rPr>
            </w:pPr>
            <w:r>
              <w:rPr>
                <w:b/>
                <w:noProof/>
                <w:sz w:val="24"/>
                <w:szCs w:val="24"/>
              </w:rPr>
              <w:t>GWP-faktor</w:t>
            </w:r>
            <w:r>
              <w:rPr>
                <w:rStyle w:val="FootnoteReference"/>
                <w:b/>
                <w:noProof/>
                <w:sz w:val="24"/>
                <w:szCs w:val="24"/>
              </w:rPr>
              <w:footnoteReference w:id="2"/>
            </w:r>
            <w:r>
              <w:rPr>
                <w:b/>
                <w:noProof/>
                <w:sz w:val="24"/>
                <w:szCs w:val="24"/>
              </w:rPr>
              <w:t xml:space="preserve"> </w:t>
            </w:r>
          </w:p>
        </w:tc>
        <w:tc>
          <w:tcPr>
            <w:tcW w:w="1440" w:type="dxa"/>
            <w:vMerge w:val="restart"/>
            <w:shd w:val="clear" w:color="auto" w:fill="FFFFFF" w:themeFill="background1"/>
            <w:vAlign w:val="center"/>
          </w:tcPr>
          <w:p w:rsidR="00EA31D7" w:rsidRPr="00D43C22" w:rsidRDefault="00EA31D7" w:rsidP="00EA31D7">
            <w:pPr>
              <w:pStyle w:val="Other10"/>
              <w:spacing w:after="0"/>
              <w:jc w:val="center"/>
              <w:rPr>
                <w:b/>
                <w:noProof/>
                <w:sz w:val="24"/>
                <w:szCs w:val="24"/>
              </w:rPr>
            </w:pPr>
            <w:r>
              <w:rPr>
                <w:b/>
                <w:noProof/>
                <w:sz w:val="24"/>
                <w:szCs w:val="24"/>
              </w:rPr>
              <w:t>20 års-GWP(</w:t>
            </w:r>
            <w:bookmarkStart w:id="2" w:name="_Ref98494157"/>
            <w:r>
              <w:rPr>
                <w:rStyle w:val="FootnoteReference"/>
                <w:b/>
                <w:noProof/>
                <w:sz w:val="24"/>
                <w:szCs w:val="24"/>
              </w:rPr>
              <w:footnoteReference w:id="3"/>
            </w:r>
            <w:bookmarkEnd w:id="2"/>
            <w:r>
              <w:rPr>
                <w:b/>
                <w:noProof/>
                <w:sz w:val="24"/>
                <w:szCs w:val="24"/>
              </w:rPr>
              <w:t>) för informationsändamål</w:t>
            </w:r>
          </w:p>
        </w:tc>
      </w:tr>
      <w:tr w:rsidR="00EA31D7" w:rsidTr="00EA31D7">
        <w:trPr>
          <w:trHeight w:hRule="exact" w:val="772"/>
          <w:jc w:val="center"/>
        </w:trPr>
        <w:tc>
          <w:tcPr>
            <w:tcW w:w="1843" w:type="dxa"/>
            <w:shd w:val="clear" w:color="auto" w:fill="FFFFFF" w:themeFill="background1"/>
            <w:vAlign w:val="center"/>
          </w:tcPr>
          <w:p w:rsidR="00EA31D7" w:rsidRPr="00D43C22" w:rsidRDefault="00EA31D7" w:rsidP="00EA31D7">
            <w:pPr>
              <w:pStyle w:val="Other10"/>
              <w:spacing w:after="0"/>
              <w:ind w:firstLine="360"/>
              <w:jc w:val="center"/>
              <w:rPr>
                <w:b/>
                <w:noProof/>
                <w:sz w:val="24"/>
                <w:szCs w:val="24"/>
              </w:rPr>
            </w:pPr>
            <w:r>
              <w:rPr>
                <w:b/>
                <w:noProof/>
                <w:color w:val="000000"/>
                <w:sz w:val="24"/>
                <w:szCs w:val="24"/>
              </w:rPr>
              <w:t>Beteckning</w:t>
            </w:r>
          </w:p>
        </w:tc>
        <w:tc>
          <w:tcPr>
            <w:tcW w:w="3317" w:type="dxa"/>
            <w:shd w:val="clear" w:color="auto" w:fill="FFFFFF" w:themeFill="background1"/>
            <w:vAlign w:val="center"/>
          </w:tcPr>
          <w:p w:rsidR="00EA31D7" w:rsidRPr="00D43C22" w:rsidRDefault="00EA31D7" w:rsidP="00EA31D7">
            <w:pPr>
              <w:pStyle w:val="Other10"/>
              <w:spacing w:after="0" w:line="331" w:lineRule="auto"/>
              <w:jc w:val="center"/>
              <w:rPr>
                <w:b/>
                <w:noProof/>
                <w:sz w:val="24"/>
                <w:szCs w:val="24"/>
              </w:rPr>
            </w:pPr>
            <w:r>
              <w:rPr>
                <w:b/>
                <w:noProof/>
                <w:color w:val="000000"/>
                <w:sz w:val="24"/>
                <w:szCs w:val="24"/>
              </w:rPr>
              <w:t>Kemisk beteckning (trivialnamn)</w:t>
            </w:r>
          </w:p>
        </w:tc>
        <w:tc>
          <w:tcPr>
            <w:tcW w:w="1724" w:type="dxa"/>
            <w:shd w:val="clear" w:color="auto" w:fill="FFFFFF" w:themeFill="background1"/>
            <w:vAlign w:val="center"/>
          </w:tcPr>
          <w:p w:rsidR="00EA31D7" w:rsidRPr="00D43C22" w:rsidRDefault="00EA31D7" w:rsidP="00EA31D7">
            <w:pPr>
              <w:pStyle w:val="Other10"/>
              <w:spacing w:after="0"/>
              <w:ind w:firstLine="340"/>
              <w:jc w:val="center"/>
              <w:rPr>
                <w:b/>
                <w:noProof/>
                <w:sz w:val="24"/>
                <w:szCs w:val="24"/>
              </w:rPr>
            </w:pPr>
            <w:r>
              <w:rPr>
                <w:b/>
                <w:noProof/>
                <w:color w:val="000000"/>
                <w:sz w:val="24"/>
                <w:szCs w:val="24"/>
              </w:rPr>
              <w:t>Kemisk formel</w:t>
            </w:r>
          </w:p>
        </w:tc>
        <w:tc>
          <w:tcPr>
            <w:tcW w:w="1316" w:type="dxa"/>
            <w:vMerge/>
            <w:vAlign w:val="center"/>
          </w:tcPr>
          <w:p w:rsidR="00EA31D7" w:rsidRPr="00D43C22" w:rsidRDefault="00EA31D7" w:rsidP="00EA31D7">
            <w:pPr>
              <w:rPr>
                <w:b/>
                <w:noProof/>
                <w:szCs w:val="24"/>
              </w:rPr>
            </w:pPr>
          </w:p>
        </w:tc>
        <w:tc>
          <w:tcPr>
            <w:tcW w:w="1440" w:type="dxa"/>
            <w:vMerge/>
          </w:tcPr>
          <w:p w:rsidR="00EA31D7" w:rsidRPr="00D43C22" w:rsidRDefault="00EA31D7" w:rsidP="00EA31D7">
            <w:pPr>
              <w:rPr>
                <w:b/>
                <w:noProof/>
                <w:szCs w:val="24"/>
              </w:rPr>
            </w:pPr>
          </w:p>
        </w:tc>
      </w:tr>
      <w:tr w:rsidR="00EA31D7" w:rsidTr="00EA31D7">
        <w:trPr>
          <w:trHeight w:hRule="exact" w:val="480"/>
          <w:jc w:val="center"/>
        </w:trPr>
        <w:tc>
          <w:tcPr>
            <w:tcW w:w="9640" w:type="dxa"/>
            <w:gridSpan w:val="5"/>
            <w:shd w:val="clear" w:color="auto" w:fill="FFFFFF" w:themeFill="background1"/>
            <w:vAlign w:val="center"/>
          </w:tcPr>
          <w:p w:rsidR="00EA31D7" w:rsidRPr="00725E69" w:rsidRDefault="00EA31D7" w:rsidP="00EA31D7">
            <w:pPr>
              <w:pStyle w:val="Other10"/>
              <w:spacing w:after="0"/>
              <w:rPr>
                <w:i/>
                <w:noProof/>
                <w:color w:val="000000"/>
                <w:sz w:val="24"/>
                <w:szCs w:val="24"/>
              </w:rPr>
            </w:pPr>
            <w:r>
              <w:rPr>
                <w:i/>
                <w:noProof/>
                <w:color w:val="000000"/>
                <w:sz w:val="24"/>
                <w:szCs w:val="24"/>
              </w:rPr>
              <w:t>Avsnitt 1: Fluorkolväten (HFC)</w:t>
            </w:r>
          </w:p>
        </w:tc>
      </w:tr>
      <w:tr w:rsidR="00EA31D7" w:rsidRPr="00300E07" w:rsidTr="00EA31D7">
        <w:trPr>
          <w:trHeight w:hRule="exact" w:val="907"/>
          <w:jc w:val="center"/>
        </w:trPr>
        <w:tc>
          <w:tcPr>
            <w:tcW w:w="1843" w:type="dxa"/>
            <w:shd w:val="clear" w:color="auto" w:fill="FFFFFF" w:themeFill="background1"/>
          </w:tcPr>
          <w:p w:rsidR="00EA31D7" w:rsidRPr="00300E07" w:rsidRDefault="00EA31D7" w:rsidP="00EA31D7">
            <w:pPr>
              <w:pStyle w:val="Other10"/>
              <w:spacing w:before="200" w:after="0"/>
              <w:rPr>
                <w:smallCaps/>
                <w:noProof/>
                <w:color w:val="000000"/>
                <w:sz w:val="24"/>
                <w:szCs w:val="24"/>
              </w:rPr>
            </w:pPr>
            <w:r>
              <w:rPr>
                <w:smallCaps/>
                <w:noProof/>
                <w:color w:val="000000"/>
                <w:sz w:val="24"/>
                <w:szCs w:val="24"/>
              </w:rPr>
              <w:t>HFC-23</w:t>
            </w:r>
          </w:p>
        </w:tc>
        <w:tc>
          <w:tcPr>
            <w:tcW w:w="3317" w:type="dxa"/>
            <w:shd w:val="clear" w:color="auto" w:fill="FFFFFF" w:themeFill="background1"/>
            <w:vAlign w:val="center"/>
          </w:tcPr>
          <w:p w:rsidR="00EA31D7" w:rsidRPr="00AC0F32" w:rsidRDefault="00EA31D7" w:rsidP="00EA31D7">
            <w:pPr>
              <w:pStyle w:val="Other10"/>
              <w:spacing w:after="0"/>
              <w:rPr>
                <w:noProof/>
                <w:color w:val="000000"/>
                <w:sz w:val="24"/>
                <w:szCs w:val="24"/>
              </w:rPr>
            </w:pPr>
            <w:r>
              <w:rPr>
                <w:noProof/>
                <w:color w:val="000000"/>
                <w:sz w:val="24"/>
                <w:szCs w:val="24"/>
              </w:rPr>
              <w:t>trifluormetan (fluoroform)</w:t>
            </w:r>
          </w:p>
        </w:tc>
        <w:tc>
          <w:tcPr>
            <w:tcW w:w="1724" w:type="dxa"/>
            <w:shd w:val="clear" w:color="auto" w:fill="FFFFFF" w:themeFill="background1"/>
          </w:tcPr>
          <w:p w:rsidR="00EA31D7" w:rsidRPr="00300E07" w:rsidRDefault="00EA31D7" w:rsidP="00EA31D7">
            <w:pPr>
              <w:pStyle w:val="Other10"/>
              <w:spacing w:before="200" w:after="0"/>
              <w:rPr>
                <w:smallCaps/>
                <w:noProof/>
                <w:color w:val="000000"/>
                <w:sz w:val="24"/>
                <w:szCs w:val="24"/>
              </w:rPr>
            </w:pPr>
            <w:r>
              <w:rPr>
                <w:smallCaps/>
                <w:noProof/>
                <w:color w:val="000000"/>
                <w:sz w:val="24"/>
                <w:szCs w:val="24"/>
              </w:rPr>
              <w:t>CHF</w:t>
            </w:r>
            <w:r>
              <w:rPr>
                <w:noProof/>
                <w:color w:val="000000"/>
                <w:sz w:val="24"/>
                <w:szCs w:val="24"/>
                <w:vertAlign w:val="subscript"/>
              </w:rPr>
              <w:t>3</w:t>
            </w:r>
          </w:p>
        </w:tc>
        <w:tc>
          <w:tcPr>
            <w:tcW w:w="1316" w:type="dxa"/>
            <w:shd w:val="clear" w:color="auto" w:fill="FFFFFF" w:themeFill="background1"/>
          </w:tcPr>
          <w:p w:rsidR="00EA31D7" w:rsidRPr="00300E07" w:rsidRDefault="00EA31D7" w:rsidP="00EA31D7">
            <w:pPr>
              <w:pStyle w:val="Other10"/>
              <w:spacing w:before="200" w:after="0"/>
              <w:jc w:val="center"/>
              <w:rPr>
                <w:smallCaps/>
                <w:noProof/>
                <w:color w:val="000000"/>
                <w:sz w:val="24"/>
                <w:szCs w:val="24"/>
              </w:rPr>
            </w:pPr>
            <w:r>
              <w:rPr>
                <w:smallCaps/>
                <w:noProof/>
                <w:color w:val="000000"/>
                <w:sz w:val="24"/>
                <w:szCs w:val="24"/>
              </w:rPr>
              <w:t>14 800</w:t>
            </w:r>
          </w:p>
        </w:tc>
        <w:tc>
          <w:tcPr>
            <w:tcW w:w="1440" w:type="dxa"/>
            <w:shd w:val="clear" w:color="auto" w:fill="FFFFFF" w:themeFill="background1"/>
          </w:tcPr>
          <w:p w:rsidR="00EA31D7" w:rsidRPr="00300E07" w:rsidRDefault="00EA31D7" w:rsidP="00EA31D7">
            <w:pPr>
              <w:pStyle w:val="Other10"/>
              <w:spacing w:before="200" w:after="0"/>
              <w:jc w:val="center"/>
              <w:rPr>
                <w:smallCaps/>
                <w:noProof/>
                <w:color w:val="000000"/>
                <w:sz w:val="24"/>
                <w:szCs w:val="24"/>
              </w:rPr>
            </w:pPr>
            <w:r>
              <w:rPr>
                <w:smallCaps/>
                <w:noProof/>
                <w:color w:val="000000"/>
                <w:sz w:val="24"/>
                <w:szCs w:val="24"/>
              </w:rPr>
              <w:t>12 400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HFC-32</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difluormetan</w:t>
            </w:r>
          </w:p>
        </w:tc>
        <w:tc>
          <w:tcPr>
            <w:tcW w:w="1724" w:type="dxa"/>
            <w:shd w:val="clear" w:color="auto" w:fill="FFFFFF" w:themeFill="background1"/>
            <w:vAlign w:val="center"/>
          </w:tcPr>
          <w:p w:rsidR="00EA31D7" w:rsidRPr="001133EA" w:rsidRDefault="00EA31D7" w:rsidP="00EA31D7">
            <w:pPr>
              <w:pStyle w:val="Other10"/>
              <w:spacing w:after="0"/>
              <w:rPr>
                <w:noProof/>
                <w:sz w:val="24"/>
                <w:szCs w:val="24"/>
              </w:rPr>
            </w:pPr>
            <w:r>
              <w:rPr>
                <w:noProof/>
                <w:color w:val="000000"/>
                <w:sz w:val="24"/>
                <w:szCs w:val="24"/>
              </w:rPr>
              <w:t>CH</w:t>
            </w:r>
            <w:r>
              <w:rPr>
                <w:noProof/>
                <w:color w:val="000000"/>
                <w:sz w:val="24"/>
                <w:szCs w:val="24"/>
                <w:vertAlign w:val="subscript"/>
              </w:rPr>
              <w:t>2</w:t>
            </w:r>
            <w:r>
              <w:rPr>
                <w:noProof/>
                <w:color w:val="000000"/>
                <w:sz w:val="24"/>
                <w:szCs w:val="24"/>
              </w:rPr>
              <w:t>F</w:t>
            </w:r>
            <w:r>
              <w:rPr>
                <w:noProof/>
                <w:color w:val="000000"/>
                <w:sz w:val="24"/>
                <w:szCs w:val="24"/>
                <w:vertAlign w:val="subscript"/>
              </w:rPr>
              <w:t>2</w:t>
            </w:r>
          </w:p>
        </w:tc>
        <w:tc>
          <w:tcPr>
            <w:tcW w:w="1316" w:type="dxa"/>
            <w:shd w:val="clear" w:color="auto" w:fill="FFFFFF" w:themeFill="background1"/>
            <w:vAlign w:val="center"/>
          </w:tcPr>
          <w:p w:rsidR="00EA31D7" w:rsidRPr="00D43C22" w:rsidRDefault="00EA31D7" w:rsidP="00EA31D7">
            <w:pPr>
              <w:pStyle w:val="Other10"/>
              <w:spacing w:after="0"/>
              <w:ind w:firstLine="740"/>
              <w:rPr>
                <w:noProof/>
                <w:sz w:val="24"/>
                <w:szCs w:val="24"/>
              </w:rPr>
            </w:pPr>
            <w:r>
              <w:rPr>
                <w:noProof/>
                <w:color w:val="000000"/>
                <w:sz w:val="24"/>
                <w:szCs w:val="24"/>
              </w:rPr>
              <w:t>675</w:t>
            </w:r>
          </w:p>
        </w:tc>
        <w:tc>
          <w:tcPr>
            <w:tcW w:w="1440" w:type="dxa"/>
            <w:shd w:val="clear" w:color="auto" w:fill="FFFFFF" w:themeFill="background1"/>
          </w:tcPr>
          <w:p w:rsidR="00EA31D7" w:rsidRPr="00D43C22" w:rsidRDefault="00EA31D7" w:rsidP="00EA31D7">
            <w:pPr>
              <w:pStyle w:val="Other10"/>
              <w:spacing w:before="200" w:after="0"/>
              <w:jc w:val="center"/>
              <w:rPr>
                <w:noProof/>
                <w:color w:val="000000"/>
                <w:sz w:val="24"/>
                <w:szCs w:val="24"/>
              </w:rPr>
            </w:pPr>
            <w:r>
              <w:rPr>
                <w:noProof/>
                <w:color w:val="000000"/>
                <w:sz w:val="24"/>
                <w:szCs w:val="24"/>
              </w:rPr>
              <w:t>2 690</w:t>
            </w:r>
          </w:p>
        </w:tc>
      </w:tr>
      <w:tr w:rsidR="00EA31D7" w:rsidTr="00EA31D7">
        <w:trPr>
          <w:trHeight w:hRule="exact" w:val="907"/>
          <w:jc w:val="center"/>
        </w:trPr>
        <w:tc>
          <w:tcPr>
            <w:tcW w:w="1843" w:type="dxa"/>
            <w:shd w:val="clear" w:color="auto" w:fill="FFFFFF" w:themeFill="background1"/>
          </w:tcPr>
          <w:p w:rsidR="00EA31D7" w:rsidRPr="00D43C22" w:rsidRDefault="00EA31D7" w:rsidP="00EA31D7">
            <w:pPr>
              <w:pStyle w:val="Other10"/>
              <w:spacing w:before="200" w:after="0"/>
              <w:rPr>
                <w:noProof/>
                <w:sz w:val="24"/>
                <w:szCs w:val="24"/>
              </w:rPr>
            </w:pPr>
            <w:r>
              <w:rPr>
                <w:noProof/>
                <w:color w:val="000000"/>
                <w:sz w:val="24"/>
                <w:szCs w:val="24"/>
              </w:rPr>
              <w:t>HFC-41</w:t>
            </w:r>
          </w:p>
        </w:tc>
        <w:tc>
          <w:tcPr>
            <w:tcW w:w="3317" w:type="dxa"/>
            <w:shd w:val="clear" w:color="auto" w:fill="FFFFFF" w:themeFill="background1"/>
            <w:vAlign w:val="center"/>
          </w:tcPr>
          <w:p w:rsidR="00EA31D7" w:rsidRPr="00D43C22" w:rsidRDefault="00A642F2" w:rsidP="00A642F2">
            <w:pPr>
              <w:pStyle w:val="Other10"/>
              <w:spacing w:after="60"/>
              <w:rPr>
                <w:noProof/>
                <w:sz w:val="24"/>
                <w:szCs w:val="24"/>
              </w:rPr>
            </w:pPr>
            <w:r>
              <w:rPr>
                <w:noProof/>
                <w:color w:val="000000"/>
                <w:sz w:val="24"/>
                <w:szCs w:val="24"/>
              </w:rPr>
              <w:t>fluormetan (metylfluorid)</w:t>
            </w:r>
          </w:p>
        </w:tc>
        <w:tc>
          <w:tcPr>
            <w:tcW w:w="1724" w:type="dxa"/>
            <w:shd w:val="clear" w:color="auto" w:fill="FFFFFF" w:themeFill="background1"/>
          </w:tcPr>
          <w:p w:rsidR="00EA31D7" w:rsidRPr="00D43C22" w:rsidRDefault="00EA31D7" w:rsidP="00EA31D7">
            <w:pPr>
              <w:pStyle w:val="Other10"/>
              <w:spacing w:before="200" w:after="0"/>
              <w:rPr>
                <w:noProof/>
                <w:sz w:val="24"/>
                <w:szCs w:val="24"/>
              </w:rPr>
            </w:pPr>
            <w:r>
              <w:rPr>
                <w:noProof/>
                <w:color w:val="000000"/>
                <w:sz w:val="24"/>
                <w:szCs w:val="24"/>
              </w:rPr>
              <w:t>CH</w:t>
            </w:r>
            <w:r>
              <w:rPr>
                <w:noProof/>
                <w:color w:val="000000"/>
                <w:sz w:val="24"/>
                <w:szCs w:val="24"/>
                <w:vertAlign w:val="subscript"/>
              </w:rPr>
              <w:t>3</w:t>
            </w:r>
            <w:r>
              <w:rPr>
                <w:noProof/>
                <w:color w:val="000000"/>
                <w:sz w:val="24"/>
                <w:szCs w:val="24"/>
              </w:rPr>
              <w:t>F</w:t>
            </w:r>
          </w:p>
        </w:tc>
        <w:tc>
          <w:tcPr>
            <w:tcW w:w="1316" w:type="dxa"/>
            <w:shd w:val="clear" w:color="auto" w:fill="FFFFFF" w:themeFill="background1"/>
          </w:tcPr>
          <w:p w:rsidR="00EA31D7" w:rsidRPr="00D43C22" w:rsidRDefault="00EA31D7" w:rsidP="00EA31D7">
            <w:pPr>
              <w:pStyle w:val="Other10"/>
              <w:spacing w:before="200" w:after="0"/>
              <w:ind w:firstLine="780"/>
              <w:rPr>
                <w:noProof/>
                <w:sz w:val="24"/>
                <w:szCs w:val="24"/>
              </w:rPr>
            </w:pPr>
            <w:r>
              <w:rPr>
                <w:noProof/>
                <w:color w:val="000000"/>
                <w:sz w:val="24"/>
                <w:szCs w:val="24"/>
              </w:rPr>
              <w:t>92</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485</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HFC-125</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pentafluoretan</w:t>
            </w:r>
          </w:p>
        </w:tc>
        <w:tc>
          <w:tcPr>
            <w:tcW w:w="1724"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CF</w:t>
            </w:r>
            <w:r>
              <w:rPr>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3 500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6 740</w:t>
            </w:r>
          </w:p>
        </w:tc>
      </w:tr>
      <w:tr w:rsidR="00EA31D7" w:rsidTr="00EA31D7">
        <w:trPr>
          <w:trHeight w:hRule="exact" w:val="629"/>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HFC-134</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1,1,2,2-tetrafluoretan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CHF</w:t>
            </w:r>
            <w:r>
              <w:rPr>
                <w:smallCaps/>
                <w:noProof/>
                <w:color w:val="000000"/>
                <w:sz w:val="24"/>
                <w:szCs w:val="24"/>
                <w:vertAlign w:val="subscript"/>
              </w:rPr>
              <w:t>2</w:t>
            </w:r>
            <w:r>
              <w:rPr>
                <w:smallCaps/>
                <w:noProof/>
                <w:color w:val="000000"/>
                <w:sz w:val="24"/>
                <w:szCs w:val="24"/>
              </w:rPr>
              <w:t>CHF</w:t>
            </w:r>
            <w:r>
              <w:rPr>
                <w:smallCaps/>
                <w:noProof/>
                <w:color w:val="000000"/>
                <w:sz w:val="24"/>
                <w:szCs w:val="24"/>
                <w:vertAlign w:val="subscript"/>
              </w:rPr>
              <w:t>2</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1 100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3 900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HFC-134 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1,1,1,2-tetrafluoretan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2</w:t>
            </w:r>
            <w:r>
              <w:rPr>
                <w:smallCaps/>
                <w:noProof/>
                <w:color w:val="000000"/>
                <w:sz w:val="24"/>
                <w:szCs w:val="24"/>
              </w:rPr>
              <w:t>FCF</w:t>
            </w:r>
            <w:r>
              <w:rPr>
                <w:smallCaps/>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1 430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4 140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HFC-143</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1,1,2-trifluoretan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2</w:t>
            </w:r>
            <w:r>
              <w:rPr>
                <w:smallCaps/>
                <w:noProof/>
                <w:color w:val="000000"/>
                <w:sz w:val="24"/>
                <w:szCs w:val="24"/>
              </w:rPr>
              <w:t>FCHF</w:t>
            </w:r>
            <w:r>
              <w:rPr>
                <w:smallCaps/>
                <w:noProof/>
                <w:color w:val="000000"/>
                <w:sz w:val="24"/>
                <w:szCs w:val="24"/>
                <w:vertAlign w:val="subscript"/>
              </w:rPr>
              <w:t>2</w:t>
            </w:r>
          </w:p>
        </w:tc>
        <w:tc>
          <w:tcPr>
            <w:tcW w:w="1316" w:type="dxa"/>
            <w:shd w:val="clear" w:color="auto" w:fill="FFFFFF" w:themeFill="background1"/>
            <w:vAlign w:val="center"/>
          </w:tcPr>
          <w:p w:rsidR="00EA31D7" w:rsidRPr="00D43C22" w:rsidRDefault="00EA31D7" w:rsidP="00EA31D7">
            <w:pPr>
              <w:pStyle w:val="Other10"/>
              <w:spacing w:after="0"/>
              <w:ind w:firstLine="740"/>
              <w:rPr>
                <w:noProof/>
                <w:sz w:val="24"/>
                <w:szCs w:val="24"/>
              </w:rPr>
            </w:pPr>
            <w:r>
              <w:rPr>
                <w:noProof/>
                <w:color w:val="000000"/>
                <w:sz w:val="24"/>
                <w:szCs w:val="24"/>
              </w:rPr>
              <w:t>353</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1 300</w:t>
            </w:r>
          </w:p>
        </w:tc>
      </w:tr>
      <w:tr w:rsidR="00EA31D7" w:rsidTr="00EA31D7">
        <w:trPr>
          <w:trHeight w:hRule="exact" w:val="629"/>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HFC–143a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1,1,1-trifluoretan</w:t>
            </w:r>
          </w:p>
        </w:tc>
        <w:tc>
          <w:tcPr>
            <w:tcW w:w="1724"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CH</w:t>
            </w:r>
            <w:r>
              <w:rPr>
                <w:noProof/>
                <w:color w:val="000000"/>
                <w:sz w:val="24"/>
                <w:szCs w:val="24"/>
                <w:vertAlign w:val="subscript"/>
              </w:rPr>
              <w:t>3</w:t>
            </w:r>
            <w:r>
              <w:rPr>
                <w:noProof/>
                <w:color w:val="000000"/>
                <w:sz w:val="24"/>
                <w:szCs w:val="24"/>
              </w:rPr>
              <w:t>CF</w:t>
            </w:r>
            <w:r>
              <w:rPr>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4 470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7 840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HFC-152</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1,2-difluoretan</w:t>
            </w:r>
          </w:p>
        </w:tc>
        <w:tc>
          <w:tcPr>
            <w:tcW w:w="1724"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CH</w:t>
            </w:r>
            <w:r>
              <w:rPr>
                <w:noProof/>
                <w:color w:val="000000"/>
                <w:sz w:val="24"/>
                <w:szCs w:val="24"/>
                <w:vertAlign w:val="subscript"/>
              </w:rPr>
              <w:t>2</w:t>
            </w:r>
            <w:r>
              <w:rPr>
                <w:noProof/>
                <w:color w:val="000000"/>
                <w:sz w:val="24"/>
                <w:szCs w:val="24"/>
              </w:rPr>
              <w:t>F</w:t>
            </w:r>
            <w:r>
              <w:rPr>
                <w:smallCaps/>
                <w:noProof/>
                <w:color w:val="000000"/>
                <w:sz w:val="24"/>
                <w:szCs w:val="24"/>
              </w:rPr>
              <w:t>C</w:t>
            </w:r>
            <w:r>
              <w:rPr>
                <w:noProof/>
                <w:color w:val="000000"/>
                <w:sz w:val="24"/>
                <w:szCs w:val="24"/>
              </w:rPr>
              <w:t>H</w:t>
            </w:r>
            <w:r>
              <w:rPr>
                <w:noProof/>
                <w:color w:val="000000"/>
                <w:sz w:val="24"/>
                <w:szCs w:val="24"/>
                <w:vertAlign w:val="subscript"/>
              </w:rPr>
              <w:t>2</w:t>
            </w:r>
            <w:r>
              <w:rPr>
                <w:noProof/>
                <w:color w:val="000000"/>
                <w:sz w:val="24"/>
                <w:szCs w:val="24"/>
              </w:rPr>
              <w:t>F</w:t>
            </w:r>
          </w:p>
        </w:tc>
        <w:tc>
          <w:tcPr>
            <w:tcW w:w="1316" w:type="dxa"/>
            <w:shd w:val="clear" w:color="auto" w:fill="FFFFFF" w:themeFill="background1"/>
            <w:vAlign w:val="center"/>
          </w:tcPr>
          <w:p w:rsidR="00EA31D7" w:rsidRPr="00D43C22" w:rsidRDefault="00EA31D7" w:rsidP="00EA31D7">
            <w:pPr>
              <w:pStyle w:val="Other10"/>
              <w:spacing w:after="0"/>
              <w:ind w:firstLine="780"/>
              <w:rPr>
                <w:noProof/>
                <w:sz w:val="24"/>
                <w:szCs w:val="24"/>
              </w:rPr>
            </w:pPr>
            <w:r>
              <w:rPr>
                <w:noProof/>
                <w:color w:val="000000"/>
                <w:sz w:val="24"/>
                <w:szCs w:val="24"/>
              </w:rPr>
              <w:t>53</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77,6</w:t>
            </w:r>
          </w:p>
        </w:tc>
      </w:tr>
      <w:tr w:rsidR="00EA31D7" w:rsidTr="00EA31D7">
        <w:trPr>
          <w:trHeight w:hRule="exact" w:val="629"/>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HFC-152 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1,1-difluoretan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3</w:t>
            </w:r>
            <w:r>
              <w:rPr>
                <w:smallCaps/>
                <w:noProof/>
                <w:color w:val="000000"/>
                <w:sz w:val="24"/>
                <w:szCs w:val="24"/>
              </w:rPr>
              <w:t>CHF</w:t>
            </w:r>
            <w:r>
              <w:rPr>
                <w:smallCaps/>
                <w:noProof/>
                <w:color w:val="000000"/>
                <w:sz w:val="24"/>
                <w:szCs w:val="24"/>
                <w:vertAlign w:val="subscript"/>
              </w:rPr>
              <w:t>2</w:t>
            </w:r>
          </w:p>
        </w:tc>
        <w:tc>
          <w:tcPr>
            <w:tcW w:w="1316" w:type="dxa"/>
            <w:shd w:val="clear" w:color="auto" w:fill="FFFFFF" w:themeFill="background1"/>
            <w:vAlign w:val="center"/>
          </w:tcPr>
          <w:p w:rsidR="00EA31D7" w:rsidRPr="00D43C22" w:rsidRDefault="00EA31D7" w:rsidP="00EA31D7">
            <w:pPr>
              <w:pStyle w:val="Other10"/>
              <w:spacing w:after="0"/>
              <w:ind w:firstLine="740"/>
              <w:rPr>
                <w:noProof/>
                <w:sz w:val="24"/>
                <w:szCs w:val="24"/>
              </w:rPr>
            </w:pPr>
            <w:r>
              <w:rPr>
                <w:noProof/>
                <w:color w:val="000000"/>
                <w:sz w:val="24"/>
                <w:szCs w:val="24"/>
              </w:rPr>
              <w:t>124</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591</w:t>
            </w:r>
          </w:p>
        </w:tc>
      </w:tr>
      <w:tr w:rsidR="00EA31D7" w:rsidTr="00EA31D7">
        <w:trPr>
          <w:trHeight w:hRule="exact" w:val="912"/>
          <w:jc w:val="center"/>
        </w:trPr>
        <w:tc>
          <w:tcPr>
            <w:tcW w:w="1843" w:type="dxa"/>
            <w:shd w:val="clear" w:color="auto" w:fill="FFFFFF" w:themeFill="background1"/>
          </w:tcPr>
          <w:p w:rsidR="00EA31D7" w:rsidRPr="00D43C22" w:rsidRDefault="00EA31D7" w:rsidP="00EA31D7">
            <w:pPr>
              <w:pStyle w:val="Other10"/>
              <w:spacing w:before="200" w:after="0"/>
              <w:rPr>
                <w:noProof/>
                <w:sz w:val="24"/>
                <w:szCs w:val="24"/>
              </w:rPr>
            </w:pPr>
            <w:r>
              <w:rPr>
                <w:noProof/>
                <w:color w:val="000000"/>
                <w:sz w:val="24"/>
                <w:szCs w:val="24"/>
              </w:rPr>
              <w:t>HFC-161</w:t>
            </w:r>
          </w:p>
        </w:tc>
        <w:tc>
          <w:tcPr>
            <w:tcW w:w="3317" w:type="dxa"/>
            <w:shd w:val="clear" w:color="auto" w:fill="FFFFFF" w:themeFill="background1"/>
            <w:vAlign w:val="center"/>
          </w:tcPr>
          <w:p w:rsidR="00EA31D7" w:rsidRPr="00D43C22" w:rsidRDefault="00A642F2" w:rsidP="00A642F2">
            <w:pPr>
              <w:pStyle w:val="Other10"/>
              <w:spacing w:after="60"/>
              <w:rPr>
                <w:noProof/>
                <w:sz w:val="24"/>
                <w:szCs w:val="24"/>
              </w:rPr>
            </w:pPr>
            <w:r>
              <w:rPr>
                <w:noProof/>
                <w:color w:val="000000"/>
                <w:sz w:val="24"/>
                <w:szCs w:val="24"/>
              </w:rPr>
              <w:t>fluoretan (etylfluorid)</w:t>
            </w:r>
          </w:p>
        </w:tc>
        <w:tc>
          <w:tcPr>
            <w:tcW w:w="1724" w:type="dxa"/>
            <w:shd w:val="clear" w:color="auto" w:fill="FFFFFF" w:themeFill="background1"/>
          </w:tcPr>
          <w:p w:rsidR="00EA31D7" w:rsidRPr="00D43C22" w:rsidRDefault="00144D03" w:rsidP="00EA31D7">
            <w:pPr>
              <w:pStyle w:val="Other10"/>
              <w:spacing w:before="160" w:after="0"/>
              <w:rPr>
                <w:noProof/>
                <w:sz w:val="24"/>
                <w:szCs w:val="24"/>
              </w:rPr>
            </w:pPr>
            <w:r>
              <w:rPr>
                <w:smallCaps/>
                <w:noProof/>
                <w:color w:val="000000"/>
                <w:sz w:val="24"/>
                <w:szCs w:val="24"/>
              </w:rPr>
              <w:t>CH</w:t>
            </w:r>
            <w:r>
              <w:rPr>
                <w:smallCaps/>
                <w:noProof/>
                <w:color w:val="000000"/>
                <w:sz w:val="24"/>
                <w:szCs w:val="24"/>
                <w:vertAlign w:val="subscript"/>
              </w:rPr>
              <w:t>3</w:t>
            </w:r>
            <w:r>
              <w:rPr>
                <w:smallCaps/>
                <w:noProof/>
                <w:color w:val="000000"/>
                <w:sz w:val="24"/>
                <w:szCs w:val="24"/>
              </w:rPr>
              <w:t>CH</w:t>
            </w:r>
            <w:r>
              <w:rPr>
                <w:smallCaps/>
                <w:noProof/>
                <w:color w:val="000000"/>
                <w:sz w:val="24"/>
                <w:szCs w:val="24"/>
                <w:vertAlign w:val="subscript"/>
              </w:rPr>
              <w:t>2</w:t>
            </w:r>
            <w:r>
              <w:rPr>
                <w:smallCaps/>
                <w:noProof/>
                <w:color w:val="000000"/>
                <w:sz w:val="24"/>
                <w:szCs w:val="24"/>
              </w:rPr>
              <w:t>F</w:t>
            </w:r>
          </w:p>
        </w:tc>
        <w:tc>
          <w:tcPr>
            <w:tcW w:w="1316" w:type="dxa"/>
            <w:shd w:val="clear" w:color="auto" w:fill="FFFFFF" w:themeFill="background1"/>
          </w:tcPr>
          <w:p w:rsidR="00EA31D7" w:rsidRPr="00D43C22" w:rsidRDefault="00EA31D7" w:rsidP="00EA31D7">
            <w:pPr>
              <w:pStyle w:val="Other10"/>
              <w:spacing w:before="200" w:after="0"/>
              <w:ind w:firstLine="780"/>
              <w:rPr>
                <w:noProof/>
                <w:sz w:val="24"/>
                <w:szCs w:val="24"/>
              </w:rPr>
            </w:pPr>
            <w:r>
              <w:rPr>
                <w:noProof/>
                <w:color w:val="000000"/>
                <w:sz w:val="24"/>
                <w:szCs w:val="24"/>
              </w:rPr>
              <w:t>12</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17,4</w:t>
            </w:r>
          </w:p>
        </w:tc>
      </w:tr>
      <w:tr w:rsidR="00EA31D7" w:rsidTr="00EA31D7">
        <w:trPr>
          <w:trHeight w:hRule="exact" w:val="629"/>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HFC–227ea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1,1,1,2,3,3,3-heptafluorpropan</w:t>
            </w:r>
          </w:p>
        </w:tc>
        <w:tc>
          <w:tcPr>
            <w:tcW w:w="1724"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CHFCF</w:t>
            </w:r>
            <w:r>
              <w:rPr>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3 220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5 850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HFC–236cb</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1,1,1,2,2,3-hexafluorpropan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2</w:t>
            </w:r>
            <w:r>
              <w:rPr>
                <w:smallCaps/>
                <w:noProof/>
                <w:color w:val="000000"/>
                <w:sz w:val="24"/>
                <w:szCs w:val="24"/>
              </w:rPr>
              <w:t>FCF</w:t>
            </w:r>
            <w:r>
              <w:rPr>
                <w:smallCaps/>
                <w:noProof/>
                <w:color w:val="000000"/>
                <w:sz w:val="24"/>
                <w:szCs w:val="24"/>
                <w:vertAlign w:val="subscript"/>
              </w:rPr>
              <w:t>2</w:t>
            </w:r>
            <w:r>
              <w:rPr>
                <w:smallCaps/>
                <w:noProof/>
                <w:color w:val="000000"/>
                <w:sz w:val="24"/>
                <w:szCs w:val="24"/>
              </w:rPr>
              <w:t>CF</w:t>
            </w:r>
            <w:r>
              <w:rPr>
                <w:smallCaps/>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1 340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3 750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HFC–236ea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1,1,1,2,3,3-hexafluorpropan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CHF</w:t>
            </w:r>
            <w:r>
              <w:rPr>
                <w:smallCaps/>
                <w:noProof/>
                <w:color w:val="000000"/>
                <w:sz w:val="24"/>
                <w:szCs w:val="24"/>
                <w:vertAlign w:val="subscript"/>
              </w:rPr>
              <w:t>2</w:t>
            </w:r>
            <w:r>
              <w:rPr>
                <w:smallCaps/>
                <w:noProof/>
                <w:color w:val="000000"/>
                <w:sz w:val="24"/>
                <w:szCs w:val="24"/>
              </w:rPr>
              <w:t>CHFCF</w:t>
            </w:r>
            <w:r>
              <w:rPr>
                <w:smallCaps/>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1 370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4 420</w:t>
            </w:r>
          </w:p>
        </w:tc>
      </w:tr>
      <w:tr w:rsidR="00EA31D7" w:rsidTr="00EA31D7">
        <w:trPr>
          <w:trHeight w:hRule="exact" w:val="629"/>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HFC–236fa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1,1,1,3,3,3-hexafluorpropan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CF</w:t>
            </w:r>
            <w:r>
              <w:rPr>
                <w:smallCaps/>
                <w:noProof/>
                <w:color w:val="000000"/>
                <w:sz w:val="24"/>
                <w:szCs w:val="24"/>
                <w:vertAlign w:val="subscript"/>
              </w:rPr>
              <w:t>3</w:t>
            </w:r>
            <w:r>
              <w:rPr>
                <w:smallCaps/>
                <w:noProof/>
                <w:color w:val="000000"/>
                <w:sz w:val="24"/>
                <w:szCs w:val="24"/>
              </w:rPr>
              <w:t>CH</w:t>
            </w:r>
            <w:r>
              <w:rPr>
                <w:smallCaps/>
                <w:noProof/>
                <w:color w:val="000000"/>
                <w:sz w:val="24"/>
                <w:szCs w:val="24"/>
                <w:vertAlign w:val="subscript"/>
              </w:rPr>
              <w:t>2</w:t>
            </w:r>
            <w:r>
              <w:rPr>
                <w:smallCaps/>
                <w:noProof/>
                <w:color w:val="000000"/>
                <w:sz w:val="24"/>
                <w:szCs w:val="24"/>
              </w:rPr>
              <w:t>CF</w:t>
            </w:r>
            <w:r>
              <w:rPr>
                <w:smallCaps/>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9 810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7 450</w:t>
            </w:r>
          </w:p>
        </w:tc>
      </w:tr>
      <w:tr w:rsidR="00EA31D7" w:rsidTr="00EA31D7">
        <w:trPr>
          <w:trHeight w:hRule="exact" w:val="634"/>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HFC–245ca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1,1,2,2,3-pentafluorpropan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2</w:t>
            </w:r>
            <w:r>
              <w:rPr>
                <w:smallCaps/>
                <w:noProof/>
                <w:color w:val="000000"/>
                <w:sz w:val="24"/>
                <w:szCs w:val="24"/>
              </w:rPr>
              <w:t>FCF</w:t>
            </w:r>
            <w:r>
              <w:rPr>
                <w:smallCaps/>
                <w:noProof/>
                <w:color w:val="000000"/>
                <w:sz w:val="24"/>
                <w:szCs w:val="24"/>
                <w:vertAlign w:val="subscript"/>
              </w:rPr>
              <w:t>2</w:t>
            </w:r>
            <w:r>
              <w:rPr>
                <w:smallCaps/>
                <w:noProof/>
                <w:color w:val="000000"/>
                <w:sz w:val="24"/>
                <w:szCs w:val="24"/>
              </w:rPr>
              <w:t>CHF</w:t>
            </w:r>
            <w:r>
              <w:rPr>
                <w:smallCaps/>
                <w:noProof/>
                <w:color w:val="000000"/>
                <w:sz w:val="24"/>
                <w:szCs w:val="24"/>
                <w:vertAlign w:val="subscript"/>
              </w:rPr>
              <w:t>2</w:t>
            </w:r>
          </w:p>
        </w:tc>
        <w:tc>
          <w:tcPr>
            <w:tcW w:w="1316" w:type="dxa"/>
            <w:shd w:val="clear" w:color="auto" w:fill="FFFFFF" w:themeFill="background1"/>
            <w:vAlign w:val="center"/>
          </w:tcPr>
          <w:p w:rsidR="00EA31D7" w:rsidRPr="00D43C22" w:rsidRDefault="00EA31D7" w:rsidP="00EA31D7">
            <w:pPr>
              <w:pStyle w:val="Other10"/>
              <w:spacing w:after="0"/>
              <w:ind w:firstLine="740"/>
              <w:rPr>
                <w:noProof/>
                <w:sz w:val="24"/>
                <w:szCs w:val="24"/>
              </w:rPr>
            </w:pPr>
            <w:r>
              <w:rPr>
                <w:noProof/>
                <w:color w:val="000000"/>
                <w:sz w:val="24"/>
                <w:szCs w:val="24"/>
              </w:rPr>
              <w:t>693</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2 680</w:t>
            </w:r>
          </w:p>
        </w:tc>
      </w:tr>
      <w:tr w:rsidR="00EA31D7" w:rsidTr="00EA31D7">
        <w:trPr>
          <w:trHeight w:hRule="exact" w:val="638"/>
          <w:jc w:val="center"/>
        </w:trPr>
        <w:tc>
          <w:tcPr>
            <w:tcW w:w="1843"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HFC–245fa</w:t>
            </w:r>
          </w:p>
        </w:tc>
        <w:tc>
          <w:tcPr>
            <w:tcW w:w="3317" w:type="dxa"/>
            <w:shd w:val="clear" w:color="auto" w:fill="FFFFFF" w:themeFill="background1"/>
            <w:vAlign w:val="center"/>
          </w:tcPr>
          <w:p w:rsidR="00EA31D7" w:rsidRPr="00D43C22" w:rsidRDefault="00EA31D7" w:rsidP="00EA31D7">
            <w:pPr>
              <w:pStyle w:val="Other10"/>
              <w:spacing w:after="0"/>
              <w:rPr>
                <w:noProof/>
                <w:sz w:val="24"/>
                <w:szCs w:val="24"/>
              </w:rPr>
            </w:pPr>
            <w:r>
              <w:rPr>
                <w:noProof/>
                <w:color w:val="000000"/>
                <w:sz w:val="24"/>
                <w:szCs w:val="24"/>
              </w:rPr>
              <w:t>1,1,1,3,3-pentafluorpropan</w:t>
            </w:r>
          </w:p>
        </w:tc>
        <w:tc>
          <w:tcPr>
            <w:tcW w:w="1724" w:type="dxa"/>
            <w:shd w:val="clear" w:color="auto" w:fill="FFFFFF" w:themeFill="background1"/>
            <w:vAlign w:val="center"/>
          </w:tcPr>
          <w:p w:rsidR="00EA31D7" w:rsidRPr="00D43C22" w:rsidRDefault="00144D03" w:rsidP="00EA31D7">
            <w:pPr>
              <w:pStyle w:val="Other10"/>
              <w:spacing w:after="0"/>
              <w:rPr>
                <w:noProof/>
                <w:sz w:val="24"/>
                <w:szCs w:val="24"/>
              </w:rPr>
            </w:pPr>
            <w:r>
              <w:rPr>
                <w:smallCaps/>
                <w:noProof/>
                <w:color w:val="000000"/>
                <w:sz w:val="24"/>
                <w:szCs w:val="24"/>
              </w:rPr>
              <w:t>CHF</w:t>
            </w:r>
            <w:r>
              <w:rPr>
                <w:smallCaps/>
                <w:noProof/>
                <w:color w:val="000000"/>
                <w:sz w:val="24"/>
                <w:szCs w:val="24"/>
                <w:vertAlign w:val="subscript"/>
              </w:rPr>
              <w:t>2</w:t>
            </w:r>
            <w:r>
              <w:rPr>
                <w:smallCaps/>
                <w:noProof/>
                <w:color w:val="000000"/>
                <w:sz w:val="24"/>
                <w:szCs w:val="24"/>
              </w:rPr>
              <w:t>CH</w:t>
            </w:r>
            <w:r>
              <w:rPr>
                <w:smallCaps/>
                <w:noProof/>
                <w:color w:val="000000"/>
                <w:sz w:val="24"/>
                <w:szCs w:val="24"/>
                <w:vertAlign w:val="subscript"/>
              </w:rPr>
              <w:t>2</w:t>
            </w:r>
            <w:r>
              <w:rPr>
                <w:smallCaps/>
                <w:noProof/>
                <w:color w:val="000000"/>
                <w:sz w:val="24"/>
                <w:szCs w:val="24"/>
              </w:rPr>
              <w:t>CF</w:t>
            </w:r>
            <w:r>
              <w:rPr>
                <w:smallCaps/>
                <w:noProof/>
                <w:color w:val="000000"/>
                <w:sz w:val="24"/>
                <w:szCs w:val="24"/>
                <w:vertAlign w:val="subscript"/>
              </w:rPr>
              <w:t>3</w:t>
            </w:r>
          </w:p>
        </w:tc>
        <w:tc>
          <w:tcPr>
            <w:tcW w:w="1316" w:type="dxa"/>
            <w:shd w:val="clear" w:color="auto" w:fill="FFFFFF" w:themeFill="background1"/>
            <w:vAlign w:val="center"/>
          </w:tcPr>
          <w:p w:rsidR="00EA31D7" w:rsidRPr="00D43C22" w:rsidRDefault="00EA31D7" w:rsidP="00EA31D7">
            <w:pPr>
              <w:pStyle w:val="Other10"/>
              <w:spacing w:after="0"/>
              <w:ind w:firstLine="660"/>
              <w:rPr>
                <w:noProof/>
                <w:sz w:val="24"/>
                <w:szCs w:val="24"/>
              </w:rPr>
            </w:pPr>
            <w:r>
              <w:rPr>
                <w:noProof/>
                <w:color w:val="000000"/>
                <w:sz w:val="24"/>
                <w:szCs w:val="24"/>
              </w:rPr>
              <w:t>1 030</w:t>
            </w:r>
          </w:p>
        </w:tc>
        <w:tc>
          <w:tcPr>
            <w:tcW w:w="1440" w:type="dxa"/>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3 170</w:t>
            </w:r>
          </w:p>
        </w:tc>
      </w:tr>
      <w:tr w:rsidR="00EA31D7" w:rsidTr="00EA31D7">
        <w:trPr>
          <w:trHeight w:hRule="exact" w:val="638"/>
          <w:jc w:val="center"/>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rPr>
                <w:noProof/>
                <w:color w:val="000000"/>
                <w:sz w:val="24"/>
                <w:szCs w:val="24"/>
              </w:rPr>
            </w:pPr>
            <w:r>
              <w:rPr>
                <w:noProof/>
                <w:color w:val="000000"/>
                <w:sz w:val="24"/>
                <w:szCs w:val="24"/>
              </w:rPr>
              <w:t>HFC–365mfc</w:t>
            </w:r>
          </w:p>
        </w:tc>
        <w:tc>
          <w:tcPr>
            <w:tcW w:w="33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rPr>
                <w:noProof/>
                <w:color w:val="000000"/>
                <w:sz w:val="24"/>
                <w:szCs w:val="24"/>
              </w:rPr>
            </w:pPr>
            <w:r>
              <w:rPr>
                <w:noProof/>
                <w:color w:val="000000"/>
                <w:sz w:val="24"/>
                <w:szCs w:val="24"/>
              </w:rPr>
              <w:t>1,1,1,3,3-pentafluorbutan</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rPr>
                <w:smallCaps/>
                <w:noProof/>
                <w:color w:val="000000"/>
                <w:sz w:val="24"/>
                <w:szCs w:val="24"/>
              </w:rPr>
            </w:pPr>
            <w:r>
              <w:rPr>
                <w:smallCaps/>
                <w:noProof/>
                <w:color w:val="000000"/>
                <w:sz w:val="24"/>
                <w:szCs w:val="24"/>
              </w:rPr>
              <w:t>CF</w:t>
            </w:r>
            <w:r>
              <w:rPr>
                <w:smallCaps/>
                <w:noProof/>
                <w:color w:val="000000"/>
                <w:sz w:val="24"/>
                <w:szCs w:val="24"/>
                <w:vertAlign w:val="subscript"/>
              </w:rPr>
              <w:t>3</w:t>
            </w:r>
            <w:r>
              <w:rPr>
                <w:smallCaps/>
                <w:noProof/>
                <w:color w:val="000000"/>
                <w:sz w:val="24"/>
                <w:szCs w:val="24"/>
              </w:rPr>
              <w:t>CH</w:t>
            </w:r>
            <w:r>
              <w:rPr>
                <w:smallCaps/>
                <w:noProof/>
                <w:color w:val="000000"/>
                <w:sz w:val="24"/>
                <w:szCs w:val="24"/>
                <w:vertAlign w:val="subscript"/>
              </w:rPr>
              <w:t>2</w:t>
            </w:r>
            <w:r>
              <w:rPr>
                <w:smallCaps/>
                <w:noProof/>
                <w:color w:val="000000"/>
                <w:sz w:val="24"/>
                <w:szCs w:val="24"/>
              </w:rPr>
              <w:t>CF</w:t>
            </w:r>
            <w:r>
              <w:rPr>
                <w:smallCaps/>
                <w:noProof/>
                <w:color w:val="000000"/>
                <w:sz w:val="24"/>
                <w:szCs w:val="24"/>
                <w:vertAlign w:val="subscript"/>
              </w:rPr>
              <w:t>2</w:t>
            </w:r>
            <w:r>
              <w:rPr>
                <w:smallCaps/>
                <w:noProof/>
                <w:color w:val="000000"/>
                <w:sz w:val="24"/>
                <w:szCs w:val="24"/>
              </w:rPr>
              <w:t>CH</w:t>
            </w:r>
            <w:r>
              <w:rPr>
                <w:smallCaps/>
                <w:noProof/>
                <w:color w:val="000000"/>
                <w:sz w:val="24"/>
                <w:szCs w:val="24"/>
                <w:vertAlign w:val="subscript"/>
              </w:rPr>
              <w:t>3</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ind w:firstLine="660"/>
              <w:rPr>
                <w:noProof/>
                <w:color w:val="000000"/>
                <w:sz w:val="24"/>
                <w:szCs w:val="24"/>
              </w:rPr>
            </w:pPr>
            <w:r>
              <w:rPr>
                <w:noProof/>
                <w:color w:val="000000"/>
                <w:sz w:val="24"/>
                <w:szCs w:val="24"/>
              </w:rPr>
              <w:t>794</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2 920</w:t>
            </w:r>
          </w:p>
        </w:tc>
      </w:tr>
      <w:tr w:rsidR="00EA31D7" w:rsidTr="00EA31D7">
        <w:trPr>
          <w:trHeight w:hRule="exact" w:val="720"/>
          <w:jc w:val="center"/>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rPr>
                <w:noProof/>
                <w:color w:val="000000"/>
                <w:sz w:val="24"/>
                <w:szCs w:val="24"/>
              </w:rPr>
            </w:pPr>
            <w:r>
              <w:rPr>
                <w:noProof/>
                <w:color w:val="000000"/>
                <w:sz w:val="24"/>
                <w:szCs w:val="24"/>
              </w:rPr>
              <w:t>HFC-43-10mee</w:t>
            </w:r>
          </w:p>
        </w:tc>
        <w:tc>
          <w:tcPr>
            <w:tcW w:w="33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rPr>
                <w:noProof/>
                <w:color w:val="000000"/>
                <w:sz w:val="24"/>
                <w:szCs w:val="24"/>
              </w:rPr>
            </w:pPr>
            <w:r>
              <w:rPr>
                <w:noProof/>
                <w:color w:val="000000"/>
                <w:sz w:val="24"/>
                <w:szCs w:val="24"/>
              </w:rPr>
              <w:t>1,1,1,2,2,3,4,5,5,5-dekafluorpentan</w:t>
            </w:r>
          </w:p>
        </w:tc>
        <w:tc>
          <w:tcPr>
            <w:tcW w:w="17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144D03" w:rsidP="00EA31D7">
            <w:pPr>
              <w:pStyle w:val="Other10"/>
              <w:spacing w:after="0"/>
              <w:rPr>
                <w:smallCaps/>
                <w:noProof/>
                <w:color w:val="000000"/>
                <w:sz w:val="24"/>
                <w:szCs w:val="24"/>
              </w:rPr>
            </w:pPr>
            <w:r>
              <w:rPr>
                <w:smallCaps/>
                <w:noProof/>
                <w:color w:val="000000"/>
                <w:sz w:val="24"/>
                <w:szCs w:val="24"/>
              </w:rPr>
              <w:t>CF</w:t>
            </w:r>
            <w:r>
              <w:rPr>
                <w:smallCaps/>
                <w:noProof/>
                <w:color w:val="000000"/>
                <w:sz w:val="24"/>
                <w:szCs w:val="24"/>
                <w:vertAlign w:val="subscript"/>
              </w:rPr>
              <w:t>3</w:t>
            </w:r>
            <w:r>
              <w:rPr>
                <w:smallCaps/>
                <w:noProof/>
                <w:color w:val="000000"/>
                <w:sz w:val="24"/>
                <w:szCs w:val="24"/>
              </w:rPr>
              <w:t>CHFCHFCF</w:t>
            </w:r>
            <w:r>
              <w:rPr>
                <w:smallCaps/>
                <w:noProof/>
                <w:color w:val="000000"/>
                <w:sz w:val="24"/>
                <w:szCs w:val="24"/>
                <w:vertAlign w:val="subscript"/>
              </w:rPr>
              <w:t>2</w:t>
            </w:r>
            <w:r>
              <w:rPr>
                <w:smallCaps/>
                <w:noProof/>
                <w:color w:val="000000"/>
                <w:sz w:val="24"/>
                <w:szCs w:val="24"/>
              </w:rPr>
              <w:t>CF</w:t>
            </w:r>
            <w:r>
              <w:rPr>
                <w:smallCaps/>
                <w:noProof/>
                <w:color w:val="000000"/>
                <w:sz w:val="24"/>
                <w:szCs w:val="24"/>
                <w:vertAlign w:val="subscript"/>
              </w:rPr>
              <w:t>3</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D43C22" w:rsidRDefault="00EA31D7" w:rsidP="00EA31D7">
            <w:pPr>
              <w:pStyle w:val="Other10"/>
              <w:spacing w:after="0"/>
              <w:ind w:firstLine="660"/>
              <w:rPr>
                <w:noProof/>
                <w:color w:val="000000"/>
                <w:sz w:val="24"/>
                <w:szCs w:val="24"/>
              </w:rPr>
            </w:pPr>
            <w:r>
              <w:rPr>
                <w:noProof/>
                <w:color w:val="000000"/>
                <w:sz w:val="24"/>
                <w:szCs w:val="24"/>
              </w:rPr>
              <w:t>1 640</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rsidR="00EA31D7" w:rsidRPr="00D43C22" w:rsidRDefault="00EA31D7" w:rsidP="00EA31D7">
            <w:pPr>
              <w:pStyle w:val="Other10"/>
              <w:spacing w:before="200" w:after="0"/>
              <w:ind w:firstLine="780"/>
              <w:rPr>
                <w:noProof/>
                <w:color w:val="000000"/>
                <w:sz w:val="24"/>
                <w:szCs w:val="24"/>
              </w:rPr>
            </w:pPr>
            <w:r>
              <w:rPr>
                <w:noProof/>
                <w:color w:val="000000"/>
                <w:sz w:val="24"/>
                <w:szCs w:val="24"/>
              </w:rPr>
              <w:t>3 960</w:t>
            </w:r>
          </w:p>
        </w:tc>
      </w:tr>
    </w:tbl>
    <w:p w:rsidR="00EA31D7" w:rsidRDefault="00EA31D7" w:rsidP="00EA31D7">
      <w:pPr>
        <w:rPr>
          <w:noProof/>
        </w:rPr>
      </w:pPr>
    </w:p>
    <w:tbl>
      <w:tblPr>
        <w:tblStyle w:val="TableGrid"/>
        <w:tblW w:w="9627" w:type="dxa"/>
        <w:jc w:val="center"/>
        <w:tblLook w:val="04A0" w:firstRow="1" w:lastRow="0" w:firstColumn="1" w:lastColumn="0" w:noHBand="0" w:noVBand="1"/>
      </w:tblPr>
      <w:tblGrid>
        <w:gridCol w:w="1675"/>
        <w:gridCol w:w="71"/>
        <w:gridCol w:w="2355"/>
        <w:gridCol w:w="16"/>
        <w:gridCol w:w="2474"/>
        <w:gridCol w:w="95"/>
        <w:gridCol w:w="1542"/>
        <w:gridCol w:w="57"/>
        <w:gridCol w:w="1342"/>
      </w:tblGrid>
      <w:tr w:rsidR="00EA31D7" w:rsidRPr="00A642F2" w:rsidTr="00EA31D7">
        <w:trPr>
          <w:jc w:val="center"/>
        </w:trPr>
        <w:tc>
          <w:tcPr>
            <w:tcW w:w="6591" w:type="dxa"/>
            <w:gridSpan w:val="5"/>
          </w:tcPr>
          <w:p w:rsidR="00EA31D7" w:rsidRPr="00A642F2" w:rsidRDefault="00EA31D7" w:rsidP="00EA31D7">
            <w:pPr>
              <w:rPr>
                <w:rFonts w:ascii="Times New Roman" w:hAnsi="Times New Roman" w:cs="Times New Roman"/>
                <w:noProof/>
                <w:sz w:val="24"/>
                <w:szCs w:val="24"/>
              </w:rPr>
            </w:pPr>
            <w:r>
              <w:rPr>
                <w:rFonts w:ascii="Times New Roman" w:hAnsi="Times New Roman"/>
                <w:b/>
                <w:noProof/>
                <w:color w:val="000000"/>
                <w:sz w:val="24"/>
                <w:szCs w:val="24"/>
              </w:rPr>
              <w:t>Ämne</w:t>
            </w:r>
          </w:p>
        </w:tc>
        <w:tc>
          <w:tcPr>
            <w:tcW w:w="1637" w:type="dxa"/>
            <w:gridSpan w:val="2"/>
            <w:vMerge w:val="restart"/>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b/>
                <w:noProof/>
                <w:sz w:val="24"/>
                <w:szCs w:val="24"/>
              </w:rPr>
              <w:t xml:space="preserve">GWP 100 </w:t>
            </w:r>
            <w:r>
              <w:rPr>
                <w:rFonts w:ascii="Times New Roman" w:hAnsi="Times New Roman"/>
                <w:b/>
                <w:noProof/>
                <w:sz w:val="24"/>
                <w:szCs w:val="24"/>
                <w:vertAlign w:val="superscript"/>
              </w:rPr>
              <w:t>(</w:t>
            </w:r>
            <w:r>
              <w:rPr>
                <w:b/>
                <w:noProof/>
                <w:szCs w:val="24"/>
                <w:vertAlign w:val="superscript"/>
              </w:rPr>
              <w:fldChar w:fldCharType="begin" w:fldLock="1"/>
            </w:r>
            <w:r>
              <w:rPr>
                <w:rFonts w:ascii="Times New Roman" w:eastAsia="Times New Roman" w:hAnsi="Times New Roman" w:cs="Times New Roman"/>
                <w:b/>
                <w:noProof/>
                <w:sz w:val="24"/>
                <w:szCs w:val="24"/>
                <w:vertAlign w:val="superscript"/>
              </w:rPr>
              <w:instrText xml:space="preserve"> NOTEREF _Ref98494157 \h  \* MERGEFORMAT </w:instrText>
            </w:r>
            <w:r>
              <w:rPr>
                <w:b/>
                <w:noProof/>
                <w:szCs w:val="24"/>
                <w:vertAlign w:val="superscript"/>
              </w:rPr>
            </w:r>
            <w:r>
              <w:rPr>
                <w:b/>
                <w:noProof/>
                <w:szCs w:val="24"/>
                <w:vertAlign w:val="superscript"/>
              </w:rPr>
              <w:fldChar w:fldCharType="separate"/>
            </w:r>
            <w:r>
              <w:rPr>
                <w:rFonts w:ascii="Times New Roman" w:eastAsia="Times New Roman" w:hAnsi="Times New Roman" w:cs="Times New Roman"/>
                <w:b/>
                <w:noProof/>
                <w:sz w:val="24"/>
                <w:szCs w:val="24"/>
                <w:vertAlign w:val="superscript"/>
              </w:rPr>
              <w:t>3</w:t>
            </w:r>
            <w:r>
              <w:rPr>
                <w:b/>
                <w:noProof/>
                <w:szCs w:val="24"/>
                <w:vertAlign w:val="superscript"/>
              </w:rPr>
              <w:fldChar w:fldCharType="end"/>
            </w:r>
            <w:r>
              <w:rPr>
                <w:rFonts w:ascii="Times New Roman" w:hAnsi="Times New Roman"/>
                <w:b/>
                <w:noProof/>
                <w:sz w:val="24"/>
                <w:szCs w:val="24"/>
                <w:vertAlign w:val="superscript"/>
              </w:rPr>
              <w:t>)</w:t>
            </w:r>
          </w:p>
        </w:tc>
        <w:tc>
          <w:tcPr>
            <w:tcW w:w="1399" w:type="dxa"/>
            <w:gridSpan w:val="2"/>
            <w:vMerge w:val="restart"/>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b/>
                <w:noProof/>
                <w:sz w:val="24"/>
                <w:szCs w:val="24"/>
              </w:rPr>
              <w:t xml:space="preserve">GWP 20 </w:t>
            </w:r>
            <w:r>
              <w:rPr>
                <w:rFonts w:ascii="Times New Roman" w:hAnsi="Times New Roman"/>
                <w:b/>
                <w:noProof/>
                <w:sz w:val="24"/>
                <w:szCs w:val="24"/>
                <w:vertAlign w:val="superscript"/>
              </w:rPr>
              <w:t>(</w:t>
            </w:r>
            <w:r>
              <w:rPr>
                <w:b/>
                <w:noProof/>
                <w:szCs w:val="24"/>
                <w:vertAlign w:val="superscript"/>
              </w:rPr>
              <w:fldChar w:fldCharType="begin" w:fldLock="1"/>
            </w:r>
            <w:r>
              <w:rPr>
                <w:rFonts w:ascii="Times New Roman" w:eastAsia="Times New Roman" w:hAnsi="Times New Roman" w:cs="Times New Roman"/>
                <w:b/>
                <w:noProof/>
                <w:sz w:val="24"/>
                <w:szCs w:val="24"/>
                <w:vertAlign w:val="superscript"/>
              </w:rPr>
              <w:instrText xml:space="preserve"> NOTEREF _Ref98494157 \h  \* MERGEFORMAT </w:instrText>
            </w:r>
            <w:r>
              <w:rPr>
                <w:b/>
                <w:noProof/>
                <w:szCs w:val="24"/>
                <w:vertAlign w:val="superscript"/>
              </w:rPr>
            </w:r>
            <w:r>
              <w:rPr>
                <w:b/>
                <w:noProof/>
                <w:szCs w:val="24"/>
                <w:vertAlign w:val="superscript"/>
              </w:rPr>
              <w:fldChar w:fldCharType="separate"/>
            </w:r>
            <w:r>
              <w:rPr>
                <w:rFonts w:ascii="Times New Roman" w:eastAsia="Times New Roman" w:hAnsi="Times New Roman" w:cs="Times New Roman"/>
                <w:b/>
                <w:noProof/>
                <w:sz w:val="24"/>
                <w:szCs w:val="24"/>
                <w:vertAlign w:val="superscript"/>
              </w:rPr>
              <w:t>3</w:t>
            </w:r>
            <w:r>
              <w:rPr>
                <w:b/>
                <w:noProof/>
                <w:szCs w:val="24"/>
                <w:vertAlign w:val="superscript"/>
              </w:rPr>
              <w:fldChar w:fldCharType="end"/>
            </w:r>
            <w:r>
              <w:rPr>
                <w:rFonts w:ascii="Times New Roman" w:hAnsi="Times New Roman"/>
                <w:b/>
                <w:noProof/>
                <w:sz w:val="24"/>
                <w:szCs w:val="24"/>
                <w:vertAlign w:val="superscript"/>
              </w:rPr>
              <w:t>)</w:t>
            </w:r>
          </w:p>
        </w:tc>
      </w:tr>
      <w:tr w:rsidR="00EA31D7" w:rsidRPr="00A642F2" w:rsidTr="00EA31D7">
        <w:trPr>
          <w:jc w:val="center"/>
        </w:trPr>
        <w:tc>
          <w:tcPr>
            <w:tcW w:w="1675" w:type="dxa"/>
          </w:tcPr>
          <w:p w:rsidR="00EA31D7" w:rsidRPr="00A642F2" w:rsidRDefault="00EA31D7" w:rsidP="00EA31D7">
            <w:pPr>
              <w:rPr>
                <w:rFonts w:ascii="Times New Roman" w:hAnsi="Times New Roman" w:cs="Times New Roman"/>
                <w:noProof/>
                <w:sz w:val="24"/>
                <w:szCs w:val="24"/>
              </w:rPr>
            </w:pPr>
            <w:r>
              <w:rPr>
                <w:rFonts w:ascii="Times New Roman" w:hAnsi="Times New Roman"/>
                <w:b/>
                <w:noProof/>
                <w:color w:val="000000"/>
                <w:sz w:val="24"/>
                <w:szCs w:val="24"/>
              </w:rPr>
              <w:t>Beteckning</w:t>
            </w:r>
          </w:p>
        </w:tc>
        <w:tc>
          <w:tcPr>
            <w:tcW w:w="2426" w:type="dxa"/>
            <w:gridSpan w:val="2"/>
            <w:vAlign w:val="center"/>
          </w:tcPr>
          <w:p w:rsidR="00EA31D7" w:rsidRPr="00A642F2" w:rsidRDefault="00EA31D7" w:rsidP="00EA31D7">
            <w:pPr>
              <w:jc w:val="left"/>
              <w:rPr>
                <w:rFonts w:ascii="Times New Roman" w:hAnsi="Times New Roman" w:cs="Times New Roman"/>
                <w:noProof/>
                <w:sz w:val="24"/>
                <w:szCs w:val="24"/>
              </w:rPr>
            </w:pPr>
            <w:r>
              <w:rPr>
                <w:rFonts w:ascii="Times New Roman" w:hAnsi="Times New Roman"/>
                <w:b/>
                <w:noProof/>
                <w:color w:val="000000"/>
                <w:sz w:val="24"/>
                <w:szCs w:val="24"/>
              </w:rPr>
              <w:t>Kemisk beteckning (trivialnamn)</w:t>
            </w:r>
          </w:p>
        </w:tc>
        <w:tc>
          <w:tcPr>
            <w:tcW w:w="2490" w:type="dxa"/>
            <w:gridSpan w:val="2"/>
          </w:tcPr>
          <w:p w:rsidR="00EA31D7" w:rsidRPr="00A642F2" w:rsidRDefault="00EA31D7" w:rsidP="00EA31D7">
            <w:pPr>
              <w:rPr>
                <w:rFonts w:ascii="Times New Roman" w:hAnsi="Times New Roman" w:cs="Times New Roman"/>
                <w:noProof/>
                <w:sz w:val="24"/>
                <w:szCs w:val="24"/>
              </w:rPr>
            </w:pPr>
            <w:r>
              <w:rPr>
                <w:rFonts w:ascii="Times New Roman" w:hAnsi="Times New Roman"/>
                <w:b/>
                <w:noProof/>
                <w:color w:val="000000"/>
                <w:sz w:val="24"/>
                <w:szCs w:val="24"/>
              </w:rPr>
              <w:t>Kemisk formel</w:t>
            </w:r>
          </w:p>
        </w:tc>
        <w:tc>
          <w:tcPr>
            <w:tcW w:w="1637" w:type="dxa"/>
            <w:gridSpan w:val="2"/>
            <w:vMerge/>
          </w:tcPr>
          <w:p w:rsidR="00EA31D7" w:rsidRPr="00A642F2" w:rsidRDefault="00EA31D7" w:rsidP="00EA31D7">
            <w:pPr>
              <w:rPr>
                <w:rFonts w:ascii="Times New Roman" w:hAnsi="Times New Roman" w:cs="Times New Roman"/>
                <w:noProof/>
                <w:sz w:val="24"/>
                <w:szCs w:val="24"/>
              </w:rPr>
            </w:pPr>
          </w:p>
        </w:tc>
        <w:tc>
          <w:tcPr>
            <w:tcW w:w="1399" w:type="dxa"/>
            <w:gridSpan w:val="2"/>
            <w:vMerge/>
          </w:tcPr>
          <w:p w:rsidR="00EA31D7" w:rsidRPr="00A642F2" w:rsidRDefault="00EA31D7" w:rsidP="00EA31D7">
            <w:pPr>
              <w:rPr>
                <w:rFonts w:ascii="Times New Roman" w:hAnsi="Times New Roman" w:cs="Times New Roman"/>
                <w:noProof/>
                <w:sz w:val="24"/>
                <w:szCs w:val="24"/>
              </w:rPr>
            </w:pPr>
          </w:p>
        </w:tc>
      </w:tr>
      <w:tr w:rsidR="00EA31D7" w:rsidRPr="00A642F2" w:rsidTr="00EA31D7">
        <w:trPr>
          <w:jc w:val="center"/>
        </w:trPr>
        <w:tc>
          <w:tcPr>
            <w:tcW w:w="9627" w:type="dxa"/>
            <w:gridSpan w:val="9"/>
          </w:tcPr>
          <w:p w:rsidR="00EA31D7" w:rsidRPr="00A642F2" w:rsidRDefault="00EA31D7" w:rsidP="00EA31D7">
            <w:pPr>
              <w:rPr>
                <w:rFonts w:ascii="Times New Roman" w:hAnsi="Times New Roman" w:cs="Times New Roman"/>
                <w:i/>
                <w:noProof/>
                <w:sz w:val="24"/>
                <w:szCs w:val="24"/>
              </w:rPr>
            </w:pPr>
            <w:r>
              <w:rPr>
                <w:rFonts w:ascii="Times New Roman" w:hAnsi="Times New Roman"/>
                <w:i/>
                <w:noProof/>
                <w:color w:val="000000"/>
                <w:sz w:val="24"/>
                <w:szCs w:val="24"/>
              </w:rPr>
              <w:t>Avsnitt 2: Perfluorkarboner (PFC)</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PFC-14</w:t>
            </w:r>
          </w:p>
        </w:tc>
        <w:tc>
          <w:tcPr>
            <w:tcW w:w="2426" w:type="dxa"/>
            <w:gridSpan w:val="2"/>
            <w:vAlign w:val="center"/>
          </w:tcPr>
          <w:p w:rsidR="00EA31D7" w:rsidRPr="00A642F2" w:rsidRDefault="00EA31D7" w:rsidP="00EA31D7">
            <w:pPr>
              <w:pStyle w:val="Other10"/>
              <w:spacing w:after="60"/>
              <w:rPr>
                <w:rFonts w:ascii="Times New Roman" w:hAnsi="Times New Roman" w:cs="Times New Roman"/>
                <w:noProof/>
                <w:sz w:val="24"/>
                <w:szCs w:val="24"/>
              </w:rPr>
            </w:pPr>
            <w:r>
              <w:rPr>
                <w:rFonts w:ascii="Times New Roman" w:hAnsi="Times New Roman"/>
                <w:noProof/>
                <w:color w:val="000000"/>
                <w:sz w:val="24"/>
                <w:szCs w:val="24"/>
              </w:rPr>
              <w:t>tetrafluormetan</w:t>
            </w:r>
          </w:p>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(perfluormetan, koltetrafluorid)</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sz w:val="24"/>
                <w:szCs w:val="24"/>
              </w:rPr>
              <w:t>CF</w:t>
            </w:r>
            <w:r>
              <w:rPr>
                <w:rFonts w:ascii="Times New Roman" w:hAnsi="Times New Roman"/>
                <w:smallCaps/>
                <w:noProof/>
                <w:sz w:val="24"/>
                <w:szCs w:val="24"/>
                <w:vertAlign w:val="subscript"/>
              </w:rPr>
              <w:t>4</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7 380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sz w:val="24"/>
                <w:szCs w:val="24"/>
              </w:rPr>
              <w:t>5 300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PFC-116</w:t>
            </w:r>
          </w:p>
        </w:tc>
        <w:tc>
          <w:tcPr>
            <w:tcW w:w="2426"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hexafluoretan (perfluoretan)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sz w:val="24"/>
                <w:szCs w:val="24"/>
              </w:rPr>
              <w:t>C</w:t>
            </w:r>
            <w:r>
              <w:rPr>
                <w:rFonts w:ascii="Times New Roman" w:hAnsi="Times New Roman"/>
                <w:smallCaps/>
                <w:noProof/>
                <w:sz w:val="24"/>
                <w:szCs w:val="24"/>
                <w:vertAlign w:val="subscript"/>
              </w:rPr>
              <w:t>2</w:t>
            </w:r>
            <w:r>
              <w:rPr>
                <w:rFonts w:ascii="Times New Roman" w:hAnsi="Times New Roman"/>
                <w:smallCaps/>
                <w:noProof/>
                <w:sz w:val="24"/>
                <w:szCs w:val="24"/>
              </w:rPr>
              <w:t>F</w:t>
            </w:r>
            <w:r>
              <w:rPr>
                <w:rFonts w:ascii="Times New Roman" w:hAnsi="Times New Roman"/>
                <w:smallCaps/>
                <w:noProof/>
                <w:sz w:val="24"/>
                <w:szCs w:val="24"/>
                <w:vertAlign w:val="subscript"/>
              </w:rPr>
              <w:t>6</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12 400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8 940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PFC-218</w:t>
            </w:r>
          </w:p>
        </w:tc>
        <w:tc>
          <w:tcPr>
            <w:tcW w:w="2426" w:type="dxa"/>
            <w:gridSpan w:val="2"/>
            <w:vAlign w:val="center"/>
          </w:tcPr>
          <w:p w:rsidR="00EA31D7" w:rsidRPr="00A642F2" w:rsidRDefault="00EA31D7" w:rsidP="00EA31D7">
            <w:pPr>
              <w:pStyle w:val="Other10"/>
              <w:spacing w:after="40"/>
              <w:rPr>
                <w:rFonts w:ascii="Times New Roman" w:hAnsi="Times New Roman" w:cs="Times New Roman"/>
                <w:noProof/>
                <w:sz w:val="24"/>
                <w:szCs w:val="24"/>
              </w:rPr>
            </w:pPr>
            <w:r>
              <w:rPr>
                <w:rFonts w:ascii="Times New Roman" w:hAnsi="Times New Roman"/>
                <w:noProof/>
                <w:color w:val="000000"/>
                <w:sz w:val="24"/>
                <w:szCs w:val="24"/>
              </w:rPr>
              <w:t>oktafluorpropan</w:t>
            </w:r>
          </w:p>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(perfluorpropan)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sz w:val="24"/>
                <w:szCs w:val="24"/>
              </w:rPr>
              <w:t>C</w:t>
            </w:r>
            <w:r>
              <w:rPr>
                <w:rFonts w:ascii="Times New Roman" w:hAnsi="Times New Roman"/>
                <w:smallCaps/>
                <w:noProof/>
                <w:sz w:val="24"/>
                <w:szCs w:val="24"/>
                <w:vertAlign w:val="subscript"/>
              </w:rPr>
              <w:t>3</w:t>
            </w:r>
            <w:r>
              <w:rPr>
                <w:rFonts w:ascii="Times New Roman" w:hAnsi="Times New Roman"/>
                <w:smallCaps/>
                <w:noProof/>
                <w:sz w:val="24"/>
                <w:szCs w:val="24"/>
              </w:rPr>
              <w:t>F</w:t>
            </w:r>
            <w:r>
              <w:rPr>
                <w:rFonts w:ascii="Times New Roman" w:hAnsi="Times New Roman"/>
                <w:smallCaps/>
                <w:noProof/>
                <w:sz w:val="24"/>
                <w:szCs w:val="24"/>
                <w:vertAlign w:val="subscript"/>
              </w:rPr>
              <w:t>8</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9 290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6 770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PFC-3-1-10 (R-31-10)</w:t>
            </w:r>
          </w:p>
        </w:tc>
        <w:tc>
          <w:tcPr>
            <w:tcW w:w="2426" w:type="dxa"/>
            <w:gridSpan w:val="2"/>
            <w:vAlign w:val="center"/>
          </w:tcPr>
          <w:p w:rsidR="00EA31D7" w:rsidRPr="00A642F2" w:rsidRDefault="00EA31D7" w:rsidP="00EA31D7">
            <w:pPr>
              <w:pStyle w:val="Other10"/>
              <w:spacing w:after="60"/>
              <w:rPr>
                <w:rFonts w:ascii="Times New Roman" w:hAnsi="Times New Roman" w:cs="Times New Roman"/>
                <w:noProof/>
                <w:sz w:val="24"/>
                <w:szCs w:val="24"/>
              </w:rPr>
            </w:pPr>
            <w:r>
              <w:rPr>
                <w:rFonts w:ascii="Times New Roman" w:hAnsi="Times New Roman"/>
                <w:noProof/>
                <w:color w:val="000000"/>
                <w:sz w:val="24"/>
                <w:szCs w:val="24"/>
              </w:rPr>
              <w:t>dekafluorbutan</w:t>
            </w:r>
          </w:p>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(perfluorbutan)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color w:val="000000"/>
                <w:sz w:val="24"/>
                <w:szCs w:val="24"/>
              </w:rPr>
              <w:t>C</w:t>
            </w:r>
            <w:r>
              <w:rPr>
                <w:rFonts w:ascii="Times New Roman" w:hAnsi="Times New Roman"/>
                <w:smallCaps/>
                <w:noProof/>
                <w:color w:val="000000"/>
                <w:sz w:val="24"/>
                <w:szCs w:val="24"/>
                <w:vertAlign w:val="subscript"/>
              </w:rPr>
              <w:t>4</w:t>
            </w:r>
            <w:r>
              <w:rPr>
                <w:rFonts w:ascii="Times New Roman" w:hAnsi="Times New Roman"/>
                <w:smallCaps/>
                <w:noProof/>
                <w:color w:val="000000"/>
                <w:sz w:val="24"/>
                <w:szCs w:val="24"/>
              </w:rPr>
              <w:t>F</w:t>
            </w:r>
            <w:r>
              <w:rPr>
                <w:rFonts w:ascii="Times New Roman" w:hAnsi="Times New Roman"/>
                <w:smallCaps/>
                <w:noProof/>
                <w:color w:val="000000"/>
                <w:sz w:val="24"/>
                <w:szCs w:val="24"/>
                <w:vertAlign w:val="subscript"/>
              </w:rPr>
              <w:t>10</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10 000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7 300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PFC-4-1-12 (R-41-12)</w:t>
            </w:r>
          </w:p>
        </w:tc>
        <w:tc>
          <w:tcPr>
            <w:tcW w:w="2426" w:type="dxa"/>
            <w:gridSpan w:val="2"/>
            <w:vAlign w:val="center"/>
          </w:tcPr>
          <w:p w:rsidR="00EA31D7" w:rsidRPr="00A642F2" w:rsidRDefault="00EA31D7" w:rsidP="00EA31D7">
            <w:pPr>
              <w:pStyle w:val="Other10"/>
              <w:spacing w:after="60"/>
              <w:rPr>
                <w:rFonts w:ascii="Times New Roman" w:hAnsi="Times New Roman" w:cs="Times New Roman"/>
                <w:noProof/>
                <w:sz w:val="24"/>
                <w:szCs w:val="24"/>
              </w:rPr>
            </w:pPr>
            <w:r>
              <w:rPr>
                <w:rFonts w:ascii="Times New Roman" w:hAnsi="Times New Roman"/>
                <w:noProof/>
                <w:color w:val="000000"/>
                <w:sz w:val="24"/>
                <w:szCs w:val="24"/>
              </w:rPr>
              <w:t>dodekafluorpentan</w:t>
            </w:r>
          </w:p>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(perfluorpentan)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sz w:val="24"/>
                <w:szCs w:val="24"/>
              </w:rPr>
              <w:t>C</w:t>
            </w:r>
            <w:r>
              <w:rPr>
                <w:rFonts w:ascii="Times New Roman" w:hAnsi="Times New Roman"/>
                <w:smallCaps/>
                <w:noProof/>
                <w:sz w:val="24"/>
                <w:szCs w:val="24"/>
                <w:vertAlign w:val="subscript"/>
              </w:rPr>
              <w:t>5</w:t>
            </w:r>
            <w:r>
              <w:rPr>
                <w:rFonts w:ascii="Times New Roman" w:hAnsi="Times New Roman"/>
                <w:smallCaps/>
                <w:noProof/>
                <w:sz w:val="24"/>
                <w:szCs w:val="24"/>
              </w:rPr>
              <w:t>F</w:t>
            </w:r>
            <w:r>
              <w:rPr>
                <w:rFonts w:ascii="Times New Roman" w:hAnsi="Times New Roman"/>
                <w:smallCaps/>
                <w:noProof/>
                <w:sz w:val="24"/>
                <w:szCs w:val="24"/>
                <w:vertAlign w:val="subscript"/>
              </w:rPr>
              <w:t>12</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9 220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6 680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PFC-5-1-14 (R-51-14)</w:t>
            </w:r>
          </w:p>
        </w:tc>
        <w:tc>
          <w:tcPr>
            <w:tcW w:w="2426" w:type="dxa"/>
            <w:gridSpan w:val="2"/>
            <w:vAlign w:val="center"/>
          </w:tcPr>
          <w:p w:rsidR="00EA31D7" w:rsidRPr="00A642F2" w:rsidRDefault="00EA31D7" w:rsidP="00EA31D7">
            <w:pPr>
              <w:pStyle w:val="Other10"/>
              <w:spacing w:after="60"/>
              <w:rPr>
                <w:rFonts w:ascii="Times New Roman" w:hAnsi="Times New Roman" w:cs="Times New Roman"/>
                <w:noProof/>
                <w:sz w:val="24"/>
                <w:szCs w:val="24"/>
              </w:rPr>
            </w:pPr>
            <w:r>
              <w:rPr>
                <w:rFonts w:ascii="Times New Roman" w:hAnsi="Times New Roman"/>
                <w:noProof/>
                <w:color w:val="000000"/>
                <w:sz w:val="24"/>
                <w:szCs w:val="24"/>
              </w:rPr>
              <w:t>tetradekafluorhexan</w:t>
            </w:r>
          </w:p>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(perfluorhexan)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sz w:val="24"/>
                <w:szCs w:val="24"/>
              </w:rPr>
              <w:t>CF</w:t>
            </w:r>
            <w:r>
              <w:rPr>
                <w:rFonts w:ascii="Times New Roman" w:hAnsi="Times New Roman"/>
                <w:smallCaps/>
                <w:noProof/>
                <w:sz w:val="24"/>
                <w:szCs w:val="24"/>
                <w:vertAlign w:val="subscript"/>
              </w:rPr>
              <w:t>3</w:t>
            </w:r>
            <w:r>
              <w:rPr>
                <w:rFonts w:ascii="Times New Roman" w:hAnsi="Times New Roman"/>
                <w:smallCaps/>
                <w:noProof/>
                <w:sz w:val="24"/>
                <w:szCs w:val="24"/>
              </w:rPr>
              <w:t>CF</w:t>
            </w:r>
            <w:r>
              <w:rPr>
                <w:rFonts w:ascii="Times New Roman" w:hAnsi="Times New Roman"/>
                <w:smallCaps/>
                <w:noProof/>
                <w:sz w:val="24"/>
                <w:szCs w:val="24"/>
                <w:vertAlign w:val="subscript"/>
              </w:rPr>
              <w:t>2</w:t>
            </w:r>
            <w:r>
              <w:rPr>
                <w:rFonts w:ascii="Times New Roman" w:hAnsi="Times New Roman"/>
                <w:smallCaps/>
                <w:noProof/>
                <w:sz w:val="24"/>
                <w:szCs w:val="24"/>
              </w:rPr>
              <w:t>CF</w:t>
            </w:r>
            <w:r>
              <w:rPr>
                <w:rFonts w:ascii="Times New Roman" w:hAnsi="Times New Roman"/>
                <w:smallCaps/>
                <w:noProof/>
                <w:sz w:val="24"/>
                <w:szCs w:val="24"/>
                <w:vertAlign w:val="subscript"/>
              </w:rPr>
              <w:t>2</w:t>
            </w:r>
            <w:r>
              <w:rPr>
                <w:rFonts w:ascii="Times New Roman" w:hAnsi="Times New Roman"/>
                <w:smallCaps/>
                <w:noProof/>
                <w:sz w:val="24"/>
                <w:szCs w:val="24"/>
              </w:rPr>
              <w:t>CF</w:t>
            </w:r>
            <w:r>
              <w:rPr>
                <w:rFonts w:ascii="Times New Roman" w:hAnsi="Times New Roman"/>
                <w:smallCaps/>
                <w:noProof/>
                <w:sz w:val="24"/>
                <w:szCs w:val="24"/>
                <w:vertAlign w:val="subscript"/>
              </w:rPr>
              <w:t>2</w:t>
            </w:r>
            <w:r>
              <w:rPr>
                <w:rFonts w:ascii="Times New Roman" w:hAnsi="Times New Roman"/>
                <w:smallCaps/>
                <w:noProof/>
                <w:sz w:val="24"/>
                <w:szCs w:val="24"/>
              </w:rPr>
              <w:t>CF</w:t>
            </w:r>
            <w:r>
              <w:rPr>
                <w:rFonts w:ascii="Times New Roman" w:hAnsi="Times New Roman"/>
                <w:smallCaps/>
                <w:noProof/>
                <w:sz w:val="24"/>
                <w:szCs w:val="24"/>
                <w:vertAlign w:val="subscript"/>
              </w:rPr>
              <w:t>2</w:t>
            </w:r>
            <w:r>
              <w:rPr>
                <w:rFonts w:ascii="Times New Roman" w:hAnsi="Times New Roman"/>
                <w:smallCaps/>
                <w:noProof/>
                <w:sz w:val="24"/>
                <w:szCs w:val="24"/>
              </w:rPr>
              <w:t>CF</w:t>
            </w:r>
            <w:r>
              <w:rPr>
                <w:rFonts w:ascii="Times New Roman" w:hAnsi="Times New Roman"/>
                <w:smallCaps/>
                <w:noProof/>
                <w:sz w:val="24"/>
                <w:szCs w:val="24"/>
                <w:vertAlign w:val="subscript"/>
              </w:rPr>
              <w:t>3</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8 620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6 260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PFC-c-318</w:t>
            </w:r>
          </w:p>
        </w:tc>
        <w:tc>
          <w:tcPr>
            <w:tcW w:w="2426" w:type="dxa"/>
            <w:gridSpan w:val="2"/>
            <w:vAlign w:val="center"/>
          </w:tcPr>
          <w:p w:rsidR="00EA31D7" w:rsidRPr="00A642F2" w:rsidRDefault="00EA31D7" w:rsidP="00EA31D7">
            <w:pPr>
              <w:pStyle w:val="Other10"/>
              <w:spacing w:after="40"/>
              <w:rPr>
                <w:rFonts w:ascii="Times New Roman" w:hAnsi="Times New Roman" w:cs="Times New Roman"/>
                <w:noProof/>
                <w:sz w:val="24"/>
                <w:szCs w:val="24"/>
              </w:rPr>
            </w:pPr>
            <w:r>
              <w:rPr>
                <w:rFonts w:ascii="Times New Roman" w:hAnsi="Times New Roman"/>
                <w:noProof/>
                <w:color w:val="000000"/>
                <w:sz w:val="24"/>
                <w:szCs w:val="24"/>
              </w:rPr>
              <w:t>oktafluorcyklobutan</w:t>
            </w:r>
          </w:p>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(perfluorcyklobutan)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color w:val="000000"/>
                <w:sz w:val="24"/>
                <w:szCs w:val="24"/>
              </w:rPr>
              <w:t>c-C</w:t>
            </w:r>
            <w:r>
              <w:rPr>
                <w:rFonts w:ascii="Times New Roman" w:hAnsi="Times New Roman"/>
                <w:smallCaps/>
                <w:noProof/>
                <w:color w:val="000000"/>
                <w:sz w:val="24"/>
                <w:szCs w:val="24"/>
                <w:vertAlign w:val="subscript"/>
              </w:rPr>
              <w:t>4</w:t>
            </w:r>
            <w:r>
              <w:rPr>
                <w:rFonts w:ascii="Times New Roman" w:hAnsi="Times New Roman"/>
                <w:smallCaps/>
                <w:noProof/>
                <w:color w:val="000000"/>
                <w:sz w:val="24"/>
                <w:szCs w:val="24"/>
              </w:rPr>
              <w:t>F</w:t>
            </w:r>
            <w:r>
              <w:rPr>
                <w:rFonts w:ascii="Times New Roman" w:hAnsi="Times New Roman"/>
                <w:smallCaps/>
                <w:noProof/>
                <w:color w:val="000000"/>
                <w:sz w:val="24"/>
                <w:szCs w:val="24"/>
                <w:vertAlign w:val="subscript"/>
              </w:rPr>
              <w:t>8</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10 200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7 400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sz w:val="24"/>
                <w:szCs w:val="24"/>
              </w:rPr>
              <w:t>PFC-9-1-18 (R-91-18)</w:t>
            </w:r>
          </w:p>
        </w:tc>
        <w:tc>
          <w:tcPr>
            <w:tcW w:w="2426"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sz w:val="24"/>
                <w:szCs w:val="24"/>
              </w:rPr>
              <w:t>perfluordecalin</w:t>
            </w:r>
          </w:p>
        </w:tc>
        <w:tc>
          <w:tcPr>
            <w:tcW w:w="2490"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smallCaps/>
                <w:noProof/>
                <w:color w:val="000000"/>
                <w:sz w:val="24"/>
                <w:szCs w:val="24"/>
              </w:rPr>
              <w:t>C</w:t>
            </w:r>
            <w:r>
              <w:rPr>
                <w:rFonts w:ascii="Times New Roman" w:hAnsi="Times New Roman"/>
                <w:smallCaps/>
                <w:noProof/>
                <w:color w:val="000000"/>
                <w:sz w:val="24"/>
                <w:szCs w:val="24"/>
                <w:vertAlign w:val="subscript"/>
              </w:rPr>
              <w:t>10</w:t>
            </w:r>
            <w:r>
              <w:rPr>
                <w:rFonts w:ascii="Times New Roman" w:hAnsi="Times New Roman"/>
                <w:smallCaps/>
                <w:noProof/>
                <w:color w:val="000000"/>
                <w:sz w:val="24"/>
                <w:szCs w:val="24"/>
              </w:rPr>
              <w:t>F</w:t>
            </w:r>
            <w:r>
              <w:rPr>
                <w:rFonts w:ascii="Times New Roman" w:hAnsi="Times New Roman"/>
                <w:smallCaps/>
                <w:noProof/>
                <w:color w:val="000000"/>
                <w:sz w:val="24"/>
                <w:szCs w:val="24"/>
                <w:vertAlign w:val="subscript"/>
              </w:rPr>
              <w:t>18</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7 480</w:t>
            </w:r>
          </w:p>
        </w:tc>
        <w:tc>
          <w:tcPr>
            <w:tcW w:w="1399"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5 480</w:t>
            </w:r>
          </w:p>
        </w:tc>
      </w:tr>
      <w:tr w:rsidR="00EA31D7" w:rsidRPr="00A642F2" w:rsidTr="00EA31D7">
        <w:trPr>
          <w:jc w:val="center"/>
        </w:trPr>
        <w:tc>
          <w:tcPr>
            <w:tcW w:w="1675" w:type="dxa"/>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sz w:val="24"/>
                <w:szCs w:val="24"/>
              </w:rPr>
              <w:t>PFC-4-1-14</w:t>
            </w:r>
          </w:p>
          <w:p w:rsidR="00EA31D7" w:rsidRPr="00A642F2" w:rsidRDefault="00EA31D7" w:rsidP="00EA31D7">
            <w:pPr>
              <w:rPr>
                <w:rFonts w:ascii="Times New Roman" w:hAnsi="Times New Roman" w:cs="Times New Roman"/>
                <w:noProof/>
                <w:sz w:val="24"/>
                <w:szCs w:val="24"/>
              </w:rPr>
            </w:pPr>
            <w:r>
              <w:rPr>
                <w:rFonts w:ascii="Times New Roman" w:hAnsi="Times New Roman"/>
                <w:noProof/>
                <w:sz w:val="24"/>
                <w:szCs w:val="24"/>
              </w:rPr>
              <w:t>(R-41-14)</w:t>
            </w:r>
          </w:p>
        </w:tc>
        <w:tc>
          <w:tcPr>
            <w:tcW w:w="2426"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sz w:val="24"/>
                <w:szCs w:val="24"/>
              </w:rPr>
              <w:t>perfluor-2-metylpentan</w:t>
            </w:r>
          </w:p>
        </w:tc>
        <w:tc>
          <w:tcPr>
            <w:tcW w:w="2490" w:type="dxa"/>
            <w:gridSpan w:val="2"/>
            <w:vAlign w:val="center"/>
          </w:tcPr>
          <w:p w:rsidR="00EA31D7" w:rsidRPr="00A642F2" w:rsidRDefault="00EA31D7" w:rsidP="00EA31D7">
            <w:pPr>
              <w:rPr>
                <w:rFonts w:ascii="Times New Roman" w:eastAsia="Times New Roman" w:hAnsi="Times New Roman" w:cs="Times New Roman"/>
                <w:smallCaps/>
                <w:noProof/>
                <w:color w:val="000000"/>
                <w:sz w:val="24"/>
                <w:szCs w:val="24"/>
              </w:rPr>
            </w:pPr>
            <w:r>
              <w:rPr>
                <w:rFonts w:ascii="Times New Roman" w:hAnsi="Times New Roman"/>
                <w:smallCaps/>
                <w:noProof/>
                <w:color w:val="000000"/>
                <w:sz w:val="24"/>
                <w:szCs w:val="24"/>
              </w:rPr>
              <w:t>CF</w:t>
            </w:r>
            <w:r>
              <w:rPr>
                <w:rFonts w:ascii="Times New Roman" w:hAnsi="Times New Roman"/>
                <w:smallCaps/>
                <w:noProof/>
                <w:color w:val="000000"/>
                <w:sz w:val="24"/>
                <w:szCs w:val="24"/>
                <w:vertAlign w:val="subscript"/>
              </w:rPr>
              <w:t>3</w:t>
            </w:r>
            <w:r>
              <w:rPr>
                <w:rFonts w:ascii="Times New Roman" w:hAnsi="Times New Roman"/>
                <w:smallCaps/>
                <w:noProof/>
                <w:color w:val="000000"/>
                <w:sz w:val="24"/>
                <w:szCs w:val="24"/>
              </w:rPr>
              <w:t>CFCF</w:t>
            </w:r>
            <w:r>
              <w:rPr>
                <w:rFonts w:ascii="Times New Roman" w:hAnsi="Times New Roman"/>
                <w:smallCaps/>
                <w:noProof/>
                <w:color w:val="000000"/>
                <w:sz w:val="24"/>
                <w:szCs w:val="24"/>
                <w:vertAlign w:val="subscript"/>
              </w:rPr>
              <w:t>3</w:t>
            </w:r>
            <w:r>
              <w:rPr>
                <w:rFonts w:ascii="Times New Roman" w:hAnsi="Times New Roman"/>
                <w:smallCaps/>
                <w:noProof/>
                <w:color w:val="000000"/>
                <w:sz w:val="24"/>
                <w:szCs w:val="24"/>
              </w:rPr>
              <w:t>CF</w:t>
            </w:r>
            <w:r>
              <w:rPr>
                <w:rFonts w:ascii="Times New Roman" w:hAnsi="Times New Roman"/>
                <w:smallCaps/>
                <w:noProof/>
                <w:color w:val="000000"/>
                <w:sz w:val="24"/>
                <w:szCs w:val="24"/>
                <w:vertAlign w:val="subscript"/>
              </w:rPr>
              <w:t>2</w:t>
            </w:r>
            <w:r>
              <w:rPr>
                <w:rFonts w:ascii="Times New Roman" w:hAnsi="Times New Roman"/>
                <w:smallCaps/>
                <w:noProof/>
                <w:color w:val="000000"/>
                <w:sz w:val="24"/>
                <w:szCs w:val="24"/>
              </w:rPr>
              <w:t>CF</w:t>
            </w:r>
            <w:r>
              <w:rPr>
                <w:rFonts w:ascii="Times New Roman" w:hAnsi="Times New Roman"/>
                <w:smallCaps/>
                <w:noProof/>
                <w:color w:val="000000"/>
                <w:sz w:val="24"/>
                <w:szCs w:val="24"/>
                <w:vertAlign w:val="subscript"/>
              </w:rPr>
              <w:t>2</w:t>
            </w:r>
            <w:r>
              <w:rPr>
                <w:rFonts w:ascii="Times New Roman" w:hAnsi="Times New Roman"/>
                <w:smallCaps/>
                <w:noProof/>
                <w:color w:val="000000"/>
                <w:sz w:val="24"/>
                <w:szCs w:val="24"/>
              </w:rPr>
              <w:t>CF</w:t>
            </w:r>
            <w:r>
              <w:rPr>
                <w:rFonts w:ascii="Times New Roman" w:hAnsi="Times New Roman"/>
                <w:smallCaps/>
                <w:noProof/>
                <w:color w:val="000000"/>
                <w:sz w:val="24"/>
                <w:szCs w:val="24"/>
                <w:vertAlign w:val="subscript"/>
              </w:rPr>
              <w:t>3</w:t>
            </w:r>
          </w:p>
          <w:p w:rsidR="00EA31D7" w:rsidRPr="00A642F2" w:rsidRDefault="00EA31D7" w:rsidP="00EA31D7">
            <w:pPr>
              <w:rPr>
                <w:rFonts w:ascii="Times New Roman" w:hAnsi="Times New Roman" w:cs="Times New Roman"/>
                <w:noProof/>
                <w:sz w:val="24"/>
                <w:szCs w:val="24"/>
              </w:rPr>
            </w:pPr>
            <w:r>
              <w:rPr>
                <w:rFonts w:ascii="Times New Roman" w:hAnsi="Times New Roman"/>
                <w:smallCaps/>
                <w:noProof/>
                <w:color w:val="000000"/>
                <w:sz w:val="24"/>
                <w:szCs w:val="24"/>
              </w:rPr>
              <w:t>(i-C</w:t>
            </w:r>
            <w:r>
              <w:rPr>
                <w:rFonts w:ascii="Times New Roman" w:hAnsi="Times New Roman"/>
                <w:smallCaps/>
                <w:noProof/>
                <w:color w:val="000000"/>
                <w:sz w:val="24"/>
                <w:szCs w:val="24"/>
                <w:vertAlign w:val="subscript"/>
              </w:rPr>
              <w:t>6</w:t>
            </w:r>
            <w:r>
              <w:rPr>
                <w:rFonts w:ascii="Times New Roman" w:hAnsi="Times New Roman"/>
                <w:smallCaps/>
                <w:noProof/>
                <w:color w:val="000000"/>
                <w:sz w:val="24"/>
                <w:szCs w:val="24"/>
              </w:rPr>
              <w:t>F</w:t>
            </w:r>
            <w:r>
              <w:rPr>
                <w:rFonts w:ascii="Times New Roman" w:hAnsi="Times New Roman"/>
                <w:smallCaps/>
                <w:noProof/>
                <w:color w:val="000000"/>
                <w:sz w:val="24"/>
                <w:szCs w:val="24"/>
                <w:vertAlign w:val="subscript"/>
              </w:rPr>
              <w:t>14</w:t>
            </w:r>
            <w:r>
              <w:rPr>
                <w:rFonts w:ascii="Times New Roman" w:hAnsi="Times New Roman"/>
                <w:smallCaps/>
                <w:noProof/>
                <w:color w:val="000000"/>
                <w:sz w:val="24"/>
                <w:szCs w:val="24"/>
              </w:rPr>
              <w:t>)</w:t>
            </w:r>
          </w:p>
        </w:tc>
        <w:tc>
          <w:tcPr>
            <w:tcW w:w="1637" w:type="dxa"/>
            <w:gridSpan w:val="2"/>
            <w:vAlign w:val="center"/>
          </w:tcPr>
          <w:p w:rsidR="00EA31D7" w:rsidRPr="00A642F2" w:rsidRDefault="00EA31D7" w:rsidP="00EA31D7">
            <w:pPr>
              <w:rPr>
                <w:rFonts w:ascii="Times New Roman" w:hAnsi="Times New Roman" w:cs="Times New Roman"/>
                <w:noProof/>
                <w:sz w:val="24"/>
                <w:szCs w:val="24"/>
              </w:rPr>
            </w:pPr>
            <w:r>
              <w:rPr>
                <w:rFonts w:ascii="Times New Roman" w:hAnsi="Times New Roman"/>
                <w:noProof/>
                <w:color w:val="000000"/>
                <w:sz w:val="24"/>
                <w:szCs w:val="24"/>
              </w:rPr>
              <w:t xml:space="preserve">7 370 </w:t>
            </w:r>
            <w:r>
              <w:rPr>
                <w:rFonts w:ascii="Times New Roman" w:hAnsi="Times New Roman"/>
                <w:noProof/>
                <w:color w:val="000000"/>
                <w:sz w:val="24"/>
                <w:szCs w:val="24"/>
                <w:vertAlign w:val="superscript"/>
              </w:rPr>
              <w:t>(</w:t>
            </w:r>
            <w:r>
              <w:rPr>
                <w:rStyle w:val="FootnoteReference"/>
                <w:rFonts w:ascii="Times New Roman" w:eastAsia="Times New Roman" w:hAnsi="Times New Roman" w:cs="Times New Roman"/>
                <w:noProof/>
                <w:color w:val="000000"/>
                <w:sz w:val="24"/>
                <w:szCs w:val="24"/>
              </w:rPr>
              <w:footnoteReference w:id="4"/>
            </w:r>
            <w:r>
              <w:rPr>
                <w:rFonts w:ascii="Times New Roman" w:hAnsi="Times New Roman"/>
                <w:noProof/>
                <w:color w:val="000000"/>
                <w:sz w:val="24"/>
                <w:szCs w:val="24"/>
                <w:vertAlign w:val="superscript"/>
              </w:rPr>
              <w:t>)</w:t>
            </w:r>
          </w:p>
        </w:tc>
        <w:tc>
          <w:tcPr>
            <w:tcW w:w="1399" w:type="dxa"/>
            <w:gridSpan w:val="2"/>
            <w:vAlign w:val="center"/>
          </w:tcPr>
          <w:p w:rsidR="00EA31D7" w:rsidRPr="00A642F2" w:rsidRDefault="00EA31D7" w:rsidP="00EA31D7">
            <w:pPr>
              <w:jc w:val="center"/>
              <w:rPr>
                <w:rFonts w:ascii="Times New Roman" w:hAnsi="Times New Roman" w:cs="Times New Roman"/>
                <w:noProof/>
                <w:sz w:val="24"/>
                <w:szCs w:val="24"/>
              </w:rPr>
            </w:pPr>
            <w:r>
              <w:rPr>
                <w:rFonts w:ascii="Times New Roman" w:hAnsi="Times New Roman"/>
                <w:bCs/>
                <w:noProof/>
                <w:sz w:val="24"/>
                <w:szCs w:val="24"/>
              </w:rPr>
              <w:t>(</w:t>
            </w:r>
            <w:r>
              <w:rPr>
                <w:rStyle w:val="FootnoteReference"/>
                <w:rFonts w:ascii="Times New Roman" w:hAnsi="Times New Roman" w:cs="Times New Roman"/>
                <w:bCs/>
                <w:noProof/>
                <w:sz w:val="24"/>
                <w:szCs w:val="24"/>
              </w:rPr>
              <w:footnoteReference w:customMarkFollows="1" w:id="5"/>
              <w:t>*</w:t>
            </w:r>
            <w:r>
              <w:rPr>
                <w:rFonts w:ascii="Times New Roman" w:hAnsi="Times New Roman"/>
                <w:bCs/>
                <w:noProof/>
                <w:sz w:val="24"/>
                <w:szCs w:val="24"/>
              </w:rPr>
              <w:t>)</w:t>
            </w:r>
          </w:p>
        </w:tc>
      </w:tr>
      <w:tr w:rsidR="00EA31D7" w:rsidRPr="00A642F2" w:rsidTr="00EA31D7">
        <w:trPr>
          <w:jc w:val="center"/>
        </w:trPr>
        <w:tc>
          <w:tcPr>
            <w:tcW w:w="9627" w:type="dxa"/>
            <w:gridSpan w:val="9"/>
          </w:tcPr>
          <w:p w:rsidR="00EA31D7" w:rsidRPr="00A642F2" w:rsidRDefault="00EA31D7" w:rsidP="00EA31D7">
            <w:pPr>
              <w:rPr>
                <w:rFonts w:ascii="Times New Roman" w:hAnsi="Times New Roman" w:cs="Times New Roman"/>
                <w:i/>
                <w:noProof/>
                <w:sz w:val="24"/>
                <w:szCs w:val="24"/>
              </w:rPr>
            </w:pPr>
            <w:r>
              <w:rPr>
                <w:rFonts w:ascii="Times New Roman" w:hAnsi="Times New Roman"/>
                <w:i/>
                <w:noProof/>
                <w:color w:val="000000"/>
                <w:sz w:val="24"/>
                <w:szCs w:val="24"/>
              </w:rPr>
              <w:t>Avsnitt 3: Andra perfluorerade föreningar</w:t>
            </w:r>
          </w:p>
        </w:tc>
      </w:tr>
      <w:tr w:rsidR="00EA31D7" w:rsidRPr="00A642F2" w:rsidTr="00EA31D7">
        <w:trPr>
          <w:jc w:val="center"/>
        </w:trPr>
        <w:tc>
          <w:tcPr>
            <w:tcW w:w="1746" w:type="dxa"/>
            <w:gridSpan w:val="2"/>
            <w:vAlign w:val="center"/>
          </w:tcPr>
          <w:p w:rsidR="00EA31D7" w:rsidRPr="00A642F2" w:rsidRDefault="00EA31D7" w:rsidP="00EA31D7">
            <w:pPr>
              <w:rPr>
                <w:rFonts w:ascii="Times New Roman" w:eastAsia="Times New Roman" w:hAnsi="Times New Roman" w:cs="Times New Roman"/>
                <w:noProof/>
                <w:color w:val="000000"/>
                <w:sz w:val="24"/>
                <w:szCs w:val="24"/>
              </w:rPr>
            </w:pPr>
          </w:p>
        </w:tc>
        <w:tc>
          <w:tcPr>
            <w:tcW w:w="2371" w:type="dxa"/>
            <w:gridSpan w:val="2"/>
            <w:vAlign w:val="center"/>
          </w:tcPr>
          <w:p w:rsidR="00EA31D7" w:rsidRPr="00A642F2" w:rsidRDefault="00EA31D7" w:rsidP="00EA31D7">
            <w:pPr>
              <w:rPr>
                <w:rFonts w:ascii="Times New Roman" w:eastAsia="Times New Roman" w:hAnsi="Times New Roman" w:cs="Times New Roman"/>
                <w:noProof/>
                <w:color w:val="000000"/>
                <w:sz w:val="24"/>
                <w:szCs w:val="24"/>
              </w:rPr>
            </w:pPr>
            <w:r>
              <w:rPr>
                <w:rFonts w:ascii="Times New Roman" w:hAnsi="Times New Roman"/>
                <w:noProof/>
                <w:color w:val="000000"/>
                <w:sz w:val="24"/>
                <w:szCs w:val="24"/>
              </w:rPr>
              <w:t>svavelhexafluorid</w:t>
            </w:r>
          </w:p>
        </w:tc>
        <w:tc>
          <w:tcPr>
            <w:tcW w:w="2569" w:type="dxa"/>
            <w:gridSpan w:val="2"/>
            <w:vAlign w:val="center"/>
          </w:tcPr>
          <w:p w:rsidR="00EA31D7" w:rsidRPr="00A642F2" w:rsidRDefault="00EA31D7" w:rsidP="00EA31D7">
            <w:pPr>
              <w:rPr>
                <w:rFonts w:ascii="Times New Roman" w:eastAsia="Times New Roman" w:hAnsi="Times New Roman" w:cs="Times New Roman"/>
                <w:noProof/>
                <w:color w:val="000000"/>
                <w:sz w:val="24"/>
                <w:szCs w:val="24"/>
              </w:rPr>
            </w:pPr>
            <w:r>
              <w:rPr>
                <w:rFonts w:ascii="Times New Roman" w:hAnsi="Times New Roman"/>
                <w:noProof/>
                <w:color w:val="000000"/>
                <w:sz w:val="24"/>
                <w:szCs w:val="24"/>
              </w:rPr>
              <w:t>SF</w:t>
            </w:r>
            <w:r>
              <w:rPr>
                <w:rFonts w:ascii="Times New Roman" w:hAnsi="Times New Roman"/>
                <w:noProof/>
                <w:color w:val="000000"/>
                <w:sz w:val="24"/>
                <w:szCs w:val="24"/>
                <w:vertAlign w:val="subscript"/>
              </w:rPr>
              <w:t>6</w:t>
            </w:r>
          </w:p>
        </w:tc>
        <w:tc>
          <w:tcPr>
            <w:tcW w:w="1599" w:type="dxa"/>
            <w:gridSpan w:val="2"/>
            <w:vAlign w:val="center"/>
          </w:tcPr>
          <w:p w:rsidR="00EA31D7" w:rsidRPr="00A642F2" w:rsidRDefault="00EA31D7" w:rsidP="00EA31D7">
            <w:pPr>
              <w:rPr>
                <w:rFonts w:ascii="Times New Roman" w:eastAsia="Times New Roman" w:hAnsi="Times New Roman" w:cs="Times New Roman"/>
                <w:noProof/>
                <w:color w:val="000000"/>
                <w:sz w:val="24"/>
                <w:szCs w:val="24"/>
              </w:rPr>
            </w:pPr>
            <w:r>
              <w:rPr>
                <w:rFonts w:ascii="Times New Roman" w:hAnsi="Times New Roman"/>
                <w:noProof/>
                <w:color w:val="000000"/>
                <w:sz w:val="24"/>
                <w:szCs w:val="24"/>
              </w:rPr>
              <w:t>25 200</w:t>
            </w:r>
          </w:p>
        </w:tc>
        <w:tc>
          <w:tcPr>
            <w:tcW w:w="1342" w:type="dxa"/>
            <w:vAlign w:val="center"/>
          </w:tcPr>
          <w:p w:rsidR="00EA31D7" w:rsidRPr="00A642F2" w:rsidRDefault="00EA31D7" w:rsidP="00EA31D7">
            <w:pPr>
              <w:rPr>
                <w:rFonts w:ascii="Times New Roman" w:eastAsia="Times New Roman" w:hAnsi="Times New Roman" w:cs="Times New Roman"/>
                <w:noProof/>
                <w:color w:val="000000"/>
                <w:sz w:val="24"/>
                <w:szCs w:val="24"/>
              </w:rPr>
            </w:pPr>
            <w:r>
              <w:rPr>
                <w:rFonts w:ascii="Times New Roman" w:hAnsi="Times New Roman"/>
                <w:noProof/>
                <w:color w:val="000000"/>
                <w:sz w:val="24"/>
                <w:szCs w:val="24"/>
              </w:rPr>
              <w:t>18 300</w:t>
            </w:r>
          </w:p>
        </w:tc>
      </w:tr>
    </w:tbl>
    <w:p w:rsidR="00EA31D7" w:rsidRPr="00D43C22" w:rsidRDefault="00EA31D7" w:rsidP="00EA31D7">
      <w:pPr>
        <w:spacing w:line="1" w:lineRule="exact"/>
        <w:rPr>
          <w:noProof/>
          <w:szCs w:val="24"/>
        </w:rPr>
      </w:pPr>
    </w:p>
    <w:p w:rsidR="00EA31D7" w:rsidRDefault="00EA31D7">
      <w:pPr>
        <w:spacing w:after="0"/>
        <w:jc w:val="left"/>
        <w:rPr>
          <w:noProof/>
        </w:rPr>
      </w:pPr>
      <w:r>
        <w:rPr>
          <w:noProof/>
        </w:rPr>
        <w:br w:type="page"/>
      </w:r>
    </w:p>
    <w:p w:rsidR="00EA31D7" w:rsidRPr="004C2691" w:rsidRDefault="00EA31D7" w:rsidP="00EA31D7">
      <w:pPr>
        <w:pStyle w:val="Annexetitre"/>
        <w:rPr>
          <w:noProof/>
          <w:szCs w:val="24"/>
        </w:rPr>
      </w:pPr>
      <w:r>
        <w:rPr>
          <w:noProof/>
        </w:rPr>
        <w:t>BILAGA II</w:t>
      </w:r>
    </w:p>
    <w:p w:rsidR="00EA31D7" w:rsidRPr="004C2691" w:rsidRDefault="00EA31D7" w:rsidP="00EA31D7">
      <w:pPr>
        <w:jc w:val="center"/>
        <w:rPr>
          <w:b/>
          <w:i/>
          <w:noProof/>
          <w:szCs w:val="24"/>
        </w:rPr>
      </w:pPr>
      <w:r>
        <w:rPr>
          <w:b/>
          <w:bCs/>
          <w:i/>
          <w:iCs/>
          <w:noProof/>
          <w:szCs w:val="24"/>
        </w:rPr>
        <w:t>Andra fluorerade växthusgaser som avses i artikel 2.1</w:t>
      </w:r>
      <w:r>
        <w:rPr>
          <w:rStyle w:val="FootnoteReference"/>
          <w:noProof/>
          <w:szCs w:val="24"/>
        </w:rPr>
        <w:footnoteReference w:id="6"/>
      </w:r>
    </w:p>
    <w:tbl>
      <w:tblPr>
        <w:tblOverlap w:val="never"/>
        <w:tblW w:w="9777" w:type="dxa"/>
        <w:jc w:val="center"/>
        <w:tblLayout w:type="fixed"/>
        <w:tblCellMar>
          <w:left w:w="10" w:type="dxa"/>
          <w:right w:w="10" w:type="dxa"/>
        </w:tblCellMar>
        <w:tblLook w:val="0000" w:firstRow="0" w:lastRow="0" w:firstColumn="0" w:lastColumn="0" w:noHBand="0" w:noVBand="0"/>
      </w:tblPr>
      <w:tblGrid>
        <w:gridCol w:w="3768"/>
        <w:gridCol w:w="2799"/>
        <w:gridCol w:w="1660"/>
        <w:gridCol w:w="1550"/>
      </w:tblGrid>
      <w:tr w:rsidR="00EA31D7" w:rsidRPr="004C2691" w:rsidTr="00EA31D7">
        <w:trPr>
          <w:trHeight w:hRule="exact" w:val="370"/>
          <w:jc w:val="center"/>
        </w:trPr>
        <w:tc>
          <w:tcPr>
            <w:tcW w:w="656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
                <w:noProof/>
                <w:sz w:val="24"/>
                <w:szCs w:val="24"/>
              </w:rPr>
            </w:pPr>
            <w:r>
              <w:rPr>
                <w:b/>
                <w:noProof/>
                <w:color w:val="000000"/>
                <w:sz w:val="24"/>
                <w:szCs w:val="24"/>
              </w:rPr>
              <w:t>Ämne</w:t>
            </w:r>
          </w:p>
        </w:tc>
        <w:tc>
          <w:tcPr>
            <w:tcW w:w="1660" w:type="dxa"/>
            <w:vMerge w:val="restart"/>
            <w:tcBorders>
              <w:top w:val="single" w:sz="4" w:space="0" w:color="auto"/>
              <w:left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
                <w:noProof/>
                <w:sz w:val="24"/>
                <w:szCs w:val="24"/>
              </w:rPr>
            </w:pPr>
            <w:r>
              <w:rPr>
                <w:b/>
                <w:noProof/>
                <w:sz w:val="24"/>
                <w:szCs w:val="24"/>
              </w:rPr>
              <w:t xml:space="preserve">GWP </w:t>
            </w:r>
            <w:r>
              <w:rPr>
                <w:b/>
                <w:noProof/>
                <w:sz w:val="24"/>
                <w:szCs w:val="24"/>
                <w:vertAlign w:val="superscript"/>
              </w:rPr>
              <w:t>(</w:t>
            </w:r>
            <w:bookmarkStart w:id="3" w:name="_Ref98238225"/>
            <w:r>
              <w:rPr>
                <w:rStyle w:val="FootnoteReference"/>
                <w:b/>
                <w:noProof/>
                <w:sz w:val="24"/>
                <w:szCs w:val="24"/>
              </w:rPr>
              <w:footnoteReference w:id="7"/>
            </w:r>
            <w:bookmarkEnd w:id="3"/>
            <w:r>
              <w:rPr>
                <w:b/>
                <w:noProof/>
                <w:sz w:val="24"/>
                <w:szCs w:val="24"/>
                <w:vertAlign w:val="superscript"/>
              </w:rPr>
              <w:t>)</w:t>
            </w:r>
          </w:p>
        </w:tc>
        <w:tc>
          <w:tcPr>
            <w:tcW w:w="1550" w:type="dxa"/>
            <w:vMerge w:val="restart"/>
            <w:tcBorders>
              <w:top w:val="single" w:sz="4" w:space="0" w:color="auto"/>
              <w:left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
                <w:noProof/>
                <w:sz w:val="24"/>
                <w:szCs w:val="24"/>
              </w:rPr>
            </w:pPr>
            <w:r>
              <w:rPr>
                <w:b/>
                <w:noProof/>
                <w:sz w:val="24"/>
                <w:szCs w:val="24"/>
              </w:rPr>
              <w:t>20 års-GWP</w:t>
            </w:r>
            <w:r>
              <w:rPr>
                <w:b/>
                <w:noProof/>
                <w:sz w:val="24"/>
                <w:szCs w:val="24"/>
                <w:vertAlign w:val="superscript"/>
              </w:rPr>
              <w:t>(</w:t>
            </w:r>
            <w:r>
              <w:rPr>
                <w:b/>
                <w:noProof/>
                <w:sz w:val="24"/>
                <w:szCs w:val="24"/>
                <w:vertAlign w:val="superscript"/>
              </w:rPr>
              <w:fldChar w:fldCharType="begin" w:fldLock="1"/>
            </w:r>
            <w:r>
              <w:rPr>
                <w:b/>
                <w:noProof/>
                <w:sz w:val="24"/>
                <w:szCs w:val="24"/>
                <w:vertAlign w:val="superscript"/>
              </w:rPr>
              <w:instrText xml:space="preserve"> NOTEREF _Ref98238225 \h  \* MERGEFORMAT </w:instrText>
            </w:r>
            <w:r>
              <w:rPr>
                <w:b/>
                <w:noProof/>
                <w:sz w:val="24"/>
                <w:szCs w:val="24"/>
                <w:vertAlign w:val="superscript"/>
              </w:rPr>
            </w:r>
            <w:r>
              <w:rPr>
                <w:b/>
                <w:noProof/>
                <w:sz w:val="24"/>
                <w:szCs w:val="24"/>
                <w:vertAlign w:val="superscript"/>
              </w:rPr>
              <w:fldChar w:fldCharType="separate"/>
            </w:r>
            <w:r>
              <w:rPr>
                <w:b/>
                <w:noProof/>
                <w:sz w:val="24"/>
                <w:szCs w:val="24"/>
                <w:vertAlign w:val="superscript"/>
              </w:rPr>
              <w:t>2</w:t>
            </w:r>
            <w:r>
              <w:rPr>
                <w:b/>
                <w:noProof/>
                <w:sz w:val="24"/>
                <w:szCs w:val="24"/>
                <w:vertAlign w:val="superscript"/>
              </w:rPr>
              <w:fldChar w:fldCharType="end"/>
            </w:r>
            <w:r>
              <w:rPr>
                <w:b/>
                <w:noProof/>
                <w:sz w:val="24"/>
                <w:szCs w:val="24"/>
                <w:vertAlign w:val="superscript"/>
              </w:rPr>
              <w:t>)</w:t>
            </w:r>
            <w:r>
              <w:rPr>
                <w:b/>
                <w:noProof/>
                <w:sz w:val="24"/>
                <w:szCs w:val="24"/>
              </w:rPr>
              <w:t xml:space="preserve"> för informations</w:t>
            </w:r>
            <w:r w:rsidR="00BE3998">
              <w:rPr>
                <w:b/>
                <w:noProof/>
                <w:sz w:val="24"/>
                <w:szCs w:val="24"/>
              </w:rPr>
              <w:t>-</w:t>
            </w:r>
            <w:r>
              <w:rPr>
                <w:b/>
                <w:noProof/>
                <w:sz w:val="24"/>
                <w:szCs w:val="24"/>
              </w:rPr>
              <w:t>ändamål</w:t>
            </w:r>
          </w:p>
        </w:tc>
      </w:tr>
      <w:tr w:rsidR="00EA31D7" w:rsidRPr="004C2691" w:rsidTr="00EA31D7">
        <w:trPr>
          <w:trHeight w:hRule="exact" w:val="720"/>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ind w:firstLine="600"/>
              <w:jc w:val="center"/>
              <w:rPr>
                <w:b/>
                <w:noProof/>
                <w:sz w:val="24"/>
                <w:szCs w:val="24"/>
              </w:rPr>
            </w:pPr>
            <w:r>
              <w:rPr>
                <w:b/>
                <w:noProof/>
                <w:color w:val="000000"/>
                <w:sz w:val="24"/>
                <w:szCs w:val="24"/>
              </w:rPr>
              <w:t>Trivialnamn/beteckning</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7F2D65" w:rsidRDefault="00EA31D7" w:rsidP="00EA31D7">
            <w:pPr>
              <w:pStyle w:val="Other10"/>
              <w:spacing w:after="0"/>
              <w:ind w:firstLine="600"/>
              <w:jc w:val="center"/>
              <w:rPr>
                <w:b/>
                <w:noProof/>
                <w:color w:val="000000"/>
                <w:sz w:val="24"/>
                <w:szCs w:val="24"/>
              </w:rPr>
            </w:pPr>
            <w:r>
              <w:rPr>
                <w:b/>
                <w:noProof/>
                <w:color w:val="000000"/>
                <w:sz w:val="24"/>
                <w:szCs w:val="24"/>
              </w:rPr>
              <w:t>Kemisk formel</w:t>
            </w:r>
          </w:p>
        </w:tc>
        <w:tc>
          <w:tcPr>
            <w:tcW w:w="1660" w:type="dxa"/>
            <w:vMerge/>
            <w:tcBorders>
              <w:left w:val="single" w:sz="4" w:space="0" w:color="auto"/>
              <w:right w:val="single" w:sz="4" w:space="0" w:color="auto"/>
            </w:tcBorders>
            <w:vAlign w:val="center"/>
          </w:tcPr>
          <w:p w:rsidR="00EA31D7" w:rsidRPr="00F44A82" w:rsidRDefault="00EA31D7" w:rsidP="00EA31D7">
            <w:pPr>
              <w:rPr>
                <w:b/>
                <w:noProof/>
                <w:szCs w:val="24"/>
              </w:rPr>
            </w:pPr>
          </w:p>
        </w:tc>
        <w:tc>
          <w:tcPr>
            <w:tcW w:w="1550" w:type="dxa"/>
            <w:vMerge/>
            <w:tcBorders>
              <w:left w:val="single" w:sz="4" w:space="0" w:color="auto"/>
              <w:right w:val="single" w:sz="4" w:space="0" w:color="auto"/>
            </w:tcBorders>
          </w:tcPr>
          <w:p w:rsidR="00EA31D7" w:rsidRPr="00F44A82" w:rsidRDefault="00EA31D7" w:rsidP="00EA31D7">
            <w:pPr>
              <w:rPr>
                <w:b/>
                <w:noProof/>
                <w:szCs w:val="24"/>
              </w:rPr>
            </w:pPr>
          </w:p>
        </w:tc>
      </w:tr>
      <w:tr w:rsidR="00EA31D7" w:rsidRPr="00A642F2" w:rsidTr="00EA31D7">
        <w:trPr>
          <w:trHeight w:hRule="exact" w:val="658"/>
          <w:jc w:val="center"/>
        </w:trPr>
        <w:tc>
          <w:tcPr>
            <w:tcW w:w="977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A642F2" w:rsidRDefault="00EA31D7" w:rsidP="00A642F2">
            <w:pPr>
              <w:pStyle w:val="Other10"/>
              <w:spacing w:after="0"/>
              <w:rPr>
                <w:noProof/>
                <w:sz w:val="24"/>
                <w:szCs w:val="24"/>
              </w:rPr>
            </w:pPr>
            <w:r>
              <w:rPr>
                <w:i/>
                <w:noProof/>
                <w:sz w:val="24"/>
                <w:szCs w:val="24"/>
              </w:rPr>
              <w:t>Avsnitt 1: Omättade (klor)fluorkolväten</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sz w:val="24"/>
                <w:szCs w:val="24"/>
              </w:rPr>
              <w:t xml:space="preserve">HCFC-1224yd(Z) </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color w:val="333333"/>
                <w:sz w:val="24"/>
                <w:szCs w:val="24"/>
                <w:shd w:val="clear" w:color="auto" w:fill="FFFFFF"/>
              </w:rPr>
              <w:t>CF</w:t>
            </w:r>
            <w:r>
              <w:rPr>
                <w:noProof/>
                <w:color w:val="333333"/>
                <w:sz w:val="24"/>
                <w:szCs w:val="24"/>
                <w:shd w:val="clear" w:color="auto" w:fill="FFFFFF"/>
                <w:vertAlign w:val="subscript"/>
              </w:rPr>
              <w:t>3</w:t>
            </w:r>
            <w:r>
              <w:rPr>
                <w:noProof/>
                <w:color w:val="333333"/>
                <w:sz w:val="24"/>
                <w:szCs w:val="24"/>
                <w:shd w:val="clear" w:color="auto" w:fill="FFFFFF"/>
              </w:rPr>
              <w:t>CF</w:t>
            </w:r>
            <w:r>
              <w:rPr>
                <w:noProof/>
                <w:sz w:val="24"/>
                <w:szCs w:val="24"/>
              </w:rPr>
              <w:t>=</w:t>
            </w:r>
            <w:r>
              <w:rPr>
                <w:noProof/>
                <w:color w:val="333333"/>
                <w:sz w:val="24"/>
                <w:szCs w:val="24"/>
                <w:shd w:val="clear" w:color="auto" w:fill="FFFFFF"/>
              </w:rPr>
              <w:t>CHCl</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740"/>
              <w:rPr>
                <w:noProof/>
                <w:sz w:val="24"/>
                <w:szCs w:val="24"/>
              </w:rPr>
            </w:pPr>
            <w:r>
              <w:rPr>
                <w:noProof/>
                <w:sz w:val="24"/>
                <w:szCs w:val="24"/>
              </w:rPr>
              <w:t>0,06</w:t>
            </w:r>
            <w:r>
              <w:rPr>
                <w:noProof/>
                <w:sz w:val="24"/>
                <w:szCs w:val="24"/>
                <w:vertAlign w:val="superscript"/>
              </w:rPr>
              <w:t>(</w:t>
            </w:r>
            <w:r>
              <w:rPr>
                <w:rStyle w:val="FootnoteReference"/>
                <w:noProof/>
                <w:sz w:val="24"/>
                <w:szCs w:val="24"/>
              </w:rPr>
              <w:footnoteReference w:id="8"/>
            </w:r>
            <w:r>
              <w:rPr>
                <w:noProof/>
                <w:sz w:val="24"/>
                <w:szCs w:val="24"/>
                <w:vertAlign w:val="superscript"/>
              </w:rPr>
              <w:t>)</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740"/>
              <w:rPr>
                <w:noProof/>
                <w:sz w:val="24"/>
                <w:szCs w:val="24"/>
              </w:rPr>
            </w:pPr>
            <w:r>
              <w:rPr>
                <w:bCs/>
                <w:noProof/>
                <w:sz w:val="24"/>
                <w:szCs w:val="24"/>
                <w:vertAlign w:val="superscript"/>
              </w:rPr>
              <w:t>(</w:t>
            </w:r>
            <w:bookmarkStart w:id="4" w:name="_Ref98780712"/>
            <w:r>
              <w:rPr>
                <w:rStyle w:val="FootnoteReference"/>
                <w:bCs/>
                <w:noProof/>
                <w:sz w:val="24"/>
                <w:szCs w:val="24"/>
              </w:rPr>
              <w:footnoteReference w:customMarkFollows="1" w:id="9"/>
              <w:t>*</w:t>
            </w:r>
            <w:bookmarkEnd w:id="4"/>
            <w:r>
              <w:rPr>
                <w:bCs/>
                <w:noProof/>
                <w:sz w:val="24"/>
                <w:szCs w:val="24"/>
                <w:vertAlign w:val="superscript"/>
              </w:rPr>
              <w:t>)</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sz w:val="24"/>
                <w:szCs w:val="24"/>
              </w:rPr>
              <w:t xml:space="preserve">cis/trans-1,2-difluoretylen (HFC-1132) </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sz w:val="24"/>
                <w:szCs w:val="24"/>
              </w:rPr>
              <w:t>HFC–CF2</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0,005</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0,017</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sz w:val="24"/>
                <w:szCs w:val="24"/>
              </w:rPr>
              <w:t xml:space="preserve">1,1-difluoretylen (HFC-1132a) </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color w:val="212121"/>
                <w:sz w:val="24"/>
                <w:szCs w:val="24"/>
                <w:shd w:val="clear" w:color="auto" w:fill="FFFFFF"/>
              </w:rPr>
              <w:t>CH</w:t>
            </w:r>
            <w:r>
              <w:rPr>
                <w:noProof/>
                <w:color w:val="212121"/>
                <w:sz w:val="24"/>
                <w:szCs w:val="24"/>
                <w:shd w:val="clear" w:color="auto" w:fill="FFFFFF"/>
                <w:vertAlign w:val="subscript"/>
              </w:rPr>
              <w:t>2</w:t>
            </w:r>
            <w:r>
              <w:rPr>
                <w:noProof/>
                <w:color w:val="212121"/>
                <w:sz w:val="24"/>
                <w:szCs w:val="24"/>
                <w:shd w:val="clear" w:color="auto" w:fill="FFFFFF"/>
              </w:rPr>
              <w:t>=CF</w:t>
            </w:r>
            <w:r>
              <w:rPr>
                <w:noProof/>
                <w:color w:val="212121"/>
                <w:sz w:val="24"/>
                <w:szCs w:val="24"/>
                <w:shd w:val="clear" w:color="auto" w:fill="FFFFFF"/>
                <w:vertAlign w:val="subscript"/>
              </w:rPr>
              <w:t>2</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0,052</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0,189</w:t>
            </w:r>
          </w:p>
        </w:tc>
      </w:tr>
      <w:tr w:rsidR="00EA31D7" w:rsidRPr="00F44A82" w:rsidTr="00EA31D7">
        <w:trPr>
          <w:trHeight w:hRule="exact" w:val="1080"/>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sz w:val="24"/>
                <w:szCs w:val="24"/>
              </w:rPr>
              <w:t xml:space="preserve">1,1,1,2,3,4,5,5,5(eller 1,1,1,3,4,4,5,5,5)-nonafluor-4(eller 2)-(trifluormetyl)pent-2-en </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Default="00EA31D7" w:rsidP="00EA31D7">
            <w:pPr>
              <w:pStyle w:val="Other10"/>
              <w:spacing w:after="0"/>
              <w:rPr>
                <w:noProof/>
                <w:sz w:val="24"/>
                <w:szCs w:val="24"/>
              </w:rPr>
            </w:pPr>
            <w:r>
              <w:rPr>
                <w:noProof/>
                <w:sz w:val="24"/>
                <w:szCs w:val="24"/>
              </w:rPr>
              <w:t>CF</w:t>
            </w:r>
            <w:r>
              <w:rPr>
                <w:noProof/>
                <w:sz w:val="24"/>
                <w:szCs w:val="24"/>
                <w:vertAlign w:val="subscript"/>
              </w:rPr>
              <w:t>3</w:t>
            </w:r>
            <w:r>
              <w:rPr>
                <w:noProof/>
                <w:sz w:val="24"/>
                <w:szCs w:val="24"/>
              </w:rPr>
              <w:t>CF</w:t>
            </w:r>
            <w:r>
              <w:rPr>
                <w:noProof/>
                <w:color w:val="212121"/>
                <w:sz w:val="24"/>
                <w:szCs w:val="24"/>
                <w:shd w:val="clear" w:color="auto" w:fill="FFFFFF"/>
              </w:rPr>
              <w:t>=</w:t>
            </w:r>
            <w:r>
              <w:rPr>
                <w:noProof/>
                <w:sz w:val="24"/>
                <w:szCs w:val="24"/>
              </w:rPr>
              <w:t>CFCFCF</w:t>
            </w:r>
            <w:r>
              <w:rPr>
                <w:noProof/>
                <w:sz w:val="24"/>
                <w:szCs w:val="24"/>
                <w:vertAlign w:val="subscript"/>
              </w:rPr>
              <w:t>3</w:t>
            </w:r>
            <w:r>
              <w:rPr>
                <w:noProof/>
                <w:sz w:val="24"/>
                <w:szCs w:val="24"/>
              </w:rPr>
              <w:t>CF</w:t>
            </w:r>
            <w:r>
              <w:rPr>
                <w:noProof/>
                <w:sz w:val="24"/>
                <w:szCs w:val="24"/>
                <w:vertAlign w:val="subscript"/>
              </w:rPr>
              <w:t>3</w:t>
            </w:r>
          </w:p>
          <w:p w:rsidR="00EA31D7" w:rsidRDefault="00EA31D7" w:rsidP="00EA31D7">
            <w:pPr>
              <w:pStyle w:val="Other10"/>
              <w:spacing w:after="0"/>
              <w:rPr>
                <w:noProof/>
                <w:sz w:val="24"/>
                <w:szCs w:val="24"/>
              </w:rPr>
            </w:pPr>
            <w:r>
              <w:rPr>
                <w:noProof/>
                <w:sz w:val="24"/>
                <w:szCs w:val="24"/>
              </w:rPr>
              <w:t>eller</w:t>
            </w:r>
          </w:p>
          <w:p w:rsidR="00EA31D7" w:rsidRPr="00F44A82" w:rsidRDefault="00EA31D7" w:rsidP="00EA31D7">
            <w:pPr>
              <w:pStyle w:val="Other10"/>
              <w:spacing w:after="0"/>
              <w:rPr>
                <w:noProof/>
                <w:sz w:val="24"/>
                <w:szCs w:val="24"/>
              </w:rPr>
            </w:pPr>
            <w:r>
              <w:rPr>
                <w:noProof/>
                <w:sz w:val="24"/>
                <w:szCs w:val="24"/>
              </w:rPr>
              <w:t>CF</w:t>
            </w:r>
            <w:r>
              <w:rPr>
                <w:noProof/>
                <w:sz w:val="24"/>
                <w:szCs w:val="24"/>
                <w:vertAlign w:val="subscript"/>
              </w:rPr>
              <w:t>3</w:t>
            </w:r>
            <w:r>
              <w:rPr>
                <w:noProof/>
                <w:sz w:val="24"/>
                <w:szCs w:val="24"/>
              </w:rPr>
              <w:t>CF</w:t>
            </w:r>
            <w:r>
              <w:rPr>
                <w:noProof/>
                <w:sz w:val="24"/>
                <w:szCs w:val="24"/>
                <w:vertAlign w:val="subscript"/>
              </w:rPr>
              <w:t>3</w:t>
            </w:r>
            <w:r>
              <w:rPr>
                <w:noProof/>
                <w:sz w:val="24"/>
                <w:szCs w:val="24"/>
              </w:rPr>
              <w:t>C=CFCF</w:t>
            </w:r>
            <w:r>
              <w:rPr>
                <w:noProof/>
                <w:sz w:val="24"/>
                <w:szCs w:val="24"/>
                <w:vertAlign w:val="subscript"/>
              </w:rPr>
              <w:t>2</w:t>
            </w:r>
            <w:r>
              <w:rPr>
                <w:noProof/>
                <w:sz w:val="24"/>
                <w:szCs w:val="24"/>
              </w:rPr>
              <w:t>CF</w:t>
            </w:r>
            <w:r>
              <w:rPr>
                <w:noProof/>
                <w:sz w:val="24"/>
                <w:szCs w:val="24"/>
                <w:vertAlign w:val="subscript"/>
              </w:rPr>
              <w:t>3</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rStyle w:val="Bodytext2"/>
                <w:noProof/>
                <w:sz w:val="24"/>
                <w:szCs w:val="24"/>
              </w:rPr>
              <w:t xml:space="preserve">1 </w:t>
            </w:r>
            <w:r>
              <w:rPr>
                <w:rStyle w:val="Bodytext2"/>
                <w:noProof/>
                <w:sz w:val="24"/>
                <w:szCs w:val="24"/>
                <w:vertAlign w:val="superscript"/>
              </w:rPr>
              <w:t>Fn</w:t>
            </w:r>
            <w:r>
              <w:rPr>
                <w:rStyle w:val="Bodytext2"/>
                <w:noProof/>
                <w:sz w:val="24"/>
                <w:szCs w:val="24"/>
              </w:rPr>
              <w:t xml:space="preserve"> </w:t>
            </w:r>
            <w:r>
              <w:rPr>
                <w:rStyle w:val="Bodytext2"/>
                <w:noProof/>
                <w:sz w:val="24"/>
                <w:szCs w:val="24"/>
                <w:vertAlign w:val="superscript"/>
              </w:rPr>
              <w:t>(</w:t>
            </w:r>
            <w:bookmarkStart w:id="5" w:name="_Ref98237713"/>
            <w:r>
              <w:rPr>
                <w:rStyle w:val="FootnoteReference"/>
                <w:noProof/>
                <w:color w:val="231F20"/>
                <w:sz w:val="24"/>
                <w:szCs w:val="24"/>
                <w:lang w:bidi="en-US"/>
              </w:rPr>
              <w:footnoteReference w:id="10"/>
            </w:r>
            <w:bookmarkEnd w:id="5"/>
            <w:r>
              <w:rPr>
                <w:rStyle w:val="Bodytext2"/>
                <w:noProof/>
                <w:sz w:val="24"/>
                <w:szCs w:val="24"/>
                <w:vertAlign w:val="superscript"/>
              </w:rPr>
              <w:t>)</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vertAlign w:val="superscript"/>
              </w:rPr>
              <w:t>(</w:t>
            </w:r>
            <w:r>
              <w:rPr>
                <w:noProof/>
                <w:sz w:val="24"/>
                <w:szCs w:val="24"/>
                <w:vertAlign w:val="superscript"/>
              </w:rPr>
              <w:fldChar w:fldCharType="begin" w:fldLock="1"/>
            </w:r>
            <w:r>
              <w:rPr>
                <w:noProof/>
                <w:sz w:val="24"/>
                <w:szCs w:val="24"/>
                <w:vertAlign w:val="superscript"/>
              </w:rPr>
              <w:instrText xml:space="preserve"> NOTEREF _Ref98780712 \h  \* MERGEFORMAT </w:instrText>
            </w:r>
            <w:r>
              <w:rPr>
                <w:noProof/>
                <w:sz w:val="24"/>
                <w:szCs w:val="24"/>
                <w:vertAlign w:val="superscript"/>
              </w:rPr>
            </w:r>
            <w:r>
              <w:rPr>
                <w:noProof/>
                <w:sz w:val="24"/>
                <w:szCs w:val="24"/>
                <w:vertAlign w:val="superscript"/>
              </w:rPr>
              <w:fldChar w:fldCharType="separate"/>
            </w:r>
            <w:r>
              <w:rPr>
                <w:noProof/>
                <w:sz w:val="24"/>
                <w:szCs w:val="24"/>
                <w:vertAlign w:val="superscript"/>
              </w:rPr>
              <w:t>*</w:t>
            </w:r>
            <w:r>
              <w:rPr>
                <w:noProof/>
                <w:sz w:val="24"/>
                <w:szCs w:val="24"/>
                <w:vertAlign w:val="superscript"/>
              </w:rPr>
              <w:fldChar w:fldCharType="end"/>
            </w:r>
            <w:r>
              <w:rPr>
                <w:noProof/>
                <w:sz w:val="24"/>
                <w:szCs w:val="24"/>
                <w:vertAlign w:val="superscript"/>
              </w:rPr>
              <w:t>)</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HFC–1234yf</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CF</w:t>
            </w:r>
            <w:r>
              <w:rPr>
                <w:rStyle w:val="Bodytext2"/>
                <w:noProof/>
                <w:sz w:val="24"/>
                <w:szCs w:val="24"/>
                <w:vertAlign w:val="subscript"/>
              </w:rPr>
              <w:t>3</w:t>
            </w:r>
            <w:r>
              <w:rPr>
                <w:rStyle w:val="Bodytext2"/>
                <w:noProof/>
                <w:sz w:val="24"/>
                <w:szCs w:val="24"/>
              </w:rPr>
              <w:t>CF = CH</w:t>
            </w:r>
            <w:r>
              <w:rPr>
                <w:rStyle w:val="Bodytext2"/>
                <w:noProof/>
                <w:sz w:val="24"/>
                <w:szCs w:val="24"/>
                <w:vertAlign w:val="subscript"/>
              </w:rPr>
              <w:t>2</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0,501</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rStyle w:val="Bodytext2"/>
                <w:rFonts w:eastAsiaTheme="minorHAnsi"/>
                <w:noProof/>
                <w:sz w:val="24"/>
                <w:szCs w:val="24"/>
              </w:rPr>
            </w:pPr>
            <w:r>
              <w:rPr>
                <w:noProof/>
                <w:sz w:val="24"/>
                <w:szCs w:val="24"/>
              </w:rPr>
              <w:t>1,81</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HFC–1234ze</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trans — CHF = CHCF</w:t>
            </w:r>
            <w:r>
              <w:rPr>
                <w:rStyle w:val="Bodytext2"/>
                <w:noProof/>
                <w:sz w:val="24"/>
                <w:szCs w:val="24"/>
                <w:vertAlign w:val="subscript"/>
              </w:rPr>
              <w:t>3</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1,37</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4,94</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HFC–1336mzz</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CF</w:t>
            </w:r>
            <w:r>
              <w:rPr>
                <w:rStyle w:val="Bodytext2"/>
                <w:noProof/>
                <w:sz w:val="24"/>
                <w:szCs w:val="24"/>
                <w:vertAlign w:val="subscript"/>
              </w:rPr>
              <w:t>3</w:t>
            </w:r>
            <w:r>
              <w:rPr>
                <w:rStyle w:val="Bodytext2"/>
                <w:noProof/>
                <w:sz w:val="24"/>
                <w:szCs w:val="24"/>
              </w:rPr>
              <w:t>CH = CHCF</w:t>
            </w:r>
            <w:r>
              <w:rPr>
                <w:rStyle w:val="Bodytext2"/>
                <w:noProof/>
                <w:sz w:val="24"/>
                <w:szCs w:val="24"/>
                <w:vertAlign w:val="subscript"/>
              </w:rPr>
              <w:t>3</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17,9</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rStyle w:val="Bodytext2"/>
                <w:rFonts w:eastAsiaTheme="minorHAnsi"/>
                <w:noProof/>
                <w:sz w:val="24"/>
                <w:szCs w:val="24"/>
              </w:rPr>
            </w:pPr>
            <w:r>
              <w:rPr>
                <w:noProof/>
                <w:sz w:val="24"/>
                <w:szCs w:val="24"/>
              </w:rPr>
              <w:t>64,3</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Fonts w:eastAsia="Calibri"/>
                <w:noProof/>
                <w:sz w:val="24"/>
                <w:szCs w:val="24"/>
              </w:rPr>
            </w:pPr>
            <w:r>
              <w:rPr>
                <w:rStyle w:val="Bodytext2"/>
                <w:noProof/>
                <w:sz w:val="24"/>
                <w:szCs w:val="24"/>
              </w:rPr>
              <w:t>HCFC-1233zd</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621B95" w:rsidRDefault="00EA31D7" w:rsidP="00EA31D7">
            <w:pPr>
              <w:pStyle w:val="Other10"/>
              <w:spacing w:after="0"/>
              <w:rPr>
                <w:rFonts w:eastAsia="Calibri"/>
                <w:noProof/>
                <w:sz w:val="24"/>
                <w:szCs w:val="24"/>
              </w:rPr>
            </w:pPr>
            <w:r>
              <w:rPr>
                <w:rStyle w:val="Bodytext2"/>
                <w:noProof/>
                <w:sz w:val="24"/>
                <w:szCs w:val="24"/>
              </w:rPr>
              <w:t>CF</w:t>
            </w:r>
            <w:r>
              <w:rPr>
                <w:rStyle w:val="Bodytext2"/>
                <w:noProof/>
                <w:sz w:val="24"/>
                <w:szCs w:val="24"/>
                <w:vertAlign w:val="subscript"/>
              </w:rPr>
              <w:t>3</w:t>
            </w:r>
            <w:r>
              <w:rPr>
                <w:rStyle w:val="Bodytext2"/>
                <w:noProof/>
                <w:sz w:val="24"/>
                <w:szCs w:val="24"/>
              </w:rPr>
              <w:t xml:space="preserve">CH </w:t>
            </w:r>
            <w:r>
              <w:rPr>
                <w:noProof/>
                <w:color w:val="231F20"/>
                <w:sz w:val="24"/>
                <w:szCs w:val="24"/>
              </w:rPr>
              <w:t xml:space="preserve">= </w:t>
            </w:r>
            <w:r>
              <w:rPr>
                <w:rStyle w:val="Bodytext2"/>
                <w:noProof/>
                <w:sz w:val="24"/>
                <w:szCs w:val="24"/>
              </w:rPr>
              <w:t>CHCl</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noProof/>
                <w:sz w:val="24"/>
                <w:szCs w:val="24"/>
              </w:rPr>
              <w:t>3,88</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rStyle w:val="Bodytext2"/>
                <w:rFonts w:eastAsiaTheme="minorHAnsi"/>
                <w:noProof/>
                <w:sz w:val="24"/>
                <w:szCs w:val="24"/>
              </w:rPr>
            </w:pPr>
            <w:r>
              <w:rPr>
                <w:noProof/>
                <w:sz w:val="24"/>
                <w:szCs w:val="24"/>
              </w:rPr>
              <w:t>14</w:t>
            </w:r>
          </w:p>
        </w:tc>
      </w:tr>
      <w:tr w:rsidR="00EA31D7" w:rsidRPr="00F44A82"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themeFill="background1"/>
            <w:vAlign w:val="center"/>
          </w:tcPr>
          <w:p w:rsidR="00EA31D7" w:rsidRPr="00F44A82" w:rsidRDefault="00EA31D7" w:rsidP="00EA31D7">
            <w:pPr>
              <w:pStyle w:val="Other10"/>
              <w:spacing w:after="0"/>
              <w:rPr>
                <w:rStyle w:val="Bodytext2"/>
                <w:rFonts w:eastAsiaTheme="minorHAnsi"/>
                <w:noProof/>
                <w:sz w:val="24"/>
                <w:szCs w:val="24"/>
              </w:rPr>
            </w:pPr>
            <w:r>
              <w:rPr>
                <w:rStyle w:val="Bodytext2"/>
                <w:noProof/>
                <w:sz w:val="24"/>
                <w:szCs w:val="24"/>
              </w:rPr>
              <w:t>HCFC-1233xf</w:t>
            </w:r>
          </w:p>
        </w:tc>
        <w:tc>
          <w:tcPr>
            <w:tcW w:w="2799" w:type="dxa"/>
            <w:tcBorders>
              <w:top w:val="single" w:sz="4" w:space="0" w:color="auto"/>
              <w:left w:val="single" w:sz="4" w:space="0" w:color="auto"/>
              <w:bottom w:val="single" w:sz="4" w:space="0" w:color="auto"/>
            </w:tcBorders>
            <w:shd w:val="clear" w:color="auto" w:fill="FFFFFF" w:themeFill="background1"/>
            <w:vAlign w:val="center"/>
          </w:tcPr>
          <w:p w:rsidR="00EA31D7" w:rsidRPr="009F2522" w:rsidRDefault="00EA31D7" w:rsidP="00EA31D7">
            <w:pPr>
              <w:pStyle w:val="Other10"/>
              <w:spacing w:after="0"/>
              <w:rPr>
                <w:rFonts w:eastAsia="Calibri"/>
                <w:noProof/>
                <w:sz w:val="24"/>
                <w:szCs w:val="24"/>
              </w:rPr>
            </w:pPr>
            <w:r>
              <w:rPr>
                <w:rStyle w:val="sub"/>
                <w:noProof/>
                <w:sz w:val="24"/>
                <w:szCs w:val="24"/>
              </w:rPr>
              <w:t>CF</w:t>
            </w:r>
            <w:r>
              <w:rPr>
                <w:rStyle w:val="sub"/>
                <w:noProof/>
                <w:sz w:val="24"/>
                <w:szCs w:val="24"/>
                <w:vertAlign w:val="subscript"/>
              </w:rPr>
              <w:t>3</w:t>
            </w:r>
            <w:r>
              <w:rPr>
                <w:rStyle w:val="sub"/>
                <w:noProof/>
                <w:sz w:val="24"/>
                <w:szCs w:val="24"/>
              </w:rPr>
              <w:t xml:space="preserve">CCl </w:t>
            </w:r>
            <w:r>
              <w:rPr>
                <w:noProof/>
                <w:color w:val="231F20"/>
                <w:sz w:val="24"/>
                <w:szCs w:val="24"/>
              </w:rPr>
              <w:t xml:space="preserve">= </w:t>
            </w:r>
            <w:r>
              <w:rPr>
                <w:rStyle w:val="sub"/>
                <w:noProof/>
                <w:sz w:val="24"/>
                <w:szCs w:val="24"/>
              </w:rPr>
              <w:t>CH</w:t>
            </w:r>
            <w:r>
              <w:rPr>
                <w:rStyle w:val="sub"/>
                <w:noProof/>
                <w:sz w:val="24"/>
                <w:szCs w:val="24"/>
                <w:vertAlign w:val="subscript"/>
              </w:rPr>
              <w:t>2</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noProof/>
                <w:sz w:val="24"/>
                <w:szCs w:val="24"/>
              </w:rPr>
            </w:pPr>
            <w:r>
              <w:rPr>
                <w:rStyle w:val="Bodytext2"/>
                <w:noProof/>
                <w:sz w:val="24"/>
                <w:szCs w:val="24"/>
              </w:rPr>
              <w:t xml:space="preserve">1 </w:t>
            </w:r>
            <w:r>
              <w:rPr>
                <w:rStyle w:val="Bodytext2"/>
                <w:noProof/>
                <w:sz w:val="24"/>
                <w:szCs w:val="24"/>
                <w:vertAlign w:val="superscript"/>
              </w:rPr>
              <w:t>Fn</w:t>
            </w:r>
            <w:r>
              <w:rPr>
                <w:rStyle w:val="Bodytext2"/>
                <w:noProof/>
                <w:sz w:val="24"/>
                <w:szCs w:val="24"/>
              </w:rPr>
              <w:t xml:space="preserve"> </w:t>
            </w:r>
            <w:r>
              <w:rPr>
                <w:rStyle w:val="Bodytext2"/>
                <w:noProof/>
                <w:sz w:val="24"/>
                <w:szCs w:val="24"/>
                <w:vertAlign w:val="superscript"/>
              </w:rPr>
              <w:t>(</w:t>
            </w:r>
            <w:r>
              <w:rPr>
                <w:rStyle w:val="FootnoteReference"/>
                <w:noProof/>
                <w:color w:val="231F20"/>
                <w:sz w:val="24"/>
                <w:szCs w:val="24"/>
              </w:rPr>
              <w:fldChar w:fldCharType="begin" w:fldLock="1"/>
            </w:r>
            <w:r>
              <w:rPr>
                <w:rStyle w:val="Bodytext2"/>
                <w:rFonts w:eastAsiaTheme="minorHAnsi"/>
                <w:noProof/>
                <w:sz w:val="24"/>
                <w:szCs w:val="24"/>
                <w:vertAlign w:val="superscript"/>
              </w:rPr>
              <w:instrText xml:space="preserve"> NOTEREF _Ref98237713 \h </w:instrText>
            </w:r>
            <w:r>
              <w:rPr>
                <w:rStyle w:val="FootnoteReference"/>
                <w:noProof/>
                <w:color w:val="231F20"/>
                <w:sz w:val="24"/>
                <w:szCs w:val="24"/>
              </w:rPr>
              <w:instrText xml:space="preserve"> \* MERGEFORMAT </w:instrText>
            </w:r>
            <w:r>
              <w:rPr>
                <w:rStyle w:val="FootnoteReference"/>
                <w:noProof/>
                <w:color w:val="231F20"/>
                <w:sz w:val="24"/>
                <w:szCs w:val="24"/>
              </w:rPr>
            </w:r>
            <w:r>
              <w:rPr>
                <w:rStyle w:val="FootnoteReference"/>
                <w:noProof/>
                <w:color w:val="231F20"/>
                <w:sz w:val="24"/>
                <w:szCs w:val="24"/>
              </w:rPr>
              <w:fldChar w:fldCharType="separate"/>
            </w:r>
            <w:r>
              <w:rPr>
                <w:rStyle w:val="Bodytext2"/>
                <w:rFonts w:eastAsiaTheme="minorHAnsi"/>
                <w:noProof/>
                <w:sz w:val="24"/>
                <w:szCs w:val="24"/>
                <w:vertAlign w:val="superscript"/>
              </w:rPr>
              <w:t>4</w:t>
            </w:r>
            <w:r>
              <w:rPr>
                <w:rStyle w:val="FootnoteReference"/>
                <w:noProof/>
                <w:color w:val="231F20"/>
                <w:sz w:val="24"/>
                <w:szCs w:val="24"/>
              </w:rPr>
              <w:fldChar w:fldCharType="end"/>
            </w:r>
            <w:r>
              <w:rPr>
                <w:rStyle w:val="Bodytext2"/>
                <w:noProof/>
                <w:sz w:val="24"/>
                <w:szCs w:val="24"/>
                <w:vertAlign w:val="superscript"/>
              </w:rPr>
              <w:t>)</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ind w:firstLine="580"/>
              <w:rPr>
                <w:rStyle w:val="Bodytext2"/>
                <w:rFonts w:eastAsiaTheme="minorHAnsi"/>
                <w:noProof/>
                <w:sz w:val="24"/>
                <w:szCs w:val="24"/>
              </w:rPr>
            </w:pPr>
            <w:r>
              <w:rPr>
                <w:bCs/>
                <w:noProof/>
                <w:color w:val="231F20"/>
                <w:sz w:val="24"/>
                <w:szCs w:val="24"/>
                <w:vertAlign w:val="superscript"/>
              </w:rPr>
              <w:t>(</w:t>
            </w:r>
            <w:r>
              <w:rPr>
                <w:bCs/>
                <w:noProof/>
                <w:color w:val="231F20"/>
                <w:sz w:val="24"/>
                <w:szCs w:val="24"/>
                <w:vertAlign w:val="superscript"/>
              </w:rPr>
              <w:fldChar w:fldCharType="begin" w:fldLock="1"/>
            </w:r>
            <w:r>
              <w:rPr>
                <w:bCs/>
                <w:noProof/>
                <w:color w:val="231F20"/>
                <w:sz w:val="24"/>
                <w:szCs w:val="24"/>
                <w:vertAlign w:val="superscript"/>
              </w:rPr>
              <w:instrText xml:space="preserve"> NOTEREF _Ref98780712 \h  \* MERGEFORMAT </w:instrText>
            </w:r>
            <w:r>
              <w:rPr>
                <w:bCs/>
                <w:noProof/>
                <w:color w:val="231F20"/>
                <w:sz w:val="24"/>
                <w:szCs w:val="24"/>
                <w:vertAlign w:val="superscript"/>
              </w:rPr>
            </w:r>
            <w:r>
              <w:rPr>
                <w:bCs/>
                <w:noProof/>
                <w:color w:val="231F20"/>
                <w:sz w:val="24"/>
                <w:szCs w:val="24"/>
                <w:vertAlign w:val="superscript"/>
              </w:rPr>
              <w:fldChar w:fldCharType="separate"/>
            </w:r>
            <w:r>
              <w:rPr>
                <w:noProof/>
                <w:sz w:val="24"/>
                <w:szCs w:val="24"/>
                <w:vertAlign w:val="superscript"/>
              </w:rPr>
              <w:t>*</w:t>
            </w:r>
            <w:r>
              <w:rPr>
                <w:bCs/>
                <w:noProof/>
                <w:color w:val="231F20"/>
                <w:sz w:val="24"/>
                <w:szCs w:val="24"/>
                <w:vertAlign w:val="superscript"/>
              </w:rPr>
              <w:fldChar w:fldCharType="end"/>
            </w:r>
            <w:r>
              <w:rPr>
                <w:bCs/>
                <w:noProof/>
                <w:color w:val="231F20"/>
                <w:sz w:val="24"/>
                <w:szCs w:val="24"/>
                <w:vertAlign w:val="superscript"/>
              </w:rPr>
              <w:fldChar w:fldCharType="begin" w:fldLock="1"/>
            </w:r>
            <w:r>
              <w:rPr>
                <w:rStyle w:val="Bodytext2"/>
                <w:rFonts w:eastAsiaTheme="minorHAnsi"/>
                <w:noProof/>
                <w:sz w:val="24"/>
                <w:szCs w:val="24"/>
                <w:vertAlign w:val="superscript"/>
              </w:rPr>
              <w:instrText xml:space="preserve"> NOTEREF _Ref98238416 \h </w:instrText>
            </w:r>
            <w:r>
              <w:rPr>
                <w:bCs/>
                <w:noProof/>
                <w:color w:val="231F20"/>
                <w:sz w:val="24"/>
                <w:szCs w:val="24"/>
                <w:vertAlign w:val="superscript"/>
              </w:rPr>
              <w:instrText xml:space="preserve"> \* MERGEFORMAT </w:instrText>
            </w:r>
            <w:r>
              <w:rPr>
                <w:bCs/>
                <w:noProof/>
                <w:color w:val="231F20"/>
                <w:sz w:val="24"/>
                <w:szCs w:val="24"/>
                <w:vertAlign w:val="superscript"/>
              </w:rPr>
            </w:r>
            <w:r>
              <w:rPr>
                <w:bCs/>
                <w:noProof/>
                <w:color w:val="231F20"/>
                <w:sz w:val="24"/>
                <w:szCs w:val="24"/>
                <w:vertAlign w:val="superscript"/>
              </w:rPr>
              <w:fldChar w:fldCharType="end"/>
            </w:r>
            <w:r>
              <w:rPr>
                <w:bCs/>
                <w:noProof/>
                <w:color w:val="231F20"/>
                <w:sz w:val="24"/>
                <w:szCs w:val="24"/>
                <w:vertAlign w:val="superscript"/>
              </w:rPr>
              <w:t>)</w:t>
            </w:r>
          </w:p>
        </w:tc>
      </w:tr>
      <w:tr w:rsidR="00EA31D7" w:rsidRPr="00F44A82" w:rsidTr="00EA31D7">
        <w:trPr>
          <w:trHeight w:hRule="exact" w:val="653"/>
          <w:jc w:val="center"/>
        </w:trPr>
        <w:tc>
          <w:tcPr>
            <w:tcW w:w="977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i/>
                <w:noProof/>
                <w:sz w:val="24"/>
                <w:szCs w:val="24"/>
              </w:rPr>
            </w:pPr>
            <w:r>
              <w:rPr>
                <w:i/>
                <w:noProof/>
                <w:sz w:val="24"/>
                <w:szCs w:val="24"/>
              </w:rPr>
              <w:t xml:space="preserve">Avsnitt 2: fluorerade ämnen som används som inhalationsanestetika </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60"/>
          <w:jc w:val="center"/>
        </w:trPr>
        <w:tc>
          <w:tcPr>
            <w:tcW w:w="3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noProof/>
                <w:sz w:val="24"/>
                <w:szCs w:val="24"/>
              </w:rPr>
              <w:t>HFE-347mmz1 (sevofluran) och isomerer</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noProof/>
                <w:sz w:val="24"/>
                <w:szCs w:val="24"/>
                <w:shd w:val="clear" w:color="auto" w:fill="FFFFFF"/>
              </w:rPr>
              <w:t>(CF</w:t>
            </w:r>
            <w:r>
              <w:rPr>
                <w:noProof/>
                <w:sz w:val="24"/>
                <w:szCs w:val="24"/>
                <w:shd w:val="clear" w:color="auto" w:fill="FFFFFF"/>
                <w:vertAlign w:val="subscript"/>
              </w:rPr>
              <w:t>3</w:t>
            </w:r>
            <w:r>
              <w:rPr>
                <w:noProof/>
                <w:sz w:val="24"/>
                <w:szCs w:val="24"/>
                <w:shd w:val="clear" w:color="auto" w:fill="FFFFFF"/>
              </w:rPr>
              <w:t>)</w:t>
            </w:r>
            <w:r>
              <w:rPr>
                <w:noProof/>
                <w:sz w:val="24"/>
                <w:szCs w:val="24"/>
                <w:shd w:val="clear" w:color="auto" w:fill="FFFFFF"/>
                <w:vertAlign w:val="subscript"/>
              </w:rPr>
              <w:t>2</w:t>
            </w:r>
            <w:r>
              <w:rPr>
                <w:noProof/>
                <w:sz w:val="24"/>
                <w:szCs w:val="24"/>
                <w:shd w:val="clear" w:color="auto" w:fill="FFFFFF"/>
              </w:rPr>
              <w:t>CHOCH</w:t>
            </w:r>
            <w:r>
              <w:rPr>
                <w:noProof/>
                <w:sz w:val="24"/>
                <w:szCs w:val="24"/>
                <w:shd w:val="clear" w:color="auto" w:fill="FFFFFF"/>
                <w:vertAlign w:val="subscript"/>
              </w:rPr>
              <w:t>2</w:t>
            </w:r>
            <w:r>
              <w:rPr>
                <w:noProof/>
                <w:sz w:val="24"/>
                <w:szCs w:val="24"/>
                <w:shd w:val="clear" w:color="auto" w:fill="FFFFFF"/>
              </w:rPr>
              <w:t>F</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noProof/>
                <w:color w:val="000000"/>
                <w:sz w:val="24"/>
                <w:szCs w:val="24"/>
              </w:rPr>
            </w:pPr>
            <w:r>
              <w:rPr>
                <w:bCs/>
                <w:noProof/>
                <w:sz w:val="24"/>
                <w:szCs w:val="24"/>
              </w:rPr>
              <w:t>195</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bCs/>
                <w:noProof/>
                <w:sz w:val="24"/>
                <w:szCs w:val="24"/>
              </w:rPr>
              <w:t>702</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40"/>
          <w:jc w:val="center"/>
        </w:trPr>
        <w:tc>
          <w:tcPr>
            <w:tcW w:w="3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bCs/>
                <w:noProof/>
                <w:sz w:val="24"/>
                <w:szCs w:val="24"/>
              </w:rPr>
            </w:pPr>
            <w:r>
              <w:rPr>
                <w:noProof/>
                <w:sz w:val="24"/>
                <w:szCs w:val="24"/>
              </w:rPr>
              <w:t>HCFE-235ca2 (</w:t>
            </w:r>
            <w:r>
              <w:rPr>
                <w:bCs/>
                <w:noProof/>
                <w:sz w:val="24"/>
                <w:szCs w:val="24"/>
              </w:rPr>
              <w:t>enfluran) och isomerer</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noProof/>
                <w:sz w:val="24"/>
                <w:szCs w:val="24"/>
              </w:rPr>
              <w:t>CHF</w:t>
            </w:r>
            <w:r>
              <w:rPr>
                <w:noProof/>
                <w:sz w:val="24"/>
                <w:szCs w:val="24"/>
                <w:vertAlign w:val="subscript"/>
              </w:rPr>
              <w:t>2</w:t>
            </w:r>
            <w:r>
              <w:rPr>
                <w:noProof/>
                <w:sz w:val="24"/>
                <w:szCs w:val="24"/>
              </w:rPr>
              <w:t>OCF</w:t>
            </w:r>
            <w:r>
              <w:rPr>
                <w:noProof/>
                <w:sz w:val="24"/>
                <w:szCs w:val="24"/>
                <w:vertAlign w:val="subscript"/>
              </w:rPr>
              <w:t>2</w:t>
            </w:r>
            <w:r>
              <w:rPr>
                <w:noProof/>
                <w:sz w:val="24"/>
                <w:szCs w:val="24"/>
              </w:rPr>
              <w:t>CHFCl</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bCs/>
                <w:noProof/>
                <w:sz w:val="24"/>
                <w:szCs w:val="24"/>
              </w:rPr>
              <w:t>654</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bCs/>
                <w:noProof/>
                <w:sz w:val="24"/>
                <w:szCs w:val="24"/>
              </w:rPr>
              <w:t>2 320</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40"/>
          <w:jc w:val="center"/>
        </w:trPr>
        <w:tc>
          <w:tcPr>
            <w:tcW w:w="3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bCs/>
                <w:noProof/>
                <w:sz w:val="24"/>
                <w:szCs w:val="24"/>
              </w:rPr>
            </w:pPr>
            <w:r>
              <w:rPr>
                <w:rStyle w:val="Bodytext2"/>
                <w:noProof/>
                <w:sz w:val="24"/>
                <w:szCs w:val="24"/>
              </w:rPr>
              <w:t>HCFE-235da2 (isofluran) och isomerer</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noProof/>
                <w:color w:val="000000" w:themeColor="text1"/>
                <w:sz w:val="24"/>
                <w:szCs w:val="24"/>
              </w:rPr>
              <w:t>CHF</w:t>
            </w:r>
            <w:r>
              <w:rPr>
                <w:noProof/>
                <w:color w:val="000000" w:themeColor="text1"/>
                <w:sz w:val="24"/>
                <w:szCs w:val="24"/>
                <w:vertAlign w:val="subscript"/>
              </w:rPr>
              <w:t>2</w:t>
            </w:r>
            <w:r>
              <w:rPr>
                <w:noProof/>
                <w:color w:val="000000" w:themeColor="text1"/>
                <w:sz w:val="24"/>
                <w:szCs w:val="24"/>
              </w:rPr>
              <w:t>OCHClCF</w:t>
            </w:r>
            <w:r>
              <w:rPr>
                <w:noProof/>
                <w:color w:val="000000" w:themeColor="text1"/>
                <w:sz w:val="24"/>
                <w:szCs w:val="24"/>
                <w:vertAlign w:val="subscript"/>
              </w:rPr>
              <w:t>3</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bCs/>
                <w:noProof/>
                <w:sz w:val="24"/>
                <w:szCs w:val="24"/>
              </w:rPr>
              <w:t>539</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bCs/>
                <w:noProof/>
                <w:sz w:val="24"/>
                <w:szCs w:val="24"/>
              </w:rPr>
              <w:t>1 930</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8"/>
          <w:jc w:val="center"/>
        </w:trPr>
        <w:tc>
          <w:tcPr>
            <w:tcW w:w="3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bCs/>
                <w:noProof/>
                <w:sz w:val="24"/>
                <w:szCs w:val="24"/>
              </w:rPr>
            </w:pPr>
            <w:r>
              <w:rPr>
                <w:rStyle w:val="Bodytext2"/>
                <w:noProof/>
                <w:sz w:val="24"/>
                <w:szCs w:val="24"/>
              </w:rPr>
              <w:t>HFE-236ea2 (desfluran) och isomerer</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noProof/>
                <w:color w:val="000000"/>
                <w:sz w:val="24"/>
                <w:szCs w:val="24"/>
              </w:rPr>
              <w:t>CHF</w:t>
            </w:r>
            <w:r>
              <w:rPr>
                <w:noProof/>
                <w:color w:val="000000"/>
                <w:sz w:val="24"/>
                <w:szCs w:val="24"/>
                <w:vertAlign w:val="subscript"/>
              </w:rPr>
              <w:t>2</w:t>
            </w:r>
            <w:r>
              <w:rPr>
                <w:noProof/>
                <w:color w:val="000000"/>
                <w:sz w:val="24"/>
                <w:szCs w:val="24"/>
              </w:rPr>
              <w:t>OCHFCF</w:t>
            </w:r>
            <w:r>
              <w:rPr>
                <w:noProof/>
                <w:color w:val="000000"/>
                <w:sz w:val="24"/>
                <w:szCs w:val="24"/>
                <w:vertAlign w:val="subscript"/>
              </w:rPr>
              <w:t>3</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noProof/>
                <w:sz w:val="24"/>
                <w:szCs w:val="24"/>
              </w:rPr>
              <w:t>2 590</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bCs/>
                <w:noProof/>
                <w:sz w:val="24"/>
                <w:szCs w:val="24"/>
              </w:rPr>
            </w:pPr>
            <w:r>
              <w:rPr>
                <w:noProof/>
                <w:sz w:val="24"/>
                <w:szCs w:val="24"/>
              </w:rPr>
              <w:t>7 020</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8"/>
          <w:jc w:val="center"/>
        </w:trPr>
        <w:tc>
          <w:tcPr>
            <w:tcW w:w="977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963BA7" w:rsidRDefault="00EA31D7" w:rsidP="00EA31D7">
            <w:pPr>
              <w:pStyle w:val="Other10"/>
              <w:spacing w:after="0"/>
              <w:rPr>
                <w:i/>
                <w:noProof/>
                <w:sz w:val="24"/>
                <w:szCs w:val="24"/>
              </w:rPr>
            </w:pPr>
            <w:r>
              <w:rPr>
                <w:i/>
                <w:noProof/>
                <w:sz w:val="24"/>
                <w:szCs w:val="24"/>
              </w:rPr>
              <w:t>Avsnitt 3: andra fluorerade ämnen</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8"/>
          <w:jc w:val="center"/>
        </w:trPr>
        <w:tc>
          <w:tcPr>
            <w:tcW w:w="3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color w:val="000000"/>
                <w:sz w:val="24"/>
                <w:szCs w:val="24"/>
              </w:rPr>
              <w:t>kvävetrifluorid</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sz w:val="24"/>
                <w:szCs w:val="24"/>
              </w:rPr>
            </w:pPr>
            <w:r>
              <w:rPr>
                <w:noProof/>
                <w:color w:val="000000"/>
                <w:sz w:val="24"/>
                <w:szCs w:val="24"/>
              </w:rPr>
              <w:t>NF</w:t>
            </w:r>
            <w:r>
              <w:rPr>
                <w:noProof/>
                <w:color w:val="000000"/>
                <w:sz w:val="24"/>
                <w:szCs w:val="24"/>
                <w:vertAlign w:val="subscript"/>
              </w:rPr>
              <w:t>3</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noProof/>
                <w:sz w:val="24"/>
                <w:szCs w:val="24"/>
              </w:rPr>
            </w:pPr>
            <w:r>
              <w:rPr>
                <w:noProof/>
                <w:color w:val="000000"/>
                <w:sz w:val="24"/>
                <w:szCs w:val="24"/>
              </w:rPr>
              <w:t>17 400</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noProof/>
                <w:color w:val="000000"/>
                <w:sz w:val="24"/>
                <w:szCs w:val="24"/>
              </w:rPr>
            </w:pPr>
            <w:r>
              <w:rPr>
                <w:noProof/>
                <w:color w:val="000000"/>
                <w:sz w:val="24"/>
                <w:szCs w:val="24"/>
              </w:rPr>
              <w:t>13 400</w:t>
            </w:r>
          </w:p>
        </w:tc>
      </w:tr>
      <w:tr w:rsidR="00EA31D7" w:rsidRPr="00F44A82"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8"/>
          <w:jc w:val="center"/>
        </w:trPr>
        <w:tc>
          <w:tcPr>
            <w:tcW w:w="3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noProof/>
                <w:sz w:val="24"/>
                <w:szCs w:val="24"/>
              </w:rPr>
              <w:t>sulfurylfluorid</w:t>
            </w:r>
          </w:p>
        </w:tc>
        <w:tc>
          <w:tcPr>
            <w:tcW w:w="2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rPr>
                <w:noProof/>
                <w:color w:val="000000"/>
                <w:sz w:val="24"/>
                <w:szCs w:val="24"/>
              </w:rPr>
            </w:pPr>
            <w:r>
              <w:rPr>
                <w:bCs/>
                <w:noProof/>
                <w:sz w:val="24"/>
                <w:szCs w:val="24"/>
              </w:rPr>
              <w:t>SO</w:t>
            </w:r>
            <w:r>
              <w:rPr>
                <w:bCs/>
                <w:noProof/>
                <w:sz w:val="24"/>
                <w:szCs w:val="24"/>
                <w:vertAlign w:val="subscript"/>
              </w:rPr>
              <w:t>2</w:t>
            </w:r>
            <w:r>
              <w:rPr>
                <w:bCs/>
                <w:noProof/>
                <w:sz w:val="24"/>
                <w:szCs w:val="24"/>
              </w:rPr>
              <w:t>F</w:t>
            </w:r>
            <w:r>
              <w:rPr>
                <w:bCs/>
                <w:noProof/>
                <w:sz w:val="24"/>
                <w:szCs w:val="24"/>
                <w:vertAlign w:val="subscript"/>
              </w:rPr>
              <w:t>2</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noProof/>
                <w:color w:val="000000"/>
                <w:sz w:val="24"/>
                <w:szCs w:val="24"/>
              </w:rPr>
            </w:pPr>
            <w:r>
              <w:rPr>
                <w:noProof/>
                <w:color w:val="000000"/>
                <w:sz w:val="24"/>
                <w:szCs w:val="24"/>
              </w:rPr>
              <w:t xml:space="preserve">4 630 </w:t>
            </w:r>
          </w:p>
        </w:tc>
        <w:tc>
          <w:tcPr>
            <w:tcW w:w="15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1D7" w:rsidRPr="00F44A82" w:rsidRDefault="00EA31D7" w:rsidP="00EA31D7">
            <w:pPr>
              <w:pStyle w:val="Other10"/>
              <w:spacing w:after="0"/>
              <w:jc w:val="center"/>
              <w:rPr>
                <w:noProof/>
                <w:color w:val="000000"/>
                <w:sz w:val="24"/>
                <w:szCs w:val="24"/>
              </w:rPr>
            </w:pPr>
            <w:r>
              <w:rPr>
                <w:noProof/>
                <w:color w:val="000000"/>
                <w:sz w:val="24"/>
                <w:szCs w:val="24"/>
              </w:rPr>
              <w:t>7 510</w:t>
            </w:r>
          </w:p>
        </w:tc>
      </w:tr>
    </w:tbl>
    <w:p w:rsidR="00EA31D7" w:rsidRPr="00F44A82" w:rsidRDefault="00EA31D7" w:rsidP="00EA31D7">
      <w:pPr>
        <w:rPr>
          <w:noProof/>
          <w:szCs w:val="24"/>
        </w:rPr>
      </w:pPr>
    </w:p>
    <w:p w:rsidR="00EA31D7" w:rsidRDefault="00EA31D7">
      <w:pPr>
        <w:spacing w:after="0"/>
        <w:jc w:val="left"/>
        <w:rPr>
          <w:noProof/>
        </w:rPr>
      </w:pPr>
      <w:r>
        <w:rPr>
          <w:noProof/>
        </w:rPr>
        <w:br w:type="page"/>
      </w:r>
    </w:p>
    <w:p w:rsidR="00EA31D7" w:rsidRPr="00C9553F" w:rsidRDefault="00EA31D7" w:rsidP="00EA31D7">
      <w:pPr>
        <w:pStyle w:val="Annexetitre"/>
        <w:rPr>
          <w:rStyle w:val="Marker"/>
          <w:noProof/>
          <w:color w:val="auto"/>
        </w:rPr>
      </w:pPr>
      <w:r>
        <w:rPr>
          <w:noProof/>
        </w:rPr>
        <w:t>BILAGA III</w:t>
      </w:r>
    </w:p>
    <w:p w:rsidR="00EA31D7" w:rsidRPr="00C747D6" w:rsidRDefault="00EA31D7" w:rsidP="00EA31D7">
      <w:pPr>
        <w:pStyle w:val="Titrearticle"/>
        <w:rPr>
          <w:b/>
          <w:noProof/>
          <w:szCs w:val="24"/>
        </w:rPr>
      </w:pPr>
      <w:r>
        <w:rPr>
          <w:b/>
          <w:bCs/>
          <w:noProof/>
        </w:rPr>
        <w:t>Andra</w:t>
      </w:r>
      <w:r>
        <w:rPr>
          <w:noProof/>
        </w:rPr>
        <w:t xml:space="preserve"> </w:t>
      </w:r>
      <w:r>
        <w:rPr>
          <w:b/>
          <w:bCs/>
          <w:noProof/>
        </w:rPr>
        <w:t>fluorerade växthusgaser som avses i artikel 2.1</w:t>
      </w:r>
      <w:r>
        <w:rPr>
          <w:rStyle w:val="FootnoteReference"/>
          <w:noProof/>
        </w:rPr>
        <w:footnoteReference w:id="11"/>
      </w:r>
    </w:p>
    <w:tbl>
      <w:tblPr>
        <w:tblOverlap w:val="never"/>
        <w:tblW w:w="11007" w:type="dxa"/>
        <w:jc w:val="center"/>
        <w:tblLayout w:type="fixed"/>
        <w:tblCellMar>
          <w:left w:w="10" w:type="dxa"/>
          <w:right w:w="10" w:type="dxa"/>
        </w:tblCellMar>
        <w:tblLook w:val="0000" w:firstRow="0" w:lastRow="0" w:firstColumn="0" w:lastColumn="0" w:noHBand="0" w:noVBand="0"/>
      </w:tblPr>
      <w:tblGrid>
        <w:gridCol w:w="3768"/>
        <w:gridCol w:w="3773"/>
        <w:gridCol w:w="1733"/>
        <w:gridCol w:w="1733"/>
      </w:tblGrid>
      <w:tr w:rsidR="00EA31D7" w:rsidRPr="003E3636" w:rsidTr="00EA31D7">
        <w:trPr>
          <w:trHeight w:hRule="exact" w:val="370"/>
          <w:jc w:val="center"/>
        </w:trPr>
        <w:tc>
          <w:tcPr>
            <w:tcW w:w="754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b/>
                <w:noProof/>
                <w:sz w:val="24"/>
                <w:szCs w:val="24"/>
              </w:rPr>
            </w:pPr>
            <w:r>
              <w:rPr>
                <w:b/>
                <w:noProof/>
                <w:color w:val="000000"/>
                <w:sz w:val="24"/>
                <w:szCs w:val="24"/>
              </w:rPr>
              <w:t>Ämne</w:t>
            </w:r>
          </w:p>
        </w:tc>
        <w:tc>
          <w:tcPr>
            <w:tcW w:w="17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b/>
                <w:noProof/>
                <w:sz w:val="24"/>
                <w:szCs w:val="24"/>
              </w:rPr>
            </w:pPr>
            <w:r>
              <w:rPr>
                <w:b/>
                <w:noProof/>
                <w:sz w:val="24"/>
                <w:szCs w:val="24"/>
              </w:rPr>
              <w:t>GWP-faktor</w:t>
            </w:r>
            <w:r>
              <w:rPr>
                <w:rStyle w:val="FootnoteReference"/>
                <w:b/>
                <w:noProof/>
                <w:sz w:val="24"/>
                <w:szCs w:val="24"/>
              </w:rPr>
              <w:footnoteReference w:id="12"/>
            </w:r>
            <w:r>
              <w:rPr>
                <w:b/>
                <w:noProof/>
                <w:sz w:val="24"/>
                <w:szCs w:val="24"/>
              </w:rPr>
              <w:t xml:space="preserve"> </w:t>
            </w:r>
          </w:p>
        </w:tc>
        <w:tc>
          <w:tcPr>
            <w:tcW w:w="1733" w:type="dxa"/>
            <w:vMerge w:val="restart"/>
            <w:tcBorders>
              <w:top w:val="single" w:sz="4" w:space="0" w:color="auto"/>
              <w:left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b/>
                <w:noProof/>
                <w:sz w:val="24"/>
                <w:szCs w:val="24"/>
              </w:rPr>
            </w:pPr>
            <w:r>
              <w:rPr>
                <w:b/>
                <w:noProof/>
                <w:sz w:val="24"/>
                <w:szCs w:val="24"/>
              </w:rPr>
              <w:t>20 års-GWP(</w:t>
            </w:r>
            <w:r>
              <w:rPr>
                <w:b/>
                <w:noProof/>
                <w:sz w:val="24"/>
                <w:szCs w:val="24"/>
                <w:vertAlign w:val="superscript"/>
              </w:rPr>
              <w:t>2</w:t>
            </w:r>
            <w:r>
              <w:rPr>
                <w:b/>
                <w:noProof/>
                <w:sz w:val="24"/>
                <w:szCs w:val="24"/>
              </w:rPr>
              <w:t>) för informations</w:t>
            </w:r>
            <w:r w:rsidR="00F15B76">
              <w:rPr>
                <w:b/>
                <w:noProof/>
                <w:sz w:val="24"/>
                <w:szCs w:val="24"/>
              </w:rPr>
              <w:t>-</w:t>
            </w:r>
            <w:r>
              <w:rPr>
                <w:b/>
                <w:noProof/>
                <w:sz w:val="24"/>
                <w:szCs w:val="24"/>
              </w:rPr>
              <w:t>ändamål</w:t>
            </w:r>
          </w:p>
        </w:tc>
      </w:tr>
      <w:tr w:rsidR="00EA31D7" w:rsidRPr="003E3636" w:rsidTr="00EA31D7">
        <w:trPr>
          <w:trHeight w:hRule="exact" w:val="840"/>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A642F2">
            <w:pPr>
              <w:pStyle w:val="Other10"/>
              <w:spacing w:after="0"/>
              <w:ind w:firstLine="600"/>
              <w:jc w:val="center"/>
              <w:rPr>
                <w:b/>
                <w:noProof/>
                <w:sz w:val="24"/>
                <w:szCs w:val="24"/>
              </w:rPr>
            </w:pPr>
            <w:r>
              <w:rPr>
                <w:b/>
                <w:noProof/>
                <w:color w:val="000000"/>
                <w:sz w:val="24"/>
                <w:szCs w:val="24"/>
              </w:rPr>
              <w:t>Trivialnamn/beteckning</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ind w:left="1260"/>
              <w:rPr>
                <w:b/>
                <w:noProof/>
                <w:sz w:val="24"/>
                <w:szCs w:val="24"/>
              </w:rPr>
            </w:pPr>
            <w:r>
              <w:rPr>
                <w:b/>
                <w:noProof/>
                <w:color w:val="000000"/>
                <w:sz w:val="24"/>
                <w:szCs w:val="24"/>
              </w:rPr>
              <w:t>Kemisk formel</w:t>
            </w:r>
          </w:p>
        </w:tc>
        <w:tc>
          <w:tcPr>
            <w:tcW w:w="17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rPr>
                <w:b/>
                <w:noProof/>
                <w:szCs w:val="24"/>
              </w:rPr>
            </w:pPr>
          </w:p>
        </w:tc>
        <w:tc>
          <w:tcPr>
            <w:tcW w:w="1733" w:type="dxa"/>
            <w:vMerge/>
            <w:tcBorders>
              <w:left w:val="single" w:sz="4" w:space="0" w:color="auto"/>
              <w:bottom w:val="single" w:sz="4" w:space="0" w:color="auto"/>
              <w:right w:val="single" w:sz="4" w:space="0" w:color="auto"/>
            </w:tcBorders>
            <w:shd w:val="clear" w:color="auto" w:fill="FFFFFF"/>
          </w:tcPr>
          <w:p w:rsidR="00EA31D7" w:rsidRPr="003E3636" w:rsidRDefault="00EA31D7" w:rsidP="00EA31D7">
            <w:pPr>
              <w:rPr>
                <w:b/>
                <w:noProof/>
                <w:szCs w:val="24"/>
              </w:rPr>
            </w:pPr>
          </w:p>
        </w:tc>
      </w:tr>
      <w:tr w:rsidR="00EA31D7" w:rsidRPr="003E3636" w:rsidTr="00EA31D7">
        <w:trPr>
          <w:trHeight w:hRule="exact" w:val="658"/>
          <w:jc w:val="center"/>
        </w:trPr>
        <w:tc>
          <w:tcPr>
            <w:tcW w:w="927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rPr>
                <w:i/>
                <w:noProof/>
                <w:sz w:val="24"/>
                <w:szCs w:val="24"/>
              </w:rPr>
            </w:pPr>
            <w:r>
              <w:rPr>
                <w:i/>
                <w:noProof/>
                <w:color w:val="000000"/>
                <w:sz w:val="24"/>
                <w:szCs w:val="24"/>
              </w:rPr>
              <w:t>Avsnitt 1: Fluorerade etrar, ketoner och alkoholer</w:t>
            </w:r>
          </w:p>
        </w:tc>
        <w:tc>
          <w:tcPr>
            <w:tcW w:w="1733" w:type="dxa"/>
            <w:tcBorders>
              <w:top w:val="single" w:sz="4" w:space="0" w:color="auto"/>
              <w:left w:val="single" w:sz="4" w:space="0" w:color="auto"/>
              <w:bottom w:val="single" w:sz="4" w:space="0" w:color="auto"/>
              <w:right w:val="single" w:sz="4" w:space="0" w:color="auto"/>
            </w:tcBorders>
            <w:shd w:val="clear" w:color="auto" w:fill="FFFFFF"/>
          </w:tcPr>
          <w:p w:rsidR="00EA31D7" w:rsidRPr="003E3636" w:rsidRDefault="00EA31D7" w:rsidP="00EA31D7">
            <w:pPr>
              <w:pStyle w:val="Other10"/>
              <w:spacing w:after="0"/>
              <w:rPr>
                <w:noProof/>
                <w:color w:val="000000"/>
                <w:sz w:val="24"/>
                <w:szCs w:val="24"/>
              </w:rPr>
            </w:pPr>
          </w:p>
        </w:tc>
      </w:tr>
      <w:tr w:rsidR="00EA31D7" w:rsidRPr="003E3636"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HFE-125</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OCF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580"/>
              <w:rPr>
                <w:noProof/>
                <w:sz w:val="24"/>
                <w:szCs w:val="24"/>
              </w:rPr>
            </w:pPr>
            <w:r>
              <w:rPr>
                <w:noProof/>
                <w:color w:val="000000"/>
                <w:sz w:val="24"/>
                <w:szCs w:val="24"/>
              </w:rPr>
              <w:t>14 300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13 500</w:t>
            </w:r>
          </w:p>
        </w:tc>
      </w:tr>
      <w:tr w:rsidR="00EA31D7" w:rsidRPr="003E3636" w:rsidTr="00EA31D7">
        <w:trPr>
          <w:trHeight w:hRule="exact" w:val="658"/>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HFE-134 (HG-00)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sz w:val="24"/>
                <w:szCs w:val="24"/>
              </w:rPr>
              <w:t>CHF</w:t>
            </w:r>
            <w:r>
              <w:rPr>
                <w:rStyle w:val="sub"/>
                <w:noProof/>
                <w:sz w:val="24"/>
                <w:szCs w:val="24"/>
                <w:vertAlign w:val="subscript"/>
              </w:rPr>
              <w:t>2</w:t>
            </w:r>
            <w:r>
              <w:rPr>
                <w:noProof/>
                <w:sz w:val="24"/>
                <w:szCs w:val="24"/>
              </w:rPr>
              <w:t>OCHF</w:t>
            </w:r>
            <w:r>
              <w:rPr>
                <w:rStyle w:val="sub"/>
                <w:noProof/>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sz w:val="24"/>
                <w:szCs w:val="24"/>
              </w:rPr>
            </w:pPr>
            <w:r>
              <w:rPr>
                <w:noProof/>
                <w:color w:val="000000"/>
                <w:sz w:val="24"/>
                <w:szCs w:val="24"/>
              </w:rPr>
              <w:t>6 630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12 700</w:t>
            </w:r>
          </w:p>
        </w:tc>
      </w:tr>
      <w:tr w:rsidR="00EA31D7" w:rsidRPr="003E3636"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HFE-143a</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w:t>
            </w:r>
            <w:r>
              <w:rPr>
                <w:noProof/>
                <w:color w:val="000000"/>
                <w:sz w:val="24"/>
                <w:szCs w:val="24"/>
                <w:vertAlign w:val="subscript"/>
              </w:rPr>
              <w:t>3</w:t>
            </w:r>
            <w:r>
              <w:rPr>
                <w:noProof/>
                <w:color w:val="000000"/>
                <w:sz w:val="24"/>
                <w:szCs w:val="24"/>
              </w:rPr>
              <w:t>OCF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2 170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616</w:t>
            </w:r>
          </w:p>
        </w:tc>
      </w:tr>
      <w:tr w:rsidR="00EA31D7" w:rsidRPr="003E3636" w:rsidTr="00EA31D7">
        <w:trPr>
          <w:trHeight w:hRule="exact" w:val="658"/>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HFE-245cb2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sz w:val="24"/>
                <w:szCs w:val="24"/>
              </w:rPr>
              <w:t>CH</w:t>
            </w:r>
            <w:r>
              <w:rPr>
                <w:rStyle w:val="sub"/>
                <w:noProof/>
                <w:sz w:val="24"/>
                <w:szCs w:val="24"/>
                <w:vertAlign w:val="subscript"/>
              </w:rPr>
              <w:t>3</w:t>
            </w:r>
            <w:r>
              <w:rPr>
                <w:noProof/>
                <w:sz w:val="24"/>
                <w:szCs w:val="24"/>
              </w:rPr>
              <w:t>OCF</w:t>
            </w:r>
            <w:r>
              <w:rPr>
                <w:rStyle w:val="sub"/>
                <w:noProof/>
                <w:sz w:val="24"/>
                <w:szCs w:val="24"/>
                <w:vertAlign w:val="subscript"/>
              </w:rPr>
              <w:t>2</w:t>
            </w:r>
            <w:r>
              <w:rPr>
                <w:noProof/>
                <w:sz w:val="24"/>
                <w:szCs w:val="24"/>
              </w:rPr>
              <w:t>CF</w:t>
            </w:r>
            <w:r>
              <w:rPr>
                <w:rStyle w:val="sub"/>
                <w:noProof/>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747</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2 630</w:t>
            </w:r>
          </w:p>
        </w:tc>
      </w:tr>
      <w:tr w:rsidR="00EA31D7" w:rsidRPr="003E3636"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HFE-245fa2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OCH</w:t>
            </w:r>
            <w:r>
              <w:rPr>
                <w:noProof/>
                <w:color w:val="000000"/>
                <w:sz w:val="24"/>
                <w:szCs w:val="24"/>
                <w:vertAlign w:val="subscript"/>
              </w:rPr>
              <w:t>2</w:t>
            </w:r>
            <w:r>
              <w:rPr>
                <w:noProof/>
                <w:color w:val="000000"/>
                <w:sz w:val="24"/>
                <w:szCs w:val="24"/>
              </w:rPr>
              <w:t>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3 060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878</w:t>
            </w:r>
          </w:p>
        </w:tc>
      </w:tr>
      <w:tr w:rsidR="00EA31D7" w:rsidRPr="003E3636" w:rsidTr="00EA31D7">
        <w:trPr>
          <w:trHeight w:hRule="exact" w:val="658"/>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HFE-254cb2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3</w:t>
            </w:r>
            <w:r>
              <w:rPr>
                <w:smallCaps/>
                <w:noProof/>
                <w:color w:val="000000"/>
                <w:sz w:val="24"/>
                <w:szCs w:val="24"/>
              </w:rPr>
              <w:t>OCF</w:t>
            </w:r>
            <w:r>
              <w:rPr>
                <w:smallCaps/>
                <w:noProof/>
                <w:color w:val="000000"/>
                <w:sz w:val="24"/>
                <w:szCs w:val="24"/>
                <w:vertAlign w:val="subscript"/>
              </w:rPr>
              <w:t>2</w:t>
            </w:r>
            <w:r>
              <w:rPr>
                <w:smallCaps/>
                <w:noProof/>
                <w:color w:val="000000"/>
                <w:sz w:val="24"/>
                <w:szCs w:val="24"/>
              </w:rPr>
              <w:t>CHF</w:t>
            </w:r>
            <w:r>
              <w:rPr>
                <w:smallCaps/>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328</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1 180</w:t>
            </w:r>
          </w:p>
        </w:tc>
      </w:tr>
      <w:tr w:rsidR="00EA31D7" w:rsidRPr="003E3636"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HFE-347 mcc3 (HFE-7000)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w:t>
            </w:r>
            <w:r>
              <w:rPr>
                <w:noProof/>
                <w:color w:val="000000"/>
                <w:sz w:val="24"/>
                <w:szCs w:val="24"/>
                <w:vertAlign w:val="subscript"/>
              </w:rPr>
              <w:t>3</w:t>
            </w:r>
            <w:r>
              <w:rPr>
                <w:noProof/>
                <w:color w:val="000000"/>
                <w:sz w:val="24"/>
                <w:szCs w:val="24"/>
              </w:rPr>
              <w:t>OCF</w:t>
            </w:r>
            <w:r>
              <w:rPr>
                <w:noProof/>
                <w:color w:val="000000"/>
                <w:sz w:val="24"/>
                <w:szCs w:val="24"/>
                <w:vertAlign w:val="subscript"/>
              </w:rPr>
              <w:t>2</w:t>
            </w:r>
            <w:r>
              <w:rPr>
                <w:noProof/>
                <w:color w:val="000000"/>
                <w:sz w:val="24"/>
                <w:szCs w:val="24"/>
              </w:rPr>
              <w:t>CF</w:t>
            </w:r>
            <w:r>
              <w:rPr>
                <w:noProof/>
                <w:color w:val="000000"/>
                <w:sz w:val="24"/>
                <w:szCs w:val="24"/>
                <w:vertAlign w:val="subscript"/>
              </w:rPr>
              <w:t>2</w:t>
            </w:r>
            <w:r>
              <w:rPr>
                <w:noProof/>
                <w:color w:val="000000"/>
                <w:sz w:val="24"/>
                <w:szCs w:val="24"/>
              </w:rPr>
              <w:t>CF3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576</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2 020</w:t>
            </w:r>
          </w:p>
        </w:tc>
      </w:tr>
      <w:tr w:rsidR="00EA31D7" w:rsidRPr="003E3636"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HFE-347pcf2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CF</w:t>
            </w:r>
            <w:r>
              <w:rPr>
                <w:noProof/>
                <w:color w:val="000000"/>
                <w:sz w:val="24"/>
                <w:szCs w:val="24"/>
                <w:vertAlign w:val="subscript"/>
              </w:rPr>
              <w:t>2</w:t>
            </w:r>
            <w:r>
              <w:rPr>
                <w:noProof/>
                <w:color w:val="000000"/>
                <w:sz w:val="24"/>
                <w:szCs w:val="24"/>
              </w:rPr>
              <w:t>OCH</w:t>
            </w:r>
            <w:r>
              <w:rPr>
                <w:noProof/>
                <w:color w:val="000000"/>
                <w:sz w:val="24"/>
                <w:szCs w:val="24"/>
                <w:vertAlign w:val="subscript"/>
              </w:rPr>
              <w:t>2</w:t>
            </w:r>
            <w:r>
              <w:rPr>
                <w:noProof/>
                <w:color w:val="000000"/>
                <w:sz w:val="24"/>
                <w:szCs w:val="24"/>
              </w:rPr>
              <w:t>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980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3 370</w:t>
            </w:r>
          </w:p>
        </w:tc>
      </w:tr>
      <w:tr w:rsidR="00EA31D7" w:rsidRPr="003E3636" w:rsidTr="00EA31D7">
        <w:trPr>
          <w:trHeight w:hRule="exact" w:val="658"/>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HFE-356pcc3</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44D03" w:rsidP="00EA31D7">
            <w:pPr>
              <w:pStyle w:val="Other10"/>
              <w:spacing w:after="0"/>
              <w:rPr>
                <w:noProof/>
                <w:sz w:val="24"/>
                <w:szCs w:val="24"/>
              </w:rPr>
            </w:pPr>
            <w:r>
              <w:rPr>
                <w:smallCaps/>
                <w:noProof/>
                <w:color w:val="000000"/>
                <w:sz w:val="24"/>
                <w:szCs w:val="24"/>
              </w:rPr>
              <w:t>CH</w:t>
            </w:r>
            <w:r>
              <w:rPr>
                <w:smallCaps/>
                <w:noProof/>
                <w:color w:val="000000"/>
                <w:sz w:val="24"/>
                <w:szCs w:val="24"/>
                <w:vertAlign w:val="subscript"/>
              </w:rPr>
              <w:t>3</w:t>
            </w:r>
            <w:r>
              <w:rPr>
                <w:smallCaps/>
                <w:noProof/>
                <w:color w:val="000000"/>
                <w:sz w:val="24"/>
                <w:szCs w:val="24"/>
              </w:rPr>
              <w:t>OCF</w:t>
            </w:r>
            <w:r>
              <w:rPr>
                <w:smallCaps/>
                <w:noProof/>
                <w:color w:val="000000"/>
                <w:sz w:val="24"/>
                <w:szCs w:val="24"/>
                <w:vertAlign w:val="subscript"/>
              </w:rPr>
              <w:t>2</w:t>
            </w:r>
            <w:r>
              <w:rPr>
                <w:smallCaps/>
                <w:noProof/>
                <w:color w:val="000000"/>
                <w:sz w:val="24"/>
                <w:szCs w:val="24"/>
              </w:rPr>
              <w:t>CF</w:t>
            </w:r>
            <w:r>
              <w:rPr>
                <w:smallCaps/>
                <w:noProof/>
                <w:color w:val="000000"/>
                <w:sz w:val="24"/>
                <w:szCs w:val="24"/>
                <w:vertAlign w:val="subscript"/>
              </w:rPr>
              <w:t>2</w:t>
            </w:r>
            <w:r>
              <w:rPr>
                <w:smallCaps/>
                <w:noProof/>
                <w:color w:val="000000"/>
                <w:sz w:val="24"/>
                <w:szCs w:val="24"/>
              </w:rPr>
              <w:t>CHF</w:t>
            </w:r>
            <w:r>
              <w:rPr>
                <w:smallCaps/>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277</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995</w:t>
            </w:r>
          </w:p>
        </w:tc>
      </w:tr>
      <w:tr w:rsidR="00EA31D7" w:rsidRPr="003E3636" w:rsidTr="00EA31D7">
        <w:trPr>
          <w:trHeight w:hRule="exact" w:val="653"/>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HFE-449s1 (HFE-7100)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44D03" w:rsidP="00EA31D7">
            <w:pPr>
              <w:pStyle w:val="Other10"/>
              <w:spacing w:after="0"/>
              <w:rPr>
                <w:noProof/>
                <w:sz w:val="24"/>
                <w:szCs w:val="24"/>
              </w:rPr>
            </w:pPr>
            <w:r>
              <w:rPr>
                <w:smallCaps/>
                <w:noProof/>
                <w:color w:val="000000"/>
                <w:sz w:val="24"/>
                <w:szCs w:val="24"/>
              </w:rPr>
              <w:t>C</w:t>
            </w:r>
            <w:r>
              <w:rPr>
                <w:smallCaps/>
                <w:noProof/>
                <w:color w:val="000000"/>
                <w:sz w:val="24"/>
                <w:szCs w:val="24"/>
                <w:vertAlign w:val="subscript"/>
              </w:rPr>
              <w:t>4</w:t>
            </w:r>
            <w:r>
              <w:rPr>
                <w:smallCaps/>
                <w:noProof/>
                <w:color w:val="000000"/>
                <w:sz w:val="24"/>
                <w:szCs w:val="24"/>
              </w:rPr>
              <w:t>F</w:t>
            </w:r>
            <w:r>
              <w:rPr>
                <w:smallCaps/>
                <w:noProof/>
                <w:color w:val="000000"/>
                <w:sz w:val="24"/>
                <w:szCs w:val="24"/>
                <w:vertAlign w:val="subscript"/>
              </w:rPr>
              <w:t>9</w:t>
            </w:r>
            <w:r>
              <w:rPr>
                <w:smallCaps/>
                <w:noProof/>
                <w:color w:val="000000"/>
                <w:sz w:val="24"/>
                <w:szCs w:val="24"/>
              </w:rPr>
              <w:t>OCH</w:t>
            </w:r>
            <w:r>
              <w:rPr>
                <w:smallCaps/>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460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1 620</w:t>
            </w:r>
          </w:p>
        </w:tc>
      </w:tr>
      <w:tr w:rsidR="00EA31D7" w:rsidRPr="003E3636" w:rsidTr="00EA31D7">
        <w:trPr>
          <w:trHeight w:hRule="exact" w:val="66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HFE-569sf2 (HFE-7200)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44D03" w:rsidP="00EA31D7">
            <w:pPr>
              <w:pStyle w:val="Other10"/>
              <w:spacing w:after="0"/>
              <w:rPr>
                <w:noProof/>
                <w:sz w:val="24"/>
                <w:szCs w:val="24"/>
              </w:rPr>
            </w:pPr>
            <w:r>
              <w:rPr>
                <w:smallCaps/>
                <w:noProof/>
                <w:color w:val="000000"/>
                <w:sz w:val="24"/>
                <w:szCs w:val="24"/>
              </w:rPr>
              <w:t>C</w:t>
            </w:r>
            <w:r>
              <w:rPr>
                <w:smallCaps/>
                <w:noProof/>
                <w:color w:val="000000"/>
                <w:sz w:val="24"/>
                <w:szCs w:val="24"/>
                <w:vertAlign w:val="subscript"/>
              </w:rPr>
              <w:t>4</w:t>
            </w:r>
            <w:r>
              <w:rPr>
                <w:smallCaps/>
                <w:noProof/>
                <w:color w:val="000000"/>
                <w:sz w:val="24"/>
                <w:szCs w:val="24"/>
              </w:rPr>
              <w:t>F</w:t>
            </w:r>
            <w:r>
              <w:rPr>
                <w:smallCaps/>
                <w:noProof/>
                <w:color w:val="000000"/>
                <w:sz w:val="24"/>
                <w:szCs w:val="24"/>
                <w:vertAlign w:val="subscript"/>
              </w:rPr>
              <w:t>9</w:t>
            </w:r>
            <w:r>
              <w:rPr>
                <w:smallCaps/>
                <w:noProof/>
                <w:color w:val="000000"/>
                <w:sz w:val="24"/>
                <w:szCs w:val="24"/>
              </w:rPr>
              <w:t>OC</w:t>
            </w:r>
            <w:r>
              <w:rPr>
                <w:smallCaps/>
                <w:noProof/>
                <w:color w:val="000000"/>
                <w:sz w:val="24"/>
                <w:szCs w:val="24"/>
                <w:vertAlign w:val="subscript"/>
              </w:rPr>
              <w:t>2</w:t>
            </w:r>
            <w:r>
              <w:rPr>
                <w:smallCaps/>
                <w:noProof/>
                <w:color w:val="000000"/>
                <w:sz w:val="24"/>
                <w:szCs w:val="24"/>
              </w:rPr>
              <w:t>H</w:t>
            </w:r>
            <w:r>
              <w:rPr>
                <w:smallCaps/>
                <w:noProof/>
                <w:color w:val="000000"/>
                <w:sz w:val="24"/>
                <w:szCs w:val="24"/>
                <w:vertAlign w:val="subscript"/>
              </w:rPr>
              <w:t>5</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sz w:val="24"/>
                <w:szCs w:val="24"/>
              </w:rPr>
            </w:pPr>
            <w:r>
              <w:rPr>
                <w:noProof/>
                <w:color w:val="000000"/>
                <w:sz w:val="24"/>
                <w:szCs w:val="24"/>
              </w:rPr>
              <w:t>60,7</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219</w:t>
            </w:r>
          </w:p>
        </w:tc>
      </w:tr>
      <w:tr w:rsidR="00EA31D7" w:rsidRPr="003E3636" w:rsidTr="00EA31D7">
        <w:trPr>
          <w:trHeight w:hRule="exact" w:val="66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color w:val="000000"/>
                <w:sz w:val="24"/>
                <w:szCs w:val="24"/>
              </w:rPr>
            </w:pPr>
            <w:r>
              <w:rPr>
                <w:bCs/>
                <w:noProof/>
                <w:sz w:val="24"/>
                <w:szCs w:val="24"/>
              </w:rPr>
              <w:t xml:space="preserve">HFE-7300 </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smallCaps/>
                <w:noProof/>
                <w:color w:val="000000"/>
                <w:sz w:val="24"/>
                <w:szCs w:val="24"/>
              </w:rPr>
            </w:pPr>
            <w:r>
              <w:rPr>
                <w:noProof/>
                <w:sz w:val="24"/>
                <w:szCs w:val="24"/>
              </w:rPr>
              <w:t>(CF</w:t>
            </w:r>
            <w:r>
              <w:rPr>
                <w:noProof/>
                <w:sz w:val="24"/>
                <w:szCs w:val="24"/>
                <w:vertAlign w:val="subscript"/>
              </w:rPr>
              <w:t>3</w:t>
            </w:r>
            <w:r>
              <w:rPr>
                <w:noProof/>
                <w:sz w:val="24"/>
                <w:szCs w:val="24"/>
              </w:rPr>
              <w:t>)</w:t>
            </w:r>
            <w:r>
              <w:rPr>
                <w:noProof/>
                <w:sz w:val="24"/>
                <w:szCs w:val="24"/>
                <w:vertAlign w:val="subscript"/>
              </w:rPr>
              <w:t>2</w:t>
            </w:r>
            <w:r>
              <w:rPr>
                <w:noProof/>
                <w:sz w:val="24"/>
                <w:szCs w:val="24"/>
              </w:rPr>
              <w:t>CFCFOC</w:t>
            </w:r>
            <w:r>
              <w:rPr>
                <w:noProof/>
                <w:sz w:val="24"/>
                <w:szCs w:val="24"/>
                <w:vertAlign w:val="subscript"/>
              </w:rPr>
              <w:t>2</w:t>
            </w:r>
            <w:r>
              <w:rPr>
                <w:noProof/>
                <w:sz w:val="24"/>
                <w:szCs w:val="24"/>
              </w:rPr>
              <w:t>H</w:t>
            </w:r>
            <w:r>
              <w:rPr>
                <w:noProof/>
                <w:sz w:val="24"/>
                <w:szCs w:val="24"/>
                <w:vertAlign w:val="subscript"/>
              </w:rPr>
              <w:t>5</w:t>
            </w:r>
            <w:r>
              <w:rPr>
                <w:noProof/>
                <w:sz w:val="24"/>
                <w:szCs w:val="24"/>
              </w:rPr>
              <w:t>CF</w:t>
            </w:r>
            <w:r>
              <w:rPr>
                <w:noProof/>
                <w:sz w:val="24"/>
                <w:szCs w:val="24"/>
                <w:vertAlign w:val="subscript"/>
              </w:rPr>
              <w:t>2</w:t>
            </w:r>
            <w:r>
              <w:rPr>
                <w:noProof/>
                <w:sz w:val="24"/>
                <w:szCs w:val="24"/>
              </w:rPr>
              <w:t>CF</w:t>
            </w:r>
            <w:r>
              <w:rPr>
                <w:noProof/>
                <w:sz w:val="24"/>
                <w:szCs w:val="24"/>
                <w:vertAlign w:val="subscript"/>
              </w:rPr>
              <w:t>2</w:t>
            </w:r>
            <w:r>
              <w:rPr>
                <w:noProof/>
                <w:sz w:val="24"/>
                <w:szCs w:val="24"/>
              </w:rPr>
              <w:t>CF</w:t>
            </w:r>
            <w:r>
              <w:rPr>
                <w:noProof/>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bCs/>
                <w:noProof/>
                <w:sz w:val="24"/>
                <w:szCs w:val="24"/>
              </w:rPr>
              <w:t>405</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bCs/>
                <w:noProof/>
                <w:sz w:val="24"/>
                <w:szCs w:val="24"/>
              </w:rPr>
            </w:pPr>
            <w:r>
              <w:rPr>
                <w:bCs/>
                <w:noProof/>
                <w:sz w:val="24"/>
                <w:szCs w:val="24"/>
              </w:rPr>
              <w:t>1 420</w:t>
            </w:r>
          </w:p>
        </w:tc>
      </w:tr>
      <w:tr w:rsidR="00EA31D7" w:rsidRPr="003E3636" w:rsidTr="00EA31D7">
        <w:trPr>
          <w:trHeight w:hRule="exact" w:val="66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n-HFE-7100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smallCaps/>
                <w:noProof/>
                <w:color w:val="000000"/>
                <w:sz w:val="24"/>
                <w:szCs w:val="24"/>
              </w:rPr>
            </w:pPr>
            <w:r>
              <w:rPr>
                <w:noProof/>
                <w:sz w:val="24"/>
                <w:szCs w:val="24"/>
              </w:rPr>
              <w:t>CF</w:t>
            </w:r>
            <w:r>
              <w:rPr>
                <w:noProof/>
                <w:sz w:val="24"/>
                <w:szCs w:val="24"/>
                <w:vertAlign w:val="subscript"/>
              </w:rPr>
              <w:t>3</w:t>
            </w:r>
            <w:r>
              <w:rPr>
                <w:noProof/>
                <w:sz w:val="24"/>
                <w:szCs w:val="24"/>
              </w:rPr>
              <w:t>CF</w:t>
            </w:r>
            <w:r>
              <w:rPr>
                <w:noProof/>
                <w:sz w:val="24"/>
                <w:szCs w:val="24"/>
                <w:vertAlign w:val="subscript"/>
              </w:rPr>
              <w:t>2</w:t>
            </w:r>
            <w:r>
              <w:rPr>
                <w:noProof/>
                <w:sz w:val="24"/>
                <w:szCs w:val="24"/>
              </w:rPr>
              <w:t>CF</w:t>
            </w:r>
            <w:r>
              <w:rPr>
                <w:noProof/>
                <w:sz w:val="24"/>
                <w:szCs w:val="24"/>
                <w:vertAlign w:val="subscript"/>
              </w:rPr>
              <w:t>2</w:t>
            </w:r>
            <w:r>
              <w:rPr>
                <w:noProof/>
                <w:sz w:val="24"/>
                <w:szCs w:val="24"/>
              </w:rPr>
              <w:t>CF</w:t>
            </w:r>
            <w:r>
              <w:rPr>
                <w:noProof/>
                <w:sz w:val="24"/>
                <w:szCs w:val="24"/>
                <w:vertAlign w:val="subscript"/>
              </w:rPr>
              <w:t>2</w:t>
            </w:r>
            <w:r>
              <w:rPr>
                <w:noProof/>
                <w:sz w:val="24"/>
                <w:szCs w:val="24"/>
              </w:rPr>
              <w:t>OCH</w:t>
            </w:r>
            <w:r>
              <w:rPr>
                <w:noProof/>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sz w:val="24"/>
                <w:szCs w:val="24"/>
              </w:rPr>
              <w:t>544</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rFonts w:eastAsia="Calibri"/>
                <w:noProof/>
                <w:sz w:val="24"/>
                <w:szCs w:val="24"/>
              </w:rPr>
            </w:pPr>
            <w:r>
              <w:rPr>
                <w:noProof/>
                <w:sz w:val="24"/>
                <w:szCs w:val="24"/>
              </w:rPr>
              <w:t>1 920</w:t>
            </w:r>
          </w:p>
        </w:tc>
      </w:tr>
      <w:tr w:rsidR="00EA31D7" w:rsidRPr="003E3636" w:rsidTr="00EA31D7">
        <w:trPr>
          <w:trHeight w:hRule="exact" w:val="66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rFonts w:eastAsia="Calibri"/>
                <w:bCs/>
                <w:noProof/>
                <w:sz w:val="24"/>
                <w:szCs w:val="24"/>
              </w:rPr>
            </w:pPr>
            <w:r>
              <w:rPr>
                <w:bCs/>
                <w:noProof/>
                <w:sz w:val="24"/>
                <w:szCs w:val="24"/>
              </w:rPr>
              <w:t>i-HFE-7100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rFonts w:eastAsia="Calibri"/>
                <w:bCs/>
                <w:noProof/>
                <w:sz w:val="24"/>
                <w:szCs w:val="24"/>
              </w:rPr>
            </w:pPr>
            <w:r>
              <w:rPr>
                <w:noProof/>
                <w:sz w:val="24"/>
                <w:szCs w:val="24"/>
              </w:rPr>
              <w:t>(CF3)</w:t>
            </w:r>
            <w:r>
              <w:rPr>
                <w:noProof/>
                <w:sz w:val="24"/>
                <w:szCs w:val="24"/>
                <w:vertAlign w:val="subscript"/>
              </w:rPr>
              <w:t>2</w:t>
            </w:r>
            <w:r>
              <w:rPr>
                <w:noProof/>
                <w:sz w:val="24"/>
                <w:szCs w:val="24"/>
              </w:rPr>
              <w:t>CFCF</w:t>
            </w:r>
            <w:r>
              <w:rPr>
                <w:noProof/>
                <w:sz w:val="24"/>
                <w:szCs w:val="24"/>
                <w:vertAlign w:val="subscript"/>
              </w:rPr>
              <w:t>2</w:t>
            </w:r>
            <w:r>
              <w:rPr>
                <w:noProof/>
                <w:sz w:val="24"/>
                <w:szCs w:val="24"/>
              </w:rPr>
              <w:t>OCH</w:t>
            </w:r>
            <w:r>
              <w:rPr>
                <w:noProof/>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rFonts w:eastAsia="Calibri"/>
                <w:noProof/>
                <w:sz w:val="24"/>
                <w:szCs w:val="24"/>
              </w:rPr>
            </w:pPr>
            <w:r>
              <w:rPr>
                <w:noProof/>
                <w:sz w:val="24"/>
                <w:szCs w:val="24"/>
              </w:rPr>
              <w:t>437</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rFonts w:eastAsia="Calibri"/>
                <w:noProof/>
                <w:sz w:val="24"/>
                <w:szCs w:val="24"/>
              </w:rPr>
            </w:pPr>
            <w:r>
              <w:rPr>
                <w:noProof/>
                <w:sz w:val="24"/>
                <w:szCs w:val="24"/>
              </w:rPr>
              <w:t>1 540</w:t>
            </w:r>
          </w:p>
        </w:tc>
      </w:tr>
      <w:tr w:rsidR="00EA31D7" w:rsidRPr="003E3636" w:rsidTr="00EA31D7">
        <w:trPr>
          <w:trHeight w:hRule="exact" w:val="66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 xml:space="preserve">i-HFE-7200 </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smallCaps/>
                <w:noProof/>
                <w:color w:val="000000"/>
                <w:sz w:val="24"/>
                <w:szCs w:val="24"/>
              </w:rPr>
            </w:pPr>
            <w:r>
              <w:rPr>
                <w:noProof/>
                <w:sz w:val="24"/>
                <w:szCs w:val="24"/>
              </w:rPr>
              <w:t>(CF</w:t>
            </w:r>
            <w:r>
              <w:rPr>
                <w:noProof/>
                <w:sz w:val="24"/>
                <w:szCs w:val="24"/>
                <w:vertAlign w:val="subscript"/>
              </w:rPr>
              <w:t>3</w:t>
            </w:r>
            <w:r>
              <w:rPr>
                <w:noProof/>
                <w:sz w:val="24"/>
                <w:szCs w:val="24"/>
              </w:rPr>
              <w:t>)</w:t>
            </w:r>
            <w:r>
              <w:rPr>
                <w:noProof/>
                <w:sz w:val="24"/>
                <w:szCs w:val="24"/>
                <w:vertAlign w:val="subscript"/>
              </w:rPr>
              <w:t>2</w:t>
            </w:r>
            <w:r>
              <w:rPr>
                <w:noProof/>
                <w:sz w:val="24"/>
                <w:szCs w:val="24"/>
              </w:rPr>
              <w:t>CFCF</w:t>
            </w:r>
            <w:r>
              <w:rPr>
                <w:noProof/>
                <w:sz w:val="24"/>
                <w:szCs w:val="24"/>
                <w:vertAlign w:val="subscript"/>
              </w:rPr>
              <w:t>2</w:t>
            </w:r>
            <w:r>
              <w:rPr>
                <w:noProof/>
                <w:sz w:val="24"/>
                <w:szCs w:val="24"/>
              </w:rPr>
              <w:t>OCH</w:t>
            </w:r>
            <w:r>
              <w:rPr>
                <w:noProof/>
                <w:sz w:val="24"/>
                <w:szCs w:val="24"/>
                <w:vertAlign w:val="subscript"/>
              </w:rPr>
              <w:t>2</w:t>
            </w:r>
            <w:r>
              <w:rPr>
                <w:noProof/>
                <w:sz w:val="24"/>
                <w:szCs w:val="24"/>
              </w:rPr>
              <w:t>CH</w:t>
            </w:r>
            <w:r>
              <w:rPr>
                <w:noProof/>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sz w:val="24"/>
                <w:szCs w:val="24"/>
              </w:rPr>
              <w:t>34,3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rFonts w:eastAsia="Calibri"/>
                <w:noProof/>
                <w:sz w:val="24"/>
                <w:szCs w:val="24"/>
              </w:rPr>
            </w:pPr>
            <w:r>
              <w:rPr>
                <w:noProof/>
                <w:sz w:val="24"/>
                <w:szCs w:val="24"/>
              </w:rPr>
              <w:t>124</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HFE-43-10pcccl24 (Η-Galden 1040x) HG-11</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OC</w:t>
            </w:r>
            <w:r>
              <w:rPr>
                <w:noProof/>
                <w:color w:val="000000"/>
                <w:sz w:val="24"/>
                <w:szCs w:val="24"/>
                <w:vertAlign w:val="subscript"/>
              </w:rPr>
              <w:t>2</w:t>
            </w:r>
            <w:r>
              <w:rPr>
                <w:noProof/>
                <w:color w:val="000000"/>
                <w:sz w:val="24"/>
                <w:szCs w:val="24"/>
              </w:rPr>
              <w:t>F</w:t>
            </w:r>
            <w:r>
              <w:rPr>
                <w:noProof/>
                <w:color w:val="000000"/>
                <w:sz w:val="24"/>
                <w:szCs w:val="24"/>
                <w:vertAlign w:val="subscript"/>
              </w:rPr>
              <w:t>4</w:t>
            </w:r>
            <w:r>
              <w:rPr>
                <w:noProof/>
                <w:color w:val="000000"/>
                <w:sz w:val="24"/>
                <w:szCs w:val="24"/>
              </w:rPr>
              <w:t>OCHF</w:t>
            </w:r>
            <w:r>
              <w:rPr>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sz w:val="24"/>
                <w:szCs w:val="24"/>
              </w:rPr>
            </w:pPr>
            <w:r>
              <w:rPr>
                <w:noProof/>
                <w:color w:val="000000"/>
                <w:sz w:val="24"/>
                <w:szCs w:val="24"/>
              </w:rPr>
              <w:t>3 220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color w:val="000000"/>
                <w:sz w:val="24"/>
                <w:szCs w:val="24"/>
              </w:rPr>
            </w:pPr>
            <w:r>
              <w:rPr>
                <w:noProof/>
                <w:color w:val="000000"/>
                <w:sz w:val="24"/>
                <w:szCs w:val="24"/>
              </w:rPr>
              <w:t>8 720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HFE-236cal2 (HG-10)</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44D03" w:rsidP="00EA31D7">
            <w:pPr>
              <w:pStyle w:val="Other10"/>
              <w:spacing w:after="0"/>
              <w:rPr>
                <w:noProof/>
                <w:sz w:val="24"/>
                <w:szCs w:val="24"/>
              </w:rPr>
            </w:pPr>
            <w:r>
              <w:rPr>
                <w:smallCaps/>
                <w:noProof/>
                <w:color w:val="000000"/>
                <w:sz w:val="24"/>
                <w:szCs w:val="24"/>
              </w:rPr>
              <w:t>CHF</w:t>
            </w:r>
            <w:r>
              <w:rPr>
                <w:smallCaps/>
                <w:noProof/>
                <w:color w:val="000000"/>
                <w:sz w:val="24"/>
                <w:szCs w:val="24"/>
                <w:vertAlign w:val="subscript"/>
              </w:rPr>
              <w:t>2</w:t>
            </w:r>
            <w:r>
              <w:rPr>
                <w:smallCaps/>
                <w:noProof/>
                <w:color w:val="000000"/>
                <w:sz w:val="24"/>
                <w:szCs w:val="24"/>
              </w:rPr>
              <w:t>OCF</w:t>
            </w:r>
            <w:r>
              <w:rPr>
                <w:smallCaps/>
                <w:noProof/>
                <w:color w:val="000000"/>
                <w:sz w:val="24"/>
                <w:szCs w:val="24"/>
                <w:vertAlign w:val="subscript"/>
              </w:rPr>
              <w:t>2</w:t>
            </w:r>
            <w:r>
              <w:rPr>
                <w:smallCaps/>
                <w:noProof/>
                <w:color w:val="000000"/>
                <w:sz w:val="24"/>
                <w:szCs w:val="24"/>
              </w:rPr>
              <w:t>OCHF</w:t>
            </w:r>
            <w:r>
              <w:rPr>
                <w:smallCaps/>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sz w:val="24"/>
                <w:szCs w:val="24"/>
              </w:rPr>
            </w:pPr>
            <w:r>
              <w:rPr>
                <w:noProof/>
                <w:color w:val="000000"/>
                <w:sz w:val="24"/>
                <w:szCs w:val="24"/>
              </w:rPr>
              <w:t>6 060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color w:val="000000"/>
                <w:sz w:val="24"/>
                <w:szCs w:val="24"/>
              </w:rPr>
            </w:pPr>
            <w:r>
              <w:rPr>
                <w:noProof/>
                <w:color w:val="000000"/>
                <w:sz w:val="24"/>
                <w:szCs w:val="24"/>
              </w:rPr>
              <w:t>11 700</w:t>
            </w:r>
          </w:p>
        </w:tc>
      </w:tr>
      <w:tr w:rsidR="00EA31D7" w:rsidRPr="003E3636" w:rsidTr="00EA31D7">
        <w:trPr>
          <w:trHeight w:hRule="exact" w:val="667"/>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HFE-338pccl3 (HG-01)</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CF</w:t>
            </w:r>
            <w:r>
              <w:rPr>
                <w:noProof/>
                <w:color w:val="000000"/>
                <w:sz w:val="24"/>
                <w:szCs w:val="24"/>
                <w:vertAlign w:val="subscript"/>
              </w:rPr>
              <w:t>2</w:t>
            </w:r>
            <w:r>
              <w:rPr>
                <w:noProof/>
                <w:color w:val="000000"/>
                <w:sz w:val="24"/>
                <w:szCs w:val="24"/>
              </w:rPr>
              <w:t>OCHF</w:t>
            </w:r>
            <w:r>
              <w:rPr>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sz w:val="24"/>
                <w:szCs w:val="24"/>
              </w:rPr>
            </w:pPr>
            <w:r>
              <w:rPr>
                <w:noProof/>
                <w:color w:val="000000"/>
                <w:sz w:val="24"/>
                <w:szCs w:val="24"/>
              </w:rPr>
              <w:t>3 320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color w:val="000000"/>
                <w:sz w:val="24"/>
                <w:szCs w:val="24"/>
              </w:rPr>
            </w:pPr>
            <w:r>
              <w:rPr>
                <w:noProof/>
                <w:color w:val="000000"/>
                <w:sz w:val="24"/>
                <w:szCs w:val="24"/>
              </w:rPr>
              <w:t>9 180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HFE-347mmyl</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w:t>
            </w:r>
            <w:r>
              <w:rPr>
                <w:noProof/>
                <w:color w:val="000000"/>
                <w:sz w:val="24"/>
                <w:szCs w:val="24"/>
                <w:vertAlign w:val="subscript"/>
              </w:rPr>
              <w:t>2</w:t>
            </w:r>
            <w:r>
              <w:rPr>
                <w:noProof/>
                <w:color w:val="000000"/>
                <w:sz w:val="24"/>
                <w:szCs w:val="24"/>
              </w:rPr>
              <w:t>CFOCH</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392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1 400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2,2,3,3,3-pentafluorpropan-1-ol</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44D03" w:rsidP="00EA31D7">
            <w:pPr>
              <w:pStyle w:val="Other10"/>
              <w:spacing w:after="0"/>
              <w:rPr>
                <w:noProof/>
                <w:sz w:val="24"/>
                <w:szCs w:val="24"/>
              </w:rPr>
            </w:pPr>
            <w:r>
              <w:rPr>
                <w:smallCaps/>
                <w:noProof/>
                <w:color w:val="000000"/>
                <w:sz w:val="24"/>
                <w:szCs w:val="24"/>
              </w:rPr>
              <w:t>CF</w:t>
            </w:r>
            <w:r>
              <w:rPr>
                <w:smallCaps/>
                <w:noProof/>
                <w:color w:val="000000"/>
                <w:sz w:val="24"/>
                <w:szCs w:val="24"/>
                <w:vertAlign w:val="subscript"/>
              </w:rPr>
              <w:t>3</w:t>
            </w:r>
            <w:r>
              <w:rPr>
                <w:smallCaps/>
                <w:noProof/>
                <w:color w:val="000000"/>
                <w:sz w:val="24"/>
                <w:szCs w:val="24"/>
              </w:rPr>
              <w:t>CF</w:t>
            </w:r>
            <w:r>
              <w:rPr>
                <w:smallCaps/>
                <w:noProof/>
                <w:color w:val="000000"/>
                <w:sz w:val="24"/>
                <w:szCs w:val="24"/>
                <w:vertAlign w:val="subscript"/>
              </w:rPr>
              <w:t>2</w:t>
            </w:r>
            <w:r>
              <w:rPr>
                <w:smallCaps/>
                <w:noProof/>
                <w:color w:val="000000"/>
                <w:sz w:val="24"/>
                <w:szCs w:val="24"/>
              </w:rPr>
              <w:t>CH</w:t>
            </w:r>
            <w:r>
              <w:rPr>
                <w:smallCaps/>
                <w:noProof/>
                <w:color w:val="000000"/>
                <w:sz w:val="24"/>
                <w:szCs w:val="24"/>
                <w:vertAlign w:val="subscript"/>
              </w:rPr>
              <w:t>2</w:t>
            </w:r>
            <w:r>
              <w:rPr>
                <w:smallCaps/>
                <w:noProof/>
                <w:color w:val="000000"/>
                <w:sz w:val="24"/>
                <w:szCs w:val="24"/>
              </w:rPr>
              <w:t>OH</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sz w:val="24"/>
                <w:szCs w:val="24"/>
              </w:rPr>
            </w:pPr>
            <w:r>
              <w:rPr>
                <w:noProof/>
                <w:color w:val="000000"/>
                <w:sz w:val="24"/>
                <w:szCs w:val="24"/>
              </w:rPr>
              <w:t>34,3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color w:val="000000"/>
                <w:sz w:val="24"/>
                <w:szCs w:val="24"/>
              </w:rPr>
            </w:pPr>
            <w:r>
              <w:rPr>
                <w:noProof/>
                <w:color w:val="000000"/>
                <w:sz w:val="24"/>
                <w:szCs w:val="24"/>
              </w:rPr>
              <w:t>123</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1,1,1,3,3,3-hexafluorpropan-2-ol</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w:t>
            </w:r>
            <w:r>
              <w:rPr>
                <w:noProof/>
                <w:color w:val="000000"/>
                <w:sz w:val="24"/>
                <w:szCs w:val="24"/>
                <w:vertAlign w:val="subscript"/>
              </w:rPr>
              <w:t>2</w:t>
            </w:r>
            <w:r>
              <w:rPr>
                <w:noProof/>
                <w:color w:val="000000"/>
                <w:sz w:val="24"/>
                <w:szCs w:val="24"/>
              </w:rPr>
              <w:t>CHOH</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206</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742</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HFE-227ea</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CHFOCF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sz w:val="24"/>
                <w:szCs w:val="24"/>
              </w:rPr>
            </w:pPr>
            <w:r>
              <w:rPr>
                <w:noProof/>
                <w:color w:val="000000"/>
                <w:sz w:val="24"/>
                <w:szCs w:val="24"/>
              </w:rPr>
              <w:t>7 520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660"/>
              <w:rPr>
                <w:noProof/>
                <w:color w:val="000000"/>
                <w:sz w:val="24"/>
                <w:szCs w:val="24"/>
              </w:rPr>
            </w:pPr>
            <w:r>
              <w:rPr>
                <w:noProof/>
                <w:color w:val="000000"/>
                <w:sz w:val="24"/>
                <w:szCs w:val="24"/>
              </w:rPr>
              <w:t>9 800</w:t>
            </w:r>
          </w:p>
        </w:tc>
      </w:tr>
      <w:tr w:rsidR="00EA31D7" w:rsidRPr="003E3636" w:rsidTr="00EA31D7">
        <w:trPr>
          <w:trHeight w:hRule="exact" w:val="667"/>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HFE-236fa</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536DA" w:rsidP="00EA31D7">
            <w:pPr>
              <w:pStyle w:val="Other10"/>
              <w:spacing w:after="0"/>
              <w:rPr>
                <w:noProof/>
                <w:sz w:val="24"/>
                <w:szCs w:val="24"/>
              </w:rPr>
            </w:pPr>
            <w:r>
              <w:rPr>
                <w:smallCaps/>
                <w:noProof/>
                <w:color w:val="000000"/>
                <w:sz w:val="24"/>
                <w:szCs w:val="24"/>
              </w:rPr>
              <w:t>CF</w:t>
            </w:r>
            <w:r>
              <w:rPr>
                <w:smallCaps/>
                <w:noProof/>
                <w:color w:val="000000"/>
                <w:sz w:val="24"/>
                <w:szCs w:val="24"/>
                <w:vertAlign w:val="subscript"/>
              </w:rPr>
              <w:t>3</w:t>
            </w:r>
            <w:r>
              <w:rPr>
                <w:smallCaps/>
                <w:noProof/>
                <w:color w:val="000000"/>
                <w:sz w:val="24"/>
                <w:szCs w:val="24"/>
              </w:rPr>
              <w:t>CH</w:t>
            </w:r>
            <w:r>
              <w:rPr>
                <w:smallCaps/>
                <w:noProof/>
                <w:color w:val="000000"/>
                <w:sz w:val="24"/>
                <w:szCs w:val="24"/>
                <w:vertAlign w:val="subscript"/>
              </w:rPr>
              <w:t>2</w:t>
            </w:r>
            <w:r>
              <w:rPr>
                <w:smallCaps/>
                <w:noProof/>
                <w:color w:val="000000"/>
                <w:sz w:val="24"/>
                <w:szCs w:val="24"/>
              </w:rPr>
              <w:t>OCF</w:t>
            </w:r>
            <w:r>
              <w:rPr>
                <w:smallCaps/>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jc w:val="both"/>
              <w:rPr>
                <w:noProof/>
                <w:sz w:val="24"/>
                <w:szCs w:val="24"/>
              </w:rPr>
            </w:pPr>
            <w:r>
              <w:rPr>
                <w:noProof/>
                <w:color w:val="000000"/>
                <w:sz w:val="24"/>
                <w:szCs w:val="24"/>
              </w:rPr>
              <w:t>1 100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jc w:val="both"/>
              <w:rPr>
                <w:noProof/>
                <w:color w:val="000000"/>
                <w:sz w:val="24"/>
                <w:szCs w:val="24"/>
              </w:rPr>
            </w:pPr>
            <w:r>
              <w:rPr>
                <w:noProof/>
                <w:color w:val="000000"/>
                <w:sz w:val="24"/>
                <w:szCs w:val="24"/>
              </w:rPr>
              <w:t>3 670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HFE-245fal</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536DA" w:rsidP="00EA31D7">
            <w:pPr>
              <w:pStyle w:val="Other10"/>
              <w:spacing w:after="0"/>
              <w:rPr>
                <w:noProof/>
                <w:sz w:val="24"/>
                <w:szCs w:val="24"/>
              </w:rPr>
            </w:pPr>
            <w:r>
              <w:rPr>
                <w:smallCaps/>
                <w:noProof/>
                <w:color w:val="000000"/>
                <w:sz w:val="24"/>
                <w:szCs w:val="24"/>
              </w:rPr>
              <w:t>CHF</w:t>
            </w:r>
            <w:r>
              <w:rPr>
                <w:smallCaps/>
                <w:noProof/>
                <w:color w:val="000000"/>
                <w:sz w:val="24"/>
                <w:szCs w:val="24"/>
                <w:vertAlign w:val="subscript"/>
              </w:rPr>
              <w:t>2</w:t>
            </w:r>
            <w:r>
              <w:rPr>
                <w:smallCaps/>
                <w:noProof/>
                <w:color w:val="000000"/>
                <w:sz w:val="24"/>
                <w:szCs w:val="24"/>
              </w:rPr>
              <w:t>CH</w:t>
            </w:r>
            <w:r>
              <w:rPr>
                <w:smallCaps/>
                <w:noProof/>
                <w:color w:val="000000"/>
                <w:sz w:val="24"/>
                <w:szCs w:val="24"/>
                <w:vertAlign w:val="subscript"/>
              </w:rPr>
              <w:t>2</w:t>
            </w:r>
            <w:r>
              <w:rPr>
                <w:smallCaps/>
                <w:noProof/>
                <w:color w:val="000000"/>
                <w:sz w:val="24"/>
                <w:szCs w:val="24"/>
              </w:rPr>
              <w:t>OCF</w:t>
            </w:r>
            <w:r>
              <w:rPr>
                <w:smallCaps/>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934</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3 170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 263fb2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1536DA" w:rsidP="00EA31D7">
            <w:pPr>
              <w:pStyle w:val="Other10"/>
              <w:spacing w:after="0"/>
              <w:rPr>
                <w:noProof/>
                <w:sz w:val="24"/>
                <w:szCs w:val="24"/>
              </w:rPr>
            </w:pPr>
            <w:r>
              <w:rPr>
                <w:smallCaps/>
                <w:noProof/>
                <w:color w:val="000000"/>
                <w:sz w:val="24"/>
                <w:szCs w:val="24"/>
              </w:rPr>
              <w:t>CF</w:t>
            </w:r>
            <w:r>
              <w:rPr>
                <w:smallCaps/>
                <w:noProof/>
                <w:color w:val="000000"/>
                <w:sz w:val="24"/>
                <w:szCs w:val="24"/>
                <w:vertAlign w:val="subscript"/>
              </w:rPr>
              <w:t>3</w:t>
            </w:r>
            <w:r>
              <w:rPr>
                <w:smallCaps/>
                <w:noProof/>
                <w:color w:val="000000"/>
                <w:sz w:val="24"/>
                <w:szCs w:val="24"/>
              </w:rPr>
              <w:t>CH</w:t>
            </w:r>
            <w:r>
              <w:rPr>
                <w:smallCaps/>
                <w:noProof/>
                <w:color w:val="000000"/>
                <w:sz w:val="24"/>
                <w:szCs w:val="24"/>
                <w:vertAlign w:val="subscript"/>
              </w:rPr>
              <w:t>2</w:t>
            </w:r>
            <w:r>
              <w:rPr>
                <w:smallCaps/>
                <w:noProof/>
                <w:color w:val="000000"/>
                <w:sz w:val="24"/>
                <w:szCs w:val="24"/>
              </w:rPr>
              <w:t>OCH</w:t>
            </w:r>
            <w:r>
              <w:rPr>
                <w:smallCaps/>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sz w:val="24"/>
                <w:szCs w:val="24"/>
              </w:rPr>
            </w:pPr>
            <w:r>
              <w:rPr>
                <w:noProof/>
                <w:color w:val="000000"/>
                <w:sz w:val="24"/>
                <w:szCs w:val="24"/>
              </w:rPr>
              <w:t>2,06</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color w:val="000000"/>
                <w:sz w:val="24"/>
                <w:szCs w:val="24"/>
              </w:rPr>
            </w:pPr>
            <w:r>
              <w:rPr>
                <w:noProof/>
                <w:color w:val="000000"/>
                <w:sz w:val="24"/>
                <w:szCs w:val="24"/>
              </w:rPr>
              <w:t>7,43</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HFE-329 mcc2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CF</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3 770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7 550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HFE-338 mcf2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CH</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1 040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3 460</w:t>
            </w:r>
          </w:p>
        </w:tc>
      </w:tr>
      <w:tr w:rsidR="00EA31D7" w:rsidRPr="003E3636" w:rsidTr="00EA31D7">
        <w:trPr>
          <w:trHeight w:hRule="exact" w:val="667"/>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HFE-338mmzl</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w:t>
            </w:r>
            <w:r>
              <w:rPr>
                <w:noProof/>
                <w:color w:val="000000"/>
                <w:sz w:val="24"/>
                <w:szCs w:val="24"/>
                <w:vertAlign w:val="subscript"/>
              </w:rPr>
              <w:t>2</w:t>
            </w:r>
            <w:r>
              <w:rPr>
                <w:noProof/>
                <w:color w:val="000000"/>
                <w:sz w:val="24"/>
                <w:szCs w:val="24"/>
              </w:rPr>
              <w:t>CHOCHF</w:t>
            </w:r>
            <w:r>
              <w:rPr>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3 040</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6 500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HFE-347 mcf2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CH</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963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3 270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HFE-356 mec3</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w:t>
            </w:r>
            <w:r>
              <w:rPr>
                <w:noProof/>
                <w:color w:val="000000"/>
                <w:sz w:val="24"/>
                <w:szCs w:val="24"/>
                <w:vertAlign w:val="subscript"/>
              </w:rPr>
              <w:t>3</w:t>
            </w:r>
            <w:r>
              <w:rPr>
                <w:noProof/>
                <w:color w:val="000000"/>
                <w:sz w:val="24"/>
                <w:szCs w:val="24"/>
              </w:rPr>
              <w:t>OCF</w:t>
            </w:r>
            <w:r>
              <w:rPr>
                <w:noProof/>
                <w:color w:val="000000"/>
                <w:sz w:val="24"/>
                <w:szCs w:val="24"/>
                <w:vertAlign w:val="subscript"/>
              </w:rPr>
              <w:t>2</w:t>
            </w:r>
            <w:r>
              <w:rPr>
                <w:noProof/>
                <w:color w:val="000000"/>
                <w:sz w:val="24"/>
                <w:szCs w:val="24"/>
              </w:rPr>
              <w:t>CHFCF</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264</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949</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HFE-356mm1</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w:t>
            </w:r>
            <w:r>
              <w:rPr>
                <w:noProof/>
                <w:color w:val="000000"/>
                <w:sz w:val="24"/>
                <w:szCs w:val="24"/>
                <w:vertAlign w:val="subscript"/>
              </w:rPr>
              <w:t>2</w:t>
            </w:r>
            <w:r>
              <w:rPr>
                <w:noProof/>
                <w:color w:val="000000"/>
                <w:sz w:val="24"/>
                <w:szCs w:val="24"/>
              </w:rPr>
              <w:t>CHOCH</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sz w:val="24"/>
                <w:szCs w:val="24"/>
              </w:rPr>
            </w:pPr>
            <w:r>
              <w:rPr>
                <w:noProof/>
                <w:color w:val="000000"/>
                <w:sz w:val="24"/>
                <w:szCs w:val="24"/>
              </w:rPr>
              <w:t>8,13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color w:val="000000"/>
                <w:sz w:val="24"/>
                <w:szCs w:val="24"/>
              </w:rPr>
            </w:pPr>
            <w:r>
              <w:rPr>
                <w:noProof/>
                <w:color w:val="000000"/>
                <w:sz w:val="24"/>
                <w:szCs w:val="24"/>
              </w:rPr>
              <w:t>29,3</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HFE-356pcf2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CH</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CHF</w:t>
            </w:r>
            <w:r>
              <w:rPr>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831</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2 870</w:t>
            </w:r>
          </w:p>
        </w:tc>
      </w:tr>
      <w:tr w:rsidR="00EA31D7" w:rsidRPr="003E3636" w:rsidTr="00EA31D7">
        <w:trPr>
          <w:trHeight w:hRule="exact" w:val="672"/>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HFE-356pcf3</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OCH</w:t>
            </w:r>
            <w:r>
              <w:rPr>
                <w:noProof/>
                <w:color w:val="000000"/>
                <w:sz w:val="24"/>
                <w:szCs w:val="24"/>
                <w:vertAlign w:val="subscript"/>
              </w:rPr>
              <w:t>2</w:t>
            </w:r>
            <w:r>
              <w:rPr>
                <w:noProof/>
                <w:color w:val="000000"/>
                <w:sz w:val="24"/>
                <w:szCs w:val="24"/>
              </w:rPr>
              <w:t>CF</w:t>
            </w:r>
            <w:r>
              <w:rPr>
                <w:noProof/>
                <w:color w:val="000000"/>
                <w:sz w:val="24"/>
                <w:szCs w:val="24"/>
                <w:vertAlign w:val="subscript"/>
              </w:rPr>
              <w:t>2</w:t>
            </w:r>
            <w:r>
              <w:rPr>
                <w:noProof/>
                <w:color w:val="000000"/>
                <w:sz w:val="24"/>
                <w:szCs w:val="24"/>
              </w:rPr>
              <w:t>CHF</w:t>
            </w:r>
            <w:r>
              <w:rPr>
                <w:noProof/>
                <w:color w:val="000000"/>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sz w:val="24"/>
                <w:szCs w:val="24"/>
              </w:rPr>
            </w:pPr>
            <w:r>
              <w:rPr>
                <w:noProof/>
                <w:color w:val="000000"/>
                <w:sz w:val="24"/>
                <w:szCs w:val="24"/>
              </w:rPr>
              <w:t>484</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40"/>
              <w:rPr>
                <w:noProof/>
                <w:color w:val="000000"/>
                <w:sz w:val="24"/>
                <w:szCs w:val="24"/>
              </w:rPr>
            </w:pPr>
            <w:r>
              <w:rPr>
                <w:noProof/>
                <w:color w:val="000000"/>
                <w:sz w:val="24"/>
                <w:szCs w:val="24"/>
              </w:rPr>
              <w:t>1 730</w:t>
            </w:r>
          </w:p>
        </w:tc>
      </w:tr>
      <w:tr w:rsidR="00EA31D7" w:rsidRPr="003E3636" w:rsidTr="00EA31D7">
        <w:trPr>
          <w:trHeight w:hRule="exact" w:val="677"/>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 365 mcf3</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CF</w:t>
            </w:r>
            <w:r>
              <w:rPr>
                <w:noProof/>
                <w:color w:val="000000"/>
                <w:sz w:val="24"/>
                <w:szCs w:val="24"/>
                <w:vertAlign w:val="subscript"/>
              </w:rPr>
              <w:t>2</w:t>
            </w:r>
            <w:r>
              <w:rPr>
                <w:noProof/>
                <w:color w:val="000000"/>
                <w:sz w:val="24"/>
                <w:szCs w:val="24"/>
              </w:rPr>
              <w:t>CH</w:t>
            </w:r>
            <w:r>
              <w:rPr>
                <w:noProof/>
                <w:color w:val="000000"/>
                <w:sz w:val="24"/>
                <w:szCs w:val="24"/>
                <w:vertAlign w:val="subscript"/>
              </w:rPr>
              <w:t>2</w:t>
            </w:r>
            <w:r>
              <w:rPr>
                <w:noProof/>
                <w:color w:val="000000"/>
                <w:sz w:val="24"/>
                <w:szCs w:val="24"/>
              </w:rPr>
              <w:t>OCH</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sz w:val="24"/>
                <w:szCs w:val="24"/>
              </w:rPr>
            </w:pPr>
            <w:r>
              <w:rPr>
                <w:noProof/>
                <w:color w:val="000000"/>
                <w:sz w:val="24"/>
                <w:szCs w:val="24"/>
              </w:rPr>
              <w:t>1,6</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ind w:firstLine="780"/>
              <w:rPr>
                <w:noProof/>
                <w:color w:val="000000"/>
                <w:sz w:val="24"/>
                <w:szCs w:val="24"/>
              </w:rPr>
            </w:pPr>
            <w:r>
              <w:rPr>
                <w:noProof/>
                <w:color w:val="000000"/>
                <w:sz w:val="24"/>
                <w:szCs w:val="24"/>
              </w:rPr>
              <w:t>5,77</w:t>
            </w:r>
          </w:p>
        </w:tc>
      </w:tr>
      <w:tr w:rsidR="00EA31D7" w:rsidRPr="003E3636" w:rsidTr="00EA31D7">
        <w:trPr>
          <w:trHeight w:hRule="exact" w:val="518"/>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HFE-374pc2</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CHF</w:t>
            </w:r>
            <w:r>
              <w:rPr>
                <w:noProof/>
                <w:color w:val="000000"/>
                <w:sz w:val="24"/>
                <w:szCs w:val="24"/>
                <w:vertAlign w:val="subscript"/>
              </w:rPr>
              <w:t>2</w:t>
            </w:r>
            <w:r>
              <w:rPr>
                <w:noProof/>
                <w:color w:val="000000"/>
                <w:sz w:val="24"/>
                <w:szCs w:val="24"/>
              </w:rPr>
              <w:t>CF</w:t>
            </w:r>
            <w:r>
              <w:rPr>
                <w:noProof/>
                <w:color w:val="000000"/>
                <w:sz w:val="24"/>
                <w:szCs w:val="24"/>
                <w:vertAlign w:val="subscript"/>
              </w:rPr>
              <w:t>2</w:t>
            </w:r>
            <w:r>
              <w:rPr>
                <w:noProof/>
                <w:color w:val="000000"/>
                <w:sz w:val="24"/>
                <w:szCs w:val="24"/>
              </w:rPr>
              <w:t>OCH</w:t>
            </w:r>
            <w:r>
              <w:rPr>
                <w:noProof/>
                <w:color w:val="000000"/>
                <w:sz w:val="24"/>
                <w:szCs w:val="24"/>
                <w:vertAlign w:val="subscript"/>
              </w:rPr>
              <w:t>2</w:t>
            </w:r>
            <w:r>
              <w:rPr>
                <w:noProof/>
                <w:color w:val="000000"/>
                <w:sz w:val="24"/>
                <w:szCs w:val="24"/>
              </w:rPr>
              <w:t>CH</w:t>
            </w:r>
            <w:r>
              <w:rPr>
                <w:noProof/>
                <w:color w:val="000000"/>
                <w:sz w:val="24"/>
                <w:szCs w:val="24"/>
                <w:vertAlign w:val="subscript"/>
              </w:rPr>
              <w:t>3</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sz w:val="24"/>
                <w:szCs w:val="24"/>
              </w:rPr>
            </w:pPr>
            <w:r>
              <w:rPr>
                <w:noProof/>
                <w:color w:val="000000"/>
                <w:sz w:val="24"/>
                <w:szCs w:val="24"/>
              </w:rPr>
              <w:t>12,5</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45</w:t>
            </w:r>
          </w:p>
        </w:tc>
      </w:tr>
      <w:tr w:rsidR="00EA31D7" w:rsidRPr="003E3636" w:rsidTr="00EA31D7">
        <w:trPr>
          <w:trHeight w:hRule="exact" w:val="960"/>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color w:val="000000"/>
                <w:sz w:val="24"/>
                <w:szCs w:val="24"/>
              </w:rPr>
            </w:pPr>
            <w:r>
              <w:rPr>
                <w:noProof/>
                <w:color w:val="000000"/>
                <w:sz w:val="24"/>
                <w:szCs w:val="24"/>
              </w:rPr>
              <w:t>2,2,3,3,4,4,5,5- oktafluorcyklopentan-1-ol</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 (CF</w:t>
            </w:r>
            <w:r>
              <w:rPr>
                <w:noProof/>
                <w:color w:val="000000"/>
                <w:sz w:val="24"/>
                <w:szCs w:val="24"/>
                <w:vertAlign w:val="subscript"/>
              </w:rPr>
              <w:t>2</w:t>
            </w:r>
            <w:r>
              <w:rPr>
                <w:noProof/>
                <w:color w:val="000000"/>
                <w:sz w:val="24"/>
                <w:szCs w:val="24"/>
              </w:rPr>
              <w:t>)</w:t>
            </w:r>
            <w:r>
              <w:rPr>
                <w:noProof/>
                <w:color w:val="000000"/>
                <w:sz w:val="24"/>
                <w:szCs w:val="24"/>
                <w:vertAlign w:val="subscript"/>
              </w:rPr>
              <w:t>4</w:t>
            </w:r>
            <w:r>
              <w:rPr>
                <w:noProof/>
                <w:color w:val="000000"/>
                <w:sz w:val="24"/>
                <w:szCs w:val="24"/>
              </w:rPr>
              <w:t>CH (OH)-</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sz w:val="24"/>
                <w:szCs w:val="24"/>
              </w:rPr>
            </w:pPr>
            <w:r>
              <w:rPr>
                <w:noProof/>
                <w:color w:val="000000"/>
                <w:sz w:val="24"/>
                <w:szCs w:val="24"/>
              </w:rPr>
              <w:t>13,6</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49,1</w:t>
            </w:r>
          </w:p>
        </w:tc>
      </w:tr>
      <w:tr w:rsidR="00EA31D7" w:rsidRPr="003E3636" w:rsidTr="00EA31D7">
        <w:trPr>
          <w:trHeight w:hRule="exact" w:val="960"/>
          <w:jc w:val="center"/>
        </w:trPr>
        <w:tc>
          <w:tcPr>
            <w:tcW w:w="3768" w:type="dxa"/>
            <w:tcBorders>
              <w:top w:val="single" w:sz="4" w:space="0" w:color="auto"/>
              <w:left w:val="single" w:sz="4" w:space="0" w:color="auto"/>
              <w:bottom w:val="single" w:sz="4" w:space="0" w:color="auto"/>
            </w:tcBorders>
            <w:shd w:val="clear" w:color="auto" w:fill="FFFFFF"/>
            <w:vAlign w:val="center"/>
          </w:tcPr>
          <w:p w:rsidR="00EA31D7" w:rsidRPr="003E3636" w:rsidRDefault="00EA31D7" w:rsidP="00C40773">
            <w:pPr>
              <w:pStyle w:val="Other10"/>
              <w:spacing w:after="0"/>
              <w:rPr>
                <w:noProof/>
                <w:color w:val="000000"/>
                <w:sz w:val="24"/>
                <w:szCs w:val="24"/>
              </w:rPr>
            </w:pPr>
            <w:r>
              <w:rPr>
                <w:noProof/>
                <w:color w:val="000000"/>
                <w:sz w:val="24"/>
                <w:szCs w:val="24"/>
              </w:rPr>
              <w:t xml:space="preserve">1,1,1,3,4,4,4-heptafluor-3-(trifluormetyl)butan-2-on </w:t>
            </w:r>
          </w:p>
        </w:tc>
        <w:tc>
          <w:tcPr>
            <w:tcW w:w="3773" w:type="dxa"/>
            <w:tcBorders>
              <w:top w:val="single" w:sz="4" w:space="0" w:color="auto"/>
              <w:left w:val="single" w:sz="4" w:space="0" w:color="auto"/>
              <w:bottom w:val="single" w:sz="4" w:space="0" w:color="auto"/>
            </w:tcBorders>
            <w:shd w:val="clear" w:color="auto" w:fill="FFFFFF"/>
            <w:vAlign w:val="center"/>
          </w:tcPr>
          <w:p w:rsidR="00EA31D7" w:rsidRPr="003253C8" w:rsidRDefault="00EA31D7" w:rsidP="00EA31D7">
            <w:pPr>
              <w:pStyle w:val="Other10"/>
              <w:spacing w:after="0"/>
              <w:rPr>
                <w:noProof/>
                <w:color w:val="000000"/>
                <w:sz w:val="24"/>
                <w:szCs w:val="24"/>
              </w:rPr>
            </w:pPr>
            <w:r>
              <w:rPr>
                <w:noProof/>
                <w:sz w:val="24"/>
                <w:szCs w:val="24"/>
              </w:rPr>
              <w:t>CF</w:t>
            </w:r>
            <w:r>
              <w:rPr>
                <w:noProof/>
                <w:sz w:val="24"/>
                <w:szCs w:val="24"/>
                <w:vertAlign w:val="subscript"/>
              </w:rPr>
              <w:t>3</w:t>
            </w:r>
            <w:r>
              <w:rPr>
                <w:noProof/>
                <w:sz w:val="24"/>
                <w:szCs w:val="24"/>
              </w:rPr>
              <w:t>C(O)CF(CF</w:t>
            </w:r>
            <w:r>
              <w:rPr>
                <w:noProof/>
                <w:sz w:val="24"/>
                <w:szCs w:val="24"/>
                <w:vertAlign w:val="subscript"/>
              </w:rPr>
              <w:t>3</w:t>
            </w:r>
            <w:r>
              <w:rPr>
                <w:noProof/>
                <w:sz w:val="24"/>
                <w:szCs w:val="24"/>
              </w:rPr>
              <w:t>)</w:t>
            </w:r>
            <w:r>
              <w:rPr>
                <w:noProof/>
                <w:sz w:val="24"/>
                <w:szCs w:val="24"/>
                <w:vertAlign w:val="subscript"/>
              </w:rPr>
              <w:t>2</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A31DC3" w:rsidRDefault="00EA31D7" w:rsidP="00EA31D7">
            <w:pPr>
              <w:pStyle w:val="Other10"/>
              <w:spacing w:after="0"/>
              <w:jc w:val="center"/>
              <w:rPr>
                <w:noProof/>
                <w:color w:val="000000"/>
                <w:sz w:val="24"/>
                <w:szCs w:val="24"/>
              </w:rPr>
            </w:pPr>
            <w:r>
              <w:rPr>
                <w:noProof/>
                <w:color w:val="000000"/>
                <w:sz w:val="24"/>
                <w:szCs w:val="24"/>
              </w:rPr>
              <w:t>0,29(</w:t>
            </w:r>
            <w:r>
              <w:rPr>
                <w:rStyle w:val="FootnoteReference"/>
                <w:noProof/>
                <w:color w:val="000000"/>
                <w:sz w:val="24"/>
                <w:szCs w:val="24"/>
              </w:rPr>
              <w:footnoteReference w:id="13"/>
            </w:r>
            <w:r>
              <w:rPr>
                <w:noProof/>
                <w:color w:val="000000"/>
                <w:sz w:val="24"/>
                <w:szCs w:val="24"/>
              </w:rPr>
              <w:t>)</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w:t>
            </w:r>
          </w:p>
        </w:tc>
      </w:tr>
      <w:tr w:rsidR="00EA31D7" w:rsidRPr="003E3636" w:rsidTr="00EA31D7">
        <w:trPr>
          <w:trHeight w:hRule="exact" w:val="840"/>
          <w:jc w:val="center"/>
        </w:trPr>
        <w:tc>
          <w:tcPr>
            <w:tcW w:w="927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rPr>
                <w:i/>
                <w:noProof/>
                <w:color w:val="000000"/>
                <w:sz w:val="24"/>
                <w:szCs w:val="24"/>
              </w:rPr>
            </w:pPr>
            <w:r>
              <w:rPr>
                <w:i/>
                <w:noProof/>
                <w:color w:val="000000"/>
                <w:sz w:val="24"/>
                <w:szCs w:val="24"/>
              </w:rPr>
              <w:t>Avsnitt 2: Andra perfluorerade föreningar</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center"/>
          </w:tcPr>
          <w:p w:rsidR="00EA31D7" w:rsidRPr="003E3636" w:rsidRDefault="00EA31D7" w:rsidP="00EA31D7">
            <w:pPr>
              <w:pStyle w:val="Other10"/>
              <w:spacing w:after="0"/>
              <w:rPr>
                <w:noProof/>
                <w:color w:val="000000"/>
                <w:sz w:val="24"/>
                <w:szCs w:val="24"/>
              </w:rPr>
            </w:pP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3768" w:type="dxa"/>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perfluoropolymetylisopropyl-eter (PFPMIE)</w:t>
            </w:r>
          </w:p>
        </w:tc>
        <w:tc>
          <w:tcPr>
            <w:tcW w:w="3773" w:type="dxa"/>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CF</w:t>
            </w:r>
            <w:r>
              <w:rPr>
                <w:noProof/>
                <w:color w:val="000000"/>
                <w:sz w:val="24"/>
                <w:szCs w:val="24"/>
                <w:vertAlign w:val="subscript"/>
              </w:rPr>
              <w:t>3</w:t>
            </w:r>
            <w:r>
              <w:rPr>
                <w:noProof/>
                <w:color w:val="000000"/>
                <w:sz w:val="24"/>
                <w:szCs w:val="24"/>
              </w:rPr>
              <w:t>OCF(CF</w:t>
            </w:r>
            <w:r>
              <w:rPr>
                <w:noProof/>
                <w:color w:val="000000"/>
                <w:sz w:val="24"/>
                <w:szCs w:val="24"/>
                <w:vertAlign w:val="subscript"/>
              </w:rPr>
              <w:t>3</w:t>
            </w:r>
            <w:r>
              <w:rPr>
                <w:noProof/>
                <w:color w:val="000000"/>
                <w:sz w:val="24"/>
                <w:szCs w:val="24"/>
              </w:rPr>
              <w:t>)CF</w:t>
            </w:r>
            <w:r>
              <w:rPr>
                <w:noProof/>
                <w:color w:val="000000"/>
                <w:sz w:val="24"/>
                <w:szCs w:val="24"/>
                <w:vertAlign w:val="subscript"/>
              </w:rPr>
              <w:t>2</w:t>
            </w:r>
            <w:r>
              <w:rPr>
                <w:noProof/>
                <w:color w:val="000000"/>
                <w:sz w:val="24"/>
                <w:szCs w:val="24"/>
              </w:rPr>
              <w:t>OCF</w:t>
            </w:r>
            <w:r>
              <w:rPr>
                <w:noProof/>
                <w:color w:val="000000"/>
                <w:sz w:val="24"/>
                <w:szCs w:val="24"/>
                <w:vertAlign w:val="subscript"/>
              </w:rPr>
              <w:t>2</w:t>
            </w:r>
            <w:r>
              <w:rPr>
                <w:noProof/>
                <w:color w:val="000000"/>
                <w:sz w:val="24"/>
                <w:szCs w:val="24"/>
              </w:rPr>
              <w:t>OCF</w:t>
            </w:r>
            <w:r>
              <w:rPr>
                <w:noProof/>
                <w:color w:val="000000"/>
                <w:sz w:val="24"/>
                <w:szCs w:val="24"/>
                <w:vertAlign w:val="subscript"/>
              </w:rPr>
              <w:t>3</w:t>
            </w:r>
          </w:p>
        </w:tc>
        <w:tc>
          <w:tcPr>
            <w:tcW w:w="1733" w:type="dxa"/>
            <w:shd w:val="clear" w:color="auto" w:fill="FFFFFF"/>
            <w:vAlign w:val="center"/>
          </w:tcPr>
          <w:p w:rsidR="00EA31D7" w:rsidRPr="003E3636" w:rsidRDefault="00EA31D7" w:rsidP="00EA31D7">
            <w:pPr>
              <w:pStyle w:val="Other10"/>
              <w:spacing w:after="0"/>
              <w:jc w:val="center"/>
              <w:rPr>
                <w:noProof/>
                <w:sz w:val="24"/>
                <w:szCs w:val="24"/>
              </w:rPr>
            </w:pPr>
            <w:r>
              <w:rPr>
                <w:noProof/>
                <w:color w:val="000000"/>
                <w:sz w:val="24"/>
                <w:szCs w:val="24"/>
              </w:rPr>
              <w:t>10 300</w:t>
            </w:r>
          </w:p>
        </w:tc>
        <w:tc>
          <w:tcPr>
            <w:tcW w:w="1733" w:type="dxa"/>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7 750</w:t>
            </w: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3768" w:type="dxa"/>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trifluormetylsvavelpentafluorid</w:t>
            </w:r>
          </w:p>
        </w:tc>
        <w:tc>
          <w:tcPr>
            <w:tcW w:w="3773" w:type="dxa"/>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SF</w:t>
            </w:r>
            <w:r>
              <w:rPr>
                <w:noProof/>
                <w:color w:val="000000"/>
                <w:sz w:val="24"/>
                <w:szCs w:val="24"/>
                <w:vertAlign w:val="subscript"/>
              </w:rPr>
              <w:t>5</w:t>
            </w:r>
            <w:r>
              <w:rPr>
                <w:noProof/>
                <w:color w:val="000000"/>
                <w:sz w:val="24"/>
                <w:szCs w:val="24"/>
              </w:rPr>
              <w:t>CF</w:t>
            </w:r>
            <w:r>
              <w:rPr>
                <w:noProof/>
                <w:color w:val="000000"/>
                <w:sz w:val="24"/>
                <w:szCs w:val="24"/>
                <w:vertAlign w:val="subscript"/>
              </w:rPr>
              <w:t>3</w:t>
            </w:r>
          </w:p>
        </w:tc>
        <w:tc>
          <w:tcPr>
            <w:tcW w:w="1733" w:type="dxa"/>
            <w:shd w:val="clear" w:color="auto" w:fill="FFFFFF"/>
            <w:vAlign w:val="center"/>
          </w:tcPr>
          <w:p w:rsidR="00EA31D7" w:rsidRPr="003E3636" w:rsidRDefault="00EA31D7" w:rsidP="00EA31D7">
            <w:pPr>
              <w:pStyle w:val="Other10"/>
              <w:spacing w:after="0"/>
              <w:jc w:val="center"/>
              <w:rPr>
                <w:noProof/>
                <w:sz w:val="24"/>
                <w:szCs w:val="24"/>
              </w:rPr>
            </w:pPr>
            <w:r>
              <w:rPr>
                <w:noProof/>
                <w:color w:val="000000"/>
                <w:sz w:val="24"/>
                <w:szCs w:val="24"/>
              </w:rPr>
              <w:t>18 500</w:t>
            </w:r>
          </w:p>
        </w:tc>
        <w:tc>
          <w:tcPr>
            <w:tcW w:w="1733" w:type="dxa"/>
            <w:shd w:val="clear" w:color="auto" w:fill="FFFFFF"/>
            <w:vAlign w:val="center"/>
          </w:tcPr>
          <w:p w:rsidR="00EA31D7" w:rsidRPr="003E3636" w:rsidRDefault="00EA31D7" w:rsidP="00EA31D7">
            <w:pPr>
              <w:pStyle w:val="Other10"/>
              <w:spacing w:after="0"/>
              <w:jc w:val="center"/>
              <w:rPr>
                <w:noProof/>
                <w:color w:val="000000"/>
                <w:sz w:val="24"/>
                <w:szCs w:val="24"/>
              </w:rPr>
            </w:pPr>
            <w:r>
              <w:rPr>
                <w:noProof/>
                <w:color w:val="000000"/>
                <w:sz w:val="24"/>
                <w:szCs w:val="24"/>
              </w:rPr>
              <w:t>13 900</w:t>
            </w: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3768" w:type="dxa"/>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perfluorcyklopropan</w:t>
            </w:r>
          </w:p>
        </w:tc>
        <w:tc>
          <w:tcPr>
            <w:tcW w:w="3773" w:type="dxa"/>
            <w:shd w:val="clear" w:color="auto" w:fill="FFFFFF"/>
            <w:vAlign w:val="center"/>
          </w:tcPr>
          <w:p w:rsidR="00EA31D7" w:rsidRPr="003E3636" w:rsidRDefault="00EA31D7" w:rsidP="00EA31D7">
            <w:pPr>
              <w:pStyle w:val="Other10"/>
              <w:spacing w:after="0"/>
              <w:rPr>
                <w:noProof/>
                <w:sz w:val="24"/>
                <w:szCs w:val="24"/>
              </w:rPr>
            </w:pPr>
            <w:r>
              <w:rPr>
                <w:noProof/>
                <w:color w:val="000000"/>
                <w:sz w:val="24"/>
                <w:szCs w:val="24"/>
              </w:rPr>
              <w:t>c-C</w:t>
            </w:r>
            <w:r>
              <w:rPr>
                <w:noProof/>
                <w:color w:val="000000"/>
                <w:sz w:val="24"/>
                <w:szCs w:val="24"/>
                <w:vertAlign w:val="subscript"/>
              </w:rPr>
              <w:t>3</w:t>
            </w:r>
            <w:r>
              <w:rPr>
                <w:noProof/>
                <w:color w:val="000000"/>
                <w:sz w:val="24"/>
                <w:szCs w:val="24"/>
              </w:rPr>
              <w:t>F</w:t>
            </w:r>
            <w:r>
              <w:rPr>
                <w:noProof/>
                <w:color w:val="000000"/>
                <w:sz w:val="24"/>
                <w:szCs w:val="24"/>
                <w:vertAlign w:val="subscript"/>
              </w:rPr>
              <w:t>6</w:t>
            </w:r>
          </w:p>
        </w:tc>
        <w:tc>
          <w:tcPr>
            <w:tcW w:w="1733" w:type="dxa"/>
            <w:shd w:val="clear" w:color="auto" w:fill="FFFFFF"/>
            <w:vAlign w:val="center"/>
          </w:tcPr>
          <w:p w:rsidR="00EA31D7" w:rsidRPr="003E3636" w:rsidRDefault="00EA31D7" w:rsidP="00EA31D7">
            <w:pPr>
              <w:pStyle w:val="Other10"/>
              <w:spacing w:after="0"/>
              <w:jc w:val="center"/>
              <w:rPr>
                <w:noProof/>
                <w:sz w:val="24"/>
                <w:szCs w:val="24"/>
              </w:rPr>
            </w:pPr>
            <w:r>
              <w:rPr>
                <w:noProof/>
                <w:sz w:val="24"/>
                <w:szCs w:val="24"/>
              </w:rPr>
              <w:t>9 200 (</w:t>
            </w:r>
            <w:bookmarkStart w:id="6" w:name="_Ref97039110"/>
            <w:r>
              <w:rPr>
                <w:rStyle w:val="FootnoteReference"/>
                <w:noProof/>
                <w:sz w:val="24"/>
                <w:szCs w:val="24"/>
              </w:rPr>
              <w:footnoteReference w:id="14"/>
            </w:r>
            <w:bookmarkEnd w:id="6"/>
            <w:r>
              <w:rPr>
                <w:noProof/>
                <w:sz w:val="24"/>
                <w:szCs w:val="24"/>
              </w:rPr>
              <w:t>)</w:t>
            </w:r>
          </w:p>
        </w:tc>
        <w:tc>
          <w:tcPr>
            <w:tcW w:w="1733" w:type="dxa"/>
            <w:shd w:val="clear" w:color="auto" w:fill="FFFFFF"/>
            <w:vAlign w:val="center"/>
          </w:tcPr>
          <w:p w:rsidR="00EA31D7" w:rsidRPr="003E3636" w:rsidRDefault="00EA31D7" w:rsidP="00EA31D7">
            <w:pPr>
              <w:pStyle w:val="Other10"/>
              <w:spacing w:after="0"/>
              <w:jc w:val="center"/>
              <w:rPr>
                <w:noProof/>
                <w:sz w:val="24"/>
                <w:szCs w:val="24"/>
              </w:rPr>
            </w:pPr>
            <w:r>
              <w:rPr>
                <w:noProof/>
                <w:sz w:val="24"/>
                <w:szCs w:val="24"/>
              </w:rPr>
              <w:t>6 850(</w:t>
            </w:r>
            <w:r>
              <w:rPr>
                <w:noProof/>
                <w:sz w:val="24"/>
                <w:szCs w:val="24"/>
                <w:vertAlign w:val="superscript"/>
              </w:rPr>
              <w:fldChar w:fldCharType="begin" w:fldLock="1"/>
            </w:r>
            <w:r>
              <w:rPr>
                <w:noProof/>
                <w:sz w:val="24"/>
                <w:szCs w:val="24"/>
                <w:vertAlign w:val="superscript"/>
              </w:rPr>
              <w:instrText xml:space="preserve"> NOTEREF _Ref97039110 \h  \* MERGEFORMAT </w:instrText>
            </w:r>
            <w:r>
              <w:rPr>
                <w:noProof/>
                <w:sz w:val="24"/>
                <w:szCs w:val="24"/>
                <w:vertAlign w:val="superscript"/>
              </w:rPr>
            </w:r>
            <w:r>
              <w:rPr>
                <w:noProof/>
                <w:sz w:val="24"/>
                <w:szCs w:val="24"/>
                <w:vertAlign w:val="superscript"/>
              </w:rPr>
              <w:fldChar w:fldCharType="separate"/>
            </w:r>
            <w:r>
              <w:rPr>
                <w:noProof/>
                <w:sz w:val="24"/>
                <w:szCs w:val="24"/>
                <w:vertAlign w:val="superscript"/>
              </w:rPr>
              <w:t>3</w:t>
            </w:r>
            <w:r>
              <w:rPr>
                <w:noProof/>
                <w:sz w:val="24"/>
                <w:szCs w:val="24"/>
                <w:vertAlign w:val="superscript"/>
              </w:rPr>
              <w:fldChar w:fldCharType="end"/>
            </w:r>
            <w:r>
              <w:rPr>
                <w:noProof/>
                <w:sz w:val="24"/>
                <w:szCs w:val="24"/>
              </w:rPr>
              <w:t>)</w:t>
            </w: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jc w:val="center"/>
        </w:trPr>
        <w:tc>
          <w:tcPr>
            <w:tcW w:w="3768" w:type="dxa"/>
            <w:shd w:val="clear" w:color="auto" w:fill="FFFFFF"/>
            <w:vAlign w:val="center"/>
          </w:tcPr>
          <w:p w:rsidR="00EA31D7" w:rsidRPr="003E3636" w:rsidRDefault="00EA31D7" w:rsidP="00EA31D7">
            <w:pPr>
              <w:pStyle w:val="Other10"/>
              <w:spacing w:after="0"/>
              <w:rPr>
                <w:noProof/>
                <w:color w:val="000000"/>
                <w:sz w:val="24"/>
                <w:szCs w:val="24"/>
              </w:rPr>
            </w:pPr>
            <w:r>
              <w:rPr>
                <w:bCs/>
                <w:noProof/>
                <w:sz w:val="24"/>
                <w:szCs w:val="24"/>
              </w:rPr>
              <w:t>heptafluorisobutyronitril (2,3,3,3-tetrafluor-2-(trifluormetyl)-propannitril)</w:t>
            </w:r>
          </w:p>
        </w:tc>
        <w:tc>
          <w:tcPr>
            <w:tcW w:w="3773" w:type="dxa"/>
            <w:shd w:val="clear" w:color="auto" w:fill="FFFFFF"/>
            <w:vAlign w:val="center"/>
          </w:tcPr>
          <w:p w:rsidR="00EA31D7" w:rsidRPr="001D01FF" w:rsidRDefault="00EA31D7" w:rsidP="00EA31D7">
            <w:pPr>
              <w:pStyle w:val="Other10"/>
              <w:spacing w:after="0"/>
              <w:rPr>
                <w:noProof/>
                <w:color w:val="000000"/>
                <w:sz w:val="24"/>
                <w:szCs w:val="24"/>
              </w:rPr>
            </w:pPr>
            <w:r>
              <w:rPr>
                <w:bCs/>
                <w:noProof/>
                <w:sz w:val="24"/>
                <w:szCs w:val="24"/>
              </w:rPr>
              <w:t>Iso-C</w:t>
            </w:r>
            <w:r>
              <w:rPr>
                <w:bCs/>
                <w:noProof/>
                <w:sz w:val="24"/>
                <w:szCs w:val="24"/>
                <w:vertAlign w:val="subscript"/>
              </w:rPr>
              <w:t>3</w:t>
            </w:r>
            <w:r>
              <w:rPr>
                <w:bCs/>
                <w:noProof/>
                <w:sz w:val="24"/>
                <w:szCs w:val="24"/>
              </w:rPr>
              <w:t>F</w:t>
            </w:r>
            <w:r>
              <w:rPr>
                <w:bCs/>
                <w:noProof/>
                <w:sz w:val="24"/>
                <w:szCs w:val="24"/>
                <w:vertAlign w:val="subscript"/>
              </w:rPr>
              <w:t>7</w:t>
            </w:r>
            <w:r>
              <w:rPr>
                <w:bCs/>
                <w:noProof/>
                <w:sz w:val="24"/>
                <w:szCs w:val="24"/>
              </w:rPr>
              <w:t xml:space="preserve">CN </w:t>
            </w:r>
          </w:p>
        </w:tc>
        <w:tc>
          <w:tcPr>
            <w:tcW w:w="1733" w:type="dxa"/>
            <w:shd w:val="clear" w:color="auto" w:fill="FFFFFF"/>
            <w:vAlign w:val="center"/>
          </w:tcPr>
          <w:p w:rsidR="00EA31D7" w:rsidRPr="003E3636" w:rsidRDefault="00EA31D7" w:rsidP="00EA31D7">
            <w:pPr>
              <w:pStyle w:val="Other10"/>
              <w:spacing w:after="0"/>
              <w:jc w:val="center"/>
              <w:rPr>
                <w:noProof/>
                <w:sz w:val="24"/>
                <w:szCs w:val="24"/>
              </w:rPr>
            </w:pPr>
            <w:r>
              <w:rPr>
                <w:bCs/>
                <w:noProof/>
                <w:sz w:val="24"/>
                <w:szCs w:val="24"/>
              </w:rPr>
              <w:t>2 750</w:t>
            </w:r>
          </w:p>
        </w:tc>
        <w:tc>
          <w:tcPr>
            <w:tcW w:w="1733" w:type="dxa"/>
            <w:shd w:val="clear" w:color="auto" w:fill="FFFFFF"/>
            <w:vAlign w:val="center"/>
          </w:tcPr>
          <w:p w:rsidR="00EA31D7" w:rsidRPr="003E3636" w:rsidRDefault="00EA31D7" w:rsidP="00EA31D7">
            <w:pPr>
              <w:pStyle w:val="Other10"/>
              <w:spacing w:after="0"/>
              <w:jc w:val="center"/>
              <w:rPr>
                <w:bCs/>
                <w:noProof/>
                <w:sz w:val="24"/>
                <w:szCs w:val="24"/>
              </w:rPr>
            </w:pPr>
            <w:r>
              <w:rPr>
                <w:bCs/>
                <w:noProof/>
                <w:sz w:val="24"/>
                <w:szCs w:val="24"/>
              </w:rPr>
              <w:t>4 580</w:t>
            </w: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3768" w:type="dxa"/>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perfluortributylamin (PFTBA, FC43)</w:t>
            </w:r>
          </w:p>
        </w:tc>
        <w:tc>
          <w:tcPr>
            <w:tcW w:w="3773" w:type="dxa"/>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C</w:t>
            </w:r>
            <w:r>
              <w:rPr>
                <w:bCs/>
                <w:noProof/>
                <w:sz w:val="24"/>
                <w:szCs w:val="24"/>
                <w:vertAlign w:val="subscript"/>
              </w:rPr>
              <w:t>12</w:t>
            </w:r>
            <w:r>
              <w:rPr>
                <w:bCs/>
                <w:noProof/>
                <w:sz w:val="24"/>
                <w:szCs w:val="24"/>
              </w:rPr>
              <w:t>F</w:t>
            </w:r>
            <w:r>
              <w:rPr>
                <w:bCs/>
                <w:noProof/>
                <w:sz w:val="24"/>
                <w:szCs w:val="24"/>
                <w:vertAlign w:val="subscript"/>
              </w:rPr>
              <w:t>27</w:t>
            </w:r>
            <w:r>
              <w:rPr>
                <w:bCs/>
                <w:noProof/>
                <w:sz w:val="24"/>
                <w:szCs w:val="24"/>
              </w:rPr>
              <w:t>N</w:t>
            </w:r>
          </w:p>
        </w:tc>
        <w:tc>
          <w:tcPr>
            <w:tcW w:w="1733" w:type="dxa"/>
            <w:shd w:val="clear" w:color="auto" w:fill="FFFFFF"/>
            <w:vAlign w:val="center"/>
          </w:tcPr>
          <w:p w:rsidR="00EA31D7" w:rsidRPr="003E3636" w:rsidRDefault="00EA31D7" w:rsidP="00EA31D7">
            <w:pPr>
              <w:pStyle w:val="Other10"/>
              <w:spacing w:after="0"/>
              <w:jc w:val="center"/>
              <w:rPr>
                <w:bCs/>
                <w:noProof/>
                <w:sz w:val="24"/>
                <w:szCs w:val="24"/>
              </w:rPr>
            </w:pPr>
            <w:r>
              <w:rPr>
                <w:bCs/>
                <w:noProof/>
                <w:sz w:val="24"/>
                <w:szCs w:val="24"/>
              </w:rPr>
              <w:t>8 490</w:t>
            </w:r>
          </w:p>
        </w:tc>
        <w:tc>
          <w:tcPr>
            <w:tcW w:w="1733" w:type="dxa"/>
            <w:shd w:val="clear" w:color="auto" w:fill="FFFFFF"/>
            <w:vAlign w:val="center"/>
          </w:tcPr>
          <w:p w:rsidR="00EA31D7" w:rsidRPr="003E3636" w:rsidRDefault="00EA31D7" w:rsidP="00EA31D7">
            <w:pPr>
              <w:pStyle w:val="Other10"/>
              <w:spacing w:after="0"/>
              <w:jc w:val="center"/>
              <w:rPr>
                <w:bCs/>
                <w:noProof/>
                <w:sz w:val="24"/>
                <w:szCs w:val="24"/>
              </w:rPr>
            </w:pPr>
            <w:r>
              <w:rPr>
                <w:bCs/>
                <w:noProof/>
                <w:sz w:val="24"/>
                <w:szCs w:val="24"/>
              </w:rPr>
              <w:t>6 340</w:t>
            </w: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3768" w:type="dxa"/>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perfluor-N-metylmorfolin</w:t>
            </w:r>
          </w:p>
        </w:tc>
        <w:tc>
          <w:tcPr>
            <w:tcW w:w="3773" w:type="dxa"/>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C</w:t>
            </w:r>
            <w:r>
              <w:rPr>
                <w:bCs/>
                <w:noProof/>
                <w:sz w:val="24"/>
                <w:szCs w:val="24"/>
                <w:vertAlign w:val="subscript"/>
              </w:rPr>
              <w:t>5</w:t>
            </w:r>
            <w:r>
              <w:rPr>
                <w:bCs/>
                <w:noProof/>
                <w:sz w:val="24"/>
                <w:szCs w:val="24"/>
              </w:rPr>
              <w:t>F</w:t>
            </w:r>
            <w:r>
              <w:rPr>
                <w:bCs/>
                <w:noProof/>
                <w:sz w:val="24"/>
                <w:szCs w:val="24"/>
                <w:vertAlign w:val="subscript"/>
              </w:rPr>
              <w:t>11</w:t>
            </w:r>
            <w:r>
              <w:rPr>
                <w:bCs/>
                <w:noProof/>
                <w:sz w:val="24"/>
                <w:szCs w:val="24"/>
              </w:rPr>
              <w:t>NO</w:t>
            </w:r>
          </w:p>
        </w:tc>
        <w:tc>
          <w:tcPr>
            <w:tcW w:w="1733" w:type="dxa"/>
            <w:shd w:val="clear" w:color="auto" w:fill="FFFFFF"/>
            <w:vAlign w:val="center"/>
          </w:tcPr>
          <w:p w:rsidR="00EA31D7" w:rsidRPr="003E3636" w:rsidRDefault="00EA31D7" w:rsidP="00EA31D7">
            <w:pPr>
              <w:spacing w:after="0" w:line="276" w:lineRule="auto"/>
              <w:jc w:val="center"/>
              <w:rPr>
                <w:bCs/>
                <w:noProof/>
                <w:szCs w:val="24"/>
              </w:rPr>
            </w:pPr>
            <w:r>
              <w:rPr>
                <w:noProof/>
              </w:rPr>
              <w:t>8 800(</w:t>
            </w:r>
            <w:r>
              <w:rPr>
                <w:rStyle w:val="FootnoteReference"/>
                <w:bCs/>
                <w:noProof/>
                <w:szCs w:val="24"/>
              </w:rPr>
              <w:footnoteReference w:id="15"/>
            </w:r>
            <w:r>
              <w:rPr>
                <w:noProof/>
              </w:rPr>
              <w:t xml:space="preserve">) </w:t>
            </w:r>
          </w:p>
        </w:tc>
        <w:tc>
          <w:tcPr>
            <w:tcW w:w="1733" w:type="dxa"/>
            <w:shd w:val="clear" w:color="auto" w:fill="FFFFFF"/>
            <w:vAlign w:val="center"/>
          </w:tcPr>
          <w:p w:rsidR="00EA31D7" w:rsidRPr="003E3636" w:rsidRDefault="00EA31D7" w:rsidP="00EA31D7">
            <w:pPr>
              <w:pStyle w:val="Other10"/>
              <w:spacing w:after="0"/>
              <w:jc w:val="center"/>
              <w:rPr>
                <w:bCs/>
                <w:noProof/>
                <w:sz w:val="24"/>
                <w:szCs w:val="24"/>
                <w:highlight w:val="yellow"/>
              </w:rPr>
            </w:pPr>
            <w:r>
              <w:rPr>
                <w:bCs/>
                <w:noProof/>
                <w:sz w:val="24"/>
                <w:szCs w:val="24"/>
              </w:rPr>
              <w:t>(</w:t>
            </w:r>
            <w:r>
              <w:rPr>
                <w:rStyle w:val="FootnoteReference"/>
                <w:bCs/>
                <w:noProof/>
                <w:sz w:val="24"/>
                <w:szCs w:val="24"/>
              </w:rPr>
              <w:footnoteReference w:customMarkFollows="1" w:id="16"/>
              <w:t>*</w:t>
            </w:r>
            <w:r>
              <w:rPr>
                <w:bCs/>
                <w:noProof/>
                <w:sz w:val="24"/>
                <w:szCs w:val="24"/>
              </w:rPr>
              <w:t xml:space="preserve">) </w:t>
            </w:r>
          </w:p>
        </w:tc>
      </w:tr>
      <w:tr w:rsidR="00EA31D7" w:rsidRPr="003E3636" w:rsidTr="00EA3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3768" w:type="dxa"/>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perfluortripropylamin</w:t>
            </w:r>
          </w:p>
        </w:tc>
        <w:tc>
          <w:tcPr>
            <w:tcW w:w="3773" w:type="dxa"/>
            <w:shd w:val="clear" w:color="auto" w:fill="FFFFFF"/>
            <w:vAlign w:val="center"/>
          </w:tcPr>
          <w:p w:rsidR="00EA31D7" w:rsidRPr="003E3636" w:rsidRDefault="00EA31D7" w:rsidP="00EA31D7">
            <w:pPr>
              <w:pStyle w:val="Other10"/>
              <w:spacing w:after="0"/>
              <w:rPr>
                <w:bCs/>
                <w:noProof/>
                <w:sz w:val="24"/>
                <w:szCs w:val="24"/>
              </w:rPr>
            </w:pPr>
            <w:r>
              <w:rPr>
                <w:bCs/>
                <w:noProof/>
                <w:sz w:val="24"/>
                <w:szCs w:val="24"/>
              </w:rPr>
              <w:t>C</w:t>
            </w:r>
            <w:r>
              <w:rPr>
                <w:bCs/>
                <w:noProof/>
                <w:sz w:val="24"/>
                <w:szCs w:val="24"/>
                <w:vertAlign w:val="subscript"/>
              </w:rPr>
              <w:t>9</w:t>
            </w:r>
            <w:r>
              <w:rPr>
                <w:bCs/>
                <w:noProof/>
                <w:sz w:val="24"/>
                <w:szCs w:val="24"/>
              </w:rPr>
              <w:t>F</w:t>
            </w:r>
            <w:r>
              <w:rPr>
                <w:bCs/>
                <w:noProof/>
                <w:sz w:val="24"/>
                <w:szCs w:val="24"/>
                <w:vertAlign w:val="subscript"/>
              </w:rPr>
              <w:t>21</w:t>
            </w:r>
            <w:r>
              <w:rPr>
                <w:bCs/>
                <w:noProof/>
                <w:sz w:val="24"/>
                <w:szCs w:val="24"/>
              </w:rPr>
              <w:t>N</w:t>
            </w:r>
          </w:p>
        </w:tc>
        <w:tc>
          <w:tcPr>
            <w:tcW w:w="1733" w:type="dxa"/>
            <w:shd w:val="clear" w:color="auto" w:fill="FFFFFF"/>
            <w:vAlign w:val="center"/>
          </w:tcPr>
          <w:p w:rsidR="00EA31D7" w:rsidRPr="003E3636" w:rsidRDefault="00EA31D7" w:rsidP="00EA31D7">
            <w:pPr>
              <w:pStyle w:val="Other10"/>
              <w:spacing w:after="0"/>
              <w:jc w:val="center"/>
              <w:rPr>
                <w:bCs/>
                <w:noProof/>
                <w:sz w:val="24"/>
                <w:szCs w:val="24"/>
              </w:rPr>
            </w:pPr>
            <w:r>
              <w:rPr>
                <w:bCs/>
                <w:noProof/>
                <w:sz w:val="24"/>
                <w:szCs w:val="24"/>
              </w:rPr>
              <w:t>9 030</w:t>
            </w:r>
          </w:p>
        </w:tc>
        <w:tc>
          <w:tcPr>
            <w:tcW w:w="1733" w:type="dxa"/>
            <w:shd w:val="clear" w:color="auto" w:fill="FFFFFF"/>
            <w:vAlign w:val="center"/>
          </w:tcPr>
          <w:p w:rsidR="00EA31D7" w:rsidRPr="003E3636" w:rsidRDefault="00EA31D7" w:rsidP="00EA31D7">
            <w:pPr>
              <w:pStyle w:val="Other10"/>
              <w:spacing w:after="0"/>
              <w:jc w:val="center"/>
              <w:rPr>
                <w:bCs/>
                <w:noProof/>
                <w:sz w:val="24"/>
                <w:szCs w:val="24"/>
              </w:rPr>
            </w:pPr>
            <w:r>
              <w:rPr>
                <w:bCs/>
                <w:noProof/>
                <w:sz w:val="24"/>
                <w:szCs w:val="24"/>
              </w:rPr>
              <w:t>6 750</w:t>
            </w:r>
          </w:p>
        </w:tc>
      </w:tr>
    </w:tbl>
    <w:p w:rsidR="00EA31D7" w:rsidRPr="003E3636" w:rsidRDefault="00EA31D7" w:rsidP="00EA31D7">
      <w:pPr>
        <w:rPr>
          <w:noProof/>
          <w:szCs w:val="24"/>
        </w:rPr>
      </w:pPr>
    </w:p>
    <w:p w:rsidR="00DF5B7F" w:rsidRDefault="00DF5B7F">
      <w:pPr>
        <w:spacing w:after="0"/>
        <w:jc w:val="left"/>
        <w:rPr>
          <w:noProof/>
        </w:rPr>
      </w:pPr>
      <w:r>
        <w:rPr>
          <w:noProof/>
        </w:rPr>
        <w:br w:type="page"/>
      </w:r>
    </w:p>
    <w:p w:rsidR="00DF5B7F" w:rsidRPr="00F427DC" w:rsidRDefault="00DF5B7F" w:rsidP="00DF5B7F">
      <w:pPr>
        <w:pStyle w:val="Annexetitre"/>
        <w:rPr>
          <w:noProof/>
        </w:rPr>
      </w:pPr>
      <w:r>
        <w:rPr>
          <w:noProof/>
        </w:rPr>
        <w:t>BILAGA IV</w:t>
      </w:r>
    </w:p>
    <w:p w:rsidR="00DF5B7F" w:rsidRPr="000C31C1" w:rsidRDefault="00DF5B7F" w:rsidP="00DF5B7F">
      <w:pPr>
        <w:pStyle w:val="Titrearticle"/>
        <w:rPr>
          <w:b/>
          <w:noProof/>
        </w:rPr>
      </w:pPr>
      <w:r>
        <w:rPr>
          <w:b/>
          <w:noProof/>
        </w:rPr>
        <w:t>Förbud mot utsläppande på marknaden som avses i artikel 11.1</w:t>
      </w:r>
    </w:p>
    <w:p w:rsidR="00DF5B7F" w:rsidRPr="00102BDA" w:rsidRDefault="00DF5B7F" w:rsidP="00DF5B7F">
      <w:pPr>
        <w:ind w:left="1594"/>
        <w:rPr>
          <w:noProof/>
          <w:sz w:val="15"/>
          <w:szCs w:val="15"/>
        </w:rPr>
      </w:pPr>
    </w:p>
    <w:tbl>
      <w:tblPr>
        <w:tblOverlap w:val="never"/>
        <w:tblW w:w="4954" w:type="pct"/>
        <w:jc w:val="center"/>
        <w:tblCellMar>
          <w:left w:w="10" w:type="dxa"/>
          <w:right w:w="10" w:type="dxa"/>
        </w:tblCellMar>
        <w:tblLook w:val="0000" w:firstRow="0" w:lastRow="0" w:firstColumn="0" w:lastColumn="0" w:noHBand="0" w:noVBand="0"/>
      </w:tblPr>
      <w:tblGrid>
        <w:gridCol w:w="3098"/>
        <w:gridCol w:w="4668"/>
        <w:gridCol w:w="1243"/>
      </w:tblGrid>
      <w:tr w:rsidR="00DF5B7F" w:rsidRPr="00102BDA" w:rsidTr="00F15B76">
        <w:trPr>
          <w:trHeight w:hRule="exact" w:val="1200"/>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b/>
                <w:noProof/>
                <w:color w:val="000000"/>
                <w:sz w:val="24"/>
                <w:szCs w:val="24"/>
              </w:rPr>
            </w:pPr>
            <w:r>
              <w:rPr>
                <w:b/>
                <w:noProof/>
                <w:color w:val="000000"/>
                <w:sz w:val="24"/>
                <w:szCs w:val="24"/>
              </w:rPr>
              <w:t xml:space="preserve">Produkter och utrustning </w:t>
            </w:r>
          </w:p>
          <w:p w:rsidR="00DF5B7F" w:rsidRPr="00102BDA" w:rsidRDefault="00DF5B7F" w:rsidP="00A642F2">
            <w:pPr>
              <w:pStyle w:val="Other10"/>
              <w:spacing w:after="0"/>
              <w:jc w:val="center"/>
              <w:rPr>
                <w:b/>
                <w:noProof/>
                <w:sz w:val="16"/>
                <w:szCs w:val="16"/>
              </w:rPr>
            </w:pPr>
            <w:r>
              <w:rPr>
                <w:b/>
                <w:noProof/>
                <w:color w:val="000000"/>
                <w:sz w:val="24"/>
                <w:szCs w:val="24"/>
              </w:rPr>
              <w:t>Där så är relevant ska faktorn för global uppvärmningspotential för blandningar innehållande fluorerade växthusgaser beräknas i enlighet med bilaga VI i enlighet med vad som föreskrivs i artikel 3.1</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E926CD" w:rsidRDefault="00DF5B7F" w:rsidP="00A642F2">
            <w:pPr>
              <w:pStyle w:val="Other10"/>
              <w:spacing w:after="0"/>
              <w:ind w:firstLine="140"/>
              <w:jc w:val="center"/>
              <w:rPr>
                <w:b/>
                <w:noProof/>
                <w:sz w:val="24"/>
                <w:szCs w:val="24"/>
              </w:rPr>
            </w:pPr>
            <w:r>
              <w:rPr>
                <w:b/>
                <w:noProof/>
                <w:color w:val="000000"/>
                <w:sz w:val="24"/>
                <w:szCs w:val="24"/>
              </w:rPr>
              <w:t>Förbuds</w:t>
            </w:r>
            <w:r w:rsidR="00F15B76">
              <w:rPr>
                <w:b/>
                <w:noProof/>
                <w:color w:val="000000"/>
                <w:sz w:val="24"/>
                <w:szCs w:val="24"/>
              </w:rPr>
              <w:t>-</w:t>
            </w:r>
            <w:r>
              <w:rPr>
                <w:b/>
                <w:noProof/>
                <w:color w:val="000000"/>
                <w:sz w:val="24"/>
                <w:szCs w:val="24"/>
              </w:rPr>
              <w:t>datum</w:t>
            </w:r>
          </w:p>
        </w:tc>
      </w:tr>
      <w:tr w:rsidR="00DF5B7F" w:rsidRPr="00102BDA" w:rsidTr="00F15B76">
        <w:trPr>
          <w:trHeight w:hRule="exact" w:val="1715"/>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A642F2">
            <w:pPr>
              <w:pStyle w:val="Point0number"/>
              <w:numPr>
                <w:ilvl w:val="0"/>
                <w:numId w:val="22"/>
              </w:numPr>
              <w:spacing w:before="0" w:after="0"/>
              <w:ind w:left="720"/>
              <w:jc w:val="left"/>
              <w:rPr>
                <w:noProof/>
              </w:rPr>
            </w:pPr>
            <w:r>
              <w:rPr>
                <w:noProof/>
              </w:rPr>
              <w:t xml:space="preserve">Engångsbehållare för de fluorerade växthusgaser som förtecknas i bilaga I, tomma, delvis fyllda eller helt fyllda, som används vid service, underhåll eller påfyllning av kyl-, luftkonditionerings- eller värmepumpsutrustning samt brandskyddssystem eller brytare, eller för användning som lösningsmedel </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A642F2">
            <w:pPr>
              <w:spacing w:after="0"/>
              <w:jc w:val="center"/>
              <w:rPr>
                <w:noProof/>
              </w:rPr>
            </w:pPr>
            <w:r>
              <w:rPr>
                <w:noProof/>
              </w:rPr>
              <w:t>4 juli 2007</w:t>
            </w:r>
          </w:p>
        </w:tc>
      </w:tr>
      <w:tr w:rsidR="00DF5B7F" w:rsidRPr="00102BDA" w:rsidTr="00F15B76">
        <w:trPr>
          <w:trHeight w:hRule="exact" w:val="677"/>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DF5B7F">
            <w:pPr>
              <w:pStyle w:val="Point0number"/>
              <w:numPr>
                <w:ilvl w:val="0"/>
                <w:numId w:val="23"/>
              </w:numPr>
              <w:jc w:val="left"/>
              <w:rPr>
                <w:noProof/>
              </w:rPr>
            </w:pPr>
            <w:r>
              <w:rPr>
                <w:noProof/>
              </w:rPr>
              <w:t>Icke-slutna system för direktförångning som innehåller fluorkolväten och perfluorkarboner som kylmedel</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A642F2">
            <w:pPr>
              <w:jc w:val="center"/>
              <w:rPr>
                <w:noProof/>
              </w:rPr>
            </w:pPr>
            <w:r>
              <w:rPr>
                <w:noProof/>
              </w:rPr>
              <w:t>4 juli 2007</w:t>
            </w:r>
          </w:p>
        </w:tc>
      </w:tr>
      <w:tr w:rsidR="00DF5B7F" w:rsidRPr="00102BDA" w:rsidTr="00F15B76">
        <w:trPr>
          <w:trHeight w:hRule="exact" w:val="677"/>
          <w:jc w:val="center"/>
        </w:trPr>
        <w:tc>
          <w:tcPr>
            <w:tcW w:w="1719" w:type="pct"/>
            <w:vMerge w:val="restart"/>
            <w:tcBorders>
              <w:top w:val="single" w:sz="4" w:space="0" w:color="auto"/>
              <w:left w:val="single" w:sz="4" w:space="0" w:color="auto"/>
            </w:tcBorders>
            <w:shd w:val="clear" w:color="auto" w:fill="FFFFFF" w:themeFill="background1"/>
          </w:tcPr>
          <w:p w:rsidR="00DF5B7F" w:rsidRPr="00102BDA" w:rsidRDefault="00DF5B7F" w:rsidP="007E2865">
            <w:pPr>
              <w:pStyle w:val="Point0number"/>
              <w:numPr>
                <w:ilvl w:val="0"/>
                <w:numId w:val="23"/>
              </w:numPr>
              <w:jc w:val="left"/>
              <w:rPr>
                <w:noProof/>
              </w:rPr>
            </w:pPr>
            <w:r>
              <w:rPr>
                <w:noProof/>
              </w:rPr>
              <w:t>Brandskyddsutrustning</w:t>
            </w: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02BDA" w:rsidRDefault="00DF5B7F" w:rsidP="00A642F2">
            <w:pPr>
              <w:rPr>
                <w:noProof/>
              </w:rPr>
            </w:pPr>
            <w:r>
              <w:rPr>
                <w:noProof/>
              </w:rPr>
              <w:t>som innehåller perfluorkarboner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A642F2">
            <w:pPr>
              <w:jc w:val="center"/>
              <w:rPr>
                <w:noProof/>
              </w:rPr>
            </w:pPr>
            <w:r>
              <w:rPr>
                <w:noProof/>
              </w:rPr>
              <w:t>4 juli 2007</w:t>
            </w:r>
          </w:p>
        </w:tc>
      </w:tr>
      <w:tr w:rsidR="00DF5B7F" w:rsidRPr="00102BDA" w:rsidTr="00F15B76">
        <w:trPr>
          <w:trHeight w:hRule="exact" w:val="677"/>
          <w:jc w:val="center"/>
        </w:trPr>
        <w:tc>
          <w:tcPr>
            <w:tcW w:w="1719" w:type="pct"/>
            <w:vMerge/>
            <w:tcBorders>
              <w:left w:val="single" w:sz="4" w:space="0" w:color="auto"/>
            </w:tcBorders>
          </w:tcPr>
          <w:p w:rsidR="00DF5B7F" w:rsidRPr="00102BDA" w:rsidRDefault="00DF5B7F" w:rsidP="00A642F2">
            <w:pPr>
              <w:rPr>
                <w:noProof/>
              </w:rPr>
            </w:pP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02BDA" w:rsidRDefault="00DF5B7F" w:rsidP="00A642F2">
            <w:pPr>
              <w:rPr>
                <w:noProof/>
              </w:rPr>
            </w:pPr>
            <w:r>
              <w:rPr>
                <w:noProof/>
              </w:rPr>
              <w:t>som innehåller HFC-23</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A642F2">
            <w:pPr>
              <w:jc w:val="center"/>
              <w:rPr>
                <w:noProof/>
              </w:rPr>
            </w:pPr>
            <w:r>
              <w:rPr>
                <w:noProof/>
              </w:rPr>
              <w:t>1 januari 2016</w:t>
            </w:r>
          </w:p>
        </w:tc>
      </w:tr>
      <w:tr w:rsidR="00DF5B7F" w:rsidRPr="00102BDA" w:rsidTr="00F15B76">
        <w:trPr>
          <w:trHeight w:hRule="exact" w:val="1080"/>
          <w:jc w:val="center"/>
        </w:trPr>
        <w:tc>
          <w:tcPr>
            <w:tcW w:w="1719" w:type="pct"/>
            <w:vMerge/>
            <w:tcBorders>
              <w:left w:val="single" w:sz="4" w:space="0" w:color="auto"/>
              <w:bottom w:val="single" w:sz="4" w:space="0" w:color="auto"/>
            </w:tcBorders>
            <w:shd w:val="clear" w:color="auto" w:fill="FFFFFF" w:themeFill="background1"/>
          </w:tcPr>
          <w:p w:rsidR="00DF5B7F" w:rsidRPr="00102BDA" w:rsidRDefault="00DF5B7F" w:rsidP="00A642F2">
            <w:pPr>
              <w:rPr>
                <w:noProof/>
              </w:rPr>
            </w:pPr>
          </w:p>
        </w:tc>
        <w:tc>
          <w:tcPr>
            <w:tcW w:w="2591" w:type="pct"/>
            <w:tcBorders>
              <w:top w:val="single" w:sz="4" w:space="0" w:color="auto"/>
              <w:left w:val="single" w:sz="4" w:space="0" w:color="auto"/>
              <w:bottom w:val="single" w:sz="4" w:space="0" w:color="auto"/>
            </w:tcBorders>
            <w:shd w:val="clear" w:color="auto" w:fill="FFFFFF" w:themeFill="background1"/>
          </w:tcPr>
          <w:p w:rsidR="00DF5B7F" w:rsidRPr="00102BDA" w:rsidRDefault="00DF5B7F" w:rsidP="00A642F2">
            <w:pPr>
              <w:jc w:val="left"/>
              <w:rPr>
                <w:noProof/>
                <w:color w:val="000000"/>
              </w:rPr>
            </w:pPr>
            <w:r>
              <w:rPr>
                <w:noProof/>
              </w:rPr>
              <w:t xml:space="preserve">som innehåller eller är beroende av andra fluorerade växthusgaser som förtecknas i bilaga I, utom om dessa krävs för att uppfylla säkerhetsnormer. </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color w:val="000000"/>
                <w:sz w:val="24"/>
                <w:szCs w:val="24"/>
              </w:rPr>
            </w:pPr>
            <w:r>
              <w:rPr>
                <w:noProof/>
                <w:color w:val="000000"/>
                <w:sz w:val="24"/>
                <w:szCs w:val="24"/>
              </w:rPr>
              <w:t>1 januari 2024</w:t>
            </w:r>
          </w:p>
        </w:tc>
      </w:tr>
      <w:tr w:rsidR="00DF5B7F" w:rsidRPr="00102BDA" w:rsidTr="00F15B76">
        <w:trPr>
          <w:trHeight w:hRule="exact" w:val="677"/>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F5B7F" w:rsidRPr="00FB4A98" w:rsidRDefault="00DF5B7F" w:rsidP="00DF5B7F">
            <w:pPr>
              <w:pStyle w:val="Point0number"/>
              <w:numPr>
                <w:ilvl w:val="0"/>
                <w:numId w:val="23"/>
              </w:numPr>
              <w:jc w:val="left"/>
              <w:rPr>
                <w:noProof/>
              </w:rPr>
            </w:pPr>
            <w:r>
              <w:rPr>
                <w:noProof/>
              </w:rPr>
              <w:t>Fönster för privatbostäder som innehåller fluorerade växthusgaser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sz w:val="24"/>
                <w:szCs w:val="24"/>
              </w:rPr>
              <w:t>4 juli 2007</w:t>
            </w:r>
          </w:p>
        </w:tc>
      </w:tr>
      <w:tr w:rsidR="00DF5B7F" w:rsidRPr="00102BDA" w:rsidTr="00F15B76">
        <w:trPr>
          <w:trHeight w:hRule="exact" w:val="677"/>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F5B7F" w:rsidRPr="00102BDA" w:rsidRDefault="00DF5B7F" w:rsidP="00DF5B7F">
            <w:pPr>
              <w:pStyle w:val="Point0number"/>
              <w:numPr>
                <w:ilvl w:val="0"/>
                <w:numId w:val="23"/>
              </w:numPr>
              <w:jc w:val="left"/>
              <w:rPr>
                <w:noProof/>
              </w:rPr>
            </w:pPr>
            <w:r>
              <w:rPr>
                <w:noProof/>
              </w:rPr>
              <w:t>Andra fönster som innehåller fluorerade växthusgaser som förtecknas i bilaga I</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Point0number"/>
              <w:numPr>
                <w:ilvl w:val="0"/>
                <w:numId w:val="0"/>
              </w:numPr>
              <w:rPr>
                <w:noProof/>
              </w:rPr>
            </w:pPr>
            <w:r>
              <w:rPr>
                <w:noProof/>
              </w:rPr>
              <w:t>4 juli 2008</w:t>
            </w:r>
          </w:p>
        </w:tc>
      </w:tr>
      <w:tr w:rsidR="00DF5B7F" w:rsidRPr="00102BDA" w:rsidTr="00F15B76">
        <w:trPr>
          <w:trHeight w:hRule="exact" w:val="677"/>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F5B7F" w:rsidRPr="00102BDA" w:rsidRDefault="00DF5B7F" w:rsidP="00DF5B7F">
            <w:pPr>
              <w:pStyle w:val="Point0number"/>
              <w:numPr>
                <w:ilvl w:val="0"/>
                <w:numId w:val="23"/>
              </w:numPr>
              <w:jc w:val="left"/>
              <w:rPr>
                <w:noProof/>
              </w:rPr>
            </w:pPr>
            <w:r>
              <w:rPr>
                <w:noProof/>
              </w:rPr>
              <w:t>Skodon som innehåller fluorerade växthusgaser som förtecknas i bilaga I</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Point0number"/>
              <w:numPr>
                <w:ilvl w:val="0"/>
                <w:numId w:val="0"/>
              </w:numPr>
              <w:rPr>
                <w:noProof/>
              </w:rPr>
            </w:pPr>
            <w:r>
              <w:rPr>
                <w:noProof/>
              </w:rPr>
              <w:t>4 juli 2006</w:t>
            </w:r>
          </w:p>
        </w:tc>
      </w:tr>
      <w:tr w:rsidR="00DF5B7F" w:rsidRPr="00102BDA" w:rsidTr="00F15B76">
        <w:trPr>
          <w:trHeight w:hRule="exact" w:val="677"/>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DF5B7F">
            <w:pPr>
              <w:pStyle w:val="Point0number"/>
              <w:numPr>
                <w:ilvl w:val="0"/>
                <w:numId w:val="23"/>
              </w:numPr>
              <w:rPr>
                <w:noProof/>
              </w:rPr>
            </w:pPr>
            <w:r>
              <w:rPr>
                <w:noProof/>
              </w:rPr>
              <w:t>Däck som innehåller fluorerade växthusgaser som förtecknas i bilaga I</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Point0number"/>
              <w:numPr>
                <w:ilvl w:val="0"/>
                <w:numId w:val="0"/>
              </w:numPr>
              <w:rPr>
                <w:noProof/>
              </w:rPr>
            </w:pPr>
            <w:r>
              <w:rPr>
                <w:noProof/>
              </w:rPr>
              <w:t>4 juli 2007</w:t>
            </w:r>
          </w:p>
        </w:tc>
      </w:tr>
      <w:tr w:rsidR="00DF5B7F" w:rsidRPr="00102BDA" w:rsidTr="00F15B76">
        <w:trPr>
          <w:trHeight w:hRule="exact" w:val="1080"/>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DF5B7F">
            <w:pPr>
              <w:pStyle w:val="Point0number"/>
              <w:numPr>
                <w:ilvl w:val="0"/>
                <w:numId w:val="23"/>
              </w:numPr>
              <w:jc w:val="left"/>
              <w:rPr>
                <w:noProof/>
              </w:rPr>
            </w:pPr>
            <w:r>
              <w:rPr>
                <w:noProof/>
              </w:rPr>
              <w:t>Enkomponentskumplast, utom om sådant krävs för att uppfylla säkerhetsnormer, som innehåller fluorerade växthusgaser som förtecknas i bilaga I, med en GWP-faktor på minst 150</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sz w:val="24"/>
                <w:szCs w:val="24"/>
              </w:rPr>
              <w:t>4 juli 2008</w:t>
            </w:r>
          </w:p>
        </w:tc>
      </w:tr>
      <w:tr w:rsidR="00DF5B7F" w:rsidRPr="00102BDA" w:rsidTr="00F15B76">
        <w:trPr>
          <w:trHeight w:hRule="exact" w:val="1440"/>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F5B7F" w:rsidRPr="001B3B93" w:rsidRDefault="00DF5B7F" w:rsidP="00DF5B7F">
            <w:pPr>
              <w:pStyle w:val="Point0number"/>
              <w:numPr>
                <w:ilvl w:val="0"/>
                <w:numId w:val="23"/>
              </w:numPr>
              <w:jc w:val="left"/>
              <w:rPr>
                <w:noProof/>
              </w:rPr>
            </w:pPr>
            <w:r>
              <w:rPr>
                <w:noProof/>
              </w:rPr>
              <w:t>Aerosolbehållare som släpps ut på marknaden och är avsedda för försäljning till allmänheten, som skämtartiklar eller för dekorativa ändamål enligt förteckningen i punkt 40 i bilaga XVII till förordning (EG) nr 1907/2006, och signalhorn som innehåller fluorkolväten med en GWP-faktor på minst 150.</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sz w:val="24"/>
                <w:szCs w:val="24"/>
              </w:rPr>
            </w:pPr>
            <w:r>
              <w:rPr>
                <w:noProof/>
                <w:color w:val="000000"/>
                <w:sz w:val="24"/>
                <w:szCs w:val="24"/>
              </w:rPr>
              <w:t>4 juli 2009</w:t>
            </w:r>
          </w:p>
        </w:tc>
      </w:tr>
      <w:tr w:rsidR="00DF5B7F" w:rsidRPr="00102BDA" w:rsidTr="00F15B76">
        <w:trPr>
          <w:trHeight w:hRule="exact" w:val="677"/>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B3B93" w:rsidRDefault="00DF5B7F" w:rsidP="00DF5B7F">
            <w:pPr>
              <w:pStyle w:val="Point0number"/>
              <w:numPr>
                <w:ilvl w:val="0"/>
                <w:numId w:val="23"/>
              </w:numPr>
              <w:jc w:val="left"/>
              <w:rPr>
                <w:noProof/>
              </w:rPr>
            </w:pPr>
            <w:r>
              <w:rPr>
                <w:noProof/>
              </w:rPr>
              <w:t>Kyl- och frysskåp för hushållsbruk som innehåller fluorkolväten med en GWP-faktor på minst 150.</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sz w:val="24"/>
                <w:szCs w:val="24"/>
              </w:rPr>
              <w:t>1 januari 2015</w:t>
            </w:r>
          </w:p>
        </w:tc>
      </w:tr>
      <w:tr w:rsidR="00DF5B7F" w:rsidRPr="00102BDA" w:rsidTr="00F15B76">
        <w:trPr>
          <w:trHeight w:hRule="exact" w:val="1080"/>
          <w:jc w:val="center"/>
        </w:trPr>
        <w:tc>
          <w:tcPr>
            <w:tcW w:w="1719" w:type="pct"/>
            <w:vMerge w:val="restart"/>
            <w:tcBorders>
              <w:top w:val="single" w:sz="4" w:space="0" w:color="auto"/>
              <w:left w:val="single" w:sz="4" w:space="0" w:color="auto"/>
            </w:tcBorders>
            <w:shd w:val="clear" w:color="auto" w:fill="FFFFFF" w:themeFill="background1"/>
            <w:vAlign w:val="center"/>
          </w:tcPr>
          <w:p w:rsidR="00DF5B7F" w:rsidRPr="001B3B93" w:rsidRDefault="00DF5B7F" w:rsidP="00DF5B7F">
            <w:pPr>
              <w:pStyle w:val="Point0number"/>
              <w:numPr>
                <w:ilvl w:val="0"/>
                <w:numId w:val="23"/>
              </w:numPr>
              <w:jc w:val="left"/>
              <w:rPr>
                <w:noProof/>
              </w:rPr>
            </w:pPr>
            <w:r>
              <w:rPr>
                <w:noProof/>
              </w:rPr>
              <w:t>Kyl- och frysskåp för kommersiellt bruk (fristående utrustning)</w:t>
            </w: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B3B93" w:rsidRDefault="00DF5B7F" w:rsidP="00A642F2">
            <w:pPr>
              <w:rPr>
                <w:noProof/>
              </w:rPr>
            </w:pPr>
            <w:r>
              <w:rPr>
                <w:noProof/>
              </w:rPr>
              <w:t>- som innehåller fluorkolväten med en GWP-faktor på minst 2 500.</w:t>
            </w:r>
          </w:p>
          <w:p w:rsidR="00DF5B7F" w:rsidRPr="001B3B93" w:rsidRDefault="00DF5B7F" w:rsidP="00A642F2">
            <w:pPr>
              <w:pStyle w:val="Other10"/>
              <w:spacing w:after="0"/>
              <w:rPr>
                <w:noProof/>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themeColor="text1"/>
                <w:sz w:val="24"/>
                <w:szCs w:val="24"/>
              </w:rPr>
              <w:t>1 januari 2020</w:t>
            </w:r>
          </w:p>
        </w:tc>
      </w:tr>
      <w:tr w:rsidR="00DF5B7F" w:rsidRPr="00102BDA" w:rsidTr="00F15B76">
        <w:trPr>
          <w:trHeight w:hRule="exact" w:val="677"/>
          <w:jc w:val="center"/>
        </w:trPr>
        <w:tc>
          <w:tcPr>
            <w:tcW w:w="1719" w:type="pct"/>
            <w:vMerge/>
            <w:tcBorders>
              <w:left w:val="single" w:sz="4" w:space="0" w:color="auto"/>
            </w:tcBorders>
          </w:tcPr>
          <w:p w:rsidR="00DF5B7F" w:rsidRPr="001B3B93" w:rsidRDefault="00DF5B7F" w:rsidP="00A642F2">
            <w:pPr>
              <w:rPr>
                <w:noProof/>
              </w:rPr>
            </w:pP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B3B93" w:rsidRDefault="00DF5B7F" w:rsidP="00A642F2">
            <w:pPr>
              <w:rPr>
                <w:noProof/>
              </w:rPr>
            </w:pPr>
            <w:r>
              <w:rPr>
                <w:noProof/>
              </w:rPr>
              <w:t>- som innehåller fluorkolväten med en GWP-faktor på minst 150.</w:t>
            </w:r>
          </w:p>
          <w:p w:rsidR="00DF5B7F" w:rsidRPr="001B3B93" w:rsidRDefault="00DF5B7F" w:rsidP="00A642F2">
            <w:pPr>
              <w:pStyle w:val="Other10"/>
              <w:spacing w:after="0"/>
              <w:rPr>
                <w:noProof/>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sz w:val="24"/>
                <w:szCs w:val="24"/>
              </w:rPr>
              <w:t>1 januari 2022</w:t>
            </w:r>
          </w:p>
        </w:tc>
      </w:tr>
      <w:tr w:rsidR="00DF5B7F" w:rsidRPr="00102BDA" w:rsidTr="00F15B76">
        <w:trPr>
          <w:trHeight w:hRule="exact" w:val="677"/>
          <w:jc w:val="center"/>
        </w:trPr>
        <w:tc>
          <w:tcPr>
            <w:tcW w:w="1719" w:type="pct"/>
            <w:vMerge/>
            <w:tcBorders>
              <w:left w:val="single" w:sz="4" w:space="0" w:color="auto"/>
            </w:tcBorders>
          </w:tcPr>
          <w:p w:rsidR="00DF5B7F" w:rsidRPr="001B3B93" w:rsidRDefault="00DF5B7F" w:rsidP="00A642F2">
            <w:pPr>
              <w:rPr>
                <w:noProof/>
              </w:rPr>
            </w:pP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B3B93" w:rsidRDefault="00DF5B7F" w:rsidP="00A642F2">
            <w:pPr>
              <w:jc w:val="left"/>
              <w:rPr>
                <w:noProof/>
              </w:rPr>
            </w:pPr>
            <w:r>
              <w:rPr>
                <w:noProof/>
              </w:rPr>
              <w:t>- som innehåller andra fluorerade växthusgaser med en GWP-faktor på minst 150.</w:t>
            </w:r>
          </w:p>
          <w:p w:rsidR="00DF5B7F" w:rsidRPr="001B3B93" w:rsidRDefault="00DF5B7F" w:rsidP="00A642F2">
            <w:pPr>
              <w:pStyle w:val="Other10"/>
              <w:spacing w:after="0"/>
              <w:rPr>
                <w:noProof/>
                <w:color w:val="000000" w:themeColor="text1"/>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color w:val="000000"/>
                <w:sz w:val="24"/>
                <w:szCs w:val="24"/>
              </w:rPr>
            </w:pPr>
            <w:r>
              <w:rPr>
                <w:noProof/>
                <w:color w:val="000000"/>
                <w:sz w:val="24"/>
                <w:szCs w:val="24"/>
              </w:rPr>
              <w:t>1 januari 2024</w:t>
            </w:r>
          </w:p>
        </w:tc>
      </w:tr>
      <w:tr w:rsidR="00DF5B7F" w:rsidRPr="00102BDA" w:rsidTr="00F15B76">
        <w:trPr>
          <w:trHeight w:hRule="exact" w:val="1104"/>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B3B93" w:rsidRDefault="00DF5B7F" w:rsidP="00A642F2">
            <w:pPr>
              <w:pStyle w:val="Other10"/>
              <w:spacing w:after="0"/>
              <w:jc w:val="both"/>
              <w:rPr>
                <w:noProof/>
                <w:color w:val="000000" w:themeColor="text1"/>
              </w:rPr>
            </w:pPr>
          </w:p>
          <w:p w:rsidR="00DF5B7F" w:rsidRPr="001B3B93" w:rsidRDefault="00DF5B7F" w:rsidP="00DF5B7F">
            <w:pPr>
              <w:pStyle w:val="Point0number"/>
              <w:numPr>
                <w:ilvl w:val="0"/>
                <w:numId w:val="23"/>
              </w:numPr>
              <w:rPr>
                <w:noProof/>
              </w:rPr>
            </w:pPr>
            <w:r>
              <w:rPr>
                <w:noProof/>
              </w:rPr>
              <w:t>All fristående kylutrustning som innehåller fluorerade växthusgaser med en GWP-faktor på minst 150.</w:t>
            </w:r>
          </w:p>
          <w:p w:rsidR="00DF5B7F" w:rsidRPr="001B3B93" w:rsidRDefault="00DF5B7F" w:rsidP="00A642F2">
            <w:pPr>
              <w:pStyle w:val="Other10"/>
              <w:spacing w:after="0"/>
              <w:ind w:left="340" w:hanging="340"/>
              <w:jc w:val="both"/>
              <w:rPr>
                <w:noProof/>
                <w:color w:val="000000"/>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color w:val="000000"/>
                <w:sz w:val="24"/>
                <w:szCs w:val="24"/>
              </w:rPr>
            </w:pPr>
            <w:r>
              <w:rPr>
                <w:noProof/>
                <w:color w:val="000000"/>
                <w:sz w:val="24"/>
                <w:szCs w:val="24"/>
              </w:rPr>
              <w:t>1 januari 2025</w:t>
            </w:r>
          </w:p>
        </w:tc>
      </w:tr>
      <w:tr w:rsidR="00DF5B7F" w:rsidRPr="00102BDA" w:rsidTr="00F15B76">
        <w:trPr>
          <w:trHeight w:hRule="exact" w:val="1440"/>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B3B93" w:rsidRDefault="00DF5B7F" w:rsidP="00DF5B7F">
            <w:pPr>
              <w:pStyle w:val="Point0number"/>
              <w:numPr>
                <w:ilvl w:val="0"/>
                <w:numId w:val="23"/>
              </w:numPr>
              <w:jc w:val="left"/>
              <w:rPr>
                <w:noProof/>
              </w:rPr>
            </w:pPr>
            <w:r>
              <w:rPr>
                <w:noProof/>
              </w:rPr>
              <w:t>Stationär kylutrustning som innehåller eller vars funktion kräver fluorkolväten med en GWP-faktor på minst 2 500, utom utrustning avsedd för tillämpningar som är utformade för att kyla produkter till temperaturer under – 50 °C</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sz w:val="24"/>
                <w:szCs w:val="24"/>
              </w:rPr>
            </w:pPr>
            <w:r>
              <w:rPr>
                <w:noProof/>
                <w:color w:val="000000"/>
                <w:sz w:val="24"/>
                <w:szCs w:val="24"/>
              </w:rPr>
              <w:t>1 januari 2020</w:t>
            </w:r>
          </w:p>
        </w:tc>
      </w:tr>
      <w:tr w:rsidR="00DF5B7F" w:rsidRPr="00102BDA" w:rsidTr="00F15B76">
        <w:trPr>
          <w:trHeight w:hRule="exact" w:val="1320"/>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B3B93" w:rsidRDefault="00DF5B7F" w:rsidP="00DF5B7F">
            <w:pPr>
              <w:pStyle w:val="Point0number"/>
              <w:numPr>
                <w:ilvl w:val="0"/>
                <w:numId w:val="23"/>
              </w:numPr>
              <w:jc w:val="left"/>
              <w:rPr>
                <w:noProof/>
              </w:rPr>
            </w:pPr>
            <w:r>
              <w:rPr>
                <w:noProof/>
              </w:rPr>
              <w:t>Stationär kylutrustning som innehåller eller vars funktion kräver fluorerade växthusgaser med en GWP-faktor på minst 2 500, utom utrustning avsedd för tillämpningar som är utformade för att kyla produkter till temperaturer under – 50 °C</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color w:val="000000"/>
                <w:sz w:val="24"/>
                <w:szCs w:val="24"/>
              </w:rPr>
            </w:pPr>
            <w:r>
              <w:rPr>
                <w:noProof/>
                <w:color w:val="000000"/>
                <w:sz w:val="24"/>
                <w:szCs w:val="24"/>
              </w:rPr>
              <w:t>1 januari 2024</w:t>
            </w:r>
          </w:p>
        </w:tc>
      </w:tr>
      <w:tr w:rsidR="00DF5B7F" w:rsidRPr="00102BDA" w:rsidTr="00F15B76">
        <w:trPr>
          <w:trHeight w:hRule="exact" w:val="1920"/>
          <w:jc w:val="center"/>
        </w:trPr>
        <w:tc>
          <w:tcPr>
            <w:tcW w:w="4310" w:type="pct"/>
            <w:gridSpan w:val="2"/>
            <w:tcBorders>
              <w:top w:val="single" w:sz="4" w:space="0" w:color="auto"/>
              <w:left w:val="single" w:sz="4" w:space="0" w:color="auto"/>
              <w:bottom w:val="single" w:sz="4" w:space="0" w:color="auto"/>
            </w:tcBorders>
            <w:shd w:val="clear" w:color="auto" w:fill="FFFFFF" w:themeFill="background1"/>
            <w:vAlign w:val="center"/>
          </w:tcPr>
          <w:p w:rsidR="00DF5B7F" w:rsidRPr="001B3B93" w:rsidRDefault="00DF5B7F" w:rsidP="00DF5B7F">
            <w:pPr>
              <w:pStyle w:val="Point0number"/>
              <w:numPr>
                <w:ilvl w:val="0"/>
                <w:numId w:val="23"/>
              </w:numPr>
              <w:jc w:val="left"/>
              <w:rPr>
                <w:noProof/>
              </w:rPr>
            </w:pPr>
            <w:r>
              <w:rPr>
                <w:noProof/>
              </w:rPr>
              <w:t>Centraliserade kylsystem med flera moduler för kommersiell användning med en nominell kapacitet på minst 40 kW och som innehåller eller vilkas funktion kräver de fluorerade växthusgaser som förtecknas i bilaga I med en GWP-faktor på minst 150, detta gäller dock inte för den primära kylkretsen i kaskadsystem, i vilken fluorerade växthusgaser med en GWP-faktor på mindre än 1 500 får användas.</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sz w:val="24"/>
                <w:szCs w:val="24"/>
              </w:rPr>
            </w:pPr>
            <w:r>
              <w:rPr>
                <w:noProof/>
                <w:color w:val="000000"/>
                <w:sz w:val="24"/>
                <w:szCs w:val="24"/>
              </w:rPr>
              <w:t>1 januari 2022</w:t>
            </w:r>
          </w:p>
        </w:tc>
      </w:tr>
      <w:tr w:rsidR="00DF5B7F" w:rsidRPr="00102BDA" w:rsidTr="00F15B76">
        <w:trPr>
          <w:trHeight w:hRule="exact" w:val="1325"/>
          <w:jc w:val="center"/>
        </w:trPr>
        <w:tc>
          <w:tcPr>
            <w:tcW w:w="4310" w:type="pct"/>
            <w:gridSpan w:val="2"/>
            <w:tcBorders>
              <w:top w:val="single" w:sz="4" w:space="0" w:color="auto"/>
              <w:left w:val="single" w:sz="4" w:space="0" w:color="auto"/>
              <w:bottom w:val="single" w:sz="4" w:space="0" w:color="auto"/>
            </w:tcBorders>
            <w:shd w:val="clear" w:color="auto" w:fill="FFFFFF" w:themeFill="background1"/>
            <w:vAlign w:val="center"/>
          </w:tcPr>
          <w:p w:rsidR="00DF5B7F" w:rsidRPr="00572E44" w:rsidRDefault="00DF5B7F" w:rsidP="00DF5B7F">
            <w:pPr>
              <w:pStyle w:val="Point0number"/>
              <w:numPr>
                <w:ilvl w:val="0"/>
                <w:numId w:val="23"/>
              </w:numPr>
              <w:jc w:val="left"/>
              <w:rPr>
                <w:noProof/>
                <w:color w:val="000000"/>
              </w:rPr>
            </w:pPr>
            <w:r>
              <w:rPr>
                <w:noProof/>
              </w:rPr>
              <w:t>Inpluggningsbar luftkonditioneringsutrustning för inomhusbruk (fristående utrustning) som kan flyttas mellan rum av slutanvändaren och som innehåller fluorkolväten med en GWP-faktor på minst 150.</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color w:val="000000"/>
                <w:sz w:val="24"/>
                <w:szCs w:val="24"/>
              </w:rPr>
            </w:pPr>
            <w:r>
              <w:rPr>
                <w:noProof/>
                <w:color w:val="000000"/>
                <w:sz w:val="24"/>
                <w:szCs w:val="24"/>
              </w:rPr>
              <w:t>1 januari 2020</w:t>
            </w:r>
          </w:p>
        </w:tc>
      </w:tr>
      <w:tr w:rsidR="00DF5B7F" w:rsidRPr="00102BDA" w:rsidTr="00F15B76">
        <w:trPr>
          <w:trHeight w:hRule="exact" w:val="1325"/>
          <w:jc w:val="center"/>
        </w:trPr>
        <w:tc>
          <w:tcPr>
            <w:tcW w:w="4310" w:type="pct"/>
            <w:gridSpan w:val="2"/>
            <w:tcBorders>
              <w:top w:val="single" w:sz="4" w:space="0" w:color="auto"/>
              <w:left w:val="single" w:sz="4" w:space="0" w:color="auto"/>
              <w:bottom w:val="single" w:sz="4" w:space="0" w:color="auto"/>
            </w:tcBorders>
            <w:shd w:val="clear" w:color="auto" w:fill="FFFFFF" w:themeFill="background1"/>
            <w:vAlign w:val="center"/>
          </w:tcPr>
          <w:p w:rsidR="00DF5B7F" w:rsidRPr="001B3B93" w:rsidRDefault="00DF5B7F" w:rsidP="00DF5B7F">
            <w:pPr>
              <w:pStyle w:val="Point0number"/>
              <w:numPr>
                <w:ilvl w:val="0"/>
                <w:numId w:val="23"/>
              </w:numPr>
              <w:jc w:val="left"/>
              <w:rPr>
                <w:noProof/>
              </w:rPr>
            </w:pPr>
            <w:r>
              <w:rPr>
                <w:noProof/>
              </w:rPr>
              <w:t>Inpluggningsbar luftkonditionerings- och värmepumputrustning (fristående utrustning) som innehåller fluorerade växthusgaser med en GWP-faktor på minst 150.</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noProof/>
                <w:color w:val="000000"/>
                <w:sz w:val="24"/>
                <w:szCs w:val="24"/>
              </w:rPr>
            </w:pPr>
            <w:r>
              <w:rPr>
                <w:noProof/>
                <w:color w:val="000000"/>
                <w:sz w:val="24"/>
                <w:szCs w:val="24"/>
              </w:rPr>
              <w:t>1 januari 2025</w:t>
            </w:r>
          </w:p>
        </w:tc>
      </w:tr>
      <w:tr w:rsidR="00DF5B7F" w:rsidRPr="00102BDA" w:rsidTr="00F15B76">
        <w:trPr>
          <w:trHeight w:val="20"/>
          <w:jc w:val="center"/>
        </w:trPr>
        <w:tc>
          <w:tcPr>
            <w:tcW w:w="4310" w:type="pct"/>
            <w:gridSpan w:val="2"/>
            <w:tcBorders>
              <w:top w:val="single" w:sz="4" w:space="0" w:color="auto"/>
              <w:left w:val="single" w:sz="4" w:space="0" w:color="auto"/>
            </w:tcBorders>
            <w:shd w:val="clear" w:color="auto" w:fill="FFFFFF" w:themeFill="background1"/>
            <w:vAlign w:val="center"/>
          </w:tcPr>
          <w:p w:rsidR="00DF5B7F" w:rsidRPr="00BB243B" w:rsidRDefault="00DF5B7F" w:rsidP="00DF5B7F">
            <w:pPr>
              <w:pStyle w:val="Point0number"/>
              <w:numPr>
                <w:ilvl w:val="0"/>
                <w:numId w:val="23"/>
              </w:numPr>
              <w:jc w:val="left"/>
              <w:rPr>
                <w:noProof/>
              </w:rPr>
            </w:pPr>
            <w:r>
              <w:rPr>
                <w:noProof/>
              </w:rPr>
              <w:t xml:space="preserve">Stationär delad luftkonditioneringsutrustning och delad värmepumpsutrustning: </w:t>
            </w:r>
          </w:p>
          <w:p w:rsidR="00DF5B7F" w:rsidRPr="00BB243B" w:rsidRDefault="00DF5B7F" w:rsidP="00DF5B7F">
            <w:pPr>
              <w:pStyle w:val="Point1letter"/>
              <w:numPr>
                <w:ilvl w:val="3"/>
                <w:numId w:val="23"/>
              </w:numPr>
              <w:jc w:val="left"/>
              <w:rPr>
                <w:noProof/>
              </w:rPr>
            </w:pPr>
            <w:r>
              <w:rPr>
                <w:noProof/>
              </w:rPr>
              <w:t>Delade luftkonditioneringssystem som innehåller mindre än tre kg fluorerade växthusgaser som förtecknas i bilaga I och som innehåller eller vars funktion kräver fluorerade växthusgaser som förtecknas i bilaga I med en GWP-faktor på minst 750</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rFonts w:eastAsiaTheme="minorEastAsia"/>
                <w:noProof/>
                <w:color w:val="231F20"/>
                <w:sz w:val="24"/>
                <w:szCs w:val="24"/>
              </w:rPr>
            </w:pPr>
            <w:r>
              <w:rPr>
                <w:rStyle w:val="Bodytext2"/>
                <w:noProof/>
                <w:sz w:val="24"/>
                <w:szCs w:val="24"/>
              </w:rPr>
              <w:t>1 januari 2025</w:t>
            </w:r>
          </w:p>
        </w:tc>
      </w:tr>
      <w:tr w:rsidR="00DF5B7F" w:rsidRPr="00102BDA" w:rsidTr="00F15B76">
        <w:trPr>
          <w:trHeight w:val="20"/>
          <w:jc w:val="center"/>
        </w:trPr>
        <w:tc>
          <w:tcPr>
            <w:tcW w:w="4310" w:type="pct"/>
            <w:gridSpan w:val="2"/>
            <w:tcBorders>
              <w:left w:val="single" w:sz="4" w:space="0" w:color="auto"/>
            </w:tcBorders>
            <w:shd w:val="clear" w:color="auto" w:fill="FFFFFF" w:themeFill="background1"/>
            <w:vAlign w:val="center"/>
          </w:tcPr>
          <w:p w:rsidR="00DF5B7F" w:rsidRPr="00BB243B" w:rsidRDefault="00B91004" w:rsidP="00DF5B7F">
            <w:pPr>
              <w:pStyle w:val="Point1letter"/>
              <w:numPr>
                <w:ilvl w:val="3"/>
                <w:numId w:val="23"/>
              </w:numPr>
              <w:jc w:val="left"/>
              <w:rPr>
                <w:noProof/>
              </w:rPr>
            </w:pPr>
            <w:r>
              <w:rPr>
                <w:noProof/>
              </w:rPr>
              <w:t>Delade system med en nominell kapacitet på upp till och med 12 kW och som innehåller, eller vars funktion kräver, fluorerade växthusgaser med en GWP-faktor på minst 150, utom om dessa krävs för att uppfylla säkerhetsnormer.</w:t>
            </w:r>
          </w:p>
          <w:p w:rsidR="00DF5B7F" w:rsidRPr="00BB243B" w:rsidRDefault="00B91004" w:rsidP="00DF5B7F">
            <w:pPr>
              <w:pStyle w:val="Point1letter"/>
              <w:numPr>
                <w:ilvl w:val="3"/>
                <w:numId w:val="23"/>
              </w:numPr>
              <w:jc w:val="left"/>
              <w:rPr>
                <w:noProof/>
              </w:rPr>
            </w:pPr>
            <w:r>
              <w:rPr>
                <w:noProof/>
              </w:rPr>
              <w:t>Delade system med en nominell kapacitet på mer än 12 kW och som innehåller, eller vars funktion kräver, fluorerade växthusgaser med en GWP-faktor på minst 750, utom om dessa krävs för att uppfylla säkerhetsnormer.</w:t>
            </w:r>
          </w:p>
        </w:tc>
        <w:tc>
          <w:tcPr>
            <w:tcW w:w="690" w:type="pct"/>
            <w:tcBorders>
              <w:top w:val="single" w:sz="4" w:space="0" w:color="auto"/>
              <w:left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220" w:after="0"/>
              <w:jc w:val="center"/>
              <w:rPr>
                <w:rStyle w:val="Bodytext2"/>
                <w:rFonts w:eastAsiaTheme="minorEastAsia"/>
                <w:noProof/>
                <w:sz w:val="24"/>
                <w:szCs w:val="24"/>
              </w:rPr>
            </w:pPr>
            <w:r>
              <w:rPr>
                <w:rStyle w:val="Bodytext2"/>
                <w:noProof/>
                <w:sz w:val="24"/>
                <w:szCs w:val="24"/>
              </w:rPr>
              <w:t>1 januari 2027</w:t>
            </w:r>
          </w:p>
        </w:tc>
      </w:tr>
      <w:tr w:rsidR="00DF5B7F" w:rsidRPr="00102BDA" w:rsidTr="00F15B76">
        <w:trPr>
          <w:trHeight w:hRule="exact" w:val="1080"/>
          <w:jc w:val="center"/>
        </w:trPr>
        <w:tc>
          <w:tcPr>
            <w:tcW w:w="1719" w:type="pct"/>
            <w:vMerge w:val="restart"/>
            <w:tcBorders>
              <w:top w:val="single" w:sz="4" w:space="0" w:color="auto"/>
              <w:left w:val="single" w:sz="4" w:space="0" w:color="auto"/>
              <w:bottom w:val="single" w:sz="4" w:space="0" w:color="auto"/>
            </w:tcBorders>
            <w:shd w:val="clear" w:color="auto" w:fill="FFFFFF" w:themeFill="background1"/>
            <w:vAlign w:val="center"/>
          </w:tcPr>
          <w:p w:rsidR="00DF5B7F" w:rsidRPr="006F09DC" w:rsidRDefault="00DF5B7F" w:rsidP="00DF5B7F">
            <w:pPr>
              <w:pStyle w:val="Point0number"/>
              <w:numPr>
                <w:ilvl w:val="0"/>
                <w:numId w:val="23"/>
              </w:numPr>
              <w:jc w:val="left"/>
              <w:rPr>
                <w:noProof/>
              </w:rPr>
            </w:pPr>
            <w:r>
              <w:rPr>
                <w:noProof/>
              </w:rPr>
              <w:t>Skum som innehåller fluorkolväten med en GWP-faktor på minst 150, utom om dessa krävs för att uppfylla säkerhetsnormer.</w:t>
            </w: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02BDA" w:rsidRDefault="00DF5B7F" w:rsidP="00A642F2">
            <w:pPr>
              <w:rPr>
                <w:noProof/>
              </w:rPr>
            </w:pPr>
            <w:r>
              <w:rPr>
                <w:noProof/>
              </w:rPr>
              <w:t>Extruderat polystyrenskum (XPS)</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sz w:val="24"/>
                <w:szCs w:val="24"/>
              </w:rPr>
              <w:t>1 januari 2020</w:t>
            </w:r>
          </w:p>
        </w:tc>
      </w:tr>
      <w:tr w:rsidR="00DF5B7F" w:rsidRPr="00102BDA" w:rsidTr="00F15B76">
        <w:trPr>
          <w:trHeight w:val="120"/>
          <w:jc w:val="center"/>
        </w:trPr>
        <w:tc>
          <w:tcPr>
            <w:tcW w:w="1719" w:type="pct"/>
            <w:vMerge/>
            <w:tcBorders>
              <w:top w:val="single" w:sz="4" w:space="0" w:color="auto"/>
              <w:left w:val="single" w:sz="4" w:space="0" w:color="auto"/>
              <w:bottom w:val="single" w:sz="4" w:space="0" w:color="auto"/>
            </w:tcBorders>
            <w:vAlign w:val="center"/>
          </w:tcPr>
          <w:p w:rsidR="00DF5B7F" w:rsidRPr="00102BDA" w:rsidRDefault="00DF5B7F" w:rsidP="00A642F2">
            <w:pPr>
              <w:rPr>
                <w:noProof/>
              </w:rPr>
            </w:pPr>
          </w:p>
        </w:tc>
        <w:tc>
          <w:tcPr>
            <w:tcW w:w="2591" w:type="pct"/>
            <w:tcBorders>
              <w:top w:val="single" w:sz="4" w:space="0" w:color="auto"/>
              <w:left w:val="single" w:sz="4" w:space="0" w:color="auto"/>
              <w:bottom w:val="single" w:sz="4" w:space="0" w:color="auto"/>
            </w:tcBorders>
            <w:shd w:val="clear" w:color="auto" w:fill="FFFFFF" w:themeFill="background1"/>
            <w:vAlign w:val="center"/>
          </w:tcPr>
          <w:p w:rsidR="00DF5B7F" w:rsidRPr="00102BDA" w:rsidRDefault="00DF5B7F" w:rsidP="00A642F2">
            <w:pPr>
              <w:rPr>
                <w:noProof/>
              </w:rPr>
            </w:pPr>
            <w:r>
              <w:rPr>
                <w:noProof/>
              </w:rPr>
              <w:t>- Andra skumplaster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sz w:val="24"/>
                <w:szCs w:val="24"/>
              </w:rPr>
            </w:pPr>
            <w:r>
              <w:rPr>
                <w:noProof/>
                <w:color w:val="000000"/>
                <w:sz w:val="24"/>
                <w:szCs w:val="24"/>
              </w:rPr>
              <w:t>1 januari 2023</w:t>
            </w:r>
          </w:p>
        </w:tc>
      </w:tr>
      <w:tr w:rsidR="00DF5B7F" w:rsidRPr="00102BDA" w:rsidTr="00F15B76">
        <w:trPr>
          <w:trHeight w:val="120"/>
          <w:jc w:val="center"/>
        </w:trPr>
        <w:tc>
          <w:tcPr>
            <w:tcW w:w="431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DF5B7F">
            <w:pPr>
              <w:pStyle w:val="Point0number"/>
              <w:numPr>
                <w:ilvl w:val="0"/>
                <w:numId w:val="23"/>
              </w:numPr>
              <w:jc w:val="left"/>
              <w:rPr>
                <w:noProof/>
              </w:rPr>
            </w:pPr>
            <w:r>
              <w:rPr>
                <w:noProof/>
              </w:rPr>
              <w:t>Tekniska aerosoler som innehåller fluorkolväten med en GWP-faktor på minst 150,  utom om dessa krävs för att uppfylla säkerhetsnormer, och vid användning i medicinska tillämpningar.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140" w:after="0"/>
              <w:jc w:val="center"/>
              <w:rPr>
                <w:noProof/>
                <w:sz w:val="24"/>
                <w:szCs w:val="24"/>
              </w:rPr>
            </w:pPr>
            <w:r>
              <w:rPr>
                <w:noProof/>
                <w:color w:val="000000"/>
                <w:sz w:val="24"/>
                <w:szCs w:val="24"/>
              </w:rPr>
              <w:t>1 januari 2018</w:t>
            </w:r>
          </w:p>
        </w:tc>
      </w:tr>
      <w:tr w:rsidR="00DF5B7F" w:rsidRPr="00102BDA" w:rsidTr="00F15B76">
        <w:trPr>
          <w:trHeight w:val="120"/>
          <w:jc w:val="center"/>
        </w:trPr>
        <w:tc>
          <w:tcPr>
            <w:tcW w:w="4310" w:type="pct"/>
            <w:gridSpan w:val="2"/>
            <w:tcBorders>
              <w:top w:val="single" w:sz="4" w:space="0" w:color="auto"/>
              <w:left w:val="single" w:sz="4" w:space="0" w:color="auto"/>
              <w:bottom w:val="single" w:sz="4" w:space="0" w:color="auto"/>
            </w:tcBorders>
            <w:shd w:val="clear" w:color="auto" w:fill="FFFFFF" w:themeFill="background1"/>
            <w:vAlign w:val="center"/>
          </w:tcPr>
          <w:p w:rsidR="00DF5B7F" w:rsidRPr="00A73C90" w:rsidRDefault="00DF5B7F" w:rsidP="00DF5B7F">
            <w:pPr>
              <w:pStyle w:val="Point0number"/>
              <w:numPr>
                <w:ilvl w:val="0"/>
                <w:numId w:val="23"/>
              </w:numPr>
              <w:jc w:val="left"/>
              <w:rPr>
                <w:noProof/>
                <w:color w:val="000000"/>
              </w:rPr>
            </w:pPr>
            <w:r>
              <w:rPr>
                <w:noProof/>
              </w:rPr>
              <w:t>Kroppsvårdsprodukter (dvs. mousse, kräm, skum) som innehåller fluorerade växthusgaser.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140" w:after="0"/>
              <w:jc w:val="center"/>
              <w:rPr>
                <w:noProof/>
                <w:color w:val="000000"/>
                <w:sz w:val="24"/>
                <w:szCs w:val="24"/>
              </w:rPr>
            </w:pPr>
            <w:r>
              <w:rPr>
                <w:noProof/>
                <w:color w:val="000000"/>
                <w:sz w:val="24"/>
                <w:szCs w:val="24"/>
              </w:rPr>
              <w:t>1 januari 2024</w:t>
            </w:r>
          </w:p>
        </w:tc>
      </w:tr>
      <w:tr w:rsidR="00DF5B7F" w:rsidRPr="00102BDA" w:rsidTr="00F15B76">
        <w:trPr>
          <w:trHeight w:val="120"/>
          <w:jc w:val="center"/>
        </w:trPr>
        <w:tc>
          <w:tcPr>
            <w:tcW w:w="4310" w:type="pct"/>
            <w:gridSpan w:val="2"/>
            <w:tcBorders>
              <w:top w:val="single" w:sz="4" w:space="0" w:color="auto"/>
              <w:left w:val="single" w:sz="4" w:space="0" w:color="auto"/>
              <w:bottom w:val="single" w:sz="4" w:space="0" w:color="auto"/>
            </w:tcBorders>
            <w:shd w:val="clear" w:color="auto" w:fill="FFFFFF" w:themeFill="background1"/>
            <w:vAlign w:val="center"/>
          </w:tcPr>
          <w:p w:rsidR="00DF5B7F" w:rsidRPr="00A73C90" w:rsidRDefault="00DF5B7F" w:rsidP="00DF5B7F">
            <w:pPr>
              <w:pStyle w:val="Point0number"/>
              <w:numPr>
                <w:ilvl w:val="0"/>
                <w:numId w:val="23"/>
              </w:numPr>
              <w:jc w:val="left"/>
              <w:rPr>
                <w:noProof/>
                <w:color w:val="000000"/>
              </w:rPr>
            </w:pPr>
            <w:r>
              <w:rPr>
                <w:noProof/>
              </w:rPr>
              <w:t>Utrustning som används för att kyla huden och som innehåller, eller vars funktion kräver, fluorerade växthusgaser med en GWP-faktor på minst 150, utom vid användning för medicinska tillämpningar.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before="140" w:after="0"/>
              <w:jc w:val="center"/>
              <w:rPr>
                <w:noProof/>
                <w:color w:val="000000"/>
                <w:sz w:val="24"/>
                <w:szCs w:val="24"/>
              </w:rPr>
            </w:pPr>
            <w:r>
              <w:rPr>
                <w:noProof/>
                <w:color w:val="000000"/>
                <w:sz w:val="24"/>
                <w:szCs w:val="24"/>
              </w:rPr>
              <w:t>1 januari 2024</w:t>
            </w:r>
          </w:p>
        </w:tc>
      </w:tr>
      <w:tr w:rsidR="00DF5B7F" w:rsidRPr="00102BDA" w:rsidTr="00F15B76">
        <w:trPr>
          <w:trHeight w:val="846"/>
          <w:jc w:val="center"/>
        </w:trPr>
        <w:tc>
          <w:tcPr>
            <w:tcW w:w="1719" w:type="pct"/>
            <w:vMerge w:val="restart"/>
            <w:tcBorders>
              <w:top w:val="single" w:sz="4" w:space="0" w:color="auto"/>
              <w:left w:val="single" w:sz="4" w:space="0" w:color="auto"/>
              <w:right w:val="single" w:sz="4" w:space="0" w:color="auto"/>
            </w:tcBorders>
            <w:shd w:val="clear" w:color="auto" w:fill="FFFFFF" w:themeFill="background1"/>
            <w:vAlign w:val="center"/>
          </w:tcPr>
          <w:p w:rsidR="00DF5B7F" w:rsidRPr="00102BDA" w:rsidRDefault="00DE2DD8" w:rsidP="00B962E2">
            <w:pPr>
              <w:pStyle w:val="Point0number"/>
              <w:numPr>
                <w:ilvl w:val="0"/>
                <w:numId w:val="23"/>
              </w:numPr>
              <w:tabs>
                <w:tab w:val="clear" w:pos="850"/>
                <w:tab w:val="num" w:pos="525"/>
              </w:tabs>
              <w:spacing w:after="0"/>
              <w:ind w:left="525" w:hanging="525"/>
              <w:jc w:val="left"/>
              <w:rPr>
                <w:noProof/>
              </w:rPr>
            </w:pPr>
            <w:r>
              <w:rPr>
                <w:noProof/>
              </w:rPr>
              <w:t>Installation och utbyte av följande elektriska brytare:</w:t>
            </w:r>
          </w:p>
        </w:tc>
        <w:tc>
          <w:tcPr>
            <w:tcW w:w="25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DF5B7F">
            <w:pPr>
              <w:pStyle w:val="Point0letter"/>
              <w:numPr>
                <w:ilvl w:val="1"/>
                <w:numId w:val="23"/>
              </w:numPr>
              <w:jc w:val="left"/>
              <w:rPr>
                <w:noProof/>
              </w:rPr>
            </w:pPr>
            <w:r>
              <w:rPr>
                <w:noProof/>
              </w:rPr>
              <w:t>Mellanspänningsbrytare för primär och sekundär distribution upp till 24 kV, med isolerings- eller brytmedium som använder, eller vars funktion är beroende av, gaser med en GWP-faktor på minst 10 eller med en GWP-faktor på minst 2000, såvida det inte finns belägg för att det inte finns något lämpligt alternativ på teknisk grund inom de lägre GWP-intervall som avses ovan.</w:t>
            </w:r>
          </w:p>
          <w:p w:rsidR="00DF5B7F" w:rsidRPr="00102BDA" w:rsidRDefault="00DF5B7F" w:rsidP="00A642F2">
            <w:pPr>
              <w:pStyle w:val="Other10"/>
              <w:spacing w:after="0"/>
              <w:ind w:left="340" w:hanging="340"/>
              <w:rPr>
                <w:noProof/>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DF5B7F">
            <w:pPr>
              <w:pStyle w:val="Other10"/>
              <w:spacing w:after="0"/>
              <w:jc w:val="center"/>
              <w:rPr>
                <w:noProof/>
                <w:color w:val="000000"/>
                <w:sz w:val="24"/>
                <w:szCs w:val="24"/>
              </w:rPr>
            </w:pPr>
            <w:r>
              <w:rPr>
                <w:noProof/>
                <w:color w:val="000000"/>
                <w:sz w:val="24"/>
                <w:szCs w:val="24"/>
              </w:rPr>
              <w:t>1 januari 2026</w:t>
            </w:r>
          </w:p>
        </w:tc>
      </w:tr>
      <w:tr w:rsidR="00DF5B7F" w:rsidRPr="00102BDA" w:rsidTr="00F15B76">
        <w:trPr>
          <w:trHeight w:val="846"/>
          <w:jc w:val="center"/>
        </w:trPr>
        <w:tc>
          <w:tcPr>
            <w:tcW w:w="1719" w:type="pct"/>
            <w:vMerge/>
            <w:tcBorders>
              <w:left w:val="single" w:sz="4" w:space="0" w:color="auto"/>
              <w:right w:val="single" w:sz="4" w:space="0" w:color="auto"/>
            </w:tcBorders>
            <w:vAlign w:val="center"/>
          </w:tcPr>
          <w:p w:rsidR="00DF5B7F" w:rsidRPr="00102BDA" w:rsidRDefault="00DF5B7F" w:rsidP="00A642F2">
            <w:pPr>
              <w:pStyle w:val="Other10"/>
              <w:spacing w:after="0"/>
              <w:ind w:left="340" w:hanging="340"/>
              <w:jc w:val="both"/>
              <w:rPr>
                <w:noProof/>
              </w:rPr>
            </w:pPr>
          </w:p>
        </w:tc>
        <w:tc>
          <w:tcPr>
            <w:tcW w:w="25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DF5B7F">
            <w:pPr>
              <w:pStyle w:val="Point0letter"/>
              <w:numPr>
                <w:ilvl w:val="1"/>
                <w:numId w:val="23"/>
              </w:numPr>
              <w:jc w:val="left"/>
              <w:rPr>
                <w:noProof/>
              </w:rPr>
            </w:pPr>
            <w:r>
              <w:rPr>
                <w:noProof/>
              </w:rPr>
              <w:t xml:space="preserve">Mellanspänningsbrytare för primär och sekundär distribution från 24kV till 52 kV, med isolerings- eller brytmedium som använder, eller vars funktion är beroende av, gaser med en GWP-faktor på minst 10 eller med en GWP-faktor på mer än 2000, såvida det inte finns belägg för att det inte finns något lämpligt alternativ på teknisk grund inom de lägre GWP-intervall som avses ovan. </w:t>
            </w:r>
          </w:p>
          <w:p w:rsidR="00DF5B7F" w:rsidRPr="00102BDA" w:rsidRDefault="00DF5B7F" w:rsidP="00A642F2">
            <w:pPr>
              <w:pStyle w:val="Other10"/>
              <w:spacing w:after="0"/>
              <w:ind w:left="340" w:hanging="340"/>
              <w:rPr>
                <w:noProof/>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color w:val="000000"/>
                <w:sz w:val="24"/>
                <w:szCs w:val="24"/>
              </w:rPr>
            </w:pPr>
            <w:r>
              <w:rPr>
                <w:noProof/>
                <w:color w:val="000000"/>
                <w:sz w:val="24"/>
                <w:szCs w:val="24"/>
              </w:rPr>
              <w:t>1 januari 2030</w:t>
            </w:r>
          </w:p>
        </w:tc>
      </w:tr>
      <w:tr w:rsidR="00DF5B7F" w:rsidRPr="00102BDA" w:rsidTr="00F15B76">
        <w:trPr>
          <w:trHeight w:val="846"/>
          <w:jc w:val="center"/>
        </w:trPr>
        <w:tc>
          <w:tcPr>
            <w:tcW w:w="1719" w:type="pct"/>
            <w:vMerge/>
            <w:tcBorders>
              <w:left w:val="single" w:sz="4" w:space="0" w:color="auto"/>
              <w:right w:val="single" w:sz="4" w:space="0" w:color="auto"/>
            </w:tcBorders>
            <w:shd w:val="clear" w:color="auto" w:fill="FFFFFF" w:themeFill="background1"/>
            <w:vAlign w:val="center"/>
          </w:tcPr>
          <w:p w:rsidR="00DF5B7F" w:rsidRPr="00102BDA" w:rsidRDefault="00DF5B7F" w:rsidP="00A642F2">
            <w:pPr>
              <w:pStyle w:val="Other10"/>
              <w:spacing w:after="0"/>
              <w:ind w:left="340" w:hanging="340"/>
              <w:jc w:val="both"/>
              <w:rPr>
                <w:noProof/>
              </w:rPr>
            </w:pPr>
          </w:p>
        </w:tc>
        <w:tc>
          <w:tcPr>
            <w:tcW w:w="25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D133B4" w:rsidRDefault="00DF5B7F" w:rsidP="00EB4EAC">
            <w:pPr>
              <w:pStyle w:val="Point0letter"/>
              <w:numPr>
                <w:ilvl w:val="1"/>
                <w:numId w:val="23"/>
              </w:numPr>
              <w:jc w:val="left"/>
              <w:rPr>
                <w:noProof/>
              </w:rPr>
            </w:pPr>
            <w:r>
              <w:rPr>
                <w:noProof/>
              </w:rPr>
              <w:t xml:space="preserve">Högspänningsbrytare för mellan 52 kV och 145 kV och upp till 50 kA </w:t>
            </w:r>
            <w:r>
              <w:rPr>
                <w:noProof/>
              </w:rPr>
              <w:cr/>
            </w:r>
            <w:r>
              <w:rPr>
                <w:noProof/>
              </w:rPr>
              <w:br/>
              <w:t>kortslutningsström, med isolerings- eller brytmedium som använder, eller vars funktion är beroende av, gaser med en GWP-faktor på minst 10 eller med en GWP-faktor på mer än 2000, såvida det inte finns belägg för att det inte finns något lämpligt alternativ på teknisk grund inom de lägre GWP-intervall som avses ovan.</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color w:val="000000"/>
                <w:sz w:val="24"/>
                <w:szCs w:val="24"/>
              </w:rPr>
            </w:pPr>
            <w:r>
              <w:rPr>
                <w:noProof/>
                <w:color w:val="000000"/>
                <w:sz w:val="24"/>
                <w:szCs w:val="24"/>
              </w:rPr>
              <w:t>1 januari 2028</w:t>
            </w:r>
          </w:p>
        </w:tc>
      </w:tr>
      <w:tr w:rsidR="00DF5B7F" w:rsidRPr="00102BDA" w:rsidTr="00F15B76">
        <w:trPr>
          <w:trHeight w:val="846"/>
          <w:jc w:val="center"/>
        </w:trPr>
        <w:tc>
          <w:tcPr>
            <w:tcW w:w="1719" w:type="pct"/>
            <w:vMerge/>
            <w:tcBorders>
              <w:left w:val="single" w:sz="4" w:space="0" w:color="auto"/>
              <w:bottom w:val="single" w:sz="4" w:space="0" w:color="auto"/>
              <w:right w:val="single" w:sz="4" w:space="0" w:color="auto"/>
            </w:tcBorders>
            <w:shd w:val="clear" w:color="auto" w:fill="FFFFFF" w:themeFill="background1"/>
            <w:vAlign w:val="center"/>
          </w:tcPr>
          <w:p w:rsidR="00DF5B7F" w:rsidRPr="00102BDA" w:rsidRDefault="00DF5B7F" w:rsidP="00A642F2">
            <w:pPr>
              <w:pStyle w:val="Other10"/>
              <w:spacing w:after="0"/>
              <w:ind w:left="340" w:hanging="340"/>
              <w:jc w:val="both"/>
              <w:rPr>
                <w:noProof/>
              </w:rPr>
            </w:pPr>
          </w:p>
        </w:tc>
        <w:tc>
          <w:tcPr>
            <w:tcW w:w="25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D133B4" w:rsidRDefault="00DF5B7F" w:rsidP="00DF5B7F">
            <w:pPr>
              <w:pStyle w:val="Point0letter"/>
              <w:numPr>
                <w:ilvl w:val="1"/>
                <w:numId w:val="23"/>
              </w:numPr>
              <w:jc w:val="left"/>
              <w:rPr>
                <w:noProof/>
                <w:color w:val="181619"/>
              </w:rPr>
            </w:pPr>
            <w:r>
              <w:rPr>
                <w:noProof/>
              </w:rPr>
              <w:t>Högspänningsbrytare för 145 kV eller mer och upp till 50 kA</w:t>
            </w:r>
            <w:r>
              <w:rPr>
                <w:noProof/>
              </w:rPr>
              <w:cr/>
            </w:r>
            <w:r>
              <w:rPr>
                <w:noProof/>
              </w:rPr>
              <w:br/>
              <w:t>kortslutningsström, med isolerings- eller brytmedium som använder, eller vars funktion är beroende av, gaser med en GWP-faktor på minst 10 eller med en GWP-faktor på mer än 2000, såvida det inte finns belägg för att det inte finns något lämpligt alternativ på teknisk grund inom de lägre GWP-intervall som avses ovan.</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5B7F" w:rsidRPr="006F09DC" w:rsidRDefault="00DF5B7F" w:rsidP="00A642F2">
            <w:pPr>
              <w:pStyle w:val="Other10"/>
              <w:spacing w:after="0"/>
              <w:jc w:val="center"/>
              <w:rPr>
                <w:noProof/>
                <w:color w:val="000000"/>
                <w:sz w:val="24"/>
                <w:szCs w:val="24"/>
              </w:rPr>
            </w:pPr>
            <w:r>
              <w:rPr>
                <w:noProof/>
                <w:color w:val="000000"/>
                <w:sz w:val="24"/>
                <w:szCs w:val="24"/>
              </w:rPr>
              <w:t>1 januari 2031</w:t>
            </w:r>
          </w:p>
        </w:tc>
      </w:tr>
    </w:tbl>
    <w:p w:rsidR="005B6D95" w:rsidRPr="00041666" w:rsidRDefault="005B6D95" w:rsidP="005B6D95">
      <w:pPr>
        <w:pStyle w:val="Text1"/>
        <w:numPr>
          <w:ilvl w:val="0"/>
          <w:numId w:val="20"/>
        </w:numPr>
        <w:rPr>
          <w:noProof/>
        </w:rPr>
      </w:pPr>
      <w:r>
        <w:rPr>
          <w:noProof/>
        </w:rPr>
        <w:t>Punkt 1 ska tillämpas på</w:t>
      </w:r>
    </w:p>
    <w:p w:rsidR="00DF5B7F" w:rsidRPr="00D133B4" w:rsidRDefault="00DF5B7F" w:rsidP="00DF5B7F">
      <w:pPr>
        <w:pStyle w:val="Point1letter"/>
        <w:rPr>
          <w:noProof/>
          <w:szCs w:val="24"/>
        </w:rPr>
      </w:pPr>
      <w:r>
        <w:rPr>
          <w:noProof/>
        </w:rPr>
        <w:t>behållare som inte kan återfyllas utan att anpassas för detta ändamål (engångsbehållare),</w:t>
      </w:r>
    </w:p>
    <w:p w:rsidR="00DF5B7F" w:rsidRPr="00D133B4" w:rsidRDefault="00DF5B7F" w:rsidP="00DF5B7F">
      <w:pPr>
        <w:pStyle w:val="Point1letter"/>
        <w:numPr>
          <w:ilvl w:val="3"/>
          <w:numId w:val="23"/>
        </w:numPr>
        <w:rPr>
          <w:noProof/>
          <w:szCs w:val="24"/>
        </w:rPr>
      </w:pPr>
      <w:r>
        <w:rPr>
          <w:noProof/>
        </w:rPr>
        <w:t xml:space="preserve">behållare som skulle kunna återfyllas, men som importeras eller släpps ut på marknaden utan att åtgärder har vidtagits för att behållaren ska kunna lämnas i retur för återfyllning. </w:t>
      </w:r>
    </w:p>
    <w:p w:rsidR="00DF5B7F" w:rsidRPr="00D133B4" w:rsidRDefault="00DF5B7F" w:rsidP="003A1DBA">
      <w:pPr>
        <w:pStyle w:val="NumPar1"/>
        <w:numPr>
          <w:ilvl w:val="0"/>
          <w:numId w:val="20"/>
        </w:numPr>
        <w:spacing w:before="120" w:after="120"/>
        <w:rPr>
          <w:noProof/>
          <w:szCs w:val="24"/>
        </w:rPr>
      </w:pPr>
      <w:r>
        <w:rPr>
          <w:noProof/>
        </w:rPr>
        <w:t xml:space="preserve">De bevis som avses i punkt 23 ska omfatta dokumentation som visar att det efter en öppen anbudsinfordran inte fanns något lämpligt alternativ av tekniska skäl och mot bakgrund av de särdrag som anges i ansökan, som skulle kunna uppfylla villkoren i punkt 23. Dokumentationen ska sparas av operatören i minst fem år och ska på begäran göras tillgänglig för de behöriga myndigheterna i medlemsstaterna och kommissionen </w:t>
      </w:r>
    </w:p>
    <w:p w:rsidR="00CD604B" w:rsidRDefault="00CD604B" w:rsidP="00B51782">
      <w:pPr>
        <w:rPr>
          <w:noProof/>
        </w:rPr>
      </w:pPr>
    </w:p>
    <w:p w:rsidR="00DF5B7F" w:rsidRDefault="00DF5B7F">
      <w:pPr>
        <w:spacing w:after="0"/>
        <w:jc w:val="left"/>
        <w:rPr>
          <w:noProof/>
        </w:rPr>
      </w:pPr>
      <w:r>
        <w:rPr>
          <w:noProof/>
        </w:rPr>
        <w:br w:type="page"/>
      </w:r>
    </w:p>
    <w:p w:rsidR="00DF5B7F" w:rsidRDefault="00DF5B7F" w:rsidP="00DF5B7F">
      <w:pPr>
        <w:pStyle w:val="Annexetitre"/>
        <w:rPr>
          <w:noProof/>
        </w:rPr>
      </w:pPr>
      <w:r>
        <w:rPr>
          <w:noProof/>
        </w:rPr>
        <w:t>BILAGA V</w:t>
      </w:r>
    </w:p>
    <w:p w:rsidR="00DF5B7F" w:rsidRPr="006B5B8A" w:rsidRDefault="00DF5B7F" w:rsidP="00DF5B7F">
      <w:pPr>
        <w:pStyle w:val="Titrearticle"/>
        <w:rPr>
          <w:b/>
          <w:noProof/>
        </w:rPr>
      </w:pPr>
      <w:r>
        <w:rPr>
          <w:b/>
          <w:bCs/>
          <w:noProof/>
        </w:rPr>
        <w:t>Produktionsrättigheter för utsläppande av fluorkolväten på marknaden</w:t>
      </w:r>
      <w:r>
        <w:rPr>
          <w:b/>
          <w:noProof/>
        </w:rPr>
        <w:t xml:space="preserve"> </w:t>
      </w:r>
    </w:p>
    <w:p w:rsidR="00DF5B7F" w:rsidRPr="00866751" w:rsidRDefault="00DF5B7F" w:rsidP="00DF5B7F">
      <w:pPr>
        <w:rPr>
          <w:noProof/>
        </w:rPr>
      </w:pPr>
      <w:r>
        <w:rPr>
          <w:noProof/>
        </w:rPr>
        <w:t>De beräknade produktionsnivåerna för fluorkolväten, uttryckta i ton koldioxidekvivalenter, som avses i artikel 14 för varje producent är följande:</w:t>
      </w:r>
    </w:p>
    <w:p w:rsidR="00DF5B7F" w:rsidRDefault="00DF5B7F" w:rsidP="00130D48">
      <w:pPr>
        <w:pStyle w:val="Point0letter"/>
        <w:numPr>
          <w:ilvl w:val="1"/>
          <w:numId w:val="29"/>
        </w:numPr>
        <w:rPr>
          <w:noProof/>
        </w:rPr>
      </w:pPr>
      <w:r>
        <w:rPr>
          <w:noProof/>
        </w:rPr>
        <w:t xml:space="preserve">För perioden 1 januari 2024–31 december 2028: 60 % av den genomsnittliga årsproduktionen under perioden 2011–2013. </w:t>
      </w:r>
    </w:p>
    <w:p w:rsidR="00DF5B7F" w:rsidRDefault="00DF5B7F" w:rsidP="00DF5B7F">
      <w:pPr>
        <w:pStyle w:val="Point0letter"/>
        <w:numPr>
          <w:ilvl w:val="1"/>
          <w:numId w:val="23"/>
        </w:numPr>
        <w:rPr>
          <w:noProof/>
        </w:rPr>
      </w:pPr>
      <w:r>
        <w:rPr>
          <w:noProof/>
        </w:rPr>
        <w:t>För perioden 1 januari 2029–31 december 2033: 30 % av den genomsnittliga årsproduktionen under perioden 2011–2013.</w:t>
      </w:r>
    </w:p>
    <w:p w:rsidR="00DF5B7F" w:rsidRPr="006C5140" w:rsidRDefault="00DF5B7F" w:rsidP="00DF5B7F">
      <w:pPr>
        <w:pStyle w:val="Point0letter"/>
        <w:numPr>
          <w:ilvl w:val="1"/>
          <w:numId w:val="23"/>
        </w:numPr>
        <w:rPr>
          <w:rFonts w:asciiTheme="minorHAnsi" w:eastAsiaTheme="minorEastAsia" w:hAnsiTheme="minorHAnsi" w:cstheme="minorBidi"/>
          <w:noProof/>
          <w:szCs w:val="24"/>
        </w:rPr>
      </w:pPr>
      <w:r>
        <w:rPr>
          <w:noProof/>
        </w:rPr>
        <w:t>För perioden 1 januari 2034–31 december 2035: 20 % av den genomsnittliga årsproduktionen under perioden 2011–2013.</w:t>
      </w:r>
    </w:p>
    <w:p w:rsidR="00DF5B7F" w:rsidRPr="006C5140" w:rsidRDefault="00DF5B7F" w:rsidP="00DF5B7F">
      <w:pPr>
        <w:pStyle w:val="Point0letter"/>
        <w:numPr>
          <w:ilvl w:val="1"/>
          <w:numId w:val="23"/>
        </w:numPr>
        <w:rPr>
          <w:rFonts w:asciiTheme="minorHAnsi" w:eastAsiaTheme="minorEastAsia" w:hAnsiTheme="minorHAnsi" w:cstheme="minorBidi"/>
          <w:noProof/>
          <w:szCs w:val="24"/>
        </w:rPr>
      </w:pPr>
      <w:r>
        <w:rPr>
          <w:noProof/>
        </w:rPr>
        <w:t>För perioden från och med 1 januari 2036: 15 % av den genomsnittliga årsproduktionen under perioden 2011–2013.</w:t>
      </w:r>
    </w:p>
    <w:p w:rsidR="00DF5B7F" w:rsidRDefault="00DF5B7F" w:rsidP="00DF5B7F">
      <w:pPr>
        <w:rPr>
          <w:noProof/>
        </w:rPr>
      </w:pPr>
      <w:r>
        <w:rPr>
          <w:noProof/>
        </w:rPr>
        <w:t xml:space="preserve">I denna bilaga avses med produktion den mängd fluorkolväten som produceras minus den mängd fluorkolväten som destrueras med hjälp av teknik som godkänts av parterna i protokollet, minus den mängd som helt och hållet används som råmaterial vid tillverkning av andra kemikalier, men inklusive fluorkolväten som genereras som biprodukt, såvida den inte avskiljs eller om biprodukten förstörs som en del av eller efter tillverkningsprocessen av producenten eller överlämnas till ett annat företag för destruktion. Inga återanvända mängder ska betraktas som produktion. </w:t>
      </w:r>
    </w:p>
    <w:p w:rsidR="00DF5B7F" w:rsidRDefault="00DF5B7F">
      <w:pPr>
        <w:spacing w:after="0"/>
        <w:jc w:val="left"/>
        <w:rPr>
          <w:noProof/>
        </w:rPr>
      </w:pPr>
      <w:r>
        <w:rPr>
          <w:noProof/>
        </w:rPr>
        <w:br w:type="page"/>
      </w:r>
    </w:p>
    <w:p w:rsidR="00DF5B7F" w:rsidRPr="00DF5B7F" w:rsidRDefault="00DF5B7F" w:rsidP="00DF5B7F">
      <w:pPr>
        <w:spacing w:before="120" w:after="120"/>
        <w:jc w:val="center"/>
        <w:rPr>
          <w:rFonts w:eastAsia="Calibri"/>
          <w:b/>
          <w:noProof/>
          <w:szCs w:val="22"/>
          <w:u w:val="single"/>
        </w:rPr>
      </w:pPr>
      <w:r>
        <w:rPr>
          <w:b/>
          <w:noProof/>
          <w:szCs w:val="22"/>
          <w:u w:val="single"/>
        </w:rPr>
        <w:t>BILAGA VI</w:t>
      </w:r>
    </w:p>
    <w:p w:rsidR="00DF5B7F" w:rsidRPr="00DF5B7F" w:rsidRDefault="00DF5B7F" w:rsidP="00DF5B7F">
      <w:pPr>
        <w:keepNext/>
        <w:spacing w:before="360" w:after="120"/>
        <w:jc w:val="center"/>
        <w:rPr>
          <w:rFonts w:eastAsia="Calibri"/>
          <w:b/>
          <w:i/>
          <w:noProof/>
          <w:szCs w:val="22"/>
        </w:rPr>
      </w:pPr>
      <w:r>
        <w:rPr>
          <w:b/>
          <w:i/>
          <w:noProof/>
          <w:szCs w:val="22"/>
        </w:rPr>
        <w:t xml:space="preserve">Metod för att beräkna GWP-faktorn för en blandning i enlighet med artikel 3.1 </w:t>
      </w:r>
    </w:p>
    <w:p w:rsidR="00DF5B7F" w:rsidRPr="00DF5B7F" w:rsidRDefault="00DF5B7F" w:rsidP="00DF5B7F">
      <w:pPr>
        <w:spacing w:before="120" w:after="120"/>
        <w:rPr>
          <w:rFonts w:eastAsia="Calibri"/>
          <w:noProof/>
          <w:szCs w:val="24"/>
        </w:rPr>
      </w:pPr>
      <w:r>
        <w:rPr>
          <w:noProof/>
          <w:color w:val="231F20"/>
          <w:szCs w:val="24"/>
        </w:rPr>
        <w:t>GWP-faktorn för en blandning beräknas som ett vägt medeltal, härlett ur summan av de enskilda ämnenas respektive viktandel, multiplicerat med deras GWP-faktorer, om inte annat anges, inbegripet ämnen som inte är fluorerade växthusgaser.</w:t>
      </w:r>
    </w:p>
    <w:p w:rsidR="00DF5B7F" w:rsidRPr="00DF5B7F" w:rsidRDefault="00DF5B7F" w:rsidP="00DF5B7F">
      <w:pPr>
        <w:spacing w:before="120" w:after="120"/>
        <w:ind w:right="2300"/>
        <w:jc w:val="left"/>
        <w:rPr>
          <w:rFonts w:eastAsia="Calibri"/>
          <w:noProof/>
          <w:szCs w:val="24"/>
        </w:rPr>
      </w:pPr>
      <w:r>
        <w:rPr>
          <w:noProof/>
          <w:color w:val="231F20"/>
          <w:szCs w:val="24"/>
        </w:rPr>
        <w:t>Σ [(ämne X</w:t>
      </w:r>
      <w:r>
        <w:rPr>
          <w:i/>
          <w:noProof/>
          <w:color w:val="231F20"/>
          <w:szCs w:val="24"/>
        </w:rPr>
        <w:t> % x</w:t>
      </w:r>
      <w:r>
        <w:rPr>
          <w:noProof/>
          <w:color w:val="231F20"/>
          <w:szCs w:val="24"/>
        </w:rPr>
        <w:t xml:space="preserve"> GWP) + (ämne Y </w:t>
      </w:r>
      <w:r>
        <w:rPr>
          <w:i/>
          <w:noProof/>
          <w:color w:val="231F20"/>
          <w:szCs w:val="24"/>
        </w:rPr>
        <w:t>% x</w:t>
      </w:r>
      <w:r>
        <w:rPr>
          <w:noProof/>
          <w:color w:val="231F20"/>
          <w:szCs w:val="24"/>
        </w:rPr>
        <w:t xml:space="preserve"> GWP) + ... (ämne N </w:t>
      </w:r>
      <w:r>
        <w:rPr>
          <w:i/>
          <w:noProof/>
          <w:color w:val="231F20"/>
          <w:szCs w:val="24"/>
        </w:rPr>
        <w:t>% x</w:t>
      </w:r>
      <w:r>
        <w:rPr>
          <w:noProof/>
          <w:color w:val="231F20"/>
          <w:szCs w:val="24"/>
        </w:rPr>
        <w:t xml:space="preserve"> GWP)] där </w:t>
      </w:r>
      <w:r>
        <w:rPr>
          <w:i/>
          <w:noProof/>
          <w:color w:val="231F20"/>
          <w:szCs w:val="24"/>
        </w:rPr>
        <w:t>%</w:t>
      </w:r>
      <w:r>
        <w:rPr>
          <w:noProof/>
          <w:color w:val="231F20"/>
          <w:szCs w:val="24"/>
        </w:rPr>
        <w:t xml:space="preserve"> är viktandelen, med en toleransnivå på ± 1 </w:t>
      </w:r>
      <w:r>
        <w:rPr>
          <w:i/>
          <w:noProof/>
          <w:color w:val="231F20"/>
          <w:szCs w:val="24"/>
        </w:rPr>
        <w:t>%</w:t>
      </w:r>
      <w:r>
        <w:rPr>
          <w:noProof/>
          <w:color w:val="231F20"/>
          <w:szCs w:val="24"/>
        </w:rPr>
        <w:t>.</w:t>
      </w:r>
    </w:p>
    <w:p w:rsidR="00DF5B7F" w:rsidRPr="00DF5B7F" w:rsidRDefault="00DF5B7F" w:rsidP="00DF5B7F">
      <w:pPr>
        <w:spacing w:before="120" w:after="120"/>
        <w:rPr>
          <w:rFonts w:eastAsia="Calibri"/>
          <w:noProof/>
          <w:szCs w:val="24"/>
        </w:rPr>
      </w:pPr>
      <w:r>
        <w:rPr>
          <w:noProof/>
          <w:color w:val="231F20"/>
          <w:szCs w:val="24"/>
        </w:rPr>
        <w:t>Exempel på tillämpning av denna formel på en gasblandning bestående av 60 </w:t>
      </w:r>
      <w:r>
        <w:rPr>
          <w:i/>
          <w:noProof/>
          <w:color w:val="231F20"/>
          <w:szCs w:val="24"/>
        </w:rPr>
        <w:t>%</w:t>
      </w:r>
      <w:r>
        <w:rPr>
          <w:noProof/>
          <w:color w:val="231F20"/>
          <w:szCs w:val="24"/>
        </w:rPr>
        <w:t xml:space="preserve"> dimetyleter, 10 </w:t>
      </w:r>
      <w:r>
        <w:rPr>
          <w:i/>
          <w:noProof/>
          <w:color w:val="231F20"/>
          <w:szCs w:val="24"/>
        </w:rPr>
        <w:t>%</w:t>
      </w:r>
      <w:r>
        <w:rPr>
          <w:noProof/>
          <w:color w:val="231F20"/>
          <w:szCs w:val="24"/>
        </w:rPr>
        <w:t xml:space="preserve"> HFC-152a och 30 </w:t>
      </w:r>
      <w:r>
        <w:rPr>
          <w:i/>
          <w:noProof/>
          <w:color w:val="231F20"/>
          <w:szCs w:val="24"/>
        </w:rPr>
        <w:t>%</w:t>
      </w:r>
      <w:r>
        <w:rPr>
          <w:noProof/>
          <w:color w:val="231F20"/>
          <w:szCs w:val="24"/>
        </w:rPr>
        <w:t xml:space="preserve"> isobutan:</w:t>
      </w:r>
    </w:p>
    <w:p w:rsidR="00DF5B7F" w:rsidRPr="00DF5B7F" w:rsidRDefault="00DF5B7F" w:rsidP="00DF5B7F">
      <w:pPr>
        <w:spacing w:before="120" w:after="120"/>
        <w:rPr>
          <w:rFonts w:eastAsia="Calibri"/>
          <w:noProof/>
          <w:szCs w:val="24"/>
        </w:rPr>
      </w:pPr>
      <w:r>
        <w:rPr>
          <w:noProof/>
          <w:color w:val="231F20"/>
          <w:szCs w:val="24"/>
        </w:rPr>
        <w:t xml:space="preserve">Σ (60 </w:t>
      </w:r>
      <w:r>
        <w:rPr>
          <w:i/>
          <w:iCs/>
          <w:noProof/>
          <w:color w:val="231F20"/>
          <w:sz w:val="16"/>
          <w:szCs w:val="24"/>
        </w:rPr>
        <w:t>% x</w:t>
      </w:r>
      <w:r>
        <w:rPr>
          <w:noProof/>
          <w:color w:val="231F20"/>
          <w:szCs w:val="24"/>
        </w:rPr>
        <w:t xml:space="preserve"> 1) + (10 </w:t>
      </w:r>
      <w:r>
        <w:rPr>
          <w:i/>
          <w:iCs/>
          <w:noProof/>
          <w:color w:val="231F20"/>
          <w:sz w:val="16"/>
          <w:szCs w:val="24"/>
        </w:rPr>
        <w:t>% x</w:t>
      </w:r>
      <w:r>
        <w:rPr>
          <w:noProof/>
          <w:color w:val="231F20"/>
          <w:szCs w:val="24"/>
        </w:rPr>
        <w:t xml:space="preserve"> 124) + (30 </w:t>
      </w:r>
      <w:r>
        <w:rPr>
          <w:i/>
          <w:iCs/>
          <w:noProof/>
          <w:color w:val="231F20"/>
          <w:sz w:val="16"/>
          <w:szCs w:val="24"/>
        </w:rPr>
        <w:t>% x</w:t>
      </w:r>
      <w:r>
        <w:rPr>
          <w:noProof/>
          <w:color w:val="231F20"/>
          <w:szCs w:val="24"/>
        </w:rPr>
        <w:t xml:space="preserve"> 3)</w:t>
      </w:r>
    </w:p>
    <w:p w:rsidR="00DF5B7F" w:rsidRPr="00DF5B7F" w:rsidRDefault="00DF5B7F" w:rsidP="00DF5B7F">
      <w:pPr>
        <w:spacing w:before="120" w:after="120"/>
        <w:ind w:left="380"/>
        <w:jc w:val="left"/>
        <w:rPr>
          <w:rFonts w:eastAsia="Calibri"/>
          <w:noProof/>
          <w:szCs w:val="24"/>
        </w:rPr>
      </w:pPr>
      <w:r>
        <w:rPr>
          <w:noProof/>
          <w:color w:val="231F20"/>
          <w:szCs w:val="24"/>
        </w:rPr>
        <w:t>Sammantagen GWP-faktor = 13,9</w:t>
      </w:r>
    </w:p>
    <w:p w:rsidR="00DF5B7F" w:rsidRPr="00DF5B7F" w:rsidRDefault="00DF5B7F" w:rsidP="00DF5B7F">
      <w:pPr>
        <w:spacing w:before="120" w:after="120"/>
        <w:rPr>
          <w:rFonts w:eastAsia="Calibri"/>
          <w:noProof/>
          <w:szCs w:val="24"/>
        </w:rPr>
      </w:pPr>
      <w:r>
        <w:rPr>
          <w:noProof/>
          <w:color w:val="231F20"/>
          <w:szCs w:val="24"/>
        </w:rPr>
        <w:t>GWP-faktorn för följande icke-fluorerade ämnen används för att beräkna GWP-faktorn för blandningar. För övriga ämnen som inte förtecknas i denna bilaga ska ett standardvärde på 0 tillämpas.</w:t>
      </w:r>
    </w:p>
    <w:p w:rsidR="00F666F8" w:rsidRDefault="00F666F8">
      <w:pPr>
        <w:spacing w:after="0"/>
        <w:jc w:val="left"/>
        <w:rPr>
          <w:noProof/>
        </w:rPr>
      </w:pPr>
      <w:r>
        <w:rPr>
          <w:noProof/>
        </w:rPr>
        <w:br w:type="page"/>
      </w:r>
    </w:p>
    <w:p w:rsidR="00DF5B7F" w:rsidRDefault="00DF5B7F" w:rsidP="00DF5B7F">
      <w:pPr>
        <w:rPr>
          <w:noProof/>
        </w:rPr>
      </w:pPr>
    </w:p>
    <w:tbl>
      <w:tblPr>
        <w:tblW w:w="0" w:type="auto"/>
        <w:tblLayout w:type="fixed"/>
        <w:tblCellMar>
          <w:left w:w="10" w:type="dxa"/>
          <w:right w:w="10" w:type="dxa"/>
        </w:tblCellMar>
        <w:tblLook w:val="0000" w:firstRow="0" w:lastRow="0" w:firstColumn="0" w:lastColumn="0" w:noHBand="0" w:noVBand="0"/>
      </w:tblPr>
      <w:tblGrid>
        <w:gridCol w:w="2626"/>
        <w:gridCol w:w="1781"/>
        <w:gridCol w:w="2592"/>
        <w:gridCol w:w="1810"/>
      </w:tblGrid>
      <w:tr w:rsidR="00F666F8" w:rsidRPr="00F666F8" w:rsidTr="00F666F8">
        <w:trPr>
          <w:trHeight w:hRule="exact" w:val="480"/>
        </w:trPr>
        <w:tc>
          <w:tcPr>
            <w:tcW w:w="6999" w:type="dxa"/>
            <w:gridSpan w:val="3"/>
            <w:tcBorders>
              <w:top w:val="single" w:sz="4" w:space="0" w:color="auto"/>
              <w:left w:val="single" w:sz="4" w:space="0" w:color="auto"/>
            </w:tcBorders>
            <w:shd w:val="clear" w:color="auto" w:fill="FFFFFF"/>
            <w:vAlign w:val="center"/>
          </w:tcPr>
          <w:p w:rsidR="00F666F8" w:rsidRPr="00F666F8" w:rsidRDefault="00F666F8" w:rsidP="00F666F8">
            <w:pPr>
              <w:spacing w:before="120" w:after="120"/>
              <w:ind w:right="40"/>
              <w:jc w:val="center"/>
              <w:rPr>
                <w:rFonts w:eastAsia="Calibri"/>
                <w:b/>
                <w:noProof/>
                <w:szCs w:val="24"/>
              </w:rPr>
            </w:pPr>
            <w:r>
              <w:rPr>
                <w:b/>
                <w:noProof/>
                <w:color w:val="231F20"/>
                <w:szCs w:val="24"/>
              </w:rPr>
              <w:t>Ämne</w:t>
            </w:r>
          </w:p>
        </w:tc>
        <w:tc>
          <w:tcPr>
            <w:tcW w:w="18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b/>
                <w:noProof/>
                <w:szCs w:val="24"/>
              </w:rPr>
            </w:pPr>
            <w:r>
              <w:rPr>
                <w:b/>
                <w:noProof/>
                <w:color w:val="231F20"/>
                <w:szCs w:val="24"/>
              </w:rPr>
              <w:t>GWP 100(</w:t>
            </w:r>
            <w:r>
              <w:rPr>
                <w:rFonts w:eastAsia="Calibri"/>
                <w:b/>
                <w:noProof/>
                <w:color w:val="231F20"/>
                <w:szCs w:val="24"/>
                <w:vertAlign w:val="superscript"/>
                <w:lang w:val="en-US" w:eastAsia="en-US" w:bidi="en-US"/>
              </w:rPr>
              <w:footnoteReference w:id="17"/>
            </w:r>
            <w:r>
              <w:rPr>
                <w:b/>
                <w:noProof/>
                <w:color w:val="231F20"/>
                <w:szCs w:val="24"/>
              </w:rPr>
              <w:t>)</w:t>
            </w:r>
          </w:p>
        </w:tc>
      </w:tr>
      <w:tr w:rsidR="00F666F8" w:rsidRPr="00F666F8" w:rsidTr="00F666F8">
        <w:trPr>
          <w:trHeight w:hRule="exact" w:val="840"/>
        </w:trPr>
        <w:tc>
          <w:tcPr>
            <w:tcW w:w="2626" w:type="dxa"/>
            <w:tcBorders>
              <w:top w:val="single" w:sz="4" w:space="0" w:color="auto"/>
              <w:left w:val="single" w:sz="4" w:space="0" w:color="auto"/>
            </w:tcBorders>
            <w:shd w:val="clear" w:color="auto" w:fill="FFFFFF"/>
            <w:vAlign w:val="center"/>
          </w:tcPr>
          <w:p w:rsidR="00F666F8" w:rsidRPr="00F666F8" w:rsidRDefault="00F666F8" w:rsidP="00F666F8">
            <w:pPr>
              <w:spacing w:before="120" w:after="120"/>
              <w:ind w:right="40"/>
              <w:jc w:val="center"/>
              <w:rPr>
                <w:rFonts w:eastAsia="Calibri"/>
                <w:b/>
                <w:noProof/>
                <w:szCs w:val="24"/>
              </w:rPr>
            </w:pPr>
            <w:r>
              <w:rPr>
                <w:b/>
                <w:noProof/>
                <w:color w:val="231F20"/>
                <w:szCs w:val="24"/>
              </w:rPr>
              <w:t>Trivialnamn</w:t>
            </w:r>
          </w:p>
        </w:tc>
        <w:tc>
          <w:tcPr>
            <w:tcW w:w="1781" w:type="dxa"/>
            <w:tcBorders>
              <w:top w:val="single" w:sz="4" w:space="0" w:color="auto"/>
              <w:left w:val="single" w:sz="4" w:space="0" w:color="auto"/>
            </w:tcBorders>
            <w:shd w:val="clear" w:color="auto" w:fill="FFFFFF"/>
            <w:vAlign w:val="center"/>
          </w:tcPr>
          <w:p w:rsidR="00F666F8" w:rsidRPr="00F666F8" w:rsidRDefault="00F666F8" w:rsidP="00F666F8">
            <w:pPr>
              <w:spacing w:before="120" w:after="120"/>
              <w:ind w:left="200"/>
              <w:jc w:val="left"/>
              <w:rPr>
                <w:rFonts w:eastAsia="Calibri"/>
                <w:b/>
                <w:noProof/>
                <w:szCs w:val="24"/>
              </w:rPr>
            </w:pPr>
            <w:r>
              <w:rPr>
                <w:b/>
                <w:noProof/>
                <w:color w:val="231F20"/>
                <w:szCs w:val="24"/>
              </w:rPr>
              <w:t>Beteckning</w:t>
            </w:r>
          </w:p>
        </w:tc>
        <w:tc>
          <w:tcPr>
            <w:tcW w:w="2592" w:type="dxa"/>
            <w:tcBorders>
              <w:top w:val="single" w:sz="4" w:space="0" w:color="auto"/>
              <w:left w:val="single" w:sz="4" w:space="0" w:color="auto"/>
            </w:tcBorders>
            <w:shd w:val="clear" w:color="auto" w:fill="FFFFFF"/>
            <w:vAlign w:val="center"/>
          </w:tcPr>
          <w:p w:rsidR="00F666F8" w:rsidRPr="00F666F8" w:rsidRDefault="00F666F8" w:rsidP="00F666F8">
            <w:pPr>
              <w:spacing w:before="120" w:after="120"/>
              <w:jc w:val="center"/>
              <w:rPr>
                <w:rFonts w:eastAsia="Calibri"/>
                <w:b/>
                <w:noProof/>
                <w:szCs w:val="24"/>
              </w:rPr>
            </w:pPr>
            <w:r>
              <w:rPr>
                <w:b/>
                <w:noProof/>
                <w:color w:val="231F20"/>
                <w:szCs w:val="24"/>
              </w:rPr>
              <w:t>Kemisk formel</w:t>
            </w:r>
          </w:p>
        </w:tc>
        <w:tc>
          <w:tcPr>
            <w:tcW w:w="1810" w:type="dxa"/>
            <w:vMerge/>
            <w:tcBorders>
              <w:left w:val="single" w:sz="4" w:space="0" w:color="auto"/>
              <w:bottom w:val="single" w:sz="4" w:space="0" w:color="auto"/>
              <w:right w:val="single" w:sz="4" w:space="0" w:color="auto"/>
            </w:tcBorders>
            <w:shd w:val="clear" w:color="auto" w:fill="FFFFFF"/>
            <w:vAlign w:val="center"/>
          </w:tcPr>
          <w:p w:rsidR="00F666F8" w:rsidRPr="00F666F8" w:rsidRDefault="00F666F8" w:rsidP="00F666F8">
            <w:pPr>
              <w:spacing w:before="120" w:after="120"/>
              <w:rPr>
                <w:rFonts w:eastAsia="Calibri"/>
                <w:b/>
                <w:noProof/>
                <w:szCs w:val="24"/>
                <w:lang w:eastAsia="en-US"/>
              </w:rPr>
            </w:pPr>
          </w:p>
        </w:tc>
      </w:tr>
      <w:tr w:rsidR="00F666F8" w:rsidRPr="00F666F8" w:rsidTr="00F666F8">
        <w:trPr>
          <w:trHeight w:hRule="exact" w:val="389"/>
        </w:trPr>
        <w:tc>
          <w:tcPr>
            <w:tcW w:w="2626" w:type="dxa"/>
            <w:tcBorders>
              <w:top w:val="single" w:sz="4" w:space="0" w:color="auto"/>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metan</w:t>
            </w:r>
          </w:p>
        </w:tc>
        <w:tc>
          <w:tcPr>
            <w:tcW w:w="1781" w:type="dxa"/>
            <w:tcBorders>
              <w:top w:val="single" w:sz="4" w:space="0" w:color="auto"/>
              <w:left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top w:val="single" w:sz="4" w:space="0" w:color="auto"/>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4</w:t>
            </w:r>
          </w:p>
        </w:tc>
        <w:tc>
          <w:tcPr>
            <w:tcW w:w="1810" w:type="dxa"/>
            <w:tcBorders>
              <w:top w:val="single" w:sz="4" w:space="0" w:color="auto"/>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27,9</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dikväveoxid</w:t>
            </w:r>
          </w:p>
        </w:tc>
        <w:tc>
          <w:tcPr>
            <w:tcW w:w="1781" w:type="dxa"/>
            <w:tcBorders>
              <w:left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N</w:t>
            </w:r>
            <w:r>
              <w:rPr>
                <w:noProof/>
                <w:color w:val="231F20"/>
                <w:szCs w:val="24"/>
                <w:vertAlign w:val="subscript"/>
              </w:rPr>
              <w:t>2</w:t>
            </w:r>
            <w:r>
              <w:rPr>
                <w:noProof/>
                <w:color w:val="231F20"/>
                <w:szCs w:val="24"/>
              </w:rPr>
              <w:t>0</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273</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dimetyleter</w:t>
            </w:r>
          </w:p>
        </w:tc>
        <w:tc>
          <w:tcPr>
            <w:tcW w:w="1781" w:type="dxa"/>
            <w:tcBorders>
              <w:left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OCH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1</w:t>
            </w:r>
            <w:bookmarkStart w:id="7" w:name="_Ref98240464"/>
            <w:r>
              <w:rPr>
                <w:noProof/>
                <w:color w:val="231F20"/>
                <w:szCs w:val="24"/>
                <w:vertAlign w:val="superscript"/>
              </w:rPr>
              <w:t>(</w:t>
            </w:r>
            <w:bookmarkStart w:id="8" w:name="_Ref98240656"/>
            <w:r>
              <w:rPr>
                <w:rFonts w:eastAsia="Calibri"/>
                <w:noProof/>
                <w:color w:val="231F20"/>
                <w:szCs w:val="24"/>
                <w:vertAlign w:val="superscript"/>
                <w:lang w:val="en-US" w:eastAsia="en-US" w:bidi="en-US"/>
              </w:rPr>
              <w:footnoteReference w:id="18"/>
            </w:r>
            <w:bookmarkEnd w:id="7"/>
            <w:bookmarkEnd w:id="8"/>
            <w:r>
              <w:rPr>
                <w:noProof/>
                <w:color w:val="231F20"/>
                <w:szCs w:val="24"/>
                <w:vertAlign w:val="superscript"/>
              </w:rPr>
              <w:t>)</w:t>
            </w:r>
          </w:p>
        </w:tc>
      </w:tr>
      <w:tr w:rsidR="00F666F8" w:rsidRPr="00F666F8" w:rsidTr="00F666F8">
        <w:trPr>
          <w:trHeight w:hRule="exact" w:val="389"/>
        </w:trPr>
        <w:tc>
          <w:tcPr>
            <w:tcW w:w="2626" w:type="dxa"/>
            <w:tcBorders>
              <w:left w:val="single" w:sz="4" w:space="0" w:color="auto"/>
            </w:tcBorders>
            <w:shd w:val="clear" w:color="auto" w:fill="FFFFFF"/>
          </w:tcPr>
          <w:p w:rsidR="00F666F8" w:rsidRPr="00F666F8" w:rsidRDefault="00F666F8" w:rsidP="00F666F8">
            <w:pPr>
              <w:spacing w:before="120" w:after="120"/>
              <w:jc w:val="left"/>
              <w:rPr>
                <w:rFonts w:eastAsia="Calibri"/>
                <w:noProof/>
                <w:szCs w:val="24"/>
              </w:rPr>
            </w:pPr>
            <w:r>
              <w:rPr>
                <w:noProof/>
                <w:color w:val="231F20"/>
                <w:szCs w:val="24"/>
              </w:rPr>
              <w:t>metylenklorid</w:t>
            </w:r>
          </w:p>
        </w:tc>
        <w:tc>
          <w:tcPr>
            <w:tcW w:w="1781" w:type="dxa"/>
            <w:tcBorders>
              <w:left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left w:val="single" w:sz="4" w:space="0" w:color="auto"/>
            </w:tcBorders>
            <w:shd w:val="clear" w:color="auto" w:fill="FFFFFF"/>
          </w:tcPr>
          <w:p w:rsidR="00F666F8" w:rsidRPr="00F666F8" w:rsidRDefault="001536DA" w:rsidP="00F666F8">
            <w:pPr>
              <w:spacing w:before="120" w:after="120"/>
              <w:jc w:val="left"/>
              <w:rPr>
                <w:rFonts w:eastAsia="Calibri"/>
                <w:noProof/>
                <w:szCs w:val="24"/>
              </w:rPr>
            </w:pPr>
            <w:r>
              <w:rPr>
                <w:smallCaps/>
                <w:noProof/>
                <w:color w:val="231F20"/>
                <w:szCs w:val="24"/>
              </w:rPr>
              <w:t>CH</w:t>
            </w:r>
            <w:r>
              <w:rPr>
                <w:noProof/>
                <w:color w:val="231F20"/>
                <w:szCs w:val="24"/>
                <w:vertAlign w:val="subscript"/>
              </w:rPr>
              <w:t>2</w:t>
            </w:r>
            <w:r>
              <w:rPr>
                <w:smallCaps/>
                <w:noProof/>
                <w:color w:val="231F20"/>
                <w:szCs w:val="24"/>
              </w:rPr>
              <w:t>CI</w:t>
            </w:r>
            <w:r>
              <w:rPr>
                <w:noProof/>
                <w:color w:val="231F20"/>
                <w:szCs w:val="24"/>
                <w:vertAlign w:val="subscript"/>
              </w:rPr>
              <w:t>2</w:t>
            </w:r>
          </w:p>
        </w:tc>
        <w:tc>
          <w:tcPr>
            <w:tcW w:w="1810" w:type="dxa"/>
            <w:tcBorders>
              <w:left w:val="single" w:sz="4" w:space="0" w:color="auto"/>
              <w:right w:val="single" w:sz="4" w:space="0" w:color="auto"/>
            </w:tcBorders>
            <w:shd w:val="clear" w:color="auto" w:fill="FFFFFF"/>
          </w:tcPr>
          <w:p w:rsidR="00F666F8" w:rsidRPr="00F666F8" w:rsidRDefault="00F666F8" w:rsidP="00F666F8">
            <w:pPr>
              <w:spacing w:before="120" w:after="120"/>
              <w:ind w:right="40"/>
              <w:jc w:val="center"/>
              <w:rPr>
                <w:rFonts w:eastAsia="Calibri"/>
                <w:noProof/>
                <w:szCs w:val="24"/>
              </w:rPr>
            </w:pPr>
            <w:r>
              <w:rPr>
                <w:noProof/>
                <w:color w:val="231F20"/>
                <w:szCs w:val="24"/>
              </w:rPr>
              <w:t>11,2</w:t>
            </w:r>
          </w:p>
        </w:tc>
      </w:tr>
      <w:tr w:rsidR="00F666F8" w:rsidRPr="00F666F8" w:rsidTr="00F666F8">
        <w:trPr>
          <w:trHeight w:hRule="exact" w:val="389"/>
        </w:trPr>
        <w:tc>
          <w:tcPr>
            <w:tcW w:w="2626" w:type="dxa"/>
            <w:tcBorders>
              <w:left w:val="single" w:sz="4" w:space="0" w:color="auto"/>
            </w:tcBorders>
            <w:shd w:val="clear" w:color="auto" w:fill="FFFFFF"/>
            <w:vAlign w:val="bottom"/>
          </w:tcPr>
          <w:p w:rsidR="00F666F8" w:rsidRPr="00F666F8" w:rsidRDefault="00F666F8" w:rsidP="00F666F8">
            <w:pPr>
              <w:spacing w:before="120" w:after="120"/>
              <w:jc w:val="left"/>
              <w:rPr>
                <w:rFonts w:eastAsia="Calibri"/>
                <w:noProof/>
                <w:szCs w:val="24"/>
              </w:rPr>
            </w:pPr>
            <w:r>
              <w:rPr>
                <w:noProof/>
                <w:color w:val="231F20"/>
                <w:szCs w:val="24"/>
              </w:rPr>
              <w:t>metylklorid</w:t>
            </w:r>
          </w:p>
        </w:tc>
        <w:tc>
          <w:tcPr>
            <w:tcW w:w="1781" w:type="dxa"/>
            <w:tcBorders>
              <w:left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left w:val="single" w:sz="4" w:space="0" w:color="auto"/>
            </w:tcBorders>
            <w:shd w:val="clear" w:color="auto" w:fill="FFFFFF"/>
            <w:vAlign w:val="bottom"/>
          </w:tcPr>
          <w:p w:rsidR="00F666F8" w:rsidRPr="00F666F8" w:rsidRDefault="001536DA" w:rsidP="00F666F8">
            <w:pPr>
              <w:spacing w:before="120" w:after="120"/>
              <w:jc w:val="left"/>
              <w:rPr>
                <w:rFonts w:eastAsia="Calibri"/>
                <w:noProof/>
                <w:szCs w:val="24"/>
              </w:rPr>
            </w:pPr>
            <w:r>
              <w:rPr>
                <w:smallCaps/>
                <w:noProof/>
                <w:color w:val="231F20"/>
                <w:szCs w:val="24"/>
              </w:rPr>
              <w:t>CH</w:t>
            </w:r>
            <w:r>
              <w:rPr>
                <w:noProof/>
                <w:color w:val="231F20"/>
                <w:szCs w:val="24"/>
                <w:vertAlign w:val="subscript"/>
              </w:rPr>
              <w:t>3</w:t>
            </w:r>
            <w:r>
              <w:rPr>
                <w:smallCaps/>
                <w:noProof/>
                <w:color w:val="231F20"/>
                <w:szCs w:val="24"/>
              </w:rPr>
              <w:t>CL</w:t>
            </w:r>
          </w:p>
        </w:tc>
        <w:tc>
          <w:tcPr>
            <w:tcW w:w="1810" w:type="dxa"/>
            <w:tcBorders>
              <w:left w:val="single" w:sz="4" w:space="0" w:color="auto"/>
              <w:right w:val="single" w:sz="4" w:space="0" w:color="auto"/>
            </w:tcBorders>
            <w:shd w:val="clear" w:color="auto" w:fill="FFFFFF"/>
            <w:vAlign w:val="bottom"/>
          </w:tcPr>
          <w:p w:rsidR="00F666F8" w:rsidRPr="00F666F8" w:rsidRDefault="00F666F8" w:rsidP="00F666F8">
            <w:pPr>
              <w:spacing w:before="120" w:after="120"/>
              <w:ind w:right="40"/>
              <w:jc w:val="center"/>
              <w:rPr>
                <w:rFonts w:eastAsia="Calibri"/>
                <w:noProof/>
                <w:szCs w:val="24"/>
              </w:rPr>
            </w:pPr>
            <w:r>
              <w:rPr>
                <w:noProof/>
                <w:color w:val="231F20"/>
                <w:szCs w:val="24"/>
              </w:rPr>
              <w:t>5,54</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kloroform</w:t>
            </w:r>
          </w:p>
        </w:tc>
        <w:tc>
          <w:tcPr>
            <w:tcW w:w="1781" w:type="dxa"/>
            <w:tcBorders>
              <w:left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smallCaps/>
                <w:noProof/>
                <w:color w:val="231F20"/>
                <w:szCs w:val="24"/>
              </w:rPr>
              <w:t>CHC1</w:t>
            </w:r>
            <w:r>
              <w:rPr>
                <w:smallCaps/>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20,6</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etan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R-170</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0,437</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propan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R-290</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CH</w:t>
            </w:r>
            <w:r>
              <w:rPr>
                <w:noProof/>
                <w:color w:val="231F20"/>
                <w:szCs w:val="24"/>
                <w:vertAlign w:val="subscript"/>
              </w:rPr>
              <w:t>2</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0,02</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butan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R-600</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CH</w:t>
            </w:r>
            <w:r>
              <w:rPr>
                <w:noProof/>
                <w:color w:val="231F20"/>
                <w:szCs w:val="24"/>
                <w:vertAlign w:val="subscript"/>
              </w:rPr>
              <w:t>2</w:t>
            </w:r>
            <w:r>
              <w:rPr>
                <w:noProof/>
                <w:color w:val="231F20"/>
                <w:szCs w:val="24"/>
              </w:rPr>
              <w:t>CH</w:t>
            </w:r>
            <w:r>
              <w:rPr>
                <w:noProof/>
                <w:color w:val="231F20"/>
                <w:szCs w:val="24"/>
                <w:vertAlign w:val="subscript"/>
              </w:rPr>
              <w:t>2</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0,006</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isobutan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R-600a</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CH(CH</w:t>
            </w:r>
            <w:r>
              <w:rPr>
                <w:noProof/>
                <w:color w:val="231F20"/>
                <w:szCs w:val="24"/>
                <w:vertAlign w:val="subscript"/>
              </w:rPr>
              <w:t>3</w:t>
            </w:r>
            <w:r>
              <w:rPr>
                <w:noProof/>
                <w:color w:val="231F20"/>
                <w:szCs w:val="24"/>
              </w:rPr>
              <w:t>)</w:t>
            </w:r>
            <w:r>
              <w:rPr>
                <w:noProof/>
                <w:color w:val="231F20"/>
                <w:szCs w:val="24"/>
                <w:vertAlign w:val="subscript"/>
              </w:rPr>
              <w:t>2</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w:t>
            </w:r>
            <w:r>
              <w:rPr>
                <w:noProof/>
                <w:color w:val="231F20"/>
                <w:szCs w:val="24"/>
                <w:vertAlign w:val="superscript"/>
              </w:rPr>
              <w:t>(</w:t>
            </w:r>
            <w:bookmarkStart w:id="9" w:name="_Ref98242760"/>
            <w:r>
              <w:rPr>
                <w:rFonts w:eastAsia="Calibri"/>
                <w:noProof/>
                <w:color w:val="231F20"/>
                <w:szCs w:val="24"/>
                <w:vertAlign w:val="superscript"/>
                <w:lang w:val="en-US" w:eastAsia="en-US" w:bidi="en-US"/>
              </w:rPr>
              <w:footnoteReference w:id="19"/>
            </w:r>
            <w:bookmarkEnd w:id="9"/>
            <w:r>
              <w:rPr>
                <w:noProof/>
                <w:color w:val="231F20"/>
                <w:szCs w:val="24"/>
                <w:vertAlign w:val="superscript"/>
              </w:rPr>
              <w:t>)</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pentan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R-601</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CH</w:t>
            </w:r>
            <w:r>
              <w:rPr>
                <w:noProof/>
                <w:color w:val="231F20"/>
                <w:szCs w:val="24"/>
                <w:vertAlign w:val="subscript"/>
              </w:rPr>
              <w:t>2</w:t>
            </w:r>
            <w:r>
              <w:rPr>
                <w:noProof/>
                <w:color w:val="231F20"/>
                <w:szCs w:val="24"/>
              </w:rPr>
              <w:t>CH</w:t>
            </w:r>
            <w:r>
              <w:rPr>
                <w:noProof/>
                <w:color w:val="231F20"/>
                <w:szCs w:val="24"/>
                <w:vertAlign w:val="subscript"/>
              </w:rPr>
              <w:t>2</w:t>
            </w:r>
            <w:r>
              <w:rPr>
                <w:noProof/>
                <w:color w:val="231F20"/>
                <w:szCs w:val="24"/>
              </w:rPr>
              <w:t>CH</w:t>
            </w:r>
            <w:r>
              <w:rPr>
                <w:noProof/>
                <w:color w:val="231F20"/>
                <w:szCs w:val="24"/>
                <w:vertAlign w:val="subscript"/>
              </w:rPr>
              <w:t>2</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w:t>
            </w:r>
            <w:r>
              <w:rPr>
                <w:noProof/>
                <w:color w:val="231F20"/>
                <w:szCs w:val="24"/>
                <w:vertAlign w:val="superscript"/>
              </w:rPr>
              <w:t>(16)</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isopentan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R-601 a</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w:t>
            </w:r>
            <w:r>
              <w:rPr>
                <w:noProof/>
                <w:color w:val="231F20"/>
                <w:szCs w:val="24"/>
                <w:vertAlign w:val="subscript"/>
              </w:rPr>
              <w:t>2</w:t>
            </w:r>
            <w:r>
              <w:rPr>
                <w:noProof/>
                <w:color w:val="231F20"/>
                <w:szCs w:val="24"/>
              </w:rPr>
              <w:t>CHCH</w:t>
            </w:r>
            <w:r>
              <w:rPr>
                <w:noProof/>
                <w:color w:val="231F20"/>
                <w:szCs w:val="24"/>
                <w:vertAlign w:val="subscript"/>
              </w:rPr>
              <w:t>2</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w:t>
            </w:r>
            <w:r>
              <w:rPr>
                <w:noProof/>
                <w:color w:val="231F20"/>
                <w:szCs w:val="24"/>
                <w:vertAlign w:val="superscript"/>
              </w:rPr>
              <w:t>(16)</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etoxyetan (dietyleter)</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R-610</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CH</w:t>
            </w:r>
            <w:r>
              <w:rPr>
                <w:noProof/>
                <w:color w:val="231F20"/>
                <w:szCs w:val="24"/>
                <w:vertAlign w:val="subscript"/>
              </w:rPr>
              <w:t>3</w:t>
            </w:r>
            <w:r>
              <w:rPr>
                <w:noProof/>
                <w:color w:val="231F20"/>
                <w:szCs w:val="24"/>
              </w:rPr>
              <w:t>CH</w:t>
            </w:r>
            <w:r>
              <w:rPr>
                <w:noProof/>
                <w:color w:val="231F20"/>
                <w:szCs w:val="24"/>
                <w:vertAlign w:val="subscript"/>
              </w:rPr>
              <w:t>2</w:t>
            </w:r>
            <w:r>
              <w:rPr>
                <w:noProof/>
                <w:color w:val="231F20"/>
                <w:szCs w:val="24"/>
              </w:rPr>
              <w:t>OCH</w:t>
            </w:r>
            <w:r>
              <w:rPr>
                <w:noProof/>
                <w:color w:val="231F20"/>
                <w:szCs w:val="24"/>
                <w:vertAlign w:val="subscript"/>
              </w:rPr>
              <w:t>2</w:t>
            </w:r>
            <w:r>
              <w:rPr>
                <w:noProof/>
                <w:color w:val="231F20"/>
                <w:szCs w:val="24"/>
              </w:rPr>
              <w:t>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4</w:t>
            </w:r>
            <w:r>
              <w:rPr>
                <w:noProof/>
                <w:color w:val="231F20"/>
                <w:szCs w:val="24"/>
                <w:vertAlign w:val="superscript"/>
              </w:rPr>
              <w:t>(15)</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metylformat</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R-611</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HCOOCH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11</w:t>
            </w:r>
            <w:r>
              <w:rPr>
                <w:noProof/>
                <w:color w:val="231F20"/>
                <w:szCs w:val="24"/>
                <w:vertAlign w:val="superscript"/>
              </w:rPr>
              <w:t>(</w:t>
            </w:r>
            <w:r>
              <w:rPr>
                <w:rFonts w:eastAsia="Calibri"/>
                <w:noProof/>
                <w:color w:val="231F20"/>
                <w:szCs w:val="24"/>
                <w:vertAlign w:val="superscript"/>
                <w:lang w:val="en-US" w:eastAsia="en-US" w:bidi="en-US"/>
              </w:rPr>
              <w:footnoteReference w:id="20"/>
            </w:r>
            <w:r>
              <w:rPr>
                <w:noProof/>
                <w:color w:val="231F20"/>
                <w:szCs w:val="24"/>
                <w:vertAlign w:val="superscript"/>
              </w:rPr>
              <w:t>)</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väte</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R-702</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H</w:t>
            </w:r>
            <w:r>
              <w:rPr>
                <w:noProof/>
                <w:color w:val="231F20"/>
                <w:szCs w:val="24"/>
                <w:vertAlign w:val="subscript"/>
              </w:rPr>
              <w:t>2</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6</w:t>
            </w:r>
            <w:r>
              <w:rPr>
                <w:noProof/>
                <w:color w:val="231F20"/>
                <w:szCs w:val="24"/>
                <w:vertAlign w:val="superscript"/>
              </w:rPr>
              <w:t>(15)</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ammoniak</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R-717</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NH</w:t>
            </w:r>
            <w:r>
              <w:rPr>
                <w:noProof/>
                <w:color w:val="231F20"/>
                <w:szCs w:val="24"/>
                <w:vertAlign w:val="subscript"/>
              </w:rPr>
              <w:t>3</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etylen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R-1150</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w:t>
            </w:r>
            <w:r>
              <w:rPr>
                <w:noProof/>
                <w:color w:val="231F20"/>
                <w:szCs w:val="24"/>
                <w:vertAlign w:val="subscript"/>
              </w:rPr>
              <w:t>2</w:t>
            </w:r>
            <w:r>
              <w:rPr>
                <w:noProof/>
                <w:color w:val="231F20"/>
                <w:szCs w:val="24"/>
              </w:rPr>
              <w:t>H</w:t>
            </w:r>
            <w:r>
              <w:rPr>
                <w:noProof/>
                <w:color w:val="231F20"/>
                <w:szCs w:val="24"/>
                <w:vertAlign w:val="subscript"/>
              </w:rPr>
              <w:t>4</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4</w:t>
            </w:r>
            <w:r>
              <w:rPr>
                <w:noProof/>
                <w:color w:val="231F20"/>
                <w:szCs w:val="24"/>
                <w:vertAlign w:val="superscript"/>
              </w:rPr>
              <w:t>(15)</w:t>
            </w:r>
          </w:p>
        </w:tc>
      </w:tr>
      <w:tr w:rsidR="00F666F8" w:rsidRPr="00F666F8" w:rsidTr="00F666F8">
        <w:trPr>
          <w:trHeight w:hRule="exact" w:val="389"/>
        </w:trPr>
        <w:tc>
          <w:tcPr>
            <w:tcW w:w="2626"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propen</w:t>
            </w:r>
          </w:p>
        </w:tc>
        <w:tc>
          <w:tcPr>
            <w:tcW w:w="1781"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R-1270</w:t>
            </w:r>
          </w:p>
        </w:tc>
        <w:tc>
          <w:tcPr>
            <w:tcW w:w="2592" w:type="dxa"/>
            <w:tcBorders>
              <w:left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w:t>
            </w:r>
            <w:r>
              <w:rPr>
                <w:noProof/>
                <w:color w:val="231F20"/>
                <w:szCs w:val="24"/>
                <w:vertAlign w:val="subscript"/>
              </w:rPr>
              <w:t>3</w:t>
            </w:r>
            <w:r>
              <w:rPr>
                <w:noProof/>
                <w:color w:val="231F20"/>
                <w:szCs w:val="24"/>
              </w:rPr>
              <w:t>H</w:t>
            </w:r>
            <w:r>
              <w:rPr>
                <w:noProof/>
                <w:color w:val="231F20"/>
                <w:szCs w:val="24"/>
                <w:vertAlign w:val="subscript"/>
              </w:rPr>
              <w:t>6</w:t>
            </w:r>
          </w:p>
        </w:tc>
        <w:tc>
          <w:tcPr>
            <w:tcW w:w="1810" w:type="dxa"/>
            <w:tcBorders>
              <w:left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w:t>
            </w:r>
            <w:r>
              <w:rPr>
                <w:noProof/>
                <w:color w:val="231F20"/>
                <w:szCs w:val="24"/>
                <w:vertAlign w:val="superscript"/>
              </w:rPr>
              <w:t>(16)</w:t>
            </w:r>
          </w:p>
        </w:tc>
      </w:tr>
      <w:tr w:rsidR="00F666F8" w:rsidRPr="00F666F8" w:rsidTr="00F666F8">
        <w:trPr>
          <w:trHeight w:hRule="exact" w:val="389"/>
        </w:trPr>
        <w:tc>
          <w:tcPr>
            <w:tcW w:w="2626" w:type="dxa"/>
            <w:tcBorders>
              <w:left w:val="single" w:sz="4" w:space="0" w:color="auto"/>
              <w:bottom w:val="single" w:sz="4" w:space="0" w:color="auto"/>
            </w:tcBorders>
            <w:shd w:val="clear" w:color="auto" w:fill="FFFFFF"/>
            <w:vAlign w:val="center"/>
          </w:tcPr>
          <w:p w:rsidR="00F666F8" w:rsidRPr="00F666F8" w:rsidRDefault="00F666F8" w:rsidP="00F666F8">
            <w:pPr>
              <w:spacing w:before="120" w:after="120"/>
              <w:jc w:val="left"/>
              <w:rPr>
                <w:rFonts w:eastAsia="Calibri"/>
                <w:noProof/>
                <w:szCs w:val="24"/>
              </w:rPr>
            </w:pPr>
            <w:r>
              <w:rPr>
                <w:noProof/>
                <w:color w:val="231F20"/>
                <w:szCs w:val="24"/>
              </w:rPr>
              <w:t>cyklopentan</w:t>
            </w:r>
          </w:p>
        </w:tc>
        <w:tc>
          <w:tcPr>
            <w:tcW w:w="1781" w:type="dxa"/>
            <w:tcBorders>
              <w:left w:val="single" w:sz="4" w:space="0" w:color="auto"/>
              <w:bottom w:val="single" w:sz="4" w:space="0" w:color="auto"/>
            </w:tcBorders>
            <w:shd w:val="clear" w:color="auto" w:fill="FFFFFF"/>
          </w:tcPr>
          <w:p w:rsidR="00F666F8" w:rsidRPr="00F666F8" w:rsidRDefault="00F666F8" w:rsidP="00F666F8">
            <w:pPr>
              <w:spacing w:before="120" w:after="120"/>
              <w:rPr>
                <w:rFonts w:eastAsia="Calibri"/>
                <w:noProof/>
                <w:szCs w:val="24"/>
                <w:lang w:eastAsia="en-US"/>
              </w:rPr>
            </w:pPr>
          </w:p>
        </w:tc>
        <w:tc>
          <w:tcPr>
            <w:tcW w:w="2592" w:type="dxa"/>
            <w:tcBorders>
              <w:left w:val="single" w:sz="4" w:space="0" w:color="auto"/>
              <w:bottom w:val="single" w:sz="4" w:space="0" w:color="auto"/>
            </w:tcBorders>
            <w:shd w:val="clear" w:color="auto" w:fill="FFFFFF"/>
            <w:vAlign w:val="center"/>
          </w:tcPr>
          <w:p w:rsidR="00F666F8" w:rsidRPr="00F666F8" w:rsidRDefault="00F666F8" w:rsidP="00F666F8">
            <w:pPr>
              <w:spacing w:before="120" w:after="120"/>
              <w:jc w:val="left"/>
              <w:rPr>
                <w:rFonts w:eastAsia="Calibri"/>
                <w:noProof/>
                <w:color w:val="231F20"/>
                <w:szCs w:val="24"/>
                <w:vertAlign w:val="subscript"/>
              </w:rPr>
            </w:pPr>
            <w:r>
              <w:rPr>
                <w:noProof/>
                <w:color w:val="231F20"/>
                <w:szCs w:val="24"/>
              </w:rPr>
              <w:t>C</w:t>
            </w:r>
            <w:r>
              <w:rPr>
                <w:noProof/>
                <w:color w:val="231F20"/>
                <w:szCs w:val="24"/>
                <w:vertAlign w:val="subscript"/>
              </w:rPr>
              <w:t>5</w:t>
            </w:r>
            <w:r>
              <w:rPr>
                <w:noProof/>
                <w:color w:val="231F20"/>
                <w:szCs w:val="24"/>
              </w:rPr>
              <w:t>H</w:t>
            </w:r>
            <w:r>
              <w:rPr>
                <w:noProof/>
                <w:color w:val="231F20"/>
                <w:szCs w:val="24"/>
                <w:vertAlign w:val="subscript"/>
              </w:rPr>
              <w:t>10</w:t>
            </w:r>
          </w:p>
          <w:p w:rsidR="00F666F8" w:rsidRPr="00F666F8" w:rsidRDefault="00F666F8" w:rsidP="00F666F8">
            <w:pPr>
              <w:spacing w:before="120" w:after="120"/>
              <w:jc w:val="left"/>
              <w:rPr>
                <w:rFonts w:eastAsia="Calibri"/>
                <w:noProof/>
                <w:szCs w:val="24"/>
                <w:lang w:eastAsia="en-US"/>
              </w:rPr>
            </w:pPr>
          </w:p>
        </w:tc>
        <w:tc>
          <w:tcPr>
            <w:tcW w:w="1810" w:type="dxa"/>
            <w:tcBorders>
              <w:left w:val="single" w:sz="4" w:space="0" w:color="auto"/>
              <w:bottom w:val="single" w:sz="4" w:space="0" w:color="auto"/>
              <w:right w:val="single" w:sz="4" w:space="0" w:color="auto"/>
            </w:tcBorders>
            <w:shd w:val="clear" w:color="auto" w:fill="FFFFFF"/>
            <w:vAlign w:val="center"/>
          </w:tcPr>
          <w:p w:rsidR="00F666F8" w:rsidRPr="00F666F8" w:rsidRDefault="00F666F8" w:rsidP="00F666F8">
            <w:pPr>
              <w:spacing w:before="120" w:after="120"/>
              <w:ind w:right="40"/>
              <w:jc w:val="center"/>
              <w:rPr>
                <w:rFonts w:eastAsia="Calibri"/>
                <w:noProof/>
                <w:szCs w:val="24"/>
              </w:rPr>
            </w:pPr>
            <w:r>
              <w:rPr>
                <w:noProof/>
                <w:color w:val="231F20"/>
                <w:szCs w:val="24"/>
              </w:rPr>
              <w:t>0</w:t>
            </w:r>
            <w:r>
              <w:rPr>
                <w:noProof/>
                <w:color w:val="231F20"/>
                <w:szCs w:val="24"/>
                <w:vertAlign w:val="superscript"/>
              </w:rPr>
              <w:t>(16)</w:t>
            </w:r>
          </w:p>
        </w:tc>
      </w:tr>
    </w:tbl>
    <w:p w:rsidR="00F666F8" w:rsidRDefault="00F666F8" w:rsidP="00DF5B7F">
      <w:pPr>
        <w:rPr>
          <w:noProof/>
        </w:rPr>
      </w:pPr>
    </w:p>
    <w:p w:rsidR="00A2555C" w:rsidRDefault="00A2555C">
      <w:pPr>
        <w:spacing w:after="0"/>
        <w:jc w:val="left"/>
        <w:rPr>
          <w:noProof/>
        </w:rPr>
      </w:pPr>
      <w:r>
        <w:rPr>
          <w:noProof/>
        </w:rPr>
        <w:br w:type="page"/>
      </w:r>
    </w:p>
    <w:p w:rsidR="00333936" w:rsidRPr="00333936" w:rsidRDefault="00333936" w:rsidP="00333936">
      <w:pPr>
        <w:spacing w:before="120" w:after="120"/>
        <w:jc w:val="center"/>
        <w:rPr>
          <w:rFonts w:eastAsia="Calibri"/>
          <w:b/>
          <w:noProof/>
          <w:szCs w:val="22"/>
          <w:u w:val="single"/>
        </w:rPr>
      </w:pPr>
      <w:r>
        <w:rPr>
          <w:b/>
          <w:noProof/>
          <w:szCs w:val="22"/>
          <w:u w:val="single"/>
        </w:rPr>
        <w:t>BILAGA VII</w:t>
      </w:r>
    </w:p>
    <w:p w:rsidR="00333936" w:rsidRPr="00333936" w:rsidRDefault="00333936" w:rsidP="00333936">
      <w:pPr>
        <w:widowControl w:val="0"/>
        <w:shd w:val="clear" w:color="auto" w:fill="FFFFFF"/>
        <w:spacing w:after="0" w:line="322" w:lineRule="exact"/>
        <w:jc w:val="center"/>
        <w:rPr>
          <w:rFonts w:eastAsia="Calibri"/>
          <w:b/>
          <w:bCs/>
          <w:noProof/>
          <w:szCs w:val="24"/>
        </w:rPr>
      </w:pPr>
      <w:r>
        <w:rPr>
          <w:b/>
          <w:bCs/>
          <w:noProof/>
        </w:rPr>
        <w:t>HÖGSTA TILLÅTNA MÄNGDER OCH BERÄKNING AV REFERENSVÄRDEN OCH KVOTER FÖR UTSLÄPPANDE AV FLUORKOLVÄTEN PÅ MARKNADEN I ENLIGHET MED ARTIKEL 17</w:t>
      </w:r>
    </w:p>
    <w:p w:rsidR="00333936" w:rsidRPr="00CE6F1E" w:rsidRDefault="00333936" w:rsidP="00333936">
      <w:pPr>
        <w:spacing w:before="120" w:after="120"/>
        <w:rPr>
          <w:rFonts w:eastAsia="Calibri"/>
          <w:noProof/>
          <w:szCs w:val="24"/>
          <w:lang w:eastAsia="en-US"/>
        </w:rPr>
      </w:pPr>
    </w:p>
    <w:p w:rsidR="00333936" w:rsidRPr="00333936" w:rsidRDefault="00333936" w:rsidP="0058135E">
      <w:pPr>
        <w:pStyle w:val="Point0number"/>
        <w:numPr>
          <w:ilvl w:val="0"/>
          <w:numId w:val="24"/>
        </w:numPr>
        <w:spacing w:after="240"/>
        <w:ind w:left="851" w:hanging="851"/>
        <w:rPr>
          <w:rFonts w:eastAsia="Calibri"/>
          <w:noProof/>
          <w:color w:val="231F20"/>
          <w:szCs w:val="24"/>
        </w:rPr>
      </w:pPr>
      <w:r>
        <w:rPr>
          <w:noProof/>
          <w:color w:val="231F20"/>
          <w:szCs w:val="24"/>
        </w:rPr>
        <w:t>Den maximala mängd fluorkolväten som får släppas ut på unionsmarknaden under ett visst år ska vara följande:</w:t>
      </w:r>
    </w:p>
    <w:tbl>
      <w:tblPr>
        <w:tblW w:w="2290" w:type="pct"/>
        <w:jc w:val="center"/>
        <w:tblCellMar>
          <w:left w:w="70" w:type="dxa"/>
          <w:right w:w="70" w:type="dxa"/>
        </w:tblCellMar>
        <w:tblLook w:val="04A0" w:firstRow="1" w:lastRow="0" w:firstColumn="1" w:lastColumn="0" w:noHBand="0" w:noVBand="1"/>
      </w:tblPr>
      <w:tblGrid>
        <w:gridCol w:w="1833"/>
        <w:gridCol w:w="3546"/>
      </w:tblGrid>
      <w:tr w:rsidR="00333936" w:rsidRPr="00333936" w:rsidTr="00A642F2">
        <w:trPr>
          <w:trHeight w:val="1161"/>
          <w:jc w:val="center"/>
        </w:trPr>
        <w:tc>
          <w:tcPr>
            <w:tcW w:w="1825" w:type="pct"/>
            <w:tcBorders>
              <w:top w:val="single" w:sz="4" w:space="0" w:color="auto"/>
              <w:left w:val="single" w:sz="4" w:space="0" w:color="auto"/>
              <w:bottom w:val="nil"/>
              <w:right w:val="single" w:sz="4" w:space="0" w:color="auto"/>
            </w:tcBorders>
            <w:shd w:val="clear" w:color="auto" w:fill="92D050"/>
            <w:noWrap/>
            <w:vAlign w:val="center"/>
            <w:hideMark/>
          </w:tcPr>
          <w:p w:rsidR="00333936" w:rsidRPr="00333936" w:rsidRDefault="00333936" w:rsidP="00333936">
            <w:pPr>
              <w:spacing w:before="120" w:after="120"/>
              <w:jc w:val="center"/>
              <w:rPr>
                <w:rFonts w:eastAsia="Calibri"/>
                <w:b/>
                <w:bCs/>
                <w:noProof/>
                <w:color w:val="231F20"/>
                <w:szCs w:val="24"/>
              </w:rPr>
            </w:pPr>
            <w:r>
              <w:rPr>
                <w:b/>
                <w:bCs/>
                <w:noProof/>
                <w:color w:val="231F20"/>
                <w:szCs w:val="24"/>
              </w:rPr>
              <w:t>År</w:t>
            </w:r>
          </w:p>
        </w:tc>
        <w:tc>
          <w:tcPr>
            <w:tcW w:w="3175" w:type="pct"/>
            <w:tcBorders>
              <w:top w:val="single" w:sz="4" w:space="0" w:color="auto"/>
              <w:left w:val="nil"/>
              <w:right w:val="single" w:sz="4" w:space="0" w:color="auto"/>
            </w:tcBorders>
            <w:shd w:val="clear" w:color="auto" w:fill="92D050"/>
            <w:noWrap/>
            <w:vAlign w:val="center"/>
            <w:hideMark/>
          </w:tcPr>
          <w:p w:rsidR="00333936" w:rsidRPr="00333936" w:rsidRDefault="00333936" w:rsidP="00333936">
            <w:pPr>
              <w:spacing w:before="120" w:after="120"/>
              <w:jc w:val="center"/>
              <w:rPr>
                <w:rFonts w:eastAsia="Calibri"/>
                <w:b/>
                <w:noProof/>
                <w:color w:val="231F20"/>
                <w:szCs w:val="24"/>
              </w:rPr>
            </w:pPr>
            <w:r>
              <w:rPr>
                <w:b/>
                <w:noProof/>
                <w:color w:val="231F20"/>
                <w:szCs w:val="24"/>
              </w:rPr>
              <w:t xml:space="preserve">Högsta tillåtna mängd </w:t>
            </w:r>
          </w:p>
          <w:p w:rsidR="00333936" w:rsidRPr="00333936" w:rsidRDefault="00333936" w:rsidP="00333936">
            <w:pPr>
              <w:spacing w:before="120" w:after="120"/>
              <w:jc w:val="right"/>
              <w:rPr>
                <w:rFonts w:eastAsia="Calibri"/>
                <w:b/>
                <w:bCs/>
                <w:noProof/>
                <w:color w:val="231F20"/>
                <w:szCs w:val="24"/>
              </w:rPr>
            </w:pPr>
            <w:r>
              <w:rPr>
                <w:noProof/>
                <w:color w:val="231F20"/>
                <w:szCs w:val="24"/>
              </w:rPr>
              <w:t>uttryckt i ton koldioxidekvivalenter</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2024 – 2026</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41 701 077</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2027 – 2029</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17 688 360</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2030 – 2032</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9 132 097</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2033 – 2035</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8 445 713</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2036 – 2038</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6 782 265</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2039 – 2041</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6 136 732</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2042 – 2044</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5 491 199</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2045 – 2047</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4 845 666</w:t>
            </w:r>
          </w:p>
        </w:tc>
      </w:tr>
      <w:tr w:rsidR="00333936" w:rsidRPr="00333936" w:rsidTr="00A642F2">
        <w:trPr>
          <w:trHeight w:val="290"/>
          <w:jc w:val="center"/>
        </w:trPr>
        <w:tc>
          <w:tcPr>
            <w:tcW w:w="1825" w:type="pct"/>
            <w:tcBorders>
              <w:top w:val="nil"/>
              <w:left w:val="single" w:sz="4" w:space="0" w:color="auto"/>
              <w:bottom w:val="single" w:sz="4" w:space="0" w:color="auto"/>
              <w:right w:val="single" w:sz="4" w:space="0" w:color="auto"/>
            </w:tcBorders>
            <w:shd w:val="clear" w:color="auto" w:fill="auto"/>
            <w:noWrap/>
            <w:vAlign w:val="center"/>
            <w:hideMark/>
          </w:tcPr>
          <w:p w:rsidR="00333936" w:rsidRPr="00333936" w:rsidRDefault="00333936" w:rsidP="00333936">
            <w:pPr>
              <w:spacing w:before="120" w:after="120"/>
              <w:jc w:val="center"/>
              <w:rPr>
                <w:rFonts w:eastAsia="Calibri"/>
                <w:noProof/>
                <w:color w:val="231F20"/>
                <w:szCs w:val="24"/>
              </w:rPr>
            </w:pPr>
            <w:r>
              <w:rPr>
                <w:noProof/>
                <w:color w:val="231F20"/>
                <w:szCs w:val="24"/>
              </w:rPr>
              <w:t>2048 och därefter</w:t>
            </w:r>
          </w:p>
        </w:tc>
        <w:tc>
          <w:tcPr>
            <w:tcW w:w="3175" w:type="pct"/>
            <w:tcBorders>
              <w:top w:val="nil"/>
              <w:left w:val="nil"/>
              <w:bottom w:val="single" w:sz="4" w:space="0" w:color="auto"/>
              <w:right w:val="single" w:sz="4" w:space="0" w:color="auto"/>
            </w:tcBorders>
            <w:shd w:val="clear" w:color="auto" w:fill="auto"/>
            <w:noWrap/>
            <w:hideMark/>
          </w:tcPr>
          <w:p w:rsidR="00333936" w:rsidRPr="00333936" w:rsidRDefault="00333936" w:rsidP="00333936">
            <w:pPr>
              <w:spacing w:before="120" w:after="120"/>
              <w:jc w:val="center"/>
              <w:rPr>
                <w:rFonts w:eastAsia="Calibri"/>
                <w:noProof/>
                <w:color w:val="231F20"/>
                <w:szCs w:val="24"/>
              </w:rPr>
            </w:pPr>
            <w:r>
              <w:rPr>
                <w:noProof/>
                <w:color w:val="231F20"/>
                <w:szCs w:val="24"/>
              </w:rPr>
              <w:t>4 200 133</w:t>
            </w:r>
          </w:p>
        </w:tc>
      </w:tr>
    </w:tbl>
    <w:p w:rsidR="00333936" w:rsidRPr="00333936" w:rsidRDefault="00333936" w:rsidP="00333936">
      <w:pPr>
        <w:numPr>
          <w:ilvl w:val="0"/>
          <w:numId w:val="23"/>
        </w:numPr>
        <w:spacing w:before="120" w:after="120"/>
        <w:rPr>
          <w:noProof/>
          <w:color w:val="231F20"/>
          <w:szCs w:val="24"/>
        </w:rPr>
      </w:pPr>
      <w:r>
        <w:rPr>
          <w:noProof/>
          <w:color w:val="231F20"/>
          <w:szCs w:val="24"/>
        </w:rPr>
        <w:t>Basvärdet för 2015 för den maximala mängden ska vara följande: 176 700 479 ton i koldioxidekvivalenter</w:t>
      </w:r>
    </w:p>
    <w:p w:rsidR="00333936" w:rsidRPr="00333936" w:rsidRDefault="00333936" w:rsidP="00333936">
      <w:pPr>
        <w:numPr>
          <w:ilvl w:val="0"/>
          <w:numId w:val="23"/>
        </w:numPr>
        <w:spacing w:before="120" w:after="120"/>
        <w:rPr>
          <w:rFonts w:eastAsia="Calibri"/>
          <w:noProof/>
          <w:szCs w:val="22"/>
        </w:rPr>
      </w:pPr>
      <w:r>
        <w:rPr>
          <w:noProof/>
          <w:color w:val="231F20"/>
          <w:szCs w:val="24"/>
        </w:rPr>
        <w:t>De referensvärden och de kvoter för utsläppande på marknaden av fluorkolväten som avses i artiklarna 16 och 17 ska beräknas som de sammanslagna mängderna av alla typer av fluorkolväten, uttryckta i ton koldioxidekvivalenter och avrundande till närmaste ton.</w:t>
      </w:r>
    </w:p>
    <w:p w:rsidR="00333936" w:rsidRPr="00333936" w:rsidRDefault="00333936" w:rsidP="00333936">
      <w:pPr>
        <w:numPr>
          <w:ilvl w:val="0"/>
          <w:numId w:val="23"/>
        </w:numPr>
        <w:spacing w:before="120" w:after="120"/>
        <w:rPr>
          <w:rFonts w:eastAsia="Calibri"/>
          <w:noProof/>
          <w:color w:val="231F20"/>
          <w:szCs w:val="24"/>
        </w:rPr>
      </w:pPr>
      <w:r>
        <w:rPr>
          <w:noProof/>
          <w:color w:val="231F20"/>
          <w:szCs w:val="24"/>
        </w:rPr>
        <w:t>Varje importör och producent ska erhålla de referensvärden som avses i artikel 17.1, beräknade enligt följande:</w:t>
      </w:r>
    </w:p>
    <w:p w:rsidR="00333936" w:rsidRPr="00333936" w:rsidRDefault="00333936" w:rsidP="00333936">
      <w:pPr>
        <w:spacing w:before="120" w:after="120"/>
        <w:ind w:left="850"/>
        <w:rPr>
          <w:rFonts w:eastAsia="Calibri"/>
          <w:noProof/>
          <w:color w:val="231F20"/>
          <w:szCs w:val="24"/>
        </w:rPr>
      </w:pPr>
      <w:r>
        <w:rPr>
          <w:noProof/>
          <w:color w:val="231F20"/>
          <w:szCs w:val="24"/>
        </w:rPr>
        <w:t>i) Ett referensvärde för utsläppande på marknaden av fluorkolväten, vilket ska baseras på det årliga genomsnittet av de mängder fluorkolväten som lagligen släppts ut på marknaden från och med den 1 januari 2015 och som rapporterats i enlighet med artikel 19 i förordning (EU) nr 517/2014 och artikel 26 i den här förordningen för de tillgängliga åren, med undantag för de mängder fluorkolväten som är avsedda för den användning som avses i artikel 26.5 under samma period, på grundval av tillgängliga uppgifter.</w:t>
      </w:r>
    </w:p>
    <w:p w:rsidR="00333936" w:rsidRPr="00333936" w:rsidRDefault="00333936" w:rsidP="00333936">
      <w:pPr>
        <w:spacing w:before="120" w:after="120"/>
        <w:ind w:left="850"/>
        <w:rPr>
          <w:rFonts w:eastAsia="Calibri"/>
          <w:strike/>
          <w:noProof/>
          <w:color w:val="231F20"/>
          <w:szCs w:val="24"/>
        </w:rPr>
      </w:pPr>
      <w:r>
        <w:rPr>
          <w:noProof/>
        </w:rPr>
        <w:t>ii) För importörer och producenter som har rapporterat utsläppande på marknaden av fluorkolväten för den användning som avses i artikel 26.5 andra stycket, ett referensvärde vilket ska baseras på det årliga genomsnittet av de mängder av dessa fluorkolväten för sådan användning som lagligen släppts ut på marknaden från och med den 1 januari 2020 och som rapporterats i enlighet med artikel 19 i förordning (EU) nr 517/2014 och artikel 26 i den här förordningen för tillgängliga år, på grundval av tillgängliga uppgifter.</w:t>
      </w:r>
    </w:p>
    <w:p w:rsidR="00333936" w:rsidRPr="00CE6F1E" w:rsidRDefault="00333936" w:rsidP="00333936">
      <w:pPr>
        <w:spacing w:before="120" w:after="120"/>
        <w:rPr>
          <w:rFonts w:eastAsia="Calibri"/>
          <w:noProof/>
          <w:szCs w:val="24"/>
          <w:lang w:eastAsia="en-US"/>
        </w:rPr>
      </w:pPr>
    </w:p>
    <w:p w:rsidR="00333936" w:rsidRDefault="00333936">
      <w:pPr>
        <w:spacing w:after="0"/>
        <w:jc w:val="left"/>
        <w:rPr>
          <w:noProof/>
        </w:rPr>
      </w:pPr>
      <w:r>
        <w:rPr>
          <w:noProof/>
        </w:rPr>
        <w:br w:type="page"/>
      </w:r>
    </w:p>
    <w:p w:rsidR="00005ECD" w:rsidRPr="00005ECD" w:rsidRDefault="00005ECD" w:rsidP="00005ECD">
      <w:pPr>
        <w:spacing w:before="120" w:after="120"/>
        <w:jc w:val="center"/>
        <w:rPr>
          <w:rFonts w:eastAsia="Calibri"/>
          <w:b/>
          <w:noProof/>
          <w:szCs w:val="22"/>
          <w:u w:val="single"/>
        </w:rPr>
      </w:pPr>
      <w:r>
        <w:rPr>
          <w:b/>
          <w:noProof/>
          <w:szCs w:val="22"/>
          <w:u w:val="single"/>
        </w:rPr>
        <w:t>BILAGA VIII</w:t>
      </w:r>
    </w:p>
    <w:p w:rsidR="00005ECD" w:rsidRPr="00005ECD" w:rsidRDefault="00005ECD" w:rsidP="00005ECD">
      <w:pPr>
        <w:keepNext/>
        <w:spacing w:before="360" w:after="120"/>
        <w:jc w:val="center"/>
        <w:rPr>
          <w:rFonts w:eastAsia="Calibri"/>
          <w:b/>
          <w:i/>
          <w:noProof/>
          <w:szCs w:val="22"/>
        </w:rPr>
      </w:pPr>
      <w:r>
        <w:rPr>
          <w:b/>
          <w:i/>
          <w:noProof/>
          <w:szCs w:val="22"/>
        </w:rPr>
        <w:t>Tilldelningsmekanism som avses i artikel 17</w:t>
      </w:r>
    </w:p>
    <w:p w:rsidR="00005ECD" w:rsidRPr="00005ECD" w:rsidRDefault="00005ECD" w:rsidP="00005ECD">
      <w:pPr>
        <w:pStyle w:val="Point0number"/>
        <w:numPr>
          <w:ilvl w:val="0"/>
          <w:numId w:val="27"/>
        </w:numPr>
        <w:rPr>
          <w:rFonts w:eastAsia="Calibri"/>
          <w:noProof/>
        </w:rPr>
      </w:pPr>
      <w:r>
        <w:rPr>
          <w:noProof/>
          <w:color w:val="231F20"/>
          <w:szCs w:val="24"/>
        </w:rPr>
        <w:t>Fastställande av den mängd som ska tilldelas företag för vilka det har fastställts ett referensvärde i enlighet med artikel 17.1.</w:t>
      </w:r>
    </w:p>
    <w:p w:rsidR="00005ECD" w:rsidRPr="00005ECD" w:rsidRDefault="00005ECD" w:rsidP="00005ECD">
      <w:pPr>
        <w:spacing w:before="120" w:after="120"/>
        <w:ind w:left="850"/>
        <w:rPr>
          <w:noProof/>
          <w:color w:val="231F20"/>
          <w:szCs w:val="24"/>
        </w:rPr>
      </w:pPr>
      <w:r>
        <w:rPr>
          <w:noProof/>
          <w:color w:val="231F20"/>
          <w:szCs w:val="24"/>
        </w:rPr>
        <w:t>Varje företag för vilket det har fastställts ett referensvärde ska tilldelas en kvot, vilken ska beräknas enligt följande:</w:t>
      </w:r>
    </w:p>
    <w:p w:rsidR="00005ECD" w:rsidRPr="00005ECD" w:rsidRDefault="00005ECD" w:rsidP="00005ECD">
      <w:pPr>
        <w:numPr>
          <w:ilvl w:val="0"/>
          <w:numId w:val="25"/>
        </w:numPr>
        <w:spacing w:before="120" w:after="120"/>
        <w:rPr>
          <w:noProof/>
          <w:color w:val="231F20"/>
          <w:szCs w:val="24"/>
        </w:rPr>
      </w:pPr>
      <w:r>
        <w:rPr>
          <w:noProof/>
          <w:color w:val="231F20"/>
          <w:szCs w:val="24"/>
        </w:rPr>
        <w:t>En kvot motsvarande 89 % av det referensvärde som avses i bilaga VII punkt 4 multiplicerat med den maximala mängden för det år för vilket kvoten tilldelas dividerat med basvärdet 176 700 479 ton koldioxidekvivalenter</w:t>
      </w:r>
      <w:r>
        <w:rPr>
          <w:noProof/>
          <w:color w:val="231F20"/>
          <w:szCs w:val="24"/>
          <w:vertAlign w:val="superscript"/>
          <w:lang w:val="en-US" w:eastAsia="en-US" w:bidi="en-US"/>
        </w:rPr>
        <w:footnoteReference w:id="21"/>
      </w:r>
      <w:r>
        <w:rPr>
          <w:noProof/>
          <w:color w:val="231F20"/>
          <w:szCs w:val="24"/>
        </w:rPr>
        <w:t>.</w:t>
      </w:r>
    </w:p>
    <w:p w:rsidR="00005ECD" w:rsidRPr="00005ECD" w:rsidRDefault="00005ECD" w:rsidP="00005ECD">
      <w:pPr>
        <w:numPr>
          <w:ilvl w:val="0"/>
          <w:numId w:val="26"/>
        </w:numPr>
        <w:spacing w:before="120" w:after="120"/>
        <w:rPr>
          <w:noProof/>
          <w:color w:val="231F20"/>
          <w:szCs w:val="24"/>
        </w:rPr>
      </w:pPr>
      <w:r>
        <w:rPr>
          <w:noProof/>
          <w:color w:val="231F20"/>
          <w:szCs w:val="24"/>
        </w:rPr>
        <w:t>I tillämpliga fall dessutom en kvot motsvarande det referensvärde som avses i bilaga VII punkt 4 ii multiplicerat med den maximala mängden för det år för vilket kvoten tilldelas, dividerat med den maximala mängden för 2024.</w:t>
      </w:r>
    </w:p>
    <w:p w:rsidR="00005ECD" w:rsidRPr="00005ECD" w:rsidRDefault="00005ECD" w:rsidP="00005ECD">
      <w:pPr>
        <w:spacing w:before="120" w:after="120"/>
        <w:ind w:left="850"/>
        <w:rPr>
          <w:noProof/>
          <w:color w:val="231F20"/>
          <w:szCs w:val="24"/>
        </w:rPr>
      </w:pPr>
      <w:r>
        <w:rPr>
          <w:noProof/>
          <w:color w:val="231F20"/>
          <w:szCs w:val="24"/>
        </w:rPr>
        <w:t xml:space="preserve">Om den maximala mängden överskrids efter tilldelningen av hela kvotmängden enligt andra stycket, ska alla kvoter minskas proportionellt. </w:t>
      </w:r>
    </w:p>
    <w:p w:rsidR="00005ECD" w:rsidRPr="00005ECD" w:rsidRDefault="00005ECD" w:rsidP="00005ECD">
      <w:pPr>
        <w:numPr>
          <w:ilvl w:val="0"/>
          <w:numId w:val="23"/>
        </w:numPr>
        <w:spacing w:before="120" w:after="120"/>
        <w:rPr>
          <w:noProof/>
          <w:color w:val="231F20"/>
          <w:szCs w:val="24"/>
        </w:rPr>
      </w:pPr>
      <w:r>
        <w:rPr>
          <w:noProof/>
          <w:color w:val="231F20"/>
          <w:szCs w:val="24"/>
        </w:rPr>
        <w:t>Fastställande av den kvot som ska tilldelas företag som har lämnat in en deklaration i enlighet med artikel 17.3.</w:t>
      </w:r>
    </w:p>
    <w:p w:rsidR="00005ECD" w:rsidRPr="00005ECD" w:rsidRDefault="00005ECD" w:rsidP="00005ECD">
      <w:pPr>
        <w:spacing w:before="120" w:after="120"/>
        <w:ind w:left="850"/>
        <w:rPr>
          <w:noProof/>
          <w:color w:val="231F20"/>
          <w:szCs w:val="24"/>
        </w:rPr>
      </w:pPr>
      <w:r>
        <w:rPr>
          <w:noProof/>
          <w:color w:val="231F20"/>
          <w:szCs w:val="24"/>
        </w:rPr>
        <w:t>Summan av de kvoter som tilldelats enligt punkt 1 ska subtraheras från den maximala mängden för det aktuella året enligt bilaga VII för att fastställa den reservmängd som ska tilldelas företag som har lämnat in en deklaration enligt artikel 17.3.</w:t>
      </w:r>
    </w:p>
    <w:p w:rsidR="00005ECD" w:rsidRPr="00005ECD" w:rsidRDefault="00005ECD" w:rsidP="00005ECD">
      <w:pPr>
        <w:spacing w:before="120" w:after="120"/>
        <w:ind w:left="850"/>
        <w:rPr>
          <w:rFonts w:eastAsia="Calibri"/>
          <w:noProof/>
          <w:szCs w:val="22"/>
        </w:rPr>
      </w:pPr>
      <w:r>
        <w:rPr>
          <w:noProof/>
          <w:color w:val="231F20"/>
          <w:szCs w:val="24"/>
        </w:rPr>
        <w:t>Varje företag ska ges en tilldelning som motsvarar en proportionell andel av reserven.</w:t>
      </w:r>
    </w:p>
    <w:p w:rsidR="00005ECD" w:rsidRPr="00005ECD" w:rsidRDefault="00005ECD" w:rsidP="00005ECD">
      <w:pPr>
        <w:spacing w:before="120" w:after="120"/>
        <w:ind w:left="850"/>
        <w:rPr>
          <w:rFonts w:eastAsia="Calibri"/>
          <w:noProof/>
          <w:color w:val="231F20"/>
          <w:szCs w:val="24"/>
        </w:rPr>
      </w:pPr>
      <w:r>
        <w:rPr>
          <w:noProof/>
          <w:color w:val="231F20"/>
          <w:szCs w:val="24"/>
        </w:rPr>
        <w:t>Den proportionella andelen beräknas genom att det antal företag som har lämnat in en deklaration divideras med 100.</w:t>
      </w:r>
    </w:p>
    <w:p w:rsidR="00005ECD" w:rsidRPr="00005ECD" w:rsidRDefault="00005ECD" w:rsidP="00005ECD">
      <w:pPr>
        <w:numPr>
          <w:ilvl w:val="0"/>
          <w:numId w:val="23"/>
        </w:numPr>
        <w:spacing w:before="120" w:after="120"/>
        <w:rPr>
          <w:rFonts w:eastAsia="Calibri"/>
          <w:noProof/>
          <w:szCs w:val="22"/>
        </w:rPr>
      </w:pPr>
      <w:r>
        <w:rPr>
          <w:noProof/>
        </w:rPr>
        <w:t xml:space="preserve">De sanktioner som fastställs i enlighet med artikel 31 ska beaktas i de beräkningar som avses ovan. </w:t>
      </w:r>
    </w:p>
    <w:p w:rsidR="00005ECD" w:rsidRPr="00005ECD" w:rsidRDefault="00005ECD" w:rsidP="00005ECD">
      <w:pPr>
        <w:spacing w:before="120" w:after="120"/>
        <w:ind w:left="850"/>
        <w:rPr>
          <w:rFonts w:eastAsia="Calibri"/>
          <w:noProof/>
          <w:szCs w:val="22"/>
          <w:lang w:eastAsia="en-US"/>
        </w:rPr>
      </w:pPr>
    </w:p>
    <w:p w:rsidR="00005ECD" w:rsidRDefault="00005ECD">
      <w:pPr>
        <w:spacing w:after="0"/>
        <w:jc w:val="left"/>
        <w:rPr>
          <w:noProof/>
        </w:rPr>
      </w:pPr>
      <w:r>
        <w:rPr>
          <w:noProof/>
        </w:rPr>
        <w:br w:type="page"/>
      </w:r>
    </w:p>
    <w:p w:rsidR="00005ECD" w:rsidRPr="009B7D62" w:rsidRDefault="00005ECD" w:rsidP="00005ECD">
      <w:pPr>
        <w:pStyle w:val="Annexetitre"/>
        <w:rPr>
          <w:noProof/>
        </w:rPr>
      </w:pPr>
      <w:r>
        <w:rPr>
          <w:noProof/>
        </w:rPr>
        <w:t>BILAGA IV</w:t>
      </w:r>
    </w:p>
    <w:p w:rsidR="00005ECD" w:rsidRPr="00DD56FA" w:rsidRDefault="00005ECD" w:rsidP="00005ECD">
      <w:pPr>
        <w:pStyle w:val="Bodytext30"/>
        <w:shd w:val="clear" w:color="auto" w:fill="auto"/>
        <w:spacing w:before="120" w:after="120" w:line="240" w:lineRule="auto"/>
        <w:rPr>
          <w:noProof/>
          <w:sz w:val="24"/>
          <w:szCs w:val="24"/>
        </w:rPr>
      </w:pPr>
      <w:r>
        <w:rPr>
          <w:noProof/>
          <w:sz w:val="24"/>
          <w:szCs w:val="24"/>
        </w:rPr>
        <w:t xml:space="preserve">UPPGIFTER SOM SKA RAPPORTERAS I ENLIGHET MED ARTIKEL 26 </w:t>
      </w:r>
    </w:p>
    <w:p w:rsidR="00005ECD" w:rsidRPr="00005ECD" w:rsidRDefault="00005ECD" w:rsidP="00005ECD">
      <w:pPr>
        <w:pStyle w:val="Point0number"/>
        <w:numPr>
          <w:ilvl w:val="0"/>
          <w:numId w:val="28"/>
        </w:numPr>
        <w:rPr>
          <w:noProof/>
          <w:szCs w:val="24"/>
        </w:rPr>
      </w:pPr>
      <w:r>
        <w:rPr>
          <w:rStyle w:val="Bodytext2"/>
          <w:rFonts w:eastAsiaTheme="minorHAnsi"/>
          <w:noProof/>
          <w:sz w:val="24"/>
          <w:szCs w:val="24"/>
        </w:rPr>
        <w:t>Varje producent som avses i artikel 26.1 ska rapportera om</w:t>
      </w:r>
    </w:p>
    <w:p w:rsidR="00005ECD" w:rsidRPr="0024432F" w:rsidRDefault="00005ECD" w:rsidP="00005ECD">
      <w:pPr>
        <w:pStyle w:val="Point1letter"/>
        <w:numPr>
          <w:ilvl w:val="3"/>
          <w:numId w:val="23"/>
        </w:numPr>
        <w:rPr>
          <w:rStyle w:val="Bodytext2"/>
          <w:rFonts w:eastAsiaTheme="minorHAnsi"/>
          <w:noProof/>
          <w:sz w:val="24"/>
          <w:szCs w:val="24"/>
        </w:rPr>
      </w:pPr>
      <w:r>
        <w:rPr>
          <w:rStyle w:val="Bodytext2"/>
          <w:rFonts w:eastAsiaTheme="minorHAnsi"/>
          <w:noProof/>
          <w:sz w:val="24"/>
          <w:szCs w:val="24"/>
        </w:rPr>
        <w:t xml:space="preserve">den totala mängd av varje ämne som förtecknas i bilagorna I, II och III som den har producerat i unionen, inklusive biproduktion, och därvid göra åtskillnad mellan de mängder som avskilts och inte avskilts och identifiera de mängder från sådan produktion eller biproduktion som destruerats eller som inte avskilts eller, om de avskilts, som destruerats innan de släpptes ut på marknaden, antingen i producentens anläggningar eller i andra företag för destruktion, samt det företag som utförde destruktionen, </w:t>
      </w:r>
    </w:p>
    <w:p w:rsidR="00005ECD" w:rsidRPr="00617CBF" w:rsidRDefault="00005ECD" w:rsidP="00005ECD">
      <w:pPr>
        <w:pStyle w:val="Point1letter"/>
        <w:numPr>
          <w:ilvl w:val="3"/>
          <w:numId w:val="23"/>
        </w:numPr>
        <w:rPr>
          <w:noProof/>
        </w:rPr>
      </w:pPr>
      <w:r>
        <w:rPr>
          <w:rStyle w:val="Bodytext2"/>
          <w:rFonts w:eastAsiaTheme="minorHAnsi"/>
          <w:noProof/>
          <w:sz w:val="24"/>
          <w:szCs w:val="24"/>
        </w:rPr>
        <w:t>de viktigaste kategorierna av tillämpningar inom vilka ämnet används,</w:t>
      </w:r>
    </w:p>
    <w:p w:rsidR="00005ECD" w:rsidRPr="0024432F" w:rsidRDefault="00005ECD" w:rsidP="00005ECD">
      <w:pPr>
        <w:pStyle w:val="Point1letter"/>
        <w:numPr>
          <w:ilvl w:val="3"/>
          <w:numId w:val="23"/>
        </w:numPr>
        <w:rPr>
          <w:rStyle w:val="Bodytext2"/>
          <w:rFonts w:eastAsiaTheme="minorHAnsi"/>
          <w:noProof/>
          <w:sz w:val="24"/>
          <w:szCs w:val="24"/>
        </w:rPr>
      </w:pPr>
      <w:r>
        <w:rPr>
          <w:rStyle w:val="Bodytext2"/>
          <w:rFonts w:eastAsiaTheme="minorHAnsi"/>
          <w:noProof/>
          <w:sz w:val="24"/>
          <w:szCs w:val="24"/>
        </w:rPr>
        <w:t>de mängder av varje ämne som förtecknas i bilagorna I, II och III som producenten har släppt ut på marknaden i unionen, med separata uppgifter om</w:t>
      </w:r>
    </w:p>
    <w:p w:rsidR="00005ECD" w:rsidRPr="0024432F" w:rsidRDefault="00005ECD" w:rsidP="00005ECD">
      <w:pPr>
        <w:pStyle w:val="Tiret1"/>
        <w:tabs>
          <w:tab w:val="clear" w:pos="476"/>
          <w:tab w:val="num" w:pos="1417"/>
        </w:tabs>
        <w:ind w:left="1417" w:hanging="567"/>
        <w:rPr>
          <w:rStyle w:val="Bodytext2"/>
          <w:rFonts w:eastAsiaTheme="minorHAnsi"/>
          <w:noProof/>
          <w:sz w:val="24"/>
          <w:szCs w:val="24"/>
        </w:rPr>
      </w:pPr>
      <w:r>
        <w:rPr>
          <w:rStyle w:val="Bodytext2"/>
          <w:rFonts w:eastAsia="Calibri"/>
          <w:noProof/>
          <w:sz w:val="24"/>
          <w:szCs w:val="24"/>
        </w:rPr>
        <w:t xml:space="preserve"> mängder som släpps ut på marknaden för användning som råmaterial, inbegripet, när det gäller HFC-23, oavsett om de har avskilts i förväg eller inte,</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direktexport,</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 xml:space="preserve">framställning av dosinhalatorer för dosering av farmaceutiska substanser, </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användning i militär utrustning,</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 xml:space="preserve"> användning för etsning av halvledarmaterial och rengöring av kammare för utfällning genom kemisk förångning inom halvledartillverkningsindustrin,</w:t>
      </w:r>
    </w:p>
    <w:p w:rsidR="00005ECD" w:rsidRPr="0024432F" w:rsidRDefault="00005ECD" w:rsidP="00005ECD">
      <w:pPr>
        <w:pStyle w:val="Tiret1"/>
        <w:tabs>
          <w:tab w:val="clear" w:pos="476"/>
          <w:tab w:val="num" w:pos="1417"/>
        </w:tabs>
        <w:ind w:left="1417" w:hanging="567"/>
        <w:rPr>
          <w:rStyle w:val="Bodytext2"/>
          <w:rFonts w:eastAsiaTheme="minorHAnsi"/>
          <w:noProof/>
          <w:sz w:val="24"/>
          <w:szCs w:val="24"/>
        </w:rPr>
      </w:pPr>
      <w:r>
        <w:rPr>
          <w:rStyle w:val="Bodytext2"/>
          <w:rFonts w:eastAsia="Calibri"/>
          <w:noProof/>
          <w:sz w:val="24"/>
          <w:szCs w:val="24"/>
        </w:rPr>
        <w:t>mängder av fluorkolväten som produceras för sådana användningsområden inom unionen som är undantagna enligt Montrealprotokollet,</w:t>
      </w:r>
    </w:p>
    <w:p w:rsidR="00005ECD" w:rsidRPr="0024432F" w:rsidRDefault="00005ECD" w:rsidP="00005ECD">
      <w:pPr>
        <w:pStyle w:val="Point1letter"/>
        <w:numPr>
          <w:ilvl w:val="3"/>
          <w:numId w:val="23"/>
        </w:numPr>
        <w:rPr>
          <w:noProof/>
        </w:rPr>
      </w:pPr>
      <w:r>
        <w:rPr>
          <w:rStyle w:val="Bodytext2"/>
          <w:rFonts w:eastAsiaTheme="minorHAnsi"/>
          <w:noProof/>
          <w:sz w:val="24"/>
          <w:szCs w:val="24"/>
        </w:rPr>
        <w:t>eventuella lager som innehas i början och i slutet av varje rapporteringsperiod, med uppgift om huruvida dessa släppts ut på marknaden, eller inte.</w:t>
      </w:r>
    </w:p>
    <w:p w:rsidR="00005ECD" w:rsidRPr="00DD56FA" w:rsidRDefault="00005ECD" w:rsidP="00005ECD">
      <w:pPr>
        <w:pStyle w:val="Point0number"/>
        <w:numPr>
          <w:ilvl w:val="0"/>
          <w:numId w:val="23"/>
        </w:numPr>
        <w:rPr>
          <w:noProof/>
          <w:szCs w:val="24"/>
        </w:rPr>
      </w:pPr>
      <w:r>
        <w:rPr>
          <w:rStyle w:val="Bodytext2"/>
          <w:rFonts w:eastAsiaTheme="minorHAnsi"/>
          <w:noProof/>
          <w:sz w:val="24"/>
          <w:szCs w:val="24"/>
        </w:rPr>
        <w:t>Varje importör som avses i artikel 26.1 första stycket ska rapportera om</w:t>
      </w:r>
    </w:p>
    <w:p w:rsidR="00005ECD" w:rsidRPr="0024432F" w:rsidRDefault="00005ECD" w:rsidP="00005ECD">
      <w:pPr>
        <w:pStyle w:val="Point1letter"/>
        <w:numPr>
          <w:ilvl w:val="3"/>
          <w:numId w:val="23"/>
        </w:numPr>
        <w:rPr>
          <w:rStyle w:val="Bodytext2"/>
          <w:rFonts w:eastAsiaTheme="minorHAnsi"/>
          <w:noProof/>
          <w:sz w:val="24"/>
          <w:szCs w:val="24"/>
        </w:rPr>
      </w:pPr>
      <w:r>
        <w:rPr>
          <w:rStyle w:val="Bodytext2"/>
          <w:rFonts w:eastAsiaTheme="minorHAnsi"/>
          <w:noProof/>
          <w:sz w:val="24"/>
          <w:szCs w:val="24"/>
        </w:rPr>
        <w:t>den sammanlagda mängden av varje ämne som förtecknas i bilagorna I, II och III som importören har importerat till unionen, med uppgift om de viktigaste tillämpningskategorierna inom vilka ämnet används, med separat angivelse av</w:t>
      </w:r>
    </w:p>
    <w:p w:rsidR="00005ECD" w:rsidRPr="0024432F" w:rsidRDefault="00005ECD" w:rsidP="00005ECD">
      <w:pPr>
        <w:pStyle w:val="Tiret1"/>
        <w:numPr>
          <w:ilvl w:val="0"/>
          <w:numId w:val="26"/>
        </w:numPr>
        <w:rPr>
          <w:rStyle w:val="Bodytext2"/>
          <w:rFonts w:eastAsiaTheme="minorEastAsia"/>
          <w:noProof/>
          <w:sz w:val="24"/>
          <w:szCs w:val="24"/>
        </w:rPr>
      </w:pPr>
      <w:r>
        <w:rPr>
          <w:rStyle w:val="Bodytext2"/>
          <w:rFonts w:eastAsia="Calibri"/>
          <w:noProof/>
          <w:sz w:val="24"/>
          <w:szCs w:val="24"/>
        </w:rPr>
        <w:t xml:space="preserve">importerade mängder, som inte övergått till fri omsättning, och som har återexporterats ingående i produkter eller utrustning av det rapporterande företaget,  </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 xml:space="preserve">mängder avsedda för destruktion, med uppgift om det företag som utför destruktionen, </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användning som råmaterial, med separat uppgift om mängden fluorkolväten som importerats för användning som råmaterial och om identiteten på det företag som använder råvaran,</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direktexport, med uppgift om det exporterande företaget,</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produktion av dosinhalatorer för dosering av farmaceutiska substanser, med uppgift om producenten</w:t>
      </w:r>
      <w:r>
        <w:rPr>
          <w:noProof/>
          <w:color w:val="444444"/>
          <w:szCs w:val="24"/>
          <w:shd w:val="clear" w:color="auto" w:fill="FFFFFF"/>
        </w:rPr>
        <w:t>,</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användning i militär utrustning, identifiering av det företag som tar emot mängderna för detta ändamål,</w:t>
      </w:r>
    </w:p>
    <w:p w:rsidR="00005ECD" w:rsidRPr="0024432F" w:rsidRDefault="00005ECD" w:rsidP="00005ECD">
      <w:pPr>
        <w:pStyle w:val="Tiret1"/>
        <w:numPr>
          <w:ilvl w:val="0"/>
          <w:numId w:val="26"/>
        </w:numPr>
        <w:rPr>
          <w:rStyle w:val="Bodytext2"/>
          <w:rFonts w:eastAsiaTheme="minorHAnsi"/>
          <w:noProof/>
          <w:sz w:val="24"/>
          <w:szCs w:val="24"/>
        </w:rPr>
      </w:pPr>
      <w:r>
        <w:rPr>
          <w:rStyle w:val="Bodytext2"/>
          <w:rFonts w:eastAsia="Calibri"/>
          <w:noProof/>
          <w:sz w:val="24"/>
          <w:szCs w:val="24"/>
        </w:rPr>
        <w:t>användning för etsning av halvledarmaterial och rengöring av kammare för utfällning genom kemisk förångning inom halvledartillverkningsindustrin, med uppgift om den mottagande tillverkaren av halvledare,</w:t>
      </w:r>
    </w:p>
    <w:p w:rsidR="00005ECD" w:rsidRPr="0024432F" w:rsidRDefault="00005ECD" w:rsidP="00005ECD">
      <w:pPr>
        <w:pStyle w:val="Tiret1"/>
        <w:numPr>
          <w:ilvl w:val="0"/>
          <w:numId w:val="26"/>
        </w:numPr>
        <w:rPr>
          <w:rStyle w:val="Bodytext2"/>
          <w:rFonts w:eastAsiaTheme="minorEastAsia"/>
          <w:noProof/>
          <w:sz w:val="24"/>
          <w:szCs w:val="24"/>
        </w:rPr>
      </w:pPr>
      <w:r>
        <w:rPr>
          <w:rStyle w:val="Bodytext2"/>
          <w:rFonts w:eastAsia="Calibri"/>
          <w:noProof/>
          <w:sz w:val="24"/>
          <w:szCs w:val="24"/>
        </w:rPr>
        <w:t>de mängder fluorkolväten som ingår i förblandade polyoler,</w:t>
      </w:r>
    </w:p>
    <w:p w:rsidR="00005ECD" w:rsidRPr="0024432F" w:rsidRDefault="00005ECD" w:rsidP="00005ECD">
      <w:pPr>
        <w:pStyle w:val="Tiret1"/>
        <w:numPr>
          <w:ilvl w:val="0"/>
          <w:numId w:val="26"/>
        </w:numPr>
        <w:rPr>
          <w:rStyle w:val="Bodytext2"/>
          <w:rFonts w:eastAsiaTheme="minorEastAsia"/>
          <w:noProof/>
          <w:sz w:val="24"/>
          <w:szCs w:val="24"/>
        </w:rPr>
      </w:pPr>
      <w:r>
        <w:rPr>
          <w:rStyle w:val="Bodytext2"/>
          <w:rFonts w:eastAsia="Calibri"/>
          <w:noProof/>
          <w:sz w:val="24"/>
          <w:szCs w:val="24"/>
        </w:rPr>
        <w:t>mängderna använda, återanvända eller regenererade fluorkolväten,</w:t>
      </w:r>
    </w:p>
    <w:p w:rsidR="00005ECD" w:rsidRPr="00B4478C" w:rsidRDefault="00005ECD" w:rsidP="00005ECD">
      <w:pPr>
        <w:pStyle w:val="Tiret1"/>
        <w:numPr>
          <w:ilvl w:val="0"/>
          <w:numId w:val="26"/>
        </w:numPr>
        <w:rPr>
          <w:rFonts w:eastAsiaTheme="minorEastAsia"/>
          <w:noProof/>
          <w:color w:val="231F20"/>
          <w:szCs w:val="24"/>
        </w:rPr>
      </w:pPr>
      <w:r>
        <w:rPr>
          <w:rStyle w:val="Bodytext2"/>
          <w:rFonts w:eastAsia="Calibri"/>
          <w:noProof/>
          <w:sz w:val="24"/>
          <w:szCs w:val="24"/>
        </w:rPr>
        <w:t>mängderna fluorkolväten som importeras för användningsområden som är undantagna enligt Montrealprotokollet.</w:t>
      </w:r>
    </w:p>
    <w:p w:rsidR="00005ECD" w:rsidRPr="001F2B47" w:rsidRDefault="00005ECD" w:rsidP="00005ECD">
      <w:pPr>
        <w:pStyle w:val="Tiret1"/>
        <w:tabs>
          <w:tab w:val="clear" w:pos="476"/>
          <w:tab w:val="num" w:pos="1417"/>
        </w:tabs>
        <w:ind w:left="1417" w:hanging="567"/>
        <w:rPr>
          <w:rStyle w:val="Bodytext2"/>
          <w:rFonts w:eastAsiaTheme="minorEastAsia"/>
          <w:noProof/>
          <w:sz w:val="24"/>
          <w:szCs w:val="24"/>
        </w:rPr>
      </w:pPr>
      <w:r>
        <w:rPr>
          <w:rStyle w:val="Bodytext2"/>
          <w:rFonts w:eastAsia="Calibri"/>
          <w:noProof/>
          <w:sz w:val="24"/>
          <w:szCs w:val="24"/>
        </w:rPr>
        <w:t>Mängderna fluorkolväten ska rapporteras separat för varje ursprungsland.</w:t>
      </w:r>
    </w:p>
    <w:p w:rsidR="00005ECD" w:rsidRPr="00DD56FA" w:rsidRDefault="00005ECD" w:rsidP="00005ECD">
      <w:pPr>
        <w:pStyle w:val="Point1letter"/>
        <w:numPr>
          <w:ilvl w:val="3"/>
          <w:numId w:val="23"/>
        </w:numPr>
        <w:rPr>
          <w:noProof/>
          <w:szCs w:val="24"/>
        </w:rPr>
      </w:pPr>
      <w:r>
        <w:rPr>
          <w:rStyle w:val="Bodytext2"/>
          <w:rFonts w:eastAsiaTheme="minorHAnsi"/>
          <w:noProof/>
          <w:sz w:val="24"/>
          <w:szCs w:val="24"/>
        </w:rPr>
        <w:t>eventuella lager som innehas i början och i slutet av varje rapporteringsperiod, med uppgift om huruvida dessa redan släppts ut på marknaden, eller inte.</w:t>
      </w:r>
    </w:p>
    <w:p w:rsidR="00005ECD" w:rsidRPr="00524344" w:rsidRDefault="00005ECD" w:rsidP="00005ECD">
      <w:pPr>
        <w:pStyle w:val="Point0number"/>
        <w:numPr>
          <w:ilvl w:val="0"/>
          <w:numId w:val="23"/>
        </w:numPr>
        <w:rPr>
          <w:noProof/>
          <w:szCs w:val="24"/>
        </w:rPr>
      </w:pPr>
      <w:r>
        <w:rPr>
          <w:rStyle w:val="Bodytext2"/>
          <w:rFonts w:eastAsiaTheme="minorHAnsi"/>
          <w:noProof/>
          <w:sz w:val="24"/>
          <w:szCs w:val="24"/>
        </w:rPr>
        <w:t>Varje exportör som avses i artikel 26.1 första stycket ska rapportera om de mängder av varje ämne som förtecknas i bilagorna I, II och III som exportören har exporterat från unionen</w:t>
      </w:r>
      <w:r>
        <w:rPr>
          <w:noProof/>
        </w:rPr>
        <w:t xml:space="preserve"> och ange om ämnena härrör från egen produktion eller import eller om de köpts från andra företag inom unionen.</w:t>
      </w:r>
    </w:p>
    <w:p w:rsidR="00005ECD" w:rsidRPr="00DD56FA" w:rsidRDefault="00005ECD" w:rsidP="00005ECD">
      <w:pPr>
        <w:pStyle w:val="Point0number"/>
        <w:numPr>
          <w:ilvl w:val="0"/>
          <w:numId w:val="23"/>
        </w:numPr>
        <w:rPr>
          <w:noProof/>
          <w:szCs w:val="24"/>
        </w:rPr>
      </w:pPr>
      <w:r>
        <w:rPr>
          <w:rStyle w:val="Bodytext2"/>
          <w:rFonts w:eastAsiaTheme="minorHAnsi"/>
          <w:noProof/>
          <w:sz w:val="24"/>
          <w:szCs w:val="24"/>
        </w:rPr>
        <w:t>Varje företag som avses i artikel 26.2 ska rapportera om</w:t>
      </w:r>
    </w:p>
    <w:p w:rsidR="00005ECD" w:rsidRPr="00DD56FA" w:rsidRDefault="00005ECD" w:rsidP="00005ECD">
      <w:pPr>
        <w:pStyle w:val="Point1letter"/>
        <w:numPr>
          <w:ilvl w:val="3"/>
          <w:numId w:val="23"/>
        </w:numPr>
        <w:rPr>
          <w:noProof/>
          <w:szCs w:val="24"/>
        </w:rPr>
      </w:pPr>
      <w:r>
        <w:rPr>
          <w:rStyle w:val="Bodytext2"/>
          <w:rFonts w:eastAsiaTheme="minorHAnsi"/>
          <w:noProof/>
          <w:sz w:val="24"/>
          <w:szCs w:val="24"/>
        </w:rPr>
        <w:t xml:space="preserve">de mängder av varje ämne som förtecknas i bilaga I, II och III som har destruerats, inbegripet mängderna av de ämnen som ingår i produkter eller utrustning, </w:t>
      </w:r>
    </w:p>
    <w:p w:rsidR="00005ECD" w:rsidRPr="00DD56FA" w:rsidRDefault="00005ECD" w:rsidP="00005ECD">
      <w:pPr>
        <w:pStyle w:val="Point1letter"/>
        <w:numPr>
          <w:ilvl w:val="3"/>
          <w:numId w:val="23"/>
        </w:numPr>
        <w:rPr>
          <w:noProof/>
          <w:szCs w:val="24"/>
        </w:rPr>
      </w:pPr>
      <w:r>
        <w:rPr>
          <w:rStyle w:val="Bodytext2"/>
          <w:rFonts w:eastAsiaTheme="minorHAnsi"/>
          <w:noProof/>
          <w:sz w:val="24"/>
          <w:szCs w:val="24"/>
        </w:rPr>
        <w:t>eventuella lager av varje ämne som förtecknas i bilaga I, II och III som väntar på destruktion, inbegripet mängderna av de ämnen som ingår i produkter eller utrustning,</w:t>
      </w:r>
    </w:p>
    <w:p w:rsidR="00005ECD" w:rsidRPr="00DD56FA" w:rsidRDefault="00005ECD" w:rsidP="00005ECD">
      <w:pPr>
        <w:pStyle w:val="Point1letter"/>
        <w:numPr>
          <w:ilvl w:val="3"/>
          <w:numId w:val="23"/>
        </w:numPr>
        <w:rPr>
          <w:noProof/>
          <w:szCs w:val="24"/>
        </w:rPr>
      </w:pPr>
      <w:r>
        <w:rPr>
          <w:rStyle w:val="Bodytext2"/>
          <w:rFonts w:eastAsiaTheme="minorHAnsi"/>
          <w:noProof/>
          <w:sz w:val="24"/>
          <w:szCs w:val="24"/>
        </w:rPr>
        <w:t>den teknik som används för destruktion av de ämnen som förtecknas i bilaga I, II och III.</w:t>
      </w:r>
    </w:p>
    <w:p w:rsidR="00005ECD" w:rsidRPr="00DD56FA" w:rsidRDefault="00005ECD" w:rsidP="00005ECD">
      <w:pPr>
        <w:pStyle w:val="Point0number"/>
        <w:numPr>
          <w:ilvl w:val="0"/>
          <w:numId w:val="23"/>
        </w:numPr>
        <w:rPr>
          <w:noProof/>
          <w:szCs w:val="24"/>
        </w:rPr>
      </w:pPr>
      <w:r>
        <w:rPr>
          <w:rStyle w:val="Bodytext2"/>
          <w:rFonts w:eastAsiaTheme="minorHAnsi"/>
          <w:noProof/>
          <w:sz w:val="24"/>
          <w:szCs w:val="24"/>
        </w:rPr>
        <w:t>Varje företag som avses i artikel 26.3 ska rapportera om de mängder av varje ämne som förtecknas i bilaga I som används som råmaterial.</w:t>
      </w:r>
    </w:p>
    <w:p w:rsidR="00005ECD" w:rsidRPr="00DD56FA" w:rsidRDefault="00005ECD" w:rsidP="00005ECD">
      <w:pPr>
        <w:pStyle w:val="Point0number"/>
        <w:numPr>
          <w:ilvl w:val="0"/>
          <w:numId w:val="23"/>
        </w:numPr>
        <w:rPr>
          <w:noProof/>
          <w:szCs w:val="24"/>
        </w:rPr>
      </w:pPr>
      <w:r>
        <w:rPr>
          <w:rStyle w:val="Bodytext2"/>
          <w:rFonts w:eastAsiaTheme="minorHAnsi"/>
          <w:noProof/>
          <w:sz w:val="24"/>
          <w:szCs w:val="24"/>
        </w:rPr>
        <w:t>Varje företag som avses i artikel 26.4 ska rapportera om</w:t>
      </w:r>
    </w:p>
    <w:p w:rsidR="00005ECD" w:rsidRPr="00DD56FA" w:rsidRDefault="00005ECD" w:rsidP="00005ECD">
      <w:pPr>
        <w:pStyle w:val="Point1letter"/>
        <w:numPr>
          <w:ilvl w:val="3"/>
          <w:numId w:val="23"/>
        </w:numPr>
        <w:rPr>
          <w:noProof/>
          <w:szCs w:val="24"/>
        </w:rPr>
      </w:pPr>
      <w:r>
        <w:rPr>
          <w:rStyle w:val="Bodytext2"/>
          <w:rFonts w:eastAsiaTheme="minorHAnsi"/>
          <w:noProof/>
          <w:sz w:val="24"/>
          <w:szCs w:val="24"/>
        </w:rPr>
        <w:t>kategorierna av produkter eller utrustning som innehåller ämnen som förtecknas i bilaga I, II och III,</w:t>
      </w:r>
    </w:p>
    <w:p w:rsidR="00005ECD" w:rsidRPr="00DD56FA" w:rsidRDefault="00005ECD" w:rsidP="00005ECD">
      <w:pPr>
        <w:pStyle w:val="Point1letter"/>
        <w:numPr>
          <w:ilvl w:val="3"/>
          <w:numId w:val="23"/>
        </w:numPr>
        <w:rPr>
          <w:noProof/>
          <w:szCs w:val="24"/>
        </w:rPr>
      </w:pPr>
      <w:r>
        <w:rPr>
          <w:rStyle w:val="Bodytext2"/>
          <w:rFonts w:eastAsiaTheme="minorHAnsi"/>
          <w:noProof/>
          <w:sz w:val="24"/>
          <w:szCs w:val="24"/>
        </w:rPr>
        <w:t>antal enheter,</w:t>
      </w:r>
    </w:p>
    <w:p w:rsidR="00005ECD" w:rsidRPr="00B4478C" w:rsidRDefault="00005ECD" w:rsidP="00005ECD">
      <w:pPr>
        <w:pStyle w:val="Point1letter"/>
        <w:numPr>
          <w:ilvl w:val="3"/>
          <w:numId w:val="23"/>
        </w:numPr>
        <w:rPr>
          <w:rStyle w:val="Bodytext2"/>
          <w:rFonts w:eastAsiaTheme="minorHAnsi"/>
          <w:noProof/>
          <w:sz w:val="24"/>
          <w:szCs w:val="24"/>
        </w:rPr>
      </w:pPr>
      <w:r>
        <w:rPr>
          <w:rStyle w:val="Bodytext2"/>
          <w:rFonts w:eastAsiaTheme="minorHAnsi"/>
          <w:noProof/>
          <w:sz w:val="24"/>
          <w:szCs w:val="24"/>
        </w:rPr>
        <w:t>eventuella mängder av varje ämne som förtecknas i bilaga I, II och III som ingår i produkterna eller utrustningen.</w:t>
      </w:r>
    </w:p>
    <w:p w:rsidR="00005ECD" w:rsidRPr="00B4478C" w:rsidRDefault="00005ECD" w:rsidP="00005ECD">
      <w:pPr>
        <w:pStyle w:val="Point1letter"/>
        <w:numPr>
          <w:ilvl w:val="3"/>
          <w:numId w:val="23"/>
        </w:numPr>
        <w:rPr>
          <w:noProof/>
          <w:color w:val="231F20"/>
          <w:szCs w:val="24"/>
        </w:rPr>
      </w:pPr>
      <w:r>
        <w:rPr>
          <w:rStyle w:val="Bodytext2"/>
          <w:rFonts w:eastAsiaTheme="minorHAnsi"/>
          <w:noProof/>
          <w:sz w:val="24"/>
          <w:szCs w:val="24"/>
        </w:rPr>
        <w:t>mängd fluorkolväten som fyllts på i den importerade utrustningen, som övergått till fri omsättning och för vilken fluorkolvätena tidigare hade exporterats från unionen och som hade omfattats av kvotbegränsningarna av fluorkolväten för utsläppande på unionsmarknaden. I sådana fall ska det i rapporten också anges</w:t>
      </w:r>
      <w:r>
        <w:rPr>
          <w:noProof/>
        </w:rPr>
        <w:t xml:space="preserve"> det exporterande företagets namn och exportåret samt namnet på det företag som släppte ut fluorkolvätena på unionsmarknaden första gången samt året för utsläppandet på marknaden.</w:t>
      </w:r>
    </w:p>
    <w:p w:rsidR="00005ECD" w:rsidRPr="00DD56FA" w:rsidRDefault="00005ECD" w:rsidP="00005ECD">
      <w:pPr>
        <w:pStyle w:val="Point0number"/>
        <w:numPr>
          <w:ilvl w:val="0"/>
          <w:numId w:val="23"/>
        </w:numPr>
        <w:rPr>
          <w:rStyle w:val="Bodytext2"/>
          <w:rFonts w:eastAsiaTheme="minorEastAsia"/>
          <w:noProof/>
          <w:sz w:val="24"/>
          <w:szCs w:val="24"/>
        </w:rPr>
      </w:pPr>
      <w:r>
        <w:rPr>
          <w:rStyle w:val="Bodytext2"/>
          <w:rFonts w:eastAsiaTheme="minorHAnsi"/>
          <w:noProof/>
          <w:sz w:val="24"/>
          <w:szCs w:val="24"/>
        </w:rPr>
        <w:t>Varje företag som avses i artikel 26.5 ska rapportera de mängder av varje ämne det har tagit emot från importörer och producenter för destruktion, användning som råmaterial, direktexport, produktion av dosinhalatorer för dosering av farmaceutiska substanser, användning i militär utrustning och användning vid etsning av halvledarmaterial eller rengöring av kammare för utfällning genom kemisk förångning inom halvledartillverkningsindustrin.</w:t>
      </w:r>
    </w:p>
    <w:p w:rsidR="00005ECD" w:rsidRPr="00DD56FA" w:rsidRDefault="00005ECD" w:rsidP="00005ECD">
      <w:pPr>
        <w:pStyle w:val="Text1"/>
        <w:rPr>
          <w:rStyle w:val="Bodytext2"/>
          <w:rFonts w:eastAsiaTheme="minorEastAsia"/>
          <w:noProof/>
          <w:sz w:val="24"/>
          <w:szCs w:val="24"/>
        </w:rPr>
      </w:pPr>
      <w:r>
        <w:rPr>
          <w:rStyle w:val="Bodytext2"/>
          <w:noProof/>
          <w:sz w:val="24"/>
          <w:szCs w:val="24"/>
        </w:rPr>
        <w:t>Producenten av dosinhalatorer för dosering av farmaceutiska substanser ska rapportera om typen av fluorkolväten och de mängder som använts.</w:t>
      </w:r>
    </w:p>
    <w:p w:rsidR="00005ECD" w:rsidRPr="00DD56FA" w:rsidRDefault="00005ECD" w:rsidP="00005ECD">
      <w:pPr>
        <w:pStyle w:val="Point0number"/>
        <w:numPr>
          <w:ilvl w:val="0"/>
          <w:numId w:val="23"/>
        </w:numPr>
        <w:rPr>
          <w:rStyle w:val="Bodytext2"/>
          <w:rFonts w:eastAsiaTheme="minorHAnsi"/>
          <w:noProof/>
          <w:color w:val="000000"/>
          <w:spacing w:val="10"/>
          <w:sz w:val="24"/>
          <w:szCs w:val="24"/>
        </w:rPr>
      </w:pPr>
      <w:r>
        <w:rPr>
          <w:rStyle w:val="Bodytext2"/>
          <w:rFonts w:eastAsiaTheme="minorHAnsi"/>
          <w:noProof/>
          <w:sz w:val="24"/>
          <w:szCs w:val="24"/>
        </w:rPr>
        <w:t>Varje företag som avses i artikel 26.6 ska rapportera om</w:t>
      </w:r>
    </w:p>
    <w:p w:rsidR="00005ECD" w:rsidRPr="00DD56FA" w:rsidRDefault="00005ECD" w:rsidP="00005ECD">
      <w:pPr>
        <w:pStyle w:val="Point1letter"/>
        <w:numPr>
          <w:ilvl w:val="3"/>
          <w:numId w:val="23"/>
        </w:numPr>
        <w:rPr>
          <w:rStyle w:val="Bodytext2"/>
          <w:rFonts w:eastAsiaTheme="minorHAnsi"/>
          <w:noProof/>
          <w:color w:val="000000"/>
          <w:spacing w:val="10"/>
          <w:sz w:val="24"/>
          <w:szCs w:val="24"/>
        </w:rPr>
      </w:pPr>
      <w:r>
        <w:rPr>
          <w:rStyle w:val="Bodytext2"/>
          <w:rFonts w:eastAsiaTheme="minorHAnsi"/>
          <w:noProof/>
          <w:sz w:val="24"/>
          <w:szCs w:val="24"/>
        </w:rPr>
        <w:t>de mängder av varje ämne som förtecknas i bilaga I, II och III som företaget har regenererat, och</w:t>
      </w:r>
    </w:p>
    <w:p w:rsidR="00005ECD" w:rsidRPr="00DD56FA" w:rsidRDefault="00005ECD" w:rsidP="00005ECD">
      <w:pPr>
        <w:pStyle w:val="Point1letter"/>
        <w:numPr>
          <w:ilvl w:val="3"/>
          <w:numId w:val="23"/>
        </w:numPr>
        <w:rPr>
          <w:rStyle w:val="Bodytext2"/>
          <w:rFonts w:eastAsiaTheme="minorHAnsi"/>
          <w:noProof/>
          <w:color w:val="000000"/>
          <w:sz w:val="24"/>
          <w:szCs w:val="24"/>
        </w:rPr>
      </w:pPr>
      <w:r>
        <w:rPr>
          <w:rStyle w:val="Bodytext2"/>
          <w:rFonts w:eastAsiaTheme="minorHAnsi"/>
          <w:noProof/>
          <w:sz w:val="24"/>
          <w:szCs w:val="24"/>
        </w:rPr>
        <w:t>de mängder av varje ämne som förtecknas i bilagorna I, II och III och som väntar på att återanvändas.</w:t>
      </w:r>
    </w:p>
    <w:p w:rsidR="00005ECD" w:rsidRPr="00DD56FA" w:rsidRDefault="00005ECD" w:rsidP="00005ECD">
      <w:pPr>
        <w:rPr>
          <w:noProof/>
          <w:szCs w:val="24"/>
        </w:rPr>
      </w:pPr>
    </w:p>
    <w:p w:rsidR="00005ECD" w:rsidRDefault="00005ECD">
      <w:pPr>
        <w:spacing w:after="0"/>
        <w:jc w:val="left"/>
        <w:rPr>
          <w:noProof/>
        </w:rPr>
      </w:pPr>
      <w:r>
        <w:rPr>
          <w:noProof/>
        </w:rPr>
        <w:br w:type="page"/>
      </w:r>
    </w:p>
    <w:p w:rsidR="004D10E6" w:rsidRPr="004D10E6" w:rsidRDefault="004D10E6" w:rsidP="004D10E6">
      <w:pPr>
        <w:spacing w:before="120" w:after="120"/>
        <w:jc w:val="center"/>
        <w:rPr>
          <w:rFonts w:eastAsia="Calibri"/>
          <w:b/>
          <w:noProof/>
          <w:szCs w:val="22"/>
          <w:u w:val="single"/>
        </w:rPr>
      </w:pPr>
      <w:r>
        <w:rPr>
          <w:b/>
          <w:noProof/>
          <w:szCs w:val="22"/>
          <w:u w:val="single"/>
        </w:rPr>
        <w:t>BILAGA X</w:t>
      </w:r>
    </w:p>
    <w:p w:rsidR="00FE0388" w:rsidRPr="004D10E6" w:rsidRDefault="004D10E6" w:rsidP="00FE0388">
      <w:pPr>
        <w:keepNext/>
        <w:spacing w:before="120" w:after="360"/>
        <w:jc w:val="center"/>
        <w:rPr>
          <w:rFonts w:eastAsia="Calibri"/>
          <w:b/>
          <w:i/>
          <w:noProof/>
          <w:szCs w:val="24"/>
        </w:rPr>
      </w:pPr>
      <w:r>
        <w:rPr>
          <w:b/>
          <w:i/>
          <w:noProof/>
          <w:szCs w:val="24"/>
        </w:rPr>
        <w:t>Jämförelsetabell</w:t>
      </w:r>
    </w:p>
    <w:tbl>
      <w:tblPr>
        <w:tblStyle w:val="TableGrid1"/>
        <w:tblW w:w="0" w:type="auto"/>
        <w:tblLook w:val="04A0" w:firstRow="1" w:lastRow="0" w:firstColumn="1" w:lastColumn="0" w:noHBand="0" w:noVBand="1"/>
      </w:tblPr>
      <w:tblGrid>
        <w:gridCol w:w="4644"/>
        <w:gridCol w:w="4645"/>
      </w:tblGrid>
      <w:tr w:rsidR="00FE0388" w:rsidRPr="004D10E6" w:rsidTr="00A642F2">
        <w:tc>
          <w:tcPr>
            <w:tcW w:w="4644" w:type="dxa"/>
          </w:tcPr>
          <w:p w:rsidR="00FE0388" w:rsidRPr="00B962E2" w:rsidRDefault="00FE0388" w:rsidP="004D10E6">
            <w:pPr>
              <w:spacing w:before="120" w:after="120"/>
              <w:rPr>
                <w:rFonts w:ascii="Times New Roman" w:hAnsi="Times New Roman"/>
                <w:b/>
                <w:noProof/>
                <w:sz w:val="24"/>
                <w:szCs w:val="24"/>
              </w:rPr>
            </w:pPr>
            <w:r>
              <w:rPr>
                <w:b/>
                <w:noProof/>
                <w:szCs w:val="24"/>
              </w:rPr>
              <w:t>Förordning (EU) nr 517/2014</w:t>
            </w:r>
          </w:p>
        </w:tc>
        <w:tc>
          <w:tcPr>
            <w:tcW w:w="4645" w:type="dxa"/>
          </w:tcPr>
          <w:p w:rsidR="00FE0388" w:rsidRPr="00B962E2" w:rsidRDefault="00FE0388" w:rsidP="004D10E6">
            <w:pPr>
              <w:spacing w:before="120" w:after="120"/>
              <w:rPr>
                <w:rFonts w:ascii="Times New Roman" w:hAnsi="Times New Roman"/>
                <w:b/>
                <w:noProof/>
                <w:sz w:val="24"/>
                <w:szCs w:val="24"/>
              </w:rPr>
            </w:pPr>
            <w:r>
              <w:rPr>
                <w:b/>
                <w:noProof/>
                <w:szCs w:val="24"/>
              </w:rPr>
              <w:t>Denna förordning</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 a</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2.8</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2.9</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2.10</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3.9</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3.10</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11.3 och bilaga IV punkt 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2.18</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2.19</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2.20</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3.18</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3.19</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3.20</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2.28</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2.29</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2.30</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3.28</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3.29</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3.30</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2.38</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2.39</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4.1–2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4.4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4.6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7.1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4.3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7.2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4.5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8.1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8.1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8.2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8.3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8.3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8.4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9</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9</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10.8</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10.9</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10.10</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10.8</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10.10</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10.9</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10.12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11.1 första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 xml:space="preserve">Artikel 11.5 </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11.6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12.1–12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12.1–12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12.15</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12.17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13.1 första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13.1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13.1 andra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13.2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13.2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13.3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14.1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14.2 första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19.2 första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14.2 andra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14.2 tredje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19.2 tredje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14.3</w:t>
            </w:r>
          </w:p>
        </w:tc>
        <w:tc>
          <w:tcPr>
            <w:tcW w:w="4645" w:type="dxa"/>
          </w:tcPr>
          <w:p w:rsidR="004D10E6" w:rsidRPr="004D10E6" w:rsidRDefault="004D10E6" w:rsidP="004D10E6">
            <w:pPr>
              <w:spacing w:before="120" w:after="120"/>
              <w:rPr>
                <w:rFonts w:ascii="Times New Roman" w:hAnsi="Times New Roman"/>
                <w:b/>
                <w:noProof/>
                <w:sz w:val="24"/>
                <w:szCs w:val="24"/>
              </w:rPr>
            </w:pPr>
            <w:r>
              <w:rPr>
                <w:rFonts w:ascii="Times New Roman" w:hAnsi="Times New Roman"/>
                <w:noProof/>
                <w:sz w:val="24"/>
                <w:szCs w:val="24"/>
              </w:rPr>
              <w:t>Artikel 19.2 andra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14.4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15.1 första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15.1 andra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16.1 första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15.2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15.3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15.4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16.5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17.1 första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20.1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17.1 andra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20.4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17.1 tredje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20.6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17.4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20.7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18.1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21.1 första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18.2 första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18.2 andra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18.2 tredje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19.1 första stycket</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26.1 första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26.8</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26.9 andra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19.8</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20.7 andra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20</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27</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21.1</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35 första stycket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21.2–6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22</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32</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23</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33</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24</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34</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25</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31</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26</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36</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27</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Artikel 38</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II</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III</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III</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IV</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IV</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VI</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V</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VII</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VI</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VIII</w:t>
            </w:r>
          </w:p>
        </w:tc>
      </w:tr>
      <w:tr w:rsidR="004D10E6" w:rsidRPr="004D10E6" w:rsidTr="00A642F2">
        <w:tc>
          <w:tcPr>
            <w:tcW w:w="4644"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VII</w:t>
            </w:r>
          </w:p>
        </w:tc>
        <w:tc>
          <w:tcPr>
            <w:tcW w:w="4645" w:type="dxa"/>
          </w:tcPr>
          <w:p w:rsidR="004D10E6" w:rsidRPr="004D10E6" w:rsidRDefault="004D10E6" w:rsidP="004D10E6">
            <w:pPr>
              <w:spacing w:before="120" w:after="120"/>
              <w:rPr>
                <w:rFonts w:ascii="Times New Roman" w:hAnsi="Times New Roman"/>
                <w:noProof/>
                <w:sz w:val="24"/>
                <w:szCs w:val="24"/>
              </w:rPr>
            </w:pPr>
            <w:r>
              <w:rPr>
                <w:rFonts w:ascii="Times New Roman" w:hAnsi="Times New Roman"/>
                <w:noProof/>
                <w:sz w:val="24"/>
                <w:szCs w:val="24"/>
              </w:rPr>
              <w:t>Bilaga IX</w:t>
            </w:r>
          </w:p>
        </w:tc>
      </w:tr>
    </w:tbl>
    <w:p w:rsidR="004D10E6" w:rsidRPr="004D10E6" w:rsidRDefault="004D10E6" w:rsidP="004D10E6">
      <w:pPr>
        <w:spacing w:before="120" w:after="120"/>
        <w:rPr>
          <w:rFonts w:eastAsia="Calibri"/>
          <w:noProof/>
          <w:szCs w:val="22"/>
          <w:lang w:eastAsia="en-US"/>
        </w:rPr>
      </w:pPr>
    </w:p>
    <w:sectPr w:rsidR="004D10E6" w:rsidRPr="004D10E6" w:rsidSect="00EA31D7">
      <w:headerReference w:type="even" r:id="rId18"/>
      <w:headerReference w:type="default" r:id="rId19"/>
      <w:footerReference w:type="even" r:id="rId20"/>
      <w:footerReference w:type="default" r:id="rId21"/>
      <w:headerReference w:type="first" r:id="rId22"/>
      <w:footerReference w:type="first" r:id="rId23"/>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2F2" w:rsidRDefault="00A642F2">
      <w:pPr>
        <w:spacing w:after="0"/>
      </w:pPr>
      <w:r>
        <w:separator/>
      </w:r>
    </w:p>
  </w:endnote>
  <w:endnote w:type="continuationSeparator" w:id="0">
    <w:p w:rsidR="00A642F2" w:rsidRDefault="00A642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D8B" w:rsidRPr="00C54D8B" w:rsidRDefault="00C54D8B" w:rsidP="00C54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F1E" w:rsidRPr="00C54D8B" w:rsidRDefault="00C54D8B" w:rsidP="00C54D8B">
    <w:pPr>
      <w:pStyle w:val="FooterCoverPage"/>
      <w:rPr>
        <w:rFonts w:ascii="Arial" w:hAnsi="Arial" w:cs="Arial"/>
        <w:b/>
        <w:sz w:val="48"/>
      </w:rPr>
    </w:pPr>
    <w:r w:rsidRPr="00C54D8B">
      <w:rPr>
        <w:rFonts w:ascii="Arial" w:hAnsi="Arial" w:cs="Arial"/>
        <w:b/>
        <w:sz w:val="48"/>
      </w:rPr>
      <w:t>SV</w:t>
    </w:r>
    <w:r w:rsidRPr="00C54D8B">
      <w:rPr>
        <w:rFonts w:ascii="Arial" w:hAnsi="Arial" w:cs="Arial"/>
        <w:b/>
        <w:sz w:val="48"/>
      </w:rPr>
      <w:tab/>
    </w:r>
    <w:r w:rsidRPr="00C54D8B">
      <w:rPr>
        <w:rFonts w:ascii="Arial" w:hAnsi="Arial" w:cs="Arial"/>
        <w:b/>
        <w:sz w:val="48"/>
      </w:rPr>
      <w:tab/>
    </w:r>
    <w:r w:rsidRPr="00C54D8B">
      <w:tab/>
    </w:r>
    <w:r w:rsidRPr="00C54D8B">
      <w:rPr>
        <w:rFonts w:ascii="Arial" w:hAnsi="Arial" w:cs="Arial"/>
        <w:b/>
        <w:sz w:val="48"/>
      </w:rPr>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D8B" w:rsidRPr="00C54D8B" w:rsidRDefault="00C54D8B" w:rsidP="00C54D8B">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4E0" w:rsidRDefault="004114E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2F2" w:rsidRPr="00A642F2" w:rsidRDefault="00A642F2" w:rsidP="00A642F2">
    <w:pPr>
      <w:pStyle w:val="Footer"/>
      <w:jc w:val="center"/>
      <w:rPr>
        <w:rFonts w:ascii="Arial" w:hAnsi="Arial" w:cs="Arial"/>
        <w:sz w:val="20"/>
      </w:rPr>
    </w:pPr>
    <w:r>
      <w:rPr>
        <w:sz w:val="20"/>
      </w:rPr>
      <w:fldChar w:fldCharType="begin"/>
    </w:r>
    <w:r>
      <w:rPr>
        <w:sz w:val="20"/>
      </w:rPr>
      <w:instrText xml:space="preserve"> PAGE  \* MERGEFORMAT </w:instrText>
    </w:r>
    <w:r>
      <w:rPr>
        <w:sz w:val="20"/>
      </w:rPr>
      <w:fldChar w:fldCharType="separate"/>
    </w:r>
    <w:r w:rsidR="00C54D8B">
      <w:rPr>
        <w:noProof/>
        <w:sz w:val="20"/>
      </w:rPr>
      <w:t>1</w:t>
    </w:r>
    <w:r>
      <w:rPr>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2F2" w:rsidRPr="00D46159" w:rsidRDefault="00A642F2" w:rsidP="00EA3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2F2" w:rsidRDefault="00A642F2">
      <w:pPr>
        <w:spacing w:after="0"/>
      </w:pPr>
      <w:r>
        <w:separator/>
      </w:r>
    </w:p>
  </w:footnote>
  <w:footnote w:type="continuationSeparator" w:id="0">
    <w:p w:rsidR="00A642F2" w:rsidRDefault="00A642F2">
      <w:pPr>
        <w:spacing w:after="0"/>
      </w:pPr>
      <w:r>
        <w:continuationSeparator/>
      </w:r>
    </w:p>
  </w:footnote>
  <w:footnote w:id="1">
    <w:p w:rsidR="00A642F2" w:rsidRDefault="00A642F2" w:rsidP="00EA31D7">
      <w:pPr>
        <w:pStyle w:val="FootnoteText"/>
      </w:pPr>
      <w:r>
        <w:rPr>
          <w:rStyle w:val="FootnoteReference"/>
        </w:rPr>
        <w:footnoteRef/>
      </w:r>
      <w:r>
        <w:tab/>
        <w:t>Denna bilaga omfattar de förtecknade gaserna, oavsett om de förekommer ensamma eller i en blandning.</w:t>
      </w:r>
    </w:p>
  </w:footnote>
  <w:footnote w:id="2">
    <w:p w:rsidR="00A642F2" w:rsidRDefault="00A642F2" w:rsidP="00EA31D7">
      <w:pPr>
        <w:pStyle w:val="FootnoteText"/>
      </w:pPr>
      <w:r>
        <w:rPr>
          <w:rStyle w:val="FootnoteReference"/>
        </w:rPr>
        <w:footnoteRef/>
      </w:r>
      <w:r>
        <w:tab/>
        <w:t>Baserat på den fjärde utvärderingsrapporten från den mellanstatliga panelen för klimatförändringar (IPCC), om inte annat anges.</w:t>
      </w:r>
    </w:p>
  </w:footnote>
  <w:footnote w:id="3">
    <w:p w:rsidR="00A642F2" w:rsidRDefault="00A642F2" w:rsidP="00EA31D7">
      <w:pPr>
        <w:pStyle w:val="FootnoteText"/>
      </w:pPr>
      <w:r>
        <w:rPr>
          <w:rStyle w:val="FootnoteReference"/>
        </w:rPr>
        <w:footnoteRef/>
      </w:r>
      <w:r>
        <w:tab/>
        <w:t>Baserat på den sjätte utvärderingsrapporten från den mellanstatliga panelen för klimatförändringar (IPCC) om inte annat anges.</w:t>
      </w:r>
    </w:p>
  </w:footnote>
  <w:footnote w:id="4">
    <w:p w:rsidR="00A642F2" w:rsidRPr="00CE6F1E" w:rsidRDefault="00A642F2" w:rsidP="00EA31D7">
      <w:pPr>
        <w:pStyle w:val="FootnoteText"/>
        <w:rPr>
          <w:lang w:val="en-GB"/>
        </w:rPr>
      </w:pPr>
      <w:r>
        <w:rPr>
          <w:rStyle w:val="FootnoteReference"/>
        </w:rPr>
        <w:footnoteRef/>
      </w:r>
      <w:r>
        <w:tab/>
        <w:t xml:space="preserve">Droste et al. (2019). </w:t>
      </w:r>
      <w:r w:rsidRPr="00CE6F1E">
        <w:rPr>
          <w:i/>
          <w:lang w:val="en-GB"/>
        </w:rPr>
        <w:t>Trends and Emissions of Six Perfluorocarbons in the Northern and Southern Hemisphere.</w:t>
      </w:r>
      <w:r w:rsidRPr="00CE6F1E">
        <w:rPr>
          <w:lang w:val="en-GB"/>
        </w:rPr>
        <w:t xml:space="preserve"> </w:t>
      </w:r>
      <w:r w:rsidRPr="00CE6F1E">
        <w:rPr>
          <w:i/>
          <w:lang w:val="en-GB"/>
        </w:rPr>
        <w:t>Atmospheric Chemistry and Physics.</w:t>
      </w:r>
      <w:r w:rsidRPr="00CE6F1E">
        <w:rPr>
          <w:lang w:val="en-GB"/>
        </w:rPr>
        <w:t xml:space="preserve"> </w:t>
      </w:r>
      <w:hyperlink r:id="rId1" w:history="1">
        <w:r w:rsidRPr="00CE6F1E">
          <w:rPr>
            <w:rStyle w:val="Hyperlink"/>
            <w:lang w:val="en-GB"/>
          </w:rPr>
          <w:t>https://acp.copernicus.org/preprints/acp-2019-873/acp-2019-873.pdf</w:t>
        </w:r>
      </w:hyperlink>
    </w:p>
  </w:footnote>
  <w:footnote w:id="5">
    <w:p w:rsidR="00A642F2" w:rsidRDefault="00A642F2" w:rsidP="00EA31D7">
      <w:pPr>
        <w:pStyle w:val="FootnoteText"/>
      </w:pPr>
      <w:r>
        <w:rPr>
          <w:rStyle w:val="FootnoteReference"/>
        </w:rPr>
        <w:t>*</w:t>
      </w:r>
      <w:r>
        <w:tab/>
        <w:t>Global uppvärmningspotential ännu inte tillgänglig.</w:t>
      </w:r>
    </w:p>
  </w:footnote>
  <w:footnote w:id="6">
    <w:p w:rsidR="00A642F2" w:rsidRDefault="00A642F2" w:rsidP="00EA31D7">
      <w:pPr>
        <w:pStyle w:val="FootnoteText"/>
      </w:pPr>
      <w:r>
        <w:rPr>
          <w:rStyle w:val="FootnoteReference"/>
        </w:rPr>
        <w:footnoteRef/>
      </w:r>
      <w:r>
        <w:tab/>
        <w:t>Denna bilaga omfattar de förtecknade gaserna, oavsett om de förekommer ensamma eller i en blandning.</w:t>
      </w:r>
    </w:p>
  </w:footnote>
  <w:footnote w:id="7">
    <w:p w:rsidR="00A642F2" w:rsidRDefault="00A642F2" w:rsidP="00EA31D7">
      <w:pPr>
        <w:pStyle w:val="FootnoteText"/>
      </w:pPr>
      <w:r>
        <w:rPr>
          <w:rStyle w:val="FootnoteReference"/>
        </w:rPr>
        <w:footnoteRef/>
      </w:r>
      <w:r>
        <w:tab/>
        <w:t>Baserat på den sjätte utvärderingsrapporten från den mellanstatliga panelen för klimatförändringar (IPCC) om inte annat anges.</w:t>
      </w:r>
    </w:p>
  </w:footnote>
  <w:footnote w:id="8">
    <w:p w:rsidR="00A642F2" w:rsidRPr="00CE6F1E" w:rsidRDefault="00A642F2" w:rsidP="00EA31D7">
      <w:pPr>
        <w:pStyle w:val="FootnoteText"/>
        <w:rPr>
          <w:lang w:val="en-GB"/>
        </w:rPr>
      </w:pPr>
      <w:r>
        <w:rPr>
          <w:rStyle w:val="FootnoteReference"/>
        </w:rPr>
        <w:footnoteRef/>
      </w:r>
      <w:r w:rsidRPr="00CE6F1E">
        <w:rPr>
          <w:lang w:val="en-GB"/>
        </w:rPr>
        <w:tab/>
        <w:t xml:space="preserve">Tokuhashi, K., T. Uchimaru, K. Takizawa, &amp; S. Kondo (2018): </w:t>
      </w:r>
      <w:r w:rsidRPr="00CE6F1E">
        <w:rPr>
          <w:i/>
          <w:lang w:val="en-GB"/>
        </w:rPr>
        <w:t>Rate Constants for the Reactions of OH Radical with the (E)/(Z) Isomers of CF3CF═CHCl and CHF2CF═CHCl</w:t>
      </w:r>
      <w:r w:rsidRPr="00CE6F1E">
        <w:rPr>
          <w:lang w:val="en-GB"/>
        </w:rPr>
        <w:t>. The Journal of Physical Chemistry A 122:3120–3127.</w:t>
      </w:r>
    </w:p>
  </w:footnote>
  <w:footnote w:id="9">
    <w:p w:rsidR="00A642F2" w:rsidRPr="00CE6F1E" w:rsidRDefault="00A642F2" w:rsidP="00EA31D7">
      <w:pPr>
        <w:pStyle w:val="FootnoteText"/>
        <w:rPr>
          <w:lang w:val="en-GB"/>
        </w:rPr>
      </w:pPr>
      <w:r w:rsidRPr="00CE6F1E">
        <w:rPr>
          <w:rStyle w:val="FootnoteReference"/>
          <w:lang w:val="en-GB"/>
        </w:rPr>
        <w:t>*</w:t>
      </w:r>
      <w:r w:rsidRPr="00CE6F1E">
        <w:rPr>
          <w:lang w:val="en-GB"/>
        </w:rPr>
        <w:tab/>
        <w:t>Global uppvärmningspotential ännu inte tillgänglig.</w:t>
      </w:r>
    </w:p>
  </w:footnote>
  <w:footnote w:id="10">
    <w:p w:rsidR="00A642F2" w:rsidRDefault="00A642F2" w:rsidP="00EA31D7">
      <w:pPr>
        <w:pStyle w:val="FootnoteText"/>
      </w:pPr>
      <w:r>
        <w:rPr>
          <w:rStyle w:val="FootnoteReference"/>
        </w:rPr>
        <w:footnoteRef/>
      </w:r>
      <w:r>
        <w:tab/>
        <w:t>Standardvärde, global uppvärmningspotential ännu inte tillgänglig.</w:t>
      </w:r>
    </w:p>
  </w:footnote>
  <w:footnote w:id="11">
    <w:p w:rsidR="00A642F2" w:rsidRDefault="00A642F2" w:rsidP="00EA31D7">
      <w:pPr>
        <w:pStyle w:val="FootnoteText"/>
      </w:pPr>
      <w:r>
        <w:rPr>
          <w:rStyle w:val="FootnoteReference"/>
        </w:rPr>
        <w:footnoteRef/>
      </w:r>
      <w:r>
        <w:tab/>
        <w:t>Denna bilaga omfattar de förtecknade gaserna, oavsett om de förekommer ensamma eller i en blandning.</w:t>
      </w:r>
    </w:p>
  </w:footnote>
  <w:footnote w:id="12">
    <w:p w:rsidR="00A642F2" w:rsidRDefault="00A642F2" w:rsidP="00EA31D7">
      <w:pPr>
        <w:pStyle w:val="FootnoteText"/>
      </w:pPr>
      <w:r>
        <w:rPr>
          <w:rStyle w:val="FootnoteReference"/>
        </w:rPr>
        <w:footnoteRef/>
      </w:r>
      <w:r>
        <w:tab/>
        <w:t>Baserat på den sjätte utvärderingsrapporten från den mellanstatliga panelen för klimatförändringar (IPCC) om inte annat anges.</w:t>
      </w:r>
    </w:p>
  </w:footnote>
  <w:footnote w:id="13">
    <w:p w:rsidR="00A642F2" w:rsidRPr="00B962E2" w:rsidRDefault="00A642F2" w:rsidP="00EA31D7">
      <w:pPr>
        <w:pStyle w:val="FootnoteText"/>
      </w:pPr>
      <w:r>
        <w:rPr>
          <w:rStyle w:val="FootnoteReference"/>
        </w:rPr>
        <w:footnoteRef/>
      </w:r>
      <w:r>
        <w:tab/>
        <w:t xml:space="preserve">Ren et al. (2019). </w:t>
      </w:r>
      <w:r w:rsidRPr="00CE6F1E">
        <w:rPr>
          <w:i/>
          <w:lang w:val="en-GB"/>
        </w:rPr>
        <w:t>Atmospheric Fate and Impact of Perfluorinated Butanone and Pentanone</w:t>
      </w:r>
      <w:r w:rsidRPr="00CE6F1E">
        <w:rPr>
          <w:lang w:val="en-GB"/>
        </w:rPr>
        <w:t xml:space="preserve">. </w:t>
      </w:r>
      <w:r>
        <w:rPr>
          <w:rStyle w:val="cit-title"/>
          <w:i/>
          <w:iCs/>
        </w:rPr>
        <w:t>Environ. Sci. Technol.</w:t>
      </w:r>
      <w:r>
        <w:t xml:space="preserve"> </w:t>
      </w:r>
      <w:r>
        <w:rPr>
          <w:rStyle w:val="cit-year-info"/>
        </w:rPr>
        <w:t>2019</w:t>
      </w:r>
      <w:r>
        <w:rPr>
          <w:rStyle w:val="cit-volume"/>
        </w:rPr>
        <w:t>, 53</w:t>
      </w:r>
      <w:r>
        <w:rPr>
          <w:rStyle w:val="cit-issue"/>
        </w:rPr>
        <w:t>, 15</w:t>
      </w:r>
      <w:r>
        <w:rPr>
          <w:rStyle w:val="cit-pagerange"/>
        </w:rPr>
        <w:t>, 8862–8871</w:t>
      </w:r>
    </w:p>
  </w:footnote>
  <w:footnote w:id="14">
    <w:p w:rsidR="00A642F2" w:rsidRPr="00CE6F1E" w:rsidRDefault="00A642F2" w:rsidP="00EA31D7">
      <w:pPr>
        <w:pStyle w:val="FootnoteText"/>
        <w:rPr>
          <w:lang w:val="en-GB"/>
        </w:rPr>
      </w:pPr>
      <w:r>
        <w:rPr>
          <w:rStyle w:val="FootnoteReference"/>
        </w:rPr>
        <w:footnoteRef/>
      </w:r>
      <w:r>
        <w:tab/>
        <w:t xml:space="preserve">WMO et al. (2018). </w:t>
      </w:r>
      <w:r w:rsidRPr="00CE6F1E">
        <w:rPr>
          <w:i/>
          <w:lang w:val="en-GB"/>
        </w:rPr>
        <w:t>Scientific Assessment of Ozone Depletion.</w:t>
      </w:r>
    </w:p>
  </w:footnote>
  <w:footnote w:id="15">
    <w:p w:rsidR="00A642F2" w:rsidRPr="004C6D2A" w:rsidRDefault="00A642F2" w:rsidP="00EA31D7">
      <w:pPr>
        <w:pStyle w:val="FootnoteText"/>
      </w:pPr>
      <w:r>
        <w:rPr>
          <w:rStyle w:val="FootnoteReference"/>
        </w:rPr>
        <w:footnoteRef/>
      </w:r>
      <w:r>
        <w:tab/>
        <w:t xml:space="preserve">Registrering i Reach. </w:t>
      </w:r>
      <w:hyperlink r:id="rId2" w:history="1">
        <w:r>
          <w:rPr>
            <w:rStyle w:val="Hyperlink"/>
            <w:bCs/>
            <w:sz w:val="18"/>
            <w:szCs w:val="18"/>
          </w:rPr>
          <w:t>https://echa.europa.eu/registration-dossier/-/registered-dossier/10075/5/1</w:t>
        </w:r>
      </w:hyperlink>
      <w:r>
        <w:rPr>
          <w:bCs/>
          <w:sz w:val="18"/>
          <w:szCs w:val="18"/>
        </w:rPr>
        <w:t xml:space="preserve"> </w:t>
      </w:r>
    </w:p>
  </w:footnote>
  <w:footnote w:id="16">
    <w:p w:rsidR="00A642F2" w:rsidRDefault="00A642F2" w:rsidP="00EA31D7">
      <w:pPr>
        <w:pStyle w:val="FootnoteText"/>
      </w:pPr>
      <w:r>
        <w:rPr>
          <w:rStyle w:val="FootnoteReference"/>
        </w:rPr>
        <w:t>*</w:t>
      </w:r>
      <w:r>
        <w:tab/>
        <w:t>Ännu inte tillgänglig.</w:t>
      </w:r>
    </w:p>
  </w:footnote>
  <w:footnote w:id="17">
    <w:p w:rsidR="00A642F2" w:rsidRDefault="00A642F2" w:rsidP="00F666F8">
      <w:pPr>
        <w:pStyle w:val="FootnoteText"/>
      </w:pPr>
      <w:r>
        <w:rPr>
          <w:rStyle w:val="FootnoteReference"/>
        </w:rPr>
        <w:footnoteRef/>
      </w:r>
      <w:r>
        <w:tab/>
        <w:t>Baserat på den sjätte utvärderingsrapporten från den mellanstatliga panelen för klimatförändringar (IPCC) om inte annat anges.</w:t>
      </w:r>
    </w:p>
  </w:footnote>
  <w:footnote w:id="18">
    <w:p w:rsidR="00A642F2" w:rsidRPr="002C477A" w:rsidRDefault="00A642F2" w:rsidP="00F666F8">
      <w:pPr>
        <w:pStyle w:val="FootnoteText"/>
      </w:pPr>
      <w:r>
        <w:rPr>
          <w:rStyle w:val="FootnoteReference"/>
        </w:rPr>
        <w:footnoteRef/>
      </w:r>
      <w:r>
        <w:tab/>
        <w:t>Baserat på den fjärde utvärderingsrapporten från den mellanstatliga panelen för klimatförändringar</w:t>
      </w:r>
    </w:p>
  </w:footnote>
  <w:footnote w:id="19">
    <w:p w:rsidR="00A642F2" w:rsidRPr="00CE6F1E" w:rsidRDefault="00A642F2" w:rsidP="00F666F8">
      <w:pPr>
        <w:pStyle w:val="FootnoteText"/>
        <w:rPr>
          <w:lang w:val="en-GB"/>
        </w:rPr>
      </w:pPr>
      <w:r>
        <w:rPr>
          <w:rStyle w:val="FootnoteReference"/>
        </w:rPr>
        <w:footnoteRef/>
      </w:r>
      <w:r>
        <w:tab/>
        <w:t xml:space="preserve">WMO et al. (2018). </w:t>
      </w:r>
      <w:r w:rsidRPr="00CE6F1E">
        <w:rPr>
          <w:i/>
          <w:lang w:val="en-GB"/>
        </w:rPr>
        <w:t>Scientific Assessment of Ozone Depletion, where value is given as &lt;&lt;1</w:t>
      </w:r>
    </w:p>
  </w:footnote>
  <w:footnote w:id="20">
    <w:p w:rsidR="00A642F2" w:rsidRPr="00CE6F1E" w:rsidRDefault="00A642F2" w:rsidP="00F666F8">
      <w:pPr>
        <w:pStyle w:val="FootnoteText"/>
        <w:rPr>
          <w:lang w:val="en-GB"/>
        </w:rPr>
      </w:pPr>
      <w:r>
        <w:rPr>
          <w:rStyle w:val="FootnoteReference"/>
        </w:rPr>
        <w:footnoteRef/>
      </w:r>
      <w:r>
        <w:tab/>
        <w:t xml:space="preserve">WMO et al. (2018). </w:t>
      </w:r>
      <w:r w:rsidRPr="00CE6F1E">
        <w:rPr>
          <w:i/>
          <w:lang w:val="en-GB"/>
        </w:rPr>
        <w:t>Scientific Assessment of Ozone Depletion.</w:t>
      </w:r>
    </w:p>
  </w:footnote>
  <w:footnote w:id="21">
    <w:p w:rsidR="00A642F2" w:rsidRDefault="00A642F2" w:rsidP="00005ECD">
      <w:pPr>
        <w:pStyle w:val="FootnoteText"/>
      </w:pPr>
      <w:r>
        <w:rPr>
          <w:rStyle w:val="FootnoteReference"/>
        </w:rPr>
        <w:footnoteRef/>
      </w:r>
      <w:r>
        <w:tab/>
        <w:t>Detta antal är den maximala mängd som fastställts för 2015 i början av den minskande användningen, med beaktande av brexit.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D8B" w:rsidRPr="00C54D8B" w:rsidRDefault="00C54D8B" w:rsidP="00C54D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D8B" w:rsidRPr="00C54D8B" w:rsidRDefault="00C54D8B" w:rsidP="00C54D8B">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D8B" w:rsidRPr="00C54D8B" w:rsidRDefault="00C54D8B" w:rsidP="00C54D8B">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4E0" w:rsidRDefault="004114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4E0" w:rsidRDefault="004114E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4E0" w:rsidRDefault="00411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00F7"/>
    <w:multiLevelType w:val="multilevel"/>
    <w:tmpl w:val="18F48788"/>
    <w:name w:val="ListDash4Numbering"/>
    <w:lvl w:ilvl="0">
      <w:start w:val="1"/>
      <w:numFmt w:val="bullet"/>
      <w:pStyle w:val="ListDash4"/>
      <w:lvlText w:val="–"/>
      <w:lvlJc w:val="left"/>
      <w:pPr>
        <w:tabs>
          <w:tab w:val="num" w:pos="3163"/>
        </w:tabs>
        <w:ind w:left="3163" w:hanging="283"/>
      </w:pPr>
      <w:rPr>
        <w:rFonts w:ascii="Times New Roman" w:hAnsi="Times New Roman"/>
      </w:rPr>
    </w:lvl>
    <w:lvl w:ilvl="1">
      <w:start w:val="1"/>
      <w:numFmt w:val="bullet"/>
      <w:pStyle w:val="ListDash4Level2"/>
      <w:lvlText w:val="–"/>
      <w:lvlJc w:val="left"/>
      <w:pPr>
        <w:tabs>
          <w:tab w:val="num" w:pos="3447"/>
        </w:tabs>
        <w:ind w:left="3447" w:hanging="284"/>
      </w:pPr>
      <w:rPr>
        <w:rFonts w:ascii="Times New Roman" w:hAnsi="Times New Roman"/>
      </w:rPr>
    </w:lvl>
    <w:lvl w:ilvl="2">
      <w:start w:val="1"/>
      <w:numFmt w:val="bullet"/>
      <w:pStyle w:val="ListDash4Level3"/>
      <w:lvlText w:val="–"/>
      <w:lvlJc w:val="left"/>
      <w:pPr>
        <w:tabs>
          <w:tab w:val="num" w:pos="3730"/>
        </w:tabs>
        <w:ind w:left="3730" w:hanging="283"/>
      </w:pPr>
      <w:rPr>
        <w:rFonts w:ascii="Times New Roman" w:hAnsi="Times New Roman"/>
      </w:rPr>
    </w:lvl>
    <w:lvl w:ilvl="3">
      <w:start w:val="1"/>
      <w:numFmt w:val="bullet"/>
      <w:pStyle w:val="ListDash4Level4"/>
      <w:lvlText w:val="–"/>
      <w:lvlJc w:val="left"/>
      <w:pPr>
        <w:tabs>
          <w:tab w:val="num" w:pos="4014"/>
        </w:tabs>
        <w:ind w:left="401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EFB7115"/>
    <w:multiLevelType w:val="multilevel"/>
    <w:tmpl w:val="C0D2C660"/>
    <w:name w:val="ListNumber3Numbering"/>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4"/>
        </w:tabs>
        <w:ind w:left="3334" w:hanging="709"/>
      </w:pPr>
    </w:lvl>
    <w:lvl w:ilvl="2">
      <w:start w:val="1"/>
      <w:numFmt w:val="bullet"/>
      <w:pStyle w:val="ListNumber3Level3"/>
      <w:lvlText w:val="–"/>
      <w:lvlJc w:val="left"/>
      <w:pPr>
        <w:tabs>
          <w:tab w:val="num" w:pos="4042"/>
        </w:tabs>
        <w:ind w:left="4042" w:hanging="708"/>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20B7201"/>
    <w:multiLevelType w:val="multilevel"/>
    <w:tmpl w:val="D1065662"/>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62685D"/>
    <w:multiLevelType w:val="multilevel"/>
    <w:tmpl w:val="14789E64"/>
    <w:name w:val="ListBullet4Numbering"/>
    <w:lvl w:ilvl="0">
      <w:start w:val="1"/>
      <w:numFmt w:val="bullet"/>
      <w:pStyle w:val="ListBullet4"/>
      <w:lvlText w:val=""/>
      <w:lvlJc w:val="left"/>
      <w:pPr>
        <w:tabs>
          <w:tab w:val="num" w:pos="3163"/>
        </w:tabs>
        <w:ind w:left="3163" w:hanging="283"/>
      </w:pPr>
      <w:rPr>
        <w:rFonts w:ascii="Symbol" w:hAnsi="Symbol"/>
      </w:rPr>
    </w:lvl>
    <w:lvl w:ilvl="1">
      <w:start w:val="1"/>
      <w:numFmt w:val="bullet"/>
      <w:pStyle w:val="ListBullet4Level2"/>
      <w:lvlText w:val=""/>
      <w:lvlJc w:val="left"/>
      <w:pPr>
        <w:tabs>
          <w:tab w:val="num" w:pos="3447"/>
        </w:tabs>
        <w:ind w:left="3447" w:hanging="284"/>
      </w:pPr>
      <w:rPr>
        <w:rFonts w:ascii="Symbol" w:hAnsi="Symbol"/>
      </w:rPr>
    </w:lvl>
    <w:lvl w:ilvl="2">
      <w:start w:val="1"/>
      <w:numFmt w:val="bullet"/>
      <w:pStyle w:val="ListBullet4Level3"/>
      <w:lvlText w:val=""/>
      <w:lvlJc w:val="left"/>
      <w:pPr>
        <w:tabs>
          <w:tab w:val="num" w:pos="3730"/>
        </w:tabs>
        <w:ind w:left="3730" w:hanging="283"/>
      </w:pPr>
      <w:rPr>
        <w:rFonts w:ascii="Symbol" w:hAnsi="Symbol"/>
      </w:rPr>
    </w:lvl>
    <w:lvl w:ilvl="3">
      <w:start w:val="1"/>
      <w:numFmt w:val="bullet"/>
      <w:pStyle w:val="ListBullet4Level4"/>
      <w:lvlText w:val=""/>
      <w:lvlJc w:val="left"/>
      <w:pPr>
        <w:tabs>
          <w:tab w:val="num" w:pos="4014"/>
        </w:tabs>
        <w:ind w:left="401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43D0A16"/>
    <w:multiLevelType w:val="multilevel"/>
    <w:tmpl w:val="6F0E0BB2"/>
    <w:name w:val="ListBullet3Numbering"/>
    <w:lvl w:ilvl="0">
      <w:start w:val="1"/>
      <w:numFmt w:val="bullet"/>
      <w:pStyle w:val="ListBullet3"/>
      <w:lvlText w:val=""/>
      <w:lvlJc w:val="left"/>
      <w:pPr>
        <w:tabs>
          <w:tab w:val="num" w:pos="2200"/>
        </w:tabs>
        <w:ind w:left="2200" w:hanging="284"/>
      </w:pPr>
      <w:rPr>
        <w:rFonts w:ascii="Symbol" w:hAnsi="Symbol"/>
      </w:rPr>
    </w:lvl>
    <w:lvl w:ilvl="1">
      <w:start w:val="1"/>
      <w:numFmt w:val="bullet"/>
      <w:pStyle w:val="ListBullet3Level2"/>
      <w:lvlText w:val=""/>
      <w:lvlJc w:val="left"/>
      <w:pPr>
        <w:tabs>
          <w:tab w:val="num" w:pos="2483"/>
        </w:tabs>
        <w:ind w:left="2483" w:hanging="283"/>
      </w:pPr>
      <w:rPr>
        <w:rFonts w:ascii="Symbol" w:hAnsi="Symbol"/>
      </w:rPr>
    </w:lvl>
    <w:lvl w:ilvl="2">
      <w:start w:val="1"/>
      <w:numFmt w:val="bullet"/>
      <w:pStyle w:val="ListBullet3Level3"/>
      <w:lvlText w:val=""/>
      <w:lvlJc w:val="left"/>
      <w:pPr>
        <w:tabs>
          <w:tab w:val="num" w:pos="2767"/>
        </w:tabs>
        <w:ind w:left="2767" w:hanging="284"/>
      </w:pPr>
      <w:rPr>
        <w:rFonts w:ascii="Symbol" w:hAnsi="Symbol"/>
      </w:rPr>
    </w:lvl>
    <w:lvl w:ilvl="3">
      <w:start w:val="1"/>
      <w:numFmt w:val="bullet"/>
      <w:pStyle w:val="ListBullet3Level4"/>
      <w:lvlText w:val=""/>
      <w:lvlJc w:val="left"/>
      <w:pPr>
        <w:tabs>
          <w:tab w:val="num" w:pos="3050"/>
        </w:tabs>
        <w:ind w:left="3050" w:hanging="283"/>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72F0AC5"/>
    <w:multiLevelType w:val="multilevel"/>
    <w:tmpl w:val="4E94D688"/>
    <w:name w:val="ListNumber2Numbering"/>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B3C78B8"/>
    <w:multiLevelType w:val="multilevel"/>
    <w:tmpl w:val="A1BA0DAA"/>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rPr>
        <w:rFonts w:ascii="Times New Roman" w:hAnsi="Times New Roman" w:cs="Times New Roman" w:hint="default"/>
        <w:sz w:val="24"/>
        <w:szCs w:val="24"/>
      </w:r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7" w15:restartNumberingAfterBreak="0">
    <w:nsid w:val="1C7B624F"/>
    <w:multiLevelType w:val="multilevel"/>
    <w:tmpl w:val="72B63690"/>
    <w:name w:val="ListDash2Numbering"/>
    <w:lvl w:ilvl="0">
      <w:start w:val="1"/>
      <w:numFmt w:val="bullet"/>
      <w:pStyle w:val="ListDash2"/>
      <w:lvlText w:val="–"/>
      <w:lvlJc w:val="left"/>
      <w:pPr>
        <w:tabs>
          <w:tab w:val="num" w:pos="1361"/>
        </w:tabs>
        <w:ind w:left="1361" w:hanging="284"/>
      </w:pPr>
      <w:rPr>
        <w:rFonts w:ascii="Times New Roman" w:hAnsi="Times New Roman"/>
      </w:rPr>
    </w:lvl>
    <w:lvl w:ilvl="1">
      <w:start w:val="1"/>
      <w:numFmt w:val="bullet"/>
      <w:pStyle w:val="ListDash2Level2"/>
      <w:lvlText w:val="–"/>
      <w:lvlJc w:val="left"/>
      <w:pPr>
        <w:tabs>
          <w:tab w:val="num" w:pos="1644"/>
        </w:tabs>
        <w:ind w:left="1644" w:hanging="283"/>
      </w:pPr>
      <w:rPr>
        <w:rFonts w:ascii="Times New Roman" w:hAnsi="Times New Roman"/>
      </w:rPr>
    </w:lvl>
    <w:lvl w:ilvl="2">
      <w:start w:val="1"/>
      <w:numFmt w:val="bullet"/>
      <w:pStyle w:val="ListDash2Level3"/>
      <w:lvlText w:val="–"/>
      <w:lvlJc w:val="left"/>
      <w:pPr>
        <w:tabs>
          <w:tab w:val="num" w:pos="1928"/>
        </w:tabs>
        <w:ind w:left="1928" w:hanging="284"/>
      </w:pPr>
      <w:rPr>
        <w:rFonts w:ascii="Times New Roman" w:hAnsi="Times New Roman"/>
      </w:rPr>
    </w:lvl>
    <w:lvl w:ilvl="3">
      <w:start w:val="1"/>
      <w:numFmt w:val="bullet"/>
      <w:pStyle w:val="ListDash2Level4"/>
      <w:lvlText w:val="–"/>
      <w:lvlJc w:val="left"/>
      <w:pPr>
        <w:tabs>
          <w:tab w:val="num" w:pos="2211"/>
        </w:tabs>
        <w:ind w:left="2211" w:hanging="283"/>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22E44180"/>
    <w:multiLevelType w:val="multilevel"/>
    <w:tmpl w:val="DFC88CEC"/>
    <w:name w:val="Point"/>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decimal"/>
      <w:lvlText w:val="%1.%2.%3.%4.%5."/>
      <w:lvlJc w:val="left"/>
      <w:pPr>
        <w:tabs>
          <w:tab w:val="num" w:pos="1417"/>
        </w:tabs>
        <w:ind w:left="1417" w:hanging="1417"/>
      </w:pPr>
    </w:lvl>
    <w:lvl w:ilvl="5">
      <w:start w:val="1"/>
      <w:numFmt w:val="decimal"/>
      <w:lvlText w:val="%1.%2.%3.%4.%5.%6."/>
      <w:lvlJc w:val="left"/>
      <w:pPr>
        <w:tabs>
          <w:tab w:val="num" w:pos="1417"/>
        </w:tabs>
        <w:ind w:left="1417" w:hanging="1417"/>
      </w:pPr>
    </w:lvl>
    <w:lvl w:ilvl="6">
      <w:start w:val="1"/>
      <w:numFmt w:val="decimal"/>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C8DFDF8"/>
    <w:multiLevelType w:val="multilevel"/>
    <w:tmpl w:val="BA084E0A"/>
    <w:name w:val="ListBullet2Numbering"/>
    <w:lvl w:ilvl="0">
      <w:start w:val="1"/>
      <w:numFmt w:val="bullet"/>
      <w:pStyle w:val="ListBullet2"/>
      <w:lvlText w:val=""/>
      <w:lvlJc w:val="left"/>
      <w:pPr>
        <w:tabs>
          <w:tab w:val="num" w:pos="1361"/>
        </w:tabs>
        <w:ind w:left="1361" w:hanging="284"/>
      </w:pPr>
      <w:rPr>
        <w:rFonts w:ascii="Symbol" w:hAnsi="Symbol"/>
      </w:rPr>
    </w:lvl>
    <w:lvl w:ilvl="1">
      <w:start w:val="1"/>
      <w:numFmt w:val="bullet"/>
      <w:pStyle w:val="ListBullet2Level2"/>
      <w:lvlText w:val=""/>
      <w:lvlJc w:val="left"/>
      <w:pPr>
        <w:tabs>
          <w:tab w:val="num" w:pos="1644"/>
        </w:tabs>
        <w:ind w:left="1644" w:hanging="283"/>
      </w:pPr>
      <w:rPr>
        <w:rFonts w:ascii="Symbol" w:hAnsi="Symbol"/>
      </w:rPr>
    </w:lvl>
    <w:lvl w:ilvl="2">
      <w:start w:val="1"/>
      <w:numFmt w:val="bullet"/>
      <w:pStyle w:val="ListBullet2Level3"/>
      <w:lvlText w:val=""/>
      <w:lvlJc w:val="left"/>
      <w:pPr>
        <w:tabs>
          <w:tab w:val="num" w:pos="1928"/>
        </w:tabs>
        <w:ind w:left="1928" w:hanging="284"/>
      </w:pPr>
      <w:rPr>
        <w:rFonts w:ascii="Symbol" w:hAnsi="Symbol"/>
      </w:rPr>
    </w:lvl>
    <w:lvl w:ilvl="3">
      <w:start w:val="1"/>
      <w:numFmt w:val="bullet"/>
      <w:pStyle w:val="ListBullet2Level4"/>
      <w:lvlText w:val=""/>
      <w:lvlJc w:val="left"/>
      <w:pPr>
        <w:tabs>
          <w:tab w:val="num" w:pos="2211"/>
        </w:tabs>
        <w:ind w:left="2211" w:hanging="283"/>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2D293CE3"/>
    <w:multiLevelType w:val="multilevel"/>
    <w:tmpl w:val="EA1E1D24"/>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2D293CF4"/>
    <w:multiLevelType w:val="multilevel"/>
    <w:tmpl w:val="FFCA7A0E"/>
    <w:name w:val="ContNumNumbering"/>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36324F1E"/>
    <w:multiLevelType w:val="multilevel"/>
    <w:tmpl w:val="8F6236B4"/>
    <w:name w:val="ListDash3Numbering"/>
    <w:lvl w:ilvl="0">
      <w:start w:val="1"/>
      <w:numFmt w:val="bullet"/>
      <w:pStyle w:val="ListDash3"/>
      <w:lvlText w:val="–"/>
      <w:lvlJc w:val="left"/>
      <w:pPr>
        <w:tabs>
          <w:tab w:val="num" w:pos="2200"/>
        </w:tabs>
        <w:ind w:left="2200" w:hanging="284"/>
      </w:pPr>
      <w:rPr>
        <w:rFonts w:ascii="Times New Roman" w:hAnsi="Times New Roman"/>
      </w:rPr>
    </w:lvl>
    <w:lvl w:ilvl="1">
      <w:start w:val="1"/>
      <w:numFmt w:val="bullet"/>
      <w:pStyle w:val="ListDash3Level2"/>
      <w:lvlText w:val="–"/>
      <w:lvlJc w:val="left"/>
      <w:pPr>
        <w:tabs>
          <w:tab w:val="num" w:pos="2483"/>
        </w:tabs>
        <w:ind w:left="2483" w:hanging="283"/>
      </w:pPr>
      <w:rPr>
        <w:rFonts w:ascii="Times New Roman" w:hAnsi="Times New Roman"/>
      </w:rPr>
    </w:lvl>
    <w:lvl w:ilvl="2">
      <w:start w:val="1"/>
      <w:numFmt w:val="bullet"/>
      <w:pStyle w:val="ListDash3Level3"/>
      <w:lvlText w:val="–"/>
      <w:lvlJc w:val="left"/>
      <w:pPr>
        <w:tabs>
          <w:tab w:val="num" w:pos="2767"/>
        </w:tabs>
        <w:ind w:left="2767" w:hanging="284"/>
      </w:pPr>
      <w:rPr>
        <w:rFonts w:ascii="Times New Roman" w:hAnsi="Times New Roman"/>
      </w:rPr>
    </w:lvl>
    <w:lvl w:ilvl="3">
      <w:start w:val="1"/>
      <w:numFmt w:val="bullet"/>
      <w:pStyle w:val="ListDash3Level4"/>
      <w:lvlText w:val="–"/>
      <w:lvlJc w:val="left"/>
      <w:pPr>
        <w:tabs>
          <w:tab w:val="num" w:pos="3050"/>
        </w:tabs>
        <w:ind w:left="3050" w:hanging="283"/>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37CB1E1C"/>
    <w:multiLevelType w:val="multilevel"/>
    <w:tmpl w:val="CE7AB1C6"/>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3A7730C4"/>
    <w:multiLevelType w:val="multilevel"/>
    <w:tmpl w:val="9D925636"/>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9E662A"/>
    <w:multiLevelType w:val="multilevel"/>
    <w:tmpl w:val="8500BCE6"/>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7" w15:restartNumberingAfterBreak="0">
    <w:nsid w:val="4E1A982C"/>
    <w:multiLevelType w:val="multilevel"/>
    <w:tmpl w:val="39BEA364"/>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15:restartNumberingAfterBreak="0">
    <w:nsid w:val="5072619B"/>
    <w:multiLevelType w:val="multilevel"/>
    <w:tmpl w:val="0DDE7082"/>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15:restartNumberingAfterBreak="0">
    <w:nsid w:val="6977472E"/>
    <w:multiLevelType w:val="multilevel"/>
    <w:tmpl w:val="DC4AC1DE"/>
    <w:name w:val="ListNumber4Numbering"/>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0" w15:restartNumberingAfterBreak="0">
    <w:nsid w:val="7C65145E"/>
    <w:multiLevelType w:val="multilevel"/>
    <w:tmpl w:val="42C6333E"/>
    <w:name w:val="EurolookHeading"/>
    <w:lvl w:ilvl="0">
      <w:start w:val="1"/>
      <w:numFmt w:val="decimal"/>
      <w:pStyle w:val="Heading1"/>
      <w:lvlText w:val="%1."/>
      <w:lvlJc w:val="left"/>
      <w:pPr>
        <w:tabs>
          <w:tab w:val="num" w:pos="482"/>
        </w:tabs>
        <w:ind w:left="482" w:hanging="482"/>
      </w:pPr>
    </w:lvl>
    <w:lvl w:ilvl="1">
      <w:start w:val="1"/>
      <w:numFmt w:val="decimal"/>
      <w:pStyle w:val="Heading2"/>
      <w:lvlText w:val="%1.%2."/>
      <w:lvlJc w:val="left"/>
      <w:pPr>
        <w:tabs>
          <w:tab w:val="num" w:pos="1077"/>
        </w:tabs>
        <w:ind w:left="1077" w:hanging="595"/>
      </w:pPr>
    </w:lvl>
    <w:lvl w:ilvl="2">
      <w:start w:val="1"/>
      <w:numFmt w:val="decimal"/>
      <w:pStyle w:val="Heading3"/>
      <w:lvlText w:val="%1.%2.%3."/>
      <w:lvlJc w:val="left"/>
      <w:pPr>
        <w:tabs>
          <w:tab w:val="num" w:pos="1922"/>
        </w:tabs>
        <w:ind w:left="1922" w:hanging="845"/>
      </w:pPr>
    </w:lvl>
    <w:lvl w:ilvl="3">
      <w:start w:val="1"/>
      <w:numFmt w:val="decimal"/>
      <w:pStyle w:val="Heading4"/>
      <w:lvlText w:val="%1.%2.%3.%4."/>
      <w:lvlJc w:val="left"/>
      <w:pPr>
        <w:tabs>
          <w:tab w:val="num" w:pos="2880"/>
        </w:tabs>
        <w:ind w:left="2880" w:hanging="958"/>
      </w:pPr>
    </w:lvl>
    <w:lvl w:ilvl="4">
      <w:start w:val="1"/>
      <w:numFmt w:val="decimal"/>
      <w:pStyle w:val="Heading5"/>
      <w:lvlText w:val="%1.%2.%3.%4.%5."/>
      <w:lvlJc w:val="left"/>
      <w:pPr>
        <w:tabs>
          <w:tab w:val="num" w:pos="2880"/>
        </w:tabs>
        <w:ind w:left="3838" w:hanging="958"/>
      </w:pPr>
    </w:lvl>
    <w:lvl w:ilvl="5">
      <w:start w:val="1"/>
      <w:numFmt w:val="decimal"/>
      <w:pStyle w:val="Heading6"/>
      <w:lvlText w:val="%1.%2.%3.%4.%5.%6."/>
      <w:lvlJc w:val="left"/>
      <w:pPr>
        <w:tabs>
          <w:tab w:val="num" w:pos="2880"/>
        </w:tabs>
        <w:ind w:left="3838" w:hanging="958"/>
      </w:pPr>
    </w:lvl>
    <w:lvl w:ilvl="6">
      <w:start w:val="1"/>
      <w:numFmt w:val="decimal"/>
      <w:pStyle w:val="Heading7"/>
      <w:lvlText w:val="%1.%2.%3.%4.%5.%6.%7."/>
      <w:lvlJc w:val="left"/>
      <w:pPr>
        <w:tabs>
          <w:tab w:val="num" w:pos="2880"/>
        </w:tabs>
        <w:ind w:left="3838" w:hanging="958"/>
      </w:pPr>
    </w:lvl>
    <w:lvl w:ilvl="7">
      <w:start w:val="1"/>
      <w:numFmt w:val="decimal"/>
      <w:pStyle w:val="Heading8"/>
      <w:lvlText w:val="%1.%2.%3.%4.%5.%6.%7.%8."/>
      <w:lvlJc w:val="left"/>
      <w:pPr>
        <w:tabs>
          <w:tab w:val="num" w:pos="2880"/>
        </w:tabs>
        <w:ind w:left="3838" w:hanging="958"/>
      </w:pPr>
    </w:lvl>
    <w:lvl w:ilvl="8">
      <w:start w:val="1"/>
      <w:numFmt w:val="decimal"/>
      <w:pStyle w:val="Heading9"/>
      <w:lvlText w:val="%1.%2.%3.%4.%5.%6.%7.%8.%9."/>
      <w:lvlJc w:val="left"/>
      <w:pPr>
        <w:tabs>
          <w:tab w:val="num" w:pos="2880"/>
        </w:tabs>
        <w:ind w:left="3838" w:hanging="958"/>
      </w:pPr>
    </w:lvl>
  </w:abstractNum>
  <w:abstractNum w:abstractNumId="21" w15:restartNumberingAfterBreak="0">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abstractNumId w:val="21"/>
  </w:num>
  <w:num w:numId="2">
    <w:abstractNumId w:val="11"/>
  </w:num>
  <w:num w:numId="3">
    <w:abstractNumId w:val="10"/>
  </w:num>
  <w:num w:numId="4">
    <w:abstractNumId w:val="20"/>
  </w:num>
  <w:num w:numId="5">
    <w:abstractNumId w:val="17"/>
  </w:num>
  <w:num w:numId="6">
    <w:abstractNumId w:val="14"/>
  </w:num>
  <w:num w:numId="7">
    <w:abstractNumId w:val="9"/>
  </w:num>
  <w:num w:numId="8">
    <w:abstractNumId w:val="4"/>
  </w:num>
  <w:num w:numId="9">
    <w:abstractNumId w:val="3"/>
  </w:num>
  <w:num w:numId="10">
    <w:abstractNumId w:val="2"/>
  </w:num>
  <w:num w:numId="11">
    <w:abstractNumId w:val="16"/>
  </w:num>
  <w:num w:numId="12">
    <w:abstractNumId w:val="5"/>
  </w:num>
  <w:num w:numId="13">
    <w:abstractNumId w:val="1"/>
  </w:num>
  <w:num w:numId="14">
    <w:abstractNumId w:val="19"/>
  </w:num>
  <w:num w:numId="15">
    <w:abstractNumId w:val="18"/>
  </w:num>
  <w:num w:numId="16">
    <w:abstractNumId w:val="13"/>
  </w:num>
  <w:num w:numId="17">
    <w:abstractNumId w:val="7"/>
  </w:num>
  <w:num w:numId="18">
    <w:abstractNumId w:val="12"/>
  </w:num>
  <w:num w:numId="19">
    <w:abstractNumId w:val="0"/>
  </w:num>
  <w:num w:numId="20">
    <w:abstractNumId w:val="8"/>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num>
  <w:num w:numId="26">
    <w:abstractNumId w:val="15"/>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nl-NL"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it-IT" w:vendorID="64" w:dllVersion="131078" w:nlCheck="1" w:checkStyle="0"/>
  <w:activeWritingStyle w:appName="MSWord" w:lang="de-DE" w:vendorID="64" w:dllVersion="131078"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720"/>
  <w:hyphenationZone w:val="425"/>
  <w:characterSpacingControl w:val="doNotCompress"/>
  <w:hdrShapeDefaults>
    <o:shapedefaults v:ext="edit" spidmax="3891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till"/>
    <w:docVar w:name="LW_ANNEX_NBR_FIRST" w:val="1"/>
    <w:docVar w:name="LW_ANNEX_NBR_LAST" w:val="10"/>
    <w:docVar w:name="LW_ANNEX_UNIQUE" w:val="0"/>
    <w:docVar w:name="LW_CORRIGENDUM" w:val="&lt;UNUSED&gt;"/>
    <w:docVar w:name="LW_COVERPAGE_EXISTS" w:val="True"/>
    <w:docVar w:name="LW_COVERPAGE_GUID" w:val="7CBDFE1F-9154-4A8E-9CC7-B05B80B5ADED"/>
    <w:docVar w:name="LW_COVERPAGE_TYPE" w:val="1"/>
    <w:docVar w:name="LW_CROSSREFERENCE" w:val="{SEC(2022) 156 final} - {SWD(2022) 95 final} - {SWD(2022) 96 final} - {SWD(2022) 97 final}"/>
    <w:docVar w:name="LW_DocType" w:val="EUROLOOK"/>
    <w:docVar w:name="LW_EMISSION" w:val="5.4.2022"/>
    <w:docVar w:name="LW_EMISSION_ISODATE" w:val="2022-04-05"/>
    <w:docVar w:name="LW_EMISSION_LOCATION" w:val="STR"/>
    <w:docVar w:name="LW_EMISSION_PREFIX" w:val="Strasbourg den "/>
    <w:docVar w:name="LW_EMISSION_SUFFIX" w:val=" "/>
    <w:docVar w:name="LW_ID_DOCTYPE_NONLW" w:val="CP-036"/>
    <w:docVar w:name="LW_LANGUE" w:val="SV"/>
    <w:docVar w:name="LW_LEVEL_OF_SENSITIVITY" w:val="Standard treatment"/>
    <w:docVar w:name="LW_NOM.INST" w:val="EUROPEISKA KOMMISSIONEN"/>
    <w:docVar w:name="LW_NOM.INST_JOINTDOC" w:val="&lt;EMPTY&gt;"/>
    <w:docVar w:name="LW_OBJETACTEPRINCIPAL.CP" w:val="om fluorerade växthusgaser, om ändring av direktiv (EU) 2019/1937 och om upphävande av förordning (EU) nr 517/2014"/>
    <w:docVar w:name="LW_PART_NBR" w:val="&lt;UNUSED&gt;"/>
    <w:docVar w:name="LW_PART_NBR_TOTAL" w:val="&lt;UNUSED&gt;"/>
    <w:docVar w:name="LW_REF.INST.NEW" w:val="COM"/>
    <w:docVar w:name="LW_REF.INST.NEW_ADOPTED" w:val="final"/>
    <w:docVar w:name="LW_REF.INST.NEW_TEXT" w:val="(2022) 15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BILAGOR_x000b_"/>
    <w:docVar w:name="LW_TYPEACTEPRINCIPAL.CP" w:val="Förslag till Europaparlamentets och rådets förordning"/>
    <w:docVar w:name="LwApiVersions" w:val="LW4CoDe 1.23.2.0; LW 8.0, Build 20211117"/>
  </w:docVars>
  <w:rsids>
    <w:rsidRoot w:val="00B51782"/>
    <w:rsid w:val="00005ECD"/>
    <w:rsid w:val="00041199"/>
    <w:rsid w:val="00130D48"/>
    <w:rsid w:val="00141550"/>
    <w:rsid w:val="00144D03"/>
    <w:rsid w:val="00147925"/>
    <w:rsid w:val="001536DA"/>
    <w:rsid w:val="0015390D"/>
    <w:rsid w:val="001568EC"/>
    <w:rsid w:val="001734F3"/>
    <w:rsid w:val="001924AB"/>
    <w:rsid w:val="001B1D37"/>
    <w:rsid w:val="001F4740"/>
    <w:rsid w:val="00253289"/>
    <w:rsid w:val="00277749"/>
    <w:rsid w:val="00333936"/>
    <w:rsid w:val="003A1DBA"/>
    <w:rsid w:val="004114E0"/>
    <w:rsid w:val="00452585"/>
    <w:rsid w:val="004554C7"/>
    <w:rsid w:val="00490927"/>
    <w:rsid w:val="004D10E6"/>
    <w:rsid w:val="004D73E1"/>
    <w:rsid w:val="00510D5F"/>
    <w:rsid w:val="00560EF9"/>
    <w:rsid w:val="00561D38"/>
    <w:rsid w:val="0058135E"/>
    <w:rsid w:val="005B6D95"/>
    <w:rsid w:val="005C1593"/>
    <w:rsid w:val="007D51DD"/>
    <w:rsid w:val="007E2865"/>
    <w:rsid w:val="00851A3D"/>
    <w:rsid w:val="008C5E0D"/>
    <w:rsid w:val="009B3F76"/>
    <w:rsid w:val="00A22D64"/>
    <w:rsid w:val="00A2555C"/>
    <w:rsid w:val="00A642F2"/>
    <w:rsid w:val="00B51782"/>
    <w:rsid w:val="00B85A18"/>
    <w:rsid w:val="00B860D9"/>
    <w:rsid w:val="00B91004"/>
    <w:rsid w:val="00B962E2"/>
    <w:rsid w:val="00BE3998"/>
    <w:rsid w:val="00C40773"/>
    <w:rsid w:val="00C54D8B"/>
    <w:rsid w:val="00CD604B"/>
    <w:rsid w:val="00CE6F1E"/>
    <w:rsid w:val="00D37DBF"/>
    <w:rsid w:val="00DE2A93"/>
    <w:rsid w:val="00DE2DD8"/>
    <w:rsid w:val="00DF5B7F"/>
    <w:rsid w:val="00E15D2C"/>
    <w:rsid w:val="00E60B0D"/>
    <w:rsid w:val="00EA13E1"/>
    <w:rsid w:val="00EA31D7"/>
    <w:rsid w:val="00EB4EAC"/>
    <w:rsid w:val="00ED50D9"/>
    <w:rsid w:val="00F0494D"/>
    <w:rsid w:val="00F15B76"/>
    <w:rsid w:val="00F201B3"/>
    <w:rsid w:val="00F666F8"/>
    <w:rsid w:val="00F73A89"/>
    <w:rsid w:val="00FE0388"/>
    <w:rsid w:val="00FE0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288AB981-C6C5-431C-B9AD-524DDAA8F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sv-SE" w:eastAsia="fr-BE" w:bidi="ar-SA"/>
      </w:rPr>
    </w:rPrDefault>
    <w:pPrDefault/>
  </w:docDefaults>
  <w:latentStyles w:defLockedState="1" w:defUIPriority="0"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99" w:unhideWhenUsed="1"/>
    <w:lsdException w:name="annotation text" w:semiHidden="1"/>
    <w:lsdException w:name="header" w:uiPriority="2"/>
    <w:lsdException w:name="footer" w:uiPriority="99"/>
    <w:lsdException w:name="index heading" w:semiHidden="1"/>
    <w:lsdException w:name="caption" w:semiHidden="1"/>
    <w:lsdException w:name="table of figures" w:semiHidden="1"/>
    <w:lsdException w:name="envelope address" w:semiHidden="1"/>
    <w:lsdException w:name="envelope return" w:semiHidden="1"/>
    <w:lsdException w:name="footnote reference" w:semiHidden="1" w:uiPriority="99"/>
    <w:lsdException w:name="annotation reference" w:semiHidden="1"/>
    <w:lsdException w:name="line number" w:semiHidden="1"/>
    <w:lsdException w:name="page number" w:semiHidden="1"/>
    <w:lsdException w:name="endnote reference" w:semiHidden="1"/>
    <w:lsdException w:name="endnote text" w:unhideWhenUsed="1"/>
    <w:lsdException w:name="table of authorities" w:semiHidden="1"/>
    <w:lsdException w:name="macro" w:semiHidden="1"/>
    <w:lsdException w:name="toa heading" w:semiHidden="1"/>
    <w:lsdException w:name="List" w:semiHidden="1"/>
    <w:lsdException w:name="List Bullet" w:uiPriority="1"/>
    <w:lsdException w:name="List Number" w:uiPriority="1"/>
    <w:lsdException w:name="List 2" w:semiHidden="1"/>
    <w:lsdException w:name="List 3" w:semiHidden="1"/>
    <w:lsdException w:name="List 4" w:semiHidden="1"/>
    <w:lsdException w:name="List 5" w:semiHidden="1"/>
    <w:lsdException w:name="List Bullet 2" w:uiPriority="1"/>
    <w:lsdException w:name="List Bullet 3" w:uiPriority="1"/>
    <w:lsdException w:name="List Bullet 4" w:uiPriority="1"/>
    <w:lsdException w:name="List Bullet 5" w:semiHidden="1"/>
    <w:lsdException w:name="List Number 2" w:uiPriority="1"/>
    <w:lsdException w:name="List Number 3" w:uiPriority="1"/>
    <w:lsdException w:name="List Number 4" w:uiPriority="1"/>
    <w:lsdException w:name="List Number 5" w:semiHidden="1"/>
    <w:lsdException w:name="Title" w:uiPriority="1" w:qFormat="1"/>
    <w:lsdException w:name="Closing" w:uiPriority="2"/>
    <w:lsdException w:name="Signature" w:uiPriority="2"/>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uiPriority="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99"/>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latentStyles>
  <w:style w:type="paragraph" w:default="1" w:styleId="Normal">
    <w:name w:val="Normal"/>
    <w:uiPriority w:val="1"/>
    <w:qFormat/>
    <w:pPr>
      <w:spacing w:after="240"/>
      <w:jc w:val="both"/>
    </w:pPr>
  </w:style>
  <w:style w:type="paragraph" w:styleId="Heading1">
    <w:name w:val="heading 1"/>
    <w:basedOn w:val="Normal"/>
    <w:next w:val="Text1"/>
    <w:uiPriority w:val="1"/>
    <w:qFormat/>
    <w:pPr>
      <w:keepNext/>
      <w:numPr>
        <w:numId w:val="4"/>
      </w:numPr>
      <w:spacing w:before="240"/>
      <w:outlineLvl w:val="0"/>
    </w:pPr>
    <w:rPr>
      <w:b/>
      <w:smallCaps/>
    </w:rPr>
  </w:style>
  <w:style w:type="paragraph" w:styleId="Heading2">
    <w:name w:val="heading 2"/>
    <w:basedOn w:val="Normal"/>
    <w:next w:val="Text2"/>
    <w:uiPriority w:val="1"/>
    <w:qFormat/>
    <w:pPr>
      <w:keepNext/>
      <w:numPr>
        <w:ilvl w:val="1"/>
        <w:numId w:val="4"/>
      </w:numPr>
      <w:outlineLvl w:val="1"/>
    </w:pPr>
    <w:rPr>
      <w:b/>
    </w:rPr>
  </w:style>
  <w:style w:type="paragraph" w:styleId="Heading3">
    <w:name w:val="heading 3"/>
    <w:basedOn w:val="Normal"/>
    <w:next w:val="Text3"/>
    <w:uiPriority w:val="1"/>
    <w:qFormat/>
    <w:pPr>
      <w:keepNext/>
      <w:numPr>
        <w:ilvl w:val="2"/>
        <w:numId w:val="4"/>
      </w:numPr>
      <w:outlineLvl w:val="2"/>
    </w:pPr>
    <w:rPr>
      <w:i/>
    </w:rPr>
  </w:style>
  <w:style w:type="paragraph" w:styleId="Heading4">
    <w:name w:val="heading 4"/>
    <w:basedOn w:val="Normal"/>
    <w:next w:val="Text4"/>
    <w:uiPriority w:val="1"/>
    <w:qFormat/>
    <w:pPr>
      <w:keepNext/>
      <w:numPr>
        <w:ilvl w:val="3"/>
        <w:numId w:val="4"/>
      </w:numPr>
      <w:outlineLvl w:val="3"/>
    </w:pPr>
  </w:style>
  <w:style w:type="paragraph" w:styleId="Heading5">
    <w:name w:val="heading 5"/>
    <w:basedOn w:val="Normal"/>
    <w:next w:val="Normal"/>
    <w:semiHidden/>
    <w:pPr>
      <w:keepNext/>
      <w:numPr>
        <w:ilvl w:val="4"/>
        <w:numId w:val="4"/>
      </w:numPr>
      <w:outlineLvl w:val="4"/>
    </w:pPr>
  </w:style>
  <w:style w:type="paragraph" w:styleId="Heading6">
    <w:name w:val="heading 6"/>
    <w:basedOn w:val="Normal"/>
    <w:next w:val="Normal"/>
    <w:semiHidden/>
    <w:pPr>
      <w:keepNext/>
      <w:numPr>
        <w:ilvl w:val="5"/>
        <w:numId w:val="4"/>
      </w:numPr>
      <w:outlineLvl w:val="5"/>
    </w:pPr>
  </w:style>
  <w:style w:type="paragraph" w:styleId="Heading7">
    <w:name w:val="heading 7"/>
    <w:basedOn w:val="Normal"/>
    <w:next w:val="Normal"/>
    <w:semiHidden/>
    <w:pPr>
      <w:keepNext/>
      <w:numPr>
        <w:ilvl w:val="6"/>
        <w:numId w:val="4"/>
      </w:numPr>
      <w:outlineLvl w:val="6"/>
    </w:pPr>
  </w:style>
  <w:style w:type="paragraph" w:styleId="Heading8">
    <w:name w:val="heading 8"/>
    <w:basedOn w:val="Normal"/>
    <w:next w:val="Normal"/>
    <w:semiHidden/>
    <w:pPr>
      <w:keepNext/>
      <w:numPr>
        <w:ilvl w:val="7"/>
        <w:numId w:val="4"/>
      </w:numPr>
      <w:outlineLvl w:val="7"/>
    </w:pPr>
  </w:style>
  <w:style w:type="paragraph" w:styleId="Heading9">
    <w:name w:val="heading 9"/>
    <w:basedOn w:val="Normal"/>
    <w:next w:val="Normal"/>
    <w:semiHidden/>
    <w:pPr>
      <w:keepNext/>
      <w:numPr>
        <w:ilvl w:val="8"/>
        <w:numId w:val="4"/>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rossReference">
    <w:name w:val="Cross Reference"/>
    <w:basedOn w:val="DefaultParagraphFont"/>
    <w:uiPriority w:val="2"/>
    <w:rPr>
      <w:i/>
    </w:rPr>
  </w:style>
  <w:style w:type="character" w:customStyle="1" w:styleId="MarkingText">
    <w:name w:val="MarkingText"/>
    <w:semiHidden/>
    <w:rPr>
      <w:i/>
      <w:sz w:val="28"/>
    </w:rPr>
  </w:style>
  <w:style w:type="character" w:customStyle="1" w:styleId="MarkingLabel">
    <w:name w:val="MarkingLabel"/>
    <w:semiHidden/>
    <w:rPr>
      <w:b/>
      <w:caps/>
      <w:sz w:val="28"/>
    </w:rPr>
  </w:style>
  <w:style w:type="character" w:customStyle="1" w:styleId="InstructionPlaceholder">
    <w:name w:val="InstructionPlaceholder"/>
    <w:uiPriority w:val="1"/>
    <w:rPr>
      <w:color w:val="CB3535"/>
    </w:rPr>
  </w:style>
  <w:style w:type="character" w:customStyle="1" w:styleId="InstructionBlue">
    <w:name w:val="InstructionBlue"/>
    <w:uiPriority w:val="1"/>
    <w:rPr>
      <w:i/>
      <w:color w:val="3366CC"/>
    </w:rPr>
  </w:style>
  <w:style w:type="character" w:customStyle="1" w:styleId="InstructionRed">
    <w:name w:val="InstructionRed"/>
    <w:uiPriority w:val="1"/>
    <w:rPr>
      <w:i/>
      <w:color w:val="CB3535"/>
    </w:rPr>
  </w:style>
  <w:style w:type="character" w:customStyle="1" w:styleId="BodyPlaceholderText">
    <w:name w:val="BodyPlaceholderText"/>
    <w:basedOn w:val="PlaceholderText"/>
    <w:semiHidden/>
    <w:rPr>
      <w:color w:val="3366CC"/>
    </w:rPr>
  </w:style>
  <w:style w:type="character" w:styleId="PlaceholderText">
    <w:name w:val="Placeholder Text"/>
    <w:basedOn w:val="DefaultParagraphFont"/>
    <w:semiHidden/>
    <w:rPr>
      <w:color w:val="288061"/>
    </w:rPr>
  </w:style>
  <w:style w:type="paragraph" w:customStyle="1" w:styleId="Copies">
    <w:name w:val="Copies"/>
    <w:basedOn w:val="Normal"/>
    <w:uiPriority w:val="2"/>
    <w:pPr>
      <w:tabs>
        <w:tab w:val="left" w:pos="5669"/>
      </w:tabs>
      <w:spacing w:before="480" w:after="0"/>
      <w:ind w:left="1984" w:hanging="1984"/>
      <w:contextualSpacing/>
      <w:jc w:val="left"/>
    </w:pPr>
  </w:style>
  <w:style w:type="paragraph" w:customStyle="1" w:styleId="Participants">
    <w:name w:val="Participants"/>
    <w:basedOn w:val="Normal"/>
    <w:uiPriority w:val="2"/>
    <w:pPr>
      <w:tabs>
        <w:tab w:val="left" w:pos="2551"/>
        <w:tab w:val="left" w:pos="2835"/>
        <w:tab w:val="left" w:pos="5669"/>
        <w:tab w:val="left" w:pos="6378"/>
        <w:tab w:val="left" w:pos="6803"/>
      </w:tabs>
      <w:spacing w:before="480" w:after="0"/>
      <w:ind w:left="1984" w:hanging="1984"/>
      <w:contextualSpacing/>
      <w:jc w:val="left"/>
    </w:pPr>
  </w:style>
  <w:style w:type="paragraph" w:customStyle="1" w:styleId="Enclosures">
    <w:name w:val="Enclosures"/>
    <w:basedOn w:val="Normal"/>
    <w:uiPriority w:val="2"/>
    <w:pPr>
      <w:keepNext/>
      <w:keepLines/>
      <w:tabs>
        <w:tab w:val="left" w:pos="5669"/>
      </w:tabs>
      <w:spacing w:before="480" w:after="0"/>
      <w:ind w:left="1984" w:hanging="1984"/>
      <w:contextualSpacing/>
      <w:jc w:val="left"/>
    </w:pPr>
  </w:style>
  <w:style w:type="paragraph" w:customStyle="1" w:styleId="DoubSign">
    <w:name w:val="DoubSign"/>
    <w:basedOn w:val="Normal"/>
    <w:next w:val="Contact"/>
    <w:uiPriority w:val="2"/>
    <w:pPr>
      <w:tabs>
        <w:tab w:val="left" w:pos="5102"/>
      </w:tabs>
      <w:spacing w:before="1200" w:after="0"/>
      <w:jc w:val="left"/>
    </w:pPr>
  </w:style>
  <w:style w:type="paragraph" w:customStyle="1" w:styleId="SignatureL">
    <w:name w:val="SignatureL"/>
    <w:basedOn w:val="Normal"/>
    <w:next w:val="Contact"/>
    <w:uiPriority w:val="2"/>
    <w:pPr>
      <w:tabs>
        <w:tab w:val="left" w:pos="5102"/>
      </w:tabs>
      <w:spacing w:before="1200" w:after="0"/>
      <w:jc w:val="left"/>
    </w:pPr>
  </w:style>
  <w:style w:type="paragraph" w:styleId="Signature">
    <w:name w:val="Signature"/>
    <w:basedOn w:val="Normal"/>
    <w:next w:val="Contact"/>
    <w:uiPriority w:val="2"/>
    <w:pPr>
      <w:tabs>
        <w:tab w:val="left" w:pos="5102"/>
      </w:tabs>
      <w:spacing w:before="1200" w:after="0"/>
      <w:ind w:left="5102"/>
      <w:jc w:val="center"/>
    </w:pPr>
  </w:style>
  <w:style w:type="paragraph" w:customStyle="1" w:styleId="ClosingL">
    <w:name w:val="ClosingL"/>
    <w:basedOn w:val="Normal"/>
    <w:next w:val="Signature"/>
    <w:uiPriority w:val="2"/>
    <w:pPr>
      <w:spacing w:before="240"/>
      <w:jc w:val="left"/>
    </w:pPr>
  </w:style>
  <w:style w:type="paragraph" w:styleId="Closing">
    <w:name w:val="Closing"/>
    <w:basedOn w:val="Normal"/>
    <w:next w:val="Signature"/>
    <w:uiPriority w:val="2"/>
    <w:pPr>
      <w:tabs>
        <w:tab w:val="left" w:pos="5102"/>
      </w:tabs>
      <w:spacing w:before="240"/>
      <w:ind w:left="5102"/>
      <w:jc w:val="left"/>
    </w:pPr>
  </w:style>
  <w:style w:type="paragraph" w:customStyle="1" w:styleId="YReferences">
    <w:name w:val="YReferences"/>
    <w:basedOn w:val="Normal"/>
    <w:uiPriority w:val="2"/>
    <w:pPr>
      <w:spacing w:after="480"/>
      <w:ind w:left="1531" w:hanging="1531"/>
      <w:contextualSpacing/>
    </w:pPr>
  </w:style>
  <w:style w:type="paragraph" w:customStyle="1" w:styleId="Subject">
    <w:name w:val="Subject"/>
    <w:basedOn w:val="Normal"/>
    <w:uiPriority w:val="2"/>
    <w:pPr>
      <w:spacing w:after="480"/>
      <w:ind w:left="1531" w:hanging="1531"/>
      <w:contextualSpacing/>
      <w:jc w:val="left"/>
    </w:pPr>
    <w:rPr>
      <w:b/>
    </w:rPr>
  </w:style>
  <w:style w:type="paragraph" w:customStyle="1" w:styleId="NoteColumn">
    <w:name w:val="NoteColumn"/>
    <w:basedOn w:val="Normal"/>
    <w:uiPriority w:val="2"/>
    <w:pPr>
      <w:tabs>
        <w:tab w:val="left" w:pos="850"/>
        <w:tab w:val="left" w:pos="1570"/>
        <w:tab w:val="left" w:pos="5102"/>
        <w:tab w:val="left" w:pos="5822"/>
      </w:tabs>
      <w:spacing w:after="720"/>
      <w:ind w:left="850"/>
      <w:jc w:val="left"/>
    </w:pPr>
    <w:rPr>
      <w:b/>
      <w:smallCaps/>
    </w:rPr>
  </w:style>
  <w:style w:type="paragraph" w:customStyle="1" w:styleId="NoteList">
    <w:name w:val="NoteList"/>
    <w:basedOn w:val="Normal"/>
    <w:uiPriority w:val="2"/>
    <w:pPr>
      <w:tabs>
        <w:tab w:val="left" w:pos="5822"/>
      </w:tabs>
      <w:spacing w:before="720" w:after="720"/>
      <w:ind w:left="5102" w:hanging="3118"/>
      <w:contextualSpacing/>
      <w:jc w:val="left"/>
    </w:pPr>
    <w:rPr>
      <w:b/>
      <w:smallCaps/>
    </w:rPr>
  </w:style>
  <w:style w:type="paragraph" w:customStyle="1" w:styleId="NoteAddressee">
    <w:name w:val="NoteAddressee"/>
    <w:basedOn w:val="Normal"/>
    <w:uiPriority w:val="2"/>
    <w:pPr>
      <w:spacing w:after="720"/>
      <w:contextualSpacing/>
      <w:jc w:val="center"/>
    </w:pPr>
    <w:rPr>
      <w:b/>
      <w:smallCaps/>
    </w:rPr>
  </w:style>
  <w:style w:type="paragraph" w:customStyle="1" w:styleId="NoteTitle">
    <w:name w:val="NoteTitle"/>
    <w:basedOn w:val="Normal"/>
    <w:uiPriority w:val="2"/>
    <w:pPr>
      <w:spacing w:before="720" w:after="360"/>
      <w:contextualSpacing/>
      <w:jc w:val="center"/>
    </w:pPr>
    <w:rPr>
      <w:b/>
      <w:smallCaps/>
    </w:rPr>
  </w:style>
  <w:style w:type="paragraph" w:customStyle="1" w:styleId="NoteHead">
    <w:name w:val="NoteHead"/>
    <w:basedOn w:val="Normal"/>
    <w:uiPriority w:val="2"/>
    <w:pPr>
      <w:spacing w:before="720" w:after="720"/>
      <w:contextualSpacing/>
      <w:jc w:val="center"/>
    </w:pPr>
    <w:rPr>
      <w:b/>
      <w:smallCaps/>
    </w:rPr>
  </w:style>
  <w:style w:type="paragraph" w:customStyle="1" w:styleId="ContNumLevel3">
    <w:name w:val="ContNum (Level 3)"/>
    <w:basedOn w:val="Normal"/>
    <w:uiPriority w:val="1"/>
    <w:pPr>
      <w:numPr>
        <w:ilvl w:val="2"/>
        <w:numId w:val="2"/>
      </w:numPr>
    </w:pPr>
  </w:style>
  <w:style w:type="paragraph" w:customStyle="1" w:styleId="ContNumLevel2">
    <w:name w:val="ContNum (Level 2)"/>
    <w:basedOn w:val="Normal"/>
    <w:uiPriority w:val="1"/>
    <w:pPr>
      <w:numPr>
        <w:ilvl w:val="1"/>
        <w:numId w:val="2"/>
      </w:numPr>
    </w:pPr>
  </w:style>
  <w:style w:type="paragraph" w:customStyle="1" w:styleId="ContNum">
    <w:name w:val="ContNum"/>
    <w:basedOn w:val="Normal"/>
    <w:uiPriority w:val="1"/>
    <w:qFormat/>
    <w:pPr>
      <w:numPr>
        <w:numId w:val="2"/>
      </w:numPr>
    </w:pPr>
  </w:style>
  <w:style w:type="paragraph" w:customStyle="1" w:styleId="LegalNumPar3">
    <w:name w:val="LegalNumPar3"/>
    <w:basedOn w:val="Normal"/>
    <w:uiPriority w:val="1"/>
    <w:pPr>
      <w:numPr>
        <w:ilvl w:val="2"/>
        <w:numId w:val="3"/>
      </w:numPr>
      <w:spacing w:line="360" w:lineRule="auto"/>
    </w:pPr>
  </w:style>
  <w:style w:type="paragraph" w:customStyle="1" w:styleId="LegalNumPar2">
    <w:name w:val="LegalNumPar2"/>
    <w:basedOn w:val="Normal"/>
    <w:uiPriority w:val="1"/>
    <w:pPr>
      <w:numPr>
        <w:ilvl w:val="1"/>
        <w:numId w:val="3"/>
      </w:numPr>
      <w:spacing w:line="360" w:lineRule="auto"/>
    </w:pPr>
  </w:style>
  <w:style w:type="paragraph" w:customStyle="1" w:styleId="LegalNumPar">
    <w:name w:val="LegalNumPar"/>
    <w:basedOn w:val="Normal"/>
    <w:uiPriority w:val="1"/>
    <w:qFormat/>
    <w:pPr>
      <w:numPr>
        <w:numId w:val="3"/>
      </w:numPr>
      <w:spacing w:line="360" w:lineRule="auto"/>
    </w:pPr>
  </w:style>
  <w:style w:type="paragraph" w:customStyle="1" w:styleId="Marking">
    <w:name w:val="Marking"/>
    <w:basedOn w:val="Normal"/>
    <w:semiHidden/>
    <w:pPr>
      <w:ind w:left="5102" w:right="-567"/>
      <w:contextualSpacing/>
      <w:jc w:val="left"/>
    </w:pPr>
    <w:rPr>
      <w:sz w:val="28"/>
    </w:rPr>
  </w:style>
  <w:style w:type="paragraph" w:customStyle="1" w:styleId="ListNumber4Level4">
    <w:name w:val="List Number 4 (Level 4)"/>
    <w:basedOn w:val="Text4"/>
    <w:uiPriority w:val="1"/>
    <w:semiHidden/>
    <w:unhideWhenUsed/>
    <w:pPr>
      <w:numPr>
        <w:ilvl w:val="3"/>
        <w:numId w:val="14"/>
      </w:numPr>
    </w:pPr>
  </w:style>
  <w:style w:type="paragraph" w:customStyle="1" w:styleId="ListNumber4Level3">
    <w:name w:val="List Number 4 (Level 3)"/>
    <w:basedOn w:val="Text4"/>
    <w:uiPriority w:val="1"/>
    <w:semiHidden/>
    <w:unhideWhenUsed/>
    <w:pPr>
      <w:numPr>
        <w:ilvl w:val="2"/>
        <w:numId w:val="14"/>
      </w:numPr>
    </w:pPr>
  </w:style>
  <w:style w:type="paragraph" w:customStyle="1" w:styleId="ListNumber4Level2">
    <w:name w:val="List Number 4 (Level 2)"/>
    <w:basedOn w:val="Text4"/>
    <w:uiPriority w:val="1"/>
    <w:pPr>
      <w:numPr>
        <w:ilvl w:val="1"/>
        <w:numId w:val="14"/>
      </w:numPr>
    </w:pPr>
  </w:style>
  <w:style w:type="paragraph" w:styleId="ListNumber4">
    <w:name w:val="List Number 4"/>
    <w:basedOn w:val="Text4"/>
    <w:uiPriority w:val="1"/>
    <w:pPr>
      <w:numPr>
        <w:numId w:val="14"/>
      </w:numPr>
    </w:pPr>
  </w:style>
  <w:style w:type="paragraph" w:customStyle="1" w:styleId="ListNumber3Level4">
    <w:name w:val="List Number 3 (Level 4)"/>
    <w:basedOn w:val="Text3"/>
    <w:uiPriority w:val="1"/>
    <w:semiHidden/>
    <w:unhideWhenUsed/>
    <w:pPr>
      <w:numPr>
        <w:ilvl w:val="3"/>
        <w:numId w:val="13"/>
      </w:numPr>
    </w:pPr>
  </w:style>
  <w:style w:type="paragraph" w:customStyle="1" w:styleId="ListNumber3Level3">
    <w:name w:val="List Number 3 (Level 3)"/>
    <w:basedOn w:val="Text3"/>
    <w:uiPriority w:val="1"/>
    <w:semiHidden/>
    <w:unhideWhenUsed/>
    <w:pPr>
      <w:numPr>
        <w:ilvl w:val="2"/>
        <w:numId w:val="13"/>
      </w:numPr>
    </w:pPr>
  </w:style>
  <w:style w:type="paragraph" w:customStyle="1" w:styleId="ListNumber3Level2">
    <w:name w:val="List Number 3 (Level 2)"/>
    <w:basedOn w:val="Text3"/>
    <w:uiPriority w:val="1"/>
    <w:pPr>
      <w:numPr>
        <w:ilvl w:val="1"/>
        <w:numId w:val="13"/>
      </w:numPr>
    </w:pPr>
  </w:style>
  <w:style w:type="paragraph" w:styleId="ListNumber3">
    <w:name w:val="List Number 3"/>
    <w:basedOn w:val="Text3"/>
    <w:uiPriority w:val="1"/>
    <w:pPr>
      <w:numPr>
        <w:numId w:val="13"/>
      </w:numPr>
    </w:pPr>
  </w:style>
  <w:style w:type="paragraph" w:customStyle="1" w:styleId="ListNumber2Level4">
    <w:name w:val="List Number 2 (Level 4)"/>
    <w:basedOn w:val="Text2"/>
    <w:uiPriority w:val="1"/>
    <w:semiHidden/>
    <w:unhideWhenUsed/>
    <w:pPr>
      <w:numPr>
        <w:ilvl w:val="3"/>
        <w:numId w:val="12"/>
      </w:numPr>
    </w:pPr>
  </w:style>
  <w:style w:type="paragraph" w:customStyle="1" w:styleId="ListNumber2Level3">
    <w:name w:val="List Number 2 (Level 3)"/>
    <w:basedOn w:val="Text2"/>
    <w:uiPriority w:val="1"/>
    <w:semiHidden/>
    <w:unhideWhenUsed/>
    <w:pPr>
      <w:numPr>
        <w:ilvl w:val="2"/>
        <w:numId w:val="12"/>
      </w:numPr>
    </w:pPr>
  </w:style>
  <w:style w:type="paragraph" w:customStyle="1" w:styleId="ListNumber2Level2">
    <w:name w:val="List Number 2 (Level 2)"/>
    <w:basedOn w:val="Text2"/>
    <w:uiPriority w:val="1"/>
    <w:pPr>
      <w:numPr>
        <w:ilvl w:val="1"/>
        <w:numId w:val="12"/>
      </w:numPr>
    </w:pPr>
  </w:style>
  <w:style w:type="paragraph" w:styleId="ListNumber2">
    <w:name w:val="List Number 2"/>
    <w:basedOn w:val="Text2"/>
    <w:uiPriority w:val="1"/>
    <w:pPr>
      <w:numPr>
        <w:numId w:val="12"/>
      </w:numPr>
    </w:pPr>
  </w:style>
  <w:style w:type="paragraph" w:customStyle="1" w:styleId="ListNumber1Level4">
    <w:name w:val="List Number 1 (Level 4)"/>
    <w:basedOn w:val="Text1"/>
    <w:uiPriority w:val="1"/>
    <w:semiHidden/>
    <w:unhideWhenUsed/>
    <w:pPr>
      <w:numPr>
        <w:ilvl w:val="3"/>
        <w:numId w:val="11"/>
      </w:numPr>
    </w:pPr>
  </w:style>
  <w:style w:type="paragraph" w:customStyle="1" w:styleId="ListNumber1Level3">
    <w:name w:val="List Number 1 (Level 3)"/>
    <w:basedOn w:val="Text1"/>
    <w:uiPriority w:val="1"/>
    <w:semiHidden/>
    <w:unhideWhenUsed/>
    <w:pPr>
      <w:numPr>
        <w:ilvl w:val="2"/>
        <w:numId w:val="11"/>
      </w:numPr>
    </w:pPr>
  </w:style>
  <w:style w:type="paragraph" w:customStyle="1" w:styleId="ListNumber1Level2">
    <w:name w:val="List Number 1 (Level 2)"/>
    <w:basedOn w:val="Text1"/>
    <w:uiPriority w:val="1"/>
    <w:pPr>
      <w:numPr>
        <w:ilvl w:val="1"/>
        <w:numId w:val="11"/>
      </w:numPr>
    </w:pPr>
  </w:style>
  <w:style w:type="paragraph" w:customStyle="1" w:styleId="ListNumber1">
    <w:name w:val="List Number 1"/>
    <w:basedOn w:val="Text1"/>
    <w:uiPriority w:val="1"/>
    <w:pPr>
      <w:numPr>
        <w:numId w:val="11"/>
      </w:numPr>
    </w:pPr>
  </w:style>
  <w:style w:type="paragraph" w:customStyle="1" w:styleId="ListNumberLevel4">
    <w:name w:val="List Number (Level 4)"/>
    <w:basedOn w:val="Normal"/>
    <w:uiPriority w:val="1"/>
    <w:semiHidden/>
    <w:unhideWhenUsed/>
    <w:pPr>
      <w:numPr>
        <w:ilvl w:val="3"/>
        <w:numId w:val="10"/>
      </w:numPr>
    </w:pPr>
  </w:style>
  <w:style w:type="paragraph" w:customStyle="1" w:styleId="ListNumberLevel3">
    <w:name w:val="List Number (Level 3)"/>
    <w:basedOn w:val="Normal"/>
    <w:uiPriority w:val="1"/>
    <w:semiHidden/>
    <w:unhideWhenUsed/>
    <w:pPr>
      <w:numPr>
        <w:ilvl w:val="2"/>
        <w:numId w:val="10"/>
      </w:numPr>
    </w:pPr>
  </w:style>
  <w:style w:type="paragraph" w:customStyle="1" w:styleId="ListNumberLevel2">
    <w:name w:val="List Number (Level 2)"/>
    <w:basedOn w:val="Normal"/>
    <w:uiPriority w:val="1"/>
    <w:pPr>
      <w:numPr>
        <w:ilvl w:val="1"/>
        <w:numId w:val="10"/>
      </w:numPr>
    </w:pPr>
  </w:style>
  <w:style w:type="paragraph" w:styleId="ListNumber">
    <w:name w:val="List Number"/>
    <w:basedOn w:val="Normal"/>
    <w:uiPriority w:val="1"/>
    <w:pPr>
      <w:numPr>
        <w:numId w:val="10"/>
      </w:numPr>
    </w:pPr>
  </w:style>
  <w:style w:type="paragraph" w:customStyle="1" w:styleId="ListDash4Level4">
    <w:name w:val="List Dash 4 (Level 4)"/>
    <w:basedOn w:val="Text4"/>
    <w:uiPriority w:val="1"/>
    <w:semiHidden/>
    <w:unhideWhenUsed/>
    <w:pPr>
      <w:numPr>
        <w:ilvl w:val="3"/>
        <w:numId w:val="19"/>
      </w:numPr>
    </w:pPr>
  </w:style>
  <w:style w:type="paragraph" w:customStyle="1" w:styleId="ListDash4Level3">
    <w:name w:val="List Dash 4 (Level 3)"/>
    <w:basedOn w:val="Text4"/>
    <w:uiPriority w:val="1"/>
    <w:semiHidden/>
    <w:unhideWhenUsed/>
    <w:pPr>
      <w:numPr>
        <w:ilvl w:val="2"/>
        <w:numId w:val="19"/>
      </w:numPr>
    </w:pPr>
  </w:style>
  <w:style w:type="paragraph" w:customStyle="1" w:styleId="ListDash4Level2">
    <w:name w:val="List Dash 4 (Level 2)"/>
    <w:basedOn w:val="Text4"/>
    <w:uiPriority w:val="1"/>
    <w:pPr>
      <w:numPr>
        <w:ilvl w:val="1"/>
        <w:numId w:val="19"/>
      </w:numPr>
    </w:pPr>
  </w:style>
  <w:style w:type="paragraph" w:customStyle="1" w:styleId="ListDash4">
    <w:name w:val="List Dash 4"/>
    <w:basedOn w:val="Text4"/>
    <w:uiPriority w:val="1"/>
    <w:pPr>
      <w:numPr>
        <w:numId w:val="19"/>
      </w:numPr>
    </w:pPr>
  </w:style>
  <w:style w:type="paragraph" w:customStyle="1" w:styleId="ListDash3Level4">
    <w:name w:val="List Dash 3 (Level 4)"/>
    <w:basedOn w:val="Text3"/>
    <w:uiPriority w:val="1"/>
    <w:semiHidden/>
    <w:unhideWhenUsed/>
    <w:pPr>
      <w:numPr>
        <w:ilvl w:val="3"/>
        <w:numId w:val="18"/>
      </w:numPr>
    </w:pPr>
  </w:style>
  <w:style w:type="paragraph" w:customStyle="1" w:styleId="ListDash3Level3">
    <w:name w:val="List Dash 3 (Level 3)"/>
    <w:basedOn w:val="Text3"/>
    <w:uiPriority w:val="1"/>
    <w:semiHidden/>
    <w:unhideWhenUsed/>
    <w:pPr>
      <w:numPr>
        <w:ilvl w:val="2"/>
        <w:numId w:val="18"/>
      </w:numPr>
    </w:pPr>
  </w:style>
  <w:style w:type="paragraph" w:customStyle="1" w:styleId="ListDash3Level2">
    <w:name w:val="List Dash 3 (Level 2)"/>
    <w:basedOn w:val="Text3"/>
    <w:uiPriority w:val="1"/>
    <w:pPr>
      <w:numPr>
        <w:ilvl w:val="1"/>
        <w:numId w:val="18"/>
      </w:numPr>
    </w:pPr>
  </w:style>
  <w:style w:type="paragraph" w:customStyle="1" w:styleId="ListDash3">
    <w:name w:val="List Dash 3"/>
    <w:basedOn w:val="Text3"/>
    <w:uiPriority w:val="1"/>
    <w:pPr>
      <w:numPr>
        <w:numId w:val="18"/>
      </w:numPr>
    </w:pPr>
  </w:style>
  <w:style w:type="paragraph" w:customStyle="1" w:styleId="ListDash2Level4">
    <w:name w:val="List Dash 2 (Level 4)"/>
    <w:basedOn w:val="Text2"/>
    <w:uiPriority w:val="1"/>
    <w:semiHidden/>
    <w:unhideWhenUsed/>
    <w:pPr>
      <w:numPr>
        <w:ilvl w:val="3"/>
        <w:numId w:val="17"/>
      </w:numPr>
    </w:pPr>
  </w:style>
  <w:style w:type="paragraph" w:customStyle="1" w:styleId="ListDash2Level3">
    <w:name w:val="List Dash 2 (Level 3)"/>
    <w:basedOn w:val="Text2"/>
    <w:uiPriority w:val="1"/>
    <w:semiHidden/>
    <w:unhideWhenUsed/>
    <w:pPr>
      <w:numPr>
        <w:ilvl w:val="2"/>
        <w:numId w:val="17"/>
      </w:numPr>
    </w:pPr>
  </w:style>
  <w:style w:type="paragraph" w:customStyle="1" w:styleId="ListDash2Level2">
    <w:name w:val="List Dash 2 (Level 2)"/>
    <w:basedOn w:val="Text2"/>
    <w:uiPriority w:val="1"/>
    <w:pPr>
      <w:numPr>
        <w:ilvl w:val="1"/>
        <w:numId w:val="17"/>
      </w:numPr>
    </w:pPr>
  </w:style>
  <w:style w:type="paragraph" w:customStyle="1" w:styleId="ListDash2">
    <w:name w:val="List Dash 2"/>
    <w:basedOn w:val="Text2"/>
    <w:uiPriority w:val="1"/>
    <w:pPr>
      <w:numPr>
        <w:numId w:val="17"/>
      </w:numPr>
    </w:pPr>
  </w:style>
  <w:style w:type="paragraph" w:customStyle="1" w:styleId="ListDash1Level4">
    <w:name w:val="List Dash 1 (Level 4)"/>
    <w:basedOn w:val="Text1"/>
    <w:uiPriority w:val="1"/>
    <w:semiHidden/>
    <w:unhideWhenUsed/>
    <w:pPr>
      <w:numPr>
        <w:ilvl w:val="3"/>
        <w:numId w:val="16"/>
      </w:numPr>
    </w:pPr>
  </w:style>
  <w:style w:type="paragraph" w:customStyle="1" w:styleId="ListDash1Level3">
    <w:name w:val="List Dash 1 (Level 3)"/>
    <w:basedOn w:val="Text1"/>
    <w:uiPriority w:val="1"/>
    <w:semiHidden/>
    <w:unhideWhenUsed/>
    <w:pPr>
      <w:numPr>
        <w:ilvl w:val="2"/>
        <w:numId w:val="16"/>
      </w:numPr>
    </w:pPr>
  </w:style>
  <w:style w:type="paragraph" w:customStyle="1" w:styleId="ListDash1Level2">
    <w:name w:val="List Dash 1 (Level 2)"/>
    <w:basedOn w:val="Text1"/>
    <w:uiPriority w:val="1"/>
    <w:pPr>
      <w:numPr>
        <w:ilvl w:val="1"/>
        <w:numId w:val="16"/>
      </w:numPr>
    </w:pPr>
  </w:style>
  <w:style w:type="paragraph" w:customStyle="1" w:styleId="ListDash1">
    <w:name w:val="List Dash 1"/>
    <w:basedOn w:val="Text1"/>
    <w:uiPriority w:val="1"/>
    <w:pPr>
      <w:numPr>
        <w:numId w:val="16"/>
      </w:numPr>
    </w:pPr>
  </w:style>
  <w:style w:type="paragraph" w:customStyle="1" w:styleId="ListDashLevel4">
    <w:name w:val="List Dash (Level 4)"/>
    <w:basedOn w:val="Normal"/>
    <w:uiPriority w:val="1"/>
    <w:semiHidden/>
    <w:unhideWhenUsed/>
    <w:pPr>
      <w:numPr>
        <w:ilvl w:val="3"/>
        <w:numId w:val="15"/>
      </w:numPr>
    </w:pPr>
  </w:style>
  <w:style w:type="paragraph" w:customStyle="1" w:styleId="ListDashLevel3">
    <w:name w:val="List Dash (Level 3)"/>
    <w:basedOn w:val="Normal"/>
    <w:uiPriority w:val="1"/>
    <w:semiHidden/>
    <w:unhideWhenUsed/>
    <w:pPr>
      <w:numPr>
        <w:ilvl w:val="2"/>
        <w:numId w:val="15"/>
      </w:numPr>
    </w:pPr>
  </w:style>
  <w:style w:type="paragraph" w:customStyle="1" w:styleId="ListDashLevel2">
    <w:name w:val="List Dash (Level 2)"/>
    <w:basedOn w:val="Normal"/>
    <w:uiPriority w:val="1"/>
    <w:pPr>
      <w:numPr>
        <w:ilvl w:val="1"/>
        <w:numId w:val="15"/>
      </w:numPr>
    </w:pPr>
  </w:style>
  <w:style w:type="paragraph" w:customStyle="1" w:styleId="ListDash">
    <w:name w:val="List Dash"/>
    <w:basedOn w:val="Normal"/>
    <w:uiPriority w:val="1"/>
    <w:pPr>
      <w:numPr>
        <w:numId w:val="15"/>
      </w:numPr>
    </w:pPr>
  </w:style>
  <w:style w:type="paragraph" w:customStyle="1" w:styleId="ListBullet4Level4">
    <w:name w:val="List Bullet 4 (Level 4)"/>
    <w:basedOn w:val="Text4"/>
    <w:uiPriority w:val="1"/>
    <w:semiHidden/>
    <w:unhideWhenUsed/>
    <w:pPr>
      <w:numPr>
        <w:ilvl w:val="3"/>
        <w:numId w:val="9"/>
      </w:numPr>
    </w:pPr>
  </w:style>
  <w:style w:type="paragraph" w:customStyle="1" w:styleId="ListBullet4Level3">
    <w:name w:val="List Bullet 4 (Level 3)"/>
    <w:basedOn w:val="Text4"/>
    <w:uiPriority w:val="1"/>
    <w:semiHidden/>
    <w:unhideWhenUsed/>
    <w:pPr>
      <w:numPr>
        <w:ilvl w:val="2"/>
        <w:numId w:val="9"/>
      </w:numPr>
    </w:pPr>
  </w:style>
  <w:style w:type="paragraph" w:customStyle="1" w:styleId="ListBullet4Level2">
    <w:name w:val="List Bullet 4 (Level 2)"/>
    <w:basedOn w:val="Text4"/>
    <w:uiPriority w:val="1"/>
    <w:pPr>
      <w:numPr>
        <w:ilvl w:val="1"/>
        <w:numId w:val="9"/>
      </w:numPr>
    </w:pPr>
  </w:style>
  <w:style w:type="paragraph" w:styleId="ListBullet4">
    <w:name w:val="List Bullet 4"/>
    <w:basedOn w:val="Text4"/>
    <w:uiPriority w:val="1"/>
    <w:pPr>
      <w:numPr>
        <w:numId w:val="9"/>
      </w:numPr>
    </w:pPr>
  </w:style>
  <w:style w:type="paragraph" w:customStyle="1" w:styleId="ListBullet3Level4">
    <w:name w:val="List Bullet 3 (Level 4)"/>
    <w:basedOn w:val="Text3"/>
    <w:uiPriority w:val="1"/>
    <w:semiHidden/>
    <w:unhideWhenUsed/>
    <w:pPr>
      <w:numPr>
        <w:ilvl w:val="3"/>
        <w:numId w:val="8"/>
      </w:numPr>
    </w:pPr>
  </w:style>
  <w:style w:type="paragraph" w:customStyle="1" w:styleId="ListBullet3Level3">
    <w:name w:val="List Bullet 3 (Level 3)"/>
    <w:basedOn w:val="Text3"/>
    <w:uiPriority w:val="1"/>
    <w:semiHidden/>
    <w:unhideWhenUsed/>
    <w:pPr>
      <w:numPr>
        <w:ilvl w:val="2"/>
        <w:numId w:val="8"/>
      </w:numPr>
    </w:pPr>
  </w:style>
  <w:style w:type="paragraph" w:customStyle="1" w:styleId="ListBullet3Level2">
    <w:name w:val="List Bullet 3 (Level 2)"/>
    <w:basedOn w:val="Text3"/>
    <w:uiPriority w:val="1"/>
    <w:pPr>
      <w:numPr>
        <w:ilvl w:val="1"/>
        <w:numId w:val="8"/>
      </w:numPr>
    </w:pPr>
  </w:style>
  <w:style w:type="paragraph" w:styleId="ListBullet3">
    <w:name w:val="List Bullet 3"/>
    <w:basedOn w:val="Text3"/>
    <w:uiPriority w:val="1"/>
    <w:pPr>
      <w:numPr>
        <w:numId w:val="8"/>
      </w:numPr>
    </w:pPr>
  </w:style>
  <w:style w:type="paragraph" w:customStyle="1" w:styleId="ListBullet2Level4">
    <w:name w:val="List Bullet 2 (Level 4)"/>
    <w:basedOn w:val="Text2"/>
    <w:uiPriority w:val="1"/>
    <w:semiHidden/>
    <w:unhideWhenUsed/>
    <w:pPr>
      <w:numPr>
        <w:ilvl w:val="3"/>
        <w:numId w:val="7"/>
      </w:numPr>
    </w:pPr>
  </w:style>
  <w:style w:type="paragraph" w:customStyle="1" w:styleId="ListBullet2Level3">
    <w:name w:val="List Bullet 2 (Level 3)"/>
    <w:basedOn w:val="Text2"/>
    <w:uiPriority w:val="1"/>
    <w:semiHidden/>
    <w:unhideWhenUsed/>
    <w:pPr>
      <w:numPr>
        <w:ilvl w:val="2"/>
        <w:numId w:val="7"/>
      </w:numPr>
    </w:pPr>
  </w:style>
  <w:style w:type="paragraph" w:customStyle="1" w:styleId="ListBullet2Level2">
    <w:name w:val="List Bullet 2 (Level 2)"/>
    <w:basedOn w:val="Text2"/>
    <w:uiPriority w:val="1"/>
    <w:pPr>
      <w:numPr>
        <w:ilvl w:val="1"/>
        <w:numId w:val="7"/>
      </w:numPr>
    </w:pPr>
  </w:style>
  <w:style w:type="paragraph" w:styleId="ListBullet2">
    <w:name w:val="List Bullet 2"/>
    <w:basedOn w:val="Text2"/>
    <w:uiPriority w:val="1"/>
    <w:pPr>
      <w:numPr>
        <w:numId w:val="7"/>
      </w:numPr>
    </w:pPr>
  </w:style>
  <w:style w:type="paragraph" w:customStyle="1" w:styleId="ListBullet1Level4">
    <w:name w:val="List Bullet 1 (Level 4)"/>
    <w:basedOn w:val="Text1"/>
    <w:uiPriority w:val="1"/>
    <w:semiHidden/>
    <w:unhideWhenUsed/>
    <w:pPr>
      <w:numPr>
        <w:ilvl w:val="3"/>
        <w:numId w:val="6"/>
      </w:numPr>
    </w:pPr>
  </w:style>
  <w:style w:type="paragraph" w:customStyle="1" w:styleId="ListBullet1Level3">
    <w:name w:val="List Bullet 1 (Level 3)"/>
    <w:basedOn w:val="Text1"/>
    <w:uiPriority w:val="1"/>
    <w:semiHidden/>
    <w:unhideWhenUsed/>
    <w:pPr>
      <w:numPr>
        <w:ilvl w:val="2"/>
        <w:numId w:val="6"/>
      </w:numPr>
    </w:pPr>
  </w:style>
  <w:style w:type="paragraph" w:customStyle="1" w:styleId="ListBullet1Level2">
    <w:name w:val="List Bullet 1 (Level 2)"/>
    <w:basedOn w:val="Text1"/>
    <w:uiPriority w:val="1"/>
    <w:pPr>
      <w:numPr>
        <w:ilvl w:val="1"/>
        <w:numId w:val="6"/>
      </w:numPr>
    </w:pPr>
  </w:style>
  <w:style w:type="paragraph" w:customStyle="1" w:styleId="ListBullet1">
    <w:name w:val="List Bullet 1"/>
    <w:basedOn w:val="Text1"/>
    <w:uiPriority w:val="1"/>
    <w:pPr>
      <w:numPr>
        <w:numId w:val="6"/>
      </w:numPr>
    </w:pPr>
  </w:style>
  <w:style w:type="paragraph" w:customStyle="1" w:styleId="ListBulletLevel4">
    <w:name w:val="List Bullet (Level 4)"/>
    <w:basedOn w:val="Text1"/>
    <w:uiPriority w:val="1"/>
    <w:semiHidden/>
    <w:unhideWhenUsed/>
    <w:pPr>
      <w:numPr>
        <w:ilvl w:val="3"/>
        <w:numId w:val="5"/>
      </w:numPr>
    </w:pPr>
  </w:style>
  <w:style w:type="paragraph" w:customStyle="1" w:styleId="ListBulletLevel3">
    <w:name w:val="List Bullet (Level 3)"/>
    <w:basedOn w:val="Text1"/>
    <w:uiPriority w:val="1"/>
    <w:semiHidden/>
    <w:unhideWhenUsed/>
    <w:pPr>
      <w:numPr>
        <w:ilvl w:val="2"/>
        <w:numId w:val="5"/>
      </w:numPr>
    </w:pPr>
  </w:style>
  <w:style w:type="paragraph" w:customStyle="1" w:styleId="ListBulletLevel2">
    <w:name w:val="List Bullet (Level 2)"/>
    <w:basedOn w:val="Text1"/>
    <w:uiPriority w:val="1"/>
    <w:pPr>
      <w:numPr>
        <w:ilvl w:val="1"/>
        <w:numId w:val="5"/>
      </w:numPr>
    </w:pPr>
  </w:style>
  <w:style w:type="paragraph" w:styleId="ListBullet">
    <w:name w:val="List Bullet"/>
    <w:basedOn w:val="Normal"/>
    <w:uiPriority w:val="1"/>
    <w:pPr>
      <w:numPr>
        <w:numId w:val="5"/>
      </w:numPr>
    </w:pPr>
  </w:style>
  <w:style w:type="paragraph" w:styleId="TOC9">
    <w:name w:val="toc 9"/>
    <w:basedOn w:val="Normal"/>
    <w:next w:val="Normal"/>
    <w:semiHidden/>
    <w:pPr>
      <w:tabs>
        <w:tab w:val="right" w:leader="dot" w:pos="8640"/>
      </w:tabs>
    </w:pPr>
  </w:style>
  <w:style w:type="paragraph" w:styleId="TOC8">
    <w:name w:val="toc 8"/>
    <w:basedOn w:val="Normal"/>
    <w:next w:val="Normal"/>
    <w:semiHidden/>
    <w:pPr>
      <w:tabs>
        <w:tab w:val="right" w:leader="dot" w:pos="8640"/>
      </w:tabs>
    </w:pPr>
  </w:style>
  <w:style w:type="paragraph" w:styleId="TOC7">
    <w:name w:val="toc 7"/>
    <w:basedOn w:val="Normal"/>
    <w:next w:val="Normal"/>
    <w:semiHidden/>
    <w:pPr>
      <w:tabs>
        <w:tab w:val="right" w:leader="dot" w:pos="8640"/>
      </w:tabs>
    </w:pPr>
  </w:style>
  <w:style w:type="paragraph" w:styleId="TOC6">
    <w:name w:val="toc 6"/>
    <w:basedOn w:val="Normal"/>
    <w:next w:val="Normal"/>
    <w:semiHidden/>
    <w:pPr>
      <w:tabs>
        <w:tab w:val="right" w:leader="dot" w:pos="8640"/>
        <w:tab w:val="left" w:pos="2880"/>
      </w:tabs>
      <w:spacing w:before="120" w:after="120"/>
      <w:ind w:left="1916" w:right="720" w:hanging="1916"/>
    </w:pPr>
    <w:rPr>
      <w:caps/>
    </w:rPr>
  </w:style>
  <w:style w:type="paragraph" w:styleId="TOC5">
    <w:name w:val="toc 5"/>
    <w:basedOn w:val="Normal"/>
    <w:next w:val="Normal"/>
    <w:semiHidden/>
    <w:pPr>
      <w:tabs>
        <w:tab w:val="right" w:leader="dot" w:pos="8640"/>
      </w:tabs>
      <w:spacing w:before="240" w:after="120"/>
      <w:ind w:right="720"/>
    </w:pPr>
    <w:rPr>
      <w:caps/>
    </w:rPr>
  </w:style>
  <w:style w:type="paragraph" w:styleId="TOC4">
    <w:name w:val="toc 4"/>
    <w:basedOn w:val="Normal"/>
    <w:next w:val="Normal"/>
    <w:semiHidden/>
    <w:pPr>
      <w:tabs>
        <w:tab w:val="right" w:leader="dot" w:pos="8640"/>
      </w:tabs>
      <w:spacing w:before="60" w:after="60"/>
      <w:ind w:left="2880" w:right="720" w:hanging="964"/>
    </w:pPr>
    <w:rPr>
      <w:noProof/>
    </w:rPr>
  </w:style>
  <w:style w:type="paragraph" w:styleId="TOC3">
    <w:name w:val="toc 3"/>
    <w:basedOn w:val="Normal"/>
    <w:next w:val="Normal"/>
    <w:semiHidden/>
    <w:pPr>
      <w:tabs>
        <w:tab w:val="right" w:leader="dot" w:pos="8640"/>
      </w:tabs>
      <w:spacing w:before="60" w:after="60"/>
      <w:ind w:left="1916" w:right="720" w:hanging="839"/>
    </w:pPr>
  </w:style>
  <w:style w:type="paragraph" w:styleId="TOC2">
    <w:name w:val="toc 2"/>
    <w:basedOn w:val="Normal"/>
    <w:next w:val="Normal"/>
    <w:semiHidden/>
    <w:pPr>
      <w:tabs>
        <w:tab w:val="right" w:leader="dot" w:pos="8640"/>
      </w:tabs>
      <w:spacing w:before="60" w:after="60"/>
      <w:ind w:left="1077" w:right="720" w:hanging="595"/>
    </w:pPr>
    <w:rPr>
      <w:noProof/>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Heading">
    <w:name w:val="TOC Heading"/>
    <w:basedOn w:val="Normal"/>
    <w:next w:val="Normal"/>
    <w:semiHidden/>
    <w:pPr>
      <w:spacing w:before="240"/>
      <w:jc w:val="center"/>
    </w:pPr>
    <w:rPr>
      <w:rFonts w:ascii="Times New Roman Bold" w:hAnsi="Times New Roman Bold"/>
      <w:b/>
      <w:caps/>
    </w:rPr>
  </w:style>
  <w:style w:type="paragraph" w:customStyle="1" w:styleId="AnnexTitle">
    <w:name w:val="AnnexTitle"/>
    <w:basedOn w:val="Normal"/>
    <w:next w:val="Normal"/>
    <w:uiPriority w:val="1"/>
    <w:qFormat/>
    <w:pPr>
      <w:pageBreakBefore/>
      <w:numPr>
        <w:numId w:val="1"/>
      </w:numPr>
      <w:spacing w:after="480"/>
      <w:outlineLvl w:val="0"/>
    </w:pPr>
    <w:rPr>
      <w:b/>
      <w:sz w:val="32"/>
    </w:rPr>
  </w:style>
  <w:style w:type="paragraph" w:styleId="Title">
    <w:name w:val="Title"/>
    <w:basedOn w:val="Normal"/>
    <w:next w:val="Normal"/>
    <w:uiPriority w:val="1"/>
    <w:qFormat/>
    <w:pPr>
      <w:spacing w:after="480"/>
      <w:jc w:val="center"/>
    </w:pPr>
    <w:rPr>
      <w:b/>
      <w:kern w:val="28"/>
      <w:sz w:val="48"/>
    </w:rPr>
  </w:style>
  <w:style w:type="paragraph" w:customStyle="1" w:styleId="NumPar4">
    <w:name w:val="NumPar 4"/>
    <w:basedOn w:val="Heading4"/>
    <w:qFormat/>
    <w:pPr>
      <w:keepNext w:val="0"/>
      <w:outlineLvl w:val="9"/>
    </w:pPr>
  </w:style>
  <w:style w:type="paragraph" w:customStyle="1" w:styleId="NumPar3">
    <w:name w:val="NumPar 3"/>
    <w:basedOn w:val="Heading3"/>
    <w:qFormat/>
    <w:pPr>
      <w:keepNext w:val="0"/>
      <w:outlineLvl w:val="9"/>
    </w:pPr>
    <w:rPr>
      <w:i w:val="0"/>
    </w:rPr>
  </w:style>
  <w:style w:type="paragraph" w:customStyle="1" w:styleId="NumPar2">
    <w:name w:val="NumPar 2"/>
    <w:basedOn w:val="Heading2"/>
    <w:qFormat/>
    <w:pPr>
      <w:keepNext w:val="0"/>
      <w:outlineLvl w:val="9"/>
    </w:pPr>
    <w:rPr>
      <w:b w:val="0"/>
    </w:rPr>
  </w:style>
  <w:style w:type="paragraph" w:customStyle="1" w:styleId="NumPar1">
    <w:name w:val="NumPar 1"/>
    <w:basedOn w:val="Heading1"/>
    <w:qFormat/>
    <w:pPr>
      <w:keepNext w:val="0"/>
      <w:spacing w:before="0"/>
      <w:outlineLvl w:val="9"/>
    </w:pPr>
    <w:rPr>
      <w:b w:val="0"/>
      <w:smallCaps w:val="0"/>
    </w:rPr>
  </w:style>
  <w:style w:type="paragraph" w:styleId="MacroText">
    <w:name w:val="macro"/>
    <w:basedOn w:val="Normal"/>
    <w:uiPriority w:val="1"/>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styleId="FootnoteText">
    <w:name w:val="footnote text"/>
    <w:basedOn w:val="Normal"/>
    <w:link w:val="FootnoteTextChar"/>
    <w:uiPriority w:val="99"/>
    <w:semiHidden/>
    <w:unhideWhenUsed/>
    <w:pPr>
      <w:spacing w:after="120"/>
      <w:ind w:left="357" w:hanging="357"/>
    </w:pPr>
    <w:rPr>
      <w:sz w:val="20"/>
    </w:rPr>
  </w:style>
  <w:style w:type="paragraph" w:customStyle="1" w:styleId="FooterLine">
    <w:name w:val="Footer Line"/>
    <w:basedOn w:val="Footer"/>
    <w:next w:val="Footer"/>
    <w:uiPriority w:val="2"/>
    <w:pPr>
      <w:tabs>
        <w:tab w:val="right" w:pos="8646"/>
      </w:tabs>
      <w:spacing w:before="120"/>
      <w:ind w:right="0"/>
    </w:pPr>
  </w:style>
  <w:style w:type="paragraph" w:styleId="Footer">
    <w:name w:val="footer"/>
    <w:basedOn w:val="Normal"/>
    <w:link w:val="FooterChar"/>
    <w:uiPriority w:val="99"/>
    <w:pPr>
      <w:spacing w:after="0"/>
      <w:ind w:right="-567"/>
      <w:jc w:val="left"/>
    </w:pPr>
    <w:rPr>
      <w:sz w:val="16"/>
    </w:rPr>
  </w:style>
  <w:style w:type="paragraph" w:styleId="EndnoteText">
    <w:name w:val="endnote text"/>
    <w:basedOn w:val="Normal"/>
    <w:semiHidden/>
    <w:unhideWhenUsed/>
    <w:rPr>
      <w:sz w:val="20"/>
    </w:rPr>
  </w:style>
  <w:style w:type="paragraph" w:customStyle="1" w:styleId="TrsSecretUE">
    <w:name w:val="Très Secret UE"/>
    <w:basedOn w:val="Normal"/>
    <w:semiHidden/>
    <w:pPr>
      <w:spacing w:after="0"/>
      <w:jc w:val="center"/>
    </w:pPr>
    <w:rPr>
      <w:b/>
      <w:caps/>
      <w:color w:val="FF0000"/>
      <w:sz w:val="32"/>
      <w:bdr w:val="single" w:sz="18" w:space="0" w:color="FF0000"/>
    </w:rPr>
  </w:style>
  <w:style w:type="paragraph" w:customStyle="1" w:styleId="SecretUE">
    <w:name w:val="Secret UE"/>
    <w:basedOn w:val="Normal"/>
    <w:semiHidden/>
    <w:pPr>
      <w:spacing w:after="0"/>
      <w:jc w:val="center"/>
    </w:pPr>
    <w:rPr>
      <w:b/>
      <w:caps/>
      <w:color w:val="FF0000"/>
      <w:sz w:val="32"/>
      <w:bdr w:val="single" w:sz="18" w:space="0" w:color="FF0000"/>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RUE">
    <w:name w:val="RUE"/>
    <w:basedOn w:val="Normal"/>
    <w:semiHidden/>
    <w:pPr>
      <w:spacing w:after="0"/>
      <w:jc w:val="center"/>
    </w:pPr>
    <w:rPr>
      <w:b/>
      <w:caps/>
      <w:sz w:val="32"/>
      <w:bdr w:val="single" w:sz="18" w:space="0" w:color="auto"/>
    </w:rPr>
  </w:style>
  <w:style w:type="paragraph" w:customStyle="1" w:styleId="Releasable">
    <w:name w:val="Releasable"/>
    <w:basedOn w:val="Normal"/>
    <w:semiHidden/>
    <w:pPr>
      <w:spacing w:after="0"/>
      <w:jc w:val="center"/>
    </w:pPr>
    <w:rPr>
      <w:b/>
      <w:caps/>
      <w:sz w:val="32"/>
    </w:rPr>
  </w:style>
  <w:style w:type="paragraph" w:customStyle="1" w:styleId="Designator">
    <w:name w:val="Designator"/>
    <w:basedOn w:val="Normal"/>
    <w:semiHidden/>
    <w:pPr>
      <w:spacing w:after="0"/>
      <w:jc w:val="center"/>
    </w:pPr>
    <w:rPr>
      <w:b/>
      <w:caps/>
      <w:sz w:val="32"/>
    </w:rPr>
  </w:style>
  <w:style w:type="paragraph" w:customStyle="1" w:styleId="References">
    <w:name w:val="References"/>
    <w:basedOn w:val="Normal"/>
    <w:uiPriority w:val="1"/>
    <w:pPr>
      <w:ind w:left="5102" w:right="-567"/>
      <w:contextualSpacing/>
      <w:jc w:val="left"/>
    </w:pPr>
    <w:rPr>
      <w:sz w:val="20"/>
    </w:rPr>
  </w:style>
  <w:style w:type="paragraph" w:styleId="Date">
    <w:name w:val="Date"/>
    <w:basedOn w:val="Normal"/>
    <w:next w:val="References"/>
    <w:uiPriority w:val="1"/>
    <w:pPr>
      <w:spacing w:after="0"/>
      <w:ind w:left="5102" w:right="-567"/>
      <w:jc w:val="left"/>
    </w:pPr>
  </w:style>
  <w:style w:type="paragraph" w:customStyle="1" w:styleId="Contact">
    <w:name w:val="Contact"/>
    <w:basedOn w:val="Normal"/>
    <w:uiPriority w:val="1"/>
    <w:pPr>
      <w:spacing w:before="480" w:after="0"/>
      <w:ind w:left="567" w:hanging="567"/>
      <w:contextualSpacing/>
      <w:jc w:val="left"/>
    </w:pPr>
  </w:style>
  <w:style w:type="paragraph" w:styleId="Caption">
    <w:name w:val="caption"/>
    <w:basedOn w:val="Normal"/>
    <w:next w:val="Normal"/>
    <w:semiHidden/>
    <w:pPr>
      <w:spacing w:before="160"/>
    </w:pPr>
    <w:rPr>
      <w:i/>
      <w:sz w:val="22"/>
    </w:rPr>
  </w:style>
  <w:style w:type="paragraph" w:customStyle="1" w:styleId="ZDGName">
    <w:name w:val="Z_DGName"/>
    <w:basedOn w:val="Normal"/>
    <w:uiPriority w:val="2"/>
    <w:pPr>
      <w:widowControl w:val="0"/>
      <w:spacing w:after="0"/>
      <w:ind w:right="85"/>
      <w:jc w:val="left"/>
    </w:pPr>
    <w:rPr>
      <w:sz w:val="16"/>
    </w:rPr>
  </w:style>
  <w:style w:type="paragraph" w:customStyle="1" w:styleId="ZCom">
    <w:name w:val="Z_Com"/>
    <w:basedOn w:val="Normal"/>
    <w:next w:val="Normal"/>
    <w:uiPriority w:val="2"/>
    <w:pPr>
      <w:widowControl w:val="0"/>
      <w:spacing w:before="90" w:after="0"/>
      <w:ind w:right="85"/>
    </w:pPr>
  </w:style>
  <w:style w:type="paragraph" w:customStyle="1" w:styleId="ZFlag">
    <w:name w:val="Z_Flag"/>
    <w:basedOn w:val="Normal"/>
    <w:next w:val="Normal"/>
    <w:uiPriority w:val="2"/>
    <w:pPr>
      <w:widowControl w:val="0"/>
      <w:spacing w:after="0"/>
      <w:ind w:right="85"/>
    </w:pPr>
  </w:style>
  <w:style w:type="paragraph" w:customStyle="1" w:styleId="Text1">
    <w:name w:val="Text 1"/>
    <w:basedOn w:val="Normal"/>
    <w:qFormat/>
    <w:pPr>
      <w:ind w:left="482"/>
    </w:pPr>
  </w:style>
  <w:style w:type="paragraph" w:customStyle="1" w:styleId="Text2">
    <w:name w:val="Text 2"/>
    <w:basedOn w:val="Normal"/>
    <w:uiPriority w:val="1"/>
    <w:qFormat/>
    <w:pPr>
      <w:ind w:left="1077"/>
    </w:pPr>
  </w:style>
  <w:style w:type="paragraph" w:customStyle="1" w:styleId="Text3">
    <w:name w:val="Text 3"/>
    <w:basedOn w:val="Normal"/>
    <w:uiPriority w:val="1"/>
    <w:qFormat/>
    <w:pPr>
      <w:ind w:left="1916"/>
    </w:pPr>
  </w:style>
  <w:style w:type="paragraph" w:customStyle="1" w:styleId="Text4">
    <w:name w:val="Text 4"/>
    <w:basedOn w:val="Normal"/>
    <w:uiPriority w:val="1"/>
    <w:qFormat/>
    <w:pPr>
      <w:ind w:left="2880"/>
    </w:pPr>
  </w:style>
  <w:style w:type="paragraph" w:styleId="Header">
    <w:name w:val="header"/>
    <w:basedOn w:val="Normal"/>
    <w:link w:val="HeaderChar"/>
    <w:uiPriority w:val="2"/>
    <w:pPr>
      <w:tabs>
        <w:tab w:val="center" w:pos="4150"/>
        <w:tab w:val="right" w:pos="8306"/>
      </w:tabs>
      <w:spacing w:after="0"/>
    </w:pPr>
  </w:style>
  <w:style w:type="character" w:customStyle="1" w:styleId="HeaderChar">
    <w:name w:val="Header Char"/>
    <w:basedOn w:val="DefaultParagraphFont"/>
    <w:link w:val="Header"/>
    <w:uiPriority w:val="2"/>
    <w:rPr>
      <w:sz w:val="24"/>
    </w:rPr>
  </w:style>
  <w:style w:type="table" w:customStyle="1" w:styleId="TableLetterhead">
    <w:name w:val="Table Letterhead"/>
    <w:basedOn w:val="TableNormal"/>
    <w:semiHidden/>
    <w:tblPr>
      <w:tblCellMar>
        <w:left w:w="0" w:type="dxa"/>
        <w:bottom w:w="340" w:type="dxa"/>
        <w:right w:w="0" w:type="dxa"/>
      </w:tblCellMar>
    </w:tblPr>
  </w:style>
  <w:style w:type="paragraph" w:styleId="BalloonText">
    <w:name w:val="Balloon Text"/>
    <w:basedOn w:val="Normal"/>
    <w:link w:val="BalloonTextChar"/>
    <w:semiHidden/>
    <w:locked/>
    <w:rsid w:val="00B51782"/>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B51782"/>
    <w:rPr>
      <w:rFonts w:ascii="Segoe UI" w:hAnsi="Segoe UI" w:cs="Segoe UI"/>
      <w:sz w:val="18"/>
      <w:szCs w:val="18"/>
    </w:rPr>
  </w:style>
  <w:style w:type="character" w:customStyle="1" w:styleId="Marker">
    <w:name w:val="Marker"/>
    <w:basedOn w:val="DefaultParagraphFont"/>
    <w:rsid w:val="00EA31D7"/>
    <w:rPr>
      <w:color w:val="0000FF"/>
      <w:shd w:val="clear" w:color="auto" w:fill="auto"/>
    </w:rPr>
  </w:style>
  <w:style w:type="paragraph" w:customStyle="1" w:styleId="Pagedecouverture">
    <w:name w:val="Page de couverture"/>
    <w:basedOn w:val="Normal"/>
    <w:next w:val="Normal"/>
    <w:rsid w:val="00EA31D7"/>
    <w:pPr>
      <w:spacing w:after="0"/>
    </w:pPr>
    <w:rPr>
      <w:rFonts w:eastAsiaTheme="minorHAnsi"/>
      <w:szCs w:val="22"/>
      <w:lang w:eastAsia="en-US"/>
    </w:rPr>
  </w:style>
  <w:style w:type="paragraph" w:customStyle="1" w:styleId="FooterCoverPage">
    <w:name w:val="Footer Cover Page"/>
    <w:basedOn w:val="Normal"/>
    <w:link w:val="FooterCoverPageChar"/>
    <w:rsid w:val="00EA31D7"/>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sid w:val="00EA31D7"/>
  </w:style>
  <w:style w:type="paragraph" w:customStyle="1" w:styleId="FooterSensitivity">
    <w:name w:val="Footer Sensitivity"/>
    <w:basedOn w:val="Normal"/>
    <w:link w:val="FooterSensitivityChar"/>
    <w:rsid w:val="00EA31D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sid w:val="00EA31D7"/>
    <w:rPr>
      <w:b/>
      <w:sz w:val="32"/>
    </w:rPr>
  </w:style>
  <w:style w:type="paragraph" w:customStyle="1" w:styleId="HeaderCoverPage">
    <w:name w:val="Header Cover Page"/>
    <w:basedOn w:val="Normal"/>
    <w:link w:val="HeaderCoverPageChar"/>
    <w:rsid w:val="00EA31D7"/>
    <w:pPr>
      <w:tabs>
        <w:tab w:val="center" w:pos="4535"/>
        <w:tab w:val="right" w:pos="9071"/>
      </w:tabs>
      <w:spacing w:after="120"/>
    </w:pPr>
  </w:style>
  <w:style w:type="character" w:customStyle="1" w:styleId="HeaderCoverPageChar">
    <w:name w:val="Header Cover Page Char"/>
    <w:basedOn w:val="DefaultParagraphFont"/>
    <w:link w:val="HeaderCoverPage"/>
    <w:rsid w:val="00EA31D7"/>
  </w:style>
  <w:style w:type="paragraph" w:customStyle="1" w:styleId="HeaderSensitivity">
    <w:name w:val="Header Sensitivity"/>
    <w:basedOn w:val="Normal"/>
    <w:link w:val="HeaderSensitivityChar"/>
    <w:rsid w:val="00EA31D7"/>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sid w:val="00EA31D7"/>
    <w:rPr>
      <w:b/>
      <w:sz w:val="32"/>
    </w:rPr>
  </w:style>
  <w:style w:type="paragraph" w:customStyle="1" w:styleId="HeaderSensitivityRight">
    <w:name w:val="Header Sensitivity Right"/>
    <w:basedOn w:val="Normal"/>
    <w:link w:val="HeaderSensitivityRightChar"/>
    <w:rsid w:val="00EA31D7"/>
    <w:pPr>
      <w:spacing w:after="120"/>
      <w:jc w:val="right"/>
    </w:pPr>
    <w:rPr>
      <w:sz w:val="28"/>
    </w:rPr>
  </w:style>
  <w:style w:type="character" w:customStyle="1" w:styleId="HeaderSensitivityRightChar">
    <w:name w:val="Header Sensitivity Right Char"/>
    <w:basedOn w:val="DefaultParagraphFont"/>
    <w:link w:val="HeaderSensitivityRight"/>
    <w:rsid w:val="00EA31D7"/>
    <w:rPr>
      <w:sz w:val="28"/>
    </w:rPr>
  </w:style>
  <w:style w:type="character" w:customStyle="1" w:styleId="Other1">
    <w:name w:val="Other|1_"/>
    <w:basedOn w:val="DefaultParagraphFont"/>
    <w:link w:val="Other10"/>
    <w:rsid w:val="00EA31D7"/>
    <w:rPr>
      <w:color w:val="181619"/>
      <w:sz w:val="18"/>
      <w:szCs w:val="18"/>
    </w:rPr>
  </w:style>
  <w:style w:type="paragraph" w:customStyle="1" w:styleId="Other10">
    <w:name w:val="Other|1"/>
    <w:basedOn w:val="Normal"/>
    <w:link w:val="Other1"/>
    <w:rsid w:val="00EA31D7"/>
    <w:pPr>
      <w:widowControl w:val="0"/>
      <w:spacing w:after="260"/>
      <w:jc w:val="left"/>
    </w:pPr>
    <w:rPr>
      <w:color w:val="181619"/>
      <w:sz w:val="18"/>
      <w:szCs w:val="18"/>
    </w:rPr>
  </w:style>
  <w:style w:type="character" w:styleId="Hyperlink">
    <w:name w:val="Hyperlink"/>
    <w:basedOn w:val="DefaultParagraphFont"/>
    <w:uiPriority w:val="99"/>
    <w:unhideWhenUsed/>
    <w:locked/>
    <w:rsid w:val="00EA31D7"/>
    <w:rPr>
      <w:color w:val="0563C1" w:themeColor="hyperlink"/>
      <w:u w:val="single"/>
    </w:rPr>
  </w:style>
  <w:style w:type="table" w:styleId="TableGrid">
    <w:name w:val="Table Grid"/>
    <w:basedOn w:val="TableNormal"/>
    <w:uiPriority w:val="59"/>
    <w:locked/>
    <w:rsid w:val="00EA31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A31D7"/>
    <w:rPr>
      <w:sz w:val="16"/>
    </w:rPr>
  </w:style>
  <w:style w:type="character" w:customStyle="1" w:styleId="FootnoteTextChar">
    <w:name w:val="Footnote Text Char"/>
    <w:basedOn w:val="DefaultParagraphFont"/>
    <w:link w:val="FootnoteText"/>
    <w:uiPriority w:val="99"/>
    <w:semiHidden/>
    <w:rsid w:val="00EA31D7"/>
    <w:rPr>
      <w:sz w:val="20"/>
    </w:rPr>
  </w:style>
  <w:style w:type="character" w:styleId="FootnoteReference">
    <w:name w:val="footnote reference"/>
    <w:basedOn w:val="DefaultParagraphFont"/>
    <w:uiPriority w:val="99"/>
    <w:semiHidden/>
    <w:unhideWhenUsed/>
    <w:locked/>
    <w:rsid w:val="00EA31D7"/>
    <w:rPr>
      <w:shd w:val="clear" w:color="auto" w:fill="auto"/>
      <w:vertAlign w:val="superscript"/>
    </w:rPr>
  </w:style>
  <w:style w:type="paragraph" w:customStyle="1" w:styleId="Annexetitre">
    <w:name w:val="Annexe titre"/>
    <w:basedOn w:val="Normal"/>
    <w:next w:val="Normal"/>
    <w:rsid w:val="00EA31D7"/>
    <w:pPr>
      <w:spacing w:before="120" w:after="120"/>
      <w:jc w:val="center"/>
    </w:pPr>
    <w:rPr>
      <w:rFonts w:eastAsiaTheme="minorHAnsi"/>
      <w:b/>
      <w:szCs w:val="22"/>
      <w:u w:val="single"/>
      <w:lang w:eastAsia="en-US"/>
    </w:rPr>
  </w:style>
  <w:style w:type="paragraph" w:customStyle="1" w:styleId="Titrearticle">
    <w:name w:val="Titre article"/>
    <w:basedOn w:val="Normal"/>
    <w:next w:val="Normal"/>
    <w:rsid w:val="00EA31D7"/>
    <w:pPr>
      <w:keepNext/>
      <w:spacing w:before="360" w:after="120"/>
      <w:jc w:val="center"/>
    </w:pPr>
    <w:rPr>
      <w:rFonts w:eastAsiaTheme="minorHAnsi"/>
      <w:i/>
      <w:szCs w:val="22"/>
      <w:lang w:eastAsia="en-US"/>
    </w:rPr>
  </w:style>
  <w:style w:type="character" w:customStyle="1" w:styleId="Bodytext2">
    <w:name w:val="Body text|2"/>
    <w:basedOn w:val="DefaultParagraphFont"/>
    <w:semiHidden/>
    <w:unhideWhenUsed/>
    <w:rsid w:val="00EA31D7"/>
    <w:rPr>
      <w:rFonts w:ascii="Times New Roman" w:eastAsia="Times New Roman" w:hAnsi="Times New Roman" w:cs="Times New Roman"/>
      <w:b w:val="0"/>
      <w:bCs w:val="0"/>
      <w:i w:val="0"/>
      <w:iCs w:val="0"/>
      <w:smallCaps w:val="0"/>
      <w:strike w:val="0"/>
      <w:color w:val="231F20"/>
      <w:spacing w:val="0"/>
      <w:w w:val="100"/>
      <w:position w:val="0"/>
      <w:sz w:val="16"/>
      <w:szCs w:val="16"/>
      <w:u w:val="none"/>
      <w:lang w:val="sv-SE" w:eastAsia="en-US" w:bidi="en-US"/>
    </w:rPr>
  </w:style>
  <w:style w:type="character" w:customStyle="1" w:styleId="Tablecaption1">
    <w:name w:val="Table caption|1"/>
    <w:basedOn w:val="DefaultParagraphFont"/>
    <w:semiHidden/>
    <w:unhideWhenUsed/>
    <w:rsid w:val="00EA31D7"/>
    <w:rPr>
      <w:rFonts w:ascii="Times New Roman" w:eastAsia="Times New Roman" w:hAnsi="Times New Roman" w:cs="Times New Roman"/>
      <w:b w:val="0"/>
      <w:bCs w:val="0"/>
      <w:i w:val="0"/>
      <w:iCs w:val="0"/>
      <w:smallCaps w:val="0"/>
      <w:strike w:val="0"/>
      <w:color w:val="231F20"/>
      <w:spacing w:val="0"/>
      <w:w w:val="100"/>
      <w:position w:val="0"/>
      <w:sz w:val="16"/>
      <w:szCs w:val="16"/>
      <w:u w:val="none"/>
      <w:lang w:val="sv-SE" w:eastAsia="en-US" w:bidi="en-US"/>
    </w:rPr>
  </w:style>
  <w:style w:type="character" w:customStyle="1" w:styleId="sub">
    <w:name w:val="sub"/>
    <w:basedOn w:val="DefaultParagraphFont"/>
    <w:rsid w:val="00EA31D7"/>
  </w:style>
  <w:style w:type="paragraph" w:customStyle="1" w:styleId="Default">
    <w:name w:val="Default"/>
    <w:rsid w:val="00EA31D7"/>
    <w:pPr>
      <w:autoSpaceDE w:val="0"/>
      <w:autoSpaceDN w:val="0"/>
      <w:adjustRightInd w:val="0"/>
    </w:pPr>
    <w:rPr>
      <w:rFonts w:eastAsiaTheme="minorHAnsi"/>
      <w:color w:val="000000"/>
      <w:szCs w:val="24"/>
      <w:lang w:eastAsia="en-US"/>
    </w:rPr>
  </w:style>
  <w:style w:type="character" w:customStyle="1" w:styleId="cit-title">
    <w:name w:val="cit-title"/>
    <w:basedOn w:val="DefaultParagraphFont"/>
    <w:rsid w:val="00EA31D7"/>
  </w:style>
  <w:style w:type="character" w:customStyle="1" w:styleId="cit-year-info">
    <w:name w:val="cit-year-info"/>
    <w:basedOn w:val="DefaultParagraphFont"/>
    <w:rsid w:val="00EA31D7"/>
  </w:style>
  <w:style w:type="character" w:customStyle="1" w:styleId="cit-volume">
    <w:name w:val="cit-volume"/>
    <w:basedOn w:val="DefaultParagraphFont"/>
    <w:rsid w:val="00EA31D7"/>
  </w:style>
  <w:style w:type="character" w:customStyle="1" w:styleId="cit-issue">
    <w:name w:val="cit-issue"/>
    <w:basedOn w:val="DefaultParagraphFont"/>
    <w:rsid w:val="00EA31D7"/>
  </w:style>
  <w:style w:type="character" w:customStyle="1" w:styleId="cit-pagerange">
    <w:name w:val="cit-pagerange"/>
    <w:basedOn w:val="DefaultParagraphFont"/>
    <w:rsid w:val="00EA31D7"/>
  </w:style>
  <w:style w:type="character" w:customStyle="1" w:styleId="Tablecaption10">
    <w:name w:val="Table caption|1_"/>
    <w:basedOn w:val="DefaultParagraphFont"/>
    <w:rsid w:val="00DF5B7F"/>
    <w:rPr>
      <w:color w:val="181619"/>
      <w:sz w:val="16"/>
      <w:szCs w:val="16"/>
    </w:rPr>
  </w:style>
  <w:style w:type="paragraph" w:customStyle="1" w:styleId="NumPar5">
    <w:name w:val="NumPar 5"/>
    <w:basedOn w:val="Normal"/>
    <w:next w:val="Normal"/>
    <w:rsid w:val="00DF5B7F"/>
    <w:pPr>
      <w:tabs>
        <w:tab w:val="num" w:pos="1417"/>
      </w:tabs>
      <w:spacing w:before="120" w:after="120"/>
      <w:ind w:left="1417" w:hanging="1417"/>
    </w:pPr>
    <w:rPr>
      <w:rFonts w:eastAsiaTheme="minorHAnsi"/>
      <w:szCs w:val="22"/>
      <w:lang w:eastAsia="en-US"/>
    </w:rPr>
  </w:style>
  <w:style w:type="paragraph" w:customStyle="1" w:styleId="NumPar6">
    <w:name w:val="NumPar 6"/>
    <w:basedOn w:val="Normal"/>
    <w:next w:val="Normal"/>
    <w:rsid w:val="00DF5B7F"/>
    <w:pPr>
      <w:tabs>
        <w:tab w:val="num" w:pos="1417"/>
      </w:tabs>
      <w:spacing w:before="120" w:after="120"/>
      <w:ind w:left="1417" w:hanging="1417"/>
    </w:pPr>
    <w:rPr>
      <w:rFonts w:eastAsiaTheme="minorHAnsi"/>
      <w:szCs w:val="22"/>
      <w:lang w:eastAsia="en-US"/>
    </w:rPr>
  </w:style>
  <w:style w:type="paragraph" w:customStyle="1" w:styleId="NumPar7">
    <w:name w:val="NumPar 7"/>
    <w:basedOn w:val="Normal"/>
    <w:next w:val="Normal"/>
    <w:rsid w:val="00DF5B7F"/>
    <w:pPr>
      <w:tabs>
        <w:tab w:val="num" w:pos="1417"/>
      </w:tabs>
      <w:spacing w:before="120" w:after="120"/>
      <w:ind w:left="1417" w:hanging="1417"/>
    </w:pPr>
    <w:rPr>
      <w:rFonts w:eastAsiaTheme="minorHAnsi"/>
      <w:szCs w:val="22"/>
      <w:lang w:eastAsia="en-US"/>
    </w:rPr>
  </w:style>
  <w:style w:type="paragraph" w:customStyle="1" w:styleId="Point0number">
    <w:name w:val="Point 0 (number)"/>
    <w:basedOn w:val="Normal"/>
    <w:rsid w:val="00DF5B7F"/>
    <w:pPr>
      <w:numPr>
        <w:numId w:val="21"/>
      </w:numPr>
      <w:spacing w:before="120" w:after="120"/>
    </w:pPr>
    <w:rPr>
      <w:rFonts w:eastAsiaTheme="minorHAnsi"/>
      <w:szCs w:val="22"/>
      <w:lang w:eastAsia="en-US"/>
    </w:rPr>
  </w:style>
  <w:style w:type="paragraph" w:customStyle="1" w:styleId="Point1number">
    <w:name w:val="Point 1 (number)"/>
    <w:basedOn w:val="Normal"/>
    <w:rsid w:val="00DF5B7F"/>
    <w:pPr>
      <w:numPr>
        <w:ilvl w:val="2"/>
        <w:numId w:val="21"/>
      </w:numPr>
      <w:spacing w:before="120" w:after="120"/>
    </w:pPr>
    <w:rPr>
      <w:rFonts w:eastAsiaTheme="minorHAnsi"/>
      <w:szCs w:val="22"/>
      <w:lang w:eastAsia="en-US"/>
    </w:rPr>
  </w:style>
  <w:style w:type="paragraph" w:customStyle="1" w:styleId="Point2number">
    <w:name w:val="Point 2 (number)"/>
    <w:basedOn w:val="Normal"/>
    <w:rsid w:val="00DF5B7F"/>
    <w:pPr>
      <w:numPr>
        <w:ilvl w:val="4"/>
        <w:numId w:val="21"/>
      </w:numPr>
      <w:spacing w:before="120" w:after="120"/>
    </w:pPr>
    <w:rPr>
      <w:rFonts w:eastAsiaTheme="minorHAnsi"/>
      <w:szCs w:val="22"/>
      <w:lang w:eastAsia="en-US"/>
    </w:rPr>
  </w:style>
  <w:style w:type="paragraph" w:customStyle="1" w:styleId="Point3number">
    <w:name w:val="Point 3 (number)"/>
    <w:basedOn w:val="Normal"/>
    <w:rsid w:val="00DF5B7F"/>
    <w:pPr>
      <w:numPr>
        <w:ilvl w:val="6"/>
        <w:numId w:val="21"/>
      </w:numPr>
      <w:spacing w:before="120" w:after="120"/>
    </w:pPr>
    <w:rPr>
      <w:rFonts w:eastAsiaTheme="minorHAnsi"/>
      <w:szCs w:val="22"/>
      <w:lang w:eastAsia="en-US"/>
    </w:rPr>
  </w:style>
  <w:style w:type="paragraph" w:customStyle="1" w:styleId="Point0letter">
    <w:name w:val="Point 0 (letter)"/>
    <w:basedOn w:val="Normal"/>
    <w:rsid w:val="00DF5B7F"/>
    <w:pPr>
      <w:numPr>
        <w:ilvl w:val="1"/>
        <w:numId w:val="21"/>
      </w:numPr>
      <w:spacing w:before="120" w:after="120"/>
    </w:pPr>
    <w:rPr>
      <w:rFonts w:eastAsiaTheme="minorHAnsi"/>
      <w:szCs w:val="22"/>
      <w:lang w:eastAsia="en-US"/>
    </w:rPr>
  </w:style>
  <w:style w:type="paragraph" w:customStyle="1" w:styleId="Point1letter">
    <w:name w:val="Point 1 (letter)"/>
    <w:basedOn w:val="Normal"/>
    <w:rsid w:val="00DF5B7F"/>
    <w:pPr>
      <w:numPr>
        <w:ilvl w:val="3"/>
        <w:numId w:val="21"/>
      </w:numPr>
      <w:spacing w:before="120" w:after="120"/>
    </w:pPr>
    <w:rPr>
      <w:rFonts w:eastAsiaTheme="minorHAnsi"/>
      <w:szCs w:val="22"/>
      <w:lang w:eastAsia="en-US"/>
    </w:rPr>
  </w:style>
  <w:style w:type="paragraph" w:customStyle="1" w:styleId="Point2letter">
    <w:name w:val="Point 2 (letter)"/>
    <w:basedOn w:val="Normal"/>
    <w:rsid w:val="00DF5B7F"/>
    <w:pPr>
      <w:numPr>
        <w:ilvl w:val="5"/>
        <w:numId w:val="21"/>
      </w:numPr>
      <w:spacing w:before="120" w:after="120"/>
    </w:pPr>
    <w:rPr>
      <w:rFonts w:eastAsiaTheme="minorHAnsi"/>
      <w:szCs w:val="22"/>
      <w:lang w:eastAsia="en-US"/>
    </w:rPr>
  </w:style>
  <w:style w:type="paragraph" w:customStyle="1" w:styleId="Point3letter">
    <w:name w:val="Point 3 (letter)"/>
    <w:basedOn w:val="Normal"/>
    <w:rsid w:val="00DF5B7F"/>
    <w:pPr>
      <w:numPr>
        <w:ilvl w:val="7"/>
        <w:numId w:val="21"/>
      </w:numPr>
      <w:spacing w:before="120" w:after="120"/>
    </w:pPr>
    <w:rPr>
      <w:rFonts w:eastAsiaTheme="minorHAnsi"/>
      <w:szCs w:val="22"/>
      <w:lang w:eastAsia="en-US"/>
    </w:rPr>
  </w:style>
  <w:style w:type="paragraph" w:customStyle="1" w:styleId="Point4letter">
    <w:name w:val="Point 4 (letter)"/>
    <w:basedOn w:val="Normal"/>
    <w:rsid w:val="00DF5B7F"/>
    <w:pPr>
      <w:numPr>
        <w:ilvl w:val="8"/>
        <w:numId w:val="21"/>
      </w:numPr>
      <w:spacing w:before="120" w:after="120"/>
    </w:pPr>
    <w:rPr>
      <w:rFonts w:eastAsiaTheme="minorHAnsi"/>
      <w:szCs w:val="22"/>
      <w:lang w:eastAsia="en-US"/>
    </w:rPr>
  </w:style>
  <w:style w:type="paragraph" w:customStyle="1" w:styleId="Tiret1">
    <w:name w:val="Tiret 1"/>
    <w:basedOn w:val="Normal"/>
    <w:rsid w:val="00005ECD"/>
    <w:pPr>
      <w:numPr>
        <w:numId w:val="25"/>
      </w:numPr>
      <w:tabs>
        <w:tab w:val="clear" w:pos="1417"/>
        <w:tab w:val="num" w:pos="476"/>
      </w:tabs>
      <w:spacing w:before="120" w:after="120"/>
      <w:ind w:left="476" w:hanging="476"/>
    </w:pPr>
    <w:rPr>
      <w:rFonts w:eastAsia="Calibri"/>
      <w:szCs w:val="22"/>
      <w:lang w:eastAsia="en-US"/>
    </w:rPr>
  </w:style>
  <w:style w:type="character" w:customStyle="1" w:styleId="Bodytext3">
    <w:name w:val="Body text|3_"/>
    <w:basedOn w:val="DefaultParagraphFont"/>
    <w:link w:val="Bodytext30"/>
    <w:rsid w:val="00005ECD"/>
    <w:rPr>
      <w:b/>
      <w:bCs/>
      <w:sz w:val="14"/>
      <w:szCs w:val="14"/>
      <w:shd w:val="clear" w:color="auto" w:fill="FFFFFF"/>
    </w:rPr>
  </w:style>
  <w:style w:type="paragraph" w:customStyle="1" w:styleId="Bodytext30">
    <w:name w:val="Body text|3"/>
    <w:basedOn w:val="Normal"/>
    <w:link w:val="Bodytext3"/>
    <w:rsid w:val="00005ECD"/>
    <w:pPr>
      <w:widowControl w:val="0"/>
      <w:shd w:val="clear" w:color="auto" w:fill="FFFFFF"/>
      <w:spacing w:after="0" w:line="322" w:lineRule="exact"/>
      <w:jc w:val="center"/>
    </w:pPr>
    <w:rPr>
      <w:b/>
      <w:bCs/>
      <w:sz w:val="14"/>
      <w:szCs w:val="14"/>
    </w:rPr>
  </w:style>
  <w:style w:type="table" w:customStyle="1" w:styleId="TableGrid1">
    <w:name w:val="Table Grid1"/>
    <w:basedOn w:val="TableNormal"/>
    <w:next w:val="TableGrid"/>
    <w:uiPriority w:val="59"/>
    <w:rsid w:val="004D10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registration-dossier/-/registered-dossier/10075/5/1" TargetMode="External"/><Relationship Id="rId1" Type="http://schemas.openxmlformats.org/officeDocument/2006/relationships/hyperlink" Target="https://acp.copernicus.org/preprints/acp-2019-873/acp-2019-8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exts>
  <SensitiveFootnoteHyperlink>{field:HYPERLINK "https://europa.eu/!db43PX" |https://europa.eu/!db43PX}</SensitiveFootnoteHyperlink>
  <SecuritySecurityMatter>Security Matter</SecuritySecurityMatter>
  <SensitiveLabel>Sensitive</SensitiveLabel>
  <SensitiveHandling>Distribution only on a 'Need to know' basis - Do not read or carry openly in public places. Must be stored securely and encrypted in storage and transmission. Destroy copies by shredding or secure deletion. Full handling instructions: </SensitiveHandling>
  <Table>Table </Table>
  <NoteCopy>c.c.:</NoteCopy>
  <NoteCopies>c.c.:</NoteCopies>
  <MarkingUntilText>UNTIL</MarkingUntilText>
  <OrgaRoot>EUROPEAN COMMISSION</OrgaRoot>
  <SecurityPharma>Pharma Investigations</SecurityPharma>
  <ClimaSensitive>CLIMA</ClimaSensitive>
  <SecurityEmbargo>EMBARGO UNTIL</SecurityEmbargo>
  <NoteHead>Note for the attention of</NoteHead>
  <NoteFile>Note for the File</NoteFile>
  <NoteEnclosures>Enclosures:</NoteEnclosures>
  <NoteEnclosure>Enclosure:</NoteEnclosure>
  <NoteParticipant>Participant:</NoteParticipant>
  <NoteParticipants>Participants:</NoteParticipants>
  <Contact>Contact:</Contact>
  <Contacts>Contacts:</Contacts>
  <ESigned>Electronically signed</ESigned>
  <SecurityIasOperations>IAS Operations</SecurityIasOperations>
  <SensitiveHandlingIASOperations>The marking is applied to operational documents handled in the context of audits, consulting engagements and risk assessments of the Internal Audit Service. Distribution of the documents is based on a strictly ‘need-to-know’ basis. Recipients of the documents must adhere to the same marking and handling rules, preventing unauthorised persons from accessing such documents or information. When a document marked ‘{bold:SENSITIVE}: {italic:IAS Operations}’ is sent via e-mail, it must be encrypted and a disclaimer must be added in a signature. Any person receiving documents and all associated information marked ‘{bold:SENSITIVE}: {italic:IAS Operations}’ who is not the intended recipient must inform the sender and destroy the documents by appropriate secure means. The documents may contain personal data as defined in Article 3(1) of Regulation (EU) 2018/1725. Recipients are subject to the responsibilities defined in this article.</SensitiveHandlingIASOperations>
  <SensitiveFootnoteHyperlinkIASOperations>Handling instructions for SENSITIVE information are given at {field: HYPERLINK "https://europa.eu/!db43PX" |https://europa.eu/!db43PX}.</SensitiveFootnoteHyperlinkIASOperations>
  <EmbargoUnlimited>Embargo (Unlimited)</EmbargoUnlimited>
  <SecurityCompOperations>COMP Operations</SecurityCompOperations>
  <SecurityOpinionLegalService>Opinion of the Legal Service</SecurityOpinionLegalService>
  <NoteReference>Ref.:</NoteReference>
  <FooterPhone>Tel. direct line</FooterPhone>
  <FooterFax>Fax</FooterFax>
  <FooterOffice>Office:</FooterOffice>
  <SecurityPharmaSpecial>Pharma Investigations</SecurityPharmaSpecial>
  <SpecialHandlingFootnote>Special handling instructions are given at </SpecialHandlingFootnote>
  <PharmaHandlingInstructions>{field:HYPERLINK "https://myintracomm.ec.europa.eu/corp/security/EN/newDS3/SensitiveInformation/Pages/SPECIAL-HANDLING-INFORMATION-Pharma-investigations.aspx?ln=en" |https://myintracomm.ec.europa.eu/corp/security/EN/newDS3/SensitiveInformation/Pages/SPECIAL-HANDLING-INFORMATION-Pharma-investigations.aspx?ln=en}</PharmaHandlingInstructions>
  <SpecialHandlingLabel>Special Handling</SpecialHandlingLabel>
  <TOCHeading>Table of Contents</TOCHeading>
  <NoteSubject>Subject:</NoteSubject>
  <CLIMAfootnotetext>{field:HYPERLINK "https://myintracomm.ec.europa.eu/corp/security/EN/newDS3/SensitiveInformation/Pages/SPECIAL-HANDLING-INFORMATION-DG-CLIMA.aspx?ln=en" |https://myintracomm.ec.europa.eu/corp/security/EN/newDS3/SensitiveInformation/Pages/SPECIAL-HANDLING-INFORMATION-DG-CLIMA.aspx?ln=en}</CLIMAfootnotetext>
  <SpecialHandlingClima>CLIMA</SpecialHandlingClima>
  <AddressFooterBrussels>Commission européenne/Europese Commissie, 1049 Bruxelles/Brussel, BELGIQUE/BELGIË - Tel. +32 22991111</AddressFooterBrussels>
  <AddresseeTo>To:</AddresseeTo>
  <SecurityMedicalSecret>Medical Secret</SecurityMedicalSecret>
  <SecurityStaffMatter>Staff Matter</SecurityStaffMatter>
  <SecurityMediationServiceMatter>Mediation Service</SecurityMediationServiceMatter>
  <SecurityReleasable>RELEASABLE TO:</SecurityReleasable>
  <Year>({field: DATE \@ "yyyy" })</Year>
  <CourtProceduralDocuments>Court Procedural Documents</CourtProceduralDocuments>
  <SecurityInvestigationsDisciplinary>Investigations and Disciplinary Matters</SecurityInvestigationsDisciplinary>
  <SecurityOlafInvestigations>OLAF Investigations</SecurityOlafInvestigations>
  <OLAFHandlingInstructions>{field:HYPERLINK "https://myintracomm.ec.europa.eu/corp/security/EN/newDS3/SensitiveInformation/Pages/SPECIAL-HANDLING-INFORMATION-OLAF-Investigations.aspx?ln=en" |https://myintracomm.ec.europa.eu/corp/security/EN/newDS3/SensitiveInformation/Pages/SPECIAL-HANDLING-INFORMATION-OLAF-Investigations.aspx?ln=en}</OLAFHandlingInstructions>
  <SecurityOlafSpecialHandling>OLAF Investigations</SecurityOlafSpecialHandling>
  <SecurityCompSpecial>COMP</SecurityCompSpecial>
  <COMPFootnoteText>{field:HYPERLINK "https://myintracomm.ec.europa.eu/corp/security/EN/newDS3/SensitiveInformation/Pages/SPECIAL-HANDLING-INFORMATION-DG-COMP.aspx?ln=en" |https://myintracomm.ec.europa.eu/corp/security/EN/newDS3/SensitiveInformation/Pages/SPECIAL-HANDLING-INFORMATION-DG-COMP.aspx?ln=en}</COMPFootnoteText>
  <DateFormatShort>dd/MM/yyyy</DateFormatShort>
  <DateFormatLong>d MMMM yyyy</DateFormatLong>
</Texts>
</file>

<file path=customXml/item2.xml><?xml version="1.0" encoding="utf-8"?>
<Author AuthorRoleName="Writer" AuthorRoleId="a4fbaff4-b07c-48b4-a21e-e7b9eedf3796">
  <Id>f7db4a93-f1b7-477d-ad87-2e49206c40e6</Id>
  <Names>
    <Latin>
      <FirstName>Ilze</FirstName>
      <LastName>JUHANSONE</LastName>
    </Latin>
    <Greek>
      <FirstName/>
      <LastName/>
    </Greek>
    <Cyrillic>
      <FirstName/>
      <LastName/>
    </Cyrillic>
    <DocumentScript>
      <FirstName>Ilze</FirstName>
      <LastName>JUHANSONE</LastName>
      <FullName>Ilze JUHANSONE</FullName>
    </DocumentScript>
  </Names>
  <Initials>IJ</Initials>
  <Gender>f</Gender>
  <Email>Ilze.JUHANSONE@ec.europa.eu</Email>
  <Service>SG</Service>
  <Function ADCode="33" ShowInSignature="false" ShowInHeader="true" HeaderText="The Secretary-General">Secretary-General</Function>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OrgaEntity3>
    <Id>d8dbc9ce-639d-498d-8fa0-77f64980bebb</Id>
    <LogicalLevel>3</LogicalLevel>
    <Name>SG</Name>
    <HeadLine1>The Secretary-General</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+32 22980179</Phone>
    <Office>BERL 13/210</Office>
  </MainWorkplace>
  <Workplaces>
    <Workplace IsMain="false">
      <AddressId>1264fb81-f6bb-475e-9f9d-a937d3be6ee2</AddressId>
      <Fax/>
      <Phone/>
      <Office/>
    </Workplace>
    <Workplace IsMain="true">
      <AddressId>f03b5801-04c9-4931-aa17-c6d6c70bc579</AddressId>
      <Fax/>
      <Phone>+32 22980179</Phone>
      <Office>BERL 13/210</Office>
    </Workplace>
  </Workplaces>
</Author>
</file>

<file path=customXml/item3.xml><?xml version="1.0" encoding="utf-8"?>
<EurolookProperties>
  <ProductCustomizationId>EC</ProductCustomizationId>
  <Created>
    <Version>10.0.41212.0</Version>
    <Date>2020-11-24T17:06:29</Date>
    <Language>EN</Language>
  </Created>
  <Edited>
    <Version>10.0.41212.0</Version>
    <Date>2020-11-24T17:07:16</Date>
  </Edited>
  <DocumentModel>
    <Id>0b054141-88b1-4efb-8c91-2905cb0bed6c</Id>
    <Name>Note</Name>
  </DocumentModel>
  <DocumentDate>2020-11-24T17:06:29</DocumentDate>
  <DocumentVersion>0.1</DocumentVersion>
  <CompatibilityMode>Eurolook10</CompatibilityMode>
  <DocumentMetadata>
    <EC_SecurityDateMarking MetadataSerializationType="SimpleValue"/>
    <EC_SecurityDistributionSpecialHandling MetadataSerializationType="SimpleValue"/>
    <EC_SecurityMarking MetadataSerializationType="SimpleValue"/>
    <EC_SecurityDistributionSensitive MetadataSerializationType="SimpleValue"/>
    <EC_SecurityDistributionDG MetadataSerializationType="SimpleValue"/>
    <EC_SecurityDateMarkingDate MetadataSerializationType="SimpleValue"/>
    <EC_SecurityReleasability MetadataSerializationType="SimpleValue"/>
    <EC_SecurityDateMarkingEvent MetadataSerializationType="SimpleValue"/>
    <EC_SecurityDistributionWorkingGroup MetadataSerializationType="SimpleValue"/>
  </DocumentMetadata>
</EurolookProperties>
</file>

<file path=customXml/item4.xml><?xml version="1.0" encoding="utf-8"?>
<Author Role="Creator" AuthorRoleName="Signatory" AuthorRoleId="dd422d74-d41f-4095-8cb8-8304a90a6b0c">
  <Id>f7db4a93-f1b7-477d-ad87-2e49206c40e6</Id>
  <Names>
    <Latin>
      <FirstName>Ilze</FirstName>
      <LastName>JUHANSONE</LastName>
    </Latin>
    <Greek>
      <FirstName/>
      <LastName/>
    </Greek>
    <Cyrillic>
      <FirstName/>
      <LastName/>
    </Cyrillic>
    <DocumentScript>
      <FirstName>Ilze</FirstName>
      <LastName>JUHANSONE</LastName>
      <FullName>Ilze JUHANSONE</FullName>
    </DocumentScript>
  </Names>
  <Initials>IJ</Initials>
  <Gender>f</Gender>
  <Email>Ilze.JUHANSONE@ec.europa.eu</Email>
  <Service>SG</Service>
  <Function ADCode="33" ShowInSignature="false" ShowInHeader="true" HeaderText="The Secretary-General">Secretary-General</Function>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OrgaEntity3>
    <Id>d8dbc9ce-639d-498d-8fa0-77f64980bebb</Id>
    <LogicalLevel>3</LogicalLevel>
    <Name>SG</Name>
    <HeadLine1>The Secretary-General</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+32 22980179</Phone>
    <Office>BERL 13/210</Office>
  </MainWorkplace>
  <Workplaces>
    <Workplace IsMain="false">
      <AddressId>1264fb81-f6bb-475e-9f9d-a937d3be6ee2</AddressId>
      <Fax/>
      <Phone/>
      <Office/>
    </Workplace>
    <Workplace IsMain="true">
      <AddressId>f03b5801-04c9-4931-aa17-c6d6c70bc579</AddressId>
      <Fax/>
      <Phone>+32 22980179</Phone>
      <Office>BERL 13/210</Office>
    </Workplace>
  </Workplaces>
</Author>
</file>

<file path=customXml/itemProps1.xml><?xml version="1.0" encoding="utf-8"?>
<ds:datastoreItem xmlns:ds="http://schemas.openxmlformats.org/officeDocument/2006/customXml" ds:itemID="{4EF90DE6-88B6-4264-9629-4D8DFDFE87D2}">
  <ds:schemaRefs/>
</ds:datastoreItem>
</file>

<file path=customXml/itemProps2.xml><?xml version="1.0" encoding="utf-8"?>
<ds:datastoreItem xmlns:ds="http://schemas.openxmlformats.org/officeDocument/2006/customXml" ds:itemID="{85DEDC53-A93E-4ADB-9EC2-F69334C80BD2}">
  <ds:schemaRefs/>
</ds:datastoreItem>
</file>

<file path=customXml/itemProps3.xml><?xml version="1.0" encoding="utf-8"?>
<ds:datastoreItem xmlns:ds="http://schemas.openxmlformats.org/officeDocument/2006/customXml" ds:itemID="{D3EA5527-7367-4268-9D83-5125C98D0ED2}">
  <ds:schemaRefs/>
</ds:datastoreItem>
</file>

<file path=customXml/itemProps4.xml><?xml version="1.0" encoding="utf-8"?>
<ds:datastoreItem xmlns:ds="http://schemas.openxmlformats.org/officeDocument/2006/customXml" ds:itemID="{5799BB7C-547C-4C15-B61E-BE0A69226E01}">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27</Pages>
  <Words>4325</Words>
  <Characters>24659</Characters>
  <Application>Microsoft Office Word</Application>
  <DocSecurity>0</DocSecurity>
  <PresentationFormat>Microsoft Word 14.0</PresentationFormat>
  <Lines>205</Lines>
  <Paragraphs>57</Paragraphs>
  <ScaleCrop>true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57</cp:revision>
  <dcterms:created xsi:type="dcterms:W3CDTF">2022-03-28T12:49:00Z</dcterms:created>
  <dcterms:modified xsi:type="dcterms:W3CDTF">2022-05-04T06:58:00Z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_LW_INVALIDATED_EurolookVersion">
    <vt:lpwstr>10.0</vt:lpwstr>
  </property>
  <property fmtid="{D5CDD505-2E9C-101B-9397-08002B2CF9AE}" pid="4" name="_LW_INVALIDATED_ELDocType">
    <vt:lpwstr>not.dot</vt:lpwstr>
  </property>
  <property fmtid="{D5CDD505-2E9C-101B-9397-08002B2CF9AE}" pid="5" name="First annex">
    <vt:lpwstr>1</vt:lpwstr>
  </property>
  <property fmtid="{D5CDD505-2E9C-101B-9397-08002B2CF9AE}" pid="6" name="Last annex">
    <vt:lpwstr>10</vt:lpwstr>
  </property>
  <property fmtid="{D5CDD505-2E9C-101B-9397-08002B2CF9AE}" pid="7" name="Unique annex">
    <vt:lpwstr>0</vt:lpwstr>
  </property>
  <property fmtid="{D5CDD505-2E9C-101B-9397-08002B2CF9AE}" pid="8" name="Part">
    <vt:lpwstr>&lt;UNUSED&gt;</vt:lpwstr>
  </property>
  <property fmtid="{D5CDD505-2E9C-101B-9397-08002B2CF9AE}" pid="9" name="Total parts">
    <vt:lpwstr>&lt;UNUSED&gt;</vt:lpwstr>
  </property>
  <property fmtid="{D5CDD505-2E9C-101B-9397-08002B2CF9AE}" pid="10" name="DocStatus">
    <vt:lpwstr>Green</vt:lpwstr>
  </property>
  <property fmtid="{D5CDD505-2E9C-101B-9397-08002B2CF9AE}" pid="11" name="CPTemplateID">
    <vt:lpwstr>CP-036</vt:lpwstr>
  </property>
  <property fmtid="{D5CDD505-2E9C-101B-9397-08002B2CF9AE}" pid="12" name="Last edited using">
    <vt:lpwstr>LW 8.0, Build 20220128</vt:lpwstr>
  </property>
  <property fmtid="{D5CDD505-2E9C-101B-9397-08002B2CF9AE}" pid="13" name="Created using">
    <vt:lpwstr>LW 8.0, Build 20220128</vt:lpwstr>
  </property>
  <property name="OP_sanitized" fmtid="{D5CDD505-2E9C-101B-9397-08002B2CF9AE}" pid="14">
    <vt:lpwstr>True</vt:lpwstr>
  </property>
</Properties>
</file>