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278" w:rsidRDefault="008F0B17" w:rsidP="008F0B17">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97BAB666-FC4D-4BA5-A8BE-A2CAC2D80123" style="width:455.25pt;height:426pt">
            <v:imagedata r:id="rId8" o:title=""/>
          </v:shape>
        </w:pict>
      </w:r>
    </w:p>
    <w:p w:rsidR="002A4278" w:rsidRDefault="002A4278" w:rsidP="002A4278">
      <w:pPr>
        <w:rPr>
          <w:noProof/>
        </w:rPr>
        <w:sectPr w:rsidR="002A4278" w:rsidSect="008F0B17">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0"/>
          <w:cols w:space="720"/>
          <w:docGrid w:linePitch="360"/>
        </w:sectPr>
      </w:pPr>
    </w:p>
    <w:p w:rsidR="002A4278" w:rsidRDefault="002A4278" w:rsidP="000671EA">
      <w:pPr>
        <w:pStyle w:val="Exposdesmotifstitre"/>
        <w:rPr>
          <w:noProof/>
        </w:rPr>
      </w:pPr>
      <w:bookmarkStart w:id="0" w:name="_GoBack"/>
      <w:bookmarkEnd w:id="0"/>
      <w:r w:rsidRPr="006F770D">
        <w:rPr>
          <w:noProof/>
        </w:rPr>
        <w:lastRenderedPageBreak/>
        <w:t>EXPLANATORY MEMORANDUM</w:t>
      </w:r>
    </w:p>
    <w:p w:rsidR="002A4278" w:rsidRPr="006F770D" w:rsidRDefault="002A4278" w:rsidP="000671EA">
      <w:pPr>
        <w:pStyle w:val="ManualHeading1"/>
        <w:rPr>
          <w:noProof/>
        </w:rPr>
      </w:pPr>
      <w:r w:rsidRPr="00C567EE">
        <w:rPr>
          <w:noProof/>
        </w:rPr>
        <w:t>1.</w:t>
      </w:r>
      <w:r w:rsidRPr="00C567EE">
        <w:rPr>
          <w:noProof/>
        </w:rPr>
        <w:tab/>
      </w:r>
      <w:r w:rsidRPr="006F770D">
        <w:rPr>
          <w:noProof/>
        </w:rPr>
        <w:t>CONTEXT OF THE PROPOSAL</w:t>
      </w:r>
    </w:p>
    <w:p w:rsidR="002A4278" w:rsidRPr="00044058" w:rsidRDefault="002A4278" w:rsidP="000671EA">
      <w:pPr>
        <w:pStyle w:val="ManualHeading2"/>
        <w:rPr>
          <w:rFonts w:eastAsia="Arial Unicode MS"/>
          <w:noProof/>
        </w:rPr>
      </w:pPr>
      <w:r w:rsidRPr="0029266A">
        <w:rPr>
          <w:rFonts w:eastAsia="Arial Unicode MS"/>
          <w:noProof/>
          <w:color w:val="000000"/>
          <w:u w:color="000000"/>
          <w:bdr w:val="nil"/>
          <w:lang w:val="en-US" w:eastAsia="en-GB"/>
        </w:rPr>
        <w:t>•</w:t>
      </w:r>
      <w:r w:rsidRPr="0029266A">
        <w:rPr>
          <w:rFonts w:eastAsia="Arial Unicode MS"/>
          <w:noProof/>
          <w:color w:val="000000"/>
          <w:u w:color="000000"/>
          <w:bdr w:val="nil"/>
          <w:lang w:val="en-US" w:eastAsia="en-GB"/>
        </w:rPr>
        <w:tab/>
      </w:r>
      <w:r w:rsidRPr="00044058">
        <w:rPr>
          <w:rFonts w:eastAsia="Arial Unicode MS"/>
          <w:noProof/>
        </w:rPr>
        <w:t>Reasons for and objectives of the proposal</w:t>
      </w:r>
    </w:p>
    <w:p w:rsidR="00EB39B9" w:rsidRDefault="00EB39B9" w:rsidP="00EB39B9">
      <w:pPr>
        <w:rPr>
          <w:noProof/>
          <w:lang w:val="en-IE"/>
        </w:rPr>
      </w:pPr>
      <w:r w:rsidRPr="00854773">
        <w:rPr>
          <w:noProof/>
          <w:lang w:val="en-IE"/>
        </w:rPr>
        <w:t>Regulation (EU) 1315/2013 on Union guidelines for the development of the trans-European transport network (TEN-T)</w:t>
      </w:r>
      <w:r>
        <w:rPr>
          <w:rStyle w:val="FootnoteReference"/>
          <w:noProof/>
        </w:rPr>
        <w:footnoteReference w:id="1"/>
      </w:r>
      <w:r>
        <w:rPr>
          <w:noProof/>
        </w:rPr>
        <w:t xml:space="preserve"> </w:t>
      </w:r>
      <w:r w:rsidR="004B158F">
        <w:rPr>
          <w:noProof/>
        </w:rPr>
        <w:t>sets out</w:t>
      </w:r>
      <w:r w:rsidR="004B158F" w:rsidRPr="000622E5">
        <w:rPr>
          <w:noProof/>
        </w:rPr>
        <w:t xml:space="preserve"> </w:t>
      </w:r>
      <w:r w:rsidRPr="000622E5">
        <w:rPr>
          <w:noProof/>
        </w:rPr>
        <w:t xml:space="preserve">a </w:t>
      </w:r>
      <w:r w:rsidRPr="00FC73F9">
        <w:rPr>
          <w:noProof/>
        </w:rPr>
        <w:t>European</w:t>
      </w:r>
      <w:r w:rsidR="004454C9">
        <w:rPr>
          <w:noProof/>
        </w:rPr>
        <w:t xml:space="preserve">-wide </w:t>
      </w:r>
      <w:r w:rsidRPr="00FC73F9">
        <w:rPr>
          <w:noProof/>
        </w:rPr>
        <w:t>multimodal network of rail</w:t>
      </w:r>
      <w:r w:rsidR="004454C9">
        <w:rPr>
          <w:noProof/>
        </w:rPr>
        <w:t>ways</w:t>
      </w:r>
      <w:r w:rsidRPr="00FC73F9">
        <w:rPr>
          <w:noProof/>
        </w:rPr>
        <w:t xml:space="preserve">, inland waterways and </w:t>
      </w:r>
      <w:r w:rsidR="004454C9">
        <w:rPr>
          <w:noProof/>
        </w:rPr>
        <w:t>short-sea shipping</w:t>
      </w:r>
      <w:r w:rsidRPr="00FC73F9">
        <w:rPr>
          <w:noProof/>
        </w:rPr>
        <w:t xml:space="preserve"> route</w:t>
      </w:r>
      <w:r w:rsidR="004454C9">
        <w:rPr>
          <w:noProof/>
        </w:rPr>
        <w:t xml:space="preserve">s which are linked to urban nodes, maritime and inland ports, airports and terminals across the </w:t>
      </w:r>
      <w:r w:rsidR="004B158F">
        <w:rPr>
          <w:noProof/>
        </w:rPr>
        <w:t xml:space="preserve">European </w:t>
      </w:r>
      <w:r w:rsidR="004454C9">
        <w:rPr>
          <w:noProof/>
        </w:rPr>
        <w:t xml:space="preserve">Union. </w:t>
      </w:r>
      <w:r w:rsidR="004B158F">
        <w:rPr>
          <w:noProof/>
        </w:rPr>
        <w:t xml:space="preserve">The </w:t>
      </w:r>
      <w:r w:rsidR="004454C9">
        <w:rPr>
          <w:noProof/>
        </w:rPr>
        <w:t>network provides</w:t>
      </w:r>
      <w:r>
        <w:rPr>
          <w:noProof/>
        </w:rPr>
        <w:t xml:space="preserve"> a solid foundation towards building</w:t>
      </w:r>
      <w:r w:rsidRPr="00FC73F9">
        <w:rPr>
          <w:noProof/>
        </w:rPr>
        <w:t xml:space="preserve"> the arteries that are needed for smooth passenger and freight transport flows</w:t>
      </w:r>
      <w:r>
        <w:rPr>
          <w:noProof/>
        </w:rPr>
        <w:t xml:space="preserve"> in </w:t>
      </w:r>
      <w:r w:rsidR="004454C9">
        <w:rPr>
          <w:noProof/>
        </w:rPr>
        <w:t xml:space="preserve">and across Europe. </w:t>
      </w:r>
    </w:p>
    <w:p w:rsidR="00EB39B9" w:rsidRDefault="00EB39B9" w:rsidP="00EB39B9">
      <w:pPr>
        <w:rPr>
          <w:noProof/>
          <w:lang w:val="en-IE"/>
        </w:rPr>
      </w:pPr>
      <w:r>
        <w:rPr>
          <w:noProof/>
          <w:lang w:val="en-IE"/>
        </w:rPr>
        <w:t>T</w:t>
      </w:r>
      <w:r w:rsidRPr="000622E5">
        <w:rPr>
          <w:noProof/>
          <w:lang w:val="en-IE"/>
        </w:rPr>
        <w:t>o</w:t>
      </w:r>
      <w:r>
        <w:rPr>
          <w:noProof/>
          <w:lang w:val="en-IE"/>
        </w:rPr>
        <w:t xml:space="preserve"> help tackle the increasing challenges of our generation such as climate change</w:t>
      </w:r>
      <w:r w:rsidR="005E60D0">
        <w:rPr>
          <w:noProof/>
          <w:lang w:val="en-IE"/>
        </w:rPr>
        <w:t xml:space="preserve"> and the need for greater resilience of our transport infrastructure </w:t>
      </w:r>
      <w:r>
        <w:rPr>
          <w:noProof/>
          <w:lang w:val="en-IE"/>
        </w:rPr>
        <w:t>following the crippling effects of the COVID-19 pandemic, t</w:t>
      </w:r>
      <w:r w:rsidRPr="00D71E71">
        <w:rPr>
          <w:noProof/>
          <w:lang w:val="en-IE"/>
        </w:rPr>
        <w:t>he Commission</w:t>
      </w:r>
      <w:r>
        <w:rPr>
          <w:noProof/>
          <w:lang w:val="en-IE"/>
        </w:rPr>
        <w:t xml:space="preserve"> </w:t>
      </w:r>
      <w:r w:rsidR="00820D9D">
        <w:rPr>
          <w:noProof/>
          <w:lang w:val="en-IE"/>
        </w:rPr>
        <w:t>adopted on 14</w:t>
      </w:r>
      <w:r>
        <w:rPr>
          <w:noProof/>
          <w:lang w:val="en-IE"/>
        </w:rPr>
        <w:t xml:space="preserve"> December 2021 </w:t>
      </w:r>
      <w:r w:rsidR="00820D9D">
        <w:rPr>
          <w:noProof/>
          <w:lang w:val="en-IE"/>
        </w:rPr>
        <w:t>a legislative proposal which revise</w:t>
      </w:r>
      <w:r w:rsidR="004454C9">
        <w:rPr>
          <w:noProof/>
          <w:lang w:val="en-IE"/>
        </w:rPr>
        <w:t>s</w:t>
      </w:r>
      <w:r w:rsidR="00820D9D">
        <w:rPr>
          <w:noProof/>
          <w:lang w:val="en-IE"/>
        </w:rPr>
        <w:t xml:space="preserve"> the </w:t>
      </w:r>
      <w:r w:rsidRPr="00D71E71">
        <w:rPr>
          <w:noProof/>
          <w:lang w:val="en-IE"/>
        </w:rPr>
        <w:t xml:space="preserve">TEN-T </w:t>
      </w:r>
      <w:r>
        <w:rPr>
          <w:noProof/>
          <w:lang w:val="en-IE"/>
        </w:rPr>
        <w:t>Regulation</w:t>
      </w:r>
      <w:r w:rsidR="004454C9">
        <w:rPr>
          <w:noProof/>
          <w:lang w:val="en-IE"/>
        </w:rPr>
        <w:t xml:space="preserve"> of 2013</w:t>
      </w:r>
      <w:r>
        <w:rPr>
          <w:rStyle w:val="FootnoteReference"/>
          <w:noProof/>
          <w:lang w:val="en-IE"/>
        </w:rPr>
        <w:footnoteReference w:id="2"/>
      </w:r>
      <w:r>
        <w:rPr>
          <w:noProof/>
          <w:lang w:val="en-IE"/>
        </w:rPr>
        <w:t xml:space="preserve">. </w:t>
      </w:r>
      <w:r w:rsidR="005E60D0">
        <w:rPr>
          <w:noProof/>
          <w:lang w:val="en-IE"/>
        </w:rPr>
        <w:t>In line with the objectives</w:t>
      </w:r>
      <w:r w:rsidR="005E60D0" w:rsidRPr="000622E5">
        <w:rPr>
          <w:noProof/>
          <w:lang w:val="en-IE"/>
        </w:rPr>
        <w:t xml:space="preserve"> of the European Green Deal</w:t>
      </w:r>
      <w:r w:rsidR="005E60D0">
        <w:rPr>
          <w:rStyle w:val="FootnoteReference"/>
          <w:noProof/>
          <w:lang w:val="en-IE"/>
        </w:rPr>
        <w:footnoteReference w:id="3"/>
      </w:r>
      <w:r w:rsidR="005E60D0">
        <w:rPr>
          <w:noProof/>
          <w:lang w:val="en-IE"/>
        </w:rPr>
        <w:t xml:space="preserve"> and the Sustainable </w:t>
      </w:r>
      <w:r w:rsidR="005F5AF6">
        <w:rPr>
          <w:noProof/>
          <w:lang w:val="en-IE"/>
        </w:rPr>
        <w:t xml:space="preserve">and Smart </w:t>
      </w:r>
      <w:r w:rsidR="005E60D0">
        <w:rPr>
          <w:noProof/>
          <w:lang w:val="en-IE"/>
        </w:rPr>
        <w:t>Mobility Strategy</w:t>
      </w:r>
      <w:r w:rsidR="005E60D0">
        <w:rPr>
          <w:rStyle w:val="FootnoteReference"/>
          <w:noProof/>
          <w:lang w:val="en-IE"/>
        </w:rPr>
        <w:footnoteReference w:id="4"/>
      </w:r>
      <w:r w:rsidR="005E60D0">
        <w:rPr>
          <w:noProof/>
          <w:lang w:val="en-IE"/>
        </w:rPr>
        <w:t>, i</w:t>
      </w:r>
      <w:r w:rsidR="004454C9">
        <w:rPr>
          <w:noProof/>
          <w:lang w:val="en-IE"/>
        </w:rPr>
        <w:t>t</w:t>
      </w:r>
      <w:r>
        <w:rPr>
          <w:noProof/>
          <w:lang w:val="en-IE"/>
        </w:rPr>
        <w:t xml:space="preserve"> </w:t>
      </w:r>
      <w:r w:rsidR="00820D9D">
        <w:rPr>
          <w:noProof/>
          <w:lang w:val="en-IE"/>
        </w:rPr>
        <w:t>aims</w:t>
      </w:r>
      <w:r>
        <w:rPr>
          <w:noProof/>
          <w:lang w:val="en-IE"/>
        </w:rPr>
        <w:t xml:space="preserve"> to increase activity </w:t>
      </w:r>
      <w:r w:rsidR="004B158F">
        <w:rPr>
          <w:noProof/>
          <w:lang w:val="en-IE"/>
        </w:rPr>
        <w:t xml:space="preserve">that uses </w:t>
      </w:r>
      <w:r w:rsidRPr="0055572F">
        <w:rPr>
          <w:noProof/>
          <w:lang w:val="en-IE"/>
        </w:rPr>
        <w:t>more sustainable forms of transp</w:t>
      </w:r>
      <w:r>
        <w:rPr>
          <w:noProof/>
          <w:lang w:val="en-IE"/>
        </w:rPr>
        <w:t>ort</w:t>
      </w:r>
      <w:r w:rsidRPr="0055572F">
        <w:rPr>
          <w:noProof/>
          <w:lang w:val="en-IE"/>
        </w:rPr>
        <w:t xml:space="preserve">, </w:t>
      </w:r>
      <w:r>
        <w:rPr>
          <w:noProof/>
          <w:lang w:val="en-IE"/>
        </w:rPr>
        <w:t xml:space="preserve">and provides </w:t>
      </w:r>
      <w:r w:rsidRPr="0055572F">
        <w:rPr>
          <w:noProof/>
          <w:lang w:val="en-IE"/>
        </w:rPr>
        <w:t>a</w:t>
      </w:r>
      <w:r>
        <w:rPr>
          <w:noProof/>
          <w:lang w:val="en-IE"/>
        </w:rPr>
        <w:t xml:space="preserve"> greater</w:t>
      </w:r>
      <w:r w:rsidRPr="0055572F">
        <w:rPr>
          <w:noProof/>
          <w:lang w:val="en-IE"/>
        </w:rPr>
        <w:t xml:space="preserve"> focus on multimodality and interoperability between </w:t>
      </w:r>
      <w:r w:rsidR="002F7A1F" w:rsidRPr="0055572F">
        <w:rPr>
          <w:noProof/>
          <w:lang w:val="en-IE"/>
        </w:rPr>
        <w:t xml:space="preserve">transport </w:t>
      </w:r>
      <w:r w:rsidR="003C400F">
        <w:rPr>
          <w:noProof/>
          <w:lang w:val="en-IE"/>
        </w:rPr>
        <w:t xml:space="preserve">modes and nodes as well as </w:t>
      </w:r>
      <w:r>
        <w:rPr>
          <w:noProof/>
          <w:lang w:val="en-IE"/>
        </w:rPr>
        <w:t xml:space="preserve">a </w:t>
      </w:r>
      <w:r w:rsidRPr="0055572F">
        <w:rPr>
          <w:noProof/>
          <w:lang w:val="en-IE"/>
        </w:rPr>
        <w:t>better integration of urban nodes into the TEN-T.</w:t>
      </w:r>
    </w:p>
    <w:p w:rsidR="00EB39B9" w:rsidRDefault="004454C9" w:rsidP="00EB39B9">
      <w:pPr>
        <w:rPr>
          <w:noProof/>
          <w:lang w:val="en-IE"/>
        </w:rPr>
      </w:pPr>
      <w:r>
        <w:rPr>
          <w:noProof/>
          <w:lang w:val="en-IE"/>
        </w:rPr>
        <w:t>However, s</w:t>
      </w:r>
      <w:r w:rsidR="00EB39B9">
        <w:rPr>
          <w:noProof/>
          <w:lang w:val="en-IE"/>
        </w:rPr>
        <w:t xml:space="preserve">ince </w:t>
      </w:r>
      <w:r w:rsidR="005E60D0">
        <w:rPr>
          <w:noProof/>
          <w:lang w:val="en-IE"/>
        </w:rPr>
        <w:t xml:space="preserve">the </w:t>
      </w:r>
      <w:r w:rsidR="00BF1A9E">
        <w:rPr>
          <w:noProof/>
          <w:lang w:val="en-IE"/>
        </w:rPr>
        <w:t>adoption of the revised guidelines</w:t>
      </w:r>
      <w:r w:rsidR="00EB39B9">
        <w:rPr>
          <w:noProof/>
          <w:lang w:val="en-IE"/>
        </w:rPr>
        <w:t xml:space="preserve">, the </w:t>
      </w:r>
      <w:r w:rsidR="00EB39B9" w:rsidRPr="00FC73F9">
        <w:rPr>
          <w:noProof/>
          <w:lang w:val="en-IE"/>
        </w:rPr>
        <w:t xml:space="preserve">resilience of </w:t>
      </w:r>
      <w:r w:rsidR="000671EA">
        <w:rPr>
          <w:noProof/>
          <w:lang w:val="en-IE"/>
        </w:rPr>
        <w:t xml:space="preserve">the </w:t>
      </w:r>
      <w:r w:rsidR="00EB39B9" w:rsidRPr="00FC73F9">
        <w:rPr>
          <w:noProof/>
          <w:lang w:val="en-IE"/>
        </w:rPr>
        <w:t xml:space="preserve">European transport </w:t>
      </w:r>
      <w:r w:rsidR="00EB39B9">
        <w:rPr>
          <w:noProof/>
          <w:lang w:val="en-IE"/>
        </w:rPr>
        <w:t>network</w:t>
      </w:r>
      <w:r w:rsidR="00EB39B9" w:rsidRPr="00FC73F9">
        <w:rPr>
          <w:noProof/>
          <w:lang w:val="en-IE"/>
        </w:rPr>
        <w:t xml:space="preserve"> has been put to the test </w:t>
      </w:r>
      <w:r w:rsidR="00EB39B9">
        <w:rPr>
          <w:noProof/>
          <w:lang w:val="en-IE"/>
        </w:rPr>
        <w:t>yet again by the devastating</w:t>
      </w:r>
      <w:r w:rsidR="00EB39B9" w:rsidRPr="00FC73F9">
        <w:rPr>
          <w:noProof/>
          <w:lang w:val="en-IE"/>
        </w:rPr>
        <w:t xml:space="preserve"> impact of Russia</w:t>
      </w:r>
      <w:r w:rsidR="00EB39B9">
        <w:rPr>
          <w:noProof/>
          <w:lang w:val="en-IE"/>
        </w:rPr>
        <w:t>’s war of aggression against</w:t>
      </w:r>
      <w:r w:rsidR="00EB39B9" w:rsidRPr="00FC73F9">
        <w:rPr>
          <w:noProof/>
          <w:lang w:val="en-IE"/>
        </w:rPr>
        <w:t xml:space="preserve"> Ukraine.</w:t>
      </w:r>
      <w:r w:rsidR="00EB39B9">
        <w:rPr>
          <w:noProof/>
          <w:lang w:val="en-IE"/>
        </w:rPr>
        <w:t xml:space="preserve"> </w:t>
      </w:r>
      <w:r>
        <w:rPr>
          <w:noProof/>
          <w:lang w:val="en-IE"/>
        </w:rPr>
        <w:t xml:space="preserve">This </w:t>
      </w:r>
      <w:r w:rsidR="00EB39B9">
        <w:rPr>
          <w:noProof/>
          <w:lang w:val="en-IE"/>
        </w:rPr>
        <w:t>has redefined</w:t>
      </w:r>
      <w:r w:rsidR="00EB39B9" w:rsidRPr="00D71E71">
        <w:rPr>
          <w:noProof/>
          <w:lang w:val="en-IE"/>
        </w:rPr>
        <w:t xml:space="preserve"> the geopolitical </w:t>
      </w:r>
      <w:r w:rsidR="00EB39B9">
        <w:rPr>
          <w:noProof/>
          <w:lang w:val="en-IE"/>
        </w:rPr>
        <w:t xml:space="preserve">landscape, bringing to the surface our vulnerability to unforeseen disruptive events beyond </w:t>
      </w:r>
      <w:r w:rsidR="00820D9D">
        <w:rPr>
          <w:noProof/>
          <w:lang w:val="en-IE"/>
        </w:rPr>
        <w:t>the Union’s</w:t>
      </w:r>
      <w:r w:rsidR="00EB39B9">
        <w:rPr>
          <w:noProof/>
          <w:lang w:val="en-IE"/>
        </w:rPr>
        <w:t xml:space="preserve"> borders. Its </w:t>
      </w:r>
      <w:r w:rsidR="00EB39B9" w:rsidRPr="006F716B">
        <w:rPr>
          <w:noProof/>
          <w:lang w:val="en-IE"/>
        </w:rPr>
        <w:t>major impacts on global markets</w:t>
      </w:r>
      <w:r>
        <w:rPr>
          <w:noProof/>
          <w:lang w:val="en-IE"/>
        </w:rPr>
        <w:t xml:space="preserve">, such as </w:t>
      </w:r>
      <w:r w:rsidR="00EB39B9" w:rsidRPr="006F716B">
        <w:rPr>
          <w:noProof/>
          <w:lang w:val="en-IE"/>
        </w:rPr>
        <w:t>global food security</w:t>
      </w:r>
      <w:r>
        <w:rPr>
          <w:noProof/>
          <w:lang w:val="en-IE"/>
        </w:rPr>
        <w:t>,</w:t>
      </w:r>
      <w:r w:rsidR="00EB39B9">
        <w:rPr>
          <w:noProof/>
          <w:lang w:val="en-IE"/>
        </w:rPr>
        <w:t xml:space="preserve"> has highlighted the fact that the </w:t>
      </w:r>
      <w:r w:rsidR="00820D9D">
        <w:rPr>
          <w:noProof/>
          <w:lang w:val="en-IE"/>
        </w:rPr>
        <w:t>Union’s</w:t>
      </w:r>
      <w:r w:rsidR="00EB39B9">
        <w:rPr>
          <w:noProof/>
          <w:lang w:val="en-IE"/>
        </w:rPr>
        <w:t xml:space="preserve"> internal market and </w:t>
      </w:r>
      <w:r>
        <w:rPr>
          <w:noProof/>
          <w:lang w:val="en-IE"/>
        </w:rPr>
        <w:t>its</w:t>
      </w:r>
      <w:r w:rsidR="00EB39B9">
        <w:rPr>
          <w:noProof/>
          <w:lang w:val="en-IE"/>
        </w:rPr>
        <w:t xml:space="preserve"> transport network </w:t>
      </w:r>
      <w:r w:rsidR="00820D9D">
        <w:rPr>
          <w:noProof/>
          <w:lang w:val="en-IE"/>
        </w:rPr>
        <w:t xml:space="preserve">cannot be </w:t>
      </w:r>
      <w:r w:rsidR="004B158F">
        <w:rPr>
          <w:noProof/>
          <w:lang w:val="en-IE"/>
        </w:rPr>
        <w:t>viewed</w:t>
      </w:r>
      <w:r w:rsidR="00820D9D">
        <w:rPr>
          <w:noProof/>
          <w:lang w:val="en-IE"/>
        </w:rPr>
        <w:t xml:space="preserve"> </w:t>
      </w:r>
      <w:r w:rsidR="00EB39B9">
        <w:rPr>
          <w:noProof/>
          <w:lang w:val="en-IE"/>
        </w:rPr>
        <w:t xml:space="preserve">in isolation when it comes to shaping </w:t>
      </w:r>
      <w:r w:rsidR="00820D9D">
        <w:rPr>
          <w:noProof/>
          <w:lang w:val="en-IE"/>
        </w:rPr>
        <w:t>Union</w:t>
      </w:r>
      <w:r w:rsidR="00EB39B9">
        <w:rPr>
          <w:noProof/>
          <w:lang w:val="en-IE"/>
        </w:rPr>
        <w:t xml:space="preserve"> policy. Better connections with the EU neighbouring partner countries </w:t>
      </w:r>
      <w:r>
        <w:rPr>
          <w:noProof/>
          <w:lang w:val="en-IE"/>
        </w:rPr>
        <w:t>are</w:t>
      </w:r>
      <w:r w:rsidR="00EB39B9">
        <w:rPr>
          <w:noProof/>
          <w:lang w:val="en-IE"/>
        </w:rPr>
        <w:t xml:space="preserve"> more than ever needed. </w:t>
      </w:r>
    </w:p>
    <w:p w:rsidR="00C63125" w:rsidRDefault="00EB39B9" w:rsidP="00EB39B9">
      <w:pPr>
        <w:rPr>
          <w:noProof/>
          <w:lang w:val="en-IE"/>
        </w:rPr>
      </w:pPr>
      <w:r>
        <w:rPr>
          <w:noProof/>
          <w:lang w:val="en-IE"/>
        </w:rPr>
        <w:t>Given this new geopolitical context, the Commission Communication from 12 May 2022 on “Solidarity Lanes"</w:t>
      </w:r>
      <w:r>
        <w:rPr>
          <w:rStyle w:val="FootnoteReference"/>
          <w:noProof/>
          <w:lang w:val="en-IE"/>
        </w:rPr>
        <w:footnoteReference w:id="5"/>
      </w:r>
      <w:r>
        <w:rPr>
          <w:noProof/>
          <w:lang w:val="en-IE"/>
        </w:rPr>
        <w:t xml:space="preserve"> identified</w:t>
      </w:r>
      <w:r w:rsidRPr="00930468">
        <w:rPr>
          <w:noProof/>
          <w:lang w:val="en-IE"/>
        </w:rPr>
        <w:t xml:space="preserve"> several major transport infrastructure challenges </w:t>
      </w:r>
      <w:r>
        <w:rPr>
          <w:noProof/>
          <w:lang w:val="en-IE"/>
        </w:rPr>
        <w:t>that the EU and its neighbouring countries need to resolve</w:t>
      </w:r>
      <w:r w:rsidRPr="00930468">
        <w:rPr>
          <w:noProof/>
          <w:lang w:val="en-IE"/>
        </w:rPr>
        <w:t xml:space="preserve"> in order to support Ukraine’s economy and recovery, to enable agricultural and other goods to reach the EU and world markets, and ensure that connectivity with Europe is greatly enhanced for both exports and imports</w:t>
      </w:r>
      <w:r>
        <w:rPr>
          <w:noProof/>
          <w:lang w:val="en-IE"/>
        </w:rPr>
        <w:t xml:space="preserve">. </w:t>
      </w:r>
      <w:r w:rsidR="002F7A1F">
        <w:rPr>
          <w:noProof/>
          <w:lang w:val="en-IE"/>
        </w:rPr>
        <w:t>T</w:t>
      </w:r>
      <w:r w:rsidR="002F7A1F" w:rsidRPr="004454C9">
        <w:rPr>
          <w:noProof/>
          <w:lang w:val="en-IE"/>
        </w:rPr>
        <w:t>o offer increased connectivity with the EU</w:t>
      </w:r>
      <w:r w:rsidR="002F7A1F">
        <w:rPr>
          <w:noProof/>
          <w:lang w:val="en-IE"/>
        </w:rPr>
        <w:t xml:space="preserve">, the above </w:t>
      </w:r>
      <w:r w:rsidR="00820D9D">
        <w:rPr>
          <w:noProof/>
          <w:lang w:val="en-IE"/>
        </w:rPr>
        <w:t xml:space="preserve">Communication proposed </w:t>
      </w:r>
      <w:r w:rsidR="004454C9">
        <w:rPr>
          <w:noProof/>
          <w:lang w:val="en-IE"/>
        </w:rPr>
        <w:t xml:space="preserve">as </w:t>
      </w:r>
      <w:r w:rsidR="002F7A1F">
        <w:rPr>
          <w:noProof/>
          <w:lang w:val="en-IE"/>
        </w:rPr>
        <w:t xml:space="preserve">one </w:t>
      </w:r>
      <w:r w:rsidR="004454C9">
        <w:rPr>
          <w:noProof/>
          <w:lang w:val="en-IE"/>
        </w:rPr>
        <w:t xml:space="preserve">measure to assess the extension of the European Transport Corridors. </w:t>
      </w:r>
    </w:p>
    <w:p w:rsidR="004454C9" w:rsidRDefault="004454C9" w:rsidP="00EB39B9">
      <w:pPr>
        <w:rPr>
          <w:noProof/>
          <w:lang w:val="en-IE"/>
        </w:rPr>
      </w:pPr>
      <w:r>
        <w:rPr>
          <w:noProof/>
          <w:lang w:val="en-IE"/>
        </w:rPr>
        <w:t>The ground</w:t>
      </w:r>
      <w:r w:rsidR="004B158F">
        <w:rPr>
          <w:noProof/>
          <w:lang w:val="en-IE"/>
        </w:rPr>
        <w:t>work to extend these</w:t>
      </w:r>
      <w:r>
        <w:rPr>
          <w:noProof/>
          <w:lang w:val="en-IE"/>
        </w:rPr>
        <w:t xml:space="preserve"> </w:t>
      </w:r>
      <w:r w:rsidR="005432BD">
        <w:rPr>
          <w:noProof/>
          <w:lang w:val="en-IE"/>
        </w:rPr>
        <w:t>corridor</w:t>
      </w:r>
      <w:r w:rsidR="004B158F">
        <w:rPr>
          <w:noProof/>
          <w:lang w:val="en-IE"/>
        </w:rPr>
        <w:t>s</w:t>
      </w:r>
      <w:r>
        <w:rPr>
          <w:noProof/>
          <w:lang w:val="en-IE"/>
        </w:rPr>
        <w:t xml:space="preserve"> has already been prepared by the Commission </w:t>
      </w:r>
      <w:r w:rsidR="005432BD">
        <w:rPr>
          <w:noProof/>
          <w:lang w:val="en-IE"/>
        </w:rPr>
        <w:t>wh</w:t>
      </w:r>
      <w:r w:rsidR="004B158F">
        <w:rPr>
          <w:noProof/>
          <w:lang w:val="en-IE"/>
        </w:rPr>
        <w:t>ich</w:t>
      </w:r>
      <w:r w:rsidR="005432BD">
        <w:rPr>
          <w:noProof/>
          <w:lang w:val="en-IE"/>
        </w:rPr>
        <w:t xml:space="preserve"> adopted on </w:t>
      </w:r>
      <w:r w:rsidR="004B158F">
        <w:rPr>
          <w:noProof/>
          <w:lang w:val="en-IE"/>
        </w:rPr>
        <w:t>14</w:t>
      </w:r>
      <w:r w:rsidR="005432BD">
        <w:rPr>
          <w:noProof/>
          <w:lang w:val="en-IE"/>
        </w:rPr>
        <w:t xml:space="preserve"> July 2022 revised</w:t>
      </w:r>
      <w:r w:rsidRPr="004454C9">
        <w:rPr>
          <w:noProof/>
          <w:lang w:val="en-IE"/>
        </w:rPr>
        <w:t xml:space="preserve"> </w:t>
      </w:r>
      <w:r w:rsidR="00C63125">
        <w:rPr>
          <w:noProof/>
          <w:lang w:val="en-IE"/>
        </w:rPr>
        <w:t xml:space="preserve">indicative </w:t>
      </w:r>
      <w:r w:rsidRPr="004454C9">
        <w:rPr>
          <w:noProof/>
          <w:lang w:val="en-IE"/>
        </w:rPr>
        <w:t xml:space="preserve">maps for the </w:t>
      </w:r>
      <w:r>
        <w:rPr>
          <w:noProof/>
          <w:lang w:val="en-IE"/>
        </w:rPr>
        <w:t>t</w:t>
      </w:r>
      <w:r w:rsidRPr="004454C9">
        <w:rPr>
          <w:noProof/>
          <w:lang w:val="en-IE"/>
        </w:rPr>
        <w:t xml:space="preserve">rans-European </w:t>
      </w:r>
      <w:r>
        <w:rPr>
          <w:noProof/>
          <w:lang w:val="en-IE"/>
        </w:rPr>
        <w:t>t</w:t>
      </w:r>
      <w:r w:rsidRPr="004454C9">
        <w:rPr>
          <w:noProof/>
          <w:lang w:val="en-IE"/>
        </w:rPr>
        <w:t xml:space="preserve">ransport </w:t>
      </w:r>
      <w:r>
        <w:rPr>
          <w:noProof/>
          <w:lang w:val="en-IE"/>
        </w:rPr>
        <w:t>n</w:t>
      </w:r>
      <w:r w:rsidRPr="004454C9">
        <w:rPr>
          <w:noProof/>
          <w:lang w:val="en-IE"/>
        </w:rPr>
        <w:t xml:space="preserve">etwork </w:t>
      </w:r>
      <w:r>
        <w:rPr>
          <w:noProof/>
          <w:lang w:val="en-IE"/>
        </w:rPr>
        <w:t>in Ukraine</w:t>
      </w:r>
      <w:r w:rsidRPr="004454C9">
        <w:rPr>
          <w:noProof/>
          <w:lang w:val="en-IE"/>
        </w:rPr>
        <w:t>, as part of the Commission's policy on extending the TEN-T to neighbouring countries</w:t>
      </w:r>
      <w:r w:rsidRPr="007D45AA">
        <w:rPr>
          <w:rStyle w:val="FootnoteReference"/>
          <w:noProof/>
        </w:rPr>
        <w:footnoteReference w:id="6"/>
      </w:r>
      <w:r>
        <w:rPr>
          <w:noProof/>
          <w:lang w:val="en-IE"/>
        </w:rPr>
        <w:t xml:space="preserve">. </w:t>
      </w:r>
      <w:r w:rsidR="00C63125" w:rsidRPr="00C63125">
        <w:rPr>
          <w:noProof/>
          <w:lang w:val="en-IE"/>
        </w:rPr>
        <w:t xml:space="preserve">The purpose of these extended TEN-T maps is that the TEN-T standards are applied also on the networks of third countries </w:t>
      </w:r>
      <w:r w:rsidR="004B158F">
        <w:rPr>
          <w:noProof/>
          <w:lang w:val="en-IE"/>
        </w:rPr>
        <w:t xml:space="preserve">so </w:t>
      </w:r>
      <w:r w:rsidR="00C63125" w:rsidRPr="00C63125">
        <w:rPr>
          <w:noProof/>
          <w:lang w:val="en-IE"/>
        </w:rPr>
        <w:t>as to allow for seamless connections. As such, they also provide a sound basis for foreign investments in these countries in line with European objectives</w:t>
      </w:r>
      <w:r w:rsidR="002F7A1F">
        <w:rPr>
          <w:noProof/>
          <w:lang w:val="en-IE"/>
        </w:rPr>
        <w:t>.</w:t>
      </w:r>
    </w:p>
    <w:p w:rsidR="00EB1AD8" w:rsidRDefault="00595253" w:rsidP="00595253">
      <w:pPr>
        <w:rPr>
          <w:noProof/>
          <w:lang w:val="en-IE"/>
        </w:rPr>
      </w:pPr>
      <w:r>
        <w:rPr>
          <w:noProof/>
          <w:lang w:val="en-IE"/>
        </w:rPr>
        <w:t xml:space="preserve">Another issue is the different rail </w:t>
      </w:r>
      <w:r w:rsidR="00D729A3">
        <w:rPr>
          <w:noProof/>
          <w:lang w:val="en-IE"/>
        </w:rPr>
        <w:t xml:space="preserve">track </w:t>
      </w:r>
      <w:r>
        <w:rPr>
          <w:noProof/>
          <w:lang w:val="en-IE"/>
        </w:rPr>
        <w:t xml:space="preserve">gauges used in Ukraine and most of the EU which significantly hinders rail interoperability. </w:t>
      </w:r>
      <w:r w:rsidR="004F06F6">
        <w:rPr>
          <w:noProof/>
          <w:lang w:val="en-IE"/>
        </w:rPr>
        <w:t>P</w:t>
      </w:r>
      <w:r>
        <w:rPr>
          <w:noProof/>
          <w:lang w:val="en-IE"/>
        </w:rPr>
        <w:t xml:space="preserve">roducts exported from Ukraine by rail must be transhipped </w:t>
      </w:r>
      <w:r w:rsidR="004F06F6">
        <w:rPr>
          <w:noProof/>
          <w:lang w:val="en-IE"/>
        </w:rPr>
        <w:t xml:space="preserve">near </w:t>
      </w:r>
      <w:r>
        <w:rPr>
          <w:noProof/>
          <w:lang w:val="en-IE"/>
        </w:rPr>
        <w:t>EU borders as trains circulating on the Ukrainian network cannot circulate on the European standard nominal track gauge of 1</w:t>
      </w:r>
      <w:r w:rsidR="004B158F">
        <w:rPr>
          <w:noProof/>
          <w:lang w:val="en-IE"/>
        </w:rPr>
        <w:t xml:space="preserve"> </w:t>
      </w:r>
      <w:r>
        <w:rPr>
          <w:noProof/>
          <w:lang w:val="en-IE"/>
        </w:rPr>
        <w:t>435 mm. This issue of rail interoperability due to different</w:t>
      </w:r>
      <w:r w:rsidR="00D729A3">
        <w:rPr>
          <w:noProof/>
          <w:lang w:val="en-IE"/>
        </w:rPr>
        <w:t xml:space="preserve"> track</w:t>
      </w:r>
      <w:r>
        <w:rPr>
          <w:noProof/>
          <w:lang w:val="en-IE"/>
        </w:rPr>
        <w:t xml:space="preserve"> gauges has also highlighted the vulnerability of the railway network inside the EU territory, as several Member States </w:t>
      </w:r>
      <w:r w:rsidR="004B158F">
        <w:rPr>
          <w:noProof/>
          <w:lang w:val="en-IE"/>
        </w:rPr>
        <w:t xml:space="preserve">have </w:t>
      </w:r>
      <w:r>
        <w:rPr>
          <w:noProof/>
          <w:lang w:val="en-IE"/>
        </w:rPr>
        <w:t xml:space="preserve">a railway network with different nominal track gauges than the European standard </w:t>
      </w:r>
      <w:r w:rsidR="004F06F6">
        <w:rPr>
          <w:noProof/>
          <w:lang w:val="en-IE"/>
        </w:rPr>
        <w:t xml:space="preserve">nominal </w:t>
      </w:r>
      <w:r w:rsidR="00D729A3">
        <w:rPr>
          <w:noProof/>
          <w:lang w:val="en-IE"/>
        </w:rPr>
        <w:t xml:space="preserve">track </w:t>
      </w:r>
      <w:r>
        <w:rPr>
          <w:noProof/>
          <w:lang w:val="en-IE"/>
        </w:rPr>
        <w:t>gauge. This issue was not addressed in the legislati</w:t>
      </w:r>
      <w:r w:rsidR="003C400F">
        <w:rPr>
          <w:noProof/>
          <w:lang w:val="en-IE"/>
        </w:rPr>
        <w:t>ve proposal revising the TEN-T R</w:t>
      </w:r>
      <w:r>
        <w:rPr>
          <w:noProof/>
          <w:lang w:val="en-IE"/>
        </w:rPr>
        <w:t>egulation of 14 December 2021</w:t>
      </w:r>
      <w:r w:rsidR="003C400F">
        <w:rPr>
          <w:noProof/>
          <w:lang w:val="en-IE"/>
        </w:rPr>
        <w:t>,</w:t>
      </w:r>
      <w:r>
        <w:rPr>
          <w:noProof/>
          <w:lang w:val="en-IE"/>
        </w:rPr>
        <w:t xml:space="preserve"> but clearly emerged as a problem that needs to be tackled following the recent development in Ukraine.</w:t>
      </w:r>
      <w:r w:rsidR="00D729A3">
        <w:rPr>
          <w:noProof/>
          <w:lang w:val="en-IE"/>
        </w:rPr>
        <w:t xml:space="preserve"> </w:t>
      </w:r>
    </w:p>
    <w:p w:rsidR="00595253" w:rsidRDefault="00EB1AD8" w:rsidP="00595253">
      <w:pPr>
        <w:rPr>
          <w:noProof/>
          <w:lang w:val="en-IE"/>
        </w:rPr>
      </w:pPr>
      <w:r>
        <w:rPr>
          <w:noProof/>
          <w:lang w:val="en-IE"/>
        </w:rPr>
        <w:t>Moreover, t</w:t>
      </w:r>
      <w:r w:rsidR="00127C34">
        <w:rPr>
          <w:noProof/>
          <w:lang w:val="en-IE"/>
        </w:rPr>
        <w:t xml:space="preserve">he European Green Deal calls for </w:t>
      </w:r>
      <w:r w:rsidR="00D729A3" w:rsidRPr="00445451">
        <w:rPr>
          <w:noProof/>
          <w:lang w:val="en-IE"/>
        </w:rPr>
        <w:t>a substantial part of the 75% of in</w:t>
      </w:r>
      <w:r w:rsidR="00127C34">
        <w:rPr>
          <w:noProof/>
          <w:lang w:val="en-IE"/>
        </w:rPr>
        <w:t xml:space="preserve">land freight </w:t>
      </w:r>
      <w:r w:rsidR="00D729A3" w:rsidRPr="00445451">
        <w:rPr>
          <w:noProof/>
          <w:lang w:val="en-IE"/>
        </w:rPr>
        <w:t xml:space="preserve">carried </w:t>
      </w:r>
      <w:r w:rsidR="00127C34">
        <w:rPr>
          <w:noProof/>
          <w:lang w:val="en-IE"/>
        </w:rPr>
        <w:t xml:space="preserve">today </w:t>
      </w:r>
      <w:r w:rsidR="00D729A3" w:rsidRPr="00445451">
        <w:rPr>
          <w:noProof/>
          <w:lang w:val="en-IE"/>
        </w:rPr>
        <w:t xml:space="preserve">by road </w:t>
      </w:r>
      <w:r w:rsidR="00127C34">
        <w:rPr>
          <w:noProof/>
          <w:lang w:val="en-IE"/>
        </w:rPr>
        <w:t xml:space="preserve">to be transported by </w:t>
      </w:r>
      <w:r w:rsidR="00D729A3" w:rsidRPr="00445451">
        <w:rPr>
          <w:noProof/>
          <w:lang w:val="en-IE"/>
        </w:rPr>
        <w:t>rail and inland waterways</w:t>
      </w:r>
      <w:r w:rsidR="00127C34">
        <w:rPr>
          <w:noProof/>
          <w:lang w:val="en-IE"/>
        </w:rPr>
        <w:t xml:space="preserve">. However, the </w:t>
      </w:r>
      <w:r w:rsidR="00D729A3" w:rsidRPr="00445451">
        <w:rPr>
          <w:noProof/>
          <w:lang w:val="en-IE"/>
        </w:rPr>
        <w:t>required time and costs for transhipment negatively affect the competitiveness of rail</w:t>
      </w:r>
      <w:r w:rsidR="004B158F">
        <w:rPr>
          <w:noProof/>
          <w:lang w:val="en-IE"/>
        </w:rPr>
        <w:t>,</w:t>
      </w:r>
      <w:r w:rsidR="00127C34">
        <w:rPr>
          <w:noProof/>
          <w:lang w:val="en-IE"/>
        </w:rPr>
        <w:t xml:space="preserve"> challenging this objective. A</w:t>
      </w:r>
      <w:r w:rsidR="00D729A3">
        <w:rPr>
          <w:noProof/>
          <w:lang w:val="en-IE"/>
        </w:rPr>
        <w:t xml:space="preserve"> massive increase </w:t>
      </w:r>
      <w:r w:rsidR="004B158F">
        <w:rPr>
          <w:noProof/>
          <w:lang w:val="en-IE"/>
        </w:rPr>
        <w:t xml:space="preserve">in </w:t>
      </w:r>
      <w:r w:rsidR="00D729A3">
        <w:rPr>
          <w:noProof/>
          <w:lang w:val="en-IE"/>
        </w:rPr>
        <w:t xml:space="preserve">volumes </w:t>
      </w:r>
      <w:r w:rsidR="004B158F">
        <w:rPr>
          <w:noProof/>
          <w:lang w:val="en-IE"/>
        </w:rPr>
        <w:t>transported by</w:t>
      </w:r>
      <w:r w:rsidR="00D729A3">
        <w:rPr>
          <w:noProof/>
          <w:lang w:val="en-IE"/>
        </w:rPr>
        <w:t xml:space="preserve"> rail would create serious bottlenecks at the borders as we can see today at the border of Ukraine, and therefore would also jeopardise</w:t>
      </w:r>
      <w:r w:rsidR="00205F14">
        <w:rPr>
          <w:noProof/>
          <w:lang w:val="en-IE"/>
        </w:rPr>
        <w:t xml:space="preserve"> the fulfilment of</w:t>
      </w:r>
      <w:r w:rsidR="00D729A3">
        <w:rPr>
          <w:noProof/>
          <w:lang w:val="en-IE"/>
        </w:rPr>
        <w:t xml:space="preserve"> this objective.</w:t>
      </w:r>
      <w:r w:rsidR="00D729A3" w:rsidRPr="00445451">
        <w:rPr>
          <w:noProof/>
          <w:lang w:val="en-IE"/>
        </w:rPr>
        <w:t xml:space="preserve"> </w:t>
      </w:r>
      <w:r w:rsidR="00D729A3">
        <w:rPr>
          <w:noProof/>
          <w:lang w:val="en-IE"/>
        </w:rPr>
        <w:t xml:space="preserve"> </w:t>
      </w:r>
    </w:p>
    <w:p w:rsidR="00595253" w:rsidRPr="004454C9" w:rsidRDefault="00595253" w:rsidP="00595253">
      <w:pPr>
        <w:rPr>
          <w:noProof/>
          <w:lang w:val="en-IE"/>
        </w:rPr>
      </w:pPr>
      <w:r>
        <w:rPr>
          <w:noProof/>
          <w:lang w:val="en-IE"/>
        </w:rPr>
        <w:t xml:space="preserve">The TEN-T network extends to a number of neighbouring </w:t>
      </w:r>
      <w:r w:rsidR="00205F14">
        <w:rPr>
          <w:noProof/>
          <w:lang w:val="en-IE"/>
        </w:rPr>
        <w:t xml:space="preserve">third </w:t>
      </w:r>
      <w:r>
        <w:rPr>
          <w:noProof/>
          <w:lang w:val="en-IE"/>
        </w:rPr>
        <w:t>countries, notably Russia and Belarus. This network constitutes the basis for cooperation between the EU and third countries in the field of infrastruct</w:t>
      </w:r>
      <w:r w:rsidR="003C400F">
        <w:rPr>
          <w:noProof/>
          <w:lang w:val="en-IE"/>
        </w:rPr>
        <w:t>ure, including to enhance cross-</w:t>
      </w:r>
      <w:r>
        <w:rPr>
          <w:noProof/>
          <w:lang w:val="en-IE"/>
        </w:rPr>
        <w:t xml:space="preserve">border connections with the </w:t>
      </w:r>
      <w:r w:rsidR="003C400F">
        <w:rPr>
          <w:noProof/>
          <w:lang w:val="en-IE"/>
        </w:rPr>
        <w:t xml:space="preserve">EU. </w:t>
      </w:r>
      <w:r>
        <w:rPr>
          <w:noProof/>
          <w:lang w:val="en-IE"/>
        </w:rPr>
        <w:t>In view of Russia’s war of aggression in Ukraine, and the position adopted by Belarus in this conflict, such cooperation with Russia and Belarus is considered to be no longer appropriate</w:t>
      </w:r>
      <w:r w:rsidR="003C400F">
        <w:rPr>
          <w:noProof/>
          <w:lang w:val="en-IE"/>
        </w:rPr>
        <w:t>, nor</w:t>
      </w:r>
      <w:r>
        <w:rPr>
          <w:noProof/>
          <w:lang w:val="en-IE"/>
        </w:rPr>
        <w:t xml:space="preserve"> in the interest of the EU.</w:t>
      </w:r>
    </w:p>
    <w:p w:rsidR="00EB39B9" w:rsidRPr="004454C9" w:rsidRDefault="00F55CAD" w:rsidP="00F55CAD">
      <w:pPr>
        <w:rPr>
          <w:noProof/>
          <w:lang w:val="en-IE"/>
        </w:rPr>
      </w:pPr>
      <w:r>
        <w:rPr>
          <w:noProof/>
          <w:lang w:val="en-IE"/>
        </w:rPr>
        <w:t>As a result, t</w:t>
      </w:r>
      <w:r w:rsidR="00EB39B9" w:rsidRPr="004454C9">
        <w:rPr>
          <w:noProof/>
          <w:lang w:val="en-IE"/>
        </w:rPr>
        <w:t xml:space="preserve">he present amended proposal aims to introduce the following changes to the legislative proposal of 14 December 2021: </w:t>
      </w:r>
    </w:p>
    <w:p w:rsidR="00EB39B9" w:rsidRPr="007D45AA" w:rsidRDefault="00EB0873" w:rsidP="00D50E51">
      <w:pPr>
        <w:pStyle w:val="Bullet0"/>
        <w:numPr>
          <w:ilvl w:val="0"/>
          <w:numId w:val="7"/>
        </w:numPr>
        <w:rPr>
          <w:noProof/>
        </w:rPr>
      </w:pPr>
      <w:r w:rsidRPr="007D45AA">
        <w:rPr>
          <w:noProof/>
        </w:rPr>
        <w:t xml:space="preserve">As </w:t>
      </w:r>
      <w:r w:rsidR="00205F14">
        <w:rPr>
          <w:noProof/>
        </w:rPr>
        <w:t xml:space="preserve">an </w:t>
      </w:r>
      <w:r w:rsidRPr="007D45AA">
        <w:rPr>
          <w:noProof/>
        </w:rPr>
        <w:t xml:space="preserve">immediate response to the requested action communicated in the “Solidarity Lanes” </w:t>
      </w:r>
      <w:r w:rsidR="00205F14">
        <w:rPr>
          <w:noProof/>
        </w:rPr>
        <w:t>C</w:t>
      </w:r>
      <w:r w:rsidR="00205F14" w:rsidRPr="007D45AA">
        <w:rPr>
          <w:noProof/>
        </w:rPr>
        <w:t>ommunication</w:t>
      </w:r>
      <w:r w:rsidRPr="007D45AA">
        <w:rPr>
          <w:noProof/>
        </w:rPr>
        <w:t>, an e</w:t>
      </w:r>
      <w:r w:rsidR="00EB39B9" w:rsidRPr="007D45AA">
        <w:rPr>
          <w:noProof/>
        </w:rPr>
        <w:t xml:space="preserve">xtension of </w:t>
      </w:r>
      <w:r w:rsidRPr="007D45AA">
        <w:rPr>
          <w:noProof/>
        </w:rPr>
        <w:t xml:space="preserve">four European Transport Corridors </w:t>
      </w:r>
      <w:r w:rsidR="00EB39B9" w:rsidRPr="007D45AA">
        <w:rPr>
          <w:noProof/>
        </w:rPr>
        <w:t xml:space="preserve">to Ukraine and </w:t>
      </w:r>
      <w:r w:rsidR="00726502" w:rsidRPr="007D45AA">
        <w:rPr>
          <w:noProof/>
        </w:rPr>
        <w:t xml:space="preserve">the Republic of </w:t>
      </w:r>
      <w:r w:rsidR="00EB39B9" w:rsidRPr="007D45AA">
        <w:rPr>
          <w:noProof/>
        </w:rPr>
        <w:t>Moldova</w:t>
      </w:r>
      <w:r w:rsidR="00205F14">
        <w:rPr>
          <w:noProof/>
        </w:rPr>
        <w:t xml:space="preserve"> is proposed</w:t>
      </w:r>
      <w:r w:rsidRPr="007D45AA">
        <w:rPr>
          <w:noProof/>
        </w:rPr>
        <w:t>, based on the</w:t>
      </w:r>
      <w:r w:rsidR="002F7A1F" w:rsidRPr="007D45AA">
        <w:rPr>
          <w:noProof/>
        </w:rPr>
        <w:t xml:space="preserve"> indicative maps of the </w:t>
      </w:r>
      <w:r w:rsidRPr="007D45AA">
        <w:rPr>
          <w:noProof/>
        </w:rPr>
        <w:t>core network in these two countries. This regards notably an extension of the North-Sea Baltic Corridor via Lviv and K</w:t>
      </w:r>
      <w:r w:rsidR="0010587C">
        <w:rPr>
          <w:noProof/>
        </w:rPr>
        <w:t>yiv</w:t>
      </w:r>
      <w:r w:rsidRPr="007D45AA">
        <w:rPr>
          <w:noProof/>
        </w:rPr>
        <w:t xml:space="preserve"> to Mariupol, the extension of the Baltic-Black-Aegean Sea Corridor to </w:t>
      </w:r>
      <w:r w:rsidR="00BF1A9E" w:rsidRPr="007D45AA">
        <w:rPr>
          <w:noProof/>
        </w:rPr>
        <w:t xml:space="preserve">Odesa via </w:t>
      </w:r>
      <w:r w:rsidRPr="007D45AA">
        <w:rPr>
          <w:noProof/>
        </w:rPr>
        <w:t xml:space="preserve">Lviv and </w:t>
      </w:r>
      <w:r w:rsidR="00E03DF1" w:rsidRPr="007D45AA">
        <w:rPr>
          <w:noProof/>
        </w:rPr>
        <w:t xml:space="preserve">via </w:t>
      </w:r>
      <w:r w:rsidR="00205F14">
        <w:rPr>
          <w:noProof/>
        </w:rPr>
        <w:t>Chişinău</w:t>
      </w:r>
      <w:r w:rsidR="00205F14" w:rsidRPr="007D45AA" w:rsidDel="00205F14">
        <w:rPr>
          <w:noProof/>
        </w:rPr>
        <w:t xml:space="preserve"> </w:t>
      </w:r>
      <w:r w:rsidRPr="007D45AA">
        <w:rPr>
          <w:noProof/>
        </w:rPr>
        <w:t>as well as an extension of the Baltic Sea</w:t>
      </w:r>
      <w:r w:rsidR="002F7A1F" w:rsidRPr="007D45AA">
        <w:rPr>
          <w:noProof/>
        </w:rPr>
        <w:t>-</w:t>
      </w:r>
      <w:r w:rsidRPr="007D45AA">
        <w:rPr>
          <w:noProof/>
        </w:rPr>
        <w:t>Adriatic Sea and the Rhine-Danube Corridors to Lviv. Such corridor extensions imply a</w:t>
      </w:r>
      <w:r w:rsidR="00205F14">
        <w:rPr>
          <w:noProof/>
        </w:rPr>
        <w:t>n amendment</w:t>
      </w:r>
      <w:r w:rsidRPr="007D45AA">
        <w:rPr>
          <w:noProof/>
        </w:rPr>
        <w:t xml:space="preserve"> of A</w:t>
      </w:r>
      <w:r w:rsidR="00EB39B9" w:rsidRPr="007D45AA">
        <w:rPr>
          <w:noProof/>
        </w:rPr>
        <w:t xml:space="preserve">nnex III </w:t>
      </w:r>
      <w:r w:rsidR="00205F14">
        <w:rPr>
          <w:noProof/>
        </w:rPr>
        <w:t>to</w:t>
      </w:r>
      <w:r w:rsidR="00205F14" w:rsidRPr="007D45AA">
        <w:rPr>
          <w:noProof/>
        </w:rPr>
        <w:t xml:space="preserve"> </w:t>
      </w:r>
      <w:r w:rsidR="00EB39B9" w:rsidRPr="007D45AA">
        <w:rPr>
          <w:noProof/>
        </w:rPr>
        <w:t>the proposal of last December.</w:t>
      </w:r>
    </w:p>
    <w:p w:rsidR="00EB39B9" w:rsidRPr="007D45AA" w:rsidRDefault="00147A1D" w:rsidP="00BE27E2">
      <w:pPr>
        <w:pStyle w:val="Bullet0"/>
        <w:rPr>
          <w:noProof/>
        </w:rPr>
      </w:pPr>
      <w:r w:rsidRPr="007D45AA">
        <w:rPr>
          <w:noProof/>
        </w:rPr>
        <w:t>In view of the current geopolitical context, an orientation towards and expansion of the trans-European transport network in Russia</w:t>
      </w:r>
      <w:r w:rsidR="005F0850" w:rsidRPr="007D45AA">
        <w:rPr>
          <w:noProof/>
        </w:rPr>
        <w:t xml:space="preserve"> and Belarus is no longer valid </w:t>
      </w:r>
      <w:r w:rsidR="00205F14">
        <w:rPr>
          <w:noProof/>
        </w:rPr>
        <w:t>or</w:t>
      </w:r>
      <w:r w:rsidR="00205F14" w:rsidRPr="007D45AA">
        <w:rPr>
          <w:noProof/>
        </w:rPr>
        <w:t xml:space="preserve"> </w:t>
      </w:r>
      <w:r w:rsidR="0002296D" w:rsidRPr="007D45AA">
        <w:rPr>
          <w:noProof/>
        </w:rPr>
        <w:t>desirable</w:t>
      </w:r>
      <w:r w:rsidRPr="007D45AA">
        <w:rPr>
          <w:noProof/>
        </w:rPr>
        <w:t xml:space="preserve">. It is therefore proposed to remove the indicative maps of the trans-European transport network in Russia and Belarus </w:t>
      </w:r>
      <w:r w:rsidR="00EB0873" w:rsidRPr="007D45AA">
        <w:rPr>
          <w:noProof/>
        </w:rPr>
        <w:t xml:space="preserve">from Annex IV. </w:t>
      </w:r>
      <w:r w:rsidR="006E74E4" w:rsidRPr="00115DD5">
        <w:rPr>
          <w:noProof/>
        </w:rPr>
        <w:t>However, in case of a democratic transition in Belarus building and upgrading the country’s cross border connections with the EU in line with the comprehensive economic plan for a democratic Belarus would be a high priority, including through re-inclusion of the country back in the Regulation.</w:t>
      </w:r>
    </w:p>
    <w:p w:rsidR="00CF1A02" w:rsidRPr="007D45AA" w:rsidRDefault="00CF1A02" w:rsidP="00BE27E2">
      <w:pPr>
        <w:pStyle w:val="Bullet0"/>
        <w:rPr>
          <w:noProof/>
        </w:rPr>
      </w:pPr>
      <w:r w:rsidRPr="007D45AA">
        <w:rPr>
          <w:noProof/>
        </w:rPr>
        <w:t>Consequently</w:t>
      </w:r>
      <w:r w:rsidR="00147A1D" w:rsidRPr="007D45AA">
        <w:rPr>
          <w:noProof/>
        </w:rPr>
        <w:t xml:space="preserve">, </w:t>
      </w:r>
      <w:r w:rsidRPr="007D45AA">
        <w:rPr>
          <w:noProof/>
        </w:rPr>
        <w:t xml:space="preserve">improved cross-border connections to Russia and Belarus are no longer of high priority on the territory of EU Member States. Connections currently exist </w:t>
      </w:r>
      <w:r w:rsidR="006D3318" w:rsidRPr="007D45AA">
        <w:rPr>
          <w:noProof/>
        </w:rPr>
        <w:t xml:space="preserve">from </w:t>
      </w:r>
      <w:r w:rsidR="002F7A1F" w:rsidRPr="007D45AA">
        <w:rPr>
          <w:noProof/>
        </w:rPr>
        <w:t>Finland, Estonia, Latvia, Lithuania and Poland</w:t>
      </w:r>
      <w:r w:rsidRPr="007D45AA">
        <w:rPr>
          <w:noProof/>
        </w:rPr>
        <w:t xml:space="preserve"> </w:t>
      </w:r>
      <w:r w:rsidR="006D3318" w:rsidRPr="007D45AA">
        <w:rPr>
          <w:noProof/>
        </w:rPr>
        <w:t xml:space="preserve">to </w:t>
      </w:r>
      <w:r w:rsidRPr="007D45AA">
        <w:rPr>
          <w:noProof/>
        </w:rPr>
        <w:t>these two third countries. To reflect the lesser priority in building and upgrading those “last</w:t>
      </w:r>
      <w:r w:rsidR="00205F14">
        <w:rPr>
          <w:noProof/>
        </w:rPr>
        <w:t>-</w:t>
      </w:r>
      <w:r w:rsidRPr="007D45AA">
        <w:rPr>
          <w:noProof/>
        </w:rPr>
        <w:t xml:space="preserve">mile” connections, it is proposed to downgrade </w:t>
      </w:r>
      <w:r w:rsidR="00595253" w:rsidRPr="007D45AA">
        <w:rPr>
          <w:noProof/>
        </w:rPr>
        <w:t xml:space="preserve">the last miles of </w:t>
      </w:r>
      <w:r w:rsidRPr="007D45AA">
        <w:rPr>
          <w:noProof/>
        </w:rPr>
        <w:t xml:space="preserve">all cross-border connections currently on the core network to </w:t>
      </w:r>
      <w:r w:rsidR="00205F14">
        <w:rPr>
          <w:noProof/>
        </w:rPr>
        <w:t xml:space="preserve">the </w:t>
      </w:r>
      <w:r w:rsidRPr="007D45AA">
        <w:rPr>
          <w:noProof/>
        </w:rPr>
        <w:t>comprehensive network for which only a</w:t>
      </w:r>
      <w:r w:rsidR="002F7A1F" w:rsidRPr="007D45AA">
        <w:rPr>
          <w:noProof/>
        </w:rPr>
        <w:t xml:space="preserve"> later</w:t>
      </w:r>
      <w:r w:rsidRPr="007D45AA">
        <w:rPr>
          <w:noProof/>
        </w:rPr>
        <w:t xml:space="preserve"> deadline of implementation of 2050 is </w:t>
      </w:r>
      <w:r w:rsidR="00205F14">
        <w:rPr>
          <w:noProof/>
        </w:rPr>
        <w:t>provided for</w:t>
      </w:r>
      <w:r w:rsidRPr="007D45AA">
        <w:rPr>
          <w:noProof/>
        </w:rPr>
        <w:t xml:space="preserve">. </w:t>
      </w:r>
      <w:r w:rsidR="009927DE" w:rsidRPr="007D45AA">
        <w:rPr>
          <w:noProof/>
        </w:rPr>
        <w:t xml:space="preserve">Consequently, </w:t>
      </w:r>
      <w:r w:rsidR="00205F14">
        <w:rPr>
          <w:noProof/>
        </w:rPr>
        <w:t>this</w:t>
      </w:r>
      <w:r w:rsidR="00205F14" w:rsidRPr="007D45AA">
        <w:rPr>
          <w:noProof/>
        </w:rPr>
        <w:t xml:space="preserve"> </w:t>
      </w:r>
      <w:r w:rsidR="009927DE" w:rsidRPr="007D45AA">
        <w:rPr>
          <w:noProof/>
        </w:rPr>
        <w:t xml:space="preserve">will lead to a minor adaptation of the European Transport Corridors alignment. </w:t>
      </w:r>
      <w:r w:rsidR="00A6243A" w:rsidRPr="007D45AA">
        <w:rPr>
          <w:noProof/>
        </w:rPr>
        <w:t xml:space="preserve">These changes imply </w:t>
      </w:r>
      <w:r w:rsidR="00205F14">
        <w:rPr>
          <w:noProof/>
        </w:rPr>
        <w:t>amendment</w:t>
      </w:r>
      <w:r w:rsidR="00A6243A" w:rsidRPr="007D45AA">
        <w:rPr>
          <w:noProof/>
        </w:rPr>
        <w:t xml:space="preserve"> of Annex</w:t>
      </w:r>
      <w:r w:rsidR="001B5672" w:rsidRPr="007D45AA">
        <w:rPr>
          <w:noProof/>
        </w:rPr>
        <w:t>es</w:t>
      </w:r>
      <w:r w:rsidR="00A6243A" w:rsidRPr="007D45AA">
        <w:rPr>
          <w:noProof/>
        </w:rPr>
        <w:t xml:space="preserve"> </w:t>
      </w:r>
      <w:r w:rsidR="00595253" w:rsidRPr="007D45AA">
        <w:rPr>
          <w:noProof/>
        </w:rPr>
        <w:t>I</w:t>
      </w:r>
      <w:r w:rsidR="001B5672" w:rsidRPr="007D45AA">
        <w:rPr>
          <w:noProof/>
        </w:rPr>
        <w:t xml:space="preserve"> and III</w:t>
      </w:r>
      <w:r w:rsidR="00A6243A" w:rsidRPr="007D45AA">
        <w:rPr>
          <w:noProof/>
        </w:rPr>
        <w:t xml:space="preserve">. </w:t>
      </w:r>
    </w:p>
    <w:p w:rsidR="00606AFA" w:rsidRPr="007D45AA" w:rsidRDefault="00606AFA" w:rsidP="00BE27E2">
      <w:pPr>
        <w:pStyle w:val="Bullet0"/>
        <w:rPr>
          <w:noProof/>
        </w:rPr>
      </w:pPr>
      <w:r w:rsidRPr="007D45AA">
        <w:rPr>
          <w:noProof/>
        </w:rPr>
        <w:t>Further to the adoption of modified indicative maps of the TEN-T network in Ukraine (</w:t>
      </w:r>
      <w:r w:rsidR="00EB1AD8" w:rsidRPr="007D45AA">
        <w:rPr>
          <w:noProof/>
        </w:rPr>
        <w:t>COM(2022)</w:t>
      </w:r>
      <w:r w:rsidR="00205F14">
        <w:rPr>
          <w:noProof/>
        </w:rPr>
        <w:t>5056 final</w:t>
      </w:r>
      <w:r w:rsidRPr="007D45AA">
        <w:rPr>
          <w:noProof/>
        </w:rPr>
        <w:t xml:space="preserve">), it is proposed to replace the </w:t>
      </w:r>
      <w:r w:rsidR="001B5672" w:rsidRPr="007D45AA">
        <w:rPr>
          <w:noProof/>
        </w:rPr>
        <w:t xml:space="preserve">related </w:t>
      </w:r>
      <w:r w:rsidRPr="007D45AA">
        <w:rPr>
          <w:noProof/>
        </w:rPr>
        <w:t>maps</w:t>
      </w:r>
      <w:r w:rsidR="001B5672" w:rsidRPr="007D45AA">
        <w:rPr>
          <w:noProof/>
        </w:rPr>
        <w:t xml:space="preserve"> in </w:t>
      </w:r>
      <w:r w:rsidRPr="007D45AA">
        <w:rPr>
          <w:noProof/>
        </w:rPr>
        <w:t xml:space="preserve">Annex IV. </w:t>
      </w:r>
    </w:p>
    <w:p w:rsidR="00EB39B9" w:rsidRPr="007D45AA" w:rsidRDefault="00606AFA" w:rsidP="00BE27E2">
      <w:pPr>
        <w:pStyle w:val="Bullet0"/>
        <w:rPr>
          <w:noProof/>
        </w:rPr>
      </w:pPr>
      <w:r w:rsidRPr="007D45AA">
        <w:rPr>
          <w:noProof/>
        </w:rPr>
        <w:t xml:space="preserve">Finally, several </w:t>
      </w:r>
      <w:r w:rsidR="00BD3571" w:rsidRPr="007D45AA">
        <w:rPr>
          <w:noProof/>
        </w:rPr>
        <w:t>Member States</w:t>
      </w:r>
      <w:r w:rsidRPr="007D45AA">
        <w:rPr>
          <w:noProof/>
        </w:rPr>
        <w:t xml:space="preserve"> </w:t>
      </w:r>
      <w:r w:rsidR="00205F14">
        <w:rPr>
          <w:noProof/>
        </w:rPr>
        <w:t>have</w:t>
      </w:r>
      <w:r w:rsidRPr="007D45AA">
        <w:rPr>
          <w:noProof/>
        </w:rPr>
        <w:t xml:space="preserve"> a railway network with a different nominal track gauge than the European standard</w:t>
      </w:r>
      <w:r w:rsidR="004F06F6">
        <w:rPr>
          <w:noProof/>
        </w:rPr>
        <w:t xml:space="preserve"> nominal</w:t>
      </w:r>
      <w:r w:rsidRPr="007D45AA">
        <w:rPr>
          <w:noProof/>
        </w:rPr>
        <w:t xml:space="preserve"> </w:t>
      </w:r>
      <w:r w:rsidR="00110C36">
        <w:rPr>
          <w:noProof/>
        </w:rPr>
        <w:t xml:space="preserve">track </w:t>
      </w:r>
      <w:r w:rsidRPr="007D45AA">
        <w:rPr>
          <w:noProof/>
        </w:rPr>
        <w:t>gauge of 1</w:t>
      </w:r>
      <w:r w:rsidR="00205F14">
        <w:rPr>
          <w:noProof/>
        </w:rPr>
        <w:t xml:space="preserve"> </w:t>
      </w:r>
      <w:r w:rsidRPr="007D45AA">
        <w:rPr>
          <w:noProof/>
        </w:rPr>
        <w:t>435 mm. Th</w:t>
      </w:r>
      <w:r w:rsidR="00205F14">
        <w:rPr>
          <w:noProof/>
        </w:rPr>
        <w:t>e countries concerned are</w:t>
      </w:r>
      <w:r w:rsidRPr="007D45AA">
        <w:rPr>
          <w:noProof/>
        </w:rPr>
        <w:t xml:space="preserve"> Ireland (1</w:t>
      </w:r>
      <w:r w:rsidR="00205F14">
        <w:rPr>
          <w:noProof/>
        </w:rPr>
        <w:t xml:space="preserve"> </w:t>
      </w:r>
      <w:r w:rsidRPr="007D45AA">
        <w:rPr>
          <w:noProof/>
        </w:rPr>
        <w:t>600 mm gauge), Finland (1</w:t>
      </w:r>
      <w:r w:rsidR="00205F14">
        <w:rPr>
          <w:noProof/>
        </w:rPr>
        <w:t xml:space="preserve"> </w:t>
      </w:r>
      <w:r w:rsidRPr="007D45AA">
        <w:rPr>
          <w:noProof/>
        </w:rPr>
        <w:t>524 mm gauge), Estonia, Latvia and Lithuania (1</w:t>
      </w:r>
      <w:r w:rsidR="00205F14">
        <w:rPr>
          <w:noProof/>
        </w:rPr>
        <w:t xml:space="preserve"> </w:t>
      </w:r>
      <w:r w:rsidRPr="007D45AA">
        <w:rPr>
          <w:noProof/>
        </w:rPr>
        <w:t>520 mm gauge) and Portugal and Spain (1</w:t>
      </w:r>
      <w:r w:rsidR="00205F14">
        <w:rPr>
          <w:noProof/>
        </w:rPr>
        <w:t xml:space="preserve"> </w:t>
      </w:r>
      <w:r w:rsidRPr="007D45AA">
        <w:rPr>
          <w:noProof/>
        </w:rPr>
        <w:t xml:space="preserve">668 mm gauge). Such differences in railway track gauge considerably </w:t>
      </w:r>
      <w:r w:rsidR="00205F14" w:rsidRPr="007D45AA">
        <w:rPr>
          <w:noProof/>
        </w:rPr>
        <w:t xml:space="preserve">restrict </w:t>
      </w:r>
      <w:r w:rsidRPr="007D45AA">
        <w:rPr>
          <w:noProof/>
        </w:rPr>
        <w:t>rail interoperability across the</w:t>
      </w:r>
      <w:r w:rsidR="00205F14">
        <w:rPr>
          <w:noProof/>
        </w:rPr>
        <w:t xml:space="preserve"> European</w:t>
      </w:r>
      <w:r w:rsidRPr="007D45AA">
        <w:rPr>
          <w:noProof/>
        </w:rPr>
        <w:t xml:space="preserve"> Union</w:t>
      </w:r>
      <w:r w:rsidR="002F7A1F" w:rsidRPr="007D45AA">
        <w:rPr>
          <w:noProof/>
        </w:rPr>
        <w:t xml:space="preserve"> as has been demonstrated by the current crisis in Ukraine and its problems in exporting grains by rail due to its different track gauge</w:t>
      </w:r>
      <w:r w:rsidRPr="007D45AA">
        <w:rPr>
          <w:noProof/>
        </w:rPr>
        <w:t>. It is therefore proposed</w:t>
      </w:r>
      <w:r w:rsidR="00595253" w:rsidRPr="007D45AA">
        <w:rPr>
          <w:noProof/>
        </w:rPr>
        <w:t xml:space="preserve">, for all Member States with a land </w:t>
      </w:r>
      <w:r w:rsidR="00D729A3" w:rsidRPr="007D45AA">
        <w:rPr>
          <w:noProof/>
        </w:rPr>
        <w:t xml:space="preserve">rail </w:t>
      </w:r>
      <w:r w:rsidR="00595253" w:rsidRPr="007D45AA">
        <w:rPr>
          <w:noProof/>
        </w:rPr>
        <w:t xml:space="preserve">connection with other Member States, </w:t>
      </w:r>
      <w:r w:rsidRPr="007D45AA">
        <w:rPr>
          <w:noProof/>
        </w:rPr>
        <w:t xml:space="preserve">to include a requirement to develop all new </w:t>
      </w:r>
      <w:r w:rsidR="006D3318" w:rsidRPr="007D45AA">
        <w:rPr>
          <w:noProof/>
        </w:rPr>
        <w:t xml:space="preserve">TEN-T </w:t>
      </w:r>
      <w:r w:rsidRPr="007D45AA">
        <w:rPr>
          <w:noProof/>
        </w:rPr>
        <w:t xml:space="preserve">railway lines with </w:t>
      </w:r>
      <w:r w:rsidR="00BD3571" w:rsidRPr="007D45AA">
        <w:rPr>
          <w:noProof/>
        </w:rPr>
        <w:t xml:space="preserve">a </w:t>
      </w:r>
      <w:r w:rsidR="00D729A3" w:rsidRPr="007D45AA">
        <w:rPr>
          <w:noProof/>
        </w:rPr>
        <w:t>European standard nominal track gauge of 1</w:t>
      </w:r>
      <w:r w:rsidR="00F52445">
        <w:rPr>
          <w:noProof/>
        </w:rPr>
        <w:t xml:space="preserve"> </w:t>
      </w:r>
      <w:r w:rsidR="00D729A3" w:rsidRPr="007D45AA">
        <w:rPr>
          <w:noProof/>
        </w:rPr>
        <w:t>435 mm</w:t>
      </w:r>
      <w:r w:rsidRPr="007D45AA">
        <w:rPr>
          <w:noProof/>
        </w:rPr>
        <w:t xml:space="preserve"> and </w:t>
      </w:r>
      <w:r w:rsidR="00F52445" w:rsidRPr="007D45AA">
        <w:rPr>
          <w:noProof/>
        </w:rPr>
        <w:t xml:space="preserve">also </w:t>
      </w:r>
      <w:r w:rsidRPr="007D45AA">
        <w:rPr>
          <w:noProof/>
        </w:rPr>
        <w:t>to develop a migration plan</w:t>
      </w:r>
      <w:r w:rsidR="006D3318" w:rsidRPr="007D45AA">
        <w:rPr>
          <w:noProof/>
        </w:rPr>
        <w:t xml:space="preserve"> towards </w:t>
      </w:r>
      <w:r w:rsidR="00D729A3" w:rsidRPr="007D45AA">
        <w:rPr>
          <w:noProof/>
        </w:rPr>
        <w:t xml:space="preserve">this European standard </w:t>
      </w:r>
      <w:r w:rsidR="004F06F6">
        <w:rPr>
          <w:noProof/>
        </w:rPr>
        <w:t xml:space="preserve">nominal </w:t>
      </w:r>
      <w:r w:rsidR="00D729A3" w:rsidRPr="007D45AA">
        <w:rPr>
          <w:noProof/>
        </w:rPr>
        <w:t xml:space="preserve">track </w:t>
      </w:r>
      <w:r w:rsidR="006D3318" w:rsidRPr="007D45AA">
        <w:rPr>
          <w:noProof/>
        </w:rPr>
        <w:t>gauge</w:t>
      </w:r>
      <w:r w:rsidRPr="007D45AA">
        <w:rPr>
          <w:noProof/>
        </w:rPr>
        <w:t xml:space="preserve"> for all </w:t>
      </w:r>
      <w:r w:rsidR="006D3318" w:rsidRPr="007D45AA">
        <w:rPr>
          <w:noProof/>
        </w:rPr>
        <w:t xml:space="preserve">existing </w:t>
      </w:r>
      <w:r w:rsidRPr="007D45AA">
        <w:rPr>
          <w:noProof/>
        </w:rPr>
        <w:t xml:space="preserve">lines of the European Transport Corridors. This </w:t>
      </w:r>
      <w:r w:rsidR="00780DC0" w:rsidRPr="007D45AA">
        <w:rPr>
          <w:noProof/>
        </w:rPr>
        <w:t>should</w:t>
      </w:r>
      <w:r w:rsidRPr="007D45AA">
        <w:rPr>
          <w:noProof/>
        </w:rPr>
        <w:t xml:space="preserve"> </w:t>
      </w:r>
      <w:r w:rsidR="00EB39B9" w:rsidRPr="007D45AA">
        <w:rPr>
          <w:noProof/>
        </w:rPr>
        <w:t xml:space="preserve">be reflected in the </w:t>
      </w:r>
      <w:r w:rsidRPr="007D45AA">
        <w:rPr>
          <w:noProof/>
        </w:rPr>
        <w:t xml:space="preserve">infrastructure requirements of the TEN-T, notably in </w:t>
      </w:r>
      <w:r w:rsidR="00F52445">
        <w:rPr>
          <w:noProof/>
        </w:rPr>
        <w:t>S</w:t>
      </w:r>
      <w:r w:rsidRPr="007D45AA">
        <w:rPr>
          <w:noProof/>
        </w:rPr>
        <w:t xml:space="preserve">ection 1 (railway infrastructure) of Chapter III.  </w:t>
      </w:r>
      <w:r w:rsidR="00EB39B9" w:rsidRPr="007D45AA">
        <w:rPr>
          <w:noProof/>
        </w:rPr>
        <w:t xml:space="preserve"> </w:t>
      </w:r>
    </w:p>
    <w:p w:rsidR="002A4278" w:rsidRPr="002D5EE2" w:rsidRDefault="002A4278" w:rsidP="000671EA">
      <w:pPr>
        <w:pStyle w:val="ManualHeading2"/>
        <w:rPr>
          <w:rFonts w:eastAsia="Arial Unicode MS"/>
          <w:noProof/>
          <w:color w:val="000000"/>
          <w:u w:color="000000"/>
          <w:bdr w:val="nil"/>
          <w:lang w:val="en-US" w:eastAsia="en-GB"/>
        </w:rPr>
      </w:pPr>
      <w:r w:rsidRPr="0029266A">
        <w:rPr>
          <w:rFonts w:eastAsia="Arial Unicode MS"/>
          <w:noProof/>
          <w:color w:val="000000"/>
          <w:u w:color="000000"/>
          <w:bdr w:val="nil"/>
          <w:lang w:val="en-US" w:eastAsia="en-GB"/>
        </w:rPr>
        <w:t>•</w:t>
      </w:r>
      <w:r w:rsidRPr="0029266A">
        <w:rPr>
          <w:rFonts w:eastAsia="Arial Unicode MS"/>
          <w:noProof/>
          <w:color w:val="000000"/>
          <w:u w:color="000000"/>
          <w:bdr w:val="nil"/>
          <w:lang w:val="en-US" w:eastAsia="en-GB"/>
        </w:rPr>
        <w:tab/>
      </w:r>
      <w:r w:rsidRPr="00044058">
        <w:rPr>
          <w:rFonts w:eastAsia="Arial Unicode MS"/>
          <w:noProof/>
        </w:rPr>
        <w:t>Consistency with existing policy provisions in the</w:t>
      </w:r>
      <w:r>
        <w:rPr>
          <w:rFonts w:eastAsia="Arial Unicode MS"/>
          <w:noProof/>
        </w:rPr>
        <w:t xml:space="preserve"> </w:t>
      </w:r>
      <w:r w:rsidRPr="002D5EE2">
        <w:rPr>
          <w:rFonts w:eastAsia="Arial Unicode MS"/>
          <w:noProof/>
        </w:rPr>
        <w:t>policy area</w:t>
      </w:r>
    </w:p>
    <w:p w:rsidR="003C400F" w:rsidRDefault="003C400F" w:rsidP="003C400F">
      <w:pPr>
        <w:rPr>
          <w:noProof/>
          <w:lang w:val="en-IE"/>
        </w:rPr>
      </w:pPr>
      <w:r w:rsidRPr="0002296D">
        <w:rPr>
          <w:noProof/>
          <w:lang w:val="en-IE"/>
        </w:rPr>
        <w:t>As</w:t>
      </w:r>
      <w:r w:rsidRPr="006D3318">
        <w:rPr>
          <w:rFonts w:eastAsia="Arial Unicode MS"/>
          <w:noProof/>
        </w:rPr>
        <w:t xml:space="preserve"> </w:t>
      </w:r>
      <w:r w:rsidRPr="0002296D">
        <w:rPr>
          <w:noProof/>
          <w:lang w:val="en-IE"/>
        </w:rPr>
        <w:t xml:space="preserve">the main pillar of EU transport infrastructure policy, the TEN-T Regulation acts as </w:t>
      </w:r>
      <w:r w:rsidR="00F52445">
        <w:rPr>
          <w:noProof/>
          <w:lang w:val="en-IE"/>
        </w:rPr>
        <w:t xml:space="preserve">an </w:t>
      </w:r>
      <w:r w:rsidRPr="0002296D">
        <w:rPr>
          <w:noProof/>
          <w:lang w:val="en-IE"/>
        </w:rPr>
        <w:t xml:space="preserve">enabler </w:t>
      </w:r>
      <w:r w:rsidR="00F52445">
        <w:rPr>
          <w:noProof/>
          <w:lang w:val="en-IE"/>
        </w:rPr>
        <w:t>while</w:t>
      </w:r>
      <w:r w:rsidRPr="0002296D">
        <w:rPr>
          <w:noProof/>
          <w:lang w:val="en-IE"/>
        </w:rPr>
        <w:t xml:space="preserve"> also depend</w:t>
      </w:r>
      <w:r w:rsidR="00F52445">
        <w:rPr>
          <w:noProof/>
          <w:lang w:val="en-IE"/>
        </w:rPr>
        <w:t>ing</w:t>
      </w:r>
      <w:r w:rsidRPr="0002296D">
        <w:rPr>
          <w:noProof/>
          <w:lang w:val="en-IE"/>
        </w:rPr>
        <w:t xml:space="preserve"> on complementary policies. The standards and requirements set in the TEN-T Regulation are directly connected with the relevant objectives and needs in other transport sectors/fields and thus with other more sector-specific </w:t>
      </w:r>
      <w:r w:rsidR="00F52445">
        <w:rPr>
          <w:noProof/>
          <w:lang w:val="en-IE"/>
        </w:rPr>
        <w:t xml:space="preserve">pieces of </w:t>
      </w:r>
      <w:r w:rsidRPr="0002296D">
        <w:rPr>
          <w:noProof/>
          <w:lang w:val="en-IE"/>
        </w:rPr>
        <w:t>legislation. This means, for example, that the TEN-T rail infrastructure – for ensuring seamless cross-border transport and mobility – has to comply with interoperability legislation set in railway policy.</w:t>
      </w:r>
      <w:r>
        <w:rPr>
          <w:noProof/>
          <w:lang w:val="en-IE"/>
        </w:rPr>
        <w:t xml:space="preserve"> As such, the changes brought forward in this present proposal with regard to migrati</w:t>
      </w:r>
      <w:r w:rsidR="00F52445">
        <w:rPr>
          <w:noProof/>
          <w:lang w:val="en-IE"/>
        </w:rPr>
        <w:t>ng</w:t>
      </w:r>
      <w:r>
        <w:rPr>
          <w:noProof/>
          <w:lang w:val="en-IE"/>
        </w:rPr>
        <w:t xml:space="preserve"> to a European standard</w:t>
      </w:r>
      <w:r w:rsidR="004F06F6">
        <w:rPr>
          <w:noProof/>
          <w:lang w:val="en-IE"/>
        </w:rPr>
        <w:t xml:space="preserve"> nominal track</w:t>
      </w:r>
      <w:r>
        <w:rPr>
          <w:noProof/>
          <w:lang w:val="en-IE"/>
        </w:rPr>
        <w:t xml:space="preserve"> gauge are fully consistent with existing rail legislation. </w:t>
      </w:r>
      <w:r w:rsidRPr="0002296D">
        <w:rPr>
          <w:noProof/>
          <w:lang w:val="en-IE"/>
        </w:rPr>
        <w:t xml:space="preserve"> </w:t>
      </w:r>
    </w:p>
    <w:p w:rsidR="003C400F" w:rsidRDefault="003C400F" w:rsidP="0002296D">
      <w:pPr>
        <w:rPr>
          <w:noProof/>
          <w:lang w:val="en-IE"/>
        </w:rPr>
      </w:pPr>
      <w:r>
        <w:rPr>
          <w:noProof/>
          <w:lang w:val="en-IE"/>
        </w:rPr>
        <w:t>As regards the changes in the maps, these are fully in line and consistent with the measures brought forward in the Commission Communication from 12 May 2022 on “Solidarity Lanes” (COM(2022) 217</w:t>
      </w:r>
      <w:r w:rsidR="0074381B">
        <w:rPr>
          <w:noProof/>
          <w:lang w:val="en-IE"/>
        </w:rPr>
        <w:t xml:space="preserve"> </w:t>
      </w:r>
      <w:r>
        <w:rPr>
          <w:noProof/>
          <w:lang w:val="en-IE"/>
        </w:rPr>
        <w:t xml:space="preserve">final). </w:t>
      </w:r>
    </w:p>
    <w:p w:rsidR="002A4278" w:rsidRPr="002D5EE2" w:rsidRDefault="002A4278" w:rsidP="000671EA">
      <w:pPr>
        <w:pStyle w:val="ManualHeading2"/>
        <w:rPr>
          <w:rFonts w:eastAsia="Arial Unicode MS"/>
          <w:noProof/>
        </w:rPr>
      </w:pPr>
      <w:r w:rsidRPr="002D5EE2">
        <w:rPr>
          <w:rFonts w:eastAsia="Arial Unicode MS"/>
          <w:noProof/>
          <w:color w:val="000000"/>
          <w:u w:color="000000"/>
          <w:bdr w:val="nil"/>
          <w:lang w:val="en-US" w:eastAsia="en-GB"/>
        </w:rPr>
        <w:t>•</w:t>
      </w:r>
      <w:r w:rsidRPr="002D5EE2">
        <w:rPr>
          <w:rFonts w:eastAsia="Arial Unicode MS"/>
          <w:noProof/>
          <w:color w:val="000000"/>
          <w:u w:color="000000"/>
          <w:bdr w:val="nil"/>
          <w:lang w:val="en-US" w:eastAsia="en-GB"/>
        </w:rPr>
        <w:tab/>
      </w:r>
      <w:r w:rsidRPr="002D5EE2">
        <w:rPr>
          <w:rFonts w:eastAsia="Arial Unicode MS"/>
          <w:noProof/>
        </w:rPr>
        <w:t>Consistency with other Union policies</w:t>
      </w:r>
    </w:p>
    <w:p w:rsidR="00BD3571" w:rsidRDefault="00BD3571" w:rsidP="00BD3571">
      <w:pPr>
        <w:rPr>
          <w:noProof/>
          <w:lang w:val="en-IE"/>
        </w:rPr>
      </w:pPr>
      <w:r w:rsidRPr="00BD3571">
        <w:rPr>
          <w:noProof/>
          <w:lang w:val="en-IE"/>
        </w:rPr>
        <w:t xml:space="preserve">The present proposal is also consistent with other Union policies, such as sectoral legislation on rail, in particular </w:t>
      </w:r>
      <w:r>
        <w:rPr>
          <w:noProof/>
          <w:lang w:val="en-IE"/>
        </w:rPr>
        <w:t xml:space="preserve">the following two Regulations: </w:t>
      </w:r>
    </w:p>
    <w:p w:rsidR="00BD3571" w:rsidRDefault="000007AD" w:rsidP="00BD3571">
      <w:pPr>
        <w:rPr>
          <w:noProof/>
          <w:lang w:val="en-IE"/>
        </w:rPr>
      </w:pPr>
      <w:r w:rsidRPr="00BD3571">
        <w:rPr>
          <w:noProof/>
          <w:lang w:val="en-IE"/>
        </w:rPr>
        <w:t xml:space="preserve">Commission Regulation (EU) No 1299/2014 of 18 November 2014 on the technical specifications for interoperability relating to the ‘infrastructure’ subsystem of the rail system in the European Union </w:t>
      </w:r>
      <w:r w:rsidR="00BD3571">
        <w:rPr>
          <w:noProof/>
          <w:lang w:val="en-IE"/>
        </w:rPr>
        <w:t xml:space="preserve">which </w:t>
      </w:r>
      <w:r w:rsidRPr="00BD3571">
        <w:rPr>
          <w:noProof/>
          <w:lang w:val="en-IE"/>
        </w:rPr>
        <w:t>applies on different type</w:t>
      </w:r>
      <w:r w:rsidR="00F52445">
        <w:rPr>
          <w:noProof/>
          <w:lang w:val="en-IE"/>
        </w:rPr>
        <w:t>s</w:t>
      </w:r>
      <w:r w:rsidRPr="00BD3571">
        <w:rPr>
          <w:noProof/>
          <w:lang w:val="en-IE"/>
        </w:rPr>
        <w:t xml:space="preserve"> of track gauges</w:t>
      </w:r>
      <w:r w:rsidR="00BD3571">
        <w:rPr>
          <w:noProof/>
          <w:lang w:val="en-IE"/>
        </w:rPr>
        <w:t xml:space="preserve">; </w:t>
      </w:r>
    </w:p>
    <w:p w:rsidR="00127C34" w:rsidRDefault="000007AD" w:rsidP="00127C34">
      <w:pPr>
        <w:rPr>
          <w:noProof/>
          <w:lang w:val="en-IE"/>
        </w:rPr>
      </w:pPr>
      <w:r w:rsidRPr="00127C34">
        <w:rPr>
          <w:noProof/>
          <w:lang w:val="en-IE"/>
        </w:rPr>
        <w:t xml:space="preserve">Commission Regulation (EU) 2016/919 of 27 May 2016 on the technical specification for interoperability relating to the ‘control-command and signalling’ subsystems of the rail system </w:t>
      </w:r>
      <w:r w:rsidR="00BD3571" w:rsidRPr="00127C34">
        <w:rPr>
          <w:noProof/>
          <w:lang w:val="en-IE"/>
        </w:rPr>
        <w:t xml:space="preserve">which </w:t>
      </w:r>
      <w:r w:rsidRPr="00127C34">
        <w:rPr>
          <w:noProof/>
          <w:lang w:val="en-IE"/>
        </w:rPr>
        <w:t xml:space="preserve">applies to networks with 1 435 mm, 1 520 mm, 1 524 mm, 1 600 mm and 1 668 mm track gauges. However, it </w:t>
      </w:r>
      <w:r w:rsidR="00F52445">
        <w:rPr>
          <w:noProof/>
          <w:lang w:val="en-IE"/>
        </w:rPr>
        <w:t>will</w:t>
      </w:r>
      <w:r w:rsidR="00F52445" w:rsidRPr="00127C34">
        <w:rPr>
          <w:noProof/>
          <w:lang w:val="en-IE"/>
        </w:rPr>
        <w:t xml:space="preserve"> </w:t>
      </w:r>
      <w:r w:rsidRPr="00127C34">
        <w:rPr>
          <w:noProof/>
          <w:lang w:val="en-IE"/>
        </w:rPr>
        <w:t>not apply to short border</w:t>
      </w:r>
      <w:r w:rsidR="00F52445">
        <w:rPr>
          <w:noProof/>
          <w:lang w:val="en-IE"/>
        </w:rPr>
        <w:t>-</w:t>
      </w:r>
      <w:r w:rsidRPr="00127C34">
        <w:rPr>
          <w:noProof/>
          <w:lang w:val="en-IE"/>
        </w:rPr>
        <w:t>crossing lines with 1 520 mm track gauges that are connected to the network of third countries.</w:t>
      </w:r>
      <w:r w:rsidRPr="00BD3571">
        <w:rPr>
          <w:noProof/>
          <w:lang w:val="en-IE"/>
        </w:rPr>
        <w:t xml:space="preserve"> </w:t>
      </w:r>
    </w:p>
    <w:p w:rsidR="002A4278" w:rsidRPr="002D5EE2" w:rsidRDefault="002A4278" w:rsidP="000671EA">
      <w:pPr>
        <w:pStyle w:val="ManualHeading1"/>
        <w:rPr>
          <w:noProof/>
        </w:rPr>
      </w:pPr>
      <w:r w:rsidRPr="002D5EE2">
        <w:rPr>
          <w:noProof/>
        </w:rPr>
        <w:t>2.</w:t>
      </w:r>
      <w:r w:rsidRPr="002D5EE2">
        <w:rPr>
          <w:noProof/>
        </w:rPr>
        <w:tab/>
        <w:t>LEGAL BASIS, SUBSIDIARITY AND PROPORTIONALITY</w:t>
      </w:r>
    </w:p>
    <w:p w:rsidR="002A4278" w:rsidRPr="002D5EE2" w:rsidRDefault="002A4278" w:rsidP="000671EA">
      <w:pPr>
        <w:pStyle w:val="ManualHeading2"/>
        <w:rPr>
          <w:rFonts w:eastAsia="Arial Unicode MS"/>
          <w:noProof/>
          <w:u w:color="000000"/>
          <w:bdr w:val="nil"/>
          <w:lang w:val="en-US" w:eastAsia="en-GB"/>
        </w:rPr>
      </w:pPr>
      <w:r w:rsidRPr="002D5EE2">
        <w:rPr>
          <w:rFonts w:eastAsia="Arial Unicode MS"/>
          <w:noProof/>
          <w:u w:color="000000"/>
          <w:bdr w:val="nil"/>
          <w:lang w:val="en-US" w:eastAsia="en-GB"/>
        </w:rPr>
        <w:t>•</w:t>
      </w:r>
      <w:r w:rsidRPr="002D5EE2">
        <w:rPr>
          <w:rFonts w:eastAsia="Arial Unicode MS"/>
          <w:noProof/>
          <w:u w:color="000000"/>
          <w:bdr w:val="nil"/>
          <w:lang w:val="en-US" w:eastAsia="en-GB"/>
        </w:rPr>
        <w:tab/>
        <w:t>Legal basis</w:t>
      </w:r>
    </w:p>
    <w:p w:rsidR="002A4278" w:rsidRPr="00CA15FC" w:rsidRDefault="00CA15FC" w:rsidP="000671EA">
      <w:pPr>
        <w:pBdr>
          <w:top w:val="nil"/>
          <w:left w:val="nil"/>
          <w:bottom w:val="nil"/>
          <w:right w:val="nil"/>
          <w:between w:val="nil"/>
          <w:bar w:val="nil"/>
        </w:pBdr>
        <w:spacing w:before="0" w:after="240"/>
        <w:rPr>
          <w:noProof/>
          <w:lang w:val="en-IE"/>
        </w:rPr>
      </w:pPr>
      <w:r w:rsidRPr="00CA15FC">
        <w:rPr>
          <w:noProof/>
          <w:lang w:val="en-IE"/>
        </w:rPr>
        <w:t>The legal basis for the proposed amendments of the legislative proposal for a revised TEN-T Regulation (</w:t>
      </w:r>
      <w:r>
        <w:rPr>
          <w:noProof/>
          <w:lang w:val="en-IE"/>
        </w:rPr>
        <w:t xml:space="preserve">COM(2021) </w:t>
      </w:r>
      <w:r w:rsidRPr="002F71DB">
        <w:rPr>
          <w:noProof/>
          <w:lang w:val="en-IE"/>
        </w:rPr>
        <w:t>812 final</w:t>
      </w:r>
      <w:r>
        <w:rPr>
          <w:noProof/>
          <w:lang w:val="en-IE"/>
        </w:rPr>
        <w:t xml:space="preserve">) is the Treaty on the Functioning of the European Union (TFEU) (Articles 170-172) stipulating the establishment and development of trans-European networks in the area of transport, telecommunications and energy infrastructures. </w:t>
      </w:r>
    </w:p>
    <w:p w:rsidR="002A4278" w:rsidRPr="002D5EE2" w:rsidRDefault="002A4278" w:rsidP="000671EA">
      <w:pPr>
        <w:pStyle w:val="ManualHeading2"/>
        <w:rPr>
          <w:rFonts w:eastAsia="Arial Unicode MS"/>
          <w:noProof/>
          <w:u w:color="000000"/>
          <w:bdr w:val="nil"/>
          <w:lang w:val="en-US" w:eastAsia="en-GB"/>
        </w:rPr>
      </w:pPr>
      <w:r w:rsidRPr="002D5EE2">
        <w:rPr>
          <w:rFonts w:eastAsia="Arial Unicode MS"/>
          <w:noProof/>
          <w:u w:color="000000"/>
          <w:bdr w:val="nil"/>
          <w:lang w:val="en-US" w:eastAsia="en-GB"/>
        </w:rPr>
        <w:t>•</w:t>
      </w:r>
      <w:r w:rsidRPr="002D5EE2">
        <w:rPr>
          <w:rFonts w:eastAsia="Arial Unicode MS"/>
          <w:noProof/>
          <w:u w:color="000000"/>
          <w:bdr w:val="nil"/>
          <w:lang w:val="en-US" w:eastAsia="en-GB"/>
        </w:rPr>
        <w:tab/>
        <w:t xml:space="preserve">Subsidiarity (for non-exclusive competence) </w:t>
      </w:r>
    </w:p>
    <w:p w:rsidR="00CA15FC" w:rsidRDefault="00F52445" w:rsidP="00BD23A3">
      <w:pPr>
        <w:rPr>
          <w:rFonts w:eastAsia="Times New Roman"/>
          <w:noProof/>
          <w:szCs w:val="24"/>
          <w:lang w:val="en-IE" w:eastAsia="fr-BE"/>
        </w:rPr>
      </w:pPr>
      <w:r>
        <w:rPr>
          <w:noProof/>
        </w:rPr>
        <w:t>Under t</w:t>
      </w:r>
      <w:r w:rsidR="00CA15FC" w:rsidRPr="00552C08">
        <w:rPr>
          <w:noProof/>
        </w:rPr>
        <w:t>he TFEU</w:t>
      </w:r>
      <w:r>
        <w:rPr>
          <w:noProof/>
        </w:rPr>
        <w:t xml:space="preserve"> the purpose of</w:t>
      </w:r>
      <w:r w:rsidR="00CA15FC" w:rsidRPr="00552C08">
        <w:rPr>
          <w:noProof/>
        </w:rPr>
        <w:t xml:space="preserve"> the trans-European networks </w:t>
      </w:r>
      <w:r>
        <w:rPr>
          <w:noProof/>
        </w:rPr>
        <w:t>is to</w:t>
      </w:r>
      <w:r w:rsidRPr="00552C08">
        <w:rPr>
          <w:noProof/>
        </w:rPr>
        <w:t xml:space="preserve"> </w:t>
      </w:r>
      <w:r w:rsidR="00CA15FC" w:rsidRPr="00552C08">
        <w:rPr>
          <w:noProof/>
        </w:rPr>
        <w:t>enable citizens of the Union, economic operators and regional communities to derive full benefit from an area without internal frontiers. The</w:t>
      </w:r>
      <w:r>
        <w:rPr>
          <w:noProof/>
        </w:rPr>
        <w:t xml:space="preserve"> networks will</w:t>
      </w:r>
      <w:r w:rsidR="00CA15FC" w:rsidRPr="00552C08">
        <w:rPr>
          <w:noProof/>
        </w:rPr>
        <w:t xml:space="preserve"> also take account of the need to strengthen </w:t>
      </w:r>
      <w:r>
        <w:rPr>
          <w:noProof/>
        </w:rPr>
        <w:t xml:space="preserve">the </w:t>
      </w:r>
      <w:r w:rsidR="00CA15FC" w:rsidRPr="00552C08">
        <w:rPr>
          <w:noProof/>
        </w:rPr>
        <w:t>economic, social and territorial cohesion of the Union and to promote its overall harmonious development</w:t>
      </w:r>
      <w:r w:rsidR="00CA15FC" w:rsidRPr="00D955D4">
        <w:rPr>
          <w:rFonts w:eastAsia="Times New Roman"/>
          <w:noProof/>
          <w:szCs w:val="24"/>
          <w:lang w:val="en-IE" w:eastAsia="fr-BE"/>
        </w:rPr>
        <w:t>.</w:t>
      </w:r>
      <w:r w:rsidR="00CA15FC" w:rsidRPr="00D955D4">
        <w:rPr>
          <w:rFonts w:eastAsia="Times New Roman"/>
          <w:noProof/>
          <w:szCs w:val="20"/>
          <w:lang w:val="en-IE" w:eastAsia="fr-BE"/>
        </w:rPr>
        <w:t xml:space="preserve"> </w:t>
      </w:r>
      <w:r w:rsidR="00CA15FC" w:rsidRPr="00D955D4">
        <w:rPr>
          <w:rFonts w:eastAsia="Times New Roman"/>
          <w:noProof/>
          <w:szCs w:val="24"/>
          <w:lang w:val="en-IE" w:eastAsia="fr-BE"/>
        </w:rPr>
        <w:t xml:space="preserve">TEN-T policy is thereby, by its nature, a policy that extends beyond Member States borders since it focusses on a single European network scheme across borders. </w:t>
      </w:r>
      <w:r>
        <w:rPr>
          <w:rFonts w:eastAsia="Times New Roman"/>
          <w:noProof/>
          <w:szCs w:val="24"/>
          <w:lang w:val="en-IE" w:eastAsia="fr-BE"/>
        </w:rPr>
        <w:t>A</w:t>
      </w:r>
      <w:r w:rsidR="00CA15FC" w:rsidRPr="00D955D4">
        <w:rPr>
          <w:rFonts w:eastAsia="Times New Roman"/>
          <w:noProof/>
          <w:szCs w:val="24"/>
          <w:lang w:val="en-IE" w:eastAsia="fr-BE"/>
        </w:rPr>
        <w:t xml:space="preserve"> European</w:t>
      </w:r>
      <w:r>
        <w:rPr>
          <w:rFonts w:eastAsia="Times New Roman"/>
          <w:noProof/>
          <w:szCs w:val="24"/>
          <w:lang w:val="en-IE" w:eastAsia="fr-BE"/>
        </w:rPr>
        <w:t>-</w:t>
      </w:r>
      <w:r w:rsidR="00CA15FC" w:rsidRPr="00D955D4">
        <w:rPr>
          <w:rFonts w:eastAsia="Times New Roman"/>
          <w:noProof/>
          <w:szCs w:val="24"/>
          <w:lang w:val="en-IE" w:eastAsia="fr-BE"/>
        </w:rPr>
        <w:t xml:space="preserve">wide network </w:t>
      </w:r>
      <w:r>
        <w:rPr>
          <w:rFonts w:eastAsia="Times New Roman"/>
          <w:noProof/>
          <w:szCs w:val="24"/>
          <w:lang w:val="en-IE" w:eastAsia="fr-BE"/>
        </w:rPr>
        <w:t xml:space="preserve">of this kind </w:t>
      </w:r>
      <w:r w:rsidR="00CA15FC" w:rsidRPr="00D955D4">
        <w:rPr>
          <w:rFonts w:eastAsia="Times New Roman"/>
          <w:noProof/>
          <w:szCs w:val="24"/>
          <w:lang w:val="en-IE" w:eastAsia="fr-BE"/>
        </w:rPr>
        <w:t xml:space="preserve">can obviously not be established by one Member State alone. </w:t>
      </w:r>
    </w:p>
    <w:p w:rsidR="00BD23A3" w:rsidRDefault="00BD23A3" w:rsidP="00BD23A3">
      <w:pPr>
        <w:rPr>
          <w:noProof/>
        </w:rPr>
      </w:pPr>
      <w:r>
        <w:rPr>
          <w:rFonts w:eastAsia="Times New Roman"/>
          <w:noProof/>
          <w:szCs w:val="24"/>
          <w:lang w:val="en-IE" w:eastAsia="fr-BE"/>
        </w:rPr>
        <w:t xml:space="preserve">Similarly, a better connection of the Union’s transport network with neighbouring </w:t>
      </w:r>
      <w:r w:rsidR="00F52445">
        <w:rPr>
          <w:rFonts w:eastAsia="Times New Roman"/>
          <w:noProof/>
          <w:szCs w:val="24"/>
          <w:lang w:val="en-IE" w:eastAsia="fr-BE"/>
        </w:rPr>
        <w:t xml:space="preserve">third </w:t>
      </w:r>
      <w:r>
        <w:rPr>
          <w:rFonts w:eastAsia="Times New Roman"/>
          <w:noProof/>
          <w:szCs w:val="24"/>
          <w:lang w:val="en-IE" w:eastAsia="fr-BE"/>
        </w:rPr>
        <w:t xml:space="preserve">countries such as Ukraine and </w:t>
      </w:r>
      <w:r w:rsidR="00726502">
        <w:rPr>
          <w:rFonts w:eastAsia="Times New Roman"/>
          <w:noProof/>
          <w:szCs w:val="24"/>
          <w:lang w:val="en-IE" w:eastAsia="fr-BE"/>
        </w:rPr>
        <w:t xml:space="preserve">the Republic of </w:t>
      </w:r>
      <w:r>
        <w:rPr>
          <w:rFonts w:eastAsia="Times New Roman"/>
          <w:noProof/>
          <w:szCs w:val="24"/>
          <w:lang w:val="en-IE" w:eastAsia="fr-BE"/>
        </w:rPr>
        <w:t xml:space="preserve">Moldova is more effective if implemented at Union level and not individually at national level. </w:t>
      </w:r>
      <w:r w:rsidR="00E67865">
        <w:rPr>
          <w:rFonts w:eastAsia="Times New Roman"/>
          <w:noProof/>
          <w:szCs w:val="24"/>
          <w:lang w:val="en-IE" w:eastAsia="fr-BE"/>
        </w:rPr>
        <w:t>Indeed,</w:t>
      </w:r>
      <w:r w:rsidR="00A76B04">
        <w:rPr>
          <w:rFonts w:eastAsia="Times New Roman"/>
          <w:noProof/>
          <w:szCs w:val="24"/>
          <w:lang w:val="en-IE" w:eastAsia="fr-BE"/>
        </w:rPr>
        <w:t xml:space="preserve"> also the </w:t>
      </w:r>
      <w:r w:rsidR="00E67865">
        <w:rPr>
          <w:rFonts w:eastAsia="Times New Roman"/>
          <w:noProof/>
          <w:szCs w:val="24"/>
          <w:lang w:val="en-IE" w:eastAsia="fr-BE"/>
        </w:rPr>
        <w:t xml:space="preserve">evaluation of the Regulation (EU) 1315/2013 on guidelines for the development of the trans-European transport network </w:t>
      </w:r>
      <w:r w:rsidR="00E67865" w:rsidRPr="00CC688C">
        <w:rPr>
          <w:rFonts w:eastAsia="Times New Roman"/>
          <w:noProof/>
          <w:szCs w:val="24"/>
          <w:lang w:val="en-IE" w:eastAsia="fr-BE"/>
        </w:rPr>
        <w:t>(SWD(2021)</w:t>
      </w:r>
      <w:r w:rsidR="0074381B">
        <w:rPr>
          <w:rFonts w:eastAsia="Times New Roman"/>
          <w:noProof/>
          <w:szCs w:val="24"/>
          <w:lang w:val="en-IE" w:eastAsia="fr-BE"/>
        </w:rPr>
        <w:t xml:space="preserve"> </w:t>
      </w:r>
      <w:r w:rsidR="00E67865" w:rsidRPr="00CC688C">
        <w:rPr>
          <w:rFonts w:eastAsia="Times New Roman"/>
          <w:noProof/>
          <w:szCs w:val="24"/>
          <w:lang w:val="en-IE" w:eastAsia="fr-BE"/>
        </w:rPr>
        <w:t>117</w:t>
      </w:r>
      <w:r w:rsidR="0074381B">
        <w:rPr>
          <w:rFonts w:eastAsia="Times New Roman"/>
          <w:noProof/>
          <w:szCs w:val="24"/>
          <w:lang w:val="en-IE" w:eastAsia="fr-BE"/>
        </w:rPr>
        <w:t xml:space="preserve"> </w:t>
      </w:r>
      <w:r w:rsidR="00E67865" w:rsidRPr="00CC688C">
        <w:rPr>
          <w:rFonts w:eastAsia="Times New Roman"/>
          <w:noProof/>
          <w:szCs w:val="24"/>
          <w:lang w:val="en-IE" w:eastAsia="fr-BE"/>
        </w:rPr>
        <w:t>final)</w:t>
      </w:r>
      <w:r w:rsidR="00E67865" w:rsidRPr="009E1C36">
        <w:rPr>
          <w:rStyle w:val="FootnoteReference"/>
          <w:noProof/>
        </w:rPr>
        <w:footnoteReference w:id="7"/>
      </w:r>
      <w:r w:rsidR="00E67865">
        <w:rPr>
          <w:rFonts w:eastAsia="Times New Roman"/>
          <w:noProof/>
          <w:szCs w:val="24"/>
          <w:lang w:val="en-IE" w:eastAsia="fr-BE"/>
        </w:rPr>
        <w:t xml:space="preserve"> </w:t>
      </w:r>
      <w:r w:rsidR="00A76B04">
        <w:rPr>
          <w:rFonts w:eastAsia="Times New Roman"/>
          <w:noProof/>
          <w:szCs w:val="24"/>
          <w:lang w:val="en-IE" w:eastAsia="fr-BE"/>
        </w:rPr>
        <w:t>concluded that T</w:t>
      </w:r>
      <w:r w:rsidR="00A76B04">
        <w:rPr>
          <w:noProof/>
        </w:rPr>
        <w:t>EN-T cooperation with third countries, as one of the areas which were newly introduced in 2013, generated significant added value which would have been unachievable through Member States acti</w:t>
      </w:r>
      <w:r w:rsidR="00F52445">
        <w:rPr>
          <w:noProof/>
        </w:rPr>
        <w:t>ng</w:t>
      </w:r>
      <w:r w:rsidR="00A76B04">
        <w:rPr>
          <w:noProof/>
        </w:rPr>
        <w:t xml:space="preserve"> alone.</w:t>
      </w:r>
      <w:r w:rsidR="00E67865">
        <w:rPr>
          <w:noProof/>
        </w:rPr>
        <w:t xml:space="preserve"> </w:t>
      </w:r>
    </w:p>
    <w:p w:rsidR="00E67865" w:rsidRDefault="00E67865" w:rsidP="00BD23A3">
      <w:pPr>
        <w:rPr>
          <w:rFonts w:eastAsia="Times New Roman"/>
          <w:noProof/>
          <w:szCs w:val="24"/>
          <w:lang w:val="en-IE" w:eastAsia="fr-BE"/>
        </w:rPr>
      </w:pPr>
      <w:r>
        <w:rPr>
          <w:rFonts w:eastAsia="Times New Roman"/>
          <w:noProof/>
          <w:szCs w:val="24"/>
          <w:lang w:val="en-IE" w:eastAsia="fr-BE"/>
        </w:rPr>
        <w:t xml:space="preserve">The same goes for the Union’s response to Russia’s war of aggression </w:t>
      </w:r>
      <w:r w:rsidR="00536620">
        <w:rPr>
          <w:rFonts w:eastAsia="Times New Roman"/>
          <w:noProof/>
          <w:szCs w:val="24"/>
          <w:lang w:val="en-IE" w:eastAsia="fr-BE"/>
        </w:rPr>
        <w:t xml:space="preserve">against </w:t>
      </w:r>
      <w:r>
        <w:rPr>
          <w:rFonts w:eastAsia="Times New Roman"/>
          <w:noProof/>
          <w:szCs w:val="24"/>
          <w:lang w:val="en-IE" w:eastAsia="fr-BE"/>
        </w:rPr>
        <w:t>Ukraine</w:t>
      </w:r>
      <w:r w:rsidR="00F52445">
        <w:rPr>
          <w:rFonts w:eastAsia="Times New Roman"/>
          <w:noProof/>
          <w:szCs w:val="24"/>
          <w:lang w:val="en-IE" w:eastAsia="fr-BE"/>
        </w:rPr>
        <w:t>,</w:t>
      </w:r>
      <w:r>
        <w:rPr>
          <w:rFonts w:eastAsia="Times New Roman"/>
          <w:noProof/>
          <w:szCs w:val="24"/>
          <w:lang w:val="en-IE" w:eastAsia="fr-BE"/>
        </w:rPr>
        <w:t xml:space="preserve"> which </w:t>
      </w:r>
      <w:r w:rsidR="00F52445">
        <w:rPr>
          <w:rFonts w:eastAsia="Times New Roman"/>
          <w:noProof/>
          <w:szCs w:val="24"/>
          <w:lang w:val="en-IE" w:eastAsia="fr-BE"/>
        </w:rPr>
        <w:t>includes</w:t>
      </w:r>
      <w:r>
        <w:rPr>
          <w:rFonts w:eastAsia="Times New Roman"/>
          <w:noProof/>
          <w:szCs w:val="24"/>
          <w:lang w:val="en-IE" w:eastAsia="fr-BE"/>
        </w:rPr>
        <w:t xml:space="preserve"> giving less priority to transport conne</w:t>
      </w:r>
      <w:r w:rsidR="003B137C">
        <w:rPr>
          <w:rFonts w:eastAsia="Times New Roman"/>
          <w:noProof/>
          <w:szCs w:val="24"/>
          <w:lang w:val="en-IE" w:eastAsia="fr-BE"/>
        </w:rPr>
        <w:t xml:space="preserve">ctions with </w:t>
      </w:r>
      <w:r w:rsidR="00595253">
        <w:rPr>
          <w:rFonts w:eastAsia="Times New Roman"/>
          <w:noProof/>
          <w:szCs w:val="24"/>
          <w:lang w:val="en-IE" w:eastAsia="fr-BE"/>
        </w:rPr>
        <w:t>Russia and Belarus</w:t>
      </w:r>
      <w:r w:rsidR="00F52445">
        <w:rPr>
          <w:rFonts w:eastAsia="Times New Roman"/>
          <w:noProof/>
          <w:szCs w:val="24"/>
          <w:lang w:val="en-IE" w:eastAsia="fr-BE"/>
        </w:rPr>
        <w:t>. This also</w:t>
      </w:r>
      <w:r w:rsidR="003B137C">
        <w:rPr>
          <w:rFonts w:eastAsia="Times New Roman"/>
          <w:noProof/>
          <w:szCs w:val="24"/>
          <w:lang w:val="en-IE" w:eastAsia="fr-BE"/>
        </w:rPr>
        <w:t xml:space="preserve"> requires a coordinated approach across the Union. </w:t>
      </w:r>
    </w:p>
    <w:p w:rsidR="002A4278" w:rsidRDefault="002A4278" w:rsidP="000671EA">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Proportionality</w:t>
      </w:r>
    </w:p>
    <w:p w:rsidR="002A4278" w:rsidRDefault="00BD23A3" w:rsidP="00BD23A3">
      <w:pPr>
        <w:rPr>
          <w:rFonts w:eastAsia="Times New Roman"/>
          <w:noProof/>
          <w:szCs w:val="24"/>
          <w:lang w:val="en-IE" w:eastAsia="fr-BE"/>
        </w:rPr>
      </w:pPr>
      <w:r w:rsidRPr="00BD23A3">
        <w:rPr>
          <w:rFonts w:eastAsia="Times New Roman"/>
          <w:noProof/>
          <w:szCs w:val="24"/>
          <w:lang w:val="en-IE" w:eastAsia="fr-BE"/>
        </w:rPr>
        <w:t xml:space="preserve">This amended proposal does not go beyond what is necessary to achieve its objectives. It </w:t>
      </w:r>
      <w:r w:rsidR="00595253">
        <w:rPr>
          <w:rFonts w:eastAsia="Times New Roman"/>
          <w:noProof/>
          <w:szCs w:val="24"/>
          <w:lang w:val="en-IE" w:eastAsia="fr-BE"/>
        </w:rPr>
        <w:t xml:space="preserve">provides for the </w:t>
      </w:r>
      <w:r w:rsidRPr="00BD23A3">
        <w:rPr>
          <w:rFonts w:eastAsia="Times New Roman"/>
          <w:noProof/>
          <w:szCs w:val="24"/>
          <w:lang w:val="en-IE" w:eastAsia="fr-BE"/>
        </w:rPr>
        <w:t>adapt</w:t>
      </w:r>
      <w:r w:rsidR="00F52445">
        <w:rPr>
          <w:rFonts w:eastAsia="Times New Roman"/>
          <w:noProof/>
          <w:szCs w:val="24"/>
          <w:lang w:val="en-IE" w:eastAsia="fr-BE"/>
        </w:rPr>
        <w:t>ation</w:t>
      </w:r>
      <w:r w:rsidRPr="00BD23A3">
        <w:rPr>
          <w:rFonts w:eastAsia="Times New Roman"/>
          <w:noProof/>
          <w:szCs w:val="24"/>
          <w:lang w:val="en-IE" w:eastAsia="fr-BE"/>
        </w:rPr>
        <w:t xml:space="preserve"> of the annexed maps which </w:t>
      </w:r>
      <w:r w:rsidR="00F52445">
        <w:rPr>
          <w:rFonts w:eastAsia="Times New Roman"/>
          <w:noProof/>
          <w:szCs w:val="24"/>
          <w:lang w:val="en-IE" w:eastAsia="fr-BE"/>
        </w:rPr>
        <w:t>set out</w:t>
      </w:r>
      <w:r w:rsidR="00F52445" w:rsidRPr="00BD23A3">
        <w:rPr>
          <w:rFonts w:eastAsia="Times New Roman"/>
          <w:noProof/>
          <w:szCs w:val="24"/>
          <w:lang w:val="en-IE" w:eastAsia="fr-BE"/>
        </w:rPr>
        <w:t xml:space="preserve"> </w:t>
      </w:r>
      <w:r w:rsidRPr="00BD23A3">
        <w:rPr>
          <w:rFonts w:eastAsia="Times New Roman"/>
          <w:noProof/>
          <w:szCs w:val="24"/>
          <w:lang w:val="en-IE" w:eastAsia="fr-BE"/>
        </w:rPr>
        <w:t>the trans-European transport network within the EU</w:t>
      </w:r>
      <w:r w:rsidR="00F52445">
        <w:rPr>
          <w:rFonts w:eastAsia="Times New Roman"/>
          <w:noProof/>
          <w:szCs w:val="24"/>
          <w:lang w:val="en-IE" w:eastAsia="fr-BE"/>
        </w:rPr>
        <w:t>, and also for the adaptation of</w:t>
      </w:r>
      <w:r w:rsidRPr="00BD23A3">
        <w:rPr>
          <w:rFonts w:eastAsia="Times New Roman"/>
          <w:noProof/>
          <w:szCs w:val="24"/>
          <w:lang w:val="en-IE" w:eastAsia="fr-BE"/>
        </w:rPr>
        <w:t xml:space="preserve"> indicative maps in third neighbouring countries. </w:t>
      </w:r>
    </w:p>
    <w:p w:rsidR="000E1F33" w:rsidRDefault="00F52445" w:rsidP="00BD23A3">
      <w:pPr>
        <w:rPr>
          <w:rFonts w:eastAsia="Times New Roman"/>
          <w:noProof/>
          <w:szCs w:val="24"/>
          <w:lang w:val="en-IE" w:eastAsia="fr-BE"/>
        </w:rPr>
      </w:pPr>
      <w:r>
        <w:rPr>
          <w:rFonts w:eastAsia="Times New Roman"/>
          <w:noProof/>
          <w:szCs w:val="24"/>
          <w:lang w:val="en-IE" w:eastAsia="fr-BE"/>
        </w:rPr>
        <w:t>In addition</w:t>
      </w:r>
      <w:r w:rsidR="000E1F33">
        <w:rPr>
          <w:rFonts w:eastAsia="Times New Roman"/>
          <w:noProof/>
          <w:szCs w:val="24"/>
          <w:lang w:val="en-IE" w:eastAsia="fr-BE"/>
        </w:rPr>
        <w:t xml:space="preserve">, it is proposed to oblige Member States to migrate to </w:t>
      </w:r>
      <w:r w:rsidR="00C1643F" w:rsidRPr="007D45AA">
        <w:rPr>
          <w:noProof/>
        </w:rPr>
        <w:t>European standard nominal track gauge of 1</w:t>
      </w:r>
      <w:r>
        <w:rPr>
          <w:noProof/>
        </w:rPr>
        <w:t xml:space="preserve"> </w:t>
      </w:r>
      <w:r w:rsidR="00C1643F" w:rsidRPr="007D45AA">
        <w:rPr>
          <w:noProof/>
        </w:rPr>
        <w:t>435 mm</w:t>
      </w:r>
      <w:r w:rsidR="008B776E">
        <w:rPr>
          <w:noProof/>
        </w:rPr>
        <w:t xml:space="preserve"> </w:t>
      </w:r>
      <w:r w:rsidR="000E1F33">
        <w:rPr>
          <w:rFonts w:eastAsia="Times New Roman"/>
          <w:noProof/>
          <w:szCs w:val="24"/>
          <w:lang w:val="en-IE" w:eastAsia="fr-BE"/>
        </w:rPr>
        <w:t xml:space="preserve">whenever a new railway line is constructed. This obligation already existed, but </w:t>
      </w:r>
      <w:r>
        <w:rPr>
          <w:rFonts w:eastAsia="Times New Roman"/>
          <w:noProof/>
          <w:szCs w:val="24"/>
          <w:lang w:val="en-IE" w:eastAsia="fr-BE"/>
        </w:rPr>
        <w:t>what are known</w:t>
      </w:r>
      <w:r w:rsidR="000E1F33">
        <w:rPr>
          <w:rFonts w:eastAsia="Times New Roman"/>
          <w:noProof/>
          <w:szCs w:val="24"/>
          <w:lang w:val="en-IE" w:eastAsia="fr-BE"/>
        </w:rPr>
        <w:t xml:space="preserve"> isolated networks, i.e. networks with a track gauge different from </w:t>
      </w:r>
      <w:r w:rsidR="00C1643F" w:rsidRPr="007D45AA">
        <w:rPr>
          <w:noProof/>
        </w:rPr>
        <w:t>European standard nominal track gauge of 1</w:t>
      </w:r>
      <w:r w:rsidR="00F27090">
        <w:rPr>
          <w:noProof/>
        </w:rPr>
        <w:t xml:space="preserve"> </w:t>
      </w:r>
      <w:r w:rsidR="00C1643F" w:rsidRPr="007D45AA">
        <w:rPr>
          <w:noProof/>
        </w:rPr>
        <w:t>435 mm</w:t>
      </w:r>
      <w:r w:rsidR="000E1F33">
        <w:rPr>
          <w:rFonts w:eastAsia="Times New Roman"/>
          <w:noProof/>
          <w:szCs w:val="24"/>
          <w:lang w:val="en-IE" w:eastAsia="fr-BE"/>
        </w:rPr>
        <w:t xml:space="preserve">, were exempted from </w:t>
      </w:r>
      <w:r w:rsidR="003B137C">
        <w:rPr>
          <w:rFonts w:eastAsia="Times New Roman"/>
          <w:noProof/>
          <w:szCs w:val="24"/>
          <w:lang w:val="en-IE" w:eastAsia="fr-BE"/>
        </w:rPr>
        <w:t>this requirement</w:t>
      </w:r>
      <w:r w:rsidR="000E1F33">
        <w:rPr>
          <w:rFonts w:eastAsia="Times New Roman"/>
          <w:noProof/>
          <w:szCs w:val="24"/>
          <w:lang w:val="en-IE" w:eastAsia="fr-BE"/>
        </w:rPr>
        <w:t xml:space="preserve">. As </w:t>
      </w:r>
      <w:r w:rsidR="00595253">
        <w:rPr>
          <w:rFonts w:eastAsia="Times New Roman"/>
          <w:noProof/>
          <w:szCs w:val="24"/>
          <w:lang w:val="en-IE" w:eastAsia="fr-BE"/>
        </w:rPr>
        <w:t xml:space="preserve">far as the </w:t>
      </w:r>
      <w:r w:rsidR="000E1F33">
        <w:rPr>
          <w:rFonts w:eastAsia="Times New Roman"/>
          <w:noProof/>
          <w:szCs w:val="24"/>
          <w:lang w:val="en-IE" w:eastAsia="fr-BE"/>
        </w:rPr>
        <w:t xml:space="preserve">requirement </w:t>
      </w:r>
      <w:r w:rsidR="00595253">
        <w:rPr>
          <w:rFonts w:eastAsia="Times New Roman"/>
          <w:noProof/>
          <w:szCs w:val="24"/>
          <w:lang w:val="en-IE" w:eastAsia="fr-BE"/>
        </w:rPr>
        <w:t>for</w:t>
      </w:r>
      <w:r w:rsidR="000E1F33">
        <w:rPr>
          <w:rFonts w:eastAsia="Times New Roman"/>
          <w:noProof/>
          <w:szCs w:val="24"/>
          <w:lang w:val="en-IE" w:eastAsia="fr-BE"/>
        </w:rPr>
        <w:t xml:space="preserve"> sections that are still to be built, </w:t>
      </w:r>
      <w:r w:rsidR="003B137C">
        <w:rPr>
          <w:rFonts w:eastAsia="Times New Roman"/>
          <w:noProof/>
          <w:szCs w:val="24"/>
          <w:lang w:val="en-IE" w:eastAsia="fr-BE"/>
        </w:rPr>
        <w:t>it</w:t>
      </w:r>
      <w:r w:rsidR="000E1F33">
        <w:rPr>
          <w:rFonts w:eastAsia="Times New Roman"/>
          <w:noProof/>
          <w:szCs w:val="24"/>
          <w:lang w:val="en-IE" w:eastAsia="fr-BE"/>
        </w:rPr>
        <w:t xml:space="preserve"> does not </w:t>
      </w:r>
      <w:r w:rsidR="003B137C">
        <w:rPr>
          <w:rFonts w:eastAsia="Times New Roman"/>
          <w:noProof/>
          <w:szCs w:val="24"/>
          <w:lang w:val="en-IE" w:eastAsia="fr-BE"/>
        </w:rPr>
        <w:t>induce</w:t>
      </w:r>
      <w:r w:rsidR="000E1F33">
        <w:rPr>
          <w:rFonts w:eastAsia="Times New Roman"/>
          <w:noProof/>
          <w:szCs w:val="24"/>
          <w:lang w:val="en-IE" w:eastAsia="fr-BE"/>
        </w:rPr>
        <w:t xml:space="preserve"> any additional cost, apart from an analysis and solution of how such new railway lines </w:t>
      </w:r>
      <w:r w:rsidR="00F27090">
        <w:rPr>
          <w:rFonts w:eastAsia="Times New Roman"/>
          <w:noProof/>
          <w:szCs w:val="24"/>
          <w:lang w:val="en-IE" w:eastAsia="fr-BE"/>
        </w:rPr>
        <w:t>with the</w:t>
      </w:r>
      <w:r w:rsidR="000E1F33">
        <w:rPr>
          <w:rFonts w:eastAsia="Times New Roman"/>
          <w:noProof/>
          <w:szCs w:val="24"/>
          <w:lang w:val="en-IE" w:eastAsia="fr-BE"/>
        </w:rPr>
        <w:t xml:space="preserve"> </w:t>
      </w:r>
      <w:r w:rsidR="00C1643F" w:rsidRPr="007D45AA">
        <w:rPr>
          <w:noProof/>
        </w:rPr>
        <w:t>European standard nominal track gauge of 1</w:t>
      </w:r>
      <w:r w:rsidR="00F27090">
        <w:rPr>
          <w:noProof/>
        </w:rPr>
        <w:t xml:space="preserve"> </w:t>
      </w:r>
      <w:r w:rsidR="00C1643F" w:rsidRPr="007D45AA">
        <w:rPr>
          <w:noProof/>
        </w:rPr>
        <w:t>435 mm</w:t>
      </w:r>
      <w:r w:rsidR="000E1F33">
        <w:rPr>
          <w:rFonts w:eastAsia="Times New Roman"/>
          <w:noProof/>
          <w:szCs w:val="24"/>
          <w:lang w:val="en-IE" w:eastAsia="fr-BE"/>
        </w:rPr>
        <w:t xml:space="preserve"> gauge can be connected </w:t>
      </w:r>
      <w:r w:rsidR="00F27090">
        <w:rPr>
          <w:rFonts w:eastAsia="Times New Roman"/>
          <w:noProof/>
          <w:szCs w:val="24"/>
          <w:lang w:val="en-IE" w:eastAsia="fr-BE"/>
        </w:rPr>
        <w:t xml:space="preserve">effectively </w:t>
      </w:r>
      <w:r w:rsidR="000E1F33">
        <w:rPr>
          <w:rFonts w:eastAsia="Times New Roman"/>
          <w:noProof/>
          <w:szCs w:val="24"/>
          <w:lang w:val="en-IE" w:eastAsia="fr-BE"/>
        </w:rPr>
        <w:t xml:space="preserve">to the rest of the national network which might be in </w:t>
      </w:r>
      <w:r w:rsidR="00F27090">
        <w:rPr>
          <w:rFonts w:eastAsia="Times New Roman"/>
          <w:noProof/>
          <w:szCs w:val="24"/>
          <w:lang w:val="en-IE" w:eastAsia="fr-BE"/>
        </w:rPr>
        <w:t xml:space="preserve">a </w:t>
      </w:r>
      <w:r w:rsidR="000E1F33">
        <w:rPr>
          <w:rFonts w:eastAsia="Times New Roman"/>
          <w:noProof/>
          <w:szCs w:val="24"/>
          <w:lang w:val="en-IE" w:eastAsia="fr-BE"/>
        </w:rPr>
        <w:t>different track gauge.</w:t>
      </w:r>
    </w:p>
    <w:p w:rsidR="00595253" w:rsidRDefault="00595253" w:rsidP="00595253">
      <w:pPr>
        <w:rPr>
          <w:rFonts w:eastAsia="Times New Roman"/>
          <w:noProof/>
          <w:szCs w:val="24"/>
          <w:lang w:val="en-IE" w:eastAsia="fr-BE"/>
        </w:rPr>
      </w:pPr>
      <w:r>
        <w:rPr>
          <w:rFonts w:eastAsia="Times New Roman"/>
          <w:noProof/>
          <w:szCs w:val="24"/>
          <w:lang w:val="en-IE" w:eastAsia="fr-BE"/>
        </w:rPr>
        <w:t>The proposal also includes an obligation for Member States to migrate existing railway lines in European Transport Corridors. However</w:t>
      </w:r>
      <w:r w:rsidR="003C400F">
        <w:rPr>
          <w:rFonts w:eastAsia="Times New Roman"/>
          <w:noProof/>
          <w:szCs w:val="24"/>
          <w:lang w:val="en-IE" w:eastAsia="fr-BE"/>
        </w:rPr>
        <w:t>,</w:t>
      </w:r>
      <w:r>
        <w:rPr>
          <w:rFonts w:eastAsia="Times New Roman"/>
          <w:noProof/>
          <w:szCs w:val="24"/>
          <w:lang w:val="en-IE" w:eastAsia="fr-BE"/>
        </w:rPr>
        <w:t xml:space="preserve"> the Member States have a margin of appreciation, first to decide on the timing of such migration and, second to decide </w:t>
      </w:r>
      <w:r w:rsidR="00F27090">
        <w:rPr>
          <w:rFonts w:eastAsia="Times New Roman"/>
          <w:noProof/>
          <w:szCs w:val="24"/>
          <w:lang w:val="en-IE" w:eastAsia="fr-BE"/>
        </w:rPr>
        <w:t xml:space="preserve">if necessary </w:t>
      </w:r>
      <w:r>
        <w:rPr>
          <w:rFonts w:eastAsia="Times New Roman"/>
          <w:noProof/>
          <w:szCs w:val="24"/>
          <w:lang w:val="en-IE" w:eastAsia="fr-BE"/>
        </w:rPr>
        <w:t>that the migration is not justified based on a socio-economic cost</w:t>
      </w:r>
      <w:r w:rsidR="00F27090">
        <w:rPr>
          <w:rFonts w:eastAsia="Times New Roman"/>
          <w:noProof/>
          <w:szCs w:val="24"/>
          <w:lang w:val="en-IE" w:eastAsia="fr-BE"/>
        </w:rPr>
        <w:t>-</w:t>
      </w:r>
      <w:r>
        <w:rPr>
          <w:rFonts w:eastAsia="Times New Roman"/>
          <w:noProof/>
          <w:szCs w:val="24"/>
          <w:lang w:val="en-IE" w:eastAsia="fr-BE"/>
        </w:rPr>
        <w:t xml:space="preserve">benefit analysis for certain lines. </w:t>
      </w:r>
    </w:p>
    <w:p w:rsidR="003C400F" w:rsidRDefault="003C400F" w:rsidP="00595253">
      <w:pPr>
        <w:rPr>
          <w:rFonts w:eastAsia="Times New Roman"/>
          <w:noProof/>
          <w:szCs w:val="24"/>
          <w:lang w:val="en-IE" w:eastAsia="fr-BE"/>
        </w:rPr>
      </w:pPr>
      <w:r>
        <w:rPr>
          <w:rFonts w:eastAsia="Times New Roman"/>
          <w:noProof/>
          <w:szCs w:val="24"/>
          <w:lang w:val="en-IE" w:eastAsia="fr-BE"/>
        </w:rPr>
        <w:t>Finally, this propo</w:t>
      </w:r>
      <w:r w:rsidR="00EB1AD8">
        <w:rPr>
          <w:rFonts w:eastAsia="Times New Roman"/>
          <w:noProof/>
          <w:szCs w:val="24"/>
          <w:lang w:val="en-IE" w:eastAsia="fr-BE"/>
        </w:rPr>
        <w:t xml:space="preserve">sal also includes the downgrading </w:t>
      </w:r>
      <w:r>
        <w:rPr>
          <w:rFonts w:eastAsia="Times New Roman"/>
          <w:noProof/>
          <w:szCs w:val="24"/>
          <w:lang w:val="en-IE" w:eastAsia="fr-BE"/>
        </w:rPr>
        <w:t xml:space="preserve">of the last miles of cross-border sections with Russia and Belarus. </w:t>
      </w:r>
      <w:r w:rsidR="00CE7430">
        <w:rPr>
          <w:rFonts w:eastAsia="Times New Roman"/>
          <w:noProof/>
          <w:szCs w:val="24"/>
          <w:lang w:val="en-IE" w:eastAsia="fr-BE"/>
        </w:rPr>
        <w:t>This downgrading regards only very limited sections in terms of geographical scope (</w:t>
      </w:r>
      <w:r w:rsidR="00F27090">
        <w:rPr>
          <w:rFonts w:eastAsia="Times New Roman"/>
          <w:noProof/>
          <w:szCs w:val="24"/>
          <w:lang w:val="en-IE" w:eastAsia="fr-BE"/>
        </w:rPr>
        <w:t>the “</w:t>
      </w:r>
      <w:r w:rsidR="00CE7430">
        <w:rPr>
          <w:rFonts w:eastAsia="Times New Roman"/>
          <w:noProof/>
          <w:szCs w:val="24"/>
          <w:lang w:val="en-IE" w:eastAsia="fr-BE"/>
        </w:rPr>
        <w:t>last miles</w:t>
      </w:r>
      <w:r w:rsidR="00F27090">
        <w:rPr>
          <w:rFonts w:eastAsia="Times New Roman"/>
          <w:noProof/>
          <w:szCs w:val="24"/>
          <w:lang w:val="en-IE" w:eastAsia="fr-BE"/>
        </w:rPr>
        <w:t>”</w:t>
      </w:r>
      <w:r w:rsidR="00CE7430">
        <w:rPr>
          <w:rFonts w:eastAsia="Times New Roman"/>
          <w:noProof/>
          <w:szCs w:val="24"/>
          <w:lang w:val="en-IE" w:eastAsia="fr-BE"/>
        </w:rPr>
        <w:t xml:space="preserve">). Downgrading does not mean that these road or railway sections are removed from the TEN-T network, but that their last mile to the border will simply have lesser priority of </w:t>
      </w:r>
      <w:r w:rsidR="00F27090">
        <w:rPr>
          <w:rFonts w:eastAsia="Times New Roman"/>
          <w:noProof/>
          <w:szCs w:val="24"/>
          <w:lang w:val="en-IE" w:eastAsia="fr-BE"/>
        </w:rPr>
        <w:t xml:space="preserve">its </w:t>
      </w:r>
      <w:r w:rsidR="00CE7430">
        <w:rPr>
          <w:rFonts w:eastAsia="Times New Roman"/>
          <w:noProof/>
          <w:szCs w:val="24"/>
          <w:lang w:val="en-IE" w:eastAsia="fr-BE"/>
        </w:rPr>
        <w:t xml:space="preserve">implementation </w:t>
      </w:r>
      <w:r w:rsidR="00F27090">
        <w:rPr>
          <w:rFonts w:eastAsia="Times New Roman"/>
          <w:noProof/>
          <w:szCs w:val="24"/>
          <w:lang w:val="en-IE" w:eastAsia="fr-BE"/>
        </w:rPr>
        <w:t>timeline</w:t>
      </w:r>
      <w:r w:rsidR="00CE7430">
        <w:rPr>
          <w:rFonts w:eastAsia="Times New Roman"/>
          <w:noProof/>
          <w:szCs w:val="24"/>
          <w:lang w:val="en-IE" w:eastAsia="fr-BE"/>
        </w:rPr>
        <w:t>, i.e. not obliging Member States to complete them by 2030, but only by 2050. This is fully in line with the national plans and programmes of the concerned Member States as they do not plan to invest funding and financing in these last</w:t>
      </w:r>
      <w:r w:rsidR="00F27090">
        <w:rPr>
          <w:rFonts w:eastAsia="Times New Roman"/>
          <w:noProof/>
          <w:szCs w:val="24"/>
          <w:lang w:val="en-IE" w:eastAsia="fr-BE"/>
        </w:rPr>
        <w:t>-</w:t>
      </w:r>
      <w:r w:rsidR="00CE7430">
        <w:rPr>
          <w:rFonts w:eastAsia="Times New Roman"/>
          <w:noProof/>
          <w:szCs w:val="24"/>
          <w:lang w:val="en-IE" w:eastAsia="fr-BE"/>
        </w:rPr>
        <w:t xml:space="preserve">mile connections </w:t>
      </w:r>
      <w:r w:rsidR="00F27090">
        <w:rPr>
          <w:rFonts w:eastAsia="Times New Roman"/>
          <w:noProof/>
          <w:szCs w:val="24"/>
          <w:lang w:val="en-IE" w:eastAsia="fr-BE"/>
        </w:rPr>
        <w:t>in the</w:t>
      </w:r>
      <w:r w:rsidR="00CE7430">
        <w:rPr>
          <w:rFonts w:eastAsia="Times New Roman"/>
          <w:noProof/>
          <w:szCs w:val="24"/>
          <w:lang w:val="en-IE" w:eastAsia="fr-BE"/>
        </w:rPr>
        <w:t xml:space="preserve"> short and </w:t>
      </w:r>
      <w:r w:rsidR="00F27090">
        <w:rPr>
          <w:rFonts w:eastAsia="Times New Roman"/>
          <w:noProof/>
          <w:szCs w:val="24"/>
          <w:lang w:val="en-IE" w:eastAsia="fr-BE"/>
        </w:rPr>
        <w:t xml:space="preserve">medium </w:t>
      </w:r>
      <w:r w:rsidR="00CE7430">
        <w:rPr>
          <w:rFonts w:eastAsia="Times New Roman"/>
          <w:noProof/>
          <w:szCs w:val="24"/>
          <w:lang w:val="en-IE" w:eastAsia="fr-BE"/>
        </w:rPr>
        <w:t xml:space="preserve">term. </w:t>
      </w:r>
    </w:p>
    <w:p w:rsidR="002A4278" w:rsidRDefault="002A4278" w:rsidP="000671EA">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r>
      <w:r>
        <w:rPr>
          <w:rFonts w:eastAsia="Arial Unicode MS"/>
          <w:noProof/>
          <w:u w:color="000000"/>
          <w:bdr w:val="nil"/>
          <w:lang w:val="en-US" w:eastAsia="en-GB"/>
        </w:rPr>
        <w:t>Choice of the instrument</w:t>
      </w:r>
    </w:p>
    <w:p w:rsidR="002A4278" w:rsidRPr="008C1B7A" w:rsidRDefault="008C1B7A" w:rsidP="008C1B7A">
      <w:pPr>
        <w:rPr>
          <w:rFonts w:eastAsia="Times New Roman"/>
          <w:noProof/>
          <w:szCs w:val="24"/>
          <w:lang w:val="en-IE" w:eastAsia="fr-BE"/>
        </w:rPr>
      </w:pPr>
      <w:r w:rsidRPr="008C1B7A">
        <w:rPr>
          <w:rFonts w:eastAsia="Times New Roman"/>
          <w:noProof/>
          <w:szCs w:val="24"/>
          <w:lang w:val="en-IE" w:eastAsia="fr-BE"/>
        </w:rPr>
        <w:t xml:space="preserve">Since this is a proposal to amend a legislative proposal which revised an existing </w:t>
      </w:r>
      <w:r w:rsidR="0006195A">
        <w:rPr>
          <w:rFonts w:eastAsia="Times New Roman"/>
          <w:noProof/>
          <w:szCs w:val="24"/>
          <w:lang w:val="en-IE" w:eastAsia="fr-BE"/>
        </w:rPr>
        <w:t>r</w:t>
      </w:r>
      <w:r w:rsidR="0006195A" w:rsidRPr="008C1B7A">
        <w:rPr>
          <w:rFonts w:eastAsia="Times New Roman"/>
          <w:noProof/>
          <w:szCs w:val="24"/>
          <w:lang w:val="en-IE" w:eastAsia="fr-BE"/>
        </w:rPr>
        <w:t>egulation</w:t>
      </w:r>
      <w:r w:rsidRPr="008C1B7A">
        <w:rPr>
          <w:rFonts w:eastAsia="Times New Roman"/>
          <w:noProof/>
          <w:szCs w:val="24"/>
          <w:lang w:val="en-IE" w:eastAsia="fr-BE"/>
        </w:rPr>
        <w:t xml:space="preserve">, it seems legitimate to keep the status of the instrument as it is. </w:t>
      </w:r>
    </w:p>
    <w:p w:rsidR="002A4278" w:rsidRPr="00550536" w:rsidRDefault="002A4278" w:rsidP="000671EA">
      <w:pPr>
        <w:pStyle w:val="ManualHeading1"/>
        <w:rPr>
          <w:noProof/>
        </w:rPr>
      </w:pPr>
      <w:r w:rsidRPr="00550536">
        <w:rPr>
          <w:noProof/>
        </w:rPr>
        <w:t>3.</w:t>
      </w:r>
      <w:r w:rsidRPr="00550536">
        <w:rPr>
          <w:noProof/>
        </w:rPr>
        <w:tab/>
        <w:t>RESULTS OF EX-POST EVALUATIONS, STAKEHOLDER CONSULTATIONS AND IMPACT ASSESSMENTS</w:t>
      </w:r>
    </w:p>
    <w:p w:rsidR="002A4278" w:rsidRDefault="002A4278" w:rsidP="000671EA">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Ex-post evaluations/fitness checks</w:t>
      </w:r>
      <w:r>
        <w:rPr>
          <w:rFonts w:eastAsia="Arial Unicode MS"/>
          <w:noProof/>
          <w:u w:color="000000"/>
          <w:bdr w:val="nil"/>
          <w:lang w:val="en-US" w:eastAsia="en-GB"/>
        </w:rPr>
        <w:t xml:space="preserve"> of existing legislation</w:t>
      </w:r>
    </w:p>
    <w:p w:rsidR="00C300FB" w:rsidRDefault="008C1B7A" w:rsidP="00C300FB">
      <w:pPr>
        <w:pBdr>
          <w:top w:val="nil"/>
          <w:left w:val="nil"/>
          <w:bottom w:val="nil"/>
          <w:right w:val="nil"/>
          <w:between w:val="nil"/>
          <w:bar w:val="nil"/>
        </w:pBdr>
        <w:rPr>
          <w:noProof/>
        </w:rPr>
      </w:pPr>
      <w:r>
        <w:rPr>
          <w:rFonts w:eastAsia="Times New Roman"/>
          <w:noProof/>
          <w:szCs w:val="24"/>
          <w:lang w:val="en-IE" w:eastAsia="fr-BE"/>
        </w:rPr>
        <w:t>T</w:t>
      </w:r>
      <w:r w:rsidRPr="00CC688C">
        <w:rPr>
          <w:rFonts w:eastAsia="Times New Roman"/>
          <w:noProof/>
          <w:szCs w:val="24"/>
          <w:lang w:val="en-IE" w:eastAsia="fr-BE"/>
        </w:rPr>
        <w:t>he evaluation of the TEN-T Regulation (SWD(2021)</w:t>
      </w:r>
      <w:r w:rsidR="0074381B">
        <w:rPr>
          <w:rFonts w:eastAsia="Times New Roman"/>
          <w:noProof/>
          <w:szCs w:val="24"/>
          <w:lang w:val="en-IE" w:eastAsia="fr-BE"/>
        </w:rPr>
        <w:t xml:space="preserve"> </w:t>
      </w:r>
      <w:r w:rsidRPr="00CC688C">
        <w:rPr>
          <w:rFonts w:eastAsia="Times New Roman"/>
          <w:noProof/>
          <w:szCs w:val="24"/>
          <w:lang w:val="en-IE" w:eastAsia="fr-BE"/>
        </w:rPr>
        <w:t>117</w:t>
      </w:r>
      <w:r w:rsidR="0074381B">
        <w:rPr>
          <w:rFonts w:eastAsia="Times New Roman"/>
          <w:noProof/>
          <w:szCs w:val="24"/>
          <w:lang w:val="en-IE" w:eastAsia="fr-BE"/>
        </w:rPr>
        <w:t xml:space="preserve"> </w:t>
      </w:r>
      <w:r w:rsidRPr="00CC688C">
        <w:rPr>
          <w:rFonts w:eastAsia="Times New Roman"/>
          <w:noProof/>
          <w:szCs w:val="24"/>
          <w:lang w:val="en-IE" w:eastAsia="fr-BE"/>
        </w:rPr>
        <w:t xml:space="preserve">final) </w:t>
      </w:r>
      <w:r w:rsidR="009A2806">
        <w:rPr>
          <w:rFonts w:eastAsia="Times New Roman"/>
          <w:noProof/>
          <w:szCs w:val="24"/>
          <w:lang w:val="en-IE" w:eastAsia="fr-BE"/>
        </w:rPr>
        <w:t xml:space="preserve">analysed the </w:t>
      </w:r>
      <w:r w:rsidR="009A2806">
        <w:rPr>
          <w:noProof/>
        </w:rPr>
        <w:t xml:space="preserve">TEN-T </w:t>
      </w:r>
      <w:r w:rsidR="00C300FB">
        <w:rPr>
          <w:noProof/>
        </w:rPr>
        <w:t>c</w:t>
      </w:r>
      <w:r w:rsidR="009A2806">
        <w:rPr>
          <w:noProof/>
        </w:rPr>
        <w:t>ooperation with neighbouring and third countries</w:t>
      </w:r>
      <w:r w:rsidR="00C300FB">
        <w:rPr>
          <w:noProof/>
        </w:rPr>
        <w:t xml:space="preserve"> through the establishment of an indicative trans-European transport network</w:t>
      </w:r>
      <w:r w:rsidR="009A2806">
        <w:rPr>
          <w:noProof/>
        </w:rPr>
        <w:t xml:space="preserve">. It </w:t>
      </w:r>
      <w:r w:rsidR="009A2806">
        <w:rPr>
          <w:rFonts w:eastAsia="Times New Roman"/>
          <w:noProof/>
          <w:szCs w:val="24"/>
          <w:lang w:val="en-IE" w:eastAsia="fr-BE"/>
        </w:rPr>
        <w:t xml:space="preserve">concluded that </w:t>
      </w:r>
      <w:r w:rsidR="00C300FB">
        <w:rPr>
          <w:noProof/>
        </w:rPr>
        <w:t>such</w:t>
      </w:r>
      <w:r w:rsidR="009A2806">
        <w:rPr>
          <w:noProof/>
        </w:rPr>
        <w:t xml:space="preserve"> indicative maps helped </w:t>
      </w:r>
      <w:r w:rsidR="0006195A">
        <w:rPr>
          <w:noProof/>
        </w:rPr>
        <w:t xml:space="preserve">provide </w:t>
      </w:r>
      <w:r w:rsidR="009A2806">
        <w:rPr>
          <w:noProof/>
        </w:rPr>
        <w:t xml:space="preserve">a reference point for cooperation on planning transport infrastructure development in those countries, with a view to guaranteeing continuity and fostering </w:t>
      </w:r>
      <w:r w:rsidR="0006195A">
        <w:rPr>
          <w:noProof/>
        </w:rPr>
        <w:t xml:space="preserve">the </w:t>
      </w:r>
      <w:r w:rsidR="009A2806">
        <w:rPr>
          <w:noProof/>
        </w:rPr>
        <w:t>transport connectivity of the EU. The</w:t>
      </w:r>
      <w:r w:rsidR="00D95D89">
        <w:rPr>
          <w:noProof/>
        </w:rPr>
        <w:t>se maps</w:t>
      </w:r>
      <w:r w:rsidR="009A2806">
        <w:rPr>
          <w:noProof/>
        </w:rPr>
        <w:t xml:space="preserve"> have been of strong mutual interest </w:t>
      </w:r>
      <w:r w:rsidR="0006195A">
        <w:rPr>
          <w:noProof/>
        </w:rPr>
        <w:t xml:space="preserve">when it comes to </w:t>
      </w:r>
      <w:r w:rsidR="009A2806">
        <w:rPr>
          <w:noProof/>
        </w:rPr>
        <w:t>enhanc</w:t>
      </w:r>
      <w:r w:rsidR="0006195A">
        <w:rPr>
          <w:noProof/>
        </w:rPr>
        <w:t>ing</w:t>
      </w:r>
      <w:r w:rsidR="009A2806">
        <w:rPr>
          <w:noProof/>
        </w:rPr>
        <w:t xml:space="preserve"> strategic multimodal transport connections between the EU and the neighbouring regions concerned as well as for promot</w:t>
      </w:r>
      <w:r w:rsidR="0006195A">
        <w:rPr>
          <w:noProof/>
        </w:rPr>
        <w:t>ing</w:t>
      </w:r>
      <w:r w:rsidR="009A2806">
        <w:rPr>
          <w:noProof/>
        </w:rPr>
        <w:t xml:space="preserve"> economic development and exchange.</w:t>
      </w:r>
    </w:p>
    <w:p w:rsidR="00E67865" w:rsidRDefault="00C300FB" w:rsidP="00C300FB">
      <w:pPr>
        <w:pBdr>
          <w:top w:val="nil"/>
          <w:left w:val="nil"/>
          <w:bottom w:val="nil"/>
          <w:right w:val="nil"/>
          <w:between w:val="nil"/>
          <w:bar w:val="nil"/>
        </w:pBdr>
        <w:rPr>
          <w:noProof/>
        </w:rPr>
      </w:pPr>
      <w:r>
        <w:rPr>
          <w:noProof/>
        </w:rPr>
        <w:t xml:space="preserve">The </w:t>
      </w:r>
      <w:r w:rsidR="0006195A">
        <w:rPr>
          <w:noProof/>
        </w:rPr>
        <w:t>indicative maps are</w:t>
      </w:r>
      <w:r>
        <w:rPr>
          <w:noProof/>
        </w:rPr>
        <w:t xml:space="preserve"> based on the same methodology as that of the TEN-T within the EU and cover both the core and comprehensive network layers. Although these indicative network extensions do not automatically imply mandatory applicability of all TEN-T standards and requirements which have be</w:t>
      </w:r>
      <w:r w:rsidR="00E67865">
        <w:rPr>
          <w:noProof/>
        </w:rPr>
        <w:t xml:space="preserve">en set for the EU Member States, the evaluation concluded that </w:t>
      </w:r>
      <w:r>
        <w:rPr>
          <w:noProof/>
        </w:rPr>
        <w:t>they have helped shar</w:t>
      </w:r>
      <w:r w:rsidR="0006195A">
        <w:rPr>
          <w:noProof/>
        </w:rPr>
        <w:t>e</w:t>
      </w:r>
      <w:r>
        <w:rPr>
          <w:noProof/>
        </w:rPr>
        <w:t xml:space="preserve"> the </w:t>
      </w:r>
      <w:r w:rsidR="003B137C">
        <w:rPr>
          <w:noProof/>
        </w:rPr>
        <w:t>Union’s</w:t>
      </w:r>
      <w:r>
        <w:rPr>
          <w:noProof/>
        </w:rPr>
        <w:t xml:space="preserve"> methodology for transport infrastructure deployment and for promoting </w:t>
      </w:r>
      <w:r w:rsidR="003B137C">
        <w:rPr>
          <w:noProof/>
        </w:rPr>
        <w:t>the Union’</w:t>
      </w:r>
      <w:r>
        <w:rPr>
          <w:noProof/>
        </w:rPr>
        <w:t xml:space="preserve">s technical standards, regulatory aspects and best practices in terms of financing. They have furthermore given orientation to </w:t>
      </w:r>
      <w:r w:rsidR="0006195A">
        <w:rPr>
          <w:noProof/>
        </w:rPr>
        <w:t>international financial institutions</w:t>
      </w:r>
      <w:r w:rsidR="00E67865">
        <w:rPr>
          <w:noProof/>
        </w:rPr>
        <w:t xml:space="preserve">, </w:t>
      </w:r>
      <w:r>
        <w:rPr>
          <w:noProof/>
        </w:rPr>
        <w:t xml:space="preserve">relevant EU sources </w:t>
      </w:r>
      <w:r w:rsidR="0006195A">
        <w:rPr>
          <w:noProof/>
        </w:rPr>
        <w:t>of financing and</w:t>
      </w:r>
      <w:r>
        <w:rPr>
          <w:noProof/>
        </w:rPr>
        <w:t xml:space="preserve"> national and private investors on where to focus their funding and activities in these region</w:t>
      </w:r>
      <w:r w:rsidR="00595253">
        <w:rPr>
          <w:noProof/>
        </w:rPr>
        <w:t>s</w:t>
      </w:r>
      <w:r>
        <w:rPr>
          <w:noProof/>
        </w:rPr>
        <w:t xml:space="preserve">. </w:t>
      </w:r>
      <w:r w:rsidR="00E67865">
        <w:rPr>
          <w:noProof/>
        </w:rPr>
        <w:t>All these aspects will become even more crucial in order to help the recovery and reconstruction process of Ukraine and it</w:t>
      </w:r>
      <w:r w:rsidR="00726502">
        <w:rPr>
          <w:noProof/>
        </w:rPr>
        <w:t xml:space="preserve">s impacted neighbouring country, the Republic of </w:t>
      </w:r>
      <w:r w:rsidR="00E67865">
        <w:rPr>
          <w:noProof/>
        </w:rPr>
        <w:t xml:space="preserve">Moldova. </w:t>
      </w:r>
    </w:p>
    <w:p w:rsidR="00E67865" w:rsidRDefault="00E67865" w:rsidP="00C300FB">
      <w:pPr>
        <w:pBdr>
          <w:top w:val="nil"/>
          <w:left w:val="nil"/>
          <w:bottom w:val="nil"/>
          <w:right w:val="nil"/>
          <w:between w:val="nil"/>
          <w:bar w:val="nil"/>
        </w:pBdr>
        <w:rPr>
          <w:rFonts w:eastAsia="Times New Roman"/>
          <w:noProof/>
          <w:szCs w:val="24"/>
          <w:lang w:val="en-IE" w:eastAsia="fr-BE"/>
        </w:rPr>
      </w:pPr>
      <w:r>
        <w:rPr>
          <w:noProof/>
        </w:rPr>
        <w:t>The evaluation furthermore concluded that t</w:t>
      </w:r>
      <w:r w:rsidR="00A76B04">
        <w:rPr>
          <w:noProof/>
        </w:rPr>
        <w:t xml:space="preserve">hird country cooperation on TEN-T policy has also been appropriate </w:t>
      </w:r>
      <w:r w:rsidR="0006195A">
        <w:rPr>
          <w:noProof/>
        </w:rPr>
        <w:t xml:space="preserve">as it </w:t>
      </w:r>
      <w:r w:rsidR="00A76B04">
        <w:rPr>
          <w:noProof/>
        </w:rPr>
        <w:t>promot</w:t>
      </w:r>
      <w:r w:rsidR="0006195A">
        <w:rPr>
          <w:noProof/>
        </w:rPr>
        <w:t>es</w:t>
      </w:r>
      <w:r w:rsidR="00A76B04">
        <w:rPr>
          <w:noProof/>
        </w:rPr>
        <w:t xml:space="preserve"> high European environmental and social standards as well as financial sustainability along land corridors. Common network planning activities with neighbouring countries, leading to indicative TEN-T extensions are appropriate in </w:t>
      </w:r>
      <w:r w:rsidR="00132C91">
        <w:rPr>
          <w:noProof/>
        </w:rPr>
        <w:t xml:space="preserve">that they </w:t>
      </w:r>
      <w:r w:rsidR="00A76B04">
        <w:rPr>
          <w:noProof/>
        </w:rPr>
        <w:t xml:space="preserve">set a stable framework for concentrated transport infrastructure investment supported by EU sources and global international financial institutions. </w:t>
      </w:r>
      <w:r>
        <w:rPr>
          <w:noProof/>
        </w:rPr>
        <w:t xml:space="preserve">The evaluation further stated that </w:t>
      </w:r>
      <w:r w:rsidR="00A76B04">
        <w:rPr>
          <w:noProof/>
        </w:rPr>
        <w:t xml:space="preserve">international developments (such as progress in the accession negotiations and signature of the Transport Community Treaty for the Western Balkans region) suggest that this approach remains relevant towards the 2030/2050 horizons and could </w:t>
      </w:r>
      <w:r>
        <w:rPr>
          <w:noProof/>
        </w:rPr>
        <w:t xml:space="preserve">be </w:t>
      </w:r>
      <w:r w:rsidR="00A76B04">
        <w:rPr>
          <w:noProof/>
        </w:rPr>
        <w:t xml:space="preserve">further expanded. </w:t>
      </w:r>
      <w:r w:rsidR="003B137C">
        <w:rPr>
          <w:rFonts w:eastAsia="Times New Roman"/>
          <w:noProof/>
          <w:szCs w:val="24"/>
          <w:lang w:val="en-IE" w:eastAsia="fr-BE"/>
        </w:rPr>
        <w:t>T</w:t>
      </w:r>
      <w:r>
        <w:rPr>
          <w:rFonts w:eastAsia="Times New Roman"/>
          <w:noProof/>
          <w:szCs w:val="24"/>
          <w:lang w:val="en-IE" w:eastAsia="fr-BE"/>
        </w:rPr>
        <w:t xml:space="preserve">his is even more valid given the new geopolitical context. An extension of the European Transport Corridors to Ukraine and </w:t>
      </w:r>
      <w:r w:rsidR="00726502">
        <w:rPr>
          <w:rFonts w:eastAsia="Times New Roman"/>
          <w:noProof/>
          <w:szCs w:val="24"/>
          <w:lang w:val="en-IE" w:eastAsia="fr-BE"/>
        </w:rPr>
        <w:t xml:space="preserve">the Republic of </w:t>
      </w:r>
      <w:r>
        <w:rPr>
          <w:rFonts w:eastAsia="Times New Roman"/>
          <w:noProof/>
          <w:szCs w:val="24"/>
          <w:lang w:val="en-IE" w:eastAsia="fr-BE"/>
        </w:rPr>
        <w:t xml:space="preserve">Moldova </w:t>
      </w:r>
      <w:r w:rsidR="003B137C">
        <w:rPr>
          <w:rFonts w:eastAsia="Times New Roman"/>
          <w:noProof/>
          <w:szCs w:val="24"/>
          <w:lang w:val="en-IE" w:eastAsia="fr-BE"/>
        </w:rPr>
        <w:t xml:space="preserve">as included in the present amended proposal </w:t>
      </w:r>
      <w:r>
        <w:rPr>
          <w:rFonts w:eastAsia="Times New Roman"/>
          <w:noProof/>
          <w:szCs w:val="24"/>
          <w:lang w:val="en-IE" w:eastAsia="fr-BE"/>
        </w:rPr>
        <w:t xml:space="preserve">can therefore be a very valuable tool to help those countries in </w:t>
      </w:r>
      <w:r w:rsidR="00D95D89">
        <w:rPr>
          <w:rFonts w:eastAsia="Times New Roman"/>
          <w:noProof/>
          <w:szCs w:val="24"/>
          <w:lang w:val="en-IE" w:eastAsia="fr-BE"/>
        </w:rPr>
        <w:t>their</w:t>
      </w:r>
      <w:r>
        <w:rPr>
          <w:rFonts w:eastAsia="Times New Roman"/>
          <w:noProof/>
          <w:szCs w:val="24"/>
          <w:lang w:val="en-IE" w:eastAsia="fr-BE"/>
        </w:rPr>
        <w:t xml:space="preserve"> recovery and reconstruction process. </w:t>
      </w:r>
    </w:p>
    <w:p w:rsidR="002A4278" w:rsidRDefault="002A4278" w:rsidP="000671EA">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Stakeholder consultations</w:t>
      </w:r>
    </w:p>
    <w:p w:rsidR="00C63125" w:rsidRDefault="003B137C" w:rsidP="00C63125">
      <w:pPr>
        <w:rPr>
          <w:noProof/>
          <w:lang w:val="en-IE"/>
        </w:rPr>
      </w:pPr>
      <w:r>
        <w:rPr>
          <w:noProof/>
          <w:lang w:val="en-US"/>
        </w:rPr>
        <w:t>O</w:t>
      </w:r>
      <w:r>
        <w:rPr>
          <w:noProof/>
          <w:lang w:val="en-IE"/>
        </w:rPr>
        <w:t>n 29 June 2022, a</w:t>
      </w:r>
      <w:r w:rsidR="00C63125">
        <w:rPr>
          <w:noProof/>
          <w:lang w:val="en-IE"/>
        </w:rPr>
        <w:t xml:space="preserve">n interinstitutional meeting involving not only all 27 EU Member States but also high-level representatives of Ukraine, </w:t>
      </w:r>
      <w:r w:rsidR="00726502">
        <w:rPr>
          <w:noProof/>
          <w:lang w:val="en-IE"/>
        </w:rPr>
        <w:t xml:space="preserve">the Republic of </w:t>
      </w:r>
      <w:r w:rsidR="00C63125">
        <w:rPr>
          <w:noProof/>
          <w:lang w:val="en-IE"/>
        </w:rPr>
        <w:t>Moldova and Georgia took pl</w:t>
      </w:r>
      <w:r>
        <w:rPr>
          <w:noProof/>
          <w:lang w:val="en-IE"/>
        </w:rPr>
        <w:t xml:space="preserve">ace. It addressed the question of </w:t>
      </w:r>
      <w:r w:rsidR="00C63125" w:rsidRPr="00F04C98">
        <w:rPr>
          <w:noProof/>
          <w:lang w:val="en-IE"/>
        </w:rPr>
        <w:t>what th</w:t>
      </w:r>
      <w:r>
        <w:rPr>
          <w:noProof/>
          <w:lang w:val="en-IE"/>
        </w:rPr>
        <w:t>e</w:t>
      </w:r>
      <w:r w:rsidR="00C63125" w:rsidRPr="00F04C98">
        <w:rPr>
          <w:noProof/>
          <w:lang w:val="en-IE"/>
        </w:rPr>
        <w:t xml:space="preserve"> new geopolitical reality </w:t>
      </w:r>
      <w:r>
        <w:rPr>
          <w:noProof/>
          <w:lang w:val="en-IE"/>
        </w:rPr>
        <w:t xml:space="preserve">with Russia’s war of aggression </w:t>
      </w:r>
      <w:r w:rsidR="00536620">
        <w:rPr>
          <w:noProof/>
          <w:lang w:val="en-IE"/>
        </w:rPr>
        <w:t xml:space="preserve">against </w:t>
      </w:r>
      <w:r>
        <w:rPr>
          <w:noProof/>
          <w:lang w:val="en-IE"/>
        </w:rPr>
        <w:t xml:space="preserve">Ukraine </w:t>
      </w:r>
      <w:r w:rsidR="00C63125" w:rsidRPr="00F04C98">
        <w:rPr>
          <w:noProof/>
          <w:lang w:val="en-IE"/>
        </w:rPr>
        <w:t>means for TEN-T policy</w:t>
      </w:r>
      <w:r w:rsidR="00C63125">
        <w:rPr>
          <w:noProof/>
          <w:lang w:val="en-IE"/>
        </w:rPr>
        <w:t xml:space="preserve"> specifically, and Union transport policy more widely,</w:t>
      </w:r>
      <w:r w:rsidR="00C63125" w:rsidRPr="00F04C98">
        <w:rPr>
          <w:noProof/>
          <w:lang w:val="en-IE"/>
        </w:rPr>
        <w:t xml:space="preserve"> and how </w:t>
      </w:r>
      <w:r w:rsidR="00C63125">
        <w:rPr>
          <w:noProof/>
          <w:lang w:val="en-IE"/>
        </w:rPr>
        <w:t>the TEN-T should and</w:t>
      </w:r>
      <w:r w:rsidR="00C63125" w:rsidRPr="00F04C98">
        <w:rPr>
          <w:noProof/>
          <w:lang w:val="en-IE"/>
        </w:rPr>
        <w:t xml:space="preserve"> can adapt to this new geopolitical context.</w:t>
      </w:r>
      <w:r>
        <w:rPr>
          <w:noProof/>
          <w:lang w:val="en-IE"/>
        </w:rPr>
        <w:t xml:space="preserve"> This discussion gave important input to the present amended proposal. </w:t>
      </w:r>
    </w:p>
    <w:p w:rsidR="00C63125" w:rsidRPr="00DF6F07" w:rsidRDefault="00C63125" w:rsidP="00C63125">
      <w:pPr>
        <w:rPr>
          <w:noProof/>
          <w:szCs w:val="24"/>
          <w:lang w:val="en-IE"/>
        </w:rPr>
      </w:pPr>
      <w:r>
        <w:rPr>
          <w:noProof/>
          <w:lang w:val="en-IE"/>
        </w:rPr>
        <w:t>In addition, bilateral meetings with each of the 27 EU Member States, under the chairmanship of the French and the Czech Presidenc</w:t>
      </w:r>
      <w:r w:rsidR="008B776E">
        <w:rPr>
          <w:noProof/>
          <w:lang w:val="en-IE"/>
        </w:rPr>
        <w:t>ies</w:t>
      </w:r>
      <w:r w:rsidR="003B137C">
        <w:rPr>
          <w:noProof/>
          <w:lang w:val="en-IE"/>
        </w:rPr>
        <w:t>, which were conducted on 8 and 10 June 2022</w:t>
      </w:r>
      <w:r w:rsidR="00132C91">
        <w:rPr>
          <w:noProof/>
          <w:lang w:val="en-IE"/>
        </w:rPr>
        <w:t>,</w:t>
      </w:r>
      <w:r w:rsidR="003B137C">
        <w:rPr>
          <w:noProof/>
          <w:lang w:val="en-IE"/>
        </w:rPr>
        <w:t xml:space="preserve"> </w:t>
      </w:r>
      <w:r>
        <w:rPr>
          <w:noProof/>
          <w:lang w:val="en-IE"/>
        </w:rPr>
        <w:t xml:space="preserve">have been used to discuss the proposed </w:t>
      </w:r>
      <w:r w:rsidR="00132C91">
        <w:rPr>
          <w:noProof/>
          <w:lang w:val="en-IE"/>
        </w:rPr>
        <w:t>changes to</w:t>
      </w:r>
      <w:r>
        <w:rPr>
          <w:noProof/>
          <w:lang w:val="en-IE"/>
        </w:rPr>
        <w:t xml:space="preserve"> this amended proposal</w:t>
      </w:r>
      <w:r w:rsidR="00595253">
        <w:rPr>
          <w:noProof/>
          <w:lang w:val="en-IE"/>
        </w:rPr>
        <w:t>, notably the migration of lines</w:t>
      </w:r>
      <w:r w:rsidR="00A530F5">
        <w:rPr>
          <w:noProof/>
          <w:lang w:val="en-IE"/>
        </w:rPr>
        <w:t xml:space="preserve"> with different track gauge to the </w:t>
      </w:r>
      <w:r w:rsidR="00A530F5" w:rsidRPr="007D45AA">
        <w:rPr>
          <w:noProof/>
        </w:rPr>
        <w:t>European standard nominal track gauge of 1</w:t>
      </w:r>
      <w:r w:rsidR="00132C91">
        <w:rPr>
          <w:noProof/>
        </w:rPr>
        <w:t xml:space="preserve"> </w:t>
      </w:r>
      <w:r w:rsidR="00A530F5" w:rsidRPr="007D45AA">
        <w:rPr>
          <w:noProof/>
        </w:rPr>
        <w:t>435 mm</w:t>
      </w:r>
      <w:r w:rsidR="00595253">
        <w:rPr>
          <w:noProof/>
          <w:lang w:val="en-IE"/>
        </w:rPr>
        <w:t xml:space="preserve"> and the downgrad</w:t>
      </w:r>
      <w:r w:rsidR="00CE7430">
        <w:rPr>
          <w:noProof/>
          <w:lang w:val="en-IE"/>
        </w:rPr>
        <w:t>ing</w:t>
      </w:r>
      <w:r w:rsidR="00595253">
        <w:rPr>
          <w:noProof/>
          <w:lang w:val="en-IE"/>
        </w:rPr>
        <w:t xml:space="preserve"> of last</w:t>
      </w:r>
      <w:r w:rsidR="00132C91">
        <w:rPr>
          <w:noProof/>
          <w:lang w:val="en-IE"/>
        </w:rPr>
        <w:t>-</w:t>
      </w:r>
      <w:r w:rsidR="00595253">
        <w:rPr>
          <w:noProof/>
          <w:lang w:val="en-IE"/>
        </w:rPr>
        <w:t xml:space="preserve">mile connections of the core network road and railway sections to Russia and </w:t>
      </w:r>
      <w:r w:rsidR="00595253" w:rsidRPr="00DF6F07">
        <w:rPr>
          <w:noProof/>
          <w:szCs w:val="24"/>
          <w:lang w:val="en-IE"/>
        </w:rPr>
        <w:t>Belarus</w:t>
      </w:r>
      <w:r w:rsidRPr="00DF6F07">
        <w:rPr>
          <w:noProof/>
          <w:szCs w:val="24"/>
          <w:lang w:val="en-IE"/>
        </w:rPr>
        <w:t xml:space="preserve">. </w:t>
      </w:r>
    </w:p>
    <w:p w:rsidR="000627F5" w:rsidRPr="00664290" w:rsidRDefault="000627F5" w:rsidP="005F4DAC">
      <w:pPr>
        <w:rPr>
          <w:noProof/>
          <w:szCs w:val="24"/>
          <w:lang w:val="en-IE"/>
        </w:rPr>
      </w:pPr>
      <w:r w:rsidRPr="005B5355">
        <w:rPr>
          <w:noProof/>
          <w:szCs w:val="24"/>
          <w:lang w:val="en-IE"/>
        </w:rPr>
        <w:t>Finally the Commission published on its website a Call for evidence describing the problems to be tackled, the objectives to be met and the draft policy measures. The Call for evidence was open for feedback from 6 July 2022 until 20 July 2022.</w:t>
      </w:r>
      <w:r w:rsidR="00E85B4C" w:rsidRPr="00802FD5">
        <w:rPr>
          <w:noProof/>
          <w:szCs w:val="24"/>
          <w:lang w:val="en-IE"/>
        </w:rPr>
        <w:t xml:space="preserve"> </w:t>
      </w:r>
      <w:r w:rsidR="00EC03F1">
        <w:rPr>
          <w:noProof/>
          <w:szCs w:val="24"/>
          <w:lang w:val="en-IE"/>
        </w:rPr>
        <w:t>Twenty-two</w:t>
      </w:r>
      <w:r w:rsidR="00E85B4C" w:rsidRPr="00DF6F07">
        <w:rPr>
          <w:noProof/>
          <w:szCs w:val="24"/>
          <w:lang w:val="en-IE"/>
        </w:rPr>
        <w:t xml:space="preserve"> replies have been registered</w:t>
      </w:r>
      <w:r w:rsidR="00E85B4C" w:rsidRPr="006E23C1">
        <w:rPr>
          <w:noProof/>
          <w:szCs w:val="24"/>
          <w:lang w:val="en-IE"/>
        </w:rPr>
        <w:t xml:space="preserve">, all supporting the proposed measures.  The main comments were </w:t>
      </w:r>
      <w:r w:rsidR="00D03683" w:rsidRPr="00664290">
        <w:rPr>
          <w:noProof/>
          <w:szCs w:val="24"/>
          <w:lang w:val="en-IE"/>
        </w:rPr>
        <w:t>the following</w:t>
      </w:r>
      <w:r w:rsidR="00E85B4C" w:rsidRPr="00664290">
        <w:rPr>
          <w:noProof/>
          <w:szCs w:val="24"/>
          <w:lang w:val="en-IE"/>
        </w:rPr>
        <w:t>:</w:t>
      </w:r>
    </w:p>
    <w:p w:rsidR="00E85B4C" w:rsidRPr="006E23C1" w:rsidRDefault="005F4DAC" w:rsidP="006F33EA">
      <w:pPr>
        <w:pStyle w:val="Bullet0"/>
        <w:rPr>
          <w:noProof/>
          <w:lang w:val="en-IE"/>
        </w:rPr>
      </w:pPr>
      <w:r w:rsidRPr="006F33EA">
        <w:rPr>
          <w:noProof/>
          <w:lang w:val="en-IE"/>
        </w:rPr>
        <w:t>The proposed measures will contribute</w:t>
      </w:r>
      <w:r w:rsidR="00E85B4C" w:rsidRPr="006F33EA">
        <w:rPr>
          <w:noProof/>
          <w:lang w:val="en-IE"/>
        </w:rPr>
        <w:t xml:space="preserve"> to </w:t>
      </w:r>
      <w:r w:rsidR="00F270CE">
        <w:rPr>
          <w:noProof/>
          <w:lang w:val="en-IE"/>
        </w:rPr>
        <w:t>improve</w:t>
      </w:r>
      <w:r w:rsidR="00E85B4C" w:rsidRPr="006F33EA">
        <w:rPr>
          <w:noProof/>
          <w:lang w:val="en-IE"/>
        </w:rPr>
        <w:t xml:space="preserve"> railway connections with Ukraine and Moldova through extension of the European transport corridors</w:t>
      </w:r>
      <w:r w:rsidRPr="006F33EA">
        <w:rPr>
          <w:noProof/>
          <w:lang w:val="en-IE"/>
        </w:rPr>
        <w:t xml:space="preserve">. They will improve connectivity of Ukraine and Moldova with the EU notably for freight transport, </w:t>
      </w:r>
      <w:r w:rsidR="00664290">
        <w:rPr>
          <w:noProof/>
          <w:lang w:val="en-IE"/>
        </w:rPr>
        <w:t>thereby</w:t>
      </w:r>
      <w:r w:rsidRPr="006F33EA">
        <w:rPr>
          <w:noProof/>
          <w:lang w:val="en-IE"/>
        </w:rPr>
        <w:t xml:space="preserve"> contributing to the objectives of the </w:t>
      </w:r>
      <w:r w:rsidR="004F06F6">
        <w:rPr>
          <w:noProof/>
          <w:lang w:val="en-IE"/>
        </w:rPr>
        <w:t xml:space="preserve">European </w:t>
      </w:r>
      <w:r w:rsidRPr="006F33EA">
        <w:rPr>
          <w:noProof/>
          <w:lang w:val="en-IE"/>
        </w:rPr>
        <w:t>Green Deal and the Sustainable and Smart Mobility Strategy</w:t>
      </w:r>
      <w:r w:rsidR="006E23C1" w:rsidRPr="006F33EA">
        <w:rPr>
          <w:noProof/>
          <w:lang w:val="en-IE"/>
        </w:rPr>
        <w:t>.</w:t>
      </w:r>
    </w:p>
    <w:p w:rsidR="006E23C1" w:rsidRPr="006F33EA" w:rsidRDefault="006E23C1" w:rsidP="006F33EA">
      <w:pPr>
        <w:pStyle w:val="Bullet0"/>
        <w:rPr>
          <w:noProof/>
          <w:sz w:val="22"/>
          <w:lang w:val="en-IE"/>
        </w:rPr>
      </w:pPr>
      <w:r w:rsidRPr="006F33EA">
        <w:rPr>
          <w:noProof/>
          <w:shd w:val="clear" w:color="auto" w:fill="FFFFFF"/>
        </w:rPr>
        <w:t xml:space="preserve">The extension of the </w:t>
      </w:r>
      <w:r w:rsidR="00F270CE">
        <w:rPr>
          <w:noProof/>
          <w:shd w:val="clear" w:color="auto" w:fill="FFFFFF"/>
        </w:rPr>
        <w:t xml:space="preserve">European Transport </w:t>
      </w:r>
      <w:r w:rsidRPr="006F33EA">
        <w:rPr>
          <w:noProof/>
          <w:shd w:val="clear" w:color="auto" w:fill="FFFFFF"/>
        </w:rPr>
        <w:t xml:space="preserve">Corridors to Ukraine and Moldova will need the </w:t>
      </w:r>
      <w:r w:rsidR="00F270CE" w:rsidRPr="006F33EA">
        <w:rPr>
          <w:noProof/>
          <w:shd w:val="clear" w:color="auto" w:fill="FFFFFF"/>
        </w:rPr>
        <w:t>fulfilment</w:t>
      </w:r>
      <w:r w:rsidRPr="006F33EA">
        <w:rPr>
          <w:noProof/>
          <w:shd w:val="clear" w:color="auto" w:fill="FFFFFF"/>
        </w:rPr>
        <w:t xml:space="preserve"> of technical, regulatory and administrative requirements. </w:t>
      </w:r>
    </w:p>
    <w:p w:rsidR="006E23C1" w:rsidRPr="006F33EA" w:rsidRDefault="006E23C1" w:rsidP="006F33EA">
      <w:pPr>
        <w:pStyle w:val="Bullet0"/>
        <w:rPr>
          <w:rFonts w:eastAsia="Times New Roman"/>
          <w:noProof/>
          <w:lang w:val="en-IE"/>
        </w:rPr>
      </w:pPr>
      <w:r w:rsidRPr="006F33EA">
        <w:rPr>
          <w:rFonts w:eastAsia="Times New Roman"/>
          <w:noProof/>
          <w:lang w:val="en-IE"/>
        </w:rPr>
        <w:t>M</w:t>
      </w:r>
      <w:r w:rsidRPr="006E23C1">
        <w:rPr>
          <w:noProof/>
          <w:lang w:val="en-IE"/>
        </w:rPr>
        <w:t>any railway connections in Ukraine and between Ukraine and the EU</w:t>
      </w:r>
      <w:r w:rsidRPr="006F33EA">
        <w:rPr>
          <w:rFonts w:eastAsia="Times New Roman"/>
          <w:noProof/>
          <w:lang w:val="en-IE"/>
        </w:rPr>
        <w:t xml:space="preserve"> will require substantial investments. C</w:t>
      </w:r>
      <w:r w:rsidRPr="006E23C1">
        <w:rPr>
          <w:noProof/>
          <w:lang w:val="en-IE"/>
        </w:rPr>
        <w:t>onstruction of terminals and transhipment facilities</w:t>
      </w:r>
      <w:r w:rsidRPr="006F33EA">
        <w:rPr>
          <w:rFonts w:eastAsia="Times New Roman"/>
          <w:noProof/>
          <w:lang w:val="en-IE"/>
        </w:rPr>
        <w:t xml:space="preserve"> are also needed</w:t>
      </w:r>
      <w:r w:rsidRPr="006E23C1">
        <w:rPr>
          <w:noProof/>
          <w:lang w:val="en-IE"/>
        </w:rPr>
        <w:t>.</w:t>
      </w:r>
    </w:p>
    <w:p w:rsidR="00DF6F07" w:rsidRPr="006E23C1" w:rsidRDefault="00664290" w:rsidP="006F33EA">
      <w:pPr>
        <w:pStyle w:val="Bullet0"/>
        <w:rPr>
          <w:noProof/>
          <w:lang w:val="en-IE"/>
        </w:rPr>
      </w:pPr>
      <w:r>
        <w:rPr>
          <w:noProof/>
          <w:lang w:val="en-IE"/>
        </w:rPr>
        <w:t>When</w:t>
      </w:r>
      <w:r w:rsidR="005F4DAC" w:rsidRPr="006F33EA">
        <w:rPr>
          <w:noProof/>
          <w:lang w:val="en-IE"/>
        </w:rPr>
        <w:t xml:space="preserve"> implementing the </w:t>
      </w:r>
      <w:r>
        <w:rPr>
          <w:noProof/>
          <w:lang w:val="en-IE"/>
        </w:rPr>
        <w:t>extended corridors</w:t>
      </w:r>
      <w:r w:rsidR="005F4DAC" w:rsidRPr="006F33EA">
        <w:rPr>
          <w:noProof/>
          <w:lang w:val="en-IE"/>
        </w:rPr>
        <w:t xml:space="preserve"> the C</w:t>
      </w:r>
      <w:r w:rsidR="006E23C1" w:rsidRPr="006F33EA">
        <w:rPr>
          <w:noProof/>
          <w:lang w:val="en-IE"/>
        </w:rPr>
        <w:t xml:space="preserve">ommission should give due attention to the improvement of </w:t>
      </w:r>
      <w:r w:rsidR="00DF6F07" w:rsidRPr="006F33EA">
        <w:rPr>
          <w:noProof/>
          <w:lang w:val="en-IE"/>
        </w:rPr>
        <w:t xml:space="preserve">road connections </w:t>
      </w:r>
      <w:r w:rsidR="00D03683" w:rsidRPr="006F33EA">
        <w:rPr>
          <w:noProof/>
          <w:lang w:val="en-IE"/>
        </w:rPr>
        <w:t xml:space="preserve">(motorways) </w:t>
      </w:r>
      <w:r w:rsidR="00DF6F07" w:rsidRPr="006F33EA">
        <w:rPr>
          <w:noProof/>
          <w:lang w:val="en-IE"/>
        </w:rPr>
        <w:t xml:space="preserve">between Romania, </w:t>
      </w:r>
      <w:r w:rsidR="006E23C1" w:rsidRPr="006F33EA">
        <w:rPr>
          <w:noProof/>
          <w:lang w:val="en-IE"/>
        </w:rPr>
        <w:t>Moldova and Ukraine.</w:t>
      </w:r>
      <w:r w:rsidR="00DF6F07" w:rsidRPr="006F33EA">
        <w:rPr>
          <w:noProof/>
          <w:lang w:val="en-IE"/>
        </w:rPr>
        <w:t xml:space="preserve"> </w:t>
      </w:r>
    </w:p>
    <w:p w:rsidR="00DF6F07" w:rsidRPr="006E23C1" w:rsidRDefault="006E23C1" w:rsidP="006F33EA">
      <w:pPr>
        <w:pStyle w:val="Bullet0"/>
        <w:rPr>
          <w:noProof/>
          <w:lang w:val="en-IE"/>
        </w:rPr>
      </w:pPr>
      <w:r w:rsidRPr="006F33EA">
        <w:rPr>
          <w:noProof/>
          <w:lang w:val="en-IE"/>
        </w:rPr>
        <w:t>T</w:t>
      </w:r>
      <w:r w:rsidR="00DF6F07" w:rsidRPr="006F33EA">
        <w:rPr>
          <w:noProof/>
          <w:lang w:val="en-IE"/>
        </w:rPr>
        <w:t>he Danube river</w:t>
      </w:r>
      <w:r w:rsidR="009D289D" w:rsidRPr="006F33EA">
        <w:rPr>
          <w:noProof/>
          <w:lang w:val="en-IE"/>
        </w:rPr>
        <w:t xml:space="preserve"> </w:t>
      </w:r>
      <w:r w:rsidRPr="006F33EA">
        <w:rPr>
          <w:noProof/>
          <w:lang w:val="en-IE"/>
        </w:rPr>
        <w:t xml:space="preserve">has high potential </w:t>
      </w:r>
      <w:r w:rsidR="009D289D" w:rsidRPr="006F33EA">
        <w:rPr>
          <w:noProof/>
          <w:lang w:val="en-IE"/>
        </w:rPr>
        <w:t xml:space="preserve">for the </w:t>
      </w:r>
      <w:r w:rsidR="00DF6F07" w:rsidRPr="006F33EA">
        <w:rPr>
          <w:noProof/>
          <w:lang w:val="en-IE"/>
        </w:rPr>
        <w:t>exports and imports of g</w:t>
      </w:r>
      <w:r w:rsidRPr="006F33EA">
        <w:rPr>
          <w:noProof/>
          <w:lang w:val="en-IE"/>
        </w:rPr>
        <w:t>oods between Ukraine and the EU.</w:t>
      </w:r>
      <w:r w:rsidR="00DF6F07" w:rsidRPr="006F33EA">
        <w:rPr>
          <w:noProof/>
          <w:lang w:val="en-IE"/>
        </w:rPr>
        <w:t xml:space="preserve"> </w:t>
      </w:r>
    </w:p>
    <w:p w:rsidR="00DF6F07" w:rsidRPr="006F33EA" w:rsidRDefault="006E23C1" w:rsidP="006F33EA">
      <w:pPr>
        <w:pStyle w:val="Bullet0"/>
        <w:rPr>
          <w:noProof/>
          <w:lang w:val="en-IE"/>
        </w:rPr>
      </w:pPr>
      <w:r w:rsidRPr="006F33EA">
        <w:rPr>
          <w:noProof/>
          <w:lang w:val="en-IE"/>
        </w:rPr>
        <w:t xml:space="preserve">The development of connections between Ukraine and Moldova and the modernisation and reconstruction of transport infrastructure will </w:t>
      </w:r>
      <w:r w:rsidR="00664290">
        <w:rPr>
          <w:noProof/>
          <w:lang w:val="en-IE"/>
        </w:rPr>
        <w:t>need</w:t>
      </w:r>
      <w:r w:rsidRPr="006F33EA">
        <w:rPr>
          <w:noProof/>
          <w:lang w:val="en-IE"/>
        </w:rPr>
        <w:t xml:space="preserve"> very substantial investments. T</w:t>
      </w:r>
      <w:r w:rsidR="00664290" w:rsidRPr="006F33EA">
        <w:rPr>
          <w:noProof/>
          <w:lang w:val="en-IE"/>
        </w:rPr>
        <w:t>his would</w:t>
      </w:r>
      <w:r w:rsidRPr="006F33EA">
        <w:rPr>
          <w:noProof/>
          <w:lang w:val="en-IE"/>
        </w:rPr>
        <w:t xml:space="preserve"> require an</w:t>
      </w:r>
      <w:r w:rsidR="00DF6F07" w:rsidRPr="006F33EA">
        <w:rPr>
          <w:noProof/>
          <w:lang w:val="en-IE"/>
        </w:rPr>
        <w:t xml:space="preserve"> increase </w:t>
      </w:r>
      <w:r w:rsidRPr="006F33EA">
        <w:rPr>
          <w:noProof/>
          <w:lang w:val="en-IE"/>
        </w:rPr>
        <w:t xml:space="preserve">of </w:t>
      </w:r>
      <w:r w:rsidR="00DF6F07" w:rsidRPr="006F33EA">
        <w:rPr>
          <w:noProof/>
          <w:lang w:val="en-IE"/>
        </w:rPr>
        <w:t>the EU budget dedicated to the realisation of the TEN-T network</w:t>
      </w:r>
      <w:r w:rsidRPr="006F33EA">
        <w:rPr>
          <w:noProof/>
          <w:lang w:val="en-IE"/>
        </w:rPr>
        <w:t>.</w:t>
      </w:r>
    </w:p>
    <w:p w:rsidR="005F4DAC" w:rsidRPr="006F33EA" w:rsidRDefault="006E23C1" w:rsidP="006F33EA">
      <w:pPr>
        <w:pStyle w:val="Bullet0"/>
        <w:rPr>
          <w:rFonts w:ascii="Calibri" w:hAnsi="Calibri"/>
          <w:noProof/>
          <w:sz w:val="22"/>
          <w:lang w:val="en-IE"/>
        </w:rPr>
      </w:pPr>
      <w:r w:rsidRPr="006F33EA">
        <w:rPr>
          <w:noProof/>
          <w:lang w:val="en-IE"/>
        </w:rPr>
        <w:t>T</w:t>
      </w:r>
      <w:r w:rsidR="00D03683" w:rsidRPr="006F33EA">
        <w:rPr>
          <w:noProof/>
          <w:lang w:val="en-IE"/>
        </w:rPr>
        <w:t>he deployment of European standard nominal track gauge lines between Ukraine/Moldova and the EU as well as in the EU</w:t>
      </w:r>
      <w:r w:rsidRPr="006F33EA">
        <w:rPr>
          <w:noProof/>
          <w:lang w:val="en-IE"/>
        </w:rPr>
        <w:t xml:space="preserve"> is essential to improve rail interoperability. This will increase efficiency of rail,</w:t>
      </w:r>
      <w:r w:rsidR="00D03683" w:rsidRPr="006F33EA">
        <w:rPr>
          <w:noProof/>
          <w:lang w:val="en-IE"/>
        </w:rPr>
        <w:t xml:space="preserve"> notably </w:t>
      </w:r>
      <w:r w:rsidRPr="006F33EA">
        <w:rPr>
          <w:noProof/>
          <w:lang w:val="en-IE"/>
        </w:rPr>
        <w:t>by reducing</w:t>
      </w:r>
      <w:r w:rsidR="00D03683" w:rsidRPr="006F33EA">
        <w:rPr>
          <w:noProof/>
          <w:lang w:val="en-IE"/>
        </w:rPr>
        <w:t xml:space="preserve"> the waiting time at border crossing points.</w:t>
      </w:r>
      <w:r w:rsidRPr="006F33EA">
        <w:rPr>
          <w:noProof/>
          <w:lang w:val="en-IE"/>
        </w:rPr>
        <w:t xml:space="preserve"> However the impact of such deployment needs to be carefully assessed, in particular </w:t>
      </w:r>
      <w:r w:rsidR="00F270CE">
        <w:rPr>
          <w:noProof/>
          <w:lang w:val="en-IE"/>
        </w:rPr>
        <w:t>the</w:t>
      </w:r>
      <w:r w:rsidRPr="006F33EA">
        <w:rPr>
          <w:noProof/>
          <w:lang w:val="en-IE"/>
        </w:rPr>
        <w:t xml:space="preserve"> impact in terms of financing and on the interoperability with the network which is equipped with a different track gauge</w:t>
      </w:r>
      <w:r w:rsidR="005F4DAC" w:rsidRPr="006F33EA">
        <w:rPr>
          <w:noProof/>
          <w:color w:val="333333"/>
          <w:shd w:val="clear" w:color="auto" w:fill="FFFFFF"/>
        </w:rPr>
        <w:t>.</w:t>
      </w:r>
    </w:p>
    <w:p w:rsidR="00EC03F1" w:rsidRPr="00EC03F1" w:rsidRDefault="00EC03F1" w:rsidP="00EC03F1">
      <w:pPr>
        <w:rPr>
          <w:noProof/>
          <w:szCs w:val="24"/>
          <w:lang w:val="en-IE"/>
        </w:rPr>
      </w:pPr>
      <w:r>
        <w:rPr>
          <w:noProof/>
          <w:szCs w:val="24"/>
          <w:lang w:val="en-IE"/>
        </w:rPr>
        <w:t>One reply to the Call for evidence is raising concerns related to the inclusion of the Dnipro river in the TEN-T network. It should be noted that the inclusion of the Dnipro river in the TEN-T network was the subject of a separate procedure and was adopted by a Commission delegated act on 14 July 2022. The current proposal merely reproduces the TEN-T maps included in the above-mentioned delegated act.</w:t>
      </w:r>
    </w:p>
    <w:p w:rsidR="002A4278" w:rsidRPr="00BC5A9C" w:rsidRDefault="002A4278" w:rsidP="00BC5A9C">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r>
      <w:r>
        <w:rPr>
          <w:rFonts w:eastAsia="Arial Unicode MS"/>
          <w:noProof/>
          <w:u w:color="000000"/>
          <w:bdr w:val="nil"/>
          <w:lang w:val="en-US" w:eastAsia="en-GB"/>
        </w:rPr>
        <w:t>Collection and use of expertise</w:t>
      </w:r>
    </w:p>
    <w:p w:rsidR="00BC5A9C" w:rsidRPr="00BC5A9C" w:rsidRDefault="00BC5A9C" w:rsidP="00BC5A9C">
      <w:pPr>
        <w:rPr>
          <w:noProof/>
          <w:lang w:val="en-IE"/>
        </w:rPr>
      </w:pPr>
      <w:r w:rsidRPr="00BC5A9C">
        <w:rPr>
          <w:noProof/>
          <w:lang w:val="en-IE"/>
        </w:rPr>
        <w:t xml:space="preserve">For this amended proposal, the Commission has mainly relied on the conclusions of the interinstitutional session of the EU Member States, with </w:t>
      </w:r>
      <w:r w:rsidR="00132C91">
        <w:rPr>
          <w:noProof/>
          <w:lang w:val="en-IE"/>
        </w:rPr>
        <w:t xml:space="preserve">the </w:t>
      </w:r>
      <w:r w:rsidRPr="00BC5A9C">
        <w:rPr>
          <w:noProof/>
          <w:lang w:val="en-IE"/>
        </w:rPr>
        <w:t xml:space="preserve">participation of Ukraine, </w:t>
      </w:r>
      <w:r w:rsidR="00726502">
        <w:rPr>
          <w:noProof/>
          <w:lang w:val="en-IE"/>
        </w:rPr>
        <w:t xml:space="preserve">the Republic of </w:t>
      </w:r>
      <w:r w:rsidRPr="00BC5A9C">
        <w:rPr>
          <w:noProof/>
          <w:lang w:val="en-IE"/>
        </w:rPr>
        <w:t xml:space="preserve">Moldova and Georgia, as well as on the bilateral exchanges with each Member State. </w:t>
      </w:r>
    </w:p>
    <w:p w:rsidR="002A4278" w:rsidRDefault="002A4278" w:rsidP="000671EA">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Impact assessment</w:t>
      </w:r>
    </w:p>
    <w:p w:rsidR="008C1B7A" w:rsidRDefault="008C1B7A" w:rsidP="00AB3C66">
      <w:pPr>
        <w:pBdr>
          <w:top w:val="nil"/>
          <w:left w:val="nil"/>
          <w:bottom w:val="nil"/>
          <w:right w:val="nil"/>
          <w:between w:val="nil"/>
          <w:bar w:val="nil"/>
        </w:pBdr>
        <w:rPr>
          <w:noProof/>
          <w:color w:val="000000" w:themeColor="text1"/>
        </w:rPr>
      </w:pPr>
      <w:r>
        <w:rPr>
          <w:noProof/>
          <w:color w:val="000000" w:themeColor="text1"/>
        </w:rPr>
        <w:t>A new impact assessment beyond the one underpinning the initial legislative proposal of 14 December 2021</w:t>
      </w:r>
      <w:r w:rsidR="003C31CF">
        <w:rPr>
          <w:rStyle w:val="FootnoteReference"/>
          <w:noProof/>
          <w:color w:val="000000" w:themeColor="text1"/>
        </w:rPr>
        <w:footnoteReference w:id="8"/>
      </w:r>
      <w:r>
        <w:rPr>
          <w:noProof/>
          <w:color w:val="000000" w:themeColor="text1"/>
        </w:rPr>
        <w:t xml:space="preserve"> is deemed unnecessary because the main objectives and preferred options have not changed, and because the economic, environmental </w:t>
      </w:r>
      <w:r w:rsidR="00132C91">
        <w:rPr>
          <w:noProof/>
          <w:color w:val="000000" w:themeColor="text1"/>
        </w:rPr>
        <w:t xml:space="preserve">and </w:t>
      </w:r>
      <w:r>
        <w:rPr>
          <w:noProof/>
          <w:color w:val="000000" w:themeColor="text1"/>
        </w:rPr>
        <w:t>social impacts of the text proposed should not differ significantly from the impacts that were expected to arise from the terms of the initial proposal</w:t>
      </w:r>
      <w:r w:rsidR="009927DE">
        <w:rPr>
          <w:noProof/>
          <w:color w:val="000000" w:themeColor="text1"/>
        </w:rPr>
        <w:t>In addition</w:t>
      </w:r>
      <w:r w:rsidRPr="008C1B7A">
        <w:rPr>
          <w:noProof/>
          <w:color w:val="000000" w:themeColor="text1"/>
        </w:rPr>
        <w:t>, the</w:t>
      </w:r>
      <w:r w:rsidR="00AB3C66">
        <w:rPr>
          <w:noProof/>
          <w:color w:val="000000" w:themeColor="text1"/>
        </w:rPr>
        <w:t xml:space="preserve"> </w:t>
      </w:r>
      <w:r w:rsidRPr="008C1B7A">
        <w:rPr>
          <w:noProof/>
          <w:color w:val="000000" w:themeColor="text1"/>
        </w:rPr>
        <w:t xml:space="preserve">impact assessment </w:t>
      </w:r>
      <w:r w:rsidR="00AB3C66">
        <w:rPr>
          <w:noProof/>
          <w:color w:val="000000" w:themeColor="text1"/>
        </w:rPr>
        <w:t>of the initial proposal</w:t>
      </w:r>
      <w:r w:rsidR="00D95D89">
        <w:rPr>
          <w:noProof/>
          <w:color w:val="000000" w:themeColor="text1"/>
        </w:rPr>
        <w:t xml:space="preserve"> t</w:t>
      </w:r>
      <w:r w:rsidR="00132C91">
        <w:rPr>
          <w:noProof/>
          <w:color w:val="000000" w:themeColor="text1"/>
        </w:rPr>
        <w:t>ook</w:t>
      </w:r>
      <w:r w:rsidR="00D95D89">
        <w:rPr>
          <w:noProof/>
          <w:color w:val="000000" w:themeColor="text1"/>
        </w:rPr>
        <w:t xml:space="preserve"> account of the transport flows from third countries</w:t>
      </w:r>
      <w:r w:rsidR="00132C91">
        <w:rPr>
          <w:noProof/>
          <w:color w:val="000000" w:themeColor="text1"/>
        </w:rPr>
        <w:t>, but</w:t>
      </w:r>
      <w:r w:rsidR="00D95D89">
        <w:rPr>
          <w:noProof/>
          <w:color w:val="000000" w:themeColor="text1"/>
        </w:rPr>
        <w:t xml:space="preserve"> only in a stylised way</w:t>
      </w:r>
      <w:r w:rsidR="00132C91">
        <w:rPr>
          <w:noProof/>
          <w:color w:val="000000" w:themeColor="text1"/>
        </w:rPr>
        <w:t>,</w:t>
      </w:r>
      <w:r w:rsidR="00D95D89">
        <w:rPr>
          <w:noProof/>
          <w:color w:val="000000" w:themeColor="text1"/>
        </w:rPr>
        <w:t xml:space="preserve"> and did</w:t>
      </w:r>
      <w:r w:rsidRPr="008C1B7A">
        <w:rPr>
          <w:noProof/>
          <w:color w:val="000000" w:themeColor="text1"/>
        </w:rPr>
        <w:t xml:space="preserve"> not take into account the </w:t>
      </w:r>
      <w:r w:rsidR="00D95D89">
        <w:rPr>
          <w:noProof/>
          <w:color w:val="000000" w:themeColor="text1"/>
        </w:rPr>
        <w:t xml:space="preserve">exact alignments of the </w:t>
      </w:r>
      <w:r w:rsidRPr="008C1B7A">
        <w:rPr>
          <w:noProof/>
          <w:color w:val="000000" w:themeColor="text1"/>
        </w:rPr>
        <w:t xml:space="preserve">indicative networks of the neighbouring </w:t>
      </w:r>
      <w:r w:rsidR="00132C91" w:rsidRPr="008C1B7A">
        <w:rPr>
          <w:noProof/>
          <w:color w:val="000000" w:themeColor="text1"/>
        </w:rPr>
        <w:t xml:space="preserve">third </w:t>
      </w:r>
      <w:r w:rsidRPr="008C1B7A">
        <w:rPr>
          <w:noProof/>
          <w:color w:val="000000" w:themeColor="text1"/>
        </w:rPr>
        <w:t xml:space="preserve">countries. Since this proposal modifies mainly the maps of the neighbouring </w:t>
      </w:r>
      <w:r w:rsidR="00132C91" w:rsidRPr="008C1B7A">
        <w:rPr>
          <w:noProof/>
          <w:color w:val="000000" w:themeColor="text1"/>
        </w:rPr>
        <w:t xml:space="preserve">third </w:t>
      </w:r>
      <w:r w:rsidRPr="008C1B7A">
        <w:rPr>
          <w:noProof/>
          <w:color w:val="000000" w:themeColor="text1"/>
        </w:rPr>
        <w:t>countries</w:t>
      </w:r>
      <w:r w:rsidR="003C31CF">
        <w:rPr>
          <w:noProof/>
          <w:color w:val="000000" w:themeColor="text1"/>
        </w:rPr>
        <w:t xml:space="preserve"> and limited last-mile connections towards these countries on Union territory</w:t>
      </w:r>
      <w:r w:rsidRPr="008C1B7A">
        <w:rPr>
          <w:noProof/>
          <w:color w:val="000000" w:themeColor="text1"/>
        </w:rPr>
        <w:t xml:space="preserve">, </w:t>
      </w:r>
      <w:r w:rsidR="00132C91">
        <w:rPr>
          <w:noProof/>
          <w:color w:val="000000" w:themeColor="text1"/>
        </w:rPr>
        <w:t>it</w:t>
      </w:r>
      <w:r w:rsidR="00132C91" w:rsidRPr="008C1B7A">
        <w:rPr>
          <w:noProof/>
          <w:color w:val="000000" w:themeColor="text1"/>
        </w:rPr>
        <w:t xml:space="preserve"> </w:t>
      </w:r>
      <w:r w:rsidRPr="008C1B7A">
        <w:rPr>
          <w:noProof/>
          <w:color w:val="000000" w:themeColor="text1"/>
        </w:rPr>
        <w:t xml:space="preserve">should not have an impact on the results of the initial impact assessment. </w:t>
      </w:r>
    </w:p>
    <w:p w:rsidR="007D339F" w:rsidRDefault="008C1B7A" w:rsidP="00AB3C66">
      <w:pPr>
        <w:pBdr>
          <w:top w:val="nil"/>
          <w:left w:val="nil"/>
          <w:bottom w:val="nil"/>
          <w:right w:val="nil"/>
          <w:between w:val="nil"/>
          <w:bar w:val="nil"/>
        </w:pBdr>
        <w:rPr>
          <w:noProof/>
          <w:color w:val="000000" w:themeColor="text1"/>
        </w:rPr>
      </w:pPr>
      <w:r>
        <w:rPr>
          <w:noProof/>
          <w:color w:val="000000" w:themeColor="text1"/>
        </w:rPr>
        <w:t>As for the new provisions to foster the migration to the Europ</w:t>
      </w:r>
      <w:r w:rsidR="00127C34">
        <w:rPr>
          <w:noProof/>
          <w:color w:val="000000" w:themeColor="text1"/>
        </w:rPr>
        <w:t>ean nominal railway track gauge</w:t>
      </w:r>
      <w:r>
        <w:rPr>
          <w:noProof/>
          <w:color w:val="000000" w:themeColor="text1"/>
        </w:rPr>
        <w:t xml:space="preserve">, </w:t>
      </w:r>
      <w:r w:rsidR="000E1F33">
        <w:rPr>
          <w:noProof/>
          <w:color w:val="000000" w:themeColor="text1"/>
        </w:rPr>
        <w:t>t</w:t>
      </w:r>
      <w:r w:rsidR="007D339F">
        <w:rPr>
          <w:noProof/>
          <w:color w:val="000000" w:themeColor="text1"/>
        </w:rPr>
        <w:t xml:space="preserve">his proposal limits itself to a </w:t>
      </w:r>
      <w:r w:rsidR="00127C34">
        <w:rPr>
          <w:noProof/>
          <w:color w:val="000000" w:themeColor="text1"/>
        </w:rPr>
        <w:t>limited</w:t>
      </w:r>
      <w:r w:rsidR="007D339F">
        <w:rPr>
          <w:noProof/>
          <w:color w:val="000000" w:themeColor="text1"/>
        </w:rPr>
        <w:t xml:space="preserve"> modification of the </w:t>
      </w:r>
      <w:r w:rsidR="000E1F33">
        <w:rPr>
          <w:noProof/>
          <w:color w:val="000000" w:themeColor="text1"/>
        </w:rPr>
        <w:t xml:space="preserve">requirement </w:t>
      </w:r>
      <w:r w:rsidR="00132C91">
        <w:rPr>
          <w:noProof/>
          <w:color w:val="000000" w:themeColor="text1"/>
        </w:rPr>
        <w:t>under</w:t>
      </w:r>
      <w:r w:rsidR="007D339F">
        <w:rPr>
          <w:noProof/>
          <w:color w:val="000000" w:themeColor="text1"/>
        </w:rPr>
        <w:t xml:space="preserve"> the current legislative proposal</w:t>
      </w:r>
      <w:r w:rsidR="00132C91">
        <w:rPr>
          <w:noProof/>
          <w:color w:val="000000" w:themeColor="text1"/>
        </w:rPr>
        <w:t>,</w:t>
      </w:r>
      <w:r w:rsidR="007D339F">
        <w:rPr>
          <w:noProof/>
          <w:color w:val="000000" w:themeColor="text1"/>
        </w:rPr>
        <w:t xml:space="preserve"> </w:t>
      </w:r>
      <w:r w:rsidR="000E1F33">
        <w:rPr>
          <w:noProof/>
          <w:color w:val="000000" w:themeColor="text1"/>
        </w:rPr>
        <w:t xml:space="preserve">which </w:t>
      </w:r>
      <w:r w:rsidR="00132C91">
        <w:rPr>
          <w:noProof/>
          <w:color w:val="000000" w:themeColor="text1"/>
        </w:rPr>
        <w:t>makes provision for</w:t>
      </w:r>
      <w:r w:rsidR="000E1F33">
        <w:rPr>
          <w:noProof/>
          <w:color w:val="000000" w:themeColor="text1"/>
        </w:rPr>
        <w:t xml:space="preserve"> new railway lines</w:t>
      </w:r>
      <w:r w:rsidR="009C5FC3">
        <w:rPr>
          <w:noProof/>
          <w:color w:val="000000" w:themeColor="text1"/>
        </w:rPr>
        <w:t xml:space="preserve"> on the TEN-T</w:t>
      </w:r>
      <w:r w:rsidR="007E3960">
        <w:rPr>
          <w:noProof/>
          <w:color w:val="000000" w:themeColor="text1"/>
        </w:rPr>
        <w:t xml:space="preserve"> (i.e.</w:t>
      </w:r>
      <w:r w:rsidR="000E1F33">
        <w:rPr>
          <w:noProof/>
          <w:color w:val="000000" w:themeColor="text1"/>
        </w:rPr>
        <w:t xml:space="preserve"> those still to be built as of the </w:t>
      </w:r>
      <w:r w:rsidR="007E3960">
        <w:rPr>
          <w:noProof/>
          <w:color w:val="000000" w:themeColor="text1"/>
        </w:rPr>
        <w:t xml:space="preserve">Regulation’s </w:t>
      </w:r>
      <w:r w:rsidR="000E1F33">
        <w:rPr>
          <w:noProof/>
          <w:color w:val="000000" w:themeColor="text1"/>
        </w:rPr>
        <w:t>entry into force</w:t>
      </w:r>
      <w:r w:rsidR="007E3960">
        <w:rPr>
          <w:noProof/>
          <w:color w:val="000000" w:themeColor="text1"/>
        </w:rPr>
        <w:t>)</w:t>
      </w:r>
      <w:r w:rsidR="000E1F33">
        <w:rPr>
          <w:noProof/>
          <w:color w:val="000000" w:themeColor="text1"/>
        </w:rPr>
        <w:t xml:space="preserve">, </w:t>
      </w:r>
      <w:r w:rsidR="007E3960">
        <w:rPr>
          <w:noProof/>
          <w:color w:val="000000" w:themeColor="text1"/>
        </w:rPr>
        <w:t xml:space="preserve">to </w:t>
      </w:r>
      <w:r w:rsidR="000E1F33">
        <w:rPr>
          <w:noProof/>
          <w:color w:val="000000" w:themeColor="text1"/>
        </w:rPr>
        <w:t xml:space="preserve">migrate to </w:t>
      </w:r>
      <w:r w:rsidR="001A2D3E">
        <w:rPr>
          <w:noProof/>
          <w:lang w:val="en-IE"/>
        </w:rPr>
        <w:t xml:space="preserve">the </w:t>
      </w:r>
      <w:r w:rsidR="001A2D3E" w:rsidRPr="007D45AA">
        <w:rPr>
          <w:noProof/>
        </w:rPr>
        <w:t>European standard nominal track gauge of 1</w:t>
      </w:r>
      <w:r w:rsidR="007E3960">
        <w:rPr>
          <w:noProof/>
        </w:rPr>
        <w:t xml:space="preserve"> </w:t>
      </w:r>
      <w:r w:rsidR="001A2D3E" w:rsidRPr="007D45AA">
        <w:rPr>
          <w:noProof/>
        </w:rPr>
        <w:t>435 mm</w:t>
      </w:r>
      <w:r w:rsidR="000E1F33">
        <w:rPr>
          <w:noProof/>
          <w:color w:val="000000" w:themeColor="text1"/>
        </w:rPr>
        <w:t xml:space="preserve">. </w:t>
      </w:r>
      <w:r w:rsidR="007D339F">
        <w:rPr>
          <w:noProof/>
          <w:color w:val="000000" w:themeColor="text1"/>
        </w:rPr>
        <w:t xml:space="preserve">The legislative proposal of December 2021 exempts new railway lines from this provision which are “an extension on a network the track gauge of which is different and detached from the main rail lines in the Union”. This requirement is not very clear and the current proposal is aimed </w:t>
      </w:r>
      <w:r w:rsidR="007E3960">
        <w:rPr>
          <w:noProof/>
          <w:color w:val="000000" w:themeColor="text1"/>
        </w:rPr>
        <w:t xml:space="preserve">at </w:t>
      </w:r>
      <w:r w:rsidR="007D339F">
        <w:rPr>
          <w:noProof/>
          <w:color w:val="000000" w:themeColor="text1"/>
        </w:rPr>
        <w:t>interpret</w:t>
      </w:r>
      <w:r w:rsidR="007E3960">
        <w:rPr>
          <w:noProof/>
          <w:color w:val="000000" w:themeColor="text1"/>
        </w:rPr>
        <w:t>ing</w:t>
      </w:r>
      <w:r w:rsidR="007D339F">
        <w:rPr>
          <w:noProof/>
          <w:color w:val="000000" w:themeColor="text1"/>
        </w:rPr>
        <w:t xml:space="preserve"> this in a clearer way, and above all </w:t>
      </w:r>
      <w:r w:rsidR="007E3960">
        <w:rPr>
          <w:noProof/>
          <w:color w:val="000000" w:themeColor="text1"/>
        </w:rPr>
        <w:t xml:space="preserve">at </w:t>
      </w:r>
      <w:r w:rsidR="007D339F">
        <w:rPr>
          <w:noProof/>
          <w:color w:val="000000" w:themeColor="text1"/>
        </w:rPr>
        <w:t>mak</w:t>
      </w:r>
      <w:r w:rsidR="007E3960">
        <w:rPr>
          <w:noProof/>
          <w:color w:val="000000" w:themeColor="text1"/>
        </w:rPr>
        <w:t>ing</w:t>
      </w:r>
      <w:r w:rsidR="007D339F">
        <w:rPr>
          <w:noProof/>
          <w:color w:val="000000" w:themeColor="text1"/>
        </w:rPr>
        <w:t xml:space="preserve"> sure that so called “isolated networks”, i.e. networks of a different gauge than </w:t>
      </w:r>
      <w:r w:rsidR="001A2D3E">
        <w:rPr>
          <w:noProof/>
          <w:lang w:val="en-IE"/>
        </w:rPr>
        <w:t xml:space="preserve">the </w:t>
      </w:r>
      <w:r w:rsidR="001A2D3E" w:rsidRPr="007D45AA">
        <w:rPr>
          <w:noProof/>
        </w:rPr>
        <w:t>European standard nominal track gauge of 1</w:t>
      </w:r>
      <w:r w:rsidR="00110C36">
        <w:rPr>
          <w:noProof/>
        </w:rPr>
        <w:t xml:space="preserve"> </w:t>
      </w:r>
      <w:r w:rsidR="001A2D3E" w:rsidRPr="007D45AA">
        <w:rPr>
          <w:noProof/>
        </w:rPr>
        <w:t>435 mm</w:t>
      </w:r>
      <w:r w:rsidR="007D339F">
        <w:rPr>
          <w:noProof/>
          <w:color w:val="000000" w:themeColor="text1"/>
        </w:rPr>
        <w:t>, are not automatically exempted from this requirement.</w:t>
      </w:r>
    </w:p>
    <w:p w:rsidR="008C1B7A" w:rsidRDefault="007D339F" w:rsidP="00AB3C66">
      <w:pPr>
        <w:pBdr>
          <w:top w:val="nil"/>
          <w:left w:val="nil"/>
          <w:bottom w:val="nil"/>
          <w:right w:val="nil"/>
          <w:between w:val="nil"/>
          <w:bar w:val="nil"/>
        </w:pBdr>
        <w:rPr>
          <w:noProof/>
          <w:color w:val="000000" w:themeColor="text1"/>
        </w:rPr>
      </w:pPr>
      <w:r>
        <w:rPr>
          <w:noProof/>
          <w:color w:val="000000" w:themeColor="text1"/>
        </w:rPr>
        <w:t>In any case, this formal requirement regards only new railway lines. T</w:t>
      </w:r>
      <w:r w:rsidR="00AB3C66">
        <w:rPr>
          <w:noProof/>
          <w:color w:val="000000" w:themeColor="text1"/>
        </w:rPr>
        <w:t xml:space="preserve">he costs </w:t>
      </w:r>
      <w:r w:rsidR="007E3960">
        <w:rPr>
          <w:noProof/>
          <w:color w:val="000000" w:themeColor="text1"/>
        </w:rPr>
        <w:t>of building</w:t>
      </w:r>
      <w:r w:rsidR="00AB3C66">
        <w:rPr>
          <w:noProof/>
          <w:color w:val="000000" w:themeColor="text1"/>
        </w:rPr>
        <w:t xml:space="preserve"> a </w:t>
      </w:r>
      <w:r>
        <w:rPr>
          <w:noProof/>
          <w:color w:val="000000" w:themeColor="text1"/>
        </w:rPr>
        <w:t xml:space="preserve">new </w:t>
      </w:r>
      <w:r w:rsidR="00AB3C66">
        <w:rPr>
          <w:noProof/>
          <w:color w:val="000000" w:themeColor="text1"/>
        </w:rPr>
        <w:t xml:space="preserve">railway line in </w:t>
      </w:r>
      <w:r w:rsidR="001A2D3E" w:rsidRPr="007D45AA">
        <w:rPr>
          <w:noProof/>
        </w:rPr>
        <w:t>European standard nominal track gauge of 1</w:t>
      </w:r>
      <w:r w:rsidR="007E3960">
        <w:rPr>
          <w:noProof/>
        </w:rPr>
        <w:t xml:space="preserve"> </w:t>
      </w:r>
      <w:r w:rsidR="001A2D3E" w:rsidRPr="007D45AA">
        <w:rPr>
          <w:noProof/>
        </w:rPr>
        <w:t>435 mm</w:t>
      </w:r>
      <w:r w:rsidR="001A2D3E">
        <w:rPr>
          <w:noProof/>
          <w:lang w:val="en-IE"/>
        </w:rPr>
        <w:t xml:space="preserve"> </w:t>
      </w:r>
      <w:r w:rsidR="00AB3C66">
        <w:rPr>
          <w:noProof/>
          <w:color w:val="000000" w:themeColor="text1"/>
        </w:rPr>
        <w:t xml:space="preserve">do not differ in principle from those in a different track gauge. Hence, there should be no major </w:t>
      </w:r>
      <w:r w:rsidR="009C5FC3">
        <w:rPr>
          <w:noProof/>
          <w:color w:val="000000" w:themeColor="text1"/>
        </w:rPr>
        <w:t xml:space="preserve">difference in </w:t>
      </w:r>
      <w:r w:rsidR="00AB3C66">
        <w:rPr>
          <w:noProof/>
          <w:color w:val="000000" w:themeColor="text1"/>
        </w:rPr>
        <w:t>economic impact</w:t>
      </w:r>
      <w:r w:rsidR="009C5FC3">
        <w:rPr>
          <w:noProof/>
          <w:color w:val="000000" w:themeColor="text1"/>
        </w:rPr>
        <w:t>s</w:t>
      </w:r>
      <w:r w:rsidR="00AB3C66">
        <w:rPr>
          <w:noProof/>
          <w:color w:val="000000" w:themeColor="text1"/>
        </w:rPr>
        <w:t xml:space="preserve"> </w:t>
      </w:r>
      <w:r w:rsidR="007E3960">
        <w:rPr>
          <w:noProof/>
          <w:color w:val="000000" w:themeColor="text1"/>
        </w:rPr>
        <w:t>of</w:t>
      </w:r>
      <w:r w:rsidR="00AB3C66">
        <w:rPr>
          <w:noProof/>
          <w:color w:val="000000" w:themeColor="text1"/>
        </w:rPr>
        <w:t xml:space="preserve"> this measure</w:t>
      </w:r>
      <w:r w:rsidR="009C5FC3">
        <w:rPr>
          <w:noProof/>
          <w:color w:val="000000" w:themeColor="text1"/>
        </w:rPr>
        <w:t xml:space="preserve"> compared to the initial impact assessement</w:t>
      </w:r>
      <w:r w:rsidR="00AB3C66">
        <w:rPr>
          <w:noProof/>
          <w:color w:val="000000" w:themeColor="text1"/>
        </w:rPr>
        <w:t xml:space="preserve">. </w:t>
      </w:r>
    </w:p>
    <w:p w:rsidR="00564598" w:rsidRDefault="00FA1E7A" w:rsidP="00AB3C66">
      <w:pPr>
        <w:pBdr>
          <w:top w:val="nil"/>
          <w:left w:val="nil"/>
          <w:bottom w:val="nil"/>
          <w:right w:val="nil"/>
          <w:between w:val="nil"/>
          <w:bar w:val="nil"/>
        </w:pBdr>
        <w:rPr>
          <w:noProof/>
        </w:rPr>
      </w:pPr>
      <w:r>
        <w:rPr>
          <w:noProof/>
        </w:rPr>
        <w:t>S</w:t>
      </w:r>
      <w:r w:rsidR="00564598">
        <w:rPr>
          <w:noProof/>
        </w:rPr>
        <w:t>everal Member States</w:t>
      </w:r>
      <w:r>
        <w:rPr>
          <w:noProof/>
        </w:rPr>
        <w:t xml:space="preserve"> have today a railway network with different track gauges. </w:t>
      </w:r>
      <w:r w:rsidR="0098546E">
        <w:rPr>
          <w:noProof/>
        </w:rPr>
        <w:t>L</w:t>
      </w:r>
      <w:r w:rsidR="00564598">
        <w:rPr>
          <w:noProof/>
        </w:rPr>
        <w:t>atest technology allow</w:t>
      </w:r>
      <w:r w:rsidR="0098546E">
        <w:rPr>
          <w:noProof/>
        </w:rPr>
        <w:t>s</w:t>
      </w:r>
      <w:r w:rsidR="00564598">
        <w:rPr>
          <w:noProof/>
        </w:rPr>
        <w:t xml:space="preserve"> for operating on different track gauges with variable gauge trains. Another </w:t>
      </w:r>
      <w:r>
        <w:rPr>
          <w:noProof/>
        </w:rPr>
        <w:t>technology</w:t>
      </w:r>
      <w:r w:rsidR="00564598">
        <w:rPr>
          <w:noProof/>
        </w:rPr>
        <w:t xml:space="preserve"> for managing different track gauges on a network is the </w:t>
      </w:r>
      <w:r>
        <w:rPr>
          <w:noProof/>
        </w:rPr>
        <w:t>so</w:t>
      </w:r>
      <w:r w:rsidR="0098546E">
        <w:rPr>
          <w:noProof/>
        </w:rPr>
        <w:t>-</w:t>
      </w:r>
      <w:r>
        <w:rPr>
          <w:noProof/>
        </w:rPr>
        <w:t xml:space="preserve">called </w:t>
      </w:r>
      <w:r w:rsidR="00564598">
        <w:rPr>
          <w:noProof/>
        </w:rPr>
        <w:t>third rail on the infrastructure tracks</w:t>
      </w:r>
      <w:r>
        <w:rPr>
          <w:noProof/>
        </w:rPr>
        <w:t>,</w:t>
      </w:r>
      <w:r w:rsidR="00564598">
        <w:rPr>
          <w:noProof/>
        </w:rPr>
        <w:t xml:space="preserve"> that allow</w:t>
      </w:r>
      <w:r>
        <w:rPr>
          <w:noProof/>
        </w:rPr>
        <w:t>s</w:t>
      </w:r>
      <w:r w:rsidR="00564598">
        <w:rPr>
          <w:noProof/>
        </w:rPr>
        <w:t xml:space="preserve"> </w:t>
      </w:r>
      <w:r>
        <w:rPr>
          <w:noProof/>
        </w:rPr>
        <w:t>different types</w:t>
      </w:r>
      <w:r w:rsidR="00564598">
        <w:rPr>
          <w:noProof/>
        </w:rPr>
        <w:t xml:space="preserve"> of trains to circulate</w:t>
      </w:r>
      <w:r>
        <w:rPr>
          <w:noProof/>
        </w:rPr>
        <w:t xml:space="preserve"> on the infrastructure</w:t>
      </w:r>
      <w:r w:rsidR="00564598">
        <w:rPr>
          <w:noProof/>
        </w:rPr>
        <w:t xml:space="preserve">. </w:t>
      </w:r>
      <w:r w:rsidR="00564598" w:rsidRPr="00A27C6A">
        <w:rPr>
          <w:noProof/>
        </w:rPr>
        <w:t>Spain</w:t>
      </w:r>
      <w:r w:rsidR="00564598">
        <w:rPr>
          <w:noProof/>
        </w:rPr>
        <w:t xml:space="preserve">, for example, has been developing a high speed network with the European standard </w:t>
      </w:r>
      <w:r w:rsidR="00110C36">
        <w:rPr>
          <w:noProof/>
        </w:rPr>
        <w:t xml:space="preserve">nominal </w:t>
      </w:r>
      <w:r w:rsidR="00564598">
        <w:rPr>
          <w:noProof/>
        </w:rPr>
        <w:t xml:space="preserve">track gauge, a conventional network in Iberian gauge and a metric gauge in some urban nodes. </w:t>
      </w:r>
      <w:r w:rsidR="00C01D90">
        <w:rPr>
          <w:noProof/>
        </w:rPr>
        <w:t>While this entails an additional cost, t</w:t>
      </w:r>
      <w:r w:rsidR="0098546E">
        <w:rPr>
          <w:noProof/>
        </w:rPr>
        <w:t xml:space="preserve">echnology therefore exists to ensure that the progressive migration of railway lines to the </w:t>
      </w:r>
      <w:r w:rsidR="0098546E" w:rsidRPr="007D45AA">
        <w:rPr>
          <w:noProof/>
        </w:rPr>
        <w:t xml:space="preserve">European standard nominal track gauge </w:t>
      </w:r>
      <w:r w:rsidR="0098546E">
        <w:rPr>
          <w:noProof/>
        </w:rPr>
        <w:t xml:space="preserve">will </w:t>
      </w:r>
      <w:r w:rsidR="00C01D90">
        <w:rPr>
          <w:noProof/>
        </w:rPr>
        <w:t xml:space="preserve">have limited effect on the </w:t>
      </w:r>
      <w:r w:rsidR="0098546E">
        <w:rPr>
          <w:noProof/>
        </w:rPr>
        <w:t>railway system</w:t>
      </w:r>
      <w:r w:rsidR="00C01D90">
        <w:rPr>
          <w:noProof/>
        </w:rPr>
        <w:t xml:space="preserve"> and should disrupt rail traffic</w:t>
      </w:r>
      <w:r w:rsidR="0098546E">
        <w:rPr>
          <w:noProof/>
        </w:rPr>
        <w:t xml:space="preserve">. </w:t>
      </w:r>
      <w:r w:rsidR="00564598">
        <w:rPr>
          <w:noProof/>
        </w:rPr>
        <w:t xml:space="preserve">The </w:t>
      </w:r>
      <w:r w:rsidR="0098546E">
        <w:rPr>
          <w:noProof/>
        </w:rPr>
        <w:t>experience in Spain</w:t>
      </w:r>
      <w:r w:rsidR="00564598">
        <w:rPr>
          <w:noProof/>
        </w:rPr>
        <w:t xml:space="preserve"> also shows that once the process to migrate some lines with the European standard </w:t>
      </w:r>
      <w:r w:rsidR="004F06F6">
        <w:rPr>
          <w:noProof/>
        </w:rPr>
        <w:t xml:space="preserve">nominal track </w:t>
      </w:r>
      <w:r w:rsidR="00564598">
        <w:rPr>
          <w:noProof/>
        </w:rPr>
        <w:t>gauge</w:t>
      </w:r>
      <w:r w:rsidR="00564598" w:rsidRPr="00A27C6A">
        <w:rPr>
          <w:noProof/>
        </w:rPr>
        <w:t xml:space="preserve"> </w:t>
      </w:r>
      <w:r w:rsidR="00564598">
        <w:rPr>
          <w:noProof/>
        </w:rPr>
        <w:t>is engaged, it triggers the migration</w:t>
      </w:r>
      <w:r w:rsidR="0098546E">
        <w:rPr>
          <w:noProof/>
        </w:rPr>
        <w:t xml:space="preserve"> on other parts of the network</w:t>
      </w:r>
      <w:r w:rsidR="00564598">
        <w:rPr>
          <w:noProof/>
        </w:rPr>
        <w:t>. Starting the migration on the main railway lines of the TEN-T network will therefore create a positive dynamic.</w:t>
      </w:r>
    </w:p>
    <w:p w:rsidR="00AB3C66" w:rsidRDefault="00AB3C66" w:rsidP="00AB3C66">
      <w:pPr>
        <w:pBdr>
          <w:top w:val="nil"/>
          <w:left w:val="nil"/>
          <w:bottom w:val="nil"/>
          <w:right w:val="nil"/>
          <w:between w:val="nil"/>
          <w:bar w:val="nil"/>
        </w:pBdr>
        <w:rPr>
          <w:i/>
          <w:noProof/>
        </w:rPr>
      </w:pPr>
      <w:r>
        <w:rPr>
          <w:noProof/>
          <w:color w:val="000000" w:themeColor="text1"/>
        </w:rPr>
        <w:t xml:space="preserve">On the other side, this amended proposal includes a provision that </w:t>
      </w:r>
      <w:r w:rsidR="007E3960">
        <w:rPr>
          <w:noProof/>
          <w:color w:val="000000" w:themeColor="text1"/>
        </w:rPr>
        <w:t>calls on</w:t>
      </w:r>
      <w:r>
        <w:rPr>
          <w:noProof/>
          <w:color w:val="000000" w:themeColor="text1"/>
        </w:rPr>
        <w:t xml:space="preserve"> Member States with a railway network that is different from </w:t>
      </w:r>
      <w:r w:rsidR="001A2D3E">
        <w:rPr>
          <w:noProof/>
          <w:lang w:val="en-IE"/>
        </w:rPr>
        <w:t xml:space="preserve">the </w:t>
      </w:r>
      <w:r w:rsidR="001A2D3E" w:rsidRPr="007D45AA">
        <w:rPr>
          <w:noProof/>
        </w:rPr>
        <w:t>European standard nominal track gauge of 1</w:t>
      </w:r>
      <w:r w:rsidR="007E3960">
        <w:rPr>
          <w:noProof/>
        </w:rPr>
        <w:t xml:space="preserve"> </w:t>
      </w:r>
      <w:r w:rsidR="001A2D3E" w:rsidRPr="007D45AA">
        <w:rPr>
          <w:noProof/>
        </w:rPr>
        <w:t>435 mm</w:t>
      </w:r>
      <w:r w:rsidR="001A2D3E">
        <w:rPr>
          <w:noProof/>
          <w:lang w:val="en-IE"/>
        </w:rPr>
        <w:t xml:space="preserve"> </w:t>
      </w:r>
      <w:r>
        <w:rPr>
          <w:noProof/>
          <w:color w:val="000000" w:themeColor="text1"/>
        </w:rPr>
        <w:t xml:space="preserve">to establish a migration plan to </w:t>
      </w:r>
      <w:r w:rsidR="007E3960">
        <w:rPr>
          <w:noProof/>
          <w:color w:val="000000" w:themeColor="text1"/>
        </w:rPr>
        <w:t xml:space="preserve">the </w:t>
      </w:r>
      <w:r w:rsidR="007E3960" w:rsidRPr="007D45AA">
        <w:rPr>
          <w:noProof/>
        </w:rPr>
        <w:t>European standard nominal track gauge</w:t>
      </w:r>
      <w:r>
        <w:rPr>
          <w:noProof/>
          <w:color w:val="000000" w:themeColor="text1"/>
        </w:rPr>
        <w:t xml:space="preserve"> for the existing lines of the European Transport Corridors. This migration plan </w:t>
      </w:r>
      <w:r w:rsidR="007E3960">
        <w:rPr>
          <w:noProof/>
          <w:color w:val="000000" w:themeColor="text1"/>
        </w:rPr>
        <w:t xml:space="preserve">will </w:t>
      </w:r>
      <w:r>
        <w:rPr>
          <w:noProof/>
          <w:color w:val="000000" w:themeColor="text1"/>
        </w:rPr>
        <w:t xml:space="preserve">include </w:t>
      </w:r>
      <w:r w:rsidRPr="00AB3C66">
        <w:rPr>
          <w:noProof/>
          <w:color w:val="000000" w:themeColor="text1"/>
        </w:rPr>
        <w:t>a socio-economic cost-benefit analysis. The economic and social impacts would hence be analysed as part of this migration plan.</w:t>
      </w:r>
      <w:r w:rsidR="003C31CF">
        <w:rPr>
          <w:noProof/>
          <w:color w:val="000000" w:themeColor="text1"/>
        </w:rPr>
        <w:t xml:space="preserve"> If such analysis results in a negative cost-benefit analysis, Member States can refrain from migrating certain sections</w:t>
      </w:r>
      <w:r w:rsidR="00902158">
        <w:rPr>
          <w:noProof/>
          <w:color w:val="000000" w:themeColor="text1"/>
        </w:rPr>
        <w:t xml:space="preserve"> </w:t>
      </w:r>
      <w:r w:rsidR="009C5FC3">
        <w:rPr>
          <w:noProof/>
          <w:color w:val="000000" w:themeColor="text1"/>
        </w:rPr>
        <w:t>of their network</w:t>
      </w:r>
      <w:r w:rsidR="003C31CF">
        <w:rPr>
          <w:noProof/>
          <w:color w:val="000000" w:themeColor="text1"/>
        </w:rPr>
        <w:t xml:space="preserve"> to </w:t>
      </w:r>
      <w:r w:rsidR="00564598">
        <w:rPr>
          <w:noProof/>
          <w:color w:val="000000" w:themeColor="text1"/>
        </w:rPr>
        <w:t xml:space="preserve">European standard nominal track </w:t>
      </w:r>
      <w:r w:rsidR="003C31CF">
        <w:rPr>
          <w:noProof/>
          <w:color w:val="000000" w:themeColor="text1"/>
        </w:rPr>
        <w:t xml:space="preserve">gauge. </w:t>
      </w:r>
      <w:r>
        <w:rPr>
          <w:i/>
          <w:noProof/>
        </w:rPr>
        <w:t xml:space="preserve"> </w:t>
      </w:r>
    </w:p>
    <w:p w:rsidR="004E5E79" w:rsidRDefault="00AB3C66" w:rsidP="00874A5F">
      <w:pPr>
        <w:rPr>
          <w:noProof/>
        </w:rPr>
      </w:pPr>
      <w:r w:rsidRPr="00AB3C66">
        <w:rPr>
          <w:noProof/>
        </w:rPr>
        <w:t>Overall, the migration to European standard</w:t>
      </w:r>
      <w:r w:rsidR="004F06F6">
        <w:rPr>
          <w:noProof/>
        </w:rPr>
        <w:t xml:space="preserve"> nominal</w:t>
      </w:r>
      <w:r w:rsidRPr="00AB3C66">
        <w:rPr>
          <w:noProof/>
        </w:rPr>
        <w:t xml:space="preserve"> track gauge </w:t>
      </w:r>
      <w:r>
        <w:rPr>
          <w:noProof/>
        </w:rPr>
        <w:t xml:space="preserve">is expected to have positive effects and impacts. </w:t>
      </w:r>
      <w:r w:rsidR="004E5E79">
        <w:rPr>
          <w:noProof/>
        </w:rPr>
        <w:t xml:space="preserve">Above all, it aims at better interoperability of rail transport across the Union and with the neighbouring third countries. For example, </w:t>
      </w:r>
      <w:r w:rsidR="00874A5F" w:rsidRPr="00874A5F">
        <w:rPr>
          <w:noProof/>
        </w:rPr>
        <w:t>the need to export agricultural products fro</w:t>
      </w:r>
      <w:r w:rsidR="00874A5F">
        <w:rPr>
          <w:noProof/>
        </w:rPr>
        <w:t>m Ukraine to European</w:t>
      </w:r>
      <w:r w:rsidR="00874A5F" w:rsidRPr="00874A5F">
        <w:rPr>
          <w:noProof/>
        </w:rPr>
        <w:t xml:space="preserve"> ports following </w:t>
      </w:r>
      <w:r w:rsidR="00874A5F">
        <w:rPr>
          <w:noProof/>
        </w:rPr>
        <w:t xml:space="preserve">the </w:t>
      </w:r>
      <w:r w:rsidR="004530B8">
        <w:rPr>
          <w:noProof/>
        </w:rPr>
        <w:t xml:space="preserve">Russian </w:t>
      </w:r>
      <w:r w:rsidR="004530B8" w:rsidRPr="00874A5F">
        <w:rPr>
          <w:noProof/>
        </w:rPr>
        <w:t>blocka</w:t>
      </w:r>
      <w:r w:rsidR="004530B8">
        <w:rPr>
          <w:noProof/>
        </w:rPr>
        <w:t>d</w:t>
      </w:r>
      <w:r w:rsidR="004530B8" w:rsidRPr="00874A5F">
        <w:rPr>
          <w:noProof/>
        </w:rPr>
        <w:t xml:space="preserve">e </w:t>
      </w:r>
      <w:r w:rsidR="00874A5F" w:rsidRPr="00874A5F">
        <w:rPr>
          <w:noProof/>
        </w:rPr>
        <w:t xml:space="preserve">of </w:t>
      </w:r>
      <w:r w:rsidR="004530B8">
        <w:rPr>
          <w:noProof/>
        </w:rPr>
        <w:t>Ukraine’s Black Sea ports</w:t>
      </w:r>
      <w:r w:rsidR="00874A5F" w:rsidRPr="00874A5F">
        <w:rPr>
          <w:noProof/>
        </w:rPr>
        <w:t xml:space="preserve"> has also shown the economic adverse impacts of non-harmonised </w:t>
      </w:r>
      <w:r w:rsidR="001A2D3E">
        <w:rPr>
          <w:noProof/>
        </w:rPr>
        <w:t>track</w:t>
      </w:r>
      <w:r w:rsidR="001A2D3E" w:rsidRPr="00874A5F">
        <w:rPr>
          <w:noProof/>
        </w:rPr>
        <w:t xml:space="preserve"> </w:t>
      </w:r>
      <w:r w:rsidR="00874A5F" w:rsidRPr="00874A5F">
        <w:rPr>
          <w:noProof/>
        </w:rPr>
        <w:t xml:space="preserve">gauge in the </w:t>
      </w:r>
      <w:r w:rsidR="00874A5F">
        <w:rPr>
          <w:noProof/>
        </w:rPr>
        <w:t>Union</w:t>
      </w:r>
      <w:r w:rsidR="00874A5F" w:rsidRPr="00874A5F">
        <w:rPr>
          <w:noProof/>
        </w:rPr>
        <w:t xml:space="preserve">. To reach the port of </w:t>
      </w:r>
      <w:r w:rsidR="007E3960">
        <w:rPr>
          <w:noProof/>
        </w:rPr>
        <w:t>Klaipėda</w:t>
      </w:r>
      <w:r w:rsidR="007E3960" w:rsidRPr="00874A5F" w:rsidDel="007E3960">
        <w:rPr>
          <w:noProof/>
        </w:rPr>
        <w:t xml:space="preserve"> </w:t>
      </w:r>
      <w:r w:rsidR="00874A5F" w:rsidRPr="00874A5F">
        <w:rPr>
          <w:noProof/>
        </w:rPr>
        <w:t>in Lithuania, grain transported on Ukrainian trains has to be transhiped at the border between Poland and Ukraine (on trains</w:t>
      </w:r>
      <w:r w:rsidR="001A2D3E">
        <w:rPr>
          <w:noProof/>
        </w:rPr>
        <w:t xml:space="preserve"> with </w:t>
      </w:r>
      <w:r w:rsidR="007E3960">
        <w:rPr>
          <w:noProof/>
        </w:rPr>
        <w:t xml:space="preserve">the </w:t>
      </w:r>
      <w:r w:rsidR="001A2D3E" w:rsidRPr="007D45AA">
        <w:rPr>
          <w:noProof/>
        </w:rPr>
        <w:t>European standard nominal track gauge of 1</w:t>
      </w:r>
      <w:r w:rsidR="00C01D90">
        <w:rPr>
          <w:noProof/>
        </w:rPr>
        <w:t xml:space="preserve"> </w:t>
      </w:r>
      <w:r w:rsidR="001A2D3E" w:rsidRPr="007D45AA">
        <w:rPr>
          <w:noProof/>
        </w:rPr>
        <w:t>435 mm</w:t>
      </w:r>
      <w:r w:rsidR="00874A5F" w:rsidRPr="00874A5F">
        <w:rPr>
          <w:noProof/>
        </w:rPr>
        <w:t>), and then transhiped again at the border between Poland and Lithu</w:t>
      </w:r>
      <w:r w:rsidR="003C3079">
        <w:rPr>
          <w:noProof/>
        </w:rPr>
        <w:t>a</w:t>
      </w:r>
      <w:r w:rsidR="00874A5F" w:rsidRPr="00874A5F">
        <w:rPr>
          <w:noProof/>
        </w:rPr>
        <w:t>nia (</w:t>
      </w:r>
      <w:r w:rsidR="00874A5F">
        <w:rPr>
          <w:noProof/>
        </w:rPr>
        <w:t>o</w:t>
      </w:r>
      <w:r w:rsidR="00874A5F" w:rsidRPr="00874A5F">
        <w:rPr>
          <w:noProof/>
        </w:rPr>
        <w:t xml:space="preserve">n </w:t>
      </w:r>
      <w:r w:rsidR="004530B8">
        <w:rPr>
          <w:noProof/>
        </w:rPr>
        <w:t xml:space="preserve">1 520 </w:t>
      </w:r>
      <w:r w:rsidR="001A2D3E">
        <w:rPr>
          <w:noProof/>
        </w:rPr>
        <w:t>track</w:t>
      </w:r>
      <w:r w:rsidR="00874A5F" w:rsidRPr="00874A5F">
        <w:rPr>
          <w:noProof/>
        </w:rPr>
        <w:t xml:space="preserve"> gauge trains). This leads to increase</w:t>
      </w:r>
      <w:r w:rsidR="007E3960">
        <w:rPr>
          <w:noProof/>
        </w:rPr>
        <w:t>d</w:t>
      </w:r>
      <w:r w:rsidR="00874A5F" w:rsidRPr="00874A5F">
        <w:rPr>
          <w:noProof/>
        </w:rPr>
        <w:t xml:space="preserve"> </w:t>
      </w:r>
      <w:r w:rsidR="007E3960" w:rsidRPr="00874A5F">
        <w:rPr>
          <w:noProof/>
        </w:rPr>
        <w:t xml:space="preserve">transport </w:t>
      </w:r>
      <w:r w:rsidR="00874A5F" w:rsidRPr="00874A5F">
        <w:rPr>
          <w:noProof/>
        </w:rPr>
        <w:t>costs and loss of time</w:t>
      </w:r>
      <w:r w:rsidR="00874A5F">
        <w:rPr>
          <w:noProof/>
        </w:rPr>
        <w:t xml:space="preserve"> and </w:t>
      </w:r>
      <w:r w:rsidR="007C7264">
        <w:rPr>
          <w:noProof/>
        </w:rPr>
        <w:t xml:space="preserve">as such </w:t>
      </w:r>
      <w:r w:rsidR="00874A5F">
        <w:rPr>
          <w:noProof/>
        </w:rPr>
        <w:t xml:space="preserve">is </w:t>
      </w:r>
      <w:r w:rsidR="004E5E79" w:rsidRPr="004E5E79">
        <w:rPr>
          <w:noProof/>
        </w:rPr>
        <w:t>a</w:t>
      </w:r>
      <w:r w:rsidR="00874A5F">
        <w:rPr>
          <w:noProof/>
        </w:rPr>
        <w:t xml:space="preserve"> very</w:t>
      </w:r>
      <w:r w:rsidR="004E5E79" w:rsidRPr="004E5E79">
        <w:rPr>
          <w:noProof/>
        </w:rPr>
        <w:t xml:space="preserve"> concrete example of the consequences of the lack of interoperab</w:t>
      </w:r>
      <w:r w:rsidR="00874A5F">
        <w:rPr>
          <w:noProof/>
        </w:rPr>
        <w:t>ility o</w:t>
      </w:r>
      <w:r w:rsidR="007C7264">
        <w:rPr>
          <w:noProof/>
        </w:rPr>
        <w:t>n</w:t>
      </w:r>
      <w:r w:rsidR="00874A5F">
        <w:rPr>
          <w:noProof/>
        </w:rPr>
        <w:t xml:space="preserve"> the EU railway system </w:t>
      </w:r>
      <w:r w:rsidR="004E5E79" w:rsidRPr="004E5E79">
        <w:rPr>
          <w:noProof/>
        </w:rPr>
        <w:t>due to different</w:t>
      </w:r>
      <w:r w:rsidR="001A2D3E">
        <w:rPr>
          <w:noProof/>
        </w:rPr>
        <w:t xml:space="preserve"> track</w:t>
      </w:r>
      <w:r w:rsidR="004E5E79" w:rsidRPr="004E5E79">
        <w:rPr>
          <w:noProof/>
        </w:rPr>
        <w:t xml:space="preserve"> gauges. </w:t>
      </w:r>
      <w:r w:rsidR="00564598">
        <w:rPr>
          <w:noProof/>
        </w:rPr>
        <w:t xml:space="preserve">This non-interoperability also seriously hinders the complementarity between modes of transport, in particular in case of crisis, such as the blockade of the Ukainian ports whose consequences are putting at risk </w:t>
      </w:r>
      <w:r w:rsidR="004F06F6">
        <w:rPr>
          <w:noProof/>
        </w:rPr>
        <w:t>global</w:t>
      </w:r>
      <w:r w:rsidR="00564598">
        <w:rPr>
          <w:noProof/>
        </w:rPr>
        <w:t xml:space="preserve"> food security. Further, the environmental costs of the</w:t>
      </w:r>
      <w:r w:rsidR="004F06F6">
        <w:rPr>
          <w:noProof/>
        </w:rPr>
        <w:t xml:space="preserve"> thousands</w:t>
      </w:r>
      <w:r w:rsidR="00564598">
        <w:rPr>
          <w:noProof/>
        </w:rPr>
        <w:t xml:space="preserve"> of trucks that are crossing the border between France and the Iberian Peninsula, or between Poland and Baltics countries, or more recently between Ukraine and Poland </w:t>
      </w:r>
      <w:r w:rsidR="00C01D90">
        <w:rPr>
          <w:noProof/>
        </w:rPr>
        <w:t>are</w:t>
      </w:r>
      <w:r w:rsidR="00564598">
        <w:rPr>
          <w:noProof/>
        </w:rPr>
        <w:t xml:space="preserve"> partly due to the lack of interoperability of the railway network.</w:t>
      </w:r>
    </w:p>
    <w:p w:rsidR="00E203E0" w:rsidRPr="00AB3C66" w:rsidRDefault="004E5E79" w:rsidP="004E5E79">
      <w:pPr>
        <w:pBdr>
          <w:top w:val="nil"/>
          <w:left w:val="nil"/>
          <w:bottom w:val="nil"/>
          <w:right w:val="nil"/>
          <w:between w:val="nil"/>
          <w:bar w:val="nil"/>
        </w:pBdr>
        <w:rPr>
          <w:noProof/>
        </w:rPr>
      </w:pPr>
      <w:r>
        <w:rPr>
          <w:noProof/>
        </w:rPr>
        <w:t>Apart from interoperability issues, t</w:t>
      </w:r>
      <w:r w:rsidR="00E203E0" w:rsidRPr="00AB3C66">
        <w:rPr>
          <w:noProof/>
        </w:rPr>
        <w:t xml:space="preserve">he European Court of Auditors (ECA) has </w:t>
      </w:r>
      <w:r w:rsidR="00AB3C66">
        <w:rPr>
          <w:noProof/>
        </w:rPr>
        <w:t>expressed</w:t>
      </w:r>
      <w:r w:rsidR="00E203E0" w:rsidRPr="00AB3C66">
        <w:rPr>
          <w:noProof/>
        </w:rPr>
        <w:t xml:space="preserve"> concern</w:t>
      </w:r>
      <w:r>
        <w:rPr>
          <w:noProof/>
        </w:rPr>
        <w:t>s</w:t>
      </w:r>
      <w:r w:rsidR="00E203E0" w:rsidRPr="00AB3C66">
        <w:rPr>
          <w:noProof/>
        </w:rPr>
        <w:t xml:space="preserve"> </w:t>
      </w:r>
      <w:r w:rsidR="003C31CF">
        <w:rPr>
          <w:noProof/>
        </w:rPr>
        <w:t>about</w:t>
      </w:r>
      <w:r w:rsidR="00E203E0" w:rsidRPr="00AB3C66">
        <w:rPr>
          <w:noProof/>
        </w:rPr>
        <w:t xml:space="preserve"> the lack of competition </w:t>
      </w:r>
      <w:r w:rsidR="00AB3C66">
        <w:rPr>
          <w:noProof/>
        </w:rPr>
        <w:t xml:space="preserve">of the respective national railway networks </w:t>
      </w:r>
      <w:r w:rsidR="00E203E0" w:rsidRPr="00AB3C66">
        <w:rPr>
          <w:noProof/>
        </w:rPr>
        <w:t xml:space="preserve">because of the differences in </w:t>
      </w:r>
      <w:r w:rsidR="00AB3C66">
        <w:rPr>
          <w:noProof/>
        </w:rPr>
        <w:t xml:space="preserve">track </w:t>
      </w:r>
      <w:r w:rsidR="00E203E0" w:rsidRPr="00AB3C66">
        <w:rPr>
          <w:noProof/>
        </w:rPr>
        <w:t xml:space="preserve">gauges. </w:t>
      </w:r>
      <w:r w:rsidR="00AB3C66">
        <w:rPr>
          <w:noProof/>
        </w:rPr>
        <w:t xml:space="preserve">For instance, </w:t>
      </w:r>
      <w:r w:rsidR="008A2C88">
        <w:rPr>
          <w:noProof/>
        </w:rPr>
        <w:t>a</w:t>
      </w:r>
      <w:r>
        <w:rPr>
          <w:noProof/>
        </w:rPr>
        <w:t xml:space="preserve"> ECA</w:t>
      </w:r>
      <w:r w:rsidR="008A2C88">
        <w:rPr>
          <w:noProof/>
        </w:rPr>
        <w:t xml:space="preserve"> report </w:t>
      </w:r>
      <w:r w:rsidR="007C7264">
        <w:rPr>
          <w:noProof/>
        </w:rPr>
        <w:t>on</w:t>
      </w:r>
      <w:r w:rsidR="00E203E0" w:rsidRPr="00AB3C66">
        <w:rPr>
          <w:noProof/>
        </w:rPr>
        <w:t xml:space="preserve"> </w:t>
      </w:r>
      <w:r w:rsidR="003C31CF">
        <w:rPr>
          <w:noProof/>
        </w:rPr>
        <w:t>r</w:t>
      </w:r>
      <w:r w:rsidR="00E203E0" w:rsidRPr="00AB3C66">
        <w:rPr>
          <w:noProof/>
        </w:rPr>
        <w:t>ail freight transport published in 2016</w:t>
      </w:r>
      <w:r>
        <w:rPr>
          <w:rStyle w:val="FootnoteReference"/>
          <w:noProof/>
        </w:rPr>
        <w:footnoteReference w:id="9"/>
      </w:r>
      <w:r w:rsidR="00AB3C66">
        <w:rPr>
          <w:noProof/>
        </w:rPr>
        <w:t xml:space="preserve"> </w:t>
      </w:r>
      <w:r w:rsidR="00E203E0" w:rsidRPr="00AB3C66">
        <w:rPr>
          <w:noProof/>
        </w:rPr>
        <w:t xml:space="preserve">stated that the lack of a standard track gauge </w:t>
      </w:r>
      <w:r w:rsidR="004F06F6">
        <w:rPr>
          <w:noProof/>
        </w:rPr>
        <w:t xml:space="preserve">in the EU </w:t>
      </w:r>
      <w:r w:rsidR="00E203E0" w:rsidRPr="00AB3C66">
        <w:rPr>
          <w:noProof/>
        </w:rPr>
        <w:t xml:space="preserve">is </w:t>
      </w:r>
      <w:r>
        <w:rPr>
          <w:noProof/>
        </w:rPr>
        <w:t xml:space="preserve">not only </w:t>
      </w:r>
      <w:r w:rsidR="00E203E0" w:rsidRPr="00AB3C66">
        <w:rPr>
          <w:noProof/>
        </w:rPr>
        <w:t>a technical constraint for train operations which hinder</w:t>
      </w:r>
      <w:r w:rsidR="00AB3C66">
        <w:rPr>
          <w:noProof/>
        </w:rPr>
        <w:t>s</w:t>
      </w:r>
      <w:r w:rsidR="00E203E0" w:rsidRPr="00AB3C66">
        <w:rPr>
          <w:noProof/>
        </w:rPr>
        <w:t xml:space="preserve"> interoperability</w:t>
      </w:r>
      <w:r w:rsidR="00AB3C66">
        <w:rPr>
          <w:noProof/>
        </w:rPr>
        <w:t xml:space="preserve">. Indeed, </w:t>
      </w:r>
      <w:r w:rsidR="00E203E0" w:rsidRPr="00AB3C66">
        <w:rPr>
          <w:noProof/>
        </w:rPr>
        <w:t xml:space="preserve">the coexistence of </w:t>
      </w:r>
      <w:r>
        <w:rPr>
          <w:noProof/>
        </w:rPr>
        <w:t xml:space="preserve">different rail </w:t>
      </w:r>
      <w:r w:rsidR="00E203E0" w:rsidRPr="00AB3C66">
        <w:rPr>
          <w:noProof/>
        </w:rPr>
        <w:t>track</w:t>
      </w:r>
      <w:r>
        <w:rPr>
          <w:noProof/>
        </w:rPr>
        <w:t xml:space="preserve"> </w:t>
      </w:r>
      <w:r w:rsidR="009927DE">
        <w:rPr>
          <w:noProof/>
        </w:rPr>
        <w:t xml:space="preserve">gauges </w:t>
      </w:r>
      <w:r>
        <w:rPr>
          <w:noProof/>
        </w:rPr>
        <w:t>within one country or within the Union also</w:t>
      </w:r>
      <w:r w:rsidR="00E203E0" w:rsidRPr="00AB3C66">
        <w:rPr>
          <w:noProof/>
        </w:rPr>
        <w:t xml:space="preserve"> hampers the dynamics of competition between market operators. </w:t>
      </w:r>
      <w:r>
        <w:rPr>
          <w:noProof/>
        </w:rPr>
        <w:t>T</w:t>
      </w:r>
      <w:r w:rsidR="00E203E0" w:rsidRPr="00AB3C66">
        <w:rPr>
          <w:noProof/>
        </w:rPr>
        <w:t>he entry of new operators could be hindered by limiting the interoperability of rolling stock and the size of the economies</w:t>
      </w:r>
      <w:r w:rsidR="007C7264">
        <w:rPr>
          <w:noProof/>
        </w:rPr>
        <w:t xml:space="preserve"> of</w:t>
      </w:r>
      <w:r w:rsidR="00E203E0" w:rsidRPr="00AB3C66">
        <w:rPr>
          <w:noProof/>
        </w:rPr>
        <w:t xml:space="preserve"> </w:t>
      </w:r>
      <w:r w:rsidR="007C7264" w:rsidRPr="00AB3C66">
        <w:rPr>
          <w:noProof/>
        </w:rPr>
        <w:t xml:space="preserve">scale </w:t>
      </w:r>
      <w:r w:rsidR="00E203E0" w:rsidRPr="00AB3C66">
        <w:rPr>
          <w:noProof/>
        </w:rPr>
        <w:t xml:space="preserve">attainable with </w:t>
      </w:r>
      <w:r w:rsidR="0002296D">
        <w:rPr>
          <w:noProof/>
        </w:rPr>
        <w:t>an open market</w:t>
      </w:r>
      <w:r w:rsidR="00E203E0" w:rsidRPr="00AB3C66">
        <w:rPr>
          <w:noProof/>
        </w:rPr>
        <w:t xml:space="preserve">. Furthermore, it aggravates the incidence of other barriers to market entry, reducing the available supply of rolling stock manufacturers and increasing maintenance costs. </w:t>
      </w:r>
    </w:p>
    <w:p w:rsidR="00E203E0" w:rsidRDefault="007C7264" w:rsidP="00E203E0">
      <w:pPr>
        <w:rPr>
          <w:noProof/>
        </w:rPr>
      </w:pPr>
      <w:r>
        <w:rPr>
          <w:noProof/>
        </w:rPr>
        <w:t>T</w:t>
      </w:r>
      <w:r w:rsidR="00E203E0" w:rsidRPr="00AB3C66">
        <w:rPr>
          <w:noProof/>
        </w:rPr>
        <w:t xml:space="preserve">he use of </w:t>
      </w:r>
      <w:r w:rsidR="00CB1F74">
        <w:rPr>
          <w:noProof/>
        </w:rPr>
        <w:t xml:space="preserve">a </w:t>
      </w:r>
      <w:r w:rsidR="001A2D3E">
        <w:rPr>
          <w:noProof/>
        </w:rPr>
        <w:t xml:space="preserve">track </w:t>
      </w:r>
      <w:r w:rsidR="00E203E0" w:rsidRPr="00AB3C66">
        <w:rPr>
          <w:noProof/>
        </w:rPr>
        <w:t xml:space="preserve">gauge different from the </w:t>
      </w:r>
      <w:r w:rsidR="00AB3C66">
        <w:rPr>
          <w:noProof/>
        </w:rPr>
        <w:t>Eur</w:t>
      </w:r>
      <w:r w:rsidR="008B776E">
        <w:rPr>
          <w:noProof/>
        </w:rPr>
        <w:t>o</w:t>
      </w:r>
      <w:r w:rsidR="00AB3C66">
        <w:rPr>
          <w:noProof/>
        </w:rPr>
        <w:t xml:space="preserve">pean standard </w:t>
      </w:r>
      <w:r w:rsidR="004F06F6">
        <w:rPr>
          <w:noProof/>
        </w:rPr>
        <w:t xml:space="preserve">nominal </w:t>
      </w:r>
      <w:r w:rsidR="00AB3C66">
        <w:rPr>
          <w:noProof/>
        </w:rPr>
        <w:t xml:space="preserve">track </w:t>
      </w:r>
      <w:r w:rsidR="00E203E0" w:rsidRPr="00AB3C66">
        <w:rPr>
          <w:noProof/>
        </w:rPr>
        <w:t xml:space="preserve">gauge impedes access to the option of renting European rolling stock for the operation of conventional lines. </w:t>
      </w:r>
      <w:r>
        <w:rPr>
          <w:noProof/>
        </w:rPr>
        <w:t>This means that</w:t>
      </w:r>
      <w:r w:rsidRPr="00AB3C66">
        <w:rPr>
          <w:noProof/>
        </w:rPr>
        <w:t xml:space="preserve"> </w:t>
      </w:r>
      <w:r w:rsidR="00E203E0" w:rsidRPr="00AB3C66">
        <w:rPr>
          <w:noProof/>
        </w:rPr>
        <w:t xml:space="preserve">new entrants have to compete on </w:t>
      </w:r>
      <w:r w:rsidR="00AB3C66">
        <w:rPr>
          <w:noProof/>
        </w:rPr>
        <w:t xml:space="preserve">other track </w:t>
      </w:r>
      <w:r w:rsidR="00E203E0" w:rsidRPr="00AB3C66">
        <w:rPr>
          <w:noProof/>
        </w:rPr>
        <w:t xml:space="preserve">gauge lines by purchasing </w:t>
      </w:r>
      <w:r w:rsidR="00CB1F74">
        <w:rPr>
          <w:noProof/>
        </w:rPr>
        <w:t>suitable</w:t>
      </w:r>
      <w:r w:rsidR="00CB1F74" w:rsidRPr="00AB3C66">
        <w:rPr>
          <w:noProof/>
        </w:rPr>
        <w:t xml:space="preserve"> </w:t>
      </w:r>
      <w:r w:rsidR="00E203E0" w:rsidRPr="00AB3C66">
        <w:rPr>
          <w:noProof/>
        </w:rPr>
        <w:t xml:space="preserve">rolling stock. Since the market for the </w:t>
      </w:r>
      <w:r w:rsidR="00CB1F74" w:rsidRPr="00AB3C66">
        <w:rPr>
          <w:noProof/>
        </w:rPr>
        <w:t>production</w:t>
      </w:r>
      <w:r w:rsidR="00E203E0" w:rsidRPr="00AB3C66">
        <w:rPr>
          <w:noProof/>
        </w:rPr>
        <w:t xml:space="preserve"> of this material is national, this may potentially translate into higher prices due to a lack of international competition in its </w:t>
      </w:r>
      <w:r w:rsidR="00CB1F74" w:rsidRPr="00AB3C66">
        <w:rPr>
          <w:noProof/>
        </w:rPr>
        <w:t>production</w:t>
      </w:r>
      <w:r w:rsidR="00E203E0" w:rsidRPr="00AB3C66">
        <w:rPr>
          <w:noProof/>
        </w:rPr>
        <w:t>.</w:t>
      </w:r>
    </w:p>
    <w:p w:rsidR="00564598" w:rsidRDefault="00564598" w:rsidP="00564598">
      <w:pPr>
        <w:pBdr>
          <w:top w:val="nil"/>
          <w:left w:val="nil"/>
          <w:bottom w:val="nil"/>
          <w:right w:val="nil"/>
          <w:between w:val="nil"/>
          <w:bar w:val="nil"/>
        </w:pBdr>
        <w:rPr>
          <w:noProof/>
        </w:rPr>
      </w:pPr>
      <w:r>
        <w:rPr>
          <w:noProof/>
        </w:rPr>
        <w:t xml:space="preserve">Deploying the European </w:t>
      </w:r>
      <w:r w:rsidR="004F06F6">
        <w:rPr>
          <w:noProof/>
        </w:rPr>
        <w:t>s</w:t>
      </w:r>
      <w:r>
        <w:rPr>
          <w:noProof/>
        </w:rPr>
        <w:t xml:space="preserve">tandard </w:t>
      </w:r>
      <w:r w:rsidR="004F06F6">
        <w:rPr>
          <w:noProof/>
        </w:rPr>
        <w:t xml:space="preserve">nominal </w:t>
      </w:r>
      <w:r>
        <w:rPr>
          <w:noProof/>
        </w:rPr>
        <w:t>track gauge</w:t>
      </w:r>
      <w:r w:rsidRPr="00F230B6">
        <w:rPr>
          <w:noProof/>
        </w:rPr>
        <w:t xml:space="preserve"> will</w:t>
      </w:r>
      <w:r>
        <w:rPr>
          <w:noProof/>
        </w:rPr>
        <w:t xml:space="preserve"> therefore </w:t>
      </w:r>
      <w:r w:rsidRPr="00F230B6">
        <w:rPr>
          <w:noProof/>
        </w:rPr>
        <w:t xml:space="preserve">contribute to improve the functioning of the internal market. </w:t>
      </w:r>
      <w:r>
        <w:rPr>
          <w:noProof/>
        </w:rPr>
        <w:t>M</w:t>
      </w:r>
      <w:r w:rsidRPr="00F230B6">
        <w:rPr>
          <w:noProof/>
        </w:rPr>
        <w:t>arket opening</w:t>
      </w:r>
      <w:r>
        <w:rPr>
          <w:noProof/>
        </w:rPr>
        <w:t>,</w:t>
      </w:r>
      <w:r w:rsidRPr="00F230B6">
        <w:rPr>
          <w:noProof/>
        </w:rPr>
        <w:t xml:space="preserve"> together with the development of a high quality standard rail network (ERTMS</w:t>
      </w:r>
      <w:r>
        <w:rPr>
          <w:noProof/>
        </w:rPr>
        <w:t>,</w:t>
      </w:r>
      <w:r w:rsidRPr="00F230B6">
        <w:rPr>
          <w:noProof/>
        </w:rPr>
        <w:t xml:space="preserve"> 740m train length</w:t>
      </w:r>
      <w:r>
        <w:rPr>
          <w:noProof/>
        </w:rPr>
        <w:t>,</w:t>
      </w:r>
      <w:r w:rsidRPr="00F230B6">
        <w:rPr>
          <w:noProof/>
        </w:rPr>
        <w:t xml:space="preserve"> electrification</w:t>
      </w:r>
      <w:r>
        <w:rPr>
          <w:noProof/>
        </w:rPr>
        <w:t>, etc.)</w:t>
      </w:r>
      <w:r w:rsidRPr="00F230B6">
        <w:rPr>
          <w:noProof/>
        </w:rPr>
        <w:t xml:space="preserve"> which is fully interoperable, will </w:t>
      </w:r>
      <w:r w:rsidR="003C3079">
        <w:rPr>
          <w:noProof/>
        </w:rPr>
        <w:t>contribute to increase rail transport activity</w:t>
      </w:r>
      <w:r w:rsidRPr="00F230B6">
        <w:rPr>
          <w:noProof/>
        </w:rPr>
        <w:t xml:space="preserve"> by decreasing the costs </w:t>
      </w:r>
      <w:r>
        <w:rPr>
          <w:noProof/>
        </w:rPr>
        <w:t>of</w:t>
      </w:r>
      <w:r w:rsidRPr="00F230B6">
        <w:rPr>
          <w:noProof/>
        </w:rPr>
        <w:t xml:space="preserve"> infrastructure and </w:t>
      </w:r>
      <w:r w:rsidR="00C01D90">
        <w:rPr>
          <w:noProof/>
        </w:rPr>
        <w:t>the cost of r</w:t>
      </w:r>
      <w:r w:rsidRPr="00F230B6">
        <w:rPr>
          <w:noProof/>
        </w:rPr>
        <w:t xml:space="preserve">olling stock. It will also facilitate the </w:t>
      </w:r>
      <w:r>
        <w:rPr>
          <w:noProof/>
        </w:rPr>
        <w:t>emergence</w:t>
      </w:r>
      <w:r w:rsidRPr="00F230B6">
        <w:rPr>
          <w:noProof/>
        </w:rPr>
        <w:t xml:space="preserve"> on the market of new entrants, with a market </w:t>
      </w:r>
      <w:r w:rsidR="003C3079">
        <w:rPr>
          <w:noProof/>
        </w:rPr>
        <w:t xml:space="preserve">for </w:t>
      </w:r>
      <w:r w:rsidRPr="00F230B6">
        <w:rPr>
          <w:noProof/>
        </w:rPr>
        <w:t xml:space="preserve">rolling stock which is interoperable on the whole network.  </w:t>
      </w:r>
    </w:p>
    <w:p w:rsidR="00564598" w:rsidRDefault="00564598" w:rsidP="00564598">
      <w:pPr>
        <w:rPr>
          <w:noProof/>
        </w:rPr>
      </w:pPr>
      <w:r>
        <w:rPr>
          <w:noProof/>
        </w:rPr>
        <w:t xml:space="preserve">Finally, the migration plan aims to ensure a smooth transition. Technologies are available to ensure that there is no interruption in the network, between the European standard </w:t>
      </w:r>
      <w:r w:rsidR="004F06F6">
        <w:rPr>
          <w:noProof/>
        </w:rPr>
        <w:t xml:space="preserve">nominal </w:t>
      </w:r>
      <w:r>
        <w:rPr>
          <w:noProof/>
        </w:rPr>
        <w:t xml:space="preserve">track gauge and the existing national networks. However these technologies should be seen as a transition since the long term objective is to create a unified European network. A hybrid system on the long term would perpetuate the current situation which creates, on top of interoperability issues, a burden for the </w:t>
      </w:r>
      <w:r w:rsidR="009D289D">
        <w:rPr>
          <w:noProof/>
        </w:rPr>
        <w:t xml:space="preserve">emergence </w:t>
      </w:r>
      <w:r>
        <w:rPr>
          <w:noProof/>
        </w:rPr>
        <w:t>of new</w:t>
      </w:r>
      <w:r w:rsidR="009D289D">
        <w:rPr>
          <w:noProof/>
        </w:rPr>
        <w:t xml:space="preserve"> market players</w:t>
      </w:r>
      <w:r>
        <w:rPr>
          <w:noProof/>
        </w:rPr>
        <w:t xml:space="preserve"> that have no other choice than purchasing specific rolling stock for the non</w:t>
      </w:r>
      <w:r w:rsidR="003C3079">
        <w:rPr>
          <w:noProof/>
        </w:rPr>
        <w:t>-</w:t>
      </w:r>
      <w:r>
        <w:rPr>
          <w:noProof/>
        </w:rPr>
        <w:t xml:space="preserve">European </w:t>
      </w:r>
      <w:r w:rsidR="009D289D">
        <w:rPr>
          <w:noProof/>
        </w:rPr>
        <w:t xml:space="preserve">standard </w:t>
      </w:r>
      <w:r w:rsidR="004F06F6">
        <w:rPr>
          <w:noProof/>
        </w:rPr>
        <w:t xml:space="preserve">nominal </w:t>
      </w:r>
      <w:r>
        <w:rPr>
          <w:noProof/>
        </w:rPr>
        <w:t xml:space="preserve">track gauge lines. </w:t>
      </w:r>
    </w:p>
    <w:p w:rsidR="00E203E0" w:rsidRPr="00AB3C66" w:rsidRDefault="00AB3C66" w:rsidP="00AB3C66">
      <w:pPr>
        <w:rPr>
          <w:noProof/>
        </w:rPr>
      </w:pPr>
      <w:r>
        <w:rPr>
          <w:noProof/>
        </w:rPr>
        <w:t>In a nuts</w:t>
      </w:r>
      <w:r w:rsidR="007C7264">
        <w:rPr>
          <w:noProof/>
        </w:rPr>
        <w:t>h</w:t>
      </w:r>
      <w:r>
        <w:rPr>
          <w:noProof/>
        </w:rPr>
        <w:t>ell, t</w:t>
      </w:r>
      <w:r w:rsidR="00E203E0" w:rsidRPr="00AB3C66">
        <w:rPr>
          <w:noProof/>
        </w:rPr>
        <w:t>he additional costs entailed by the lack of interoperability mean</w:t>
      </w:r>
      <w:r>
        <w:rPr>
          <w:noProof/>
        </w:rPr>
        <w:t>s</w:t>
      </w:r>
      <w:r w:rsidR="00E203E0" w:rsidRPr="00AB3C66">
        <w:rPr>
          <w:noProof/>
        </w:rPr>
        <w:t xml:space="preserve"> that traffic by rail is not competitive.</w:t>
      </w:r>
      <w:r w:rsidR="009D289D" w:rsidRPr="009D289D">
        <w:rPr>
          <w:noProof/>
        </w:rPr>
        <w:t xml:space="preserve"> </w:t>
      </w:r>
      <w:r w:rsidR="009D289D">
        <w:rPr>
          <w:noProof/>
        </w:rPr>
        <w:t xml:space="preserve">In a situation of crisis, the capacity of substituting one mode of transport </w:t>
      </w:r>
      <w:r w:rsidR="00C01D90">
        <w:rPr>
          <w:noProof/>
        </w:rPr>
        <w:t>by another</w:t>
      </w:r>
      <w:r w:rsidR="009D289D">
        <w:rPr>
          <w:noProof/>
        </w:rPr>
        <w:t xml:space="preserve"> is not ensured, hence jeopardising the good functioning of the internal market</w:t>
      </w:r>
      <w:r w:rsidR="009D289D" w:rsidRPr="00AB3C66">
        <w:rPr>
          <w:noProof/>
        </w:rPr>
        <w:t>.</w:t>
      </w:r>
    </w:p>
    <w:p w:rsidR="002A4278" w:rsidRDefault="002A4278" w:rsidP="000671EA">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Regulatory fitness and simplification</w:t>
      </w:r>
    </w:p>
    <w:p w:rsidR="002A4278" w:rsidRPr="0002296D" w:rsidRDefault="009E1B82" w:rsidP="0002296D">
      <w:pPr>
        <w:pBdr>
          <w:top w:val="nil"/>
          <w:left w:val="nil"/>
          <w:bottom w:val="nil"/>
          <w:right w:val="nil"/>
          <w:between w:val="nil"/>
          <w:bar w:val="nil"/>
        </w:pBdr>
        <w:rPr>
          <w:noProof/>
        </w:rPr>
      </w:pPr>
      <w:r w:rsidRPr="0002296D">
        <w:rPr>
          <w:noProof/>
        </w:rPr>
        <w:t xml:space="preserve">The original proposal initiative was part of the Commission </w:t>
      </w:r>
      <w:r w:rsidR="007C7264" w:rsidRPr="0002296D">
        <w:rPr>
          <w:noProof/>
        </w:rPr>
        <w:t>2021</w:t>
      </w:r>
      <w:r w:rsidR="007C7264">
        <w:rPr>
          <w:noProof/>
        </w:rPr>
        <w:t xml:space="preserve"> </w:t>
      </w:r>
      <w:r w:rsidRPr="0002296D">
        <w:rPr>
          <w:noProof/>
        </w:rPr>
        <w:t>Work Programme under Annex I (new initiatives) and not part of Annex II (REFIT initiatives).</w:t>
      </w:r>
    </w:p>
    <w:p w:rsidR="009E1B82" w:rsidRPr="00550536" w:rsidRDefault="009E1B82" w:rsidP="0002296D">
      <w:pPr>
        <w:pBdr>
          <w:top w:val="nil"/>
          <w:left w:val="nil"/>
          <w:bottom w:val="nil"/>
          <w:right w:val="nil"/>
          <w:between w:val="nil"/>
          <w:bar w:val="nil"/>
        </w:pBdr>
        <w:rPr>
          <w:rFonts w:eastAsia="Arial Unicode MS"/>
          <w:noProof/>
        </w:rPr>
      </w:pPr>
      <w:r>
        <w:rPr>
          <w:rFonts w:eastAsia="Arial Unicode MS"/>
          <w:noProof/>
        </w:rPr>
        <w:t xml:space="preserve">The amended proposal further </w:t>
      </w:r>
      <w:r w:rsidRPr="009E1B82">
        <w:rPr>
          <w:rFonts w:eastAsia="Arial Unicode MS"/>
          <w:noProof/>
        </w:rPr>
        <w:t xml:space="preserve">improves the functioning of the TEN-T </w:t>
      </w:r>
      <w:r>
        <w:rPr>
          <w:rFonts w:eastAsia="Arial Unicode MS"/>
          <w:noProof/>
        </w:rPr>
        <w:t xml:space="preserve">railway </w:t>
      </w:r>
      <w:r w:rsidRPr="009E1B82">
        <w:rPr>
          <w:rFonts w:eastAsia="Arial Unicode MS"/>
          <w:noProof/>
        </w:rPr>
        <w:t xml:space="preserve">policy by </w:t>
      </w:r>
      <w:r>
        <w:rPr>
          <w:rFonts w:eastAsia="Arial Unicode MS"/>
          <w:noProof/>
        </w:rPr>
        <w:t xml:space="preserve">addressing the interoperability issue of different </w:t>
      </w:r>
      <w:r w:rsidR="009927DE">
        <w:rPr>
          <w:rFonts w:eastAsia="Arial Unicode MS"/>
          <w:noProof/>
        </w:rPr>
        <w:t xml:space="preserve">track </w:t>
      </w:r>
      <w:r>
        <w:rPr>
          <w:rFonts w:eastAsia="Arial Unicode MS"/>
          <w:noProof/>
        </w:rPr>
        <w:t>gauges on the TEN-T network</w:t>
      </w:r>
      <w:r w:rsidRPr="009E1B82">
        <w:rPr>
          <w:rFonts w:eastAsia="Arial Unicode MS"/>
          <w:noProof/>
        </w:rPr>
        <w:t>.</w:t>
      </w:r>
    </w:p>
    <w:p w:rsidR="002A4278" w:rsidRDefault="002A4278" w:rsidP="000671EA">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Fundamental rights</w:t>
      </w:r>
    </w:p>
    <w:p w:rsidR="009E1B82" w:rsidRPr="0002296D" w:rsidRDefault="009E1B82" w:rsidP="0002296D">
      <w:pPr>
        <w:pBdr>
          <w:top w:val="nil"/>
          <w:left w:val="nil"/>
          <w:bottom w:val="nil"/>
          <w:right w:val="nil"/>
          <w:between w:val="nil"/>
          <w:bar w:val="nil"/>
        </w:pBdr>
        <w:rPr>
          <w:noProof/>
        </w:rPr>
      </w:pPr>
      <w:r w:rsidRPr="0002296D">
        <w:rPr>
          <w:noProof/>
        </w:rPr>
        <w:t xml:space="preserve">By setting a uniform requirement for railway </w:t>
      </w:r>
      <w:r w:rsidR="009927DE">
        <w:rPr>
          <w:noProof/>
        </w:rPr>
        <w:t xml:space="preserve">track </w:t>
      </w:r>
      <w:r w:rsidRPr="0002296D">
        <w:rPr>
          <w:noProof/>
        </w:rPr>
        <w:t>gauges on the TEN-T network, the amended proposal will further strengthen accessibility for all users to the TEN-T railway network.</w:t>
      </w:r>
    </w:p>
    <w:p w:rsidR="002A4278" w:rsidRDefault="002A4278" w:rsidP="000671EA">
      <w:pPr>
        <w:pStyle w:val="ManualHeading1"/>
        <w:rPr>
          <w:noProof/>
        </w:rPr>
      </w:pPr>
      <w:r w:rsidRPr="00550536">
        <w:rPr>
          <w:noProof/>
        </w:rPr>
        <w:t>4.</w:t>
      </w:r>
      <w:r w:rsidRPr="00550536">
        <w:rPr>
          <w:noProof/>
        </w:rPr>
        <w:tab/>
        <w:t>BUDGETARY IMPLICATIONS</w:t>
      </w:r>
    </w:p>
    <w:p w:rsidR="008C1B7A" w:rsidRPr="0002296D" w:rsidRDefault="008C1B7A" w:rsidP="0002296D">
      <w:pPr>
        <w:pBdr>
          <w:top w:val="nil"/>
          <w:left w:val="nil"/>
          <w:bottom w:val="nil"/>
          <w:right w:val="nil"/>
          <w:between w:val="nil"/>
          <w:bar w:val="nil"/>
        </w:pBdr>
        <w:rPr>
          <w:noProof/>
        </w:rPr>
      </w:pPr>
      <w:r w:rsidRPr="0002296D">
        <w:rPr>
          <w:noProof/>
        </w:rPr>
        <w:t xml:space="preserve">This amended proposal has no further implications on the Union budget </w:t>
      </w:r>
      <w:r w:rsidR="007C7264">
        <w:rPr>
          <w:noProof/>
        </w:rPr>
        <w:t>compared to</w:t>
      </w:r>
      <w:r w:rsidR="007C7264" w:rsidRPr="0002296D">
        <w:rPr>
          <w:noProof/>
        </w:rPr>
        <w:t xml:space="preserve"> </w:t>
      </w:r>
      <w:r w:rsidRPr="0002296D">
        <w:rPr>
          <w:noProof/>
        </w:rPr>
        <w:t>th</w:t>
      </w:r>
      <w:r w:rsidR="007C7264">
        <w:rPr>
          <w:noProof/>
        </w:rPr>
        <w:t>ose</w:t>
      </w:r>
      <w:r w:rsidRPr="0002296D">
        <w:rPr>
          <w:noProof/>
        </w:rPr>
        <w:t xml:space="preserve"> already indicated in the original legislative proposal of 14 December 2021. </w:t>
      </w:r>
    </w:p>
    <w:p w:rsidR="002A4278" w:rsidRPr="00550536" w:rsidRDefault="002A4278" w:rsidP="000671EA">
      <w:pPr>
        <w:pStyle w:val="ManualHeading1"/>
        <w:rPr>
          <w:noProof/>
        </w:rPr>
      </w:pPr>
      <w:r w:rsidRPr="00550536">
        <w:rPr>
          <w:noProof/>
        </w:rPr>
        <w:t>5.</w:t>
      </w:r>
      <w:r w:rsidRPr="00550536">
        <w:rPr>
          <w:noProof/>
        </w:rPr>
        <w:tab/>
        <w:t>OTHER ELEMENTS</w:t>
      </w:r>
    </w:p>
    <w:p w:rsidR="002A4278" w:rsidRDefault="002A4278" w:rsidP="000671EA">
      <w:pPr>
        <w:pStyle w:val="ManualHeading2"/>
        <w:rPr>
          <w:rFonts w:eastAsia="Arial Unicode MS"/>
          <w:noProof/>
          <w:u w:color="000000"/>
          <w:bdr w:val="nil"/>
          <w:lang w:val="en-US" w:eastAsia="en-GB"/>
        </w:rPr>
      </w:pPr>
      <w:r>
        <w:rPr>
          <w:rFonts w:eastAsia="Arial Unicode MS"/>
          <w:noProof/>
          <w:u w:color="000000"/>
          <w:bdr w:val="nil"/>
          <w:lang w:val="en-US" w:eastAsia="en-GB"/>
        </w:rPr>
        <w:t>•</w:t>
      </w:r>
      <w:r>
        <w:rPr>
          <w:rFonts w:eastAsia="Arial Unicode MS"/>
          <w:noProof/>
          <w:u w:color="000000"/>
          <w:bdr w:val="nil"/>
          <w:lang w:val="en-US" w:eastAsia="en-GB"/>
        </w:rPr>
        <w:tab/>
        <w:t xml:space="preserve">Implementation plans and </w:t>
      </w:r>
      <w:r w:rsidRPr="007718A8">
        <w:rPr>
          <w:rFonts w:eastAsia="Arial Unicode MS"/>
          <w:noProof/>
          <w:u w:color="000000"/>
          <w:bdr w:val="nil"/>
          <w:lang w:val="en-US" w:eastAsia="en-GB"/>
        </w:rPr>
        <w:t>monitoring, evaluation and reporting arrangements</w:t>
      </w:r>
    </w:p>
    <w:p w:rsidR="002A4278" w:rsidRPr="0002296D" w:rsidRDefault="009E1B82" w:rsidP="0002296D">
      <w:pPr>
        <w:pBdr>
          <w:top w:val="nil"/>
          <w:left w:val="nil"/>
          <w:bottom w:val="nil"/>
          <w:right w:val="nil"/>
          <w:between w:val="nil"/>
          <w:bar w:val="nil"/>
        </w:pBdr>
        <w:rPr>
          <w:noProof/>
        </w:rPr>
      </w:pPr>
      <w:r w:rsidRPr="0002296D">
        <w:rPr>
          <w:noProof/>
        </w:rPr>
        <w:t>As outlined in the initial proposal of December 202</w:t>
      </w:r>
      <w:r w:rsidR="001A2D3E">
        <w:rPr>
          <w:noProof/>
        </w:rPr>
        <w:t>1</w:t>
      </w:r>
      <w:r w:rsidRPr="0002296D">
        <w:rPr>
          <w:noProof/>
        </w:rPr>
        <w:t xml:space="preserve"> the Commission will also </w:t>
      </w:r>
      <w:r w:rsidR="007C7264">
        <w:rPr>
          <w:noProof/>
        </w:rPr>
        <w:t>monitor</w:t>
      </w:r>
      <w:r w:rsidR="007C7264" w:rsidRPr="0002296D">
        <w:rPr>
          <w:noProof/>
        </w:rPr>
        <w:t xml:space="preserve"> </w:t>
      </w:r>
      <w:r w:rsidRPr="0002296D">
        <w:rPr>
          <w:noProof/>
        </w:rPr>
        <w:t xml:space="preserve">the progress, impacts and results of the present initiative through a set of governance instruments based on the TEN-T governance, such as the strengthened </w:t>
      </w:r>
      <w:r w:rsidR="007C7264">
        <w:rPr>
          <w:noProof/>
        </w:rPr>
        <w:t xml:space="preserve">role of the </w:t>
      </w:r>
      <w:r w:rsidRPr="0002296D">
        <w:rPr>
          <w:noProof/>
        </w:rPr>
        <w:t>European Coordinators and their work plans.</w:t>
      </w:r>
    </w:p>
    <w:p w:rsidR="002A4278" w:rsidRDefault="002A4278" w:rsidP="000671EA">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t xml:space="preserve">Detailed explanation of </w:t>
      </w:r>
      <w:r>
        <w:rPr>
          <w:rFonts w:eastAsia="Arial Unicode MS"/>
          <w:noProof/>
          <w:u w:color="000000"/>
          <w:bdr w:val="nil"/>
          <w:lang w:val="en-US" w:eastAsia="en-GB"/>
        </w:rPr>
        <w:t xml:space="preserve">the </w:t>
      </w:r>
      <w:r w:rsidRPr="007718A8">
        <w:rPr>
          <w:rFonts w:eastAsia="Arial Unicode MS"/>
          <w:noProof/>
          <w:u w:color="000000"/>
          <w:bdr w:val="nil"/>
          <w:lang w:val="en-US" w:eastAsia="en-GB"/>
        </w:rPr>
        <w:t>specific provisions of the proposal</w:t>
      </w:r>
    </w:p>
    <w:p w:rsidR="00BD107A" w:rsidRDefault="00BD107A" w:rsidP="00E70164">
      <w:pPr>
        <w:pBdr>
          <w:top w:val="nil"/>
          <w:left w:val="nil"/>
          <w:bottom w:val="nil"/>
          <w:right w:val="nil"/>
          <w:between w:val="nil"/>
          <w:bar w:val="nil"/>
        </w:pBdr>
        <w:rPr>
          <w:noProof/>
        </w:rPr>
      </w:pPr>
      <w:r>
        <w:rPr>
          <w:noProof/>
        </w:rPr>
        <w:t xml:space="preserve">Changes (1) to (5) regard the inclusion of new recitals which shall address the new geopolitical dimension and context that the TEN-T will have to address and face. </w:t>
      </w:r>
    </w:p>
    <w:p w:rsidR="00BD107A" w:rsidRDefault="00BD107A" w:rsidP="00E70164">
      <w:pPr>
        <w:pBdr>
          <w:top w:val="nil"/>
          <w:left w:val="nil"/>
          <w:bottom w:val="nil"/>
          <w:right w:val="nil"/>
          <w:between w:val="nil"/>
          <w:bar w:val="nil"/>
        </w:pBdr>
        <w:rPr>
          <w:noProof/>
        </w:rPr>
      </w:pPr>
      <w:r>
        <w:rPr>
          <w:noProof/>
        </w:rPr>
        <w:t xml:space="preserve">Changes (6) to (9) are introduced as to put stronger emphasis on the need to migrate to European standard </w:t>
      </w:r>
      <w:r w:rsidR="009927DE">
        <w:rPr>
          <w:noProof/>
        </w:rPr>
        <w:t xml:space="preserve">nominal </w:t>
      </w:r>
      <w:r>
        <w:rPr>
          <w:noProof/>
        </w:rPr>
        <w:t xml:space="preserve">railway </w:t>
      </w:r>
      <w:r w:rsidR="009927DE">
        <w:rPr>
          <w:noProof/>
        </w:rPr>
        <w:t xml:space="preserve">track </w:t>
      </w:r>
      <w:r>
        <w:rPr>
          <w:noProof/>
        </w:rPr>
        <w:t>gauge, in particular with regard to all new railway lines that are still to be built as of th</w:t>
      </w:r>
      <w:r w:rsidR="007C7264">
        <w:rPr>
          <w:noProof/>
        </w:rPr>
        <w:t>is</w:t>
      </w:r>
      <w:r>
        <w:rPr>
          <w:noProof/>
        </w:rPr>
        <w:t xml:space="preserve"> </w:t>
      </w:r>
      <w:r w:rsidR="007C7264">
        <w:rPr>
          <w:noProof/>
        </w:rPr>
        <w:t xml:space="preserve">Regulation’s </w:t>
      </w:r>
      <w:r>
        <w:rPr>
          <w:noProof/>
        </w:rPr>
        <w:t>entry into force, but also as regards a sound migration plan for existing railway sections on the European Transport Corridors.</w:t>
      </w:r>
    </w:p>
    <w:p w:rsidR="00BD107A" w:rsidRDefault="00BD107A" w:rsidP="00E70164">
      <w:pPr>
        <w:pBdr>
          <w:top w:val="nil"/>
          <w:left w:val="nil"/>
          <w:bottom w:val="nil"/>
          <w:right w:val="nil"/>
          <w:between w:val="nil"/>
          <w:bar w:val="nil"/>
        </w:pBdr>
        <w:rPr>
          <w:noProof/>
        </w:rPr>
      </w:pPr>
      <w:r>
        <w:rPr>
          <w:noProof/>
        </w:rPr>
        <w:t xml:space="preserve">Change (10) takes into account the particular situation of Ireland, which due to its insular situation is detached from any European railway system and shall as such be exempted from the </w:t>
      </w:r>
      <w:r w:rsidR="0001545D" w:rsidRPr="007D45AA">
        <w:rPr>
          <w:noProof/>
        </w:rPr>
        <w:t>European standard nominal track gauge of 1</w:t>
      </w:r>
      <w:r w:rsidR="007C7264">
        <w:rPr>
          <w:noProof/>
        </w:rPr>
        <w:t xml:space="preserve"> </w:t>
      </w:r>
      <w:r w:rsidR="0001545D" w:rsidRPr="007D45AA">
        <w:rPr>
          <w:noProof/>
        </w:rPr>
        <w:t>435 mm</w:t>
      </w:r>
      <w:r>
        <w:rPr>
          <w:noProof/>
        </w:rPr>
        <w:t xml:space="preserve"> requirements. </w:t>
      </w:r>
    </w:p>
    <w:p w:rsidR="00BD107A" w:rsidRPr="00BD107A" w:rsidRDefault="00BD107A" w:rsidP="00BD107A">
      <w:pPr>
        <w:pBdr>
          <w:top w:val="nil"/>
          <w:left w:val="nil"/>
          <w:bottom w:val="nil"/>
          <w:right w:val="nil"/>
          <w:between w:val="nil"/>
          <w:bar w:val="nil"/>
        </w:pBdr>
        <w:rPr>
          <w:noProof/>
        </w:rPr>
      </w:pPr>
      <w:r w:rsidRPr="00BD107A">
        <w:rPr>
          <w:noProof/>
        </w:rPr>
        <w:t xml:space="preserve">Changes (11) </w:t>
      </w:r>
      <w:r w:rsidRPr="00C22591">
        <w:rPr>
          <w:noProof/>
        </w:rPr>
        <w:t>to (</w:t>
      </w:r>
      <w:r w:rsidR="00C22591" w:rsidRPr="00C22591">
        <w:rPr>
          <w:noProof/>
        </w:rPr>
        <w:t>14</w:t>
      </w:r>
      <w:r w:rsidRPr="00C22591">
        <w:rPr>
          <w:noProof/>
        </w:rPr>
        <w:t xml:space="preserve">) </w:t>
      </w:r>
      <w:r w:rsidR="00127C34" w:rsidRPr="00C22591">
        <w:rPr>
          <w:noProof/>
        </w:rPr>
        <w:t>include</w:t>
      </w:r>
      <w:r w:rsidRPr="00BD107A">
        <w:rPr>
          <w:noProof/>
        </w:rPr>
        <w:t xml:space="preserve"> all changes with regard to the </w:t>
      </w:r>
      <w:r w:rsidR="000D7B93">
        <w:rPr>
          <w:noProof/>
        </w:rPr>
        <w:t xml:space="preserve">annexed </w:t>
      </w:r>
      <w:r w:rsidRPr="00BD107A">
        <w:rPr>
          <w:noProof/>
        </w:rPr>
        <w:t>maps</w:t>
      </w:r>
      <w:r w:rsidR="000D7B93">
        <w:rPr>
          <w:noProof/>
        </w:rPr>
        <w:t xml:space="preserve"> to the TEN-T Regulation</w:t>
      </w:r>
      <w:r w:rsidRPr="00BD107A">
        <w:rPr>
          <w:noProof/>
        </w:rPr>
        <w:t xml:space="preserve">, notably the removal of the maps of Belarus and Russia, the inclusion of the new adopted indicative maps for Ukraine, </w:t>
      </w:r>
      <w:r w:rsidR="000D7B93">
        <w:rPr>
          <w:noProof/>
        </w:rPr>
        <w:t xml:space="preserve">the downgrading of the last miles of all rail and road cross-border sections to Russia and Belarus from core to comprehensive network </w:t>
      </w:r>
      <w:r w:rsidR="007C7264">
        <w:rPr>
          <w:noProof/>
        </w:rPr>
        <w:t>and</w:t>
      </w:r>
      <w:r w:rsidR="000D7B93">
        <w:rPr>
          <w:noProof/>
        </w:rPr>
        <w:t xml:space="preserve"> extension of the European Transport Corridors to Ukraine and </w:t>
      </w:r>
      <w:r w:rsidR="00726502">
        <w:rPr>
          <w:noProof/>
        </w:rPr>
        <w:t xml:space="preserve">the Republic of </w:t>
      </w:r>
      <w:r w:rsidR="000D7B93">
        <w:rPr>
          <w:noProof/>
        </w:rPr>
        <w:t xml:space="preserve">Moldova. </w:t>
      </w:r>
    </w:p>
    <w:p w:rsidR="004647FC" w:rsidRPr="006C646D" w:rsidRDefault="004647FC" w:rsidP="0090126A">
      <w:pPr>
        <w:pBdr>
          <w:top w:val="nil"/>
          <w:left w:val="nil"/>
          <w:bottom w:val="nil"/>
          <w:right w:val="nil"/>
          <w:between w:val="nil"/>
          <w:bar w:val="nil"/>
        </w:pBdr>
        <w:spacing w:before="0" w:after="240"/>
        <w:rPr>
          <w:noProof/>
        </w:rPr>
      </w:pPr>
    </w:p>
    <w:p w:rsidR="00A10FA9" w:rsidRPr="0090126A" w:rsidRDefault="0090126A" w:rsidP="0090126A">
      <w:pPr>
        <w:pStyle w:val="ManualHeading2"/>
        <w:rPr>
          <w:rFonts w:eastAsia="Arial Unicode MS"/>
          <w:noProof/>
          <w:u w:color="000000"/>
          <w:bdr w:val="nil"/>
          <w:lang w:val="en-US" w:eastAsia="en-GB"/>
        </w:rPr>
      </w:pPr>
      <w:r w:rsidRPr="007718A8">
        <w:rPr>
          <w:rFonts w:eastAsia="Arial Unicode MS"/>
          <w:noProof/>
          <w:u w:color="000000"/>
          <w:bdr w:val="nil"/>
          <w:lang w:val="en-US" w:eastAsia="en-GB"/>
        </w:rPr>
        <w:t>•</w:t>
      </w:r>
      <w:r w:rsidRPr="007718A8">
        <w:rPr>
          <w:rFonts w:eastAsia="Arial Unicode MS"/>
          <w:noProof/>
          <w:u w:color="000000"/>
          <w:bdr w:val="nil"/>
          <w:lang w:val="en-US" w:eastAsia="en-GB"/>
        </w:rPr>
        <w:tab/>
      </w:r>
      <w:r w:rsidR="00A10FA9" w:rsidRPr="0090126A">
        <w:rPr>
          <w:rFonts w:eastAsia="Arial Unicode MS"/>
          <w:noProof/>
          <w:u w:color="000000"/>
          <w:bdr w:val="nil"/>
          <w:lang w:val="en-US" w:eastAsia="en-GB"/>
        </w:rPr>
        <w:t>C</w:t>
      </w:r>
      <w:r w:rsidR="00A10FA9">
        <w:rPr>
          <w:rFonts w:eastAsia="Arial Unicode MS"/>
          <w:noProof/>
          <w:u w:color="000000"/>
          <w:bdr w:val="nil"/>
          <w:lang w:val="en-US" w:eastAsia="en-GB"/>
        </w:rPr>
        <w:t xml:space="preserve">hanges compared to </w:t>
      </w:r>
      <w:r>
        <w:rPr>
          <w:rFonts w:eastAsia="Arial Unicode MS"/>
          <w:noProof/>
          <w:u w:color="000000"/>
          <w:bdr w:val="nil"/>
          <w:lang w:val="en-US" w:eastAsia="en-GB"/>
        </w:rPr>
        <w:t xml:space="preserve">the </w:t>
      </w:r>
      <w:r w:rsidR="00A10FA9">
        <w:rPr>
          <w:rFonts w:eastAsia="Arial Unicode MS"/>
          <w:noProof/>
          <w:u w:color="000000"/>
          <w:bdr w:val="nil"/>
          <w:lang w:val="en-US" w:eastAsia="en-GB"/>
        </w:rPr>
        <w:t>original legislative proposal (</w:t>
      </w:r>
      <w:r w:rsidR="00A10FA9" w:rsidRPr="0090126A">
        <w:rPr>
          <w:rFonts w:eastAsia="Arial Unicode MS"/>
          <w:noProof/>
          <w:u w:color="000000"/>
          <w:bdr w:val="nil"/>
          <w:lang w:val="en-US" w:eastAsia="en-GB"/>
        </w:rPr>
        <w:t>COM(2021) 812 final)</w:t>
      </w:r>
    </w:p>
    <w:p w:rsidR="00A10FA9" w:rsidRDefault="00A10FA9" w:rsidP="00BE27E2">
      <w:pPr>
        <w:rPr>
          <w:noProof/>
        </w:rPr>
      </w:pPr>
      <w:r>
        <w:rPr>
          <w:noProof/>
        </w:rPr>
        <w:t xml:space="preserve">The changes made in this amended proposal, compared with the </w:t>
      </w:r>
      <w:r w:rsidR="0090126A">
        <w:rPr>
          <w:noProof/>
        </w:rPr>
        <w:t xml:space="preserve">one </w:t>
      </w:r>
      <w:r>
        <w:rPr>
          <w:noProof/>
        </w:rPr>
        <w:t>of 14 December 2021 (COM(2021) 812 final), are the following:</w:t>
      </w:r>
    </w:p>
    <w:p w:rsidR="00A10FA9" w:rsidRDefault="00A10FA9" w:rsidP="00BE27E2">
      <w:pPr>
        <w:rPr>
          <w:noProof/>
        </w:rPr>
      </w:pPr>
    </w:p>
    <w:p w:rsidR="00A10FA9" w:rsidRPr="00BE27E2" w:rsidRDefault="00A10FA9" w:rsidP="00BE27E2">
      <w:pPr>
        <w:rPr>
          <w:b/>
          <w:caps/>
          <w:noProof/>
          <w:u w:val="single"/>
        </w:rPr>
      </w:pPr>
      <w:r w:rsidRPr="00BE27E2">
        <w:rPr>
          <w:b/>
          <w:caps/>
          <w:noProof/>
          <w:u w:val="single"/>
        </w:rPr>
        <w:t xml:space="preserve">Recitals </w:t>
      </w:r>
    </w:p>
    <w:p w:rsidR="00A10FA9" w:rsidRDefault="00E501A0" w:rsidP="00E501A0">
      <w:pPr>
        <w:pStyle w:val="Point0"/>
        <w:rPr>
          <w:noProof/>
        </w:rPr>
      </w:pPr>
      <w:r w:rsidRPr="00E501A0">
        <w:rPr>
          <w:noProof/>
        </w:rPr>
        <w:t>(1)</w:t>
      </w:r>
      <w:r w:rsidRPr="00E501A0">
        <w:rPr>
          <w:noProof/>
        </w:rPr>
        <w:tab/>
      </w:r>
      <w:r w:rsidR="00E60F54">
        <w:rPr>
          <w:noProof/>
        </w:rPr>
        <w:t>The following new r</w:t>
      </w:r>
      <w:r w:rsidR="00A10FA9">
        <w:rPr>
          <w:noProof/>
        </w:rPr>
        <w:t xml:space="preserve">ecital </w:t>
      </w:r>
      <w:r w:rsidR="000671EA">
        <w:rPr>
          <w:noProof/>
        </w:rPr>
        <w:t>39</w:t>
      </w:r>
      <w:r w:rsidR="001C1274">
        <w:rPr>
          <w:noProof/>
        </w:rPr>
        <w:t xml:space="preserve"> is </w:t>
      </w:r>
      <w:r w:rsidR="00E60F54">
        <w:rPr>
          <w:noProof/>
        </w:rPr>
        <w:t>inserted</w:t>
      </w:r>
      <w:r w:rsidR="00A10FA9">
        <w:rPr>
          <w:noProof/>
        </w:rPr>
        <w:t>:</w:t>
      </w:r>
    </w:p>
    <w:p w:rsidR="000671EA" w:rsidRPr="00BE27E2" w:rsidRDefault="00E60F54" w:rsidP="00BE27E2">
      <w:pPr>
        <w:ind w:left="850"/>
        <w:rPr>
          <w:i/>
          <w:noProof/>
        </w:rPr>
      </w:pPr>
      <w:r w:rsidRPr="00BE27E2">
        <w:rPr>
          <w:i/>
          <w:noProof/>
        </w:rPr>
        <w:t>‘</w:t>
      </w:r>
      <w:r w:rsidR="005B5355">
        <w:rPr>
          <w:i/>
          <w:noProof/>
        </w:rPr>
        <w:t>(39)</w:t>
      </w:r>
      <w:r w:rsidR="0060250A">
        <w:rPr>
          <w:i/>
          <w:noProof/>
        </w:rPr>
        <w:t xml:space="preserve"> </w:t>
      </w:r>
      <w:r w:rsidR="000671EA" w:rsidRPr="00BE27E2">
        <w:rPr>
          <w:i/>
          <w:noProof/>
        </w:rPr>
        <w:t xml:space="preserve">The resilience of the European transport network has been challenged and put to test by the devastating impact of Russia’s war of aggression against Ukraine. </w:t>
      </w:r>
      <w:r w:rsidR="00726502" w:rsidRPr="00BE27E2">
        <w:rPr>
          <w:i/>
          <w:noProof/>
        </w:rPr>
        <w:t xml:space="preserve">That aggression </w:t>
      </w:r>
      <w:r w:rsidR="000671EA" w:rsidRPr="00BE27E2">
        <w:rPr>
          <w:i/>
          <w:noProof/>
        </w:rPr>
        <w:t xml:space="preserve">has redefined the geopolitical landscape, bringing to the surface </w:t>
      </w:r>
      <w:r w:rsidR="005B5355">
        <w:rPr>
          <w:i/>
          <w:noProof/>
        </w:rPr>
        <w:t>the</w:t>
      </w:r>
      <w:r w:rsidR="005B5355" w:rsidRPr="00BE27E2">
        <w:rPr>
          <w:i/>
          <w:noProof/>
        </w:rPr>
        <w:t xml:space="preserve"> </w:t>
      </w:r>
      <w:r w:rsidR="000671EA" w:rsidRPr="00BE27E2">
        <w:rPr>
          <w:i/>
          <w:noProof/>
        </w:rPr>
        <w:t xml:space="preserve">vulnerability </w:t>
      </w:r>
      <w:r w:rsidR="005B5355">
        <w:rPr>
          <w:i/>
          <w:noProof/>
        </w:rPr>
        <w:t xml:space="preserve">of the Union </w:t>
      </w:r>
      <w:r w:rsidR="000671EA" w:rsidRPr="00BE27E2">
        <w:rPr>
          <w:i/>
          <w:noProof/>
        </w:rPr>
        <w:t xml:space="preserve">to unforeseen disruptive events beyond the Union’s borders. Its major impacts on global markets, such as global food security, has highlighted the fact that the Union’s internal market and its transport network cannot be </w:t>
      </w:r>
      <w:r w:rsidR="007C7264">
        <w:rPr>
          <w:i/>
          <w:noProof/>
        </w:rPr>
        <w:t>viewed</w:t>
      </w:r>
      <w:r w:rsidR="000671EA" w:rsidRPr="00BE27E2">
        <w:rPr>
          <w:i/>
          <w:noProof/>
        </w:rPr>
        <w:t xml:space="preserve"> in isolation when it comes to shaping Union policy. Better connections with the </w:t>
      </w:r>
      <w:r w:rsidR="00354787" w:rsidRPr="00BE27E2">
        <w:rPr>
          <w:i/>
          <w:noProof/>
        </w:rPr>
        <w:t>Union</w:t>
      </w:r>
      <w:r w:rsidR="000671EA" w:rsidRPr="00BE27E2">
        <w:rPr>
          <w:i/>
          <w:noProof/>
        </w:rPr>
        <w:t xml:space="preserve"> neighbouring partner countries are </w:t>
      </w:r>
      <w:r w:rsidR="007C7264" w:rsidRPr="00BE27E2">
        <w:rPr>
          <w:i/>
          <w:noProof/>
        </w:rPr>
        <w:t xml:space="preserve">needed </w:t>
      </w:r>
      <w:r w:rsidR="000671EA" w:rsidRPr="00BE27E2">
        <w:rPr>
          <w:i/>
          <w:noProof/>
        </w:rPr>
        <w:t>more than ever.’</w:t>
      </w:r>
    </w:p>
    <w:p w:rsidR="000671EA" w:rsidRPr="000671EA" w:rsidRDefault="00E501A0" w:rsidP="00E501A0">
      <w:pPr>
        <w:pStyle w:val="Point0"/>
        <w:rPr>
          <w:noProof/>
        </w:rPr>
      </w:pPr>
      <w:r w:rsidRPr="00E501A0">
        <w:rPr>
          <w:noProof/>
        </w:rPr>
        <w:t>(2)</w:t>
      </w:r>
      <w:r w:rsidRPr="00E501A0">
        <w:rPr>
          <w:noProof/>
        </w:rPr>
        <w:tab/>
      </w:r>
      <w:r w:rsidR="000671EA">
        <w:rPr>
          <w:noProof/>
        </w:rPr>
        <w:t xml:space="preserve">The following new recital 40 is inserted: </w:t>
      </w:r>
    </w:p>
    <w:p w:rsidR="000671EA" w:rsidRPr="00BE27E2" w:rsidRDefault="000671EA" w:rsidP="00BE27E2">
      <w:pPr>
        <w:ind w:left="850"/>
        <w:rPr>
          <w:i/>
          <w:noProof/>
        </w:rPr>
      </w:pPr>
      <w:r w:rsidRPr="00BE27E2">
        <w:rPr>
          <w:i/>
          <w:noProof/>
        </w:rPr>
        <w:t>‘</w:t>
      </w:r>
      <w:r w:rsidR="005B5355">
        <w:rPr>
          <w:i/>
          <w:noProof/>
        </w:rPr>
        <w:t>(40)</w:t>
      </w:r>
      <w:r w:rsidR="0060250A">
        <w:rPr>
          <w:i/>
          <w:noProof/>
        </w:rPr>
        <w:t xml:space="preserve"> </w:t>
      </w:r>
      <w:r w:rsidRPr="00BE27E2">
        <w:rPr>
          <w:i/>
          <w:noProof/>
        </w:rPr>
        <w:t xml:space="preserve">Given </w:t>
      </w:r>
      <w:r w:rsidR="00726502" w:rsidRPr="00BE27E2">
        <w:rPr>
          <w:i/>
          <w:noProof/>
        </w:rPr>
        <w:t>that</w:t>
      </w:r>
      <w:r w:rsidRPr="00BE27E2">
        <w:rPr>
          <w:i/>
          <w:noProof/>
        </w:rPr>
        <w:t xml:space="preserve"> new geopolitical context, the Commission Communication from 12 May 2022 on the “Solidarity Lanes"</w:t>
      </w:r>
      <w:r w:rsidRPr="007D45AA">
        <w:rPr>
          <w:rStyle w:val="FootnoteReference"/>
          <w:noProof/>
        </w:rPr>
        <w:footnoteReference w:id="10"/>
      </w:r>
      <w:r w:rsidRPr="00BE27E2">
        <w:rPr>
          <w:i/>
          <w:noProof/>
        </w:rPr>
        <w:t xml:space="preserve"> identifies several major transport infrastructure challenges that the </w:t>
      </w:r>
      <w:r w:rsidR="00354787" w:rsidRPr="00BE27E2">
        <w:rPr>
          <w:i/>
          <w:noProof/>
        </w:rPr>
        <w:t>Union</w:t>
      </w:r>
      <w:r w:rsidRPr="00BE27E2">
        <w:rPr>
          <w:i/>
          <w:noProof/>
        </w:rPr>
        <w:t xml:space="preserve"> and its neighbouring countries need to resolve in order to support Ukraine’s economy and recovery, to enable agricultural and other goods to reach the </w:t>
      </w:r>
      <w:r w:rsidR="00354787" w:rsidRPr="00BE27E2">
        <w:rPr>
          <w:i/>
          <w:noProof/>
        </w:rPr>
        <w:t>Union</w:t>
      </w:r>
      <w:r w:rsidRPr="00BE27E2">
        <w:rPr>
          <w:i/>
          <w:noProof/>
        </w:rPr>
        <w:t xml:space="preserve"> and world markets, and ensure that connectivity with </w:t>
      </w:r>
      <w:r w:rsidR="006E4CA6" w:rsidRPr="00BE27E2">
        <w:rPr>
          <w:i/>
          <w:noProof/>
        </w:rPr>
        <w:t>the Union</w:t>
      </w:r>
      <w:r w:rsidRPr="00BE27E2">
        <w:rPr>
          <w:i/>
          <w:noProof/>
        </w:rPr>
        <w:t xml:space="preserve"> is greatly enhanced for both exports and imports. To offer increased connectivity with the </w:t>
      </w:r>
      <w:r w:rsidR="006E4CA6" w:rsidRPr="00BE27E2">
        <w:rPr>
          <w:i/>
          <w:noProof/>
        </w:rPr>
        <w:t>Union</w:t>
      </w:r>
      <w:r w:rsidRPr="00BE27E2">
        <w:rPr>
          <w:i/>
          <w:noProof/>
        </w:rPr>
        <w:t>, th</w:t>
      </w:r>
      <w:r w:rsidR="00D50273" w:rsidRPr="00BE27E2">
        <w:rPr>
          <w:i/>
          <w:noProof/>
        </w:rPr>
        <w:t>at</w:t>
      </w:r>
      <w:r w:rsidRPr="00BE27E2">
        <w:rPr>
          <w:i/>
          <w:noProof/>
        </w:rPr>
        <w:t xml:space="preserve"> Commumnication proposed to assess the extension of the European Transport Corridors into Ukraine and </w:t>
      </w:r>
      <w:r w:rsidR="00726502" w:rsidRPr="00BE27E2">
        <w:rPr>
          <w:i/>
          <w:noProof/>
        </w:rPr>
        <w:t xml:space="preserve">the Republic of </w:t>
      </w:r>
      <w:r w:rsidRPr="00BE27E2">
        <w:rPr>
          <w:i/>
          <w:noProof/>
        </w:rPr>
        <w:t xml:space="preserve">Moldova’. </w:t>
      </w:r>
    </w:p>
    <w:p w:rsidR="005F0850" w:rsidRPr="007D45AA" w:rsidRDefault="00E501A0" w:rsidP="00E501A0">
      <w:pPr>
        <w:pStyle w:val="Point0"/>
        <w:rPr>
          <w:noProof/>
        </w:rPr>
      </w:pPr>
      <w:r w:rsidRPr="00E501A0">
        <w:rPr>
          <w:noProof/>
        </w:rPr>
        <w:t>(3)</w:t>
      </w:r>
      <w:r w:rsidRPr="00E501A0">
        <w:rPr>
          <w:noProof/>
        </w:rPr>
        <w:tab/>
      </w:r>
      <w:r w:rsidR="005F0850" w:rsidRPr="007D45AA">
        <w:rPr>
          <w:noProof/>
        </w:rPr>
        <w:t xml:space="preserve">The following new recital 41 is inserted: </w:t>
      </w:r>
    </w:p>
    <w:p w:rsidR="005F0850" w:rsidRPr="00BE27E2" w:rsidRDefault="005F0850" w:rsidP="00BE27E2">
      <w:pPr>
        <w:ind w:left="850"/>
        <w:rPr>
          <w:i/>
          <w:noProof/>
        </w:rPr>
      </w:pPr>
      <w:r w:rsidRPr="00BE27E2">
        <w:rPr>
          <w:i/>
          <w:noProof/>
        </w:rPr>
        <w:t>‘</w:t>
      </w:r>
      <w:r w:rsidR="005B5355">
        <w:rPr>
          <w:i/>
          <w:noProof/>
        </w:rPr>
        <w:t>(41)</w:t>
      </w:r>
      <w:r w:rsidR="0060250A">
        <w:rPr>
          <w:i/>
          <w:noProof/>
        </w:rPr>
        <w:t xml:space="preserve"> </w:t>
      </w:r>
      <w:r w:rsidR="006E4CA6" w:rsidRPr="00BE27E2">
        <w:rPr>
          <w:i/>
          <w:noProof/>
        </w:rPr>
        <w:t xml:space="preserve">Because of </w:t>
      </w:r>
      <w:r w:rsidRPr="00BE27E2">
        <w:rPr>
          <w:i/>
          <w:noProof/>
        </w:rPr>
        <w:t xml:space="preserve">Russia’s war of agression </w:t>
      </w:r>
      <w:r w:rsidR="004530B8">
        <w:rPr>
          <w:i/>
          <w:noProof/>
        </w:rPr>
        <w:t>against</w:t>
      </w:r>
      <w:r w:rsidR="004530B8" w:rsidRPr="00BE27E2">
        <w:rPr>
          <w:i/>
          <w:noProof/>
        </w:rPr>
        <w:t xml:space="preserve"> </w:t>
      </w:r>
      <w:r w:rsidRPr="00BE27E2">
        <w:rPr>
          <w:i/>
          <w:noProof/>
        </w:rPr>
        <w:t>Ukraine,</w:t>
      </w:r>
      <w:r w:rsidR="00A71D34" w:rsidRPr="00BE27E2">
        <w:rPr>
          <w:i/>
          <w:noProof/>
        </w:rPr>
        <w:t xml:space="preserve"> and the position adopted by Belarus in th</w:t>
      </w:r>
      <w:r w:rsidR="006E4CA6" w:rsidRPr="00BE27E2">
        <w:rPr>
          <w:i/>
          <w:noProof/>
        </w:rPr>
        <w:t>at</w:t>
      </w:r>
      <w:r w:rsidR="00A71D34" w:rsidRPr="00BE27E2">
        <w:rPr>
          <w:i/>
          <w:noProof/>
        </w:rPr>
        <w:t xml:space="preserve"> conflict, cooperation between the </w:t>
      </w:r>
      <w:r w:rsidR="006E4CA6" w:rsidRPr="00BE27E2">
        <w:rPr>
          <w:i/>
          <w:noProof/>
        </w:rPr>
        <w:t>Union</w:t>
      </w:r>
      <w:r w:rsidR="00A71D34" w:rsidRPr="00BE27E2">
        <w:rPr>
          <w:i/>
          <w:noProof/>
        </w:rPr>
        <w:t xml:space="preserve"> and </w:t>
      </w:r>
      <w:r w:rsidR="004530B8">
        <w:rPr>
          <w:i/>
          <w:noProof/>
        </w:rPr>
        <w:t>Russia and Belarus</w:t>
      </w:r>
      <w:r w:rsidR="00A71D34" w:rsidRPr="00BE27E2">
        <w:rPr>
          <w:i/>
          <w:noProof/>
        </w:rPr>
        <w:t xml:space="preserve"> in the field of the TEN-T policy is neither appropri</w:t>
      </w:r>
      <w:r w:rsidR="006E4CA6" w:rsidRPr="00BE27E2">
        <w:rPr>
          <w:i/>
          <w:noProof/>
        </w:rPr>
        <w:t>ate nor in the interest of the Union</w:t>
      </w:r>
      <w:r w:rsidR="00A71D34" w:rsidRPr="00BE27E2">
        <w:rPr>
          <w:i/>
          <w:noProof/>
        </w:rPr>
        <w:t>. Hence the TEN-T network in th</w:t>
      </w:r>
      <w:r w:rsidR="006E4CA6" w:rsidRPr="00BE27E2">
        <w:rPr>
          <w:i/>
          <w:noProof/>
        </w:rPr>
        <w:t>o</w:t>
      </w:r>
      <w:r w:rsidR="00A71D34" w:rsidRPr="00BE27E2">
        <w:rPr>
          <w:i/>
          <w:noProof/>
        </w:rPr>
        <w:t xml:space="preserve">se two </w:t>
      </w:r>
      <w:r w:rsidR="005B5355">
        <w:rPr>
          <w:i/>
          <w:noProof/>
        </w:rPr>
        <w:t xml:space="preserve">third </w:t>
      </w:r>
      <w:r w:rsidR="00A71D34" w:rsidRPr="00BE27E2">
        <w:rPr>
          <w:i/>
          <w:noProof/>
        </w:rPr>
        <w:t>cou</w:t>
      </w:r>
      <w:r w:rsidR="004A10D5" w:rsidRPr="00BE27E2">
        <w:rPr>
          <w:i/>
          <w:noProof/>
        </w:rPr>
        <w:t xml:space="preserve">ntries should be discontinued. </w:t>
      </w:r>
      <w:r w:rsidR="00A71D34" w:rsidRPr="00BE27E2">
        <w:rPr>
          <w:i/>
          <w:noProof/>
        </w:rPr>
        <w:t>As a consequence,</w:t>
      </w:r>
      <w:r w:rsidRPr="00BE27E2">
        <w:rPr>
          <w:i/>
          <w:noProof/>
        </w:rPr>
        <w:t xml:space="preserve"> improved cross-border connections to Russia and Belarus are no longer of high priority on the territory of the Member States. Connections currently exist between Finland, Estonia, Latvia, Lithuania and Poland with th</w:t>
      </w:r>
      <w:r w:rsidR="006E4CA6" w:rsidRPr="00BE27E2">
        <w:rPr>
          <w:i/>
          <w:noProof/>
        </w:rPr>
        <w:t>o</w:t>
      </w:r>
      <w:r w:rsidRPr="00BE27E2">
        <w:rPr>
          <w:i/>
          <w:noProof/>
        </w:rPr>
        <w:t xml:space="preserve">se two third countries. To reflect the lesser priority in building and upgrading those </w:t>
      </w:r>
      <w:r w:rsidR="005B5355">
        <w:rPr>
          <w:i/>
          <w:noProof/>
        </w:rPr>
        <w:t>connections</w:t>
      </w:r>
      <w:r w:rsidRPr="00BE27E2">
        <w:rPr>
          <w:i/>
          <w:noProof/>
        </w:rPr>
        <w:t xml:space="preserve">, </w:t>
      </w:r>
      <w:r w:rsidR="005B5355">
        <w:rPr>
          <w:i/>
          <w:noProof/>
        </w:rPr>
        <w:t xml:space="preserve">the </w:t>
      </w:r>
      <w:r w:rsidR="00A71D34" w:rsidRPr="00BE27E2">
        <w:rPr>
          <w:i/>
          <w:noProof/>
        </w:rPr>
        <w:t>last</w:t>
      </w:r>
      <w:r w:rsidR="007C7264">
        <w:rPr>
          <w:i/>
          <w:noProof/>
        </w:rPr>
        <w:t>-</w:t>
      </w:r>
      <w:r w:rsidR="00A71D34" w:rsidRPr="00BE27E2">
        <w:rPr>
          <w:i/>
          <w:noProof/>
        </w:rPr>
        <w:t xml:space="preserve">miles of </w:t>
      </w:r>
      <w:r w:rsidRPr="00BE27E2">
        <w:rPr>
          <w:i/>
          <w:noProof/>
        </w:rPr>
        <w:t xml:space="preserve">all cross-border connections </w:t>
      </w:r>
      <w:r w:rsidR="005B5355">
        <w:rPr>
          <w:i/>
          <w:noProof/>
        </w:rPr>
        <w:t xml:space="preserve">with Russia and Belarus </w:t>
      </w:r>
      <w:r w:rsidRPr="00BE27E2">
        <w:rPr>
          <w:i/>
          <w:noProof/>
        </w:rPr>
        <w:t xml:space="preserve">currently </w:t>
      </w:r>
      <w:r w:rsidR="005B5355">
        <w:rPr>
          <w:i/>
          <w:noProof/>
        </w:rPr>
        <w:t>included in</w:t>
      </w:r>
      <w:r w:rsidRPr="00BE27E2">
        <w:rPr>
          <w:i/>
          <w:noProof/>
        </w:rPr>
        <w:t xml:space="preserve"> the core network should be downgraded from </w:t>
      </w:r>
      <w:r w:rsidR="007C7264">
        <w:rPr>
          <w:i/>
          <w:noProof/>
        </w:rPr>
        <w:t xml:space="preserve">the </w:t>
      </w:r>
      <w:r w:rsidRPr="00BE27E2">
        <w:rPr>
          <w:i/>
          <w:noProof/>
        </w:rPr>
        <w:t xml:space="preserve">core to </w:t>
      </w:r>
      <w:r w:rsidR="007C7264">
        <w:rPr>
          <w:i/>
          <w:noProof/>
        </w:rPr>
        <w:t xml:space="preserve">the </w:t>
      </w:r>
      <w:r w:rsidRPr="00BE27E2">
        <w:rPr>
          <w:i/>
          <w:noProof/>
        </w:rPr>
        <w:t xml:space="preserve">comprehensive network for which only a later deadline of implementation of 2050 is </w:t>
      </w:r>
      <w:r w:rsidR="00D26DF5">
        <w:rPr>
          <w:i/>
          <w:noProof/>
        </w:rPr>
        <w:t>provided for</w:t>
      </w:r>
      <w:r w:rsidRPr="00BE27E2">
        <w:rPr>
          <w:i/>
          <w:noProof/>
        </w:rPr>
        <w:t>.</w:t>
      </w:r>
      <w:r w:rsidR="006E74E4" w:rsidRPr="006E74E4">
        <w:rPr>
          <w:i/>
          <w:noProof/>
        </w:rPr>
        <w:t xml:space="preserve"> </w:t>
      </w:r>
      <w:r w:rsidR="006E74E4">
        <w:rPr>
          <w:i/>
          <w:noProof/>
        </w:rPr>
        <w:t>However, in case of a democratic transition in Belarus building and upgrading the country’s cross border connections with the EU in line with the comprehensive economic plan for a democratic Belarus would be a high priority, including through re-inclusion of the country back in the Regulation.</w:t>
      </w:r>
      <w:r w:rsidRPr="00BE27E2">
        <w:rPr>
          <w:i/>
          <w:noProof/>
        </w:rPr>
        <w:t xml:space="preserve">’ </w:t>
      </w:r>
    </w:p>
    <w:p w:rsidR="00AA3ACB" w:rsidRDefault="00E501A0" w:rsidP="00E501A0">
      <w:pPr>
        <w:pStyle w:val="Point0"/>
        <w:rPr>
          <w:noProof/>
        </w:rPr>
      </w:pPr>
      <w:r w:rsidRPr="00E501A0">
        <w:rPr>
          <w:noProof/>
        </w:rPr>
        <w:t>(4)</w:t>
      </w:r>
      <w:r w:rsidRPr="00E501A0">
        <w:rPr>
          <w:noProof/>
        </w:rPr>
        <w:tab/>
      </w:r>
      <w:r w:rsidR="005F0850">
        <w:rPr>
          <w:noProof/>
        </w:rPr>
        <w:t>The following new recital 42</w:t>
      </w:r>
      <w:r w:rsidR="00AA3ACB">
        <w:rPr>
          <w:noProof/>
        </w:rPr>
        <w:t xml:space="preserve"> is inserted: </w:t>
      </w:r>
    </w:p>
    <w:p w:rsidR="00AA3ACB" w:rsidRPr="00BE27E2" w:rsidRDefault="00AA3ACB" w:rsidP="00BE27E2">
      <w:pPr>
        <w:ind w:left="850"/>
        <w:rPr>
          <w:i/>
          <w:noProof/>
        </w:rPr>
      </w:pPr>
      <w:r w:rsidRPr="00BE27E2">
        <w:rPr>
          <w:i/>
          <w:noProof/>
        </w:rPr>
        <w:t>‘</w:t>
      </w:r>
      <w:r w:rsidR="005B5355">
        <w:rPr>
          <w:i/>
          <w:noProof/>
        </w:rPr>
        <w:t>(42)</w:t>
      </w:r>
      <w:r w:rsidR="00D224B4">
        <w:rPr>
          <w:i/>
          <w:noProof/>
        </w:rPr>
        <w:t xml:space="preserve"> </w:t>
      </w:r>
      <w:r w:rsidRPr="00BE27E2">
        <w:rPr>
          <w:i/>
          <w:noProof/>
        </w:rPr>
        <w:t xml:space="preserve">The </w:t>
      </w:r>
      <w:r w:rsidRPr="00D26DF5">
        <w:rPr>
          <w:i/>
          <w:noProof/>
        </w:rPr>
        <w:t xml:space="preserve">new geopolitical context also showed how important seamless transport connections are within the Union’s territory and with </w:t>
      </w:r>
      <w:r w:rsidR="006E4CA6" w:rsidRPr="00D26DF5">
        <w:rPr>
          <w:i/>
          <w:noProof/>
        </w:rPr>
        <w:t xml:space="preserve">neighbouring </w:t>
      </w:r>
      <w:r w:rsidRPr="00D26DF5">
        <w:rPr>
          <w:i/>
          <w:noProof/>
        </w:rPr>
        <w:t xml:space="preserve">third countries. A different railway track gauge from the European </w:t>
      </w:r>
      <w:r w:rsidR="009927DE" w:rsidRPr="00D26DF5">
        <w:rPr>
          <w:i/>
          <w:noProof/>
        </w:rPr>
        <w:t xml:space="preserve">nominal </w:t>
      </w:r>
      <w:r w:rsidRPr="00D26DF5">
        <w:rPr>
          <w:i/>
          <w:noProof/>
        </w:rPr>
        <w:t xml:space="preserve">standard </w:t>
      </w:r>
      <w:r w:rsidR="00110C36">
        <w:rPr>
          <w:i/>
          <w:noProof/>
        </w:rPr>
        <w:t xml:space="preserve">nominal </w:t>
      </w:r>
      <w:r w:rsidRPr="00D26DF5">
        <w:rPr>
          <w:i/>
          <w:noProof/>
        </w:rPr>
        <w:t>track gaug</w:t>
      </w:r>
      <w:r w:rsidRPr="00536620">
        <w:rPr>
          <w:i/>
          <w:noProof/>
        </w:rPr>
        <w:t>e of 1</w:t>
      </w:r>
      <w:r w:rsidR="00D26DF5" w:rsidRPr="00536620">
        <w:rPr>
          <w:i/>
          <w:noProof/>
        </w:rPr>
        <w:t xml:space="preserve"> </w:t>
      </w:r>
      <w:r w:rsidRPr="004530B8">
        <w:rPr>
          <w:i/>
          <w:noProof/>
        </w:rPr>
        <w:t xml:space="preserve">435 mm severely </w:t>
      </w:r>
      <w:r w:rsidR="006E4CA6" w:rsidRPr="004530B8">
        <w:rPr>
          <w:i/>
          <w:noProof/>
        </w:rPr>
        <w:t xml:space="preserve">hampers </w:t>
      </w:r>
      <w:r w:rsidRPr="00D26DF5">
        <w:rPr>
          <w:i/>
          <w:noProof/>
        </w:rPr>
        <w:t xml:space="preserve">the interoperability of the railway networks across </w:t>
      </w:r>
      <w:r w:rsidR="00E01054" w:rsidRPr="00D26DF5">
        <w:rPr>
          <w:i/>
          <w:noProof/>
        </w:rPr>
        <w:t>the Union</w:t>
      </w:r>
      <w:r w:rsidRPr="00D26DF5">
        <w:rPr>
          <w:i/>
          <w:noProof/>
        </w:rPr>
        <w:t xml:space="preserve"> and even impacts the competitiveness of those isolated railway networks.</w:t>
      </w:r>
      <w:r w:rsidR="00E01054" w:rsidRPr="00D26DF5">
        <w:rPr>
          <w:i/>
          <w:noProof/>
        </w:rPr>
        <w:t xml:space="preserve"> New railway lines should therefore be only built in </w:t>
      </w:r>
      <w:r w:rsidR="001C6D4F" w:rsidRPr="006F33EA">
        <w:rPr>
          <w:i/>
          <w:noProof/>
        </w:rPr>
        <w:t>European standard nominal track gauge of 1</w:t>
      </w:r>
      <w:r w:rsidR="00D26DF5" w:rsidRPr="006F33EA">
        <w:rPr>
          <w:i/>
          <w:noProof/>
        </w:rPr>
        <w:t xml:space="preserve"> </w:t>
      </w:r>
      <w:r w:rsidR="001C6D4F" w:rsidRPr="006F33EA">
        <w:rPr>
          <w:i/>
          <w:noProof/>
        </w:rPr>
        <w:t>435 mm</w:t>
      </w:r>
      <w:r w:rsidR="00E01054" w:rsidRPr="00D26DF5">
        <w:rPr>
          <w:i/>
          <w:noProof/>
        </w:rPr>
        <w:t>. In addition, Member States with a different track gauge network should asses</w:t>
      </w:r>
      <w:r w:rsidR="001C6D4F" w:rsidRPr="00D26DF5">
        <w:rPr>
          <w:i/>
          <w:noProof/>
        </w:rPr>
        <w:t>s</w:t>
      </w:r>
      <w:r w:rsidR="00E01054" w:rsidRPr="00D26DF5">
        <w:rPr>
          <w:i/>
          <w:noProof/>
        </w:rPr>
        <w:t xml:space="preserve"> the migration of existing</w:t>
      </w:r>
      <w:r w:rsidR="00E01054" w:rsidRPr="00BE27E2">
        <w:rPr>
          <w:i/>
          <w:noProof/>
        </w:rPr>
        <w:t xml:space="preserve"> lines of the European Transport Corridors.</w:t>
      </w:r>
      <w:r w:rsidR="00A71D34" w:rsidRPr="00BE27E2">
        <w:rPr>
          <w:i/>
          <w:noProof/>
        </w:rPr>
        <w:t xml:space="preserve"> This obligation should not apply to Ireland as its transport network, due to its insular situation, is fully detached from any land-side connection on the Union territory.</w:t>
      </w:r>
      <w:r w:rsidRPr="00BE27E2">
        <w:rPr>
          <w:i/>
          <w:noProof/>
        </w:rPr>
        <w:t>’</w:t>
      </w:r>
    </w:p>
    <w:p w:rsidR="001C1274" w:rsidRDefault="00E501A0" w:rsidP="00E501A0">
      <w:pPr>
        <w:pStyle w:val="Point0"/>
        <w:rPr>
          <w:noProof/>
        </w:rPr>
      </w:pPr>
      <w:r w:rsidRPr="00E501A0">
        <w:rPr>
          <w:noProof/>
        </w:rPr>
        <w:t>(5)</w:t>
      </w:r>
      <w:r w:rsidRPr="00E501A0">
        <w:rPr>
          <w:noProof/>
        </w:rPr>
        <w:tab/>
      </w:r>
      <w:r w:rsidR="001C1274">
        <w:rPr>
          <w:noProof/>
        </w:rPr>
        <w:t xml:space="preserve">Recital </w:t>
      </w:r>
      <w:r w:rsidR="000671EA">
        <w:rPr>
          <w:noProof/>
        </w:rPr>
        <w:t>39 and all following recitals are</w:t>
      </w:r>
      <w:r w:rsidR="001C1274">
        <w:rPr>
          <w:noProof/>
        </w:rPr>
        <w:t xml:space="preserve"> renumbered </w:t>
      </w:r>
      <w:r w:rsidR="004D42FB">
        <w:rPr>
          <w:noProof/>
        </w:rPr>
        <w:t xml:space="preserve">as </w:t>
      </w:r>
      <w:r w:rsidR="001C1274">
        <w:rPr>
          <w:noProof/>
        </w:rPr>
        <w:t xml:space="preserve">recital </w:t>
      </w:r>
      <w:r w:rsidR="00AA3ACB">
        <w:rPr>
          <w:noProof/>
        </w:rPr>
        <w:t>4</w:t>
      </w:r>
      <w:r w:rsidR="00E01054">
        <w:rPr>
          <w:noProof/>
        </w:rPr>
        <w:t>3</w:t>
      </w:r>
      <w:r w:rsidR="000671EA">
        <w:rPr>
          <w:noProof/>
        </w:rPr>
        <w:t xml:space="preserve"> and subsequent numbers</w:t>
      </w:r>
      <w:r w:rsidR="006E4CA6">
        <w:rPr>
          <w:noProof/>
        </w:rPr>
        <w:t xml:space="preserve">; </w:t>
      </w:r>
      <w:r w:rsidR="001C1274">
        <w:rPr>
          <w:noProof/>
        </w:rPr>
        <w:t xml:space="preserve"> </w:t>
      </w:r>
    </w:p>
    <w:p w:rsidR="00E60F54" w:rsidRDefault="00E60F54" w:rsidP="003A3D22">
      <w:pPr>
        <w:rPr>
          <w:noProof/>
        </w:rPr>
      </w:pPr>
    </w:p>
    <w:p w:rsidR="00E60F54" w:rsidRPr="003A3D22" w:rsidRDefault="00E60F54" w:rsidP="003A3D22">
      <w:pPr>
        <w:rPr>
          <w:b/>
          <w:caps/>
          <w:noProof/>
          <w:u w:val="single"/>
        </w:rPr>
      </w:pPr>
      <w:r w:rsidRPr="003A3D22">
        <w:rPr>
          <w:b/>
          <w:caps/>
          <w:noProof/>
          <w:u w:val="single"/>
        </w:rPr>
        <w:t>Chapter III: Specific Provisions</w:t>
      </w:r>
    </w:p>
    <w:p w:rsidR="00E60F54" w:rsidRPr="003A3D22" w:rsidRDefault="00E60F54" w:rsidP="003A3D22">
      <w:pPr>
        <w:rPr>
          <w:noProof/>
          <w:u w:val="single"/>
        </w:rPr>
      </w:pPr>
      <w:r w:rsidRPr="003A3D22">
        <w:rPr>
          <w:noProof/>
          <w:u w:val="single"/>
        </w:rPr>
        <w:t xml:space="preserve">Section 1: Railway transport infrastructure </w:t>
      </w:r>
    </w:p>
    <w:p w:rsidR="00E60F54" w:rsidRDefault="00E501A0" w:rsidP="00E501A0">
      <w:pPr>
        <w:pStyle w:val="Point0"/>
        <w:rPr>
          <w:noProof/>
        </w:rPr>
      </w:pPr>
      <w:r w:rsidRPr="00E501A0">
        <w:rPr>
          <w:noProof/>
        </w:rPr>
        <w:t>(6)</w:t>
      </w:r>
      <w:r w:rsidRPr="00E501A0">
        <w:rPr>
          <w:noProof/>
        </w:rPr>
        <w:tab/>
      </w:r>
      <w:r w:rsidR="005B5355">
        <w:rPr>
          <w:noProof/>
        </w:rPr>
        <w:t>i</w:t>
      </w:r>
      <w:r w:rsidR="00E60F54">
        <w:rPr>
          <w:noProof/>
        </w:rPr>
        <w:t xml:space="preserve">n Article 15 (Transport infrastructure requirements for the comprehensive network), the following changes are introduced: </w:t>
      </w:r>
    </w:p>
    <w:p w:rsidR="00E60F54" w:rsidRDefault="00E501A0" w:rsidP="00E501A0">
      <w:pPr>
        <w:pStyle w:val="Point1"/>
        <w:rPr>
          <w:noProof/>
        </w:rPr>
      </w:pPr>
      <w:r w:rsidRPr="00E501A0">
        <w:rPr>
          <w:noProof/>
        </w:rPr>
        <w:t>(a)</w:t>
      </w:r>
      <w:r w:rsidRPr="00E501A0">
        <w:rPr>
          <w:noProof/>
        </w:rPr>
        <w:tab/>
      </w:r>
      <w:r w:rsidR="005B5355">
        <w:rPr>
          <w:noProof/>
        </w:rPr>
        <w:t>i</w:t>
      </w:r>
      <w:r w:rsidR="00E60F54">
        <w:rPr>
          <w:noProof/>
        </w:rPr>
        <w:t xml:space="preserve">n paragraph 2, point (b) is deleted. </w:t>
      </w:r>
    </w:p>
    <w:p w:rsidR="00E60F54" w:rsidRDefault="00E501A0" w:rsidP="00E501A0">
      <w:pPr>
        <w:pStyle w:val="Point1"/>
        <w:rPr>
          <w:noProof/>
        </w:rPr>
      </w:pPr>
      <w:r w:rsidRPr="00E501A0">
        <w:rPr>
          <w:noProof/>
        </w:rPr>
        <w:t>(b)</w:t>
      </w:r>
      <w:r w:rsidRPr="00E501A0">
        <w:rPr>
          <w:noProof/>
        </w:rPr>
        <w:tab/>
      </w:r>
      <w:r w:rsidR="005B5355">
        <w:rPr>
          <w:noProof/>
        </w:rPr>
        <w:t>i</w:t>
      </w:r>
      <w:r w:rsidR="00E60F54">
        <w:rPr>
          <w:noProof/>
        </w:rPr>
        <w:t xml:space="preserve">n paragraph 2, points (c), (d) and (e) are renumbered as points (b), (c) and (d). </w:t>
      </w:r>
    </w:p>
    <w:p w:rsidR="00E60F54" w:rsidRDefault="00E501A0" w:rsidP="00E501A0">
      <w:pPr>
        <w:pStyle w:val="Point1"/>
        <w:rPr>
          <w:noProof/>
        </w:rPr>
      </w:pPr>
      <w:r w:rsidRPr="00E501A0">
        <w:rPr>
          <w:noProof/>
        </w:rPr>
        <w:t>(c)</w:t>
      </w:r>
      <w:r w:rsidRPr="00E501A0">
        <w:rPr>
          <w:noProof/>
        </w:rPr>
        <w:tab/>
      </w:r>
      <w:r w:rsidR="005B5355">
        <w:rPr>
          <w:noProof/>
        </w:rPr>
        <w:t>i</w:t>
      </w:r>
      <w:r w:rsidR="00E60F54">
        <w:rPr>
          <w:noProof/>
        </w:rPr>
        <w:t xml:space="preserve">n paragraph 3, point (a) is </w:t>
      </w:r>
      <w:r w:rsidR="005B5355">
        <w:rPr>
          <w:noProof/>
        </w:rPr>
        <w:t>replaced by the following</w:t>
      </w:r>
      <w:r w:rsidR="00E60F54">
        <w:rPr>
          <w:noProof/>
        </w:rPr>
        <w:t xml:space="preserve">: </w:t>
      </w:r>
    </w:p>
    <w:p w:rsidR="00E60F54" w:rsidRPr="003A3D22" w:rsidRDefault="00E60F54" w:rsidP="003A3D22">
      <w:pPr>
        <w:ind w:left="1440"/>
        <w:rPr>
          <w:i/>
          <w:noProof/>
        </w:rPr>
      </w:pPr>
      <w:r w:rsidRPr="003A3D22">
        <w:rPr>
          <w:i/>
          <w:noProof/>
        </w:rPr>
        <w:t>‘isolated networks are exempted from the requirements under paragraph 2, points (a</w:t>
      </w:r>
      <w:r w:rsidR="000B035E" w:rsidRPr="003A3D22">
        <w:rPr>
          <w:i/>
          <w:noProof/>
        </w:rPr>
        <w:t>) to</w:t>
      </w:r>
      <w:r w:rsidRPr="003A3D22">
        <w:rPr>
          <w:i/>
          <w:noProof/>
        </w:rPr>
        <w:t xml:space="preserve"> (d)’</w:t>
      </w:r>
      <w:r w:rsidR="006E4CA6" w:rsidRPr="003A3D22">
        <w:rPr>
          <w:i/>
          <w:noProof/>
        </w:rPr>
        <w:t>;</w:t>
      </w:r>
    </w:p>
    <w:p w:rsidR="008E154E" w:rsidRPr="00297CDA" w:rsidRDefault="00E501A0" w:rsidP="00E501A0">
      <w:pPr>
        <w:pStyle w:val="Point0"/>
        <w:rPr>
          <w:noProof/>
        </w:rPr>
      </w:pPr>
      <w:r w:rsidRPr="00E501A0">
        <w:rPr>
          <w:noProof/>
        </w:rPr>
        <w:t>(7)</w:t>
      </w:r>
      <w:r w:rsidRPr="00E501A0">
        <w:rPr>
          <w:noProof/>
        </w:rPr>
        <w:tab/>
      </w:r>
      <w:r w:rsidR="005B5355">
        <w:rPr>
          <w:noProof/>
        </w:rPr>
        <w:t xml:space="preserve">in </w:t>
      </w:r>
      <w:r w:rsidR="00297CDA">
        <w:rPr>
          <w:noProof/>
        </w:rPr>
        <w:t>Article 16 (</w:t>
      </w:r>
      <w:r w:rsidR="008E154E" w:rsidRPr="00297CDA">
        <w:rPr>
          <w:noProof/>
        </w:rPr>
        <w:t>Transport infrastructure requirements for the core network and the extended core network</w:t>
      </w:r>
      <w:r w:rsidR="00297CDA" w:rsidRPr="00297CDA">
        <w:rPr>
          <w:noProof/>
        </w:rPr>
        <w:t xml:space="preserve">), the following changes are introduced: </w:t>
      </w:r>
    </w:p>
    <w:p w:rsidR="00C16E8E" w:rsidRDefault="00E501A0" w:rsidP="00E501A0">
      <w:pPr>
        <w:pStyle w:val="Point1"/>
        <w:rPr>
          <w:noProof/>
        </w:rPr>
      </w:pPr>
      <w:r w:rsidRPr="00E501A0">
        <w:rPr>
          <w:noProof/>
        </w:rPr>
        <w:t>(a)</w:t>
      </w:r>
      <w:r w:rsidRPr="00E501A0">
        <w:rPr>
          <w:noProof/>
        </w:rPr>
        <w:tab/>
      </w:r>
      <w:r w:rsidR="005B5355">
        <w:rPr>
          <w:noProof/>
        </w:rPr>
        <w:t>i</w:t>
      </w:r>
      <w:r w:rsidR="000B035E">
        <w:rPr>
          <w:noProof/>
        </w:rPr>
        <w:t xml:space="preserve">n paragraph 2, point (a) </w:t>
      </w:r>
      <w:r w:rsidR="00C16E8E">
        <w:rPr>
          <w:noProof/>
        </w:rPr>
        <w:t xml:space="preserve">is </w:t>
      </w:r>
      <w:r w:rsidR="005B5355">
        <w:rPr>
          <w:noProof/>
        </w:rPr>
        <w:t>replaced by the following</w:t>
      </w:r>
      <w:r w:rsidR="00C16E8E">
        <w:rPr>
          <w:noProof/>
        </w:rPr>
        <w:t xml:space="preserve">: </w:t>
      </w:r>
    </w:p>
    <w:p w:rsidR="00C16E8E" w:rsidRPr="00E133E4" w:rsidRDefault="00C16E8E" w:rsidP="00E133E4">
      <w:pPr>
        <w:ind w:left="850"/>
        <w:rPr>
          <w:i/>
          <w:noProof/>
        </w:rPr>
      </w:pPr>
      <w:r w:rsidRPr="00E133E4">
        <w:rPr>
          <w:i/>
          <w:noProof/>
        </w:rPr>
        <w:t>‘meets the requirements set out in Article 15(2), points (a) to (d), and of a prevailing minimum operational line speed of 100 km/h for freight trains on the freight lines of the extended core network’</w:t>
      </w:r>
      <w:r w:rsidR="006E4CA6" w:rsidRPr="00E133E4">
        <w:rPr>
          <w:i/>
          <w:noProof/>
        </w:rPr>
        <w:t>;</w:t>
      </w:r>
    </w:p>
    <w:p w:rsidR="000B035E" w:rsidRPr="00C16E8E" w:rsidRDefault="00E501A0" w:rsidP="00E501A0">
      <w:pPr>
        <w:pStyle w:val="Point1"/>
        <w:rPr>
          <w:noProof/>
        </w:rPr>
      </w:pPr>
      <w:r w:rsidRPr="00E501A0">
        <w:rPr>
          <w:noProof/>
        </w:rPr>
        <w:t>(b)</w:t>
      </w:r>
      <w:r w:rsidRPr="00E501A0">
        <w:rPr>
          <w:noProof/>
        </w:rPr>
        <w:tab/>
      </w:r>
      <w:r w:rsidR="005B5355">
        <w:rPr>
          <w:noProof/>
        </w:rPr>
        <w:t>i</w:t>
      </w:r>
      <w:r w:rsidR="00D679F8">
        <w:rPr>
          <w:noProof/>
        </w:rPr>
        <w:t>n paragraph 2, point</w:t>
      </w:r>
      <w:r w:rsidR="00C16E8E" w:rsidRPr="00C16E8E">
        <w:rPr>
          <w:noProof/>
        </w:rPr>
        <w:t xml:space="preserve"> (b) is </w:t>
      </w:r>
      <w:r w:rsidR="005B5355">
        <w:rPr>
          <w:noProof/>
        </w:rPr>
        <w:t>replaced by the following</w:t>
      </w:r>
      <w:r w:rsidR="00C16E8E" w:rsidRPr="00C16E8E">
        <w:rPr>
          <w:noProof/>
        </w:rPr>
        <w:t xml:space="preserve">: </w:t>
      </w:r>
    </w:p>
    <w:p w:rsidR="00C16E8E" w:rsidRDefault="00C16E8E" w:rsidP="00E133E4">
      <w:pPr>
        <w:ind w:left="850"/>
        <w:rPr>
          <w:i/>
          <w:noProof/>
        </w:rPr>
      </w:pPr>
      <w:r w:rsidRPr="00C16E8E">
        <w:rPr>
          <w:i/>
          <w:noProof/>
        </w:rPr>
        <w:t>‘meets the requirements set out in Article 15(2), point (a), on the passenger lines of the extended core network’</w:t>
      </w:r>
      <w:r w:rsidR="006E4CA6">
        <w:rPr>
          <w:i/>
          <w:noProof/>
        </w:rPr>
        <w:t>;</w:t>
      </w:r>
    </w:p>
    <w:p w:rsidR="00C16E8E" w:rsidRDefault="00E501A0" w:rsidP="00E501A0">
      <w:pPr>
        <w:pStyle w:val="Point1"/>
        <w:rPr>
          <w:noProof/>
        </w:rPr>
      </w:pPr>
      <w:r w:rsidRPr="00E501A0">
        <w:rPr>
          <w:noProof/>
        </w:rPr>
        <w:t>(c)</w:t>
      </w:r>
      <w:r w:rsidRPr="00E501A0">
        <w:rPr>
          <w:noProof/>
        </w:rPr>
        <w:tab/>
      </w:r>
      <w:r w:rsidR="005B5355">
        <w:rPr>
          <w:noProof/>
        </w:rPr>
        <w:t>i</w:t>
      </w:r>
      <w:r w:rsidR="00C16E8E" w:rsidRPr="00C16E8E">
        <w:rPr>
          <w:noProof/>
        </w:rPr>
        <w:t xml:space="preserve">n paragraph 3, point (a) is </w:t>
      </w:r>
      <w:r w:rsidR="005B5355">
        <w:rPr>
          <w:noProof/>
        </w:rPr>
        <w:t>replaced by the following</w:t>
      </w:r>
      <w:r w:rsidR="00C16E8E" w:rsidRPr="00C16E8E">
        <w:rPr>
          <w:noProof/>
        </w:rPr>
        <w:t xml:space="preserve">: </w:t>
      </w:r>
    </w:p>
    <w:p w:rsidR="00C16E8E" w:rsidRPr="00C16E8E" w:rsidRDefault="00C16E8E" w:rsidP="00E133E4">
      <w:pPr>
        <w:ind w:left="850"/>
        <w:rPr>
          <w:i/>
          <w:noProof/>
        </w:rPr>
      </w:pPr>
      <w:r w:rsidRPr="00C16E8E">
        <w:rPr>
          <w:i/>
          <w:noProof/>
        </w:rPr>
        <w:t>‘meets the requirements set out in Article 15(2), points (a)</w:t>
      </w:r>
      <w:r w:rsidR="006E4CA6">
        <w:rPr>
          <w:i/>
          <w:noProof/>
        </w:rPr>
        <w:t>, (b) and</w:t>
      </w:r>
      <w:r w:rsidRPr="00C16E8E">
        <w:rPr>
          <w:i/>
          <w:noProof/>
        </w:rPr>
        <w:t xml:space="preserve"> (c), and of a prevailing minimum operational line speed of 100 km/h for freight trains on the freight lines of the core network’</w:t>
      </w:r>
      <w:r w:rsidR="006E4CA6">
        <w:rPr>
          <w:i/>
          <w:noProof/>
        </w:rPr>
        <w:t>;</w:t>
      </w:r>
    </w:p>
    <w:p w:rsidR="00C16E8E" w:rsidRDefault="00E501A0" w:rsidP="00E501A0">
      <w:pPr>
        <w:pStyle w:val="Point1"/>
        <w:rPr>
          <w:noProof/>
        </w:rPr>
      </w:pPr>
      <w:r w:rsidRPr="00E501A0">
        <w:rPr>
          <w:noProof/>
        </w:rPr>
        <w:t>(d)</w:t>
      </w:r>
      <w:r w:rsidRPr="00E501A0">
        <w:rPr>
          <w:noProof/>
        </w:rPr>
        <w:tab/>
      </w:r>
      <w:r w:rsidR="005B5355">
        <w:rPr>
          <w:noProof/>
        </w:rPr>
        <w:t>i</w:t>
      </w:r>
      <w:r w:rsidR="00C16E8E" w:rsidRPr="00C16E8E">
        <w:rPr>
          <w:noProof/>
        </w:rPr>
        <w:t xml:space="preserve">n paragraph 3, point (b) is </w:t>
      </w:r>
      <w:r w:rsidR="005B5355">
        <w:rPr>
          <w:noProof/>
        </w:rPr>
        <w:t>replaced by the following</w:t>
      </w:r>
      <w:r w:rsidR="00C16E8E" w:rsidRPr="00C16E8E">
        <w:rPr>
          <w:noProof/>
        </w:rPr>
        <w:t xml:space="preserve">: </w:t>
      </w:r>
    </w:p>
    <w:p w:rsidR="00C16E8E" w:rsidRPr="00C16E8E" w:rsidRDefault="00C16E8E" w:rsidP="00E133E4">
      <w:pPr>
        <w:ind w:left="850"/>
        <w:rPr>
          <w:i/>
          <w:noProof/>
        </w:rPr>
      </w:pPr>
      <w:r w:rsidRPr="00C16E8E">
        <w:rPr>
          <w:i/>
          <w:noProof/>
        </w:rPr>
        <w:t>‘meets the requirements set out in Article 15(2)</w:t>
      </w:r>
      <w:r>
        <w:rPr>
          <w:i/>
          <w:noProof/>
        </w:rPr>
        <w:t>, point</w:t>
      </w:r>
      <w:r w:rsidRPr="00C16E8E">
        <w:rPr>
          <w:i/>
          <w:noProof/>
        </w:rPr>
        <w:t xml:space="preserve"> (a), on the passenger lines of the core network’</w:t>
      </w:r>
      <w:r w:rsidR="006E4CA6">
        <w:rPr>
          <w:i/>
          <w:noProof/>
        </w:rPr>
        <w:t>;</w:t>
      </w:r>
    </w:p>
    <w:p w:rsidR="00C16E8E" w:rsidRDefault="00E501A0" w:rsidP="00E501A0">
      <w:pPr>
        <w:pStyle w:val="Point1"/>
        <w:rPr>
          <w:noProof/>
        </w:rPr>
      </w:pPr>
      <w:r w:rsidRPr="00E501A0">
        <w:rPr>
          <w:noProof/>
        </w:rPr>
        <w:t>(e)</w:t>
      </w:r>
      <w:r w:rsidRPr="00E501A0">
        <w:rPr>
          <w:noProof/>
        </w:rPr>
        <w:tab/>
      </w:r>
      <w:r w:rsidR="005B5355">
        <w:rPr>
          <w:noProof/>
        </w:rPr>
        <w:t>i</w:t>
      </w:r>
      <w:r w:rsidR="00C16E8E" w:rsidRPr="00C16E8E">
        <w:rPr>
          <w:noProof/>
        </w:rPr>
        <w:t>n paragrap</w:t>
      </w:r>
      <w:r w:rsidR="00D679F8">
        <w:rPr>
          <w:noProof/>
        </w:rPr>
        <w:t>h</w:t>
      </w:r>
      <w:r w:rsidR="00C16E8E" w:rsidRPr="00C16E8E">
        <w:rPr>
          <w:noProof/>
        </w:rPr>
        <w:t xml:space="preserve"> 4, point (a) is </w:t>
      </w:r>
      <w:r w:rsidR="005B5355">
        <w:rPr>
          <w:noProof/>
        </w:rPr>
        <w:t>replaced by the following</w:t>
      </w:r>
      <w:r w:rsidR="00C16E8E" w:rsidRPr="00C16E8E">
        <w:rPr>
          <w:noProof/>
        </w:rPr>
        <w:t>:</w:t>
      </w:r>
    </w:p>
    <w:p w:rsidR="00C16E8E" w:rsidRDefault="00C16E8E" w:rsidP="00E133E4">
      <w:pPr>
        <w:ind w:left="850"/>
        <w:rPr>
          <w:i/>
          <w:noProof/>
        </w:rPr>
      </w:pPr>
      <w:r w:rsidRPr="00C16E8E">
        <w:rPr>
          <w:i/>
          <w:noProof/>
        </w:rPr>
        <w:t>‘meets the requirement of Article 15(2), point (d), on the freight lines on the core network‘</w:t>
      </w:r>
      <w:r w:rsidR="00D50273">
        <w:rPr>
          <w:i/>
          <w:noProof/>
        </w:rPr>
        <w:t>;</w:t>
      </w:r>
    </w:p>
    <w:p w:rsidR="007A2E75" w:rsidRPr="007A2E75" w:rsidRDefault="00E501A0" w:rsidP="00E501A0">
      <w:pPr>
        <w:pStyle w:val="Point1"/>
        <w:rPr>
          <w:noProof/>
        </w:rPr>
      </w:pPr>
      <w:r w:rsidRPr="00E501A0">
        <w:rPr>
          <w:noProof/>
        </w:rPr>
        <w:t>(f)</w:t>
      </w:r>
      <w:r w:rsidRPr="00E501A0">
        <w:rPr>
          <w:noProof/>
        </w:rPr>
        <w:tab/>
      </w:r>
      <w:r w:rsidR="005B5355">
        <w:rPr>
          <w:noProof/>
        </w:rPr>
        <w:t>i</w:t>
      </w:r>
      <w:r w:rsidR="007A2E75" w:rsidRPr="007A2E75">
        <w:rPr>
          <w:noProof/>
        </w:rPr>
        <w:t xml:space="preserve">n paragraph 4, point (b) is </w:t>
      </w:r>
      <w:r w:rsidR="005B5355">
        <w:rPr>
          <w:noProof/>
        </w:rPr>
        <w:t>replaced by the following</w:t>
      </w:r>
      <w:r w:rsidR="007A2E75" w:rsidRPr="007A2E75">
        <w:rPr>
          <w:noProof/>
        </w:rPr>
        <w:t>:</w:t>
      </w:r>
    </w:p>
    <w:p w:rsidR="007A2E75" w:rsidRPr="00C16E8E" w:rsidRDefault="007A2E75" w:rsidP="00E133E4">
      <w:pPr>
        <w:ind w:left="850"/>
        <w:rPr>
          <w:i/>
          <w:noProof/>
        </w:rPr>
      </w:pPr>
      <w:r>
        <w:rPr>
          <w:i/>
          <w:noProof/>
        </w:rPr>
        <w:t>‘meets the requirement of paragraph 2, point (b) on the passenger lines of the core network.’</w:t>
      </w:r>
      <w:r w:rsidR="00D50273">
        <w:rPr>
          <w:i/>
          <w:noProof/>
        </w:rPr>
        <w:t>;</w:t>
      </w:r>
    </w:p>
    <w:p w:rsidR="008E154E" w:rsidRDefault="00E501A0" w:rsidP="00E501A0">
      <w:pPr>
        <w:pStyle w:val="Point0"/>
        <w:rPr>
          <w:noProof/>
        </w:rPr>
      </w:pPr>
      <w:r w:rsidRPr="00E501A0">
        <w:rPr>
          <w:noProof/>
        </w:rPr>
        <w:t>(8)</w:t>
      </w:r>
      <w:r w:rsidRPr="00E501A0">
        <w:rPr>
          <w:noProof/>
        </w:rPr>
        <w:tab/>
      </w:r>
      <w:r w:rsidR="005B5355">
        <w:rPr>
          <w:noProof/>
        </w:rPr>
        <w:t>t</w:t>
      </w:r>
      <w:r w:rsidR="004D603F">
        <w:rPr>
          <w:noProof/>
        </w:rPr>
        <w:t>he following article 16</w:t>
      </w:r>
      <w:r w:rsidR="006E4CA6">
        <w:rPr>
          <w:noProof/>
        </w:rPr>
        <w:t>a</w:t>
      </w:r>
      <w:r w:rsidR="004D603F">
        <w:rPr>
          <w:noProof/>
        </w:rPr>
        <w:t xml:space="preserve"> is </w:t>
      </w:r>
      <w:r w:rsidR="005B5355">
        <w:rPr>
          <w:noProof/>
        </w:rPr>
        <w:t>inserted</w:t>
      </w:r>
      <w:r w:rsidR="004D603F">
        <w:rPr>
          <w:noProof/>
        </w:rPr>
        <w:t xml:space="preserve">: </w:t>
      </w:r>
    </w:p>
    <w:p w:rsidR="004D603F" w:rsidRPr="00BD3571" w:rsidRDefault="004D603F" w:rsidP="004D603F">
      <w:pPr>
        <w:pStyle w:val="Text1"/>
        <w:rPr>
          <w:i/>
          <w:noProof/>
          <w:lang w:val="en-IE"/>
        </w:rPr>
      </w:pPr>
      <w:r w:rsidRPr="00BD3571">
        <w:rPr>
          <w:i/>
          <w:noProof/>
          <w:lang w:val="en-IE"/>
        </w:rPr>
        <w:t>‘Article 16</w:t>
      </w:r>
      <w:r w:rsidR="006E4CA6">
        <w:rPr>
          <w:i/>
          <w:noProof/>
          <w:lang w:val="en-IE"/>
        </w:rPr>
        <w:t>a</w:t>
      </w:r>
    </w:p>
    <w:p w:rsidR="008E154E" w:rsidRPr="00BD3571" w:rsidRDefault="008E154E" w:rsidP="004D603F">
      <w:pPr>
        <w:pStyle w:val="NormalCentered"/>
        <w:ind w:left="130" w:firstLine="720"/>
        <w:jc w:val="both"/>
        <w:rPr>
          <w:b/>
          <w:bCs/>
          <w:i/>
          <w:noProof/>
          <w:lang w:val="en-IE"/>
        </w:rPr>
      </w:pPr>
      <w:r w:rsidRPr="00BD3571">
        <w:rPr>
          <w:b/>
          <w:bCs/>
          <w:i/>
          <w:noProof/>
          <w:lang w:val="en-IE"/>
        </w:rPr>
        <w:t xml:space="preserve">European </w:t>
      </w:r>
      <w:r w:rsidR="004200D3" w:rsidRPr="00BD3571">
        <w:rPr>
          <w:b/>
          <w:bCs/>
          <w:i/>
          <w:noProof/>
          <w:lang w:val="en-IE"/>
        </w:rPr>
        <w:t xml:space="preserve">standard </w:t>
      </w:r>
      <w:r w:rsidRPr="00BD3571">
        <w:rPr>
          <w:b/>
          <w:bCs/>
          <w:i/>
          <w:noProof/>
          <w:lang w:val="en-IE"/>
        </w:rPr>
        <w:t xml:space="preserve">nominal track gauge </w:t>
      </w:r>
      <w:r w:rsidR="004200D3" w:rsidRPr="00BD3571">
        <w:rPr>
          <w:b/>
          <w:bCs/>
          <w:i/>
          <w:noProof/>
          <w:lang w:val="en-IE"/>
        </w:rPr>
        <w:t>for rail</w:t>
      </w:r>
    </w:p>
    <w:p w:rsidR="008E154E" w:rsidRPr="004D603F" w:rsidRDefault="00E501A0" w:rsidP="00E501A0">
      <w:pPr>
        <w:pStyle w:val="ManualNumPar1"/>
        <w:rPr>
          <w:noProof/>
        </w:rPr>
      </w:pPr>
      <w:r w:rsidRPr="00E501A0">
        <w:rPr>
          <w:noProof/>
        </w:rPr>
        <w:t>1.</w:t>
      </w:r>
      <w:r w:rsidRPr="00E501A0">
        <w:rPr>
          <w:noProof/>
        </w:rPr>
        <w:tab/>
      </w:r>
      <w:r w:rsidR="008E154E" w:rsidRPr="004D603F">
        <w:rPr>
          <w:noProof/>
        </w:rPr>
        <w:t xml:space="preserve">Member States shall ensure that any </w:t>
      </w:r>
      <w:r w:rsidR="000671EA" w:rsidRPr="00A71D34">
        <w:rPr>
          <w:noProof/>
        </w:rPr>
        <w:t>new</w:t>
      </w:r>
      <w:r w:rsidR="008E154E" w:rsidRPr="00A71D34">
        <w:rPr>
          <w:noProof/>
        </w:rPr>
        <w:t xml:space="preserve"> </w:t>
      </w:r>
      <w:r w:rsidR="008E154E" w:rsidRPr="004D603F">
        <w:rPr>
          <w:noProof/>
        </w:rPr>
        <w:t xml:space="preserve">railway infrastructure of </w:t>
      </w:r>
      <w:r w:rsidR="008E154E" w:rsidRPr="00A71D34">
        <w:rPr>
          <w:noProof/>
        </w:rPr>
        <w:t>the comprehensive</w:t>
      </w:r>
      <w:r w:rsidR="00D679F8" w:rsidRPr="00A71D34">
        <w:rPr>
          <w:noProof/>
        </w:rPr>
        <w:t xml:space="preserve"> network</w:t>
      </w:r>
      <w:r w:rsidR="008E154E" w:rsidRPr="00A71D34">
        <w:rPr>
          <w:noProof/>
        </w:rPr>
        <w:t>,</w:t>
      </w:r>
      <w:r w:rsidR="00D679F8" w:rsidRPr="00A71D34">
        <w:rPr>
          <w:noProof/>
        </w:rPr>
        <w:t xml:space="preserve"> the</w:t>
      </w:r>
      <w:r w:rsidR="008E154E" w:rsidRPr="00A71D34">
        <w:rPr>
          <w:noProof/>
        </w:rPr>
        <w:t xml:space="preserve"> extended </w:t>
      </w:r>
      <w:r w:rsidR="00D679F8" w:rsidRPr="00A71D34">
        <w:rPr>
          <w:noProof/>
        </w:rPr>
        <w:t xml:space="preserve">network </w:t>
      </w:r>
      <w:r w:rsidR="008E154E" w:rsidRPr="00A71D34">
        <w:rPr>
          <w:noProof/>
        </w:rPr>
        <w:t xml:space="preserve">and </w:t>
      </w:r>
      <w:r w:rsidR="00D679F8" w:rsidRPr="00A71D34">
        <w:rPr>
          <w:noProof/>
        </w:rPr>
        <w:t>the core network</w:t>
      </w:r>
      <w:r w:rsidR="008E154E" w:rsidRPr="004D603F">
        <w:rPr>
          <w:noProof/>
        </w:rPr>
        <w:t>, including connections referred to in Article 14(1), point (d), provides for the European standard nominal track gauge of 1</w:t>
      </w:r>
      <w:r w:rsidR="007E7C65">
        <w:rPr>
          <w:noProof/>
        </w:rPr>
        <w:t xml:space="preserve"> </w:t>
      </w:r>
      <w:r w:rsidR="008E154E" w:rsidRPr="004D603F">
        <w:rPr>
          <w:noProof/>
        </w:rPr>
        <w:t xml:space="preserve">435 mm. </w:t>
      </w:r>
      <w:r w:rsidR="006E4CA6">
        <w:rPr>
          <w:noProof/>
        </w:rPr>
        <w:t>That</w:t>
      </w:r>
      <w:r w:rsidR="008E154E" w:rsidRPr="004D603F">
        <w:rPr>
          <w:noProof/>
        </w:rPr>
        <w:t xml:space="preserve"> requirement </w:t>
      </w:r>
      <w:r w:rsidR="00142056">
        <w:rPr>
          <w:noProof/>
        </w:rPr>
        <w:t xml:space="preserve">is considered to </w:t>
      </w:r>
      <w:r w:rsidR="006E4CA6">
        <w:rPr>
          <w:noProof/>
        </w:rPr>
        <w:t>be</w:t>
      </w:r>
      <w:r w:rsidR="008E154E" w:rsidRPr="004D603F">
        <w:rPr>
          <w:noProof/>
        </w:rPr>
        <w:t xml:space="preserve"> met when 1</w:t>
      </w:r>
      <w:r w:rsidR="007E7C65">
        <w:rPr>
          <w:noProof/>
        </w:rPr>
        <w:t xml:space="preserve"> </w:t>
      </w:r>
      <w:r w:rsidR="008E154E" w:rsidRPr="004D603F">
        <w:rPr>
          <w:noProof/>
        </w:rPr>
        <w:t xml:space="preserve">435 mm track gauge trains can circulate on the infrastructure. </w:t>
      </w:r>
      <w:r w:rsidR="006E4CA6">
        <w:rPr>
          <w:noProof/>
        </w:rPr>
        <w:t>For the purposes of this Article n</w:t>
      </w:r>
      <w:r w:rsidR="000E1F33" w:rsidRPr="00A71D34">
        <w:rPr>
          <w:noProof/>
        </w:rPr>
        <w:t xml:space="preserve">ew railway infrastructure means any infrastructure for which construction works have not started </w:t>
      </w:r>
      <w:r w:rsidR="006E4CA6">
        <w:rPr>
          <w:noProof/>
        </w:rPr>
        <w:t xml:space="preserve">on the date of </w:t>
      </w:r>
      <w:r w:rsidR="000E1F33" w:rsidRPr="00A71D34">
        <w:rPr>
          <w:noProof/>
        </w:rPr>
        <w:t>entry into force of this Regulation.</w:t>
      </w:r>
    </w:p>
    <w:p w:rsidR="008E154E" w:rsidRPr="004D603F" w:rsidRDefault="00E501A0" w:rsidP="00E501A0">
      <w:pPr>
        <w:pStyle w:val="ManualNumPar1"/>
        <w:rPr>
          <w:noProof/>
        </w:rPr>
      </w:pPr>
      <w:r w:rsidRPr="00E501A0">
        <w:rPr>
          <w:noProof/>
        </w:rPr>
        <w:t>2.</w:t>
      </w:r>
      <w:r w:rsidRPr="00E501A0">
        <w:rPr>
          <w:noProof/>
        </w:rPr>
        <w:tab/>
      </w:r>
      <w:r w:rsidR="008E154E" w:rsidRPr="004D603F">
        <w:rPr>
          <w:noProof/>
        </w:rPr>
        <w:t>Member States with a rail network, or a part thereof, with a track gauge different from that of the European standard nominal track gauge of 1</w:t>
      </w:r>
      <w:r w:rsidR="00142056">
        <w:rPr>
          <w:noProof/>
        </w:rPr>
        <w:t xml:space="preserve"> </w:t>
      </w:r>
      <w:r w:rsidR="008E154E" w:rsidRPr="004D603F">
        <w:rPr>
          <w:noProof/>
        </w:rPr>
        <w:t>435 mm shall draw up, at the latest two years after the</w:t>
      </w:r>
      <w:r w:rsidR="006E4CA6">
        <w:rPr>
          <w:noProof/>
        </w:rPr>
        <w:t xml:space="preserve"> date of</w:t>
      </w:r>
      <w:r w:rsidR="008E154E" w:rsidRPr="004D603F">
        <w:rPr>
          <w:noProof/>
        </w:rPr>
        <w:t xml:space="preserve"> entry into force of this Regulation, a migration plan of the existing railway lines located on </w:t>
      </w:r>
      <w:r w:rsidR="00D679F8">
        <w:rPr>
          <w:noProof/>
        </w:rPr>
        <w:t xml:space="preserve">the </w:t>
      </w:r>
      <w:r w:rsidR="008E154E" w:rsidRPr="004D603F">
        <w:rPr>
          <w:noProof/>
        </w:rPr>
        <w:t>European Transport Corridors to the European standard nominal track gauge of 1</w:t>
      </w:r>
      <w:r w:rsidR="00142056">
        <w:rPr>
          <w:noProof/>
        </w:rPr>
        <w:t xml:space="preserve"> </w:t>
      </w:r>
      <w:r w:rsidR="008E154E" w:rsidRPr="004D603F">
        <w:rPr>
          <w:noProof/>
        </w:rPr>
        <w:t>435 mm.</w:t>
      </w:r>
      <w:r w:rsidR="001C6D4F">
        <w:rPr>
          <w:noProof/>
        </w:rPr>
        <w:t xml:space="preserve"> Such migration plan </w:t>
      </w:r>
      <w:r w:rsidR="006E4CA6">
        <w:rPr>
          <w:noProof/>
        </w:rPr>
        <w:t>shall</w:t>
      </w:r>
      <w:r w:rsidR="001C6D4F">
        <w:rPr>
          <w:noProof/>
        </w:rPr>
        <w:t xml:space="preserve"> be coordinated with the neighbouring Member State(s) concerned by the migration.</w:t>
      </w:r>
    </w:p>
    <w:p w:rsidR="008E154E" w:rsidRPr="004D603F" w:rsidRDefault="00E501A0" w:rsidP="00E501A0">
      <w:pPr>
        <w:pStyle w:val="ManualNumPar1"/>
        <w:rPr>
          <w:noProof/>
        </w:rPr>
      </w:pPr>
      <w:r w:rsidRPr="00E501A0">
        <w:rPr>
          <w:noProof/>
        </w:rPr>
        <w:t>3.</w:t>
      </w:r>
      <w:r w:rsidRPr="00E501A0">
        <w:rPr>
          <w:noProof/>
        </w:rPr>
        <w:tab/>
      </w:r>
      <w:r w:rsidR="008E154E" w:rsidRPr="004D603F">
        <w:rPr>
          <w:noProof/>
        </w:rPr>
        <w:t xml:space="preserve">Member States may identify in the migration plan </w:t>
      </w:r>
      <w:r w:rsidR="00D679F8" w:rsidRPr="00A71D34">
        <w:rPr>
          <w:noProof/>
        </w:rPr>
        <w:t>the</w:t>
      </w:r>
      <w:r w:rsidR="008E154E" w:rsidRPr="00A71D34">
        <w:rPr>
          <w:noProof/>
        </w:rPr>
        <w:t xml:space="preserve"> </w:t>
      </w:r>
      <w:r w:rsidR="008E154E" w:rsidRPr="004D603F">
        <w:rPr>
          <w:noProof/>
        </w:rPr>
        <w:t>railway lines which will not migrate to the European standard nominal track gauge of 1</w:t>
      </w:r>
      <w:r w:rsidR="00142056">
        <w:rPr>
          <w:noProof/>
        </w:rPr>
        <w:t xml:space="preserve"> </w:t>
      </w:r>
      <w:r w:rsidR="008E154E" w:rsidRPr="004D603F">
        <w:rPr>
          <w:noProof/>
        </w:rPr>
        <w:t xml:space="preserve">435 mm. The migration plan shall include a socio-economic cost-benefit analysis justifying the decision not </w:t>
      </w:r>
      <w:r w:rsidR="006E4CA6">
        <w:rPr>
          <w:noProof/>
        </w:rPr>
        <w:t xml:space="preserve">to </w:t>
      </w:r>
      <w:r w:rsidR="008E154E" w:rsidRPr="004D603F">
        <w:rPr>
          <w:noProof/>
        </w:rPr>
        <w:t>migrate the railway lines to the European standard nominal track gauge of 1</w:t>
      </w:r>
      <w:r w:rsidR="00142056">
        <w:rPr>
          <w:noProof/>
        </w:rPr>
        <w:t xml:space="preserve"> </w:t>
      </w:r>
      <w:r w:rsidR="008E154E" w:rsidRPr="004D603F">
        <w:rPr>
          <w:noProof/>
        </w:rPr>
        <w:t>435 mm and an assessment of the impact on interoperability.</w:t>
      </w:r>
    </w:p>
    <w:p w:rsidR="008E154E" w:rsidRDefault="00E501A0" w:rsidP="00E501A0">
      <w:pPr>
        <w:pStyle w:val="ManualNumPar1"/>
        <w:rPr>
          <w:noProof/>
        </w:rPr>
      </w:pPr>
      <w:r w:rsidRPr="00E501A0">
        <w:rPr>
          <w:noProof/>
        </w:rPr>
        <w:t>4.</w:t>
      </w:r>
      <w:r w:rsidRPr="00E501A0">
        <w:rPr>
          <w:noProof/>
        </w:rPr>
        <w:tab/>
      </w:r>
      <w:r w:rsidR="008E154E" w:rsidRPr="004D603F">
        <w:rPr>
          <w:noProof/>
        </w:rPr>
        <w:t xml:space="preserve">The priorities for infrastructure and investment planning related to the migration plan shall be included in the first work plan </w:t>
      </w:r>
      <w:r w:rsidR="008E154E" w:rsidRPr="00A71D34">
        <w:rPr>
          <w:noProof/>
        </w:rPr>
        <w:t xml:space="preserve">of the European </w:t>
      </w:r>
      <w:r w:rsidR="00D679F8" w:rsidRPr="00A71D34">
        <w:rPr>
          <w:noProof/>
        </w:rPr>
        <w:t>Coordinator for a European Transport Corridor</w:t>
      </w:r>
      <w:r w:rsidR="008E154E" w:rsidRPr="00A71D34">
        <w:rPr>
          <w:noProof/>
        </w:rPr>
        <w:t xml:space="preserve"> </w:t>
      </w:r>
      <w:r w:rsidR="008E154E" w:rsidRPr="004D603F">
        <w:rPr>
          <w:noProof/>
        </w:rPr>
        <w:t>of which the freight railway lines with a track gauge different from that of the European standard nominal track gauge is part, in accordance with Article 53.</w:t>
      </w:r>
      <w:r w:rsidR="004D603F">
        <w:rPr>
          <w:noProof/>
        </w:rPr>
        <w:t>’</w:t>
      </w:r>
      <w:r w:rsidR="00D50273">
        <w:rPr>
          <w:noProof/>
        </w:rPr>
        <w:t>;</w:t>
      </w:r>
    </w:p>
    <w:p w:rsidR="008E154E" w:rsidRPr="001F736D" w:rsidRDefault="00E501A0" w:rsidP="00E501A0">
      <w:pPr>
        <w:pStyle w:val="Point0"/>
        <w:rPr>
          <w:noProof/>
        </w:rPr>
      </w:pPr>
      <w:r w:rsidRPr="00E501A0">
        <w:rPr>
          <w:noProof/>
        </w:rPr>
        <w:t>(9)</w:t>
      </w:r>
      <w:r w:rsidRPr="00E501A0">
        <w:rPr>
          <w:noProof/>
        </w:rPr>
        <w:tab/>
      </w:r>
      <w:r w:rsidR="005B5355">
        <w:rPr>
          <w:noProof/>
        </w:rPr>
        <w:t>i</w:t>
      </w:r>
      <w:r w:rsidR="00D679F8" w:rsidRPr="001F736D">
        <w:rPr>
          <w:noProof/>
        </w:rPr>
        <w:t>n Article 19 (</w:t>
      </w:r>
      <w:r w:rsidR="008E154E" w:rsidRPr="001F736D">
        <w:rPr>
          <w:noProof/>
        </w:rPr>
        <w:t>Additional priorities for railway infrastructure development</w:t>
      </w:r>
      <w:r w:rsidR="00D679F8" w:rsidRPr="001F736D">
        <w:rPr>
          <w:noProof/>
        </w:rPr>
        <w:t xml:space="preserve">), the following changes are introduced: </w:t>
      </w:r>
    </w:p>
    <w:p w:rsidR="00D679F8" w:rsidRDefault="00E501A0" w:rsidP="00E501A0">
      <w:pPr>
        <w:pStyle w:val="Point1"/>
        <w:rPr>
          <w:noProof/>
        </w:rPr>
      </w:pPr>
      <w:r w:rsidRPr="00E501A0">
        <w:rPr>
          <w:noProof/>
        </w:rPr>
        <w:t>(a)</w:t>
      </w:r>
      <w:r w:rsidRPr="00E501A0">
        <w:rPr>
          <w:noProof/>
        </w:rPr>
        <w:tab/>
      </w:r>
      <w:r w:rsidR="005B5355">
        <w:rPr>
          <w:noProof/>
        </w:rPr>
        <w:t>t</w:t>
      </w:r>
      <w:r w:rsidR="00D679F8">
        <w:rPr>
          <w:noProof/>
        </w:rPr>
        <w:t xml:space="preserve">he following point (a) is added: </w:t>
      </w:r>
    </w:p>
    <w:p w:rsidR="008E154E" w:rsidRPr="00495214" w:rsidRDefault="00D679F8" w:rsidP="00495214">
      <w:pPr>
        <w:ind w:left="697" w:firstLine="720"/>
        <w:rPr>
          <w:i/>
          <w:noProof/>
        </w:rPr>
      </w:pPr>
      <w:r w:rsidRPr="00495214">
        <w:rPr>
          <w:i/>
          <w:noProof/>
        </w:rPr>
        <w:t>‘</w:t>
      </w:r>
      <w:r w:rsidR="00D50273" w:rsidRPr="00495214">
        <w:rPr>
          <w:i/>
          <w:noProof/>
        </w:rPr>
        <w:t xml:space="preserve">(a) </w:t>
      </w:r>
      <w:r w:rsidR="008E154E" w:rsidRPr="00495214">
        <w:rPr>
          <w:i/>
          <w:noProof/>
        </w:rPr>
        <w:t>migrating to the European standard nominal track gauge (1</w:t>
      </w:r>
      <w:r w:rsidR="00110C36">
        <w:rPr>
          <w:i/>
          <w:noProof/>
        </w:rPr>
        <w:t xml:space="preserve"> </w:t>
      </w:r>
      <w:r w:rsidR="008E154E" w:rsidRPr="00495214">
        <w:rPr>
          <w:i/>
          <w:noProof/>
        </w:rPr>
        <w:t>435 mm)</w:t>
      </w:r>
      <w:r w:rsidRPr="00495214">
        <w:rPr>
          <w:i/>
          <w:noProof/>
        </w:rPr>
        <w:t>’</w:t>
      </w:r>
      <w:r w:rsidR="006E4CA6" w:rsidRPr="00495214">
        <w:rPr>
          <w:i/>
          <w:noProof/>
        </w:rPr>
        <w:t>;</w:t>
      </w:r>
    </w:p>
    <w:p w:rsidR="00D679F8" w:rsidRDefault="00E501A0" w:rsidP="00E501A0">
      <w:pPr>
        <w:pStyle w:val="Point1"/>
        <w:rPr>
          <w:noProof/>
        </w:rPr>
      </w:pPr>
      <w:r w:rsidRPr="00E501A0">
        <w:rPr>
          <w:noProof/>
        </w:rPr>
        <w:t>(b)</w:t>
      </w:r>
      <w:r w:rsidRPr="00E501A0">
        <w:rPr>
          <w:noProof/>
        </w:rPr>
        <w:tab/>
      </w:r>
      <w:r w:rsidR="005B5355">
        <w:rPr>
          <w:noProof/>
        </w:rPr>
        <w:t>p</w:t>
      </w:r>
      <w:r w:rsidR="00D679F8">
        <w:rPr>
          <w:noProof/>
        </w:rPr>
        <w:t>oints (a) to (g) are renumbered to points (b) to (h).</w:t>
      </w:r>
      <w:r w:rsidR="006E4CA6">
        <w:rPr>
          <w:noProof/>
        </w:rPr>
        <w:t>;</w:t>
      </w:r>
      <w:r w:rsidR="00D679F8">
        <w:rPr>
          <w:noProof/>
        </w:rPr>
        <w:t xml:space="preserve"> </w:t>
      </w:r>
    </w:p>
    <w:p w:rsidR="00D679F8" w:rsidRDefault="00D679F8" w:rsidP="00495214">
      <w:pPr>
        <w:rPr>
          <w:noProof/>
        </w:rPr>
      </w:pPr>
    </w:p>
    <w:p w:rsidR="00D679F8" w:rsidRPr="00495214" w:rsidRDefault="00D679F8" w:rsidP="00495214">
      <w:pPr>
        <w:rPr>
          <w:b/>
          <w:caps/>
          <w:noProof/>
          <w:u w:val="single"/>
        </w:rPr>
      </w:pPr>
      <w:r w:rsidRPr="00495214">
        <w:rPr>
          <w:b/>
          <w:caps/>
          <w:noProof/>
          <w:u w:val="single"/>
        </w:rPr>
        <w:t xml:space="preserve">Chapter </w:t>
      </w:r>
      <w:r w:rsidR="00024422" w:rsidRPr="00495214">
        <w:rPr>
          <w:b/>
          <w:caps/>
          <w:noProof/>
          <w:u w:val="single"/>
        </w:rPr>
        <w:t>VI</w:t>
      </w:r>
      <w:r w:rsidRPr="00495214">
        <w:rPr>
          <w:b/>
          <w:caps/>
          <w:noProof/>
          <w:u w:val="single"/>
        </w:rPr>
        <w:t xml:space="preserve">: </w:t>
      </w:r>
      <w:r w:rsidR="00024422" w:rsidRPr="00495214">
        <w:rPr>
          <w:b/>
          <w:caps/>
          <w:noProof/>
          <w:u w:val="single"/>
        </w:rPr>
        <w:t>Common Provisions</w:t>
      </w:r>
    </w:p>
    <w:p w:rsidR="00024422" w:rsidRDefault="00E501A0" w:rsidP="00E501A0">
      <w:pPr>
        <w:pStyle w:val="Point0"/>
        <w:rPr>
          <w:noProof/>
        </w:rPr>
      </w:pPr>
      <w:r w:rsidRPr="00E501A0">
        <w:rPr>
          <w:noProof/>
        </w:rPr>
        <w:t>(10)</w:t>
      </w:r>
      <w:r w:rsidRPr="00E501A0">
        <w:rPr>
          <w:noProof/>
        </w:rPr>
        <w:tab/>
      </w:r>
      <w:r w:rsidR="005B5355">
        <w:rPr>
          <w:noProof/>
        </w:rPr>
        <w:t>i</w:t>
      </w:r>
      <w:r w:rsidR="001369E8">
        <w:rPr>
          <w:noProof/>
        </w:rPr>
        <w:t xml:space="preserve">n </w:t>
      </w:r>
      <w:r w:rsidR="00024422">
        <w:rPr>
          <w:noProof/>
        </w:rPr>
        <w:t>Article 63 (Exemptions)</w:t>
      </w:r>
      <w:r w:rsidR="001369E8">
        <w:rPr>
          <w:noProof/>
        </w:rPr>
        <w:t>, the following second sub-paragraph is added</w:t>
      </w:r>
      <w:r w:rsidR="00024422">
        <w:rPr>
          <w:noProof/>
        </w:rPr>
        <w:t>:</w:t>
      </w:r>
    </w:p>
    <w:p w:rsidR="00024422" w:rsidRPr="00024422" w:rsidRDefault="001369E8" w:rsidP="00024422">
      <w:pPr>
        <w:ind w:left="855"/>
        <w:rPr>
          <w:i/>
          <w:noProof/>
        </w:rPr>
      </w:pPr>
      <w:r>
        <w:rPr>
          <w:i/>
          <w:noProof/>
        </w:rPr>
        <w:t>‘</w:t>
      </w:r>
      <w:r w:rsidR="00CA61CF">
        <w:rPr>
          <w:i/>
          <w:noProof/>
        </w:rPr>
        <w:t>The provisions of Article 16</w:t>
      </w:r>
      <w:r w:rsidR="006E4CA6">
        <w:rPr>
          <w:i/>
          <w:noProof/>
        </w:rPr>
        <w:t>a</w:t>
      </w:r>
      <w:r w:rsidR="00CA61CF">
        <w:rPr>
          <w:i/>
          <w:noProof/>
          <w:vertAlign w:val="superscript"/>
        </w:rPr>
        <w:t xml:space="preserve"> </w:t>
      </w:r>
      <w:r w:rsidR="00CA61CF" w:rsidRPr="00CA61CF">
        <w:rPr>
          <w:i/>
          <w:noProof/>
        </w:rPr>
        <w:t>shall not apply to Ireland</w:t>
      </w:r>
      <w:r w:rsidR="00CA61CF">
        <w:rPr>
          <w:i/>
          <w:noProof/>
        </w:rPr>
        <w:t>.’</w:t>
      </w:r>
      <w:r w:rsidR="006E4CA6">
        <w:rPr>
          <w:i/>
          <w:noProof/>
        </w:rPr>
        <w:t>;</w:t>
      </w:r>
    </w:p>
    <w:p w:rsidR="00024422" w:rsidRPr="00AB00BB" w:rsidRDefault="00024422" w:rsidP="00024422">
      <w:pPr>
        <w:rPr>
          <w:noProof/>
        </w:rPr>
      </w:pPr>
    </w:p>
    <w:p w:rsidR="007A2C1D" w:rsidRPr="00495214" w:rsidRDefault="00CA61CF" w:rsidP="00495214">
      <w:pPr>
        <w:rPr>
          <w:b/>
          <w:caps/>
          <w:noProof/>
          <w:u w:val="single"/>
        </w:rPr>
      </w:pPr>
      <w:r w:rsidRPr="00495214">
        <w:rPr>
          <w:b/>
          <w:caps/>
          <w:noProof/>
          <w:u w:val="single"/>
        </w:rPr>
        <w:t xml:space="preserve">Annex </w:t>
      </w:r>
      <w:r w:rsidR="001B5672" w:rsidRPr="00495214">
        <w:rPr>
          <w:b/>
          <w:caps/>
          <w:noProof/>
          <w:u w:val="single"/>
        </w:rPr>
        <w:t>I</w:t>
      </w:r>
      <w:r w:rsidRPr="00495214">
        <w:rPr>
          <w:b/>
          <w:caps/>
          <w:noProof/>
          <w:u w:val="single"/>
        </w:rPr>
        <w:t xml:space="preserve"> </w:t>
      </w:r>
    </w:p>
    <w:p w:rsidR="001B5672" w:rsidRPr="00631208" w:rsidRDefault="00E501A0" w:rsidP="00E501A0">
      <w:pPr>
        <w:pStyle w:val="Point0"/>
        <w:rPr>
          <w:noProof/>
        </w:rPr>
      </w:pPr>
      <w:r w:rsidRPr="00E501A0">
        <w:rPr>
          <w:noProof/>
        </w:rPr>
        <w:t>(11)</w:t>
      </w:r>
      <w:r w:rsidRPr="00E501A0">
        <w:rPr>
          <w:noProof/>
        </w:rPr>
        <w:tab/>
      </w:r>
      <w:r w:rsidR="005B5355">
        <w:rPr>
          <w:noProof/>
        </w:rPr>
        <w:t>t</w:t>
      </w:r>
      <w:r w:rsidR="001B5672" w:rsidRPr="00631208">
        <w:rPr>
          <w:noProof/>
        </w:rPr>
        <w:t xml:space="preserve">he maps displayed in ANNEX I – PART 1/23, PART 2/23, PART 3/23, PART 4/23, PART 5/23, PART 14/23, </w:t>
      </w:r>
      <w:r w:rsidR="005B5355">
        <w:rPr>
          <w:noProof/>
        </w:rPr>
        <w:t xml:space="preserve">and </w:t>
      </w:r>
      <w:r w:rsidR="001B5672" w:rsidRPr="00631208">
        <w:rPr>
          <w:noProof/>
        </w:rPr>
        <w:t xml:space="preserve">PART 15/23 </w:t>
      </w:r>
      <w:r w:rsidR="005B5355">
        <w:rPr>
          <w:noProof/>
        </w:rPr>
        <w:t>to</w:t>
      </w:r>
      <w:r w:rsidR="005B5355" w:rsidRPr="00631208">
        <w:rPr>
          <w:noProof/>
        </w:rPr>
        <w:t xml:space="preserve"> </w:t>
      </w:r>
      <w:r w:rsidR="001B5672" w:rsidRPr="00631208">
        <w:rPr>
          <w:noProof/>
        </w:rPr>
        <w:t xml:space="preserve">COM(2021) 812 final are replaced by the parts in ANNEX I, </w:t>
      </w:r>
      <w:r w:rsidR="00C22591" w:rsidRPr="00631208">
        <w:rPr>
          <w:noProof/>
        </w:rPr>
        <w:t>parts</w:t>
      </w:r>
      <w:r w:rsidR="001B5672" w:rsidRPr="00631208">
        <w:rPr>
          <w:noProof/>
        </w:rPr>
        <w:t xml:space="preserve"> 1 to 6, of the present amended proposal as follows: </w:t>
      </w:r>
    </w:p>
    <w:p w:rsidR="001B5672" w:rsidRPr="001B5672" w:rsidRDefault="001B5672" w:rsidP="001B5672">
      <w:pPr>
        <w:ind w:left="855"/>
        <w:rPr>
          <w:i/>
          <w:noProof/>
        </w:rPr>
      </w:pPr>
      <w:r>
        <w:rPr>
          <w:i/>
          <w:noProof/>
        </w:rPr>
        <w:t xml:space="preserve">(a) </w:t>
      </w:r>
      <w:r w:rsidRPr="001B5672">
        <w:rPr>
          <w:i/>
          <w:noProof/>
        </w:rPr>
        <w:t>ANNEX I – PART 1/23 is replaced by ANNEX I – PART 1/6</w:t>
      </w:r>
      <w:r w:rsidR="00C22591">
        <w:rPr>
          <w:i/>
          <w:noProof/>
        </w:rPr>
        <w:t>;</w:t>
      </w:r>
    </w:p>
    <w:p w:rsidR="001B5672" w:rsidRPr="001B5672" w:rsidRDefault="001B5672" w:rsidP="001B5672">
      <w:pPr>
        <w:ind w:left="855"/>
        <w:rPr>
          <w:i/>
          <w:noProof/>
        </w:rPr>
      </w:pPr>
      <w:r>
        <w:rPr>
          <w:i/>
          <w:noProof/>
        </w:rPr>
        <w:t xml:space="preserve">(b) </w:t>
      </w:r>
      <w:r w:rsidRPr="001B5672">
        <w:rPr>
          <w:i/>
          <w:noProof/>
        </w:rPr>
        <w:t>ANNEX I – PART 2/23 is replaced by ANNEX I – PART 1/6</w:t>
      </w:r>
      <w:r w:rsidR="00C22591">
        <w:rPr>
          <w:i/>
          <w:noProof/>
        </w:rPr>
        <w:t>;</w:t>
      </w:r>
    </w:p>
    <w:p w:rsidR="001B5672" w:rsidRPr="001B5672" w:rsidRDefault="001B5672" w:rsidP="001B5672">
      <w:pPr>
        <w:ind w:left="855"/>
        <w:rPr>
          <w:i/>
          <w:noProof/>
        </w:rPr>
      </w:pPr>
      <w:r>
        <w:rPr>
          <w:i/>
          <w:noProof/>
        </w:rPr>
        <w:t xml:space="preserve">(c) </w:t>
      </w:r>
      <w:r w:rsidRPr="001B5672">
        <w:rPr>
          <w:i/>
          <w:noProof/>
        </w:rPr>
        <w:t>ANNEX I – PART 3/23 is</w:t>
      </w:r>
      <w:r w:rsidR="00C22591">
        <w:rPr>
          <w:i/>
          <w:noProof/>
        </w:rPr>
        <w:t xml:space="preserve"> replaced by ANNEX I – PART 2/6;</w:t>
      </w:r>
    </w:p>
    <w:p w:rsidR="001B5672" w:rsidRPr="001B5672" w:rsidRDefault="001B5672" w:rsidP="001B5672">
      <w:pPr>
        <w:ind w:left="855"/>
        <w:rPr>
          <w:i/>
          <w:noProof/>
        </w:rPr>
      </w:pPr>
      <w:r>
        <w:rPr>
          <w:i/>
          <w:noProof/>
        </w:rPr>
        <w:t xml:space="preserve">(d) </w:t>
      </w:r>
      <w:r w:rsidRPr="001B5672">
        <w:rPr>
          <w:i/>
          <w:noProof/>
        </w:rPr>
        <w:t>ANNEX I – PART 4/23 is replaced by ANNEX I – PART 3/6</w:t>
      </w:r>
      <w:r w:rsidR="00C22591">
        <w:rPr>
          <w:i/>
          <w:noProof/>
        </w:rPr>
        <w:t>;</w:t>
      </w:r>
    </w:p>
    <w:p w:rsidR="001B5672" w:rsidRPr="001B5672" w:rsidRDefault="001B5672" w:rsidP="001B5672">
      <w:pPr>
        <w:ind w:left="855"/>
        <w:rPr>
          <w:i/>
          <w:noProof/>
        </w:rPr>
      </w:pPr>
      <w:r>
        <w:rPr>
          <w:i/>
          <w:noProof/>
        </w:rPr>
        <w:t xml:space="preserve">(e) </w:t>
      </w:r>
      <w:r w:rsidRPr="001B5672">
        <w:rPr>
          <w:i/>
          <w:noProof/>
        </w:rPr>
        <w:t>ANNEX I – PART 5/23 is replaced by ANNEX I – PART 4/6</w:t>
      </w:r>
      <w:r w:rsidR="00C22591">
        <w:rPr>
          <w:i/>
          <w:noProof/>
        </w:rPr>
        <w:t>;</w:t>
      </w:r>
    </w:p>
    <w:p w:rsidR="001B5672" w:rsidRPr="001B5672" w:rsidRDefault="001B5672" w:rsidP="001B5672">
      <w:pPr>
        <w:ind w:left="855"/>
        <w:rPr>
          <w:i/>
          <w:noProof/>
        </w:rPr>
      </w:pPr>
      <w:r>
        <w:rPr>
          <w:i/>
          <w:noProof/>
        </w:rPr>
        <w:t xml:space="preserve">(f) </w:t>
      </w:r>
      <w:r w:rsidRPr="001B5672">
        <w:rPr>
          <w:i/>
          <w:noProof/>
        </w:rPr>
        <w:t>ANNEX I – PART 14/23 is replaced by ANNEX I – PART 5/6</w:t>
      </w:r>
      <w:r w:rsidR="00C22591">
        <w:rPr>
          <w:i/>
          <w:noProof/>
        </w:rPr>
        <w:t>;</w:t>
      </w:r>
    </w:p>
    <w:p w:rsidR="001B5672" w:rsidRPr="001B5672" w:rsidRDefault="001B5672" w:rsidP="001B5672">
      <w:pPr>
        <w:ind w:left="855"/>
        <w:rPr>
          <w:i/>
          <w:noProof/>
        </w:rPr>
      </w:pPr>
      <w:r>
        <w:rPr>
          <w:i/>
          <w:noProof/>
        </w:rPr>
        <w:t xml:space="preserve">(g) </w:t>
      </w:r>
      <w:r w:rsidRPr="001B5672">
        <w:rPr>
          <w:i/>
          <w:noProof/>
        </w:rPr>
        <w:t>ANNEX I – PART 15/23 is replaced by ANNEX I – PART 6/6</w:t>
      </w:r>
      <w:r w:rsidR="00C22591">
        <w:rPr>
          <w:i/>
          <w:noProof/>
        </w:rPr>
        <w:t>.</w:t>
      </w:r>
      <w:r w:rsidR="006E4CA6">
        <w:rPr>
          <w:i/>
          <w:noProof/>
        </w:rPr>
        <w:t>;</w:t>
      </w:r>
      <w:r w:rsidRPr="001B5672">
        <w:rPr>
          <w:i/>
          <w:noProof/>
        </w:rPr>
        <w:t xml:space="preserve"> </w:t>
      </w:r>
    </w:p>
    <w:p w:rsidR="001B5672" w:rsidRDefault="001B5672" w:rsidP="00495214">
      <w:pPr>
        <w:rPr>
          <w:noProof/>
        </w:rPr>
      </w:pPr>
    </w:p>
    <w:p w:rsidR="001B5672" w:rsidRPr="00495214" w:rsidRDefault="001B5672" w:rsidP="00495214">
      <w:pPr>
        <w:rPr>
          <w:b/>
          <w:caps/>
          <w:noProof/>
          <w:u w:val="single"/>
        </w:rPr>
      </w:pPr>
      <w:r w:rsidRPr="00495214">
        <w:rPr>
          <w:b/>
          <w:caps/>
          <w:noProof/>
          <w:u w:val="single"/>
        </w:rPr>
        <w:t xml:space="preserve">Annex III </w:t>
      </w:r>
    </w:p>
    <w:p w:rsidR="001B5672" w:rsidRPr="00631208" w:rsidRDefault="00E501A0" w:rsidP="00E501A0">
      <w:pPr>
        <w:pStyle w:val="Point0"/>
        <w:rPr>
          <w:noProof/>
        </w:rPr>
      </w:pPr>
      <w:r w:rsidRPr="00E501A0">
        <w:rPr>
          <w:noProof/>
        </w:rPr>
        <w:t>(12)</w:t>
      </w:r>
      <w:r w:rsidRPr="00E501A0">
        <w:rPr>
          <w:noProof/>
        </w:rPr>
        <w:tab/>
      </w:r>
      <w:r w:rsidR="00802FD5">
        <w:rPr>
          <w:noProof/>
        </w:rPr>
        <w:t>t</w:t>
      </w:r>
      <w:r w:rsidR="001B5672" w:rsidRPr="00631208">
        <w:rPr>
          <w:noProof/>
        </w:rPr>
        <w:t>he maps displayed in ANNEX III – PART 1/14, PART 4/14, PART 5/14, PART 6/14, PART 7/14, PART 8/14, PART 9/14, PART 10/14, PART 13/14</w:t>
      </w:r>
      <w:r w:rsidR="00802FD5">
        <w:rPr>
          <w:noProof/>
        </w:rPr>
        <w:t xml:space="preserve"> and</w:t>
      </w:r>
      <w:r w:rsidR="001B5672" w:rsidRPr="00631208">
        <w:rPr>
          <w:noProof/>
        </w:rPr>
        <w:t xml:space="preserve"> PART 14/14 </w:t>
      </w:r>
      <w:r w:rsidR="00802FD5">
        <w:rPr>
          <w:noProof/>
        </w:rPr>
        <w:t>to</w:t>
      </w:r>
      <w:r w:rsidR="00802FD5" w:rsidRPr="00631208">
        <w:rPr>
          <w:noProof/>
        </w:rPr>
        <w:t xml:space="preserve"> </w:t>
      </w:r>
      <w:r w:rsidR="001B5672" w:rsidRPr="00631208">
        <w:rPr>
          <w:noProof/>
        </w:rPr>
        <w:t xml:space="preserve">COM(2021) 812 final are replaced by the maps in ANNEX II, </w:t>
      </w:r>
      <w:r w:rsidR="00C22591" w:rsidRPr="00631208">
        <w:rPr>
          <w:noProof/>
        </w:rPr>
        <w:t>parts</w:t>
      </w:r>
      <w:r w:rsidR="001B5672" w:rsidRPr="00631208">
        <w:rPr>
          <w:noProof/>
        </w:rPr>
        <w:t xml:space="preserve"> 1 to 8 </w:t>
      </w:r>
      <w:r w:rsidR="006E4CA6" w:rsidRPr="00631208">
        <w:rPr>
          <w:noProof/>
        </w:rPr>
        <w:t>to</w:t>
      </w:r>
      <w:r w:rsidR="001B5672" w:rsidRPr="00631208">
        <w:rPr>
          <w:noProof/>
        </w:rPr>
        <w:t xml:space="preserve"> the present amended proposal, as follows:  </w:t>
      </w:r>
    </w:p>
    <w:p w:rsidR="001B5672" w:rsidRPr="001B5672" w:rsidRDefault="00C22591" w:rsidP="001B5672">
      <w:pPr>
        <w:ind w:left="855"/>
        <w:rPr>
          <w:i/>
          <w:noProof/>
        </w:rPr>
      </w:pPr>
      <w:r>
        <w:rPr>
          <w:i/>
          <w:noProof/>
        </w:rPr>
        <w:t xml:space="preserve">(a) </w:t>
      </w:r>
      <w:r w:rsidR="001B5672" w:rsidRPr="001B5672">
        <w:rPr>
          <w:i/>
          <w:noProof/>
        </w:rPr>
        <w:t>ANNEX III – PART 1/14 is replaced by ANNEX II – PART 1/8</w:t>
      </w:r>
      <w:r>
        <w:rPr>
          <w:i/>
          <w:noProof/>
        </w:rPr>
        <w:t>;</w:t>
      </w:r>
      <w:r w:rsidR="001B5672" w:rsidRPr="001B5672">
        <w:rPr>
          <w:i/>
          <w:noProof/>
        </w:rPr>
        <w:t xml:space="preserve"> </w:t>
      </w:r>
    </w:p>
    <w:p w:rsidR="001B5672" w:rsidRPr="001B5672" w:rsidRDefault="00C22591" w:rsidP="001B5672">
      <w:pPr>
        <w:ind w:left="855"/>
        <w:rPr>
          <w:i/>
          <w:noProof/>
        </w:rPr>
      </w:pPr>
      <w:r>
        <w:rPr>
          <w:i/>
          <w:noProof/>
        </w:rPr>
        <w:t xml:space="preserve">(b) </w:t>
      </w:r>
      <w:r w:rsidR="001B5672" w:rsidRPr="001B5672">
        <w:rPr>
          <w:i/>
          <w:noProof/>
        </w:rPr>
        <w:t>ANNEX III – PART 4/14, the second map is replaced by the second map, ANNEX II – PART 1/8</w:t>
      </w:r>
      <w:r>
        <w:rPr>
          <w:i/>
          <w:noProof/>
        </w:rPr>
        <w:t>;</w:t>
      </w:r>
    </w:p>
    <w:p w:rsidR="001B5672" w:rsidRPr="001B5672" w:rsidRDefault="00C22591" w:rsidP="001B5672">
      <w:pPr>
        <w:ind w:left="855"/>
        <w:rPr>
          <w:i/>
          <w:noProof/>
        </w:rPr>
      </w:pPr>
      <w:r>
        <w:rPr>
          <w:i/>
          <w:noProof/>
        </w:rPr>
        <w:t xml:space="preserve">(c) </w:t>
      </w:r>
      <w:r w:rsidR="001B5672" w:rsidRPr="001B5672">
        <w:rPr>
          <w:i/>
          <w:noProof/>
        </w:rPr>
        <w:t>ANNEX III – PART 5/14, is replaced by ANNEX II – PART 2/8</w:t>
      </w:r>
      <w:r>
        <w:rPr>
          <w:i/>
          <w:noProof/>
        </w:rPr>
        <w:t>;</w:t>
      </w:r>
      <w:r w:rsidR="001B5672" w:rsidRPr="001B5672">
        <w:rPr>
          <w:i/>
          <w:noProof/>
        </w:rPr>
        <w:t xml:space="preserve"> </w:t>
      </w:r>
    </w:p>
    <w:p w:rsidR="001B5672" w:rsidRPr="001B5672" w:rsidRDefault="00C22591" w:rsidP="001B5672">
      <w:pPr>
        <w:ind w:left="855"/>
        <w:rPr>
          <w:i/>
          <w:noProof/>
        </w:rPr>
      </w:pPr>
      <w:r>
        <w:rPr>
          <w:i/>
          <w:noProof/>
        </w:rPr>
        <w:t xml:space="preserve">(d) </w:t>
      </w:r>
      <w:r w:rsidR="001B5672" w:rsidRPr="001B5672">
        <w:rPr>
          <w:i/>
          <w:noProof/>
        </w:rPr>
        <w:t>ANNEX III – PART 6/14 is replaced by ANNEX II – PART 3/8</w:t>
      </w:r>
      <w:r>
        <w:rPr>
          <w:i/>
          <w:noProof/>
        </w:rPr>
        <w:t>;</w:t>
      </w:r>
      <w:r w:rsidR="001B5672" w:rsidRPr="001B5672">
        <w:rPr>
          <w:i/>
          <w:noProof/>
        </w:rPr>
        <w:t xml:space="preserve"> </w:t>
      </w:r>
    </w:p>
    <w:p w:rsidR="001B5672" w:rsidRPr="001B5672" w:rsidRDefault="00C22591" w:rsidP="001B5672">
      <w:pPr>
        <w:ind w:left="855"/>
        <w:rPr>
          <w:i/>
          <w:noProof/>
        </w:rPr>
      </w:pPr>
      <w:r>
        <w:rPr>
          <w:i/>
          <w:noProof/>
        </w:rPr>
        <w:t xml:space="preserve">(e) </w:t>
      </w:r>
      <w:r w:rsidR="001B5672" w:rsidRPr="001B5672">
        <w:rPr>
          <w:i/>
          <w:noProof/>
        </w:rPr>
        <w:t>ANNEX III – PART 7/14 is replaced by ANNEX II – PART 4/8</w:t>
      </w:r>
      <w:r>
        <w:rPr>
          <w:i/>
          <w:noProof/>
        </w:rPr>
        <w:t>;</w:t>
      </w:r>
      <w:r w:rsidR="001B5672" w:rsidRPr="001B5672">
        <w:rPr>
          <w:i/>
          <w:noProof/>
        </w:rPr>
        <w:t xml:space="preserve"> </w:t>
      </w:r>
    </w:p>
    <w:p w:rsidR="001B5672" w:rsidRPr="001B5672" w:rsidRDefault="00C22591" w:rsidP="001B5672">
      <w:pPr>
        <w:ind w:left="855"/>
        <w:rPr>
          <w:i/>
          <w:noProof/>
        </w:rPr>
      </w:pPr>
      <w:r>
        <w:rPr>
          <w:i/>
          <w:noProof/>
        </w:rPr>
        <w:t xml:space="preserve">(f) </w:t>
      </w:r>
      <w:r w:rsidR="001B5672" w:rsidRPr="001B5672">
        <w:rPr>
          <w:i/>
          <w:noProof/>
        </w:rPr>
        <w:t>ANNEX III – PART 8/14 is replaced by ANNEX II – PART 5/8</w:t>
      </w:r>
      <w:r>
        <w:rPr>
          <w:i/>
          <w:noProof/>
        </w:rPr>
        <w:t>;</w:t>
      </w:r>
      <w:r w:rsidR="001B5672" w:rsidRPr="001B5672">
        <w:rPr>
          <w:i/>
          <w:noProof/>
        </w:rPr>
        <w:t xml:space="preserve"> </w:t>
      </w:r>
    </w:p>
    <w:p w:rsidR="001B5672" w:rsidRPr="001B5672" w:rsidRDefault="00C22591" w:rsidP="001B5672">
      <w:pPr>
        <w:ind w:left="855"/>
        <w:rPr>
          <w:i/>
          <w:noProof/>
        </w:rPr>
      </w:pPr>
      <w:r>
        <w:rPr>
          <w:i/>
          <w:noProof/>
        </w:rPr>
        <w:t xml:space="preserve">(g) </w:t>
      </w:r>
      <w:r w:rsidR="001B5672" w:rsidRPr="001B5672">
        <w:rPr>
          <w:i/>
          <w:noProof/>
        </w:rPr>
        <w:t>ANNEX III – PART 9/14 is replaced by ANNEX II – PART 6/8</w:t>
      </w:r>
      <w:r>
        <w:rPr>
          <w:i/>
          <w:noProof/>
        </w:rPr>
        <w:t>;</w:t>
      </w:r>
      <w:r w:rsidR="001B5672" w:rsidRPr="001B5672">
        <w:rPr>
          <w:i/>
          <w:noProof/>
        </w:rPr>
        <w:t xml:space="preserve"> </w:t>
      </w:r>
    </w:p>
    <w:p w:rsidR="001B5672" w:rsidRPr="001B5672" w:rsidRDefault="00C22591" w:rsidP="001B5672">
      <w:pPr>
        <w:ind w:left="855"/>
        <w:rPr>
          <w:i/>
          <w:noProof/>
        </w:rPr>
      </w:pPr>
      <w:r>
        <w:rPr>
          <w:i/>
          <w:noProof/>
        </w:rPr>
        <w:t xml:space="preserve">(h) </w:t>
      </w:r>
      <w:r w:rsidR="00802FD5">
        <w:rPr>
          <w:i/>
          <w:noProof/>
        </w:rPr>
        <w:t xml:space="preserve">in </w:t>
      </w:r>
      <w:r w:rsidR="001B5672" w:rsidRPr="001B5672">
        <w:rPr>
          <w:i/>
          <w:noProof/>
        </w:rPr>
        <w:t>ANNEX III – PART 10/14, the first map is replaced by the first map of ANNEX II – PART 7/8</w:t>
      </w:r>
      <w:r>
        <w:rPr>
          <w:i/>
          <w:noProof/>
        </w:rPr>
        <w:t>;</w:t>
      </w:r>
      <w:r w:rsidR="001B5672" w:rsidRPr="001B5672">
        <w:rPr>
          <w:i/>
          <w:noProof/>
        </w:rPr>
        <w:t xml:space="preserve"> </w:t>
      </w:r>
    </w:p>
    <w:p w:rsidR="001B5672" w:rsidRPr="001B5672" w:rsidRDefault="00C22591" w:rsidP="001B5672">
      <w:pPr>
        <w:ind w:left="855"/>
        <w:rPr>
          <w:i/>
          <w:noProof/>
        </w:rPr>
      </w:pPr>
      <w:r>
        <w:rPr>
          <w:i/>
          <w:noProof/>
        </w:rPr>
        <w:t xml:space="preserve">(i) </w:t>
      </w:r>
      <w:r w:rsidR="00802FD5">
        <w:rPr>
          <w:i/>
          <w:noProof/>
        </w:rPr>
        <w:t xml:space="preserve">in </w:t>
      </w:r>
      <w:r w:rsidR="001B5672" w:rsidRPr="001B5672">
        <w:rPr>
          <w:i/>
          <w:noProof/>
        </w:rPr>
        <w:t>ANNEX III – PART 13/14, the second map is replaced by the second map of ANNEX II – PART 7/8</w:t>
      </w:r>
      <w:r>
        <w:rPr>
          <w:i/>
          <w:noProof/>
        </w:rPr>
        <w:t>;</w:t>
      </w:r>
    </w:p>
    <w:p w:rsidR="001B5672" w:rsidRPr="001B5672" w:rsidRDefault="00C22591" w:rsidP="001B5672">
      <w:pPr>
        <w:ind w:left="855"/>
        <w:rPr>
          <w:i/>
          <w:noProof/>
        </w:rPr>
      </w:pPr>
      <w:r>
        <w:rPr>
          <w:i/>
          <w:noProof/>
        </w:rPr>
        <w:t xml:space="preserve">(j) </w:t>
      </w:r>
      <w:r w:rsidR="001B5672" w:rsidRPr="001B5672">
        <w:rPr>
          <w:i/>
          <w:noProof/>
        </w:rPr>
        <w:t>ANNEX III – PART 14/14 is replaced by ANNEX II – PART 8/8</w:t>
      </w:r>
      <w:r>
        <w:rPr>
          <w:i/>
          <w:noProof/>
        </w:rPr>
        <w:t>.</w:t>
      </w:r>
      <w:r w:rsidR="006E4CA6">
        <w:rPr>
          <w:i/>
          <w:noProof/>
        </w:rPr>
        <w:t>;</w:t>
      </w:r>
    </w:p>
    <w:p w:rsidR="001B5672" w:rsidRDefault="001B5672" w:rsidP="001B5672">
      <w:pPr>
        <w:rPr>
          <w:rFonts w:eastAsia="Arial Unicode MS"/>
          <w:noProof/>
          <w:szCs w:val="24"/>
        </w:rPr>
      </w:pPr>
    </w:p>
    <w:p w:rsidR="001B5672" w:rsidRPr="000A7BB5" w:rsidRDefault="001B5672" w:rsidP="001B5672">
      <w:pPr>
        <w:rPr>
          <w:rFonts w:eastAsia="Arial Unicode MS"/>
          <w:b/>
          <w:noProof/>
          <w:szCs w:val="24"/>
          <w:u w:val="single"/>
        </w:rPr>
      </w:pPr>
      <w:r w:rsidRPr="000A7BB5">
        <w:rPr>
          <w:rFonts w:eastAsia="Arial Unicode MS"/>
          <w:b/>
          <w:noProof/>
          <w:szCs w:val="24"/>
          <w:u w:val="single"/>
        </w:rPr>
        <w:t>ANNEX IV</w:t>
      </w:r>
    </w:p>
    <w:p w:rsidR="001B5672" w:rsidRPr="00631208" w:rsidRDefault="00E501A0" w:rsidP="00E501A0">
      <w:pPr>
        <w:pStyle w:val="Point0"/>
        <w:rPr>
          <w:noProof/>
        </w:rPr>
      </w:pPr>
      <w:r w:rsidRPr="00E501A0">
        <w:rPr>
          <w:noProof/>
        </w:rPr>
        <w:t>(13)</w:t>
      </w:r>
      <w:r w:rsidRPr="00E501A0">
        <w:rPr>
          <w:noProof/>
        </w:rPr>
        <w:tab/>
      </w:r>
      <w:r w:rsidR="00802FD5">
        <w:rPr>
          <w:noProof/>
        </w:rPr>
        <w:t>t</w:t>
      </w:r>
      <w:r w:rsidR="001B5672" w:rsidRPr="00631208">
        <w:rPr>
          <w:noProof/>
        </w:rPr>
        <w:t xml:space="preserve">he maps of ANNEX IV – PART 1/12 and PART 8/12 </w:t>
      </w:r>
      <w:r w:rsidR="00802FD5">
        <w:rPr>
          <w:noProof/>
        </w:rPr>
        <w:t>to</w:t>
      </w:r>
      <w:r w:rsidR="00802FD5" w:rsidRPr="00631208">
        <w:rPr>
          <w:noProof/>
        </w:rPr>
        <w:t xml:space="preserve"> </w:t>
      </w:r>
      <w:r w:rsidR="001B5672" w:rsidRPr="00631208">
        <w:rPr>
          <w:noProof/>
        </w:rPr>
        <w:t xml:space="preserve">COM(2021) 812 final are replaced by the maps in ANNEX III, </w:t>
      </w:r>
      <w:r w:rsidR="00C22591" w:rsidRPr="00631208">
        <w:rPr>
          <w:noProof/>
        </w:rPr>
        <w:t>parts</w:t>
      </w:r>
      <w:r w:rsidR="001B5672" w:rsidRPr="00631208">
        <w:rPr>
          <w:noProof/>
        </w:rPr>
        <w:t xml:space="preserve"> 1 and 2, </w:t>
      </w:r>
      <w:r w:rsidR="006E4CA6" w:rsidRPr="00631208">
        <w:rPr>
          <w:noProof/>
        </w:rPr>
        <w:t>to</w:t>
      </w:r>
      <w:r w:rsidR="001B5672" w:rsidRPr="00631208">
        <w:rPr>
          <w:noProof/>
        </w:rPr>
        <w:t xml:space="preserve"> the present amended proposal. </w:t>
      </w:r>
    </w:p>
    <w:p w:rsidR="001B5672" w:rsidRPr="00631208" w:rsidRDefault="00E501A0" w:rsidP="00E501A0">
      <w:pPr>
        <w:pStyle w:val="Point0"/>
        <w:rPr>
          <w:noProof/>
        </w:rPr>
      </w:pPr>
      <w:r w:rsidRPr="00E501A0">
        <w:rPr>
          <w:noProof/>
        </w:rPr>
        <w:t>(14)</w:t>
      </w:r>
      <w:r w:rsidRPr="00E501A0">
        <w:rPr>
          <w:noProof/>
        </w:rPr>
        <w:tab/>
      </w:r>
      <w:r w:rsidR="00802FD5">
        <w:rPr>
          <w:noProof/>
        </w:rPr>
        <w:t>t</w:t>
      </w:r>
      <w:r w:rsidR="001B5672" w:rsidRPr="00631208">
        <w:rPr>
          <w:noProof/>
        </w:rPr>
        <w:t xml:space="preserve">he maps of ANNEX IV – PART 12/12 </w:t>
      </w:r>
      <w:r w:rsidR="00802FD5">
        <w:rPr>
          <w:noProof/>
        </w:rPr>
        <w:t>to</w:t>
      </w:r>
      <w:r w:rsidR="001B5672" w:rsidRPr="00631208">
        <w:rPr>
          <w:noProof/>
        </w:rPr>
        <w:t xml:space="preserve"> COM(2021) 812 final are deleted. </w:t>
      </w:r>
    </w:p>
    <w:sectPr w:rsidR="001B5672" w:rsidRPr="00631208" w:rsidSect="008F0B17">
      <w:footerReference w:type="default" r:id="rId15"/>
      <w:footerReference w:type="first" r:id="rId16"/>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2B5" w:rsidRDefault="004C32B5" w:rsidP="002A4278">
      <w:pPr>
        <w:spacing w:before="0" w:after="0"/>
      </w:pPr>
      <w:r>
        <w:separator/>
      </w:r>
    </w:p>
  </w:endnote>
  <w:endnote w:type="continuationSeparator" w:id="0">
    <w:p w:rsidR="004C32B5" w:rsidRDefault="004C32B5" w:rsidP="002A427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92" w:rsidRPr="008F0B17" w:rsidRDefault="00CE0C92" w:rsidP="008F0B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A9B" w:rsidRPr="008F0B17" w:rsidRDefault="008F0B17" w:rsidP="008F0B17">
    <w:pPr>
      <w:pStyle w:val="Footer"/>
      <w:rPr>
        <w:rFonts w:ascii="Arial" w:hAnsi="Arial" w:cs="Arial"/>
        <w:b/>
        <w:sz w:val="48"/>
      </w:rPr>
    </w:pPr>
    <w:r w:rsidRPr="008F0B17">
      <w:rPr>
        <w:rFonts w:ascii="Arial" w:hAnsi="Arial" w:cs="Arial"/>
        <w:b/>
        <w:sz w:val="48"/>
      </w:rPr>
      <w:t>EN</w:t>
    </w:r>
    <w:r w:rsidRPr="008F0B17">
      <w:rPr>
        <w:rFonts w:ascii="Arial" w:hAnsi="Arial" w:cs="Arial"/>
        <w:b/>
        <w:sz w:val="48"/>
      </w:rPr>
      <w:tab/>
    </w:r>
    <w:r w:rsidRPr="008F0B17">
      <w:rPr>
        <w:rFonts w:ascii="Arial" w:hAnsi="Arial" w:cs="Arial"/>
        <w:b/>
        <w:sz w:val="48"/>
      </w:rPr>
      <w:tab/>
    </w:r>
    <w:r w:rsidRPr="008F0B17">
      <w:tab/>
    </w:r>
    <w:r w:rsidRPr="008F0B17">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92" w:rsidRPr="008F0B17" w:rsidRDefault="00CE0C92" w:rsidP="008F0B1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B17" w:rsidRPr="008F0B17" w:rsidRDefault="008F0B17" w:rsidP="008F0B17">
    <w:pPr>
      <w:pStyle w:val="Footer"/>
      <w:rPr>
        <w:rFonts w:ascii="Arial" w:hAnsi="Arial" w:cs="Arial"/>
        <w:b/>
        <w:sz w:val="48"/>
      </w:rPr>
    </w:pPr>
    <w:r w:rsidRPr="008F0B17">
      <w:rPr>
        <w:rFonts w:ascii="Arial" w:hAnsi="Arial" w:cs="Arial"/>
        <w:b/>
        <w:sz w:val="48"/>
      </w:rPr>
      <w:t>EN</w:t>
    </w:r>
    <w:r w:rsidRPr="008F0B17">
      <w:rPr>
        <w:rFonts w:ascii="Arial" w:hAnsi="Arial" w:cs="Arial"/>
        <w:b/>
        <w:sz w:val="48"/>
      </w:rPr>
      <w:tab/>
    </w:r>
    <w:r>
      <w:fldChar w:fldCharType="begin"/>
    </w:r>
    <w:r>
      <w:instrText xml:space="preserve"> PAGE  \* MERGEFORMAT </w:instrText>
    </w:r>
    <w:r>
      <w:fldChar w:fldCharType="separate"/>
    </w:r>
    <w:r w:rsidR="00DD700D">
      <w:rPr>
        <w:noProof/>
      </w:rPr>
      <w:t>10</w:t>
    </w:r>
    <w:r>
      <w:fldChar w:fldCharType="end"/>
    </w:r>
    <w:r>
      <w:tab/>
    </w:r>
    <w:r w:rsidRPr="008F0B17">
      <w:tab/>
    </w:r>
    <w:r w:rsidRPr="008F0B17">
      <w:rPr>
        <w:rFonts w:ascii="Arial" w:hAnsi="Arial" w:cs="Arial"/>
        <w:b/>
        <w:sz w:val="48"/>
      </w:rPr>
      <w:t>EN</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B17" w:rsidRPr="008F0B17" w:rsidRDefault="008F0B17" w:rsidP="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2B5" w:rsidRDefault="004C32B5" w:rsidP="002A4278">
      <w:pPr>
        <w:spacing w:before="0" w:after="0"/>
      </w:pPr>
      <w:r>
        <w:separator/>
      </w:r>
    </w:p>
  </w:footnote>
  <w:footnote w:type="continuationSeparator" w:id="0">
    <w:p w:rsidR="004C32B5" w:rsidRDefault="004C32B5" w:rsidP="002A4278">
      <w:pPr>
        <w:spacing w:before="0" w:after="0"/>
      </w:pPr>
      <w:r>
        <w:continuationSeparator/>
      </w:r>
    </w:p>
  </w:footnote>
  <w:footnote w:id="1">
    <w:p w:rsidR="007C7264" w:rsidRPr="00BF1A9E" w:rsidRDefault="007C7264" w:rsidP="00EB39B9">
      <w:pPr>
        <w:pStyle w:val="FootnoteText"/>
        <w:rPr>
          <w:lang w:val="pt-PT"/>
        </w:rPr>
      </w:pPr>
      <w:r w:rsidRPr="007D45AA">
        <w:rPr>
          <w:rStyle w:val="FootnoteReference"/>
        </w:rPr>
        <w:footnoteRef/>
      </w:r>
      <w:r>
        <w:rPr>
          <w:lang w:val="pt-PT"/>
        </w:rPr>
        <w:tab/>
      </w:r>
      <w:r w:rsidRPr="00BF1A9E">
        <w:rPr>
          <w:lang w:val="pt-PT"/>
        </w:rPr>
        <w:t>OJ L 348, 20.12.2013, p. 1</w:t>
      </w:r>
    </w:p>
  </w:footnote>
  <w:footnote w:id="2">
    <w:p w:rsidR="007C7264" w:rsidRPr="00BF1A9E" w:rsidRDefault="007C7264" w:rsidP="00EB39B9">
      <w:pPr>
        <w:pStyle w:val="FootnoteText"/>
        <w:rPr>
          <w:lang w:val="pt-PT"/>
        </w:rPr>
      </w:pPr>
      <w:r w:rsidRPr="007D45AA">
        <w:rPr>
          <w:rStyle w:val="FootnoteReference"/>
        </w:rPr>
        <w:footnoteRef/>
      </w:r>
      <w:r>
        <w:rPr>
          <w:lang w:val="pt-PT"/>
        </w:rPr>
        <w:tab/>
      </w:r>
      <w:r w:rsidRPr="00BF1A9E">
        <w:rPr>
          <w:lang w:val="pt-PT"/>
        </w:rPr>
        <w:t>COM(2021) 812 final</w:t>
      </w:r>
    </w:p>
  </w:footnote>
  <w:footnote w:id="3">
    <w:p w:rsidR="007C7264" w:rsidRPr="00BF1A9E" w:rsidRDefault="007C7264" w:rsidP="005E60D0">
      <w:pPr>
        <w:pStyle w:val="FootnoteText"/>
        <w:rPr>
          <w:lang w:val="pt-PT"/>
        </w:rPr>
      </w:pPr>
      <w:r w:rsidRPr="007D45AA">
        <w:rPr>
          <w:rStyle w:val="FootnoteReference"/>
        </w:rPr>
        <w:footnoteRef/>
      </w:r>
      <w:r>
        <w:rPr>
          <w:lang w:val="pt-PT"/>
        </w:rPr>
        <w:tab/>
      </w:r>
      <w:r w:rsidRPr="00BF1A9E">
        <w:rPr>
          <w:lang w:val="pt-PT"/>
        </w:rPr>
        <w:t>COM(2019) 640 final</w:t>
      </w:r>
    </w:p>
  </w:footnote>
  <w:footnote w:id="4">
    <w:p w:rsidR="007C7264" w:rsidRPr="00BF1A9E" w:rsidRDefault="007C7264" w:rsidP="005E60D0">
      <w:pPr>
        <w:pStyle w:val="FootnoteText"/>
        <w:rPr>
          <w:lang w:val="pt-PT"/>
        </w:rPr>
      </w:pPr>
      <w:r w:rsidRPr="007D45AA">
        <w:rPr>
          <w:rStyle w:val="FootnoteReference"/>
        </w:rPr>
        <w:footnoteRef/>
      </w:r>
      <w:r>
        <w:rPr>
          <w:lang w:val="pt-PT"/>
        </w:rPr>
        <w:tab/>
      </w:r>
      <w:r w:rsidRPr="00BF1A9E">
        <w:rPr>
          <w:lang w:val="pt-PT"/>
        </w:rPr>
        <w:t>COM(2020) 789 final</w:t>
      </w:r>
    </w:p>
  </w:footnote>
  <w:footnote w:id="5">
    <w:p w:rsidR="007C7264" w:rsidRPr="00BF1A9E" w:rsidRDefault="007C7264" w:rsidP="00EB39B9">
      <w:pPr>
        <w:pStyle w:val="FootnoteText"/>
        <w:rPr>
          <w:lang w:val="pt-PT"/>
        </w:rPr>
      </w:pPr>
      <w:r w:rsidRPr="007D45AA">
        <w:rPr>
          <w:rStyle w:val="FootnoteReference"/>
        </w:rPr>
        <w:footnoteRef/>
      </w:r>
      <w:r>
        <w:rPr>
          <w:lang w:val="pt-PT"/>
        </w:rPr>
        <w:tab/>
      </w:r>
      <w:r w:rsidRPr="00BF1A9E">
        <w:rPr>
          <w:lang w:val="pt-PT"/>
        </w:rPr>
        <w:t>COM(2022) 217 final</w:t>
      </w:r>
    </w:p>
  </w:footnote>
  <w:footnote w:id="6">
    <w:p w:rsidR="007C7264" w:rsidRPr="00BF1A9E" w:rsidRDefault="007C7264">
      <w:pPr>
        <w:pStyle w:val="FootnoteText"/>
        <w:rPr>
          <w:lang w:val="pt-PT"/>
        </w:rPr>
      </w:pPr>
      <w:r w:rsidRPr="007D45AA">
        <w:rPr>
          <w:rStyle w:val="FootnoteReference"/>
        </w:rPr>
        <w:footnoteRef/>
      </w:r>
      <w:r>
        <w:rPr>
          <w:lang w:val="pt-PT"/>
        </w:rPr>
        <w:tab/>
        <w:t>C(2022) 5056 final</w:t>
      </w:r>
    </w:p>
  </w:footnote>
  <w:footnote w:id="7">
    <w:p w:rsidR="007C7264" w:rsidRPr="008374D0" w:rsidRDefault="007C7264" w:rsidP="00E67865">
      <w:pPr>
        <w:pStyle w:val="FootnoteText"/>
        <w:rPr>
          <w:sz w:val="16"/>
          <w:szCs w:val="16"/>
          <w:lang w:val="en-IE"/>
        </w:rPr>
      </w:pPr>
      <w:r w:rsidRPr="009E1C36">
        <w:rPr>
          <w:rStyle w:val="FootnoteReference"/>
        </w:rPr>
        <w:footnoteRef/>
      </w:r>
      <w:r w:rsidRPr="00E8199E">
        <w:tab/>
        <w:t>Evaluation of the Regulation (EU) N° 1315/2013 on Union Guidelines for the development of a trans- European transport network, SWD (2021) 117 final of 26 May 2021</w:t>
      </w:r>
      <w:r>
        <w:t xml:space="preserve"> </w:t>
      </w:r>
    </w:p>
  </w:footnote>
  <w:footnote w:id="8">
    <w:p w:rsidR="007C7264" w:rsidRPr="004E5E79" w:rsidRDefault="007C7264">
      <w:pPr>
        <w:pStyle w:val="FootnoteText"/>
        <w:rPr>
          <w:lang w:val="en-IE"/>
        </w:rPr>
      </w:pPr>
      <w:r w:rsidRPr="007D45AA">
        <w:rPr>
          <w:rStyle w:val="FootnoteReference"/>
        </w:rPr>
        <w:footnoteRef/>
      </w:r>
      <w:r>
        <w:tab/>
        <w:t>SWD(2021) 472 final</w:t>
      </w:r>
    </w:p>
  </w:footnote>
  <w:footnote w:id="9">
    <w:p w:rsidR="007C7264" w:rsidRPr="004E5E79" w:rsidRDefault="007C7264" w:rsidP="004E5E79">
      <w:pPr>
        <w:pStyle w:val="FootnoteText"/>
        <w:ind w:left="0" w:firstLine="0"/>
        <w:rPr>
          <w:lang w:val="en-IE"/>
        </w:rPr>
      </w:pPr>
      <w:r w:rsidRPr="007D45AA">
        <w:rPr>
          <w:rStyle w:val="FootnoteReference"/>
        </w:rPr>
        <w:footnoteRef/>
      </w:r>
      <w:r>
        <w:tab/>
        <w:t xml:space="preserve">European Court of Auditors (2016): Special report no 08/2016: Rail freight transport in the EU: still not on the right track. </w:t>
      </w:r>
    </w:p>
  </w:footnote>
  <w:footnote w:id="10">
    <w:p w:rsidR="007C7264" w:rsidRPr="006C4D2B" w:rsidRDefault="007C7264" w:rsidP="000671EA">
      <w:pPr>
        <w:pStyle w:val="FootnoteText"/>
        <w:rPr>
          <w:lang w:val="en-IE"/>
        </w:rPr>
      </w:pPr>
      <w:r w:rsidRPr="007D45AA">
        <w:rPr>
          <w:rStyle w:val="FootnoteReference"/>
        </w:rPr>
        <w:footnoteRef/>
      </w:r>
      <w:r>
        <w:rPr>
          <w:lang w:val="en-IE"/>
        </w:rPr>
        <w:tab/>
      </w:r>
      <w:r w:rsidRPr="002F71DB">
        <w:rPr>
          <w:lang w:val="en-IE"/>
        </w:rPr>
        <w:t>COM(2022)</w:t>
      </w:r>
      <w:r>
        <w:rPr>
          <w:lang w:val="en-IE"/>
        </w:rPr>
        <w:t xml:space="preserve"> </w:t>
      </w:r>
      <w:r w:rsidRPr="002F71DB">
        <w:rPr>
          <w:lang w:val="en-IE"/>
        </w:rPr>
        <w:t>217 final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92" w:rsidRPr="008F0B17" w:rsidRDefault="00CE0C92" w:rsidP="008F0B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92" w:rsidRPr="008F0B17" w:rsidRDefault="00CE0C92" w:rsidP="008F0B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92" w:rsidRPr="008F0B17" w:rsidRDefault="00CE0C92" w:rsidP="008F0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4752A68C"/>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BF92DCC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23A4AA5A"/>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6F6888D2"/>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6764CB3E"/>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60D437F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65B67388"/>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184C9E4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4996626"/>
    <w:multiLevelType w:val="hybridMultilevel"/>
    <w:tmpl w:val="167E1E8A"/>
    <w:lvl w:ilvl="0" w:tplc="1F961EDC">
      <w:start w:val="1"/>
      <w:numFmt w:val="bullet"/>
      <w:pStyle w:val="Briefinglist1"/>
      <w:lvlText w:val=""/>
      <w:lvlJc w:val="left"/>
      <w:pPr>
        <w:tabs>
          <w:tab w:val="num" w:pos="284"/>
        </w:tabs>
        <w:ind w:left="284" w:hanging="284"/>
      </w:pPr>
      <w:rPr>
        <w:rFonts w:ascii="Symbol" w:hAnsi="Symbol" w:hint="default"/>
        <w:b w:val="0"/>
        <w:i w:val="0"/>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7"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8"/>
  </w:num>
  <w:num w:numId="6">
    <w:abstractNumId w:val="1"/>
  </w:num>
  <w:num w:numId="7">
    <w:abstractNumId w:val="16"/>
    <w:lvlOverride w:ilvl="0">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
  </w:num>
  <w:num w:numId="12">
    <w:abstractNumId w:val="0"/>
  </w:num>
  <w:num w:numId="13">
    <w:abstractNumId w:val="20"/>
  </w:num>
  <w:num w:numId="14">
    <w:abstractNumId w:val="13"/>
  </w:num>
  <w:num w:numId="15">
    <w:abstractNumId w:val="22"/>
  </w:num>
  <w:num w:numId="16">
    <w:abstractNumId w:val="12"/>
  </w:num>
  <w:num w:numId="17">
    <w:abstractNumId w:val="14"/>
  </w:num>
  <w:num w:numId="18">
    <w:abstractNumId w:val="15"/>
  </w:num>
  <w:num w:numId="19">
    <w:abstractNumId w:val="10"/>
  </w:num>
  <w:num w:numId="20">
    <w:abstractNumId w:val="21"/>
  </w:num>
  <w:num w:numId="21">
    <w:abstractNumId w:val="9"/>
  </w:num>
  <w:num w:numId="22">
    <w:abstractNumId w:val="16"/>
  </w:num>
  <w:num w:numId="23">
    <w:abstractNumId w:val="18"/>
  </w:num>
  <w:num w:numId="24">
    <w:abstractNumId w:val="19"/>
  </w:num>
  <w:num w:numId="25">
    <w:abstractNumId w:val="11"/>
  </w:num>
  <w:num w:numId="26">
    <w:abstractNumId w:val="17"/>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es-ES"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IE" w:vendorID="64" w:dllVersion="0" w:nlCheck="1" w:checkStyle="0"/>
  <w:activeWritingStyle w:appName="MSWord" w:lang="pt-PT" w:vendorID="64" w:dllVersion="0" w:nlCheck="1" w:checkStyle="0"/>
  <w:activeWritingStyle w:appName="MSWord" w:lang="pt-PT" w:vendorID="64" w:dllVersion="6" w:nlCheck="1" w:checkStyle="0"/>
  <w:activeWritingStyle w:appName="MSWord" w:lang="fr-BE" w:vendorID="64" w:dllVersion="6"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activeWritingStyle w:appName="MSWord" w:lang="pt-PT" w:vendorID="64" w:dllVersion="131078" w:nlCheck="1" w:checkStyle="0"/>
  <w:attachedTemplate r:id="rId1"/>
  <w:revisionView w:markup="0"/>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2-07-27 08:37:34"/>
    <w:docVar w:name="DQCResult_Distribution" w:val="0;0"/>
    <w:docVar w:name="DQCResult_DocumentContent" w:val="0;0"/>
    <w:docVar w:name="DQCResult_DocumentSize" w:val="0;0"/>
    <w:docVar w:name="DQCResult_InvalidFootnotes" w:val="0;0"/>
    <w:docVar w:name="DQCResult_LinkedStyles" w:val="0;0"/>
    <w:docVar w:name="DQCResult_ModifiedMarkers" w:val="0;0"/>
    <w:docVar w:name="DQCResult_ModifiedNumbering" w:val="0;0"/>
    <w:docVar w:name="DQCResult_Objects" w:val="0;0"/>
    <w:docVar w:name="DQCResult_StructureCheck" w:val="0;0"/>
    <w:docVar w:name="DQCResult_UnknownFonts" w:val="0;0"/>
    <w:docVar w:name="DQCStatus" w:val="Green"/>
    <w:docVar w:name="DQCVersion" w:val="3"/>
    <w:docVar w:name="DQCWithWarnings" w:val="0"/>
    <w:docVar w:name="LW_CORRIGENDUM" w:val="&lt;UNUSED&gt;"/>
    <w:docVar w:name="LW_COVERPAGE_EXISTS" w:val="True"/>
    <w:docVar w:name="LW_COVERPAGE_GUID" w:val="97BAB666-FC4D-4BA5-A8BE-A2CAC2D80123"/>
    <w:docVar w:name="LW_COVERPAGE_TYPE" w:val="1"/>
    <w:docVar w:name="LW_CROSSREFERENCE" w:val="&lt;UNUSED&gt;"/>
    <w:docVar w:name="LW_DocType" w:val="COM"/>
    <w:docVar w:name="LW_EMISSION" w:val="27.7.2022"/>
    <w:docVar w:name="LW_EMISSION_ISODATE" w:val="2022-07-27"/>
    <w:docVar w:name="LW_EMISSION_LOCATION" w:val="BRX"/>
    <w:docVar w:name="LW_EMISSION_PREFIX" w:val="Brussels, "/>
    <w:docVar w:name="LW_EMISSION_SUFFIX" w:val=" "/>
    <w:docVar w:name="LW_ID_DOCMODEL" w:val="SJ-023"/>
    <w:docVar w:name="LW_ID_DOCSIGNATURE" w:val="SJ-023"/>
    <w:docVar w:name="LW_ID_DOCSTRUCTURE" w:val="COM/PL/MOD"/>
    <w:docVar w:name="LW_ID_DOCTYPE" w:val="SG-005"/>
    <w:docVar w:name="LW_ID_EXP.MOTIFS.NEW" w:val="EM_PL_"/>
    <w:docVar w:name="LW_ID_STATUT" w:val="SG-005"/>
    <w:docVar w:name="LW_INSERT_TEXTE.ACTE" w:val="1"/>
    <w:docVar w:name="LW_INTERETEEE" w:val="(Text with EEA relevance)"/>
    <w:docVar w:name="LW_INTERETEEE.CP" w:val="(Text with EEA relevance)"/>
    <w:docVar w:name="LW_LANGUE" w:val="EN"/>
    <w:docVar w:name="LW_LEVEL_OF_SENSITIVITY" w:val="Standard treatment"/>
    <w:docVar w:name="LW_NOM.INST" w:val="EUROPEAN COMMISSION"/>
    <w:docVar w:name="LW_NOM.INST_JOINTDOC" w:val="&lt;EMPTY&gt;"/>
    <w:docVar w:name="LW_PART_NBR" w:val="1"/>
    <w:docVar w:name="LW_PART_NBR_TOTAL" w:val="1"/>
    <w:docVar w:name="LW_REF.II.NEW.CP" w:val="COD"/>
    <w:docVar w:name="LW_REF.II.NEW.CP_NUMBER" w:val="0420"/>
    <w:docVar w:name="LW_REF.II.NEW.CP_YEAR" w:val="2022"/>
    <w:docVar w:name="LW_REF.INST.NEW" w:val="COM"/>
    <w:docVar w:name="LW_REF.INST.NEW_ADOPTED" w:val="final"/>
    <w:docVar w:name="LW_REF.INST.NEW_TEXT" w:val="(2022) 38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 w:val="Amended proposal for a"/>
    <w:docVar w:name="LW_STATUT.CP" w:val="Amended proposal for a"/>
    <w:docVar w:name="LW_SUPERTITRE" w:val="&lt;UNUSED&gt;"/>
    <w:docVar w:name="LW_TITRE.OBJ" w:val="&lt;FMT:Bold&gt;on Union guidelines for the development of the trans-European transport network, amending Regulation (EU) 2021/1153 and Regulation (EU) No 913/2010 and repealing Regulation (EU) 1315/2013&lt;/FMT&gt;_x000d__x000d__x000d__x000b_"/>
    <w:docVar w:name="LW_TITRE.OBJ.CP" w:val="&lt;FMT:Bold&gt;on Union guidelines for the development of the trans-European transport network, amending Regulation (EU) 2021/1153 and Regulation (EU) No 913/2010 and repealing Regulation (EU) 1315/2013&lt;/FMT&gt;_x000d__x000d__x000d__x000b_"/>
    <w:docVar w:name="LW_TYPE.DOC" w:val="REGULATION OF THE EUROPEAN PARLIAMENT AND OF THE COUNCIL"/>
    <w:docVar w:name="LW_TYPE.DOC.CP" w:val="REGULATION OF THE EUROPEAN PARLIAMENT AND OF THE COUNCIL"/>
    <w:docVar w:name="LwApiVersions" w:val="LW4CoDe 1.23.2.0; LW 8.0, Build 20211117"/>
  </w:docVars>
  <w:rsids>
    <w:rsidRoot w:val="002A4278"/>
    <w:rsid w:val="000007AD"/>
    <w:rsid w:val="0001545D"/>
    <w:rsid w:val="0002296D"/>
    <w:rsid w:val="00024422"/>
    <w:rsid w:val="000306B9"/>
    <w:rsid w:val="00045A0A"/>
    <w:rsid w:val="00050ACA"/>
    <w:rsid w:val="0006195A"/>
    <w:rsid w:val="000627F5"/>
    <w:rsid w:val="00064305"/>
    <w:rsid w:val="000671EA"/>
    <w:rsid w:val="000A341E"/>
    <w:rsid w:val="000A7BB5"/>
    <w:rsid w:val="000B035E"/>
    <w:rsid w:val="000B7A7D"/>
    <w:rsid w:val="000C475D"/>
    <w:rsid w:val="000C4C62"/>
    <w:rsid w:val="000D7B93"/>
    <w:rsid w:val="000E1F33"/>
    <w:rsid w:val="000E43CC"/>
    <w:rsid w:val="00100602"/>
    <w:rsid w:val="0010587C"/>
    <w:rsid w:val="00110C36"/>
    <w:rsid w:val="00116046"/>
    <w:rsid w:val="00127C34"/>
    <w:rsid w:val="00132C91"/>
    <w:rsid w:val="001369E8"/>
    <w:rsid w:val="00142056"/>
    <w:rsid w:val="00147A1D"/>
    <w:rsid w:val="00150BEB"/>
    <w:rsid w:val="00152894"/>
    <w:rsid w:val="00157AE8"/>
    <w:rsid w:val="001A2D3E"/>
    <w:rsid w:val="001B5672"/>
    <w:rsid w:val="001C1274"/>
    <w:rsid w:val="001C6D4F"/>
    <w:rsid w:val="001D63E8"/>
    <w:rsid w:val="001F736D"/>
    <w:rsid w:val="00205875"/>
    <w:rsid w:val="00205F14"/>
    <w:rsid w:val="002362FA"/>
    <w:rsid w:val="002718F5"/>
    <w:rsid w:val="00297CDA"/>
    <w:rsid w:val="002A4278"/>
    <w:rsid w:val="002B2FEF"/>
    <w:rsid w:val="002C03A5"/>
    <w:rsid w:val="002F7A1F"/>
    <w:rsid w:val="003056BA"/>
    <w:rsid w:val="00343E9E"/>
    <w:rsid w:val="00354787"/>
    <w:rsid w:val="003821BC"/>
    <w:rsid w:val="00396ACD"/>
    <w:rsid w:val="003A3D22"/>
    <w:rsid w:val="003B137C"/>
    <w:rsid w:val="003C3079"/>
    <w:rsid w:val="003C31CF"/>
    <w:rsid w:val="003C400F"/>
    <w:rsid w:val="003E4CF6"/>
    <w:rsid w:val="004200D3"/>
    <w:rsid w:val="00430E06"/>
    <w:rsid w:val="00437AA5"/>
    <w:rsid w:val="004454C9"/>
    <w:rsid w:val="004530B8"/>
    <w:rsid w:val="004545FE"/>
    <w:rsid w:val="004647FC"/>
    <w:rsid w:val="00464E89"/>
    <w:rsid w:val="00492396"/>
    <w:rsid w:val="00495214"/>
    <w:rsid w:val="004A10D5"/>
    <w:rsid w:val="004B158F"/>
    <w:rsid w:val="004C32B5"/>
    <w:rsid w:val="004D42FB"/>
    <w:rsid w:val="004D603F"/>
    <w:rsid w:val="004E19F9"/>
    <w:rsid w:val="004E5E79"/>
    <w:rsid w:val="004F06F6"/>
    <w:rsid w:val="00502D10"/>
    <w:rsid w:val="00513C2B"/>
    <w:rsid w:val="00517205"/>
    <w:rsid w:val="00536620"/>
    <w:rsid w:val="00542487"/>
    <w:rsid w:val="005432BD"/>
    <w:rsid w:val="00564598"/>
    <w:rsid w:val="00582810"/>
    <w:rsid w:val="00587884"/>
    <w:rsid w:val="00595253"/>
    <w:rsid w:val="00595540"/>
    <w:rsid w:val="005B5355"/>
    <w:rsid w:val="005B5FA6"/>
    <w:rsid w:val="005D5CA6"/>
    <w:rsid w:val="005E60D0"/>
    <w:rsid w:val="005F0850"/>
    <w:rsid w:val="005F4DAC"/>
    <w:rsid w:val="005F5AF6"/>
    <w:rsid w:val="0060250A"/>
    <w:rsid w:val="00604780"/>
    <w:rsid w:val="00606AFA"/>
    <w:rsid w:val="006261ED"/>
    <w:rsid w:val="00631208"/>
    <w:rsid w:val="006506BA"/>
    <w:rsid w:val="00656D7C"/>
    <w:rsid w:val="00664290"/>
    <w:rsid w:val="006654AB"/>
    <w:rsid w:val="00677B45"/>
    <w:rsid w:val="00695C7E"/>
    <w:rsid w:val="006C646D"/>
    <w:rsid w:val="006D3318"/>
    <w:rsid w:val="006E23C1"/>
    <w:rsid w:val="006E4CA6"/>
    <w:rsid w:val="006E74E4"/>
    <w:rsid w:val="006F33EA"/>
    <w:rsid w:val="006F7EFE"/>
    <w:rsid w:val="00726502"/>
    <w:rsid w:val="00730420"/>
    <w:rsid w:val="00740DD6"/>
    <w:rsid w:val="0074381B"/>
    <w:rsid w:val="00780DC0"/>
    <w:rsid w:val="00791D7E"/>
    <w:rsid w:val="00793B1F"/>
    <w:rsid w:val="007958A2"/>
    <w:rsid w:val="007A2C1D"/>
    <w:rsid w:val="007A2E75"/>
    <w:rsid w:val="007C7264"/>
    <w:rsid w:val="007D0861"/>
    <w:rsid w:val="007D339F"/>
    <w:rsid w:val="007D45AA"/>
    <w:rsid w:val="007E010B"/>
    <w:rsid w:val="007E3960"/>
    <w:rsid w:val="007E7C65"/>
    <w:rsid w:val="00802FC2"/>
    <w:rsid w:val="00802FD5"/>
    <w:rsid w:val="00811E67"/>
    <w:rsid w:val="00817D35"/>
    <w:rsid w:val="00820D9D"/>
    <w:rsid w:val="008374F2"/>
    <w:rsid w:val="00862A0E"/>
    <w:rsid w:val="00871C83"/>
    <w:rsid w:val="00874A5F"/>
    <w:rsid w:val="00885FC4"/>
    <w:rsid w:val="008A2C88"/>
    <w:rsid w:val="008B776E"/>
    <w:rsid w:val="008C0573"/>
    <w:rsid w:val="008C1B7A"/>
    <w:rsid w:val="008D2506"/>
    <w:rsid w:val="008D44E4"/>
    <w:rsid w:val="008E154E"/>
    <w:rsid w:val="008E2694"/>
    <w:rsid w:val="008F0B17"/>
    <w:rsid w:val="0090126A"/>
    <w:rsid w:val="00902158"/>
    <w:rsid w:val="00940731"/>
    <w:rsid w:val="0094590C"/>
    <w:rsid w:val="00961840"/>
    <w:rsid w:val="009636B6"/>
    <w:rsid w:val="00974E2B"/>
    <w:rsid w:val="0098546E"/>
    <w:rsid w:val="009927DE"/>
    <w:rsid w:val="009957C5"/>
    <w:rsid w:val="009A2806"/>
    <w:rsid w:val="009B2E8C"/>
    <w:rsid w:val="009C5FC3"/>
    <w:rsid w:val="009D289D"/>
    <w:rsid w:val="009E1B82"/>
    <w:rsid w:val="00A10FA9"/>
    <w:rsid w:val="00A11EE2"/>
    <w:rsid w:val="00A1500D"/>
    <w:rsid w:val="00A23ADA"/>
    <w:rsid w:val="00A530F5"/>
    <w:rsid w:val="00A565C7"/>
    <w:rsid w:val="00A579E7"/>
    <w:rsid w:val="00A6243A"/>
    <w:rsid w:val="00A62FE5"/>
    <w:rsid w:val="00A71D34"/>
    <w:rsid w:val="00A71E97"/>
    <w:rsid w:val="00A76B04"/>
    <w:rsid w:val="00A92A9B"/>
    <w:rsid w:val="00AA3ACB"/>
    <w:rsid w:val="00AA3F74"/>
    <w:rsid w:val="00AB2927"/>
    <w:rsid w:val="00AB3C66"/>
    <w:rsid w:val="00AD2CB5"/>
    <w:rsid w:val="00B20183"/>
    <w:rsid w:val="00B45295"/>
    <w:rsid w:val="00B526C4"/>
    <w:rsid w:val="00B553CE"/>
    <w:rsid w:val="00B9132D"/>
    <w:rsid w:val="00BB3282"/>
    <w:rsid w:val="00BC5A9C"/>
    <w:rsid w:val="00BC730D"/>
    <w:rsid w:val="00BD107A"/>
    <w:rsid w:val="00BD23A3"/>
    <w:rsid w:val="00BD3571"/>
    <w:rsid w:val="00BD5FCA"/>
    <w:rsid w:val="00BE27E2"/>
    <w:rsid w:val="00BF1A9E"/>
    <w:rsid w:val="00BF712C"/>
    <w:rsid w:val="00C01D90"/>
    <w:rsid w:val="00C1643F"/>
    <w:rsid w:val="00C16E8E"/>
    <w:rsid w:val="00C22591"/>
    <w:rsid w:val="00C300FB"/>
    <w:rsid w:val="00C3731F"/>
    <w:rsid w:val="00C63125"/>
    <w:rsid w:val="00CA15FC"/>
    <w:rsid w:val="00CA61CF"/>
    <w:rsid w:val="00CB1F74"/>
    <w:rsid w:val="00CC08A9"/>
    <w:rsid w:val="00CE0C92"/>
    <w:rsid w:val="00CE7430"/>
    <w:rsid w:val="00CF1A02"/>
    <w:rsid w:val="00CF5155"/>
    <w:rsid w:val="00D027C5"/>
    <w:rsid w:val="00D03683"/>
    <w:rsid w:val="00D20E17"/>
    <w:rsid w:val="00D224B4"/>
    <w:rsid w:val="00D26DF5"/>
    <w:rsid w:val="00D26E09"/>
    <w:rsid w:val="00D50273"/>
    <w:rsid w:val="00D50E51"/>
    <w:rsid w:val="00D679F8"/>
    <w:rsid w:val="00D729A3"/>
    <w:rsid w:val="00D95D89"/>
    <w:rsid w:val="00DB4B20"/>
    <w:rsid w:val="00DD6ECA"/>
    <w:rsid w:val="00DD700D"/>
    <w:rsid w:val="00DF6F07"/>
    <w:rsid w:val="00E01054"/>
    <w:rsid w:val="00E03DF1"/>
    <w:rsid w:val="00E07235"/>
    <w:rsid w:val="00E133E4"/>
    <w:rsid w:val="00E15323"/>
    <w:rsid w:val="00E203E0"/>
    <w:rsid w:val="00E33C9F"/>
    <w:rsid w:val="00E501A0"/>
    <w:rsid w:val="00E60641"/>
    <w:rsid w:val="00E60F54"/>
    <w:rsid w:val="00E67865"/>
    <w:rsid w:val="00E70164"/>
    <w:rsid w:val="00E70C0F"/>
    <w:rsid w:val="00E85B4C"/>
    <w:rsid w:val="00E973FF"/>
    <w:rsid w:val="00E979AB"/>
    <w:rsid w:val="00EA6146"/>
    <w:rsid w:val="00EB0873"/>
    <w:rsid w:val="00EB1AD8"/>
    <w:rsid w:val="00EB39B9"/>
    <w:rsid w:val="00EC03F1"/>
    <w:rsid w:val="00EC39BC"/>
    <w:rsid w:val="00EE140B"/>
    <w:rsid w:val="00F27090"/>
    <w:rsid w:val="00F270CE"/>
    <w:rsid w:val="00F41F42"/>
    <w:rsid w:val="00F42A8C"/>
    <w:rsid w:val="00F50BC8"/>
    <w:rsid w:val="00F52445"/>
    <w:rsid w:val="00F52458"/>
    <w:rsid w:val="00F55CAD"/>
    <w:rsid w:val="00F859F2"/>
    <w:rsid w:val="00FA1E7A"/>
    <w:rsid w:val="00FC2396"/>
    <w:rsid w:val="00FF7E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7BF94A9-0DFF-40F4-9451-64394099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rsid w:val="00517205"/>
    <w:pPr>
      <w:keepNext/>
      <w:numPr>
        <w:numId w:val="2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rsid w:val="00517205"/>
    <w:pPr>
      <w:keepNext/>
      <w:numPr>
        <w:ilvl w:val="1"/>
        <w:numId w:val="2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rsid w:val="00517205"/>
    <w:pPr>
      <w:keepNext/>
      <w:numPr>
        <w:ilvl w:val="2"/>
        <w:numId w:val="20"/>
      </w:numPr>
      <w:outlineLvl w:val="2"/>
    </w:pPr>
    <w:rPr>
      <w:rFonts w:eastAsiaTheme="majorEastAsia"/>
      <w:bCs/>
      <w:i/>
    </w:rPr>
  </w:style>
  <w:style w:type="paragraph" w:styleId="Heading4">
    <w:name w:val="heading 4"/>
    <w:basedOn w:val="Normal"/>
    <w:next w:val="Text1"/>
    <w:link w:val="Heading4Char"/>
    <w:uiPriority w:val="9"/>
    <w:semiHidden/>
    <w:unhideWhenUsed/>
    <w:qFormat/>
    <w:rsid w:val="00517205"/>
    <w:pPr>
      <w:keepNext/>
      <w:numPr>
        <w:ilvl w:val="3"/>
        <w:numId w:val="20"/>
      </w:numPr>
      <w:outlineLvl w:val="3"/>
    </w:pPr>
    <w:rPr>
      <w:rFonts w:eastAsiaTheme="majorEastAsia"/>
      <w:bCs/>
      <w:iCs/>
    </w:rPr>
  </w:style>
  <w:style w:type="paragraph" w:styleId="Heading5">
    <w:name w:val="heading 5"/>
    <w:basedOn w:val="Normal"/>
    <w:next w:val="Text2"/>
    <w:link w:val="Heading5Char"/>
    <w:uiPriority w:val="9"/>
    <w:semiHidden/>
    <w:unhideWhenUsed/>
    <w:qFormat/>
    <w:rsid w:val="00517205"/>
    <w:pPr>
      <w:keepNext/>
      <w:numPr>
        <w:ilvl w:val="4"/>
        <w:numId w:val="20"/>
      </w:numPr>
      <w:outlineLvl w:val="4"/>
    </w:pPr>
    <w:rPr>
      <w:rFonts w:eastAsiaTheme="majorEastAsia"/>
    </w:rPr>
  </w:style>
  <w:style w:type="paragraph" w:styleId="Heading6">
    <w:name w:val="heading 6"/>
    <w:basedOn w:val="Normal"/>
    <w:next w:val="Text2"/>
    <w:link w:val="Heading6Char"/>
    <w:uiPriority w:val="9"/>
    <w:semiHidden/>
    <w:unhideWhenUsed/>
    <w:qFormat/>
    <w:rsid w:val="00517205"/>
    <w:pPr>
      <w:keepNext/>
      <w:numPr>
        <w:ilvl w:val="5"/>
        <w:numId w:val="20"/>
      </w:numPr>
      <w:outlineLvl w:val="5"/>
    </w:pPr>
    <w:rPr>
      <w:rFonts w:eastAsiaTheme="majorEastAsia"/>
      <w:iCs/>
    </w:rPr>
  </w:style>
  <w:style w:type="paragraph" w:styleId="Heading7">
    <w:name w:val="heading 7"/>
    <w:basedOn w:val="Normal"/>
    <w:next w:val="Text2"/>
    <w:link w:val="Heading7Char"/>
    <w:uiPriority w:val="9"/>
    <w:semiHidden/>
    <w:unhideWhenUsed/>
    <w:qFormat/>
    <w:rsid w:val="00517205"/>
    <w:pPr>
      <w:keepNext/>
      <w:numPr>
        <w:ilvl w:val="6"/>
        <w:numId w:val="2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9B2E8C"/>
    <w:pPr>
      <w:numPr>
        <w:numId w:val="1"/>
      </w:numPr>
      <w:contextualSpacing/>
    </w:pPr>
  </w:style>
  <w:style w:type="paragraph" w:styleId="ListBullet2">
    <w:name w:val="List Bullet 2"/>
    <w:basedOn w:val="Normal"/>
    <w:uiPriority w:val="99"/>
    <w:semiHidden/>
    <w:unhideWhenUsed/>
    <w:rsid w:val="009B2E8C"/>
    <w:pPr>
      <w:numPr>
        <w:numId w:val="2"/>
      </w:numPr>
      <w:contextualSpacing/>
    </w:pPr>
  </w:style>
  <w:style w:type="paragraph" w:styleId="ListBullet3">
    <w:name w:val="List Bullet 3"/>
    <w:basedOn w:val="Normal"/>
    <w:uiPriority w:val="99"/>
    <w:semiHidden/>
    <w:unhideWhenUsed/>
    <w:rsid w:val="009B2E8C"/>
    <w:pPr>
      <w:numPr>
        <w:numId w:val="3"/>
      </w:numPr>
      <w:contextualSpacing/>
    </w:pPr>
  </w:style>
  <w:style w:type="paragraph" w:styleId="ListBullet4">
    <w:name w:val="List Bullet 4"/>
    <w:basedOn w:val="Normal"/>
    <w:uiPriority w:val="99"/>
    <w:semiHidden/>
    <w:unhideWhenUsed/>
    <w:rsid w:val="009B2E8C"/>
    <w:pPr>
      <w:numPr>
        <w:numId w:val="4"/>
      </w:numPr>
      <w:contextualSpacing/>
    </w:pPr>
  </w:style>
  <w:style w:type="paragraph" w:customStyle="1" w:styleId="Briefinglist1">
    <w:name w:val="Briefing list 1"/>
    <w:basedOn w:val="Normal"/>
    <w:qFormat/>
    <w:rsid w:val="00EB39B9"/>
    <w:pPr>
      <w:keepLines/>
      <w:numPr>
        <w:numId w:val="5"/>
      </w:numPr>
      <w:spacing w:before="0"/>
    </w:pPr>
    <w:rPr>
      <w:rFonts w:ascii="Arial" w:eastAsia="Times New Roman" w:hAnsi="Arial" w:cs="Arial"/>
      <w:sz w:val="22"/>
      <w:szCs w:val="24"/>
    </w:rPr>
  </w:style>
  <w:style w:type="paragraph" w:styleId="ListParagraph">
    <w:name w:val="List Paragraph"/>
    <w:basedOn w:val="Normal"/>
    <w:uiPriority w:val="34"/>
    <w:qFormat/>
    <w:rsid w:val="00EB39B9"/>
    <w:pPr>
      <w:spacing w:before="0" w:after="0"/>
      <w:ind w:left="720"/>
      <w:jc w:val="left"/>
    </w:pPr>
    <w:rPr>
      <w:rFonts w:ascii="Calibri" w:eastAsia="Times New Roman" w:hAnsi="Calibri"/>
      <w:sz w:val="22"/>
    </w:rPr>
  </w:style>
  <w:style w:type="paragraph" w:styleId="ListNumber3">
    <w:name w:val="List Number 3"/>
    <w:basedOn w:val="Normal"/>
    <w:unhideWhenUsed/>
    <w:rsid w:val="008E154E"/>
    <w:pPr>
      <w:numPr>
        <w:numId w:val="6"/>
      </w:numPr>
      <w:contextualSpacing/>
    </w:pPr>
  </w:style>
  <w:style w:type="character" w:styleId="Strong">
    <w:name w:val="Strong"/>
    <w:basedOn w:val="DefaultParagraphFont"/>
    <w:uiPriority w:val="22"/>
    <w:qFormat/>
    <w:rsid w:val="00820D9D"/>
    <w:rPr>
      <w:b/>
      <w:bCs/>
    </w:rPr>
  </w:style>
  <w:style w:type="paragraph" w:styleId="EndnoteText">
    <w:name w:val="endnote text"/>
    <w:basedOn w:val="Normal"/>
    <w:link w:val="EndnoteTextChar"/>
    <w:uiPriority w:val="99"/>
    <w:semiHidden/>
    <w:unhideWhenUsed/>
    <w:rsid w:val="004454C9"/>
    <w:pPr>
      <w:spacing w:before="0" w:after="0"/>
    </w:pPr>
    <w:rPr>
      <w:sz w:val="20"/>
      <w:szCs w:val="20"/>
    </w:rPr>
  </w:style>
  <w:style w:type="character" w:customStyle="1" w:styleId="EndnoteTextChar">
    <w:name w:val="Endnote Text Char"/>
    <w:basedOn w:val="DefaultParagraphFont"/>
    <w:link w:val="EndnoteText"/>
    <w:uiPriority w:val="99"/>
    <w:semiHidden/>
    <w:rsid w:val="004454C9"/>
    <w:rPr>
      <w:rFonts w:ascii="Times New Roman" w:hAnsi="Times New Roman" w:cs="Times New Roman"/>
      <w:sz w:val="20"/>
      <w:szCs w:val="20"/>
      <w:lang w:val="en-GB"/>
    </w:rPr>
  </w:style>
  <w:style w:type="character" w:styleId="EndnoteReference">
    <w:name w:val="endnote reference"/>
    <w:basedOn w:val="DefaultParagraphFont"/>
    <w:uiPriority w:val="99"/>
    <w:semiHidden/>
    <w:unhideWhenUsed/>
    <w:rsid w:val="004454C9"/>
    <w:rPr>
      <w:vertAlign w:val="superscript"/>
    </w:rPr>
  </w:style>
  <w:style w:type="character" w:styleId="Hyperlink">
    <w:name w:val="Hyperlink"/>
    <w:basedOn w:val="DefaultParagraphFont"/>
    <w:uiPriority w:val="99"/>
    <w:unhideWhenUsed/>
    <w:rsid w:val="004454C9"/>
    <w:rPr>
      <w:color w:val="0000FF" w:themeColor="hyperlink"/>
      <w:u w:val="single"/>
    </w:rPr>
  </w:style>
  <w:style w:type="paragraph" w:customStyle="1" w:styleId="Titredumodificateur">
    <w:name w:val="Titre du modificateur"/>
    <w:basedOn w:val="Normal"/>
    <w:next w:val="Normal"/>
    <w:uiPriority w:val="99"/>
    <w:rsid w:val="008C1B7A"/>
    <w:pPr>
      <w:autoSpaceDE w:val="0"/>
      <w:autoSpaceDN w:val="0"/>
      <w:spacing w:before="240" w:after="60" w:line="360" w:lineRule="auto"/>
      <w:jc w:val="left"/>
    </w:pPr>
    <w:rPr>
      <w:rFonts w:eastAsia="Times New Roman"/>
      <w:b/>
      <w:bCs/>
      <w:szCs w:val="24"/>
      <w:lang w:val="en-US" w:eastAsia="en-GB"/>
    </w:rPr>
  </w:style>
  <w:style w:type="character" w:styleId="CommentReference">
    <w:name w:val="annotation reference"/>
    <w:basedOn w:val="DefaultParagraphFont"/>
    <w:uiPriority w:val="99"/>
    <w:semiHidden/>
    <w:unhideWhenUsed/>
    <w:rsid w:val="006506BA"/>
    <w:rPr>
      <w:sz w:val="16"/>
      <w:szCs w:val="16"/>
    </w:rPr>
  </w:style>
  <w:style w:type="paragraph" w:styleId="CommentText">
    <w:name w:val="annotation text"/>
    <w:basedOn w:val="Normal"/>
    <w:link w:val="CommentTextChar"/>
    <w:uiPriority w:val="99"/>
    <w:semiHidden/>
    <w:unhideWhenUsed/>
    <w:rsid w:val="006506BA"/>
    <w:rPr>
      <w:sz w:val="20"/>
      <w:szCs w:val="20"/>
    </w:rPr>
  </w:style>
  <w:style w:type="character" w:customStyle="1" w:styleId="CommentTextChar">
    <w:name w:val="Comment Text Char"/>
    <w:basedOn w:val="DefaultParagraphFont"/>
    <w:link w:val="CommentText"/>
    <w:uiPriority w:val="99"/>
    <w:semiHidden/>
    <w:rsid w:val="006506BA"/>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506BA"/>
    <w:rPr>
      <w:b/>
      <w:bCs/>
    </w:rPr>
  </w:style>
  <w:style w:type="character" w:customStyle="1" w:styleId="CommentSubjectChar">
    <w:name w:val="Comment Subject Char"/>
    <w:basedOn w:val="CommentTextChar"/>
    <w:link w:val="CommentSubject"/>
    <w:uiPriority w:val="99"/>
    <w:semiHidden/>
    <w:rsid w:val="006506BA"/>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6506BA"/>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06BA"/>
    <w:rPr>
      <w:rFonts w:ascii="Segoe UI" w:hAnsi="Segoe UI" w:cs="Segoe UI"/>
      <w:sz w:val="18"/>
      <w:szCs w:val="18"/>
      <w:lang w:val="en-GB"/>
    </w:rPr>
  </w:style>
  <w:style w:type="paragraph" w:customStyle="1" w:styleId="Bnorm">
    <w:name w:val="Bnorm"/>
    <w:basedOn w:val="Point0"/>
    <w:rsid w:val="003A3D22"/>
    <w:pPr>
      <w:ind w:left="0" w:firstLine="0"/>
    </w:pPr>
    <w:rPr>
      <w:b/>
      <w:caps/>
      <w:noProof/>
      <w:u w:val="single"/>
    </w:rPr>
  </w:style>
  <w:style w:type="paragraph" w:styleId="Caption">
    <w:name w:val="caption"/>
    <w:basedOn w:val="Normal"/>
    <w:next w:val="Normal"/>
    <w:uiPriority w:val="35"/>
    <w:semiHidden/>
    <w:unhideWhenUsed/>
    <w:qFormat/>
    <w:rsid w:val="00A62FE5"/>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A62FE5"/>
    <w:pPr>
      <w:spacing w:after="0"/>
    </w:pPr>
  </w:style>
  <w:style w:type="paragraph" w:styleId="ListNumber">
    <w:name w:val="List Number"/>
    <w:basedOn w:val="Normal"/>
    <w:uiPriority w:val="99"/>
    <w:semiHidden/>
    <w:unhideWhenUsed/>
    <w:rsid w:val="00A62FE5"/>
    <w:pPr>
      <w:numPr>
        <w:numId w:val="10"/>
      </w:numPr>
      <w:contextualSpacing/>
    </w:pPr>
  </w:style>
  <w:style w:type="paragraph" w:styleId="ListNumber2">
    <w:name w:val="List Number 2"/>
    <w:basedOn w:val="Normal"/>
    <w:uiPriority w:val="99"/>
    <w:semiHidden/>
    <w:unhideWhenUsed/>
    <w:rsid w:val="00A62FE5"/>
    <w:pPr>
      <w:numPr>
        <w:numId w:val="11"/>
      </w:numPr>
      <w:contextualSpacing/>
    </w:pPr>
  </w:style>
  <w:style w:type="paragraph" w:styleId="ListNumber4">
    <w:name w:val="List Number 4"/>
    <w:basedOn w:val="Normal"/>
    <w:uiPriority w:val="99"/>
    <w:semiHidden/>
    <w:unhideWhenUsed/>
    <w:rsid w:val="00A62FE5"/>
    <w:pPr>
      <w:numPr>
        <w:numId w:val="12"/>
      </w:numPr>
      <w:contextualSpacing/>
    </w:pPr>
  </w:style>
  <w:style w:type="character" w:customStyle="1" w:styleId="UnresolvedMention">
    <w:name w:val="Unresolved Mention"/>
    <w:basedOn w:val="DefaultParagraphFont"/>
    <w:uiPriority w:val="99"/>
    <w:semiHidden/>
    <w:unhideWhenUsed/>
    <w:rsid w:val="00BC730D"/>
    <w:rPr>
      <w:color w:val="605E5C"/>
      <w:shd w:val="clear" w:color="auto" w:fill="E1DFDD"/>
    </w:rPr>
  </w:style>
  <w:style w:type="paragraph" w:styleId="Header">
    <w:name w:val="header"/>
    <w:basedOn w:val="Normal"/>
    <w:link w:val="HeaderChar"/>
    <w:uiPriority w:val="99"/>
    <w:unhideWhenUsed/>
    <w:rsid w:val="008F0B17"/>
    <w:pPr>
      <w:tabs>
        <w:tab w:val="center" w:pos="4535"/>
        <w:tab w:val="right" w:pos="9071"/>
      </w:tabs>
      <w:spacing w:before="0"/>
    </w:pPr>
  </w:style>
  <w:style w:type="character" w:customStyle="1" w:styleId="HeaderChar">
    <w:name w:val="Header Char"/>
    <w:basedOn w:val="DefaultParagraphFont"/>
    <w:link w:val="Header"/>
    <w:uiPriority w:val="99"/>
    <w:rsid w:val="008F0B17"/>
    <w:rPr>
      <w:rFonts w:ascii="Times New Roman" w:hAnsi="Times New Roman" w:cs="Times New Roman"/>
      <w:sz w:val="24"/>
      <w:lang w:val="en-GB"/>
    </w:rPr>
  </w:style>
  <w:style w:type="paragraph" w:styleId="Footer">
    <w:name w:val="footer"/>
    <w:basedOn w:val="Normal"/>
    <w:link w:val="FooterChar"/>
    <w:uiPriority w:val="99"/>
    <w:unhideWhenUsed/>
    <w:rsid w:val="008F0B17"/>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8F0B17"/>
    <w:rPr>
      <w:rFonts w:ascii="Times New Roman" w:hAnsi="Times New Roman" w:cs="Times New Roman"/>
      <w:sz w:val="24"/>
      <w:lang w:val="en-GB"/>
    </w:rPr>
  </w:style>
  <w:style w:type="paragraph" w:styleId="FootnoteText">
    <w:name w:val="footnote text"/>
    <w:basedOn w:val="Normal"/>
    <w:link w:val="FootnoteTextChar"/>
    <w:uiPriority w:val="99"/>
    <w:semiHidden/>
    <w:unhideWhenUsed/>
    <w:rsid w:val="00517205"/>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sid w:val="00517205"/>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sid w:val="00517205"/>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sid w:val="00517205"/>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sid w:val="00517205"/>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sid w:val="00517205"/>
    <w:rPr>
      <w:rFonts w:ascii="Times New Roman" w:eastAsiaTheme="majorEastAsia" w:hAnsi="Times New Roman" w:cs="Times New Roman"/>
      <w:bCs/>
      <w:iCs/>
      <w:sz w:val="24"/>
      <w:lang w:val="en-GB"/>
    </w:rPr>
  </w:style>
  <w:style w:type="character" w:customStyle="1" w:styleId="Heading5Char">
    <w:name w:val="Heading 5 Char"/>
    <w:basedOn w:val="DefaultParagraphFont"/>
    <w:link w:val="Heading5"/>
    <w:uiPriority w:val="9"/>
    <w:semiHidden/>
    <w:rsid w:val="00517205"/>
    <w:rPr>
      <w:rFonts w:ascii="Times New Roman" w:eastAsiaTheme="majorEastAsia" w:hAnsi="Times New Roman" w:cs="Times New Roman"/>
      <w:sz w:val="24"/>
      <w:lang w:val="en-GB"/>
    </w:rPr>
  </w:style>
  <w:style w:type="character" w:customStyle="1" w:styleId="Heading6Char">
    <w:name w:val="Heading 6 Char"/>
    <w:basedOn w:val="DefaultParagraphFont"/>
    <w:link w:val="Heading6"/>
    <w:uiPriority w:val="9"/>
    <w:semiHidden/>
    <w:rsid w:val="00517205"/>
    <w:rPr>
      <w:rFonts w:ascii="Times New Roman" w:eastAsiaTheme="majorEastAsia" w:hAnsi="Times New Roman" w:cs="Times New Roman"/>
      <w:iCs/>
      <w:sz w:val="24"/>
      <w:lang w:val="en-GB"/>
    </w:rPr>
  </w:style>
  <w:style w:type="character" w:customStyle="1" w:styleId="Heading7Char">
    <w:name w:val="Heading 7 Char"/>
    <w:basedOn w:val="DefaultParagraphFont"/>
    <w:link w:val="Heading7"/>
    <w:uiPriority w:val="9"/>
    <w:semiHidden/>
    <w:rsid w:val="00517205"/>
    <w:rPr>
      <w:rFonts w:ascii="Times New Roman" w:eastAsiaTheme="majorEastAsia" w:hAnsi="Times New Roman" w:cs="Times New Roman"/>
      <w:iCs/>
      <w:sz w:val="24"/>
      <w:lang w:val="en-GB"/>
    </w:rPr>
  </w:style>
  <w:style w:type="paragraph" w:styleId="TOCHeading">
    <w:name w:val="TOC Heading"/>
    <w:basedOn w:val="Normal"/>
    <w:next w:val="Normal"/>
    <w:uiPriority w:val="39"/>
    <w:semiHidden/>
    <w:unhideWhenUsed/>
    <w:qFormat/>
    <w:rsid w:val="00517205"/>
    <w:pPr>
      <w:spacing w:after="240"/>
      <w:jc w:val="center"/>
    </w:pPr>
    <w:rPr>
      <w:b/>
      <w:sz w:val="28"/>
    </w:rPr>
  </w:style>
  <w:style w:type="paragraph" w:styleId="TOC1">
    <w:name w:val="toc 1"/>
    <w:basedOn w:val="Normal"/>
    <w:next w:val="Normal"/>
    <w:uiPriority w:val="39"/>
    <w:semiHidden/>
    <w:unhideWhenUsed/>
    <w:rsid w:val="00517205"/>
    <w:pPr>
      <w:tabs>
        <w:tab w:val="right" w:leader="dot" w:pos="9071"/>
      </w:tabs>
      <w:spacing w:before="60"/>
      <w:ind w:left="850" w:hanging="850"/>
      <w:jc w:val="left"/>
    </w:pPr>
  </w:style>
  <w:style w:type="paragraph" w:styleId="TOC2">
    <w:name w:val="toc 2"/>
    <w:basedOn w:val="Normal"/>
    <w:next w:val="Normal"/>
    <w:uiPriority w:val="39"/>
    <w:semiHidden/>
    <w:unhideWhenUsed/>
    <w:rsid w:val="00517205"/>
    <w:pPr>
      <w:tabs>
        <w:tab w:val="right" w:leader="dot" w:pos="9071"/>
      </w:tabs>
      <w:spacing w:before="60"/>
      <w:ind w:left="850" w:hanging="850"/>
      <w:jc w:val="left"/>
    </w:pPr>
  </w:style>
  <w:style w:type="paragraph" w:styleId="TOC3">
    <w:name w:val="toc 3"/>
    <w:basedOn w:val="Normal"/>
    <w:next w:val="Normal"/>
    <w:uiPriority w:val="39"/>
    <w:semiHidden/>
    <w:unhideWhenUsed/>
    <w:rsid w:val="00517205"/>
    <w:pPr>
      <w:tabs>
        <w:tab w:val="right" w:leader="dot" w:pos="9071"/>
      </w:tabs>
      <w:spacing w:before="60"/>
      <w:ind w:left="850" w:hanging="850"/>
      <w:jc w:val="left"/>
    </w:pPr>
  </w:style>
  <w:style w:type="paragraph" w:styleId="TOC4">
    <w:name w:val="toc 4"/>
    <w:basedOn w:val="Normal"/>
    <w:next w:val="Normal"/>
    <w:uiPriority w:val="39"/>
    <w:semiHidden/>
    <w:unhideWhenUsed/>
    <w:rsid w:val="00517205"/>
    <w:pPr>
      <w:tabs>
        <w:tab w:val="right" w:leader="dot" w:pos="9071"/>
      </w:tabs>
      <w:spacing w:before="60"/>
      <w:ind w:left="850" w:hanging="850"/>
      <w:jc w:val="left"/>
    </w:pPr>
  </w:style>
  <w:style w:type="paragraph" w:styleId="TOC5">
    <w:name w:val="toc 5"/>
    <w:basedOn w:val="Normal"/>
    <w:next w:val="Normal"/>
    <w:uiPriority w:val="39"/>
    <w:semiHidden/>
    <w:unhideWhenUsed/>
    <w:rsid w:val="00517205"/>
    <w:pPr>
      <w:tabs>
        <w:tab w:val="right" w:leader="dot" w:pos="9071"/>
      </w:tabs>
      <w:spacing w:before="300"/>
      <w:jc w:val="left"/>
    </w:pPr>
  </w:style>
  <w:style w:type="paragraph" w:styleId="TOC6">
    <w:name w:val="toc 6"/>
    <w:basedOn w:val="Normal"/>
    <w:next w:val="Normal"/>
    <w:uiPriority w:val="39"/>
    <w:semiHidden/>
    <w:unhideWhenUsed/>
    <w:rsid w:val="00517205"/>
    <w:pPr>
      <w:tabs>
        <w:tab w:val="right" w:leader="dot" w:pos="9071"/>
      </w:tabs>
      <w:spacing w:before="240"/>
      <w:jc w:val="left"/>
    </w:pPr>
  </w:style>
  <w:style w:type="paragraph" w:styleId="TOC7">
    <w:name w:val="toc 7"/>
    <w:basedOn w:val="Normal"/>
    <w:next w:val="Normal"/>
    <w:uiPriority w:val="39"/>
    <w:semiHidden/>
    <w:unhideWhenUsed/>
    <w:rsid w:val="00517205"/>
    <w:pPr>
      <w:tabs>
        <w:tab w:val="right" w:leader="dot" w:pos="9071"/>
      </w:tabs>
      <w:spacing w:before="180"/>
      <w:jc w:val="left"/>
    </w:pPr>
  </w:style>
  <w:style w:type="paragraph" w:styleId="TOC8">
    <w:name w:val="toc 8"/>
    <w:basedOn w:val="Normal"/>
    <w:next w:val="Normal"/>
    <w:uiPriority w:val="39"/>
    <w:semiHidden/>
    <w:unhideWhenUsed/>
    <w:rsid w:val="00517205"/>
    <w:pPr>
      <w:tabs>
        <w:tab w:val="right" w:leader="dot" w:pos="9071"/>
      </w:tabs>
      <w:jc w:val="left"/>
    </w:pPr>
  </w:style>
  <w:style w:type="paragraph" w:styleId="TOC9">
    <w:name w:val="toc 9"/>
    <w:basedOn w:val="Normal"/>
    <w:next w:val="Normal"/>
    <w:uiPriority w:val="39"/>
    <w:semiHidden/>
    <w:unhideWhenUsed/>
    <w:rsid w:val="00517205"/>
    <w:pPr>
      <w:tabs>
        <w:tab w:val="right" w:leader="dot" w:pos="9071"/>
      </w:tabs>
      <w:ind w:left="1417" w:hanging="1417"/>
      <w:jc w:val="left"/>
    </w:pPr>
  </w:style>
  <w:style w:type="paragraph" w:customStyle="1" w:styleId="HeaderLandscape">
    <w:name w:val="HeaderLandscape"/>
    <w:basedOn w:val="Normal"/>
    <w:rsid w:val="008F0B17"/>
    <w:pPr>
      <w:tabs>
        <w:tab w:val="center" w:pos="7285"/>
        <w:tab w:val="right" w:pos="14003"/>
      </w:tabs>
      <w:spacing w:before="0"/>
    </w:pPr>
  </w:style>
  <w:style w:type="paragraph" w:customStyle="1" w:styleId="FooterLandscape">
    <w:name w:val="FooterLandscape"/>
    <w:basedOn w:val="Normal"/>
    <w:rsid w:val="008F0B17"/>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sid w:val="00517205"/>
    <w:rPr>
      <w:shd w:val="clear" w:color="auto" w:fill="auto"/>
      <w:vertAlign w:val="superscript"/>
    </w:rPr>
  </w:style>
  <w:style w:type="paragraph" w:customStyle="1" w:styleId="HeaderSensitivity">
    <w:name w:val="Header Sensitivity"/>
    <w:basedOn w:val="Normal"/>
    <w:rsid w:val="008F0B17"/>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8F0B17"/>
    <w:pPr>
      <w:spacing w:before="0"/>
      <w:jc w:val="right"/>
    </w:pPr>
    <w:rPr>
      <w:sz w:val="28"/>
    </w:rPr>
  </w:style>
  <w:style w:type="paragraph" w:customStyle="1" w:styleId="FooterSensitivity">
    <w:name w:val="Footer Sensitivity"/>
    <w:basedOn w:val="Normal"/>
    <w:rsid w:val="008F0B17"/>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rsid w:val="00517205"/>
    <w:pPr>
      <w:ind w:left="850"/>
    </w:pPr>
  </w:style>
  <w:style w:type="paragraph" w:customStyle="1" w:styleId="Text2">
    <w:name w:val="Text 2"/>
    <w:basedOn w:val="Normal"/>
    <w:rsid w:val="00517205"/>
    <w:pPr>
      <w:ind w:left="1417"/>
    </w:pPr>
  </w:style>
  <w:style w:type="paragraph" w:customStyle="1" w:styleId="Text3">
    <w:name w:val="Text 3"/>
    <w:basedOn w:val="Normal"/>
    <w:rsid w:val="00517205"/>
    <w:pPr>
      <w:ind w:left="1984"/>
    </w:pPr>
  </w:style>
  <w:style w:type="paragraph" w:customStyle="1" w:styleId="Text4">
    <w:name w:val="Text 4"/>
    <w:basedOn w:val="Normal"/>
    <w:rsid w:val="00517205"/>
    <w:pPr>
      <w:ind w:left="2551"/>
    </w:pPr>
  </w:style>
  <w:style w:type="paragraph" w:customStyle="1" w:styleId="Text5">
    <w:name w:val="Text 5"/>
    <w:basedOn w:val="Normal"/>
    <w:rsid w:val="00517205"/>
    <w:pPr>
      <w:ind w:left="3118"/>
    </w:pPr>
  </w:style>
  <w:style w:type="paragraph" w:customStyle="1" w:styleId="Text6">
    <w:name w:val="Text 6"/>
    <w:basedOn w:val="Normal"/>
    <w:rsid w:val="00517205"/>
    <w:pPr>
      <w:ind w:left="3685"/>
    </w:pPr>
  </w:style>
  <w:style w:type="paragraph" w:customStyle="1" w:styleId="NormalCentered">
    <w:name w:val="Normal Centered"/>
    <w:basedOn w:val="Normal"/>
    <w:rsid w:val="00517205"/>
    <w:pPr>
      <w:jc w:val="center"/>
    </w:pPr>
  </w:style>
  <w:style w:type="paragraph" w:customStyle="1" w:styleId="NormalLeft">
    <w:name w:val="Normal Left"/>
    <w:basedOn w:val="Normal"/>
    <w:rsid w:val="00517205"/>
    <w:pPr>
      <w:jc w:val="left"/>
    </w:pPr>
  </w:style>
  <w:style w:type="paragraph" w:customStyle="1" w:styleId="NormalRight">
    <w:name w:val="Normal Right"/>
    <w:basedOn w:val="Normal"/>
    <w:rsid w:val="00517205"/>
    <w:pPr>
      <w:jc w:val="right"/>
    </w:pPr>
  </w:style>
  <w:style w:type="paragraph" w:customStyle="1" w:styleId="QuotedText">
    <w:name w:val="Quoted Text"/>
    <w:basedOn w:val="Normal"/>
    <w:rsid w:val="00517205"/>
    <w:pPr>
      <w:ind w:left="1417"/>
    </w:pPr>
  </w:style>
  <w:style w:type="paragraph" w:customStyle="1" w:styleId="Point0">
    <w:name w:val="Point 0"/>
    <w:basedOn w:val="Normal"/>
    <w:rsid w:val="00517205"/>
    <w:pPr>
      <w:ind w:left="850" w:hanging="850"/>
    </w:pPr>
  </w:style>
  <w:style w:type="paragraph" w:customStyle="1" w:styleId="Point1">
    <w:name w:val="Point 1"/>
    <w:basedOn w:val="Normal"/>
    <w:rsid w:val="00517205"/>
    <w:pPr>
      <w:ind w:left="1417" w:hanging="567"/>
    </w:pPr>
  </w:style>
  <w:style w:type="paragraph" w:customStyle="1" w:styleId="Point2">
    <w:name w:val="Point 2"/>
    <w:basedOn w:val="Normal"/>
    <w:rsid w:val="00517205"/>
    <w:pPr>
      <w:ind w:left="1984" w:hanging="567"/>
    </w:pPr>
  </w:style>
  <w:style w:type="paragraph" w:customStyle="1" w:styleId="Point3">
    <w:name w:val="Point 3"/>
    <w:basedOn w:val="Normal"/>
    <w:rsid w:val="00517205"/>
    <w:pPr>
      <w:ind w:left="2551" w:hanging="567"/>
    </w:pPr>
  </w:style>
  <w:style w:type="paragraph" w:customStyle="1" w:styleId="Point4">
    <w:name w:val="Point 4"/>
    <w:basedOn w:val="Normal"/>
    <w:rsid w:val="00517205"/>
    <w:pPr>
      <w:ind w:left="3118" w:hanging="567"/>
    </w:pPr>
  </w:style>
  <w:style w:type="paragraph" w:customStyle="1" w:styleId="Point5">
    <w:name w:val="Point 5"/>
    <w:basedOn w:val="Normal"/>
    <w:rsid w:val="00517205"/>
    <w:pPr>
      <w:ind w:left="3685" w:hanging="567"/>
    </w:pPr>
  </w:style>
  <w:style w:type="paragraph" w:customStyle="1" w:styleId="Tiret0">
    <w:name w:val="Tiret 0"/>
    <w:basedOn w:val="Point0"/>
    <w:rsid w:val="00517205"/>
    <w:pPr>
      <w:numPr>
        <w:numId w:val="13"/>
      </w:numPr>
    </w:pPr>
  </w:style>
  <w:style w:type="paragraph" w:customStyle="1" w:styleId="Tiret1">
    <w:name w:val="Tiret 1"/>
    <w:basedOn w:val="Point1"/>
    <w:rsid w:val="00517205"/>
    <w:pPr>
      <w:numPr>
        <w:numId w:val="14"/>
      </w:numPr>
    </w:pPr>
  </w:style>
  <w:style w:type="paragraph" w:customStyle="1" w:styleId="Tiret2">
    <w:name w:val="Tiret 2"/>
    <w:basedOn w:val="Point2"/>
    <w:rsid w:val="00517205"/>
    <w:pPr>
      <w:numPr>
        <w:numId w:val="15"/>
      </w:numPr>
    </w:pPr>
  </w:style>
  <w:style w:type="paragraph" w:customStyle="1" w:styleId="Tiret3">
    <w:name w:val="Tiret 3"/>
    <w:basedOn w:val="Point3"/>
    <w:rsid w:val="00517205"/>
    <w:pPr>
      <w:numPr>
        <w:numId w:val="16"/>
      </w:numPr>
    </w:pPr>
  </w:style>
  <w:style w:type="paragraph" w:customStyle="1" w:styleId="Tiret4">
    <w:name w:val="Tiret 4"/>
    <w:basedOn w:val="Point4"/>
    <w:rsid w:val="00517205"/>
    <w:pPr>
      <w:numPr>
        <w:numId w:val="17"/>
      </w:numPr>
    </w:pPr>
  </w:style>
  <w:style w:type="paragraph" w:customStyle="1" w:styleId="Tiret5">
    <w:name w:val="Tiret 5"/>
    <w:basedOn w:val="Point5"/>
    <w:rsid w:val="00517205"/>
    <w:pPr>
      <w:numPr>
        <w:numId w:val="18"/>
      </w:numPr>
    </w:pPr>
  </w:style>
  <w:style w:type="paragraph" w:customStyle="1" w:styleId="PointDouble0">
    <w:name w:val="PointDouble 0"/>
    <w:basedOn w:val="Normal"/>
    <w:rsid w:val="00517205"/>
    <w:pPr>
      <w:tabs>
        <w:tab w:val="left" w:pos="850"/>
      </w:tabs>
      <w:ind w:left="1417" w:hanging="1417"/>
    </w:pPr>
  </w:style>
  <w:style w:type="paragraph" w:customStyle="1" w:styleId="PointDouble1">
    <w:name w:val="PointDouble 1"/>
    <w:basedOn w:val="Normal"/>
    <w:rsid w:val="00517205"/>
    <w:pPr>
      <w:tabs>
        <w:tab w:val="left" w:pos="1417"/>
      </w:tabs>
      <w:ind w:left="1984" w:hanging="1134"/>
    </w:pPr>
  </w:style>
  <w:style w:type="paragraph" w:customStyle="1" w:styleId="PointDouble2">
    <w:name w:val="PointDouble 2"/>
    <w:basedOn w:val="Normal"/>
    <w:rsid w:val="00517205"/>
    <w:pPr>
      <w:tabs>
        <w:tab w:val="left" w:pos="1984"/>
      </w:tabs>
      <w:ind w:left="2551" w:hanging="1134"/>
    </w:pPr>
  </w:style>
  <w:style w:type="paragraph" w:customStyle="1" w:styleId="PointDouble3">
    <w:name w:val="PointDouble 3"/>
    <w:basedOn w:val="Normal"/>
    <w:rsid w:val="00517205"/>
    <w:pPr>
      <w:tabs>
        <w:tab w:val="left" w:pos="2551"/>
      </w:tabs>
      <w:ind w:left="3118" w:hanging="1134"/>
    </w:pPr>
  </w:style>
  <w:style w:type="paragraph" w:customStyle="1" w:styleId="PointDouble4">
    <w:name w:val="PointDouble 4"/>
    <w:basedOn w:val="Normal"/>
    <w:rsid w:val="00517205"/>
    <w:pPr>
      <w:tabs>
        <w:tab w:val="left" w:pos="3118"/>
      </w:tabs>
      <w:ind w:left="3685" w:hanging="1134"/>
    </w:pPr>
  </w:style>
  <w:style w:type="paragraph" w:customStyle="1" w:styleId="PointTriple0">
    <w:name w:val="PointTriple 0"/>
    <w:basedOn w:val="Normal"/>
    <w:rsid w:val="00517205"/>
    <w:pPr>
      <w:tabs>
        <w:tab w:val="left" w:pos="850"/>
        <w:tab w:val="left" w:pos="1417"/>
      </w:tabs>
      <w:ind w:left="1984" w:hanging="1984"/>
    </w:pPr>
  </w:style>
  <w:style w:type="paragraph" w:customStyle="1" w:styleId="PointTriple1">
    <w:name w:val="PointTriple 1"/>
    <w:basedOn w:val="Normal"/>
    <w:rsid w:val="00517205"/>
    <w:pPr>
      <w:tabs>
        <w:tab w:val="left" w:pos="1417"/>
        <w:tab w:val="left" w:pos="1984"/>
      </w:tabs>
      <w:ind w:left="2551" w:hanging="1701"/>
    </w:pPr>
  </w:style>
  <w:style w:type="paragraph" w:customStyle="1" w:styleId="PointTriple2">
    <w:name w:val="PointTriple 2"/>
    <w:basedOn w:val="Normal"/>
    <w:rsid w:val="00517205"/>
    <w:pPr>
      <w:tabs>
        <w:tab w:val="left" w:pos="1984"/>
        <w:tab w:val="left" w:pos="2551"/>
      </w:tabs>
      <w:ind w:left="3118" w:hanging="1701"/>
    </w:pPr>
  </w:style>
  <w:style w:type="paragraph" w:customStyle="1" w:styleId="PointTriple3">
    <w:name w:val="PointTriple 3"/>
    <w:basedOn w:val="Normal"/>
    <w:rsid w:val="00517205"/>
    <w:pPr>
      <w:tabs>
        <w:tab w:val="left" w:pos="2551"/>
        <w:tab w:val="left" w:pos="3118"/>
      </w:tabs>
      <w:ind w:left="3685" w:hanging="1701"/>
    </w:pPr>
  </w:style>
  <w:style w:type="paragraph" w:customStyle="1" w:styleId="PointTriple4">
    <w:name w:val="PointTriple 4"/>
    <w:basedOn w:val="Normal"/>
    <w:rsid w:val="00517205"/>
    <w:pPr>
      <w:tabs>
        <w:tab w:val="left" w:pos="3118"/>
        <w:tab w:val="left" w:pos="3685"/>
      </w:tabs>
      <w:ind w:left="4252" w:hanging="1701"/>
    </w:pPr>
  </w:style>
  <w:style w:type="paragraph" w:customStyle="1" w:styleId="NumPar1">
    <w:name w:val="NumPar 1"/>
    <w:basedOn w:val="Normal"/>
    <w:next w:val="Text1"/>
    <w:rsid w:val="00517205"/>
    <w:pPr>
      <w:numPr>
        <w:numId w:val="19"/>
      </w:numPr>
    </w:pPr>
  </w:style>
  <w:style w:type="paragraph" w:customStyle="1" w:styleId="NumPar2">
    <w:name w:val="NumPar 2"/>
    <w:basedOn w:val="Normal"/>
    <w:next w:val="Text1"/>
    <w:rsid w:val="00517205"/>
    <w:pPr>
      <w:numPr>
        <w:ilvl w:val="1"/>
        <w:numId w:val="19"/>
      </w:numPr>
    </w:pPr>
  </w:style>
  <w:style w:type="paragraph" w:customStyle="1" w:styleId="NumPar3">
    <w:name w:val="NumPar 3"/>
    <w:basedOn w:val="Normal"/>
    <w:next w:val="Text1"/>
    <w:rsid w:val="00517205"/>
    <w:pPr>
      <w:numPr>
        <w:ilvl w:val="2"/>
        <w:numId w:val="19"/>
      </w:numPr>
    </w:pPr>
  </w:style>
  <w:style w:type="paragraph" w:customStyle="1" w:styleId="NumPar4">
    <w:name w:val="NumPar 4"/>
    <w:basedOn w:val="Normal"/>
    <w:next w:val="Text1"/>
    <w:rsid w:val="00517205"/>
    <w:pPr>
      <w:numPr>
        <w:ilvl w:val="3"/>
        <w:numId w:val="19"/>
      </w:numPr>
    </w:pPr>
  </w:style>
  <w:style w:type="paragraph" w:customStyle="1" w:styleId="NumPar5">
    <w:name w:val="NumPar 5"/>
    <w:basedOn w:val="Normal"/>
    <w:next w:val="Text2"/>
    <w:rsid w:val="00517205"/>
    <w:pPr>
      <w:numPr>
        <w:ilvl w:val="4"/>
        <w:numId w:val="19"/>
      </w:numPr>
    </w:pPr>
  </w:style>
  <w:style w:type="paragraph" w:customStyle="1" w:styleId="NumPar6">
    <w:name w:val="NumPar 6"/>
    <w:basedOn w:val="Normal"/>
    <w:next w:val="Text2"/>
    <w:rsid w:val="00517205"/>
    <w:pPr>
      <w:numPr>
        <w:ilvl w:val="5"/>
        <w:numId w:val="19"/>
      </w:numPr>
    </w:pPr>
  </w:style>
  <w:style w:type="paragraph" w:customStyle="1" w:styleId="NumPar7">
    <w:name w:val="NumPar 7"/>
    <w:basedOn w:val="Normal"/>
    <w:next w:val="Text2"/>
    <w:rsid w:val="00517205"/>
    <w:pPr>
      <w:numPr>
        <w:ilvl w:val="6"/>
        <w:numId w:val="19"/>
      </w:numPr>
    </w:pPr>
  </w:style>
  <w:style w:type="paragraph" w:customStyle="1" w:styleId="ManualNumPar1">
    <w:name w:val="Manual NumPar 1"/>
    <w:basedOn w:val="Normal"/>
    <w:next w:val="Text1"/>
    <w:rsid w:val="00517205"/>
    <w:pPr>
      <w:ind w:left="850" w:hanging="850"/>
    </w:pPr>
  </w:style>
  <w:style w:type="paragraph" w:customStyle="1" w:styleId="ManualNumPar2">
    <w:name w:val="Manual NumPar 2"/>
    <w:basedOn w:val="Normal"/>
    <w:next w:val="Text1"/>
    <w:rsid w:val="00517205"/>
    <w:pPr>
      <w:ind w:left="850" w:hanging="850"/>
    </w:pPr>
  </w:style>
  <w:style w:type="paragraph" w:customStyle="1" w:styleId="ManualNumPar3">
    <w:name w:val="Manual NumPar 3"/>
    <w:basedOn w:val="Normal"/>
    <w:next w:val="Text1"/>
    <w:rsid w:val="00517205"/>
    <w:pPr>
      <w:ind w:left="850" w:hanging="850"/>
    </w:pPr>
  </w:style>
  <w:style w:type="paragraph" w:customStyle="1" w:styleId="ManualNumPar4">
    <w:name w:val="Manual NumPar 4"/>
    <w:basedOn w:val="Normal"/>
    <w:next w:val="Text1"/>
    <w:rsid w:val="00517205"/>
    <w:pPr>
      <w:ind w:left="850" w:hanging="850"/>
    </w:pPr>
  </w:style>
  <w:style w:type="paragraph" w:customStyle="1" w:styleId="ManualNumPar5">
    <w:name w:val="Manual NumPar 5"/>
    <w:basedOn w:val="Normal"/>
    <w:next w:val="Text2"/>
    <w:rsid w:val="00517205"/>
    <w:pPr>
      <w:ind w:left="1417" w:hanging="1417"/>
    </w:pPr>
  </w:style>
  <w:style w:type="paragraph" w:customStyle="1" w:styleId="ManualNumPar6">
    <w:name w:val="Manual NumPar 6"/>
    <w:basedOn w:val="Normal"/>
    <w:next w:val="Text2"/>
    <w:rsid w:val="00517205"/>
    <w:pPr>
      <w:ind w:left="1417" w:hanging="1417"/>
    </w:pPr>
  </w:style>
  <w:style w:type="paragraph" w:customStyle="1" w:styleId="ManualNumPar7">
    <w:name w:val="Manual NumPar 7"/>
    <w:basedOn w:val="Normal"/>
    <w:next w:val="Text2"/>
    <w:rsid w:val="00517205"/>
    <w:pPr>
      <w:ind w:left="1417" w:hanging="1417"/>
    </w:pPr>
  </w:style>
  <w:style w:type="paragraph" w:customStyle="1" w:styleId="QuotedNumPar">
    <w:name w:val="Quoted NumPar"/>
    <w:basedOn w:val="Normal"/>
    <w:rsid w:val="00517205"/>
    <w:pPr>
      <w:ind w:left="1417" w:hanging="567"/>
    </w:pPr>
  </w:style>
  <w:style w:type="paragraph" w:customStyle="1" w:styleId="ManualHeading1">
    <w:name w:val="Manual Heading 1"/>
    <w:basedOn w:val="Normal"/>
    <w:next w:val="Text1"/>
    <w:rsid w:val="00517205"/>
    <w:pPr>
      <w:keepNext/>
      <w:tabs>
        <w:tab w:val="left" w:pos="850"/>
      </w:tabs>
      <w:spacing w:before="360"/>
      <w:ind w:left="850" w:hanging="850"/>
      <w:outlineLvl w:val="0"/>
    </w:pPr>
    <w:rPr>
      <w:b/>
      <w:smallCaps/>
    </w:rPr>
  </w:style>
  <w:style w:type="paragraph" w:customStyle="1" w:styleId="ManualHeading2">
    <w:name w:val="Manual Heading 2"/>
    <w:basedOn w:val="Normal"/>
    <w:next w:val="Text1"/>
    <w:rsid w:val="00517205"/>
    <w:pPr>
      <w:keepNext/>
      <w:tabs>
        <w:tab w:val="left" w:pos="850"/>
      </w:tabs>
      <w:ind w:left="850" w:hanging="850"/>
      <w:outlineLvl w:val="1"/>
    </w:pPr>
    <w:rPr>
      <w:b/>
    </w:rPr>
  </w:style>
  <w:style w:type="paragraph" w:customStyle="1" w:styleId="ManualHeading3">
    <w:name w:val="Manual Heading 3"/>
    <w:basedOn w:val="Normal"/>
    <w:next w:val="Text1"/>
    <w:rsid w:val="00517205"/>
    <w:pPr>
      <w:keepNext/>
      <w:tabs>
        <w:tab w:val="left" w:pos="850"/>
      </w:tabs>
      <w:ind w:left="850" w:hanging="850"/>
      <w:outlineLvl w:val="2"/>
    </w:pPr>
    <w:rPr>
      <w:i/>
    </w:rPr>
  </w:style>
  <w:style w:type="paragraph" w:customStyle="1" w:styleId="ManualHeading4">
    <w:name w:val="Manual Heading 4"/>
    <w:basedOn w:val="Normal"/>
    <w:next w:val="Text1"/>
    <w:rsid w:val="00517205"/>
    <w:pPr>
      <w:keepNext/>
      <w:tabs>
        <w:tab w:val="left" w:pos="850"/>
      </w:tabs>
      <w:ind w:left="850" w:hanging="850"/>
      <w:outlineLvl w:val="3"/>
    </w:pPr>
  </w:style>
  <w:style w:type="paragraph" w:customStyle="1" w:styleId="ManualHeading5">
    <w:name w:val="Manual Heading 5"/>
    <w:basedOn w:val="Normal"/>
    <w:next w:val="Text2"/>
    <w:rsid w:val="00517205"/>
    <w:pPr>
      <w:keepNext/>
      <w:tabs>
        <w:tab w:val="left" w:pos="1417"/>
      </w:tabs>
      <w:ind w:left="1417" w:hanging="1417"/>
      <w:outlineLvl w:val="4"/>
    </w:pPr>
  </w:style>
  <w:style w:type="paragraph" w:customStyle="1" w:styleId="ManualHeading6">
    <w:name w:val="Manual Heading 6"/>
    <w:basedOn w:val="Normal"/>
    <w:next w:val="Text2"/>
    <w:rsid w:val="00517205"/>
    <w:pPr>
      <w:keepNext/>
      <w:tabs>
        <w:tab w:val="left" w:pos="1417"/>
      </w:tabs>
      <w:ind w:left="1417" w:hanging="1417"/>
      <w:outlineLvl w:val="5"/>
    </w:pPr>
  </w:style>
  <w:style w:type="paragraph" w:customStyle="1" w:styleId="ManualHeading7">
    <w:name w:val="Manual Heading 7"/>
    <w:basedOn w:val="Normal"/>
    <w:next w:val="Text2"/>
    <w:rsid w:val="00517205"/>
    <w:pPr>
      <w:keepNext/>
      <w:tabs>
        <w:tab w:val="left" w:pos="1417"/>
      </w:tabs>
      <w:ind w:left="1417" w:hanging="1417"/>
      <w:outlineLvl w:val="6"/>
    </w:pPr>
  </w:style>
  <w:style w:type="paragraph" w:customStyle="1" w:styleId="ChapterTitle">
    <w:name w:val="ChapterTitle"/>
    <w:basedOn w:val="Normal"/>
    <w:next w:val="Normal"/>
    <w:rsid w:val="00517205"/>
    <w:pPr>
      <w:keepNext/>
      <w:spacing w:after="360"/>
      <w:jc w:val="center"/>
    </w:pPr>
    <w:rPr>
      <w:b/>
      <w:sz w:val="32"/>
    </w:rPr>
  </w:style>
  <w:style w:type="paragraph" w:customStyle="1" w:styleId="PartTitle">
    <w:name w:val="PartTitle"/>
    <w:basedOn w:val="Normal"/>
    <w:next w:val="ChapterTitle"/>
    <w:rsid w:val="00517205"/>
    <w:pPr>
      <w:keepNext/>
      <w:pageBreakBefore/>
      <w:spacing w:after="360"/>
      <w:jc w:val="center"/>
    </w:pPr>
    <w:rPr>
      <w:b/>
      <w:sz w:val="36"/>
    </w:rPr>
  </w:style>
  <w:style w:type="paragraph" w:customStyle="1" w:styleId="SectionTitle">
    <w:name w:val="SectionTitle"/>
    <w:basedOn w:val="Normal"/>
    <w:next w:val="Heading1"/>
    <w:rsid w:val="00517205"/>
    <w:pPr>
      <w:keepNext/>
      <w:spacing w:after="360"/>
      <w:jc w:val="center"/>
    </w:pPr>
    <w:rPr>
      <w:b/>
      <w:smallCaps/>
      <w:sz w:val="28"/>
    </w:rPr>
  </w:style>
  <w:style w:type="paragraph" w:customStyle="1" w:styleId="TableTitle">
    <w:name w:val="Table Title"/>
    <w:basedOn w:val="Normal"/>
    <w:next w:val="Normal"/>
    <w:rsid w:val="00517205"/>
    <w:pPr>
      <w:jc w:val="center"/>
    </w:pPr>
    <w:rPr>
      <w:b/>
    </w:rPr>
  </w:style>
  <w:style w:type="character" w:customStyle="1" w:styleId="Marker">
    <w:name w:val="Marker"/>
    <w:basedOn w:val="DefaultParagraphFont"/>
    <w:rsid w:val="006C646D"/>
    <w:rPr>
      <w:color w:val="0000FF"/>
      <w:shd w:val="clear" w:color="auto" w:fill="auto"/>
    </w:rPr>
  </w:style>
  <w:style w:type="character" w:customStyle="1" w:styleId="Marker1">
    <w:name w:val="Marker1"/>
    <w:basedOn w:val="DefaultParagraphFont"/>
    <w:rsid w:val="00517205"/>
    <w:rPr>
      <w:color w:val="008000"/>
      <w:shd w:val="clear" w:color="auto" w:fill="auto"/>
    </w:rPr>
  </w:style>
  <w:style w:type="character" w:customStyle="1" w:styleId="Marker2">
    <w:name w:val="Marker2"/>
    <w:basedOn w:val="DefaultParagraphFont"/>
    <w:rsid w:val="00517205"/>
    <w:rPr>
      <w:color w:val="FF0000"/>
      <w:shd w:val="clear" w:color="auto" w:fill="auto"/>
    </w:rPr>
  </w:style>
  <w:style w:type="paragraph" w:customStyle="1" w:styleId="Point0number">
    <w:name w:val="Point 0 (number)"/>
    <w:basedOn w:val="Normal"/>
    <w:rsid w:val="00517205"/>
    <w:pPr>
      <w:numPr>
        <w:numId w:val="21"/>
      </w:numPr>
    </w:pPr>
  </w:style>
  <w:style w:type="paragraph" w:customStyle="1" w:styleId="Point1number">
    <w:name w:val="Point 1 (number)"/>
    <w:basedOn w:val="Normal"/>
    <w:rsid w:val="00517205"/>
    <w:pPr>
      <w:numPr>
        <w:ilvl w:val="2"/>
        <w:numId w:val="21"/>
      </w:numPr>
    </w:pPr>
  </w:style>
  <w:style w:type="paragraph" w:customStyle="1" w:styleId="Point2number">
    <w:name w:val="Point 2 (number)"/>
    <w:basedOn w:val="Normal"/>
    <w:rsid w:val="00517205"/>
    <w:pPr>
      <w:numPr>
        <w:ilvl w:val="4"/>
        <w:numId w:val="21"/>
      </w:numPr>
    </w:pPr>
  </w:style>
  <w:style w:type="paragraph" w:customStyle="1" w:styleId="Point3number">
    <w:name w:val="Point 3 (number)"/>
    <w:basedOn w:val="Normal"/>
    <w:rsid w:val="00517205"/>
    <w:pPr>
      <w:numPr>
        <w:ilvl w:val="6"/>
        <w:numId w:val="21"/>
      </w:numPr>
    </w:pPr>
  </w:style>
  <w:style w:type="paragraph" w:customStyle="1" w:styleId="Point0letter">
    <w:name w:val="Point 0 (letter)"/>
    <w:basedOn w:val="Normal"/>
    <w:rsid w:val="00517205"/>
    <w:pPr>
      <w:numPr>
        <w:ilvl w:val="1"/>
        <w:numId w:val="21"/>
      </w:numPr>
    </w:pPr>
  </w:style>
  <w:style w:type="paragraph" w:customStyle="1" w:styleId="Point1letter">
    <w:name w:val="Point 1 (letter)"/>
    <w:basedOn w:val="Normal"/>
    <w:rsid w:val="00517205"/>
    <w:pPr>
      <w:numPr>
        <w:ilvl w:val="3"/>
        <w:numId w:val="21"/>
      </w:numPr>
    </w:pPr>
  </w:style>
  <w:style w:type="paragraph" w:customStyle="1" w:styleId="Point2letter">
    <w:name w:val="Point 2 (letter)"/>
    <w:basedOn w:val="Normal"/>
    <w:rsid w:val="00517205"/>
    <w:pPr>
      <w:numPr>
        <w:ilvl w:val="5"/>
        <w:numId w:val="21"/>
      </w:numPr>
    </w:pPr>
  </w:style>
  <w:style w:type="paragraph" w:customStyle="1" w:styleId="Point3letter">
    <w:name w:val="Point 3 (letter)"/>
    <w:basedOn w:val="Normal"/>
    <w:rsid w:val="00517205"/>
    <w:pPr>
      <w:numPr>
        <w:ilvl w:val="7"/>
        <w:numId w:val="21"/>
      </w:numPr>
    </w:pPr>
  </w:style>
  <w:style w:type="paragraph" w:customStyle="1" w:styleId="Point4letter">
    <w:name w:val="Point 4 (letter)"/>
    <w:basedOn w:val="Normal"/>
    <w:rsid w:val="00517205"/>
    <w:pPr>
      <w:numPr>
        <w:ilvl w:val="8"/>
        <w:numId w:val="21"/>
      </w:numPr>
    </w:pPr>
  </w:style>
  <w:style w:type="paragraph" w:customStyle="1" w:styleId="Bullet0">
    <w:name w:val="Bullet 0"/>
    <w:basedOn w:val="Normal"/>
    <w:rsid w:val="00517205"/>
    <w:pPr>
      <w:numPr>
        <w:numId w:val="22"/>
      </w:numPr>
    </w:pPr>
  </w:style>
  <w:style w:type="paragraph" w:customStyle="1" w:styleId="Bullet1">
    <w:name w:val="Bullet 1"/>
    <w:basedOn w:val="Normal"/>
    <w:rsid w:val="00517205"/>
    <w:pPr>
      <w:numPr>
        <w:numId w:val="23"/>
      </w:numPr>
    </w:pPr>
  </w:style>
  <w:style w:type="paragraph" w:customStyle="1" w:styleId="Bullet2">
    <w:name w:val="Bullet 2"/>
    <w:basedOn w:val="Normal"/>
    <w:rsid w:val="00517205"/>
    <w:pPr>
      <w:numPr>
        <w:numId w:val="24"/>
      </w:numPr>
    </w:pPr>
  </w:style>
  <w:style w:type="paragraph" w:customStyle="1" w:styleId="Bullet3">
    <w:name w:val="Bullet 3"/>
    <w:basedOn w:val="Normal"/>
    <w:rsid w:val="00517205"/>
    <w:pPr>
      <w:numPr>
        <w:numId w:val="25"/>
      </w:numPr>
    </w:pPr>
  </w:style>
  <w:style w:type="paragraph" w:customStyle="1" w:styleId="Bullet4">
    <w:name w:val="Bullet 4"/>
    <w:basedOn w:val="Normal"/>
    <w:rsid w:val="00517205"/>
    <w:pPr>
      <w:numPr>
        <w:numId w:val="26"/>
      </w:numPr>
    </w:pPr>
  </w:style>
  <w:style w:type="paragraph" w:customStyle="1" w:styleId="Langue">
    <w:name w:val="Langue"/>
    <w:basedOn w:val="Normal"/>
    <w:next w:val="Rfrenceinterne"/>
    <w:rsid w:val="00517205"/>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rsid w:val="00517205"/>
    <w:pPr>
      <w:spacing w:before="0" w:after="0"/>
      <w:jc w:val="left"/>
    </w:pPr>
    <w:rPr>
      <w:rFonts w:ascii="Arial" w:hAnsi="Arial" w:cs="Arial"/>
    </w:rPr>
  </w:style>
  <w:style w:type="paragraph" w:customStyle="1" w:styleId="Emission">
    <w:name w:val="Emission"/>
    <w:basedOn w:val="Normal"/>
    <w:next w:val="Rfrenceinstitutionnelle"/>
    <w:rsid w:val="00517205"/>
    <w:pPr>
      <w:spacing w:before="0" w:after="0"/>
      <w:ind w:left="5103"/>
      <w:jc w:val="left"/>
    </w:pPr>
  </w:style>
  <w:style w:type="paragraph" w:customStyle="1" w:styleId="Rfrenceinstitutionnelle">
    <w:name w:val="Référence institutionnelle"/>
    <w:basedOn w:val="Normal"/>
    <w:next w:val="Confidentialit"/>
    <w:rsid w:val="00517205"/>
    <w:pPr>
      <w:spacing w:before="0" w:after="240"/>
      <w:ind w:left="5103"/>
      <w:jc w:val="left"/>
    </w:pPr>
  </w:style>
  <w:style w:type="paragraph" w:customStyle="1" w:styleId="Pagedecouverture">
    <w:name w:val="Page de couverture"/>
    <w:basedOn w:val="Normal"/>
    <w:next w:val="Normal"/>
    <w:rsid w:val="00517205"/>
    <w:pPr>
      <w:spacing w:before="0" w:after="0"/>
    </w:pPr>
  </w:style>
  <w:style w:type="paragraph" w:customStyle="1" w:styleId="Declassification">
    <w:name w:val="Declassification"/>
    <w:basedOn w:val="Normal"/>
    <w:next w:val="Normal"/>
    <w:rsid w:val="00517205"/>
    <w:pPr>
      <w:spacing w:before="0" w:after="0"/>
    </w:pPr>
  </w:style>
  <w:style w:type="paragraph" w:customStyle="1" w:styleId="Disclaimer">
    <w:name w:val="Disclaimer"/>
    <w:basedOn w:val="Normal"/>
    <w:rsid w:val="00517205"/>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rsid w:val="00517205"/>
    <w:pPr>
      <w:spacing w:before="0" w:after="0" w:line="276" w:lineRule="auto"/>
      <w:ind w:left="5103"/>
      <w:jc w:val="left"/>
    </w:pPr>
    <w:rPr>
      <w:sz w:val="28"/>
    </w:rPr>
  </w:style>
  <w:style w:type="paragraph" w:customStyle="1" w:styleId="DateMarking">
    <w:name w:val="DateMarking"/>
    <w:basedOn w:val="Normal"/>
    <w:rsid w:val="00517205"/>
    <w:pPr>
      <w:spacing w:before="0" w:after="0" w:line="276" w:lineRule="auto"/>
      <w:ind w:left="5103"/>
      <w:jc w:val="left"/>
    </w:pPr>
    <w:rPr>
      <w:i/>
      <w:sz w:val="28"/>
    </w:rPr>
  </w:style>
  <w:style w:type="paragraph" w:customStyle="1" w:styleId="ReleasableTo">
    <w:name w:val="ReleasableTo"/>
    <w:basedOn w:val="Normal"/>
    <w:rsid w:val="00517205"/>
    <w:pPr>
      <w:spacing w:before="0" w:after="0" w:line="276" w:lineRule="auto"/>
      <w:ind w:left="5103"/>
      <w:jc w:val="left"/>
    </w:pPr>
    <w:rPr>
      <w:i/>
      <w:sz w:val="28"/>
    </w:rPr>
  </w:style>
  <w:style w:type="paragraph" w:customStyle="1" w:styleId="Annexetitreexpos">
    <w:name w:val="Annexe titre (exposé)"/>
    <w:basedOn w:val="Normal"/>
    <w:next w:val="Normal"/>
    <w:rsid w:val="00517205"/>
    <w:pPr>
      <w:jc w:val="center"/>
    </w:pPr>
    <w:rPr>
      <w:b/>
      <w:u w:val="single"/>
    </w:rPr>
  </w:style>
  <w:style w:type="paragraph" w:customStyle="1" w:styleId="Annexetitre">
    <w:name w:val="Annexe titre"/>
    <w:basedOn w:val="Normal"/>
    <w:next w:val="Normal"/>
    <w:rsid w:val="00517205"/>
    <w:pPr>
      <w:jc w:val="center"/>
    </w:pPr>
    <w:rPr>
      <w:b/>
      <w:u w:val="single"/>
    </w:rPr>
  </w:style>
  <w:style w:type="paragraph" w:customStyle="1" w:styleId="Annexetitrefichefinancire">
    <w:name w:val="Annexe titre (fiche financière)"/>
    <w:basedOn w:val="Normal"/>
    <w:next w:val="Normal"/>
    <w:rsid w:val="00517205"/>
    <w:pPr>
      <w:jc w:val="center"/>
    </w:pPr>
    <w:rPr>
      <w:b/>
      <w:u w:val="single"/>
    </w:rPr>
  </w:style>
  <w:style w:type="paragraph" w:customStyle="1" w:styleId="Applicationdirecte">
    <w:name w:val="Application directe"/>
    <w:basedOn w:val="Normal"/>
    <w:next w:val="Fait"/>
    <w:rsid w:val="00517205"/>
    <w:pPr>
      <w:spacing w:before="480"/>
    </w:pPr>
  </w:style>
  <w:style w:type="paragraph" w:customStyle="1" w:styleId="Avertissementtitre">
    <w:name w:val="Avertissement titre"/>
    <w:basedOn w:val="Normal"/>
    <w:next w:val="Normal"/>
    <w:rsid w:val="00517205"/>
    <w:pPr>
      <w:keepNext/>
      <w:spacing w:before="480"/>
    </w:pPr>
    <w:rPr>
      <w:u w:val="single"/>
    </w:rPr>
  </w:style>
  <w:style w:type="paragraph" w:customStyle="1" w:styleId="Confidence">
    <w:name w:val="Confidence"/>
    <w:basedOn w:val="Normal"/>
    <w:next w:val="Normal"/>
    <w:rsid w:val="00517205"/>
    <w:pPr>
      <w:spacing w:before="360"/>
      <w:jc w:val="center"/>
    </w:pPr>
  </w:style>
  <w:style w:type="paragraph" w:customStyle="1" w:styleId="Confidentialit">
    <w:name w:val="Confidentialité"/>
    <w:basedOn w:val="Normal"/>
    <w:next w:val="TypedudocumentPagedecouverture"/>
    <w:rsid w:val="00517205"/>
    <w:pPr>
      <w:spacing w:before="240" w:after="240"/>
      <w:ind w:left="5103"/>
      <w:jc w:val="left"/>
    </w:pPr>
    <w:rPr>
      <w:i/>
      <w:sz w:val="32"/>
    </w:rPr>
  </w:style>
  <w:style w:type="paragraph" w:customStyle="1" w:styleId="Considrant">
    <w:name w:val="Considérant"/>
    <w:basedOn w:val="Normal"/>
    <w:rsid w:val="00517205"/>
    <w:pPr>
      <w:numPr>
        <w:numId w:val="27"/>
      </w:numPr>
    </w:pPr>
  </w:style>
  <w:style w:type="paragraph" w:customStyle="1" w:styleId="Corrigendum">
    <w:name w:val="Corrigendum"/>
    <w:basedOn w:val="Normal"/>
    <w:next w:val="Normal"/>
    <w:rsid w:val="00517205"/>
    <w:pPr>
      <w:spacing w:before="0" w:after="240"/>
      <w:jc w:val="left"/>
    </w:pPr>
  </w:style>
  <w:style w:type="paragraph" w:customStyle="1" w:styleId="Datedadoption">
    <w:name w:val="Date d'adoption"/>
    <w:basedOn w:val="Normal"/>
    <w:next w:val="Titreobjet"/>
    <w:rsid w:val="00517205"/>
    <w:pPr>
      <w:spacing w:before="360" w:after="0"/>
      <w:jc w:val="center"/>
    </w:pPr>
    <w:rPr>
      <w:b/>
    </w:rPr>
  </w:style>
  <w:style w:type="paragraph" w:customStyle="1" w:styleId="Exposdesmotifstitre">
    <w:name w:val="Exposé des motifs titre"/>
    <w:basedOn w:val="Normal"/>
    <w:next w:val="Normal"/>
    <w:rsid w:val="00517205"/>
    <w:pPr>
      <w:jc w:val="center"/>
    </w:pPr>
    <w:rPr>
      <w:b/>
      <w:u w:val="single"/>
    </w:rPr>
  </w:style>
  <w:style w:type="paragraph" w:customStyle="1" w:styleId="Fait">
    <w:name w:val="Fait à"/>
    <w:basedOn w:val="Normal"/>
    <w:next w:val="Institutionquisigne"/>
    <w:rsid w:val="00517205"/>
    <w:pPr>
      <w:keepNext/>
      <w:spacing w:after="0"/>
    </w:pPr>
  </w:style>
  <w:style w:type="paragraph" w:customStyle="1" w:styleId="Formuledadoption">
    <w:name w:val="Formule d'adoption"/>
    <w:basedOn w:val="Normal"/>
    <w:next w:val="Titrearticle"/>
    <w:rsid w:val="00517205"/>
    <w:pPr>
      <w:keepNext/>
    </w:pPr>
  </w:style>
  <w:style w:type="paragraph" w:customStyle="1" w:styleId="Institutionquiagit">
    <w:name w:val="Institution qui agit"/>
    <w:basedOn w:val="Normal"/>
    <w:next w:val="Normal"/>
    <w:rsid w:val="00517205"/>
    <w:pPr>
      <w:keepNext/>
      <w:spacing w:before="600"/>
    </w:pPr>
  </w:style>
  <w:style w:type="paragraph" w:customStyle="1" w:styleId="Institutionquisigne">
    <w:name w:val="Institution qui signe"/>
    <w:basedOn w:val="Normal"/>
    <w:next w:val="Personnequisigne"/>
    <w:rsid w:val="00517205"/>
    <w:pPr>
      <w:keepNext/>
      <w:tabs>
        <w:tab w:val="left" w:pos="4252"/>
      </w:tabs>
      <w:spacing w:before="720" w:after="0"/>
    </w:pPr>
    <w:rPr>
      <w:i/>
    </w:rPr>
  </w:style>
  <w:style w:type="paragraph" w:customStyle="1" w:styleId="ManualConsidrant">
    <w:name w:val="Manual Considérant"/>
    <w:basedOn w:val="Normal"/>
    <w:rsid w:val="00517205"/>
    <w:pPr>
      <w:ind w:left="709" w:hanging="709"/>
    </w:pPr>
  </w:style>
  <w:style w:type="paragraph" w:customStyle="1" w:styleId="Personnequisigne">
    <w:name w:val="Personne qui signe"/>
    <w:basedOn w:val="Normal"/>
    <w:next w:val="Institutionquisigne"/>
    <w:rsid w:val="00517205"/>
    <w:pPr>
      <w:tabs>
        <w:tab w:val="left" w:pos="4252"/>
      </w:tabs>
      <w:spacing w:before="0" w:after="0"/>
      <w:jc w:val="left"/>
    </w:pPr>
    <w:rPr>
      <w:i/>
    </w:rPr>
  </w:style>
  <w:style w:type="paragraph" w:customStyle="1" w:styleId="Rfrenceinterinstitutionnelle">
    <w:name w:val="Référence interinstitutionnelle"/>
    <w:basedOn w:val="Normal"/>
    <w:next w:val="Statut"/>
    <w:rsid w:val="00517205"/>
    <w:pPr>
      <w:spacing w:before="0" w:after="0"/>
      <w:ind w:left="5103"/>
      <w:jc w:val="left"/>
    </w:pPr>
  </w:style>
  <w:style w:type="paragraph" w:customStyle="1" w:styleId="Rfrenceinterne">
    <w:name w:val="Référence interne"/>
    <w:basedOn w:val="Normal"/>
    <w:next w:val="Rfrenceinterinstitutionnelle"/>
    <w:rsid w:val="00517205"/>
    <w:pPr>
      <w:spacing w:before="0" w:after="0"/>
      <w:ind w:left="5103"/>
      <w:jc w:val="left"/>
    </w:pPr>
  </w:style>
  <w:style w:type="paragraph" w:customStyle="1" w:styleId="Statut">
    <w:name w:val="Statut"/>
    <w:basedOn w:val="Normal"/>
    <w:next w:val="Typedudocument"/>
    <w:rsid w:val="00517205"/>
    <w:pPr>
      <w:spacing w:before="360" w:after="0"/>
      <w:jc w:val="center"/>
    </w:pPr>
  </w:style>
  <w:style w:type="paragraph" w:customStyle="1" w:styleId="Titrearticle">
    <w:name w:val="Titre article"/>
    <w:basedOn w:val="Normal"/>
    <w:next w:val="Normal"/>
    <w:rsid w:val="00517205"/>
    <w:pPr>
      <w:keepNext/>
      <w:spacing w:before="360"/>
      <w:jc w:val="center"/>
    </w:pPr>
    <w:rPr>
      <w:i/>
    </w:rPr>
  </w:style>
  <w:style w:type="paragraph" w:customStyle="1" w:styleId="Titreobjet">
    <w:name w:val="Titre objet"/>
    <w:basedOn w:val="Normal"/>
    <w:next w:val="IntrtEEE"/>
    <w:rsid w:val="00517205"/>
    <w:pPr>
      <w:spacing w:before="360" w:after="360"/>
      <w:jc w:val="center"/>
    </w:pPr>
    <w:rPr>
      <w:b/>
    </w:rPr>
  </w:style>
  <w:style w:type="paragraph" w:customStyle="1" w:styleId="Typedudocument">
    <w:name w:val="Type du document"/>
    <w:basedOn w:val="Normal"/>
    <w:next w:val="Titreobjet"/>
    <w:rsid w:val="00517205"/>
    <w:pPr>
      <w:spacing w:before="360" w:after="0"/>
      <w:jc w:val="center"/>
    </w:pPr>
    <w:rPr>
      <w:b/>
    </w:rPr>
  </w:style>
  <w:style w:type="character" w:customStyle="1" w:styleId="Added">
    <w:name w:val="Added"/>
    <w:basedOn w:val="DefaultParagraphFont"/>
    <w:rsid w:val="00517205"/>
    <w:rPr>
      <w:b/>
      <w:u w:val="single"/>
      <w:shd w:val="clear" w:color="auto" w:fill="auto"/>
    </w:rPr>
  </w:style>
  <w:style w:type="character" w:customStyle="1" w:styleId="Deleted">
    <w:name w:val="Deleted"/>
    <w:basedOn w:val="DefaultParagraphFont"/>
    <w:rsid w:val="00517205"/>
    <w:rPr>
      <w:strike/>
      <w:dstrike w:val="0"/>
      <w:shd w:val="clear" w:color="auto" w:fill="auto"/>
    </w:rPr>
  </w:style>
  <w:style w:type="paragraph" w:customStyle="1" w:styleId="Address">
    <w:name w:val="Address"/>
    <w:basedOn w:val="Normal"/>
    <w:next w:val="Normal"/>
    <w:rsid w:val="00517205"/>
    <w:pPr>
      <w:keepLines/>
      <w:spacing w:line="360" w:lineRule="auto"/>
      <w:ind w:left="3402"/>
      <w:jc w:val="left"/>
    </w:pPr>
  </w:style>
  <w:style w:type="paragraph" w:customStyle="1" w:styleId="Objetexterne">
    <w:name w:val="Objet externe"/>
    <w:basedOn w:val="Normal"/>
    <w:next w:val="Normal"/>
    <w:rsid w:val="00517205"/>
    <w:rPr>
      <w:i/>
      <w:caps/>
    </w:rPr>
  </w:style>
  <w:style w:type="paragraph" w:customStyle="1" w:styleId="Supertitre">
    <w:name w:val="Supertitre"/>
    <w:basedOn w:val="Normal"/>
    <w:next w:val="Normal"/>
    <w:rsid w:val="00517205"/>
    <w:pPr>
      <w:spacing w:before="0" w:after="600"/>
      <w:jc w:val="center"/>
    </w:pPr>
    <w:rPr>
      <w:b/>
    </w:rPr>
  </w:style>
  <w:style w:type="paragraph" w:customStyle="1" w:styleId="Languesfaisantfoi">
    <w:name w:val="Langues faisant foi"/>
    <w:basedOn w:val="Normal"/>
    <w:next w:val="Normal"/>
    <w:rsid w:val="00517205"/>
    <w:pPr>
      <w:spacing w:before="360" w:after="0"/>
      <w:jc w:val="center"/>
    </w:pPr>
  </w:style>
  <w:style w:type="paragraph" w:customStyle="1" w:styleId="Rfrencecroise">
    <w:name w:val="Référence croisée"/>
    <w:basedOn w:val="Normal"/>
    <w:rsid w:val="00517205"/>
    <w:pPr>
      <w:spacing w:before="0" w:after="0"/>
      <w:jc w:val="center"/>
    </w:pPr>
  </w:style>
  <w:style w:type="paragraph" w:customStyle="1" w:styleId="Fichefinanciretitre">
    <w:name w:val="Fiche financière titre"/>
    <w:basedOn w:val="Normal"/>
    <w:next w:val="Normal"/>
    <w:rsid w:val="00517205"/>
    <w:pPr>
      <w:jc w:val="center"/>
    </w:pPr>
    <w:rPr>
      <w:b/>
      <w:u w:val="single"/>
    </w:rPr>
  </w:style>
  <w:style w:type="paragraph" w:customStyle="1" w:styleId="DatedadoptionPagedecouverture">
    <w:name w:val="Date d'adoption (Page de couverture)"/>
    <w:basedOn w:val="Datedadoption"/>
    <w:next w:val="TitreobjetPagedecouverture"/>
    <w:rsid w:val="00517205"/>
  </w:style>
  <w:style w:type="paragraph" w:customStyle="1" w:styleId="RfrenceinterinstitutionnellePagedecouverture">
    <w:name w:val="Référence interinstitutionnelle (Page de couverture)"/>
    <w:basedOn w:val="Rfrenceinterinstitutionnelle"/>
    <w:next w:val="Confidentialit"/>
    <w:rsid w:val="00517205"/>
  </w:style>
  <w:style w:type="paragraph" w:customStyle="1" w:styleId="StatutPagedecouverture">
    <w:name w:val="Statut (Page de couverture)"/>
    <w:basedOn w:val="Statut"/>
    <w:next w:val="TypedudocumentPagedecouverture"/>
    <w:rsid w:val="00517205"/>
  </w:style>
  <w:style w:type="paragraph" w:customStyle="1" w:styleId="TitreobjetPagedecouverture">
    <w:name w:val="Titre objet (Page de couverture)"/>
    <w:basedOn w:val="Titreobjet"/>
    <w:next w:val="IntrtEEEPagedecouverture"/>
    <w:rsid w:val="00517205"/>
  </w:style>
  <w:style w:type="paragraph" w:customStyle="1" w:styleId="TypedudocumentPagedecouverture">
    <w:name w:val="Type du document (Page de couverture)"/>
    <w:basedOn w:val="Typedudocument"/>
    <w:next w:val="TitreobjetPagedecouverture"/>
    <w:rsid w:val="00517205"/>
  </w:style>
  <w:style w:type="paragraph" w:customStyle="1" w:styleId="Volume">
    <w:name w:val="Volume"/>
    <w:basedOn w:val="Normal"/>
    <w:next w:val="Confidentialit"/>
    <w:rsid w:val="00517205"/>
    <w:pPr>
      <w:spacing w:before="0" w:after="240"/>
      <w:ind w:left="5103"/>
      <w:jc w:val="left"/>
    </w:pPr>
  </w:style>
  <w:style w:type="paragraph" w:customStyle="1" w:styleId="IntrtEEE">
    <w:name w:val="Intérêt EEE"/>
    <w:basedOn w:val="Languesfaisantfoi"/>
    <w:next w:val="Normal"/>
    <w:rsid w:val="00517205"/>
    <w:pPr>
      <w:spacing w:after="240"/>
    </w:pPr>
  </w:style>
  <w:style w:type="paragraph" w:customStyle="1" w:styleId="Accompagnant">
    <w:name w:val="Accompagnant"/>
    <w:basedOn w:val="Normal"/>
    <w:next w:val="Typeacteprincipal"/>
    <w:rsid w:val="00517205"/>
    <w:pPr>
      <w:spacing w:before="0" w:after="240"/>
      <w:jc w:val="center"/>
    </w:pPr>
    <w:rPr>
      <w:b/>
      <w:i/>
    </w:rPr>
  </w:style>
  <w:style w:type="paragraph" w:customStyle="1" w:styleId="Typeacteprincipal">
    <w:name w:val="Type acte principal"/>
    <w:basedOn w:val="Normal"/>
    <w:next w:val="Objetacteprincipal"/>
    <w:rsid w:val="00517205"/>
    <w:pPr>
      <w:spacing w:before="0" w:after="240"/>
      <w:jc w:val="center"/>
    </w:pPr>
    <w:rPr>
      <w:b/>
    </w:rPr>
  </w:style>
  <w:style w:type="paragraph" w:customStyle="1" w:styleId="Objetacteprincipal">
    <w:name w:val="Objet acte principal"/>
    <w:basedOn w:val="Normal"/>
    <w:next w:val="Titrearticle"/>
    <w:rsid w:val="00517205"/>
    <w:pPr>
      <w:spacing w:before="0" w:after="360"/>
      <w:jc w:val="center"/>
    </w:pPr>
    <w:rPr>
      <w:b/>
    </w:rPr>
  </w:style>
  <w:style w:type="paragraph" w:customStyle="1" w:styleId="IntrtEEEPagedecouverture">
    <w:name w:val="Intérêt EEE (Page de couverture)"/>
    <w:basedOn w:val="IntrtEEE"/>
    <w:next w:val="Rfrencecroise"/>
    <w:rsid w:val="00517205"/>
  </w:style>
  <w:style w:type="paragraph" w:customStyle="1" w:styleId="AccompagnantPagedecouverture">
    <w:name w:val="Accompagnant (Page de couverture)"/>
    <w:basedOn w:val="Accompagnant"/>
    <w:next w:val="TypeacteprincipalPagedecouverture"/>
    <w:rsid w:val="00517205"/>
  </w:style>
  <w:style w:type="paragraph" w:customStyle="1" w:styleId="TypeacteprincipalPagedecouverture">
    <w:name w:val="Type acte principal (Page de couverture)"/>
    <w:basedOn w:val="Typeacteprincipal"/>
    <w:next w:val="ObjetacteprincipalPagedecouverture"/>
    <w:rsid w:val="00517205"/>
  </w:style>
  <w:style w:type="paragraph" w:customStyle="1" w:styleId="ObjetacteprincipalPagedecouverture">
    <w:name w:val="Objet acte principal (Page de couverture)"/>
    <w:basedOn w:val="Objetacteprincipal"/>
    <w:next w:val="Rfrencecroise"/>
    <w:rsid w:val="00517205"/>
  </w:style>
  <w:style w:type="paragraph" w:customStyle="1" w:styleId="LanguesfaisantfoiPagedecouverture">
    <w:name w:val="Langues faisant foi (Page de couverture)"/>
    <w:basedOn w:val="Normal"/>
    <w:next w:val="Normal"/>
    <w:rsid w:val="00517205"/>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178">
      <w:bodyDiv w:val="1"/>
      <w:marLeft w:val="0"/>
      <w:marRight w:val="0"/>
      <w:marTop w:val="0"/>
      <w:marBottom w:val="0"/>
      <w:divBdr>
        <w:top w:val="none" w:sz="0" w:space="0" w:color="auto"/>
        <w:left w:val="none" w:sz="0" w:space="0" w:color="auto"/>
        <w:bottom w:val="none" w:sz="0" w:space="0" w:color="auto"/>
        <w:right w:val="none" w:sz="0" w:space="0" w:color="auto"/>
      </w:divBdr>
    </w:div>
    <w:div w:id="198008050">
      <w:bodyDiv w:val="1"/>
      <w:marLeft w:val="0"/>
      <w:marRight w:val="0"/>
      <w:marTop w:val="0"/>
      <w:marBottom w:val="0"/>
      <w:divBdr>
        <w:top w:val="none" w:sz="0" w:space="0" w:color="auto"/>
        <w:left w:val="none" w:sz="0" w:space="0" w:color="auto"/>
        <w:bottom w:val="none" w:sz="0" w:space="0" w:color="auto"/>
        <w:right w:val="none" w:sz="0" w:space="0" w:color="auto"/>
      </w:divBdr>
    </w:div>
    <w:div w:id="270825998">
      <w:bodyDiv w:val="1"/>
      <w:marLeft w:val="0"/>
      <w:marRight w:val="0"/>
      <w:marTop w:val="0"/>
      <w:marBottom w:val="0"/>
      <w:divBdr>
        <w:top w:val="none" w:sz="0" w:space="0" w:color="auto"/>
        <w:left w:val="none" w:sz="0" w:space="0" w:color="auto"/>
        <w:bottom w:val="none" w:sz="0" w:space="0" w:color="auto"/>
        <w:right w:val="none" w:sz="0" w:space="0" w:color="auto"/>
      </w:divBdr>
    </w:div>
    <w:div w:id="521282058">
      <w:bodyDiv w:val="1"/>
      <w:marLeft w:val="0"/>
      <w:marRight w:val="0"/>
      <w:marTop w:val="0"/>
      <w:marBottom w:val="0"/>
      <w:divBdr>
        <w:top w:val="none" w:sz="0" w:space="0" w:color="auto"/>
        <w:left w:val="none" w:sz="0" w:space="0" w:color="auto"/>
        <w:bottom w:val="none" w:sz="0" w:space="0" w:color="auto"/>
        <w:right w:val="none" w:sz="0" w:space="0" w:color="auto"/>
      </w:divBdr>
    </w:div>
    <w:div w:id="587272130">
      <w:bodyDiv w:val="1"/>
      <w:marLeft w:val="0"/>
      <w:marRight w:val="0"/>
      <w:marTop w:val="0"/>
      <w:marBottom w:val="0"/>
      <w:divBdr>
        <w:top w:val="none" w:sz="0" w:space="0" w:color="auto"/>
        <w:left w:val="none" w:sz="0" w:space="0" w:color="auto"/>
        <w:bottom w:val="none" w:sz="0" w:space="0" w:color="auto"/>
        <w:right w:val="none" w:sz="0" w:space="0" w:color="auto"/>
      </w:divBdr>
    </w:div>
    <w:div w:id="592864771">
      <w:bodyDiv w:val="1"/>
      <w:marLeft w:val="0"/>
      <w:marRight w:val="0"/>
      <w:marTop w:val="0"/>
      <w:marBottom w:val="0"/>
      <w:divBdr>
        <w:top w:val="none" w:sz="0" w:space="0" w:color="auto"/>
        <w:left w:val="none" w:sz="0" w:space="0" w:color="auto"/>
        <w:bottom w:val="none" w:sz="0" w:space="0" w:color="auto"/>
        <w:right w:val="none" w:sz="0" w:space="0" w:color="auto"/>
      </w:divBdr>
    </w:div>
    <w:div w:id="681932191">
      <w:bodyDiv w:val="1"/>
      <w:marLeft w:val="0"/>
      <w:marRight w:val="0"/>
      <w:marTop w:val="0"/>
      <w:marBottom w:val="0"/>
      <w:divBdr>
        <w:top w:val="none" w:sz="0" w:space="0" w:color="auto"/>
        <w:left w:val="none" w:sz="0" w:space="0" w:color="auto"/>
        <w:bottom w:val="none" w:sz="0" w:space="0" w:color="auto"/>
        <w:right w:val="none" w:sz="0" w:space="0" w:color="auto"/>
      </w:divBdr>
    </w:div>
    <w:div w:id="693727797">
      <w:bodyDiv w:val="1"/>
      <w:marLeft w:val="0"/>
      <w:marRight w:val="0"/>
      <w:marTop w:val="0"/>
      <w:marBottom w:val="0"/>
      <w:divBdr>
        <w:top w:val="none" w:sz="0" w:space="0" w:color="auto"/>
        <w:left w:val="none" w:sz="0" w:space="0" w:color="auto"/>
        <w:bottom w:val="none" w:sz="0" w:space="0" w:color="auto"/>
        <w:right w:val="none" w:sz="0" w:space="0" w:color="auto"/>
      </w:divBdr>
    </w:div>
    <w:div w:id="744033990">
      <w:bodyDiv w:val="1"/>
      <w:marLeft w:val="0"/>
      <w:marRight w:val="0"/>
      <w:marTop w:val="0"/>
      <w:marBottom w:val="0"/>
      <w:divBdr>
        <w:top w:val="none" w:sz="0" w:space="0" w:color="auto"/>
        <w:left w:val="none" w:sz="0" w:space="0" w:color="auto"/>
        <w:bottom w:val="none" w:sz="0" w:space="0" w:color="auto"/>
        <w:right w:val="none" w:sz="0" w:space="0" w:color="auto"/>
      </w:divBdr>
    </w:div>
    <w:div w:id="788670599">
      <w:bodyDiv w:val="1"/>
      <w:marLeft w:val="0"/>
      <w:marRight w:val="0"/>
      <w:marTop w:val="0"/>
      <w:marBottom w:val="0"/>
      <w:divBdr>
        <w:top w:val="none" w:sz="0" w:space="0" w:color="auto"/>
        <w:left w:val="none" w:sz="0" w:space="0" w:color="auto"/>
        <w:bottom w:val="none" w:sz="0" w:space="0" w:color="auto"/>
        <w:right w:val="none" w:sz="0" w:space="0" w:color="auto"/>
      </w:divBdr>
    </w:div>
    <w:div w:id="864098142">
      <w:bodyDiv w:val="1"/>
      <w:marLeft w:val="0"/>
      <w:marRight w:val="0"/>
      <w:marTop w:val="0"/>
      <w:marBottom w:val="0"/>
      <w:divBdr>
        <w:top w:val="none" w:sz="0" w:space="0" w:color="auto"/>
        <w:left w:val="none" w:sz="0" w:space="0" w:color="auto"/>
        <w:bottom w:val="none" w:sz="0" w:space="0" w:color="auto"/>
        <w:right w:val="none" w:sz="0" w:space="0" w:color="auto"/>
      </w:divBdr>
    </w:div>
    <w:div w:id="1586768104">
      <w:bodyDiv w:val="1"/>
      <w:marLeft w:val="0"/>
      <w:marRight w:val="0"/>
      <w:marTop w:val="0"/>
      <w:marBottom w:val="0"/>
      <w:divBdr>
        <w:top w:val="none" w:sz="0" w:space="0" w:color="auto"/>
        <w:left w:val="none" w:sz="0" w:space="0" w:color="auto"/>
        <w:bottom w:val="none" w:sz="0" w:space="0" w:color="auto"/>
        <w:right w:val="none" w:sz="0" w:space="0" w:color="auto"/>
      </w:divBdr>
    </w:div>
    <w:div w:id="1782726115">
      <w:bodyDiv w:val="1"/>
      <w:marLeft w:val="0"/>
      <w:marRight w:val="0"/>
      <w:marTop w:val="0"/>
      <w:marBottom w:val="0"/>
      <w:divBdr>
        <w:top w:val="none" w:sz="0" w:space="0" w:color="auto"/>
        <w:left w:val="none" w:sz="0" w:space="0" w:color="auto"/>
        <w:bottom w:val="none" w:sz="0" w:space="0" w:color="auto"/>
        <w:right w:val="none" w:sz="0" w:space="0" w:color="auto"/>
      </w:divBdr>
    </w:div>
    <w:div w:id="190691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38A4A-79F1-4C09-939B-E563E7205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TotalTime>
  <Pages>14</Pages>
  <Words>6616</Words>
  <Characters>35268</Characters>
  <Application>Microsoft Office Word</Application>
  <DocSecurity>0</DocSecurity>
  <Lines>568</Lines>
  <Paragraphs>184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36</cp:revision>
  <dcterms:created xsi:type="dcterms:W3CDTF">2022-07-22T11:04:00Z</dcterms:created>
  <dcterms:modified xsi:type="dcterms:W3CDTF">2022-07-27T06:37:00Z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COM/PL/MOD</vt:lpwstr>
  </property>
  <property fmtid="{D5CDD505-2E9C-101B-9397-08002B2CF9AE}" pid="3" name="Version">
    <vt:lpwstr>8.0.25.0</vt:lpwstr>
  </property>
  <property fmtid="{D5CDD505-2E9C-101B-9397-08002B2CF9AE}" pid="4" name="Last edited using">
    <vt:lpwstr>LW 8.0.1, Build 20220429</vt:lpwstr>
  </property>
  <property fmtid="{D5CDD505-2E9C-101B-9397-08002B2CF9AE}" pid="5" name="Created using">
    <vt:lpwstr>LW 8.0, Build 20220128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SG-005</vt:lpwstr>
  </property>
  <property fmtid="{D5CDD505-2E9C-101B-9397-08002B2CF9AE}" pid="10" name="MSIP_Label_6bd9ddd1-4d20-43f6-abfa-fc3c07406f94_Enabled">
    <vt:lpwstr>true</vt:lpwstr>
  </property>
  <property fmtid="{D5CDD505-2E9C-101B-9397-08002B2CF9AE}" pid="11" name="MSIP_Label_6bd9ddd1-4d20-43f6-abfa-fc3c07406f94_SetDate">
    <vt:lpwstr>2022-06-20T08:18:59Z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0ceeee25-e4e4-475b-a6d6-20bf3d9d8837</vt:lpwstr>
  </property>
  <property fmtid="{D5CDD505-2E9C-101B-9397-08002B2CF9AE}" pid="16" name="MSIP_Label_6bd9ddd1-4d20-43f6-abfa-fc3c07406f94_ContentBits">
    <vt:lpwstr>0</vt:lpwstr>
  </property>
  <property fmtid="{D5CDD505-2E9C-101B-9397-08002B2CF9AE}" pid="17" name="DQCStatus">
    <vt:lpwstr>Green (DQC version 03)</vt:lpwstr>
  </property>
  <property name="OP_sanitized" fmtid="{D5CDD505-2E9C-101B-9397-08002B2CF9AE}" pid="18">
    <vt:lpwstr>True</vt:lpwstr>
  </property>
</Properties>
</file>