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26D98922B4F540D096977A50430BD087" style="width:450.75pt;height:366pt">
            <v:imagedata r:id="rId9" o:title=""/>
          </v:shape>
        </w:pict>
      </w:r>
    </w:p>
    <w:p>
      <w:pPr>
        <w:rPr>
          <w:noProof/>
        </w:rPr>
        <w:sectPr>
          <w:footerReference w:type="default" r:id="rId10"/>
          <w:pgSz w:w="11907" w:h="16839"/>
          <w:pgMar w:top="1134" w:right="1417" w:bottom="1134" w:left="1417" w:header="709" w:footer="709" w:gutter="0"/>
          <w:pgNumType w:start="1"/>
          <w:cols w:space="720"/>
          <w:docGrid w:linePitch="360"/>
        </w:sectPr>
      </w:pPr>
    </w:p>
    <w:p>
      <w:pPr>
        <w:pStyle w:val="Exposdesmotifstitre"/>
        <w:rPr>
          <w:noProof/>
        </w:rPr>
      </w:pPr>
      <w:bookmarkStart w:id="0" w:name="_GoBack"/>
      <w:bookmarkEnd w:id="0"/>
      <w:r>
        <w:rPr>
          <w:noProof/>
        </w:rPr>
        <w:lastRenderedPageBreak/>
        <w:t>EXPLANATORY MEMORANDUM</w:t>
      </w:r>
    </w:p>
    <w:p>
      <w:pPr>
        <w:pStyle w:val="ManualHeading1"/>
        <w:rPr>
          <w:noProof/>
        </w:rPr>
      </w:pPr>
      <w:r>
        <w:rPr>
          <w:noProof/>
        </w:rPr>
        <w:t>1.</w:t>
      </w:r>
      <w:r>
        <w:rPr>
          <w:noProof/>
        </w:rPr>
        <w:tab/>
        <w:t>CONTEXT OF THE PROPOSAL</w:t>
      </w:r>
    </w:p>
    <w:p>
      <w:pPr>
        <w:pStyle w:val="ManualHeading2"/>
        <w:rPr>
          <w:rFonts w:eastAsia="Arial Unicode MS"/>
          <w:noProof/>
        </w:rPr>
      </w:pPr>
      <w:r>
        <w:rPr>
          <w:rFonts w:eastAsia="Arial Unicode MS"/>
          <w:noProof/>
          <w:u w:color="000000"/>
          <w:bdr w:val="nil"/>
          <w:lang w:eastAsia="en-GB"/>
        </w:rPr>
        <w:t>•</w:t>
      </w:r>
      <w:r>
        <w:rPr>
          <w:rFonts w:eastAsia="Arial Unicode MS"/>
          <w:noProof/>
          <w:u w:color="000000"/>
          <w:bdr w:val="nil"/>
          <w:lang w:eastAsia="en-GB"/>
        </w:rPr>
        <w:tab/>
      </w:r>
      <w:r>
        <w:rPr>
          <w:rFonts w:eastAsia="Arial Unicode MS"/>
          <w:noProof/>
        </w:rPr>
        <w:t>Reasons for and objectives of the proposal</w:t>
      </w:r>
    </w:p>
    <w:p>
      <w:pPr>
        <w:rPr>
          <w:noProof/>
        </w:rPr>
      </w:pPr>
      <w:r>
        <w:rPr>
          <w:noProof/>
        </w:rPr>
        <w:t xml:space="preserve">On the basis of negotiating directives adopted by the Council, the European Commission has negotiated the Comprehensive Economic and Trade Agreement (CETA) with a view to establishing a state of the art and priviledged economic relationship with Canada. Canada is a strategic partner of the European Union with whom we share a past history based on common values and interests, and with whom we also wish to define a positive forward-looking relationship for the future. This should create new opportunities for trade and investment between the European Union and Canada, notably through improved market access for goods and services and enhanced rules on trade for economic actors. </w:t>
      </w:r>
    </w:p>
    <w:p>
      <w:pPr>
        <w:rPr>
          <w:noProof/>
        </w:rPr>
      </w:pPr>
      <w:r>
        <w:rPr>
          <w:noProof/>
        </w:rPr>
        <w:t xml:space="preserve">To this end, the EU and Canada have reached an ambitious agreement which will open up new opportunities for trade and investment for economic actors on both sides of the Atlantic. Both sides have also underlined through this agreement the importance of economic activity taking place within a framework of clear and transparent regulation defined by public authorities, and that they consider the right to regulate in the public interest as a basic underlying principle of the Agreement. </w:t>
      </w:r>
    </w:p>
    <w:p>
      <w:pPr>
        <w:rPr>
          <w:noProof/>
          <w:szCs w:val="20"/>
        </w:rPr>
      </w:pPr>
      <w:r>
        <w:rPr>
          <w:noProof/>
        </w:rPr>
        <w:t>The attached proposal</w:t>
      </w:r>
      <w:r>
        <w:rPr>
          <w:noProof/>
          <w:szCs w:val="20"/>
        </w:rPr>
        <w:t xml:space="preserve"> for a Council Decision constitutes the legal instrument for the signing of </w:t>
      </w:r>
      <w:r>
        <w:rPr>
          <w:noProof/>
        </w:rPr>
        <w:t>the Comprehensive Economic and Trade Agreement (CETA)</w:t>
      </w:r>
      <w:r>
        <w:rPr>
          <w:noProof/>
        </w:rPr>
        <w:br/>
      </w:r>
      <w:r>
        <w:rPr>
          <w:rFonts w:eastAsia="Calibri"/>
          <w:noProof/>
          <w:szCs w:val="24"/>
        </w:rPr>
        <w:t>between the European Union and its Member States, of the one part, and Canada, of the other part.</w:t>
      </w:r>
    </w:p>
    <w:p>
      <w:pPr>
        <w:rPr>
          <w:iCs/>
          <w:noProof/>
          <w:szCs w:val="24"/>
          <w:lang w:val="en-US"/>
        </w:rPr>
      </w:pPr>
      <w:r>
        <w:rPr>
          <w:noProof/>
          <w:szCs w:val="20"/>
        </w:rPr>
        <w:t xml:space="preserve">The CETA negotiations were completed and initialled at the level of the Chief Negotiators on 1 August 2014 and President Barroso, President Van Rompuy and Prime Minister Harper jointly announced the end of the CETA negotiations at the EU-Canada Summit on 26 September 2014 following which the text of the agreement was made public the same day. </w:t>
      </w:r>
      <w:r>
        <w:rPr>
          <w:iCs/>
          <w:noProof/>
          <w:szCs w:val="24"/>
          <w:lang w:val="en-US"/>
        </w:rPr>
        <w:t xml:space="preserve">The legally reviewed text of CETA has been published on 29 February 2016 and can be found on the following link: </w:t>
      </w:r>
    </w:p>
    <w:p>
      <w:pPr>
        <w:rPr>
          <w:iCs/>
          <w:noProof/>
          <w:szCs w:val="24"/>
          <w:lang w:val="en-US"/>
        </w:rPr>
      </w:pPr>
      <w:hyperlink r:id="rId11" w:history="1">
        <w:r>
          <w:rPr>
            <w:rStyle w:val="Hyperlink"/>
            <w:iCs/>
            <w:noProof/>
            <w:color w:val="auto"/>
            <w:szCs w:val="24"/>
            <w:lang w:val="en-US"/>
          </w:rPr>
          <w:t>http://trade.ec.europa.eu/doclib/docs/2014/september/tradoc_152806.pdf</w:t>
        </w:r>
      </w:hyperlink>
    </w:p>
    <w:p>
      <w:pPr>
        <w:pStyle w:val="ManualHeading2"/>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r>
      <w:r>
        <w:rPr>
          <w:rFonts w:eastAsia="Arial Unicode MS"/>
          <w:noProof/>
        </w:rPr>
        <w:t>Consistency with existing policy provisions in the policy area</w:t>
      </w:r>
    </w:p>
    <w:p>
      <w:pPr>
        <w:rPr>
          <w:noProof/>
        </w:rPr>
      </w:pPr>
      <w:r>
        <w:rPr>
          <w:noProof/>
        </w:rPr>
        <w:t>The EU and Canada have a longstanding trade and economic cooperation relationship, developed under the 1976 Framework Agreement for Commercial and Economic Cooperation, the 1996 Joint Action Plan and the 1998 EU-Canada Trade Initiative. In addition, the EU and Canada have concluded several bilateral sectoral agreements, notably the 1996 Agreement for Scientific and Technological Cooperation, the 1998 Agreement on Mutual Recognition of Conformity Assessments, the 1998 Veterinary Agreement, the 1999 Competition Agreement, the 2003 Agreement on Trade in Wines and Spirits Drinks, the 2009 Civil Aviation Safety Agreement and the 2009 Comprehensive Air Transport Agreement.</w:t>
      </w:r>
    </w:p>
    <w:p>
      <w:pPr>
        <w:rPr>
          <w:noProof/>
        </w:rPr>
      </w:pPr>
      <w:r>
        <w:rPr>
          <w:noProof/>
        </w:rPr>
        <w:t>These agreements will remain in place with the exception that:</w:t>
      </w:r>
    </w:p>
    <w:p>
      <w:pPr>
        <w:rPr>
          <w:noProof/>
        </w:rPr>
      </w:pPr>
      <w:r>
        <w:rPr>
          <w:noProof/>
        </w:rPr>
        <w:t>The 1989 Alcoholic Beverages Agreement and the 2003 Wines</w:t>
      </w:r>
      <w:r>
        <w:rPr>
          <w:noProof/>
          <w:szCs w:val="24"/>
        </w:rPr>
        <w:t xml:space="preserve"> </w:t>
      </w:r>
      <w:r>
        <w:rPr>
          <w:noProof/>
        </w:rPr>
        <w:t>and Spirit Drinks Agreement will be incorporated into and made part of CETA, as amended by Annex 30-B.</w:t>
      </w:r>
    </w:p>
    <w:p>
      <w:pPr>
        <w:rPr>
          <w:noProof/>
        </w:rPr>
      </w:pPr>
      <w:r>
        <w:rPr>
          <w:noProof/>
        </w:rPr>
        <w:t xml:space="preserve">The 1998 </w:t>
      </w:r>
      <w:r>
        <w:rPr>
          <w:iCs/>
          <w:noProof/>
        </w:rPr>
        <w:t>Agreement on Mutual Recognition</w:t>
      </w:r>
      <w:r>
        <w:rPr>
          <w:noProof/>
        </w:rPr>
        <w:t xml:space="preserve"> will be terminated from the date of entry into force of CETA. </w:t>
      </w:r>
    </w:p>
    <w:p>
      <w:pPr>
        <w:rPr>
          <w:noProof/>
        </w:rPr>
      </w:pPr>
      <w:r>
        <w:rPr>
          <w:noProof/>
        </w:rPr>
        <w:lastRenderedPageBreak/>
        <w:t xml:space="preserve">The EU and Canada recognise the achievements that have been accomplished under the </w:t>
      </w:r>
      <w:r>
        <w:rPr>
          <w:iCs/>
          <w:noProof/>
        </w:rPr>
        <w:t>Agreement between the European Community and the Government of Canada on sanitary measures to protect public and animal health in respect of trade in live animals and animal products</w:t>
      </w:r>
      <w:r>
        <w:rPr>
          <w:noProof/>
        </w:rPr>
        <w:t>, done at Ottawa on 17 December 1998 (the “</w:t>
      </w:r>
      <w:r>
        <w:rPr>
          <w:iCs/>
          <w:noProof/>
        </w:rPr>
        <w:t>Veterinary Agreement</w:t>
      </w:r>
      <w:r>
        <w:rPr>
          <w:noProof/>
        </w:rPr>
        <w:t xml:space="preserve">”) and confirm their intention to continue this work under CETA. The 1998 </w:t>
      </w:r>
      <w:r>
        <w:rPr>
          <w:iCs/>
          <w:noProof/>
        </w:rPr>
        <w:t xml:space="preserve">Veterinary Agreement </w:t>
      </w:r>
      <w:r>
        <w:rPr>
          <w:noProof/>
        </w:rPr>
        <w:t xml:space="preserve">shall be replaced by CETA from the date of entry into force of CETA. </w:t>
      </w:r>
    </w:p>
    <w:p>
      <w:pPr>
        <w:rPr>
          <w:iCs/>
          <w:noProof/>
        </w:rPr>
      </w:pPr>
      <w:r>
        <w:rPr>
          <w:iCs/>
          <w:noProof/>
        </w:rPr>
        <w:t>The bilateral agreements listed below shall cease to have effect, and shall be replaced and superseded by CETA. The termination of those agreements shall take effect from the date of entry into force of CETA.</w:t>
      </w:r>
    </w:p>
    <w:p>
      <w:pPr>
        <w:pStyle w:val="Bullet1"/>
        <w:numPr>
          <w:ilvl w:val="0"/>
          <w:numId w:val="2"/>
        </w:numPr>
        <w:rPr>
          <w:noProof/>
        </w:rPr>
      </w:pPr>
      <w:bookmarkStart w:id="1" w:name="DQPStarAt1DQPStarAtA46EF8ABC4974133AFA26"/>
      <w:r>
        <w:rPr>
          <w:noProof/>
        </w:rPr>
        <w:t>Agreement between the Government of the Republic of Croatia and the Government of Canada for the Promotion and Protection of Investments, done at Ottawa on 3 February 1997.</w:t>
      </w:r>
    </w:p>
    <w:bookmarkEnd w:id="1"/>
    <w:p>
      <w:pPr>
        <w:pStyle w:val="Bullet1"/>
        <w:rPr>
          <w:noProof/>
        </w:rPr>
      </w:pPr>
      <w:r>
        <w:rPr>
          <w:noProof/>
        </w:rPr>
        <w:t>Agreement between the Czech Republic and Canada for the Promotion and Protection of Investments, done at Prague on 6 May 2009.</w:t>
      </w:r>
    </w:p>
    <w:p>
      <w:pPr>
        <w:pStyle w:val="Bullet1"/>
        <w:rPr>
          <w:noProof/>
        </w:rPr>
      </w:pPr>
      <w:r>
        <w:rPr>
          <w:noProof/>
        </w:rPr>
        <w:t>Agreement between the Government of the Republic of Hungary and the Government of Canada for the Promotion and Reciprocal Protection of Investments, done at Ottawa on 3 October 1991.</w:t>
      </w:r>
    </w:p>
    <w:p>
      <w:pPr>
        <w:pStyle w:val="Bullet1"/>
        <w:rPr>
          <w:noProof/>
        </w:rPr>
      </w:pPr>
      <w:r>
        <w:rPr>
          <w:noProof/>
        </w:rPr>
        <w:t>Agreement between the Government of the Republic of Latvia and the Government of Canada for the Promotion and Protection of Investments, done at Riga on 5 May 2009.</w:t>
      </w:r>
    </w:p>
    <w:p>
      <w:pPr>
        <w:pStyle w:val="Bullet1"/>
        <w:rPr>
          <w:noProof/>
        </w:rPr>
      </w:pPr>
      <w:r>
        <w:rPr>
          <w:noProof/>
        </w:rPr>
        <w:t>Exchange of Notes between the Government of Canada and the Government of the Republic of Malta Constituting an Agreement Relating to Foreign Investment Insurance, done at Valletta on 24 May 1982.</w:t>
      </w:r>
    </w:p>
    <w:p>
      <w:pPr>
        <w:pStyle w:val="Bullet1"/>
        <w:rPr>
          <w:noProof/>
        </w:rPr>
      </w:pPr>
      <w:r>
        <w:rPr>
          <w:noProof/>
        </w:rPr>
        <w:t>Agreement between the Government of the Republic of Poland and the Government of Canada for the Promotion and Reciprocal Protection of Investments, done at Warsaw on 6 April 2009.</w:t>
      </w:r>
    </w:p>
    <w:p>
      <w:pPr>
        <w:pStyle w:val="Bullet1"/>
        <w:rPr>
          <w:noProof/>
        </w:rPr>
      </w:pPr>
      <w:r>
        <w:rPr>
          <w:noProof/>
        </w:rPr>
        <w:t>Agreement between the Government of Romania and the Government of Canada for the Promotion and Reciprocal Protection of Investments, done at Bucharest on 8 May 2009.</w:t>
      </w:r>
    </w:p>
    <w:p>
      <w:pPr>
        <w:pStyle w:val="Bullet1"/>
        <w:rPr>
          <w:noProof/>
        </w:rPr>
      </w:pPr>
      <w:r>
        <w:rPr>
          <w:noProof/>
        </w:rPr>
        <w:t>Agreement between the Slovak Republic and the Government of Canada for the Promotion and Protection of Investments, done at Bratislava on 20 July 2010.</w:t>
      </w:r>
    </w:p>
    <w:p>
      <w:pPr>
        <w:pStyle w:val="ManualHeading2"/>
        <w:rPr>
          <w:rFonts w:eastAsia="Arial Unicode MS"/>
          <w:noProof/>
        </w:rPr>
      </w:pPr>
      <w:r>
        <w:rPr>
          <w:rFonts w:eastAsia="Arial Unicode MS"/>
          <w:noProof/>
          <w:u w:color="000000"/>
          <w:bdr w:val="nil"/>
          <w:lang w:eastAsia="en-GB"/>
        </w:rPr>
        <w:t>•</w:t>
      </w:r>
      <w:r>
        <w:rPr>
          <w:rFonts w:eastAsia="Arial Unicode MS"/>
          <w:noProof/>
          <w:u w:color="000000"/>
          <w:bdr w:val="nil"/>
          <w:lang w:eastAsia="en-GB"/>
        </w:rPr>
        <w:tab/>
      </w:r>
      <w:r>
        <w:rPr>
          <w:rFonts w:eastAsia="Arial Unicode MS"/>
          <w:noProof/>
        </w:rPr>
        <w:t>Consistency with other Union policies</w:t>
      </w:r>
    </w:p>
    <w:p>
      <w:pPr>
        <w:spacing w:after="200" w:line="276" w:lineRule="auto"/>
        <w:rPr>
          <w:noProof/>
        </w:rPr>
      </w:pPr>
      <w:r>
        <w:rPr>
          <w:noProof/>
        </w:rPr>
        <w:t xml:space="preserve">CETA is fully consistent with Union policies, including those affecting international trade. In this respect, CETA will not lower or amend EU legislation, nor it will amend, reduce or eliminate EU standards in any regulated area. All imports from Canada will have to satisfy EU rules and regulations (e.g. technical rules and product standards, sanitary or phytosanitary rules, regulations on food and safety, health and safety standards, rules on GMO’s, environmental protection, consumer protection, etc…). </w:t>
      </w:r>
    </w:p>
    <w:p>
      <w:pPr>
        <w:pBdr>
          <w:top w:val="nil"/>
          <w:left w:val="nil"/>
          <w:bottom w:val="nil"/>
          <w:right w:val="nil"/>
          <w:between w:val="nil"/>
          <w:bar w:val="nil"/>
        </w:pBdr>
        <w:spacing w:before="0" w:after="240"/>
        <w:rPr>
          <w:rFonts w:eastAsia="Arial Unicode MS"/>
          <w:noProof/>
        </w:rPr>
      </w:pPr>
      <w:r>
        <w:rPr>
          <w:noProof/>
        </w:rPr>
        <w:t>CETA also includes chapters on Trade and Sustainable Development, Trade and Labour and Trade and Environment, which link the trade agreement to the EU’s overall objectives in sustainable development and specific objectives in the area of labour, environment, and climate change.</w:t>
      </w:r>
    </w:p>
    <w:p>
      <w:pPr>
        <w:autoSpaceDE w:val="0"/>
        <w:autoSpaceDN w:val="0"/>
        <w:rPr>
          <w:noProof/>
          <w:lang w:val="en-US"/>
        </w:rPr>
      </w:pPr>
      <w:r>
        <w:rPr>
          <w:noProof/>
          <w:lang w:val="en-US"/>
        </w:rPr>
        <w:t xml:space="preserve">Furthermore, like in all its other trade agreements, in CETA the EU fully safeguards public services. EU Member States will be able to run public monopolies for a particular service if they wish to. CETA will not force or incite governments to privatise or deregulate public services like water supply, health, social services or education. EU Member States will continue to be able to decide which services they wish to keep universal and public and to subsidise them if they want to. In addition, nothing in CETA will stop a government in a EU Member State to reverse in the future at any time any autonomous decision it may have taken to privatise these sectors. </w:t>
      </w:r>
    </w:p>
    <w:p>
      <w:pPr>
        <w:spacing w:after="200" w:line="276" w:lineRule="auto"/>
        <w:rPr>
          <w:noProof/>
        </w:rPr>
      </w:pPr>
      <w:r>
        <w:rPr>
          <w:rFonts w:eastAsia="Arial Unicode MS"/>
          <w:noProof/>
          <w:lang w:val="en-US"/>
        </w:rPr>
        <w:t>CETA ensures that Governments’ right to regulate for public policies is fully preserved. In addition, any decision of the CETA Joint Committee has to be approved by each Party, and therefore subject to the EU’s applicable internal requirements and procedures.</w:t>
      </w:r>
    </w:p>
    <w:p>
      <w:pPr>
        <w:autoSpaceDE w:val="0"/>
        <w:autoSpaceDN w:val="0"/>
        <w:rPr>
          <w:noProof/>
        </w:rPr>
      </w:pPr>
      <w:r>
        <w:rPr>
          <w:noProof/>
          <w:lang w:val="en-US"/>
        </w:rPr>
        <w:t>The</w:t>
      </w:r>
      <w:r>
        <w:rPr>
          <w:noProof/>
        </w:rPr>
        <w:t xml:space="preserve"> Regulatory Cooperation Forum within CETA will function as a voluntary cooperation mechanism to exchange experiences and relevant information among regulators, and to help identify areas where regulators could cooperate. It will not be able to change existing regulations or develop new legislation. The Regulatory Cooperation Forum will only provide assistance and make suggestions to regulators and legislators. It will in no way restrict the decision-making power of regulators in the EU's Member States or at EU level.</w:t>
      </w:r>
    </w:p>
    <w:p>
      <w:pPr>
        <w:pStyle w:val="ManualHeading1"/>
        <w:rPr>
          <w:noProof/>
        </w:rPr>
      </w:pPr>
      <w:r>
        <w:rPr>
          <w:noProof/>
        </w:rPr>
        <w:t>2.</w:t>
      </w:r>
      <w:r>
        <w:rPr>
          <w:noProof/>
        </w:rPr>
        <w:tab/>
        <w:t>LEGAL BASIS, SUBSIDIARITY AND PROPORTIONALITY</w:t>
      </w:r>
    </w:p>
    <w:p>
      <w:pPr>
        <w:pStyle w:val="ManualHeading2"/>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Legal basis</w:t>
      </w:r>
    </w:p>
    <w:p>
      <w:pPr>
        <w:pBdr>
          <w:top w:val="nil"/>
          <w:left w:val="nil"/>
          <w:bottom w:val="nil"/>
          <w:right w:val="nil"/>
          <w:between w:val="nil"/>
          <w:bar w:val="nil"/>
        </w:pBdr>
        <w:spacing w:before="0" w:after="240"/>
        <w:rPr>
          <w:noProof/>
          <w:lang w:eastAsia="en-GB"/>
        </w:rPr>
      </w:pPr>
      <w:r>
        <w:rPr>
          <w:noProof/>
        </w:rPr>
        <w:t>CETA has identical objectives and essentially the same contents as the Free Trade Agreement with Singapore (EUSFTA). Therefore, the Union's competence is the same in both cases. In view of the doubts raised with regard to the extent and the nature of the Union's competence to conclude EUSFTA, in July 2015 the Commission requested from the Court of Justice an opinion under Article 218(11) TFEU (case A – 2/15). In case A -2/15 the Commission has expressed the view that the Union has exclusive competence to conclude EUSFTA alone and, in the alternative, that it has at least shared competence in those areas where the Union's competence is not exclusive. Many Member States, however, have expressed a different opinion.  In view of this, and in order not to delay the signature of the Agreement, the Commission has decided to propose the signature of the Agreement as a mixed agreement. Nevertheless, this is without prejudice to the views expressed by the Commission in Case A – 2/15.  Once the Court issues its opinion in case A-2/15, it will be necessary to draw the appropriate conclusions.</w:t>
      </w:r>
    </w:p>
    <w:p>
      <w:pPr>
        <w:pStyle w:val="ManualHeading2"/>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 xml:space="preserve">Subsidiarity (for non-exclusive competence) </w:t>
      </w:r>
    </w:p>
    <w:p>
      <w:pPr>
        <w:rPr>
          <w:noProof/>
        </w:rPr>
      </w:pPr>
      <w:r>
        <w:rPr>
          <w:noProof/>
        </w:rPr>
        <w:t xml:space="preserve">The common commercial policy, in accordance with Article 3 of the TFEU, is defined as an exclusive Union competence. The Commission takes the view that other matters falling outside of the common commercial policy covered under this Agreement fall under the EU's exclusive competence. </w:t>
      </w:r>
    </w:p>
    <w:p>
      <w:pPr>
        <w:pStyle w:val="ManualHeading2"/>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Proportionality</w:t>
      </w:r>
    </w:p>
    <w:p>
      <w:pPr>
        <w:rPr>
          <w:noProof/>
        </w:rPr>
      </w:pPr>
      <w:r>
        <w:rPr>
          <w:noProof/>
        </w:rPr>
        <w:t xml:space="preserve">This proposal is in line with the vision of Europe 2020 strategy and contributes to the Union's trade and development objectives. </w:t>
      </w:r>
    </w:p>
    <w:p>
      <w:pPr>
        <w:pStyle w:val="ManualHeading2"/>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Choice of the instrument</w:t>
      </w:r>
    </w:p>
    <w:p>
      <w:pPr>
        <w:rPr>
          <w:noProof/>
        </w:rPr>
      </w:pPr>
      <w:r>
        <w:rPr>
          <w:noProof/>
        </w:rPr>
        <w:t xml:space="preserve">This proposal is in accordance with Article 218(5) TFEU, which envisages the adoption by the Council of decisions on international agreements. There exists no other legal instrument that could be used in order to achieve the objective expressed in this proposal. </w:t>
      </w:r>
    </w:p>
    <w:p>
      <w:pPr>
        <w:pStyle w:val="ManualHeading1"/>
        <w:rPr>
          <w:noProof/>
        </w:rPr>
      </w:pPr>
      <w:r>
        <w:rPr>
          <w:noProof/>
        </w:rPr>
        <w:t>3.</w:t>
      </w:r>
      <w:r>
        <w:rPr>
          <w:noProof/>
        </w:rPr>
        <w:tab/>
        <w:t>RESULTS OF EX-POST EVALUATIONS, STAKEHOLDER CONSULTATIONS AND IMPACT ASSESSMENTS</w:t>
      </w:r>
    </w:p>
    <w:p>
      <w:pPr>
        <w:pStyle w:val="ManualHeading2"/>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Ex-post evaluations/fitness checks of existing legislation</w:t>
      </w:r>
    </w:p>
    <w:p>
      <w:pPr>
        <w:pBdr>
          <w:top w:val="nil"/>
          <w:left w:val="nil"/>
          <w:bottom w:val="nil"/>
          <w:right w:val="nil"/>
          <w:between w:val="nil"/>
          <w:bar w:val="nil"/>
        </w:pBdr>
        <w:spacing w:before="0" w:after="240"/>
        <w:rPr>
          <w:rFonts w:eastAsia="Arial Unicode MS"/>
          <w:noProof/>
        </w:rPr>
      </w:pPr>
      <w:r>
        <w:rPr>
          <w:noProof/>
        </w:rPr>
        <w:t>Not applicable.</w:t>
      </w:r>
    </w:p>
    <w:p>
      <w:pPr>
        <w:pStyle w:val="ManualHeading2"/>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Stakeholder consultations</w:t>
      </w:r>
    </w:p>
    <w:p>
      <w:pPr>
        <w:autoSpaceDE w:val="0"/>
        <w:autoSpaceDN w:val="0"/>
        <w:adjustRightInd w:val="0"/>
        <w:spacing w:after="0"/>
        <w:rPr>
          <w:noProof/>
          <w:szCs w:val="24"/>
        </w:rPr>
      </w:pPr>
      <w:r>
        <w:rPr>
          <w:iCs/>
          <w:noProof/>
          <w:szCs w:val="24"/>
        </w:rPr>
        <w:t>Prior to the start of the negotiations with Canada, the EU and Canada decided in 2007 to jointly undertake a study to examine and assess the costs and benefits of a closer economic partnership.</w:t>
      </w:r>
      <w:r>
        <w:rPr>
          <w:i/>
          <w:iCs/>
          <w:noProof/>
          <w:szCs w:val="24"/>
        </w:rPr>
        <w:t xml:space="preserve"> </w:t>
      </w:r>
      <w:r>
        <w:rPr>
          <w:noProof/>
          <w:szCs w:val="24"/>
        </w:rPr>
        <w:t>In the context of this joint study</w:t>
      </w:r>
      <w:r>
        <w:rPr>
          <w:rStyle w:val="FootnoteReference"/>
          <w:noProof/>
          <w:szCs w:val="24"/>
        </w:rPr>
        <w:footnoteReference w:id="2"/>
      </w:r>
      <w:r>
        <w:rPr>
          <w:noProof/>
          <w:szCs w:val="24"/>
        </w:rPr>
        <w:t>, the European Commission and Canada carried out two stakeholder consultations. The European Commission undertook a web-based civil society consultation in February and March 2008 on the basis of a questionnaire covering various aspects of the EU-Canada trade and investment relationship. In March and April 2008 Canada distributed a similar questionnaire among the members of its domestic steering committee.</w:t>
      </w:r>
    </w:p>
    <w:p>
      <w:pPr>
        <w:autoSpaceDE w:val="0"/>
        <w:autoSpaceDN w:val="0"/>
        <w:adjustRightInd w:val="0"/>
        <w:spacing w:after="0"/>
        <w:rPr>
          <w:noProof/>
          <w:szCs w:val="24"/>
        </w:rPr>
      </w:pPr>
      <w:r>
        <w:rPr>
          <w:noProof/>
          <w:szCs w:val="24"/>
        </w:rPr>
        <w:t>A high proportion of the respondents expressed the view that, despite the robustness of the existing trade and investment relationship between the EU and Canada, there were still many obstacles and therefore much potential to improve the bilateral relationship.</w:t>
      </w:r>
    </w:p>
    <w:p>
      <w:pPr>
        <w:autoSpaceDE w:val="0"/>
        <w:autoSpaceDN w:val="0"/>
        <w:adjustRightInd w:val="0"/>
        <w:spacing w:after="0"/>
        <w:rPr>
          <w:noProof/>
          <w:szCs w:val="24"/>
        </w:rPr>
      </w:pPr>
      <w:r>
        <w:rPr>
          <w:noProof/>
          <w:szCs w:val="24"/>
        </w:rPr>
        <w:t>There was a general consensus among EU respondents that enhanced economic cooperation between Canada and the EU was desirable.</w:t>
      </w:r>
    </w:p>
    <w:p>
      <w:pPr>
        <w:autoSpaceDE w:val="0"/>
        <w:autoSpaceDN w:val="0"/>
        <w:adjustRightInd w:val="0"/>
        <w:spacing w:after="0"/>
        <w:rPr>
          <w:noProof/>
          <w:szCs w:val="24"/>
        </w:rPr>
      </w:pPr>
      <w:r>
        <w:rPr>
          <w:noProof/>
          <w:szCs w:val="24"/>
        </w:rPr>
        <w:t xml:space="preserve">There appeared to be a particular emphasis on the need to remove tariff peaks and onerous non-tariff barriers to trade as well as a strong request for enhanced regulatory cooperation. </w:t>
      </w:r>
    </w:p>
    <w:p>
      <w:pPr>
        <w:autoSpaceDE w:val="0"/>
        <w:autoSpaceDN w:val="0"/>
        <w:adjustRightInd w:val="0"/>
        <w:spacing w:after="0"/>
        <w:rPr>
          <w:rFonts w:ascii="TimesNewRoman" w:hAnsi="TimesNewRoman" w:cs="TimesNewRoman"/>
          <w:noProof/>
          <w:szCs w:val="24"/>
        </w:rPr>
      </w:pPr>
      <w:r>
        <w:rPr>
          <w:noProof/>
          <w:szCs w:val="24"/>
        </w:rPr>
        <w:t>In addition, during the CETA negotiations, a range of consultation methods were used in the context of the Sustainability Impact Assessment</w:t>
      </w:r>
      <w:r>
        <w:rPr>
          <w:rStyle w:val="FootnoteReference"/>
          <w:noProof/>
          <w:szCs w:val="24"/>
        </w:rPr>
        <w:footnoteReference w:id="3"/>
      </w:r>
      <w:r>
        <w:rPr>
          <w:noProof/>
          <w:szCs w:val="24"/>
        </w:rPr>
        <w:t>. This included amongst others civil society meetings, a stakeholder workshop, and a project website with a discussion forum.</w:t>
      </w:r>
      <w:r>
        <w:rPr>
          <w:rFonts w:ascii="TimesNewRoman" w:hAnsi="TimesNewRoman" w:cs="TimesNewRoman"/>
          <w:noProof/>
          <w:szCs w:val="24"/>
        </w:rPr>
        <w:t xml:space="preserve"> </w:t>
      </w:r>
      <w:r>
        <w:rPr>
          <w:noProof/>
          <w:szCs w:val="24"/>
        </w:rPr>
        <w:t>The civil society meetings took place in Brussels and Ottawa and were attended by broad section of different interest groups and unions. The stakeholder workshop in Ottawa included participants from industry and trade associations, labour organisations, public workers’ unions and unions for workers in private sector, environmental organisations, etc. Several academic and institute-based experts also provided helpful comments on the SIA.</w:t>
      </w:r>
    </w:p>
    <w:p>
      <w:pPr>
        <w:pStyle w:val="ManualHeading2"/>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Collection and use of expertise</w:t>
      </w:r>
    </w:p>
    <w:p>
      <w:pPr>
        <w:autoSpaceDE w:val="0"/>
        <w:autoSpaceDN w:val="0"/>
        <w:adjustRightInd w:val="0"/>
        <w:spacing w:before="0" w:after="0"/>
        <w:rPr>
          <w:noProof/>
        </w:rPr>
      </w:pPr>
      <w:r>
        <w:rPr>
          <w:noProof/>
          <w:szCs w:val="24"/>
        </w:rPr>
        <w:t>A Joint EU-Canada study was produced with the assistance of Professor Walid Hejazi (Rotman Business School, University of Toronto</w:t>
      </w:r>
      <w:r>
        <w:rPr>
          <w:noProof/>
        </w:rPr>
        <w:t>) for the drafting of this study and Professor Joe Francois (University of Linz) for the economic modelling part of the study.</w:t>
      </w:r>
    </w:p>
    <w:p>
      <w:pPr>
        <w:autoSpaceDE w:val="0"/>
        <w:autoSpaceDN w:val="0"/>
        <w:adjustRightInd w:val="0"/>
        <w:spacing w:before="0" w:after="0"/>
        <w:rPr>
          <w:noProof/>
          <w:szCs w:val="24"/>
        </w:rPr>
      </w:pPr>
      <w:r>
        <w:rPr>
          <w:noProof/>
          <w:szCs w:val="24"/>
        </w:rPr>
        <w:t>The CETA Sustainability Impact Assessment has been carried out by the external contractor “Development Solutions”.</w:t>
      </w:r>
    </w:p>
    <w:p>
      <w:pPr>
        <w:pStyle w:val="ManualHeading2"/>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Impact assessment</w:t>
      </w:r>
    </w:p>
    <w:p>
      <w:pPr>
        <w:rPr>
          <w:noProof/>
        </w:rPr>
      </w:pPr>
      <w:r>
        <w:rPr>
          <w:noProof/>
        </w:rPr>
        <w:t xml:space="preserve">In October 2008, the EU and Canada released their joint study "Assessing the Costs and Benefits of a Closer EU-Canada Economic Partnership". At the time the study indicated that the liberalisation of trade in goods and services will bring benefits both to the EU and to Canada. The full report is available on the DG TRADE website: </w:t>
      </w:r>
    </w:p>
    <w:p>
      <w:pPr>
        <w:rPr>
          <w:noProof/>
        </w:rPr>
      </w:pPr>
      <w:hyperlink r:id="rId12" w:history="1">
        <w:r>
          <w:rPr>
            <w:rStyle w:val="Hyperlink"/>
            <w:noProof/>
            <w:color w:val="auto"/>
          </w:rPr>
          <w:t>http://trade.ec.europa.eu/doclib/docs/2008/october/tradoc_141032.pdf</w:t>
        </w:r>
      </w:hyperlink>
    </w:p>
    <w:p>
      <w:pPr>
        <w:rPr>
          <w:noProof/>
        </w:rPr>
      </w:pPr>
      <w:r>
        <w:rPr>
          <w:noProof/>
        </w:rPr>
        <w:t>Furthermore, the Sustainability Impact Assessment (SIA), carried out during the negotiation, provides a comprehensive assessment of the potential impacts of trade liberalisation under the Agreement. The analysis assesses the economic, social and environmental impacts in Canada and the European Union across three main sectors, sixteen sub-sectors and seven cross-cutting issues. It also assesses the potential impacts of CETA on the U.S., Mexico and other countries and regions, including a number of developing countries as well as the EU Overseas Customs and Territories of Saint-Pierre-et-Miquelon and Greenland. The terms of reference, interim report, and the final report are available on the DG TRADE website:</w:t>
      </w:r>
    </w:p>
    <w:p>
      <w:pPr>
        <w:rPr>
          <w:noProof/>
        </w:rPr>
      </w:pPr>
      <w:hyperlink r:id="rId13" w:anchor="study-geo-14" w:history="1">
        <w:r>
          <w:rPr>
            <w:rStyle w:val="Hyperlink"/>
            <w:rFonts w:eastAsia="Arial Unicode MS"/>
            <w:noProof/>
            <w:color w:val="auto"/>
          </w:rPr>
          <w:t>http://ec.europa.eu/trade/policy/policy-making/analysis/sustainability-impact-assessments/assessments/#study-geo-14</w:t>
        </w:r>
      </w:hyperlink>
    </w:p>
    <w:p>
      <w:pPr>
        <w:autoSpaceDE w:val="0"/>
        <w:autoSpaceDN w:val="0"/>
        <w:adjustRightInd w:val="0"/>
        <w:spacing w:after="0"/>
        <w:rPr>
          <w:noProof/>
        </w:rPr>
      </w:pPr>
      <w:r>
        <w:rPr>
          <w:noProof/>
          <w:szCs w:val="24"/>
        </w:rPr>
        <w:t>The EU and Canada have reached an ambitious agreement which will open new opportunities for trade and investment on both sides of the Atlantic and support jobs in Europe.</w:t>
      </w:r>
      <w:r>
        <w:rPr>
          <w:rFonts w:ascii="TimesNewRoman" w:hAnsi="TimesNewRoman" w:cs="TimesNewRoman"/>
          <w:noProof/>
          <w:szCs w:val="24"/>
        </w:rPr>
        <w:t xml:space="preserve"> </w:t>
      </w:r>
      <w:r>
        <w:rPr>
          <w:noProof/>
        </w:rPr>
        <w:t xml:space="preserve">CETA will remove customs duties, end limitations on access to public contracts, open up services' market, offer predictable conditions for investors and, last but not least, help prevent illegal copying of EU innovations and traditional products. The agreement also contains all the guarantees to make sure that the economic gains do not come at the expense of fundamental rights, social standards, governments' right to regulate, environment protection or consumers' health and safety. </w:t>
      </w:r>
    </w:p>
    <w:p>
      <w:pPr>
        <w:pStyle w:val="ManualHeading2"/>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Regulatory fitness and simplification</w:t>
      </w:r>
    </w:p>
    <w:p>
      <w:pPr>
        <w:autoSpaceDE w:val="0"/>
        <w:autoSpaceDN w:val="0"/>
        <w:adjustRightInd w:val="0"/>
        <w:spacing w:before="0" w:after="0"/>
        <w:jc w:val="left"/>
        <w:rPr>
          <w:noProof/>
        </w:rPr>
      </w:pPr>
      <w:r>
        <w:rPr>
          <w:noProof/>
        </w:rPr>
        <w:t xml:space="preserve">CETA is not subject to REFIT procedures; nevertheless it does have some special provisions for SMEs (for example potentially </w:t>
      </w:r>
      <w:r>
        <w:rPr>
          <w:noProof/>
          <w:szCs w:val="24"/>
        </w:rPr>
        <w:t>reducing the cost of litigation under the Investment Court System for claimants who are SMEs).</w:t>
      </w:r>
    </w:p>
    <w:p>
      <w:pPr>
        <w:pStyle w:val="ManualHeading2"/>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Fundamental rights</w:t>
      </w:r>
    </w:p>
    <w:p>
      <w:pPr>
        <w:pBdr>
          <w:top w:val="nil"/>
          <w:left w:val="nil"/>
          <w:bottom w:val="nil"/>
          <w:right w:val="nil"/>
          <w:between w:val="nil"/>
          <w:bar w:val="nil"/>
        </w:pBdr>
        <w:spacing w:before="0" w:after="240"/>
        <w:rPr>
          <w:rFonts w:eastAsia="Arial Unicode MS"/>
          <w:noProof/>
        </w:rPr>
      </w:pPr>
      <w:r>
        <w:rPr>
          <w:noProof/>
        </w:rPr>
        <w:t>The proposal does not affect the protection of fundamental rights in the Union.</w:t>
      </w:r>
    </w:p>
    <w:p>
      <w:pPr>
        <w:pStyle w:val="ManualHeading1"/>
        <w:rPr>
          <w:noProof/>
        </w:rPr>
      </w:pPr>
      <w:r>
        <w:rPr>
          <w:noProof/>
        </w:rPr>
        <w:t>4.</w:t>
      </w:r>
      <w:r>
        <w:rPr>
          <w:noProof/>
        </w:rPr>
        <w:tab/>
        <w:t>BUDGETARY IMPLICATIONS</w:t>
      </w:r>
    </w:p>
    <w:p>
      <w:pPr>
        <w:pBdr>
          <w:top w:val="nil"/>
          <w:left w:val="nil"/>
          <w:bottom w:val="nil"/>
          <w:right w:val="nil"/>
          <w:between w:val="nil"/>
          <w:bar w:val="nil"/>
        </w:pBdr>
        <w:spacing w:before="0" w:after="240"/>
        <w:rPr>
          <w:rFonts w:eastAsia="Arial Unicode MS"/>
          <w:noProof/>
        </w:rPr>
      </w:pPr>
      <w:r>
        <w:rPr>
          <w:rFonts w:eastAsia="Arial Unicode MS"/>
          <w:noProof/>
        </w:rPr>
        <w:t>The impact of this agreement for the EU budget will be twofold:</w:t>
      </w:r>
    </w:p>
    <w:p>
      <w:pPr>
        <w:pBdr>
          <w:top w:val="nil"/>
          <w:left w:val="nil"/>
          <w:bottom w:val="nil"/>
          <w:right w:val="nil"/>
          <w:between w:val="nil"/>
          <w:bar w:val="nil"/>
        </w:pBdr>
        <w:spacing w:before="0" w:after="240"/>
        <w:rPr>
          <w:rFonts w:eastAsia="Arial Unicode MS"/>
          <w:noProof/>
        </w:rPr>
      </w:pPr>
      <w:r>
        <w:rPr>
          <w:rFonts w:eastAsia="Arial Unicode MS"/>
          <w:noProof/>
        </w:rPr>
        <w:t xml:space="preserve">On the </w:t>
      </w:r>
      <w:r>
        <w:rPr>
          <w:rFonts w:eastAsia="Arial Unicode MS"/>
          <w:b/>
          <w:noProof/>
        </w:rPr>
        <w:t>INCOME</w:t>
      </w:r>
      <w:r>
        <w:rPr>
          <w:rFonts w:eastAsia="Arial Unicode MS"/>
          <w:noProof/>
        </w:rPr>
        <w:t>: it is estimated that foregone duty will reach an amount of € 311 million upon full implementation of the Agreement after seven years, as 97,7 % of the EU tariffs lines will be eliminated at the entry into force of the agreement and then an additional 1% gradually within 3, 5 or 7 years. The amount of € 311 million corresponds to the 80 % of estimated duties collected by EU Member States on imported Canadian products on the basis of 2015 data. The estimate takes into account the new Own Resources Decision, which lowers the collecting costs that Member States retain, from 25% to 20%.</w:t>
      </w:r>
    </w:p>
    <w:p>
      <w:pPr>
        <w:pBdr>
          <w:top w:val="nil"/>
          <w:left w:val="nil"/>
          <w:bottom w:val="nil"/>
          <w:right w:val="nil"/>
          <w:between w:val="nil"/>
          <w:bar w:val="nil"/>
        </w:pBdr>
        <w:spacing w:before="0" w:after="240"/>
        <w:rPr>
          <w:rFonts w:eastAsia="Arial Unicode MS"/>
          <w:noProof/>
        </w:rPr>
      </w:pPr>
      <w:r>
        <w:rPr>
          <w:rFonts w:eastAsia="Arial Unicode MS"/>
          <w:noProof/>
        </w:rPr>
        <w:t xml:space="preserve">On the </w:t>
      </w:r>
      <w:r>
        <w:rPr>
          <w:rFonts w:eastAsia="Arial Unicode MS"/>
          <w:b/>
          <w:noProof/>
        </w:rPr>
        <w:t>EXPENDITURE</w:t>
      </w:r>
      <w:r>
        <w:rPr>
          <w:rFonts w:eastAsia="Arial Unicode MS"/>
          <w:noProof/>
        </w:rPr>
        <w:t>: the CETA will be the first to incorporate the new Investment Court System (ICS) in the context of the Investment Dispute Resolution System. Accordingly, an amount of € 0,5 million of additional yearly expenditure is foreseen from 2017 onwards (subject to ratification) to finance the permanent structure comprising a First Instance and an Appeal Tribunal.</w:t>
      </w:r>
    </w:p>
    <w:p>
      <w:pPr>
        <w:pBdr>
          <w:top w:val="nil"/>
          <w:left w:val="nil"/>
          <w:bottom w:val="nil"/>
          <w:right w:val="nil"/>
          <w:between w:val="nil"/>
          <w:bar w:val="nil"/>
        </w:pBdr>
        <w:spacing w:before="0" w:after="240"/>
        <w:rPr>
          <w:rFonts w:eastAsia="Arial Unicode MS"/>
          <w:noProof/>
        </w:rPr>
      </w:pPr>
      <w:r>
        <w:rPr>
          <w:rFonts w:eastAsia="Arial Unicode MS"/>
          <w:noProof/>
        </w:rPr>
        <w:t>On the other hand, the proposal entails the use of administrative resources under budget line XX 01 01 01 (Expenditure related to officials and temporary staff working with the Institution), since it is estimated that one Administrator will be dedicated as FTE to the tasks inherent to this agreement. This is indicated in the Legislative Financial Statement and is subject to the conditions mentioned in it.</w:t>
      </w:r>
    </w:p>
    <w:p>
      <w:pPr>
        <w:pStyle w:val="ManualHeading1"/>
        <w:rPr>
          <w:noProof/>
        </w:rPr>
      </w:pPr>
      <w:r>
        <w:rPr>
          <w:noProof/>
        </w:rPr>
        <w:t>5.</w:t>
      </w:r>
      <w:r>
        <w:rPr>
          <w:noProof/>
        </w:rPr>
        <w:tab/>
        <w:t>OTHER ELEMENTS</w:t>
      </w:r>
    </w:p>
    <w:p>
      <w:pPr>
        <w:pStyle w:val="ManualHeading2"/>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Implementation plans and monitoring, evaluation and reporting arrangements</w:t>
      </w:r>
    </w:p>
    <w:p>
      <w:pPr>
        <w:autoSpaceDE w:val="0"/>
        <w:autoSpaceDN w:val="0"/>
        <w:adjustRightInd w:val="0"/>
        <w:spacing w:before="0" w:after="0"/>
        <w:rPr>
          <w:noProof/>
          <w:szCs w:val="24"/>
        </w:rPr>
      </w:pPr>
      <w:r>
        <w:rPr>
          <w:noProof/>
        </w:rPr>
        <w:t xml:space="preserve">The administrative and </w:t>
      </w:r>
      <w:r>
        <w:rPr>
          <w:noProof/>
          <w:szCs w:val="24"/>
        </w:rPr>
        <w:t xml:space="preserve">institutional chapter establishes a CETA Joint Committee that will continuously monitor the implementation, operation and impact of this agreement. The CETA Joint Committee is comprised of representatives of the European Union and representatives of Canada who will meet once a year or at the request of a Party and will supervise the work of all specialised committees and other bodies established under this Agreement. </w:t>
      </w:r>
    </w:p>
    <w:p>
      <w:pPr>
        <w:pStyle w:val="ListBullet"/>
        <w:rPr>
          <w:noProof/>
        </w:rPr>
      </w:pPr>
      <w:bookmarkStart w:id="2" w:name="DQPStarAt1DQPStarAt3F930111D27E42B8A1D48"/>
      <w:r>
        <w:rPr>
          <w:noProof/>
          <w:szCs w:val="24"/>
        </w:rPr>
        <w:t xml:space="preserve">It is important to note that </w:t>
      </w:r>
      <w:r>
        <w:rPr>
          <w:noProof/>
        </w:rPr>
        <w:t>the CETA Joint Committee is not an independent body and shall make its decisions and recommendations only by agreement between the EU and Canada. It will in no way restrict the decision-making power of regulators in the EU's Member States or at EU level, or of their authorising institutions.</w:t>
      </w:r>
    </w:p>
    <w:bookmarkEnd w:id="2"/>
    <w:p>
      <w:pPr>
        <w:pStyle w:val="ListBullet"/>
        <w:rPr>
          <w:noProof/>
        </w:rPr>
      </w:pPr>
      <w:r>
        <w:rPr>
          <w:noProof/>
        </w:rPr>
        <w:t>The EU and Canada may, through the CETA Joint Committee, decide to amend the Annexes. When the Parties approve such a decision, it has to be subject to their respective applicable internal requirements and procedures. The EU therefore decides whether or not to agree to a decision of the Joint Committee by following the EU internal procedures as stipulated in the EU Treaty. The CETA Joint Committee can therefore not act without a decision of the EU institutions, taken according to the EU’s internal legal process.</w:t>
      </w:r>
    </w:p>
    <w:p>
      <w:pPr>
        <w:pStyle w:val="ListBullet"/>
        <w:rPr>
          <w:noProof/>
        </w:rPr>
      </w:pPr>
      <w:r>
        <w:rPr>
          <w:noProof/>
        </w:rPr>
        <w:t>The possibility of Joint Committees adopting certain amendments is a common feature of all international agreements, including EU trade agreements.</w:t>
      </w:r>
    </w:p>
    <w:p>
      <w:pPr>
        <w:pStyle w:val="ListBullet"/>
        <w:rPr>
          <w:noProof/>
        </w:rPr>
      </w:pPr>
      <w:r>
        <w:rPr>
          <w:noProof/>
        </w:rPr>
        <w:t>As a special procedure, as stated in Article 30.2, the CETA Joint Committee cannot decide to amend a specific list of annexes for which the full amendment procedure will be needed. This list includes: Chapter 8 - Investment, Chapter 9 - Cross-Border Trade in Services, Chapter 10 - Temporary Entry and Stay of Natural Persons for Business Purposes, and Chapter 13 - Financial Services (with the exception for Annex 10-A List of Contact Points of the Member States of the European Union).</w:t>
      </w:r>
    </w:p>
    <w:p>
      <w:pPr>
        <w:autoSpaceDE w:val="0"/>
        <w:autoSpaceDN w:val="0"/>
        <w:adjustRightInd w:val="0"/>
        <w:spacing w:before="0" w:after="0"/>
        <w:rPr>
          <w:noProof/>
          <w:szCs w:val="24"/>
        </w:rPr>
      </w:pPr>
      <w:r>
        <w:rPr>
          <w:noProof/>
          <w:szCs w:val="24"/>
        </w:rPr>
        <w:t xml:space="preserve">The following specialised committees will be established under the auspices of the CETA Joint Committee: </w:t>
      </w:r>
    </w:p>
    <w:p>
      <w:pPr>
        <w:pStyle w:val="Tiret1"/>
        <w:numPr>
          <w:ilvl w:val="0"/>
          <w:numId w:val="3"/>
        </w:numPr>
        <w:rPr>
          <w:noProof/>
        </w:rPr>
      </w:pPr>
      <w:bookmarkStart w:id="3" w:name="DQPStarAt1DQPStarAt55144AFE6DD54F37A3944"/>
      <w:r>
        <w:rPr>
          <w:noProof/>
        </w:rPr>
        <w:t>the Committee on Trade in Goods, which addresses matters concerning trade in goods, tariffs, technical barriers to trade, the Protocol on the mutual acceptance of the results of conformity assessment and intellectual property rights related to goods. The Committee on Agriculture, the Committee on Wines and Spirits, and the Joint Sectoral Group on Pharmaceuticals shall also be established under and report to the Committee on Trade in Goods.</w:t>
      </w:r>
    </w:p>
    <w:bookmarkEnd w:id="3"/>
    <w:p>
      <w:pPr>
        <w:pStyle w:val="Tiret1"/>
        <w:rPr>
          <w:noProof/>
        </w:rPr>
      </w:pPr>
      <w:r>
        <w:rPr>
          <w:noProof/>
        </w:rPr>
        <w:t xml:space="preserve">the Committee on Services and Investment, which addresses matters concerning cross-border trade in services, investment, temporary entry, electronic commerce, and intellectual property rights related to services. </w:t>
      </w:r>
    </w:p>
    <w:p>
      <w:pPr>
        <w:pStyle w:val="Tiret1"/>
        <w:rPr>
          <w:noProof/>
        </w:rPr>
      </w:pPr>
      <w:r>
        <w:rPr>
          <w:noProof/>
        </w:rPr>
        <w:t xml:space="preserve">the Joint Customs Cooperation Committee (JCCC), established under the 1998 </w:t>
      </w:r>
      <w:r>
        <w:rPr>
          <w:iCs/>
          <w:noProof/>
        </w:rPr>
        <w:t>Agreement between the European Community and Canada on Customs Cooperation and Mutual Assistance in Customs Matters</w:t>
      </w:r>
      <w:r>
        <w:rPr>
          <w:noProof/>
        </w:rPr>
        <w:t>, which addresses matters under this Agreement concerning rules of origin, origin procedures, customs and trade facilitation, border measures and temporary suspension of preferential tariff treatment;</w:t>
      </w:r>
    </w:p>
    <w:p>
      <w:pPr>
        <w:pStyle w:val="Tiret1"/>
        <w:rPr>
          <w:noProof/>
        </w:rPr>
      </w:pPr>
      <w:r>
        <w:rPr>
          <w:noProof/>
        </w:rPr>
        <w:t>the Joint Management Committee on Sanitary and Phytosanitary Measures, which addresses matters concerning sanitary and phytosanitary measures;</w:t>
      </w:r>
    </w:p>
    <w:p>
      <w:pPr>
        <w:pStyle w:val="Tiret1"/>
        <w:rPr>
          <w:noProof/>
        </w:rPr>
      </w:pPr>
      <w:r>
        <w:rPr>
          <w:noProof/>
        </w:rPr>
        <w:t>the Committee on Government Procurement, which addresses matters concerning government procurement;</w:t>
      </w:r>
    </w:p>
    <w:p>
      <w:pPr>
        <w:pStyle w:val="Tiret1"/>
        <w:rPr>
          <w:noProof/>
        </w:rPr>
      </w:pPr>
      <w:r>
        <w:rPr>
          <w:noProof/>
        </w:rPr>
        <w:t>the Financial Services Committee, which addresses matters concerning financial services;</w:t>
      </w:r>
    </w:p>
    <w:p>
      <w:pPr>
        <w:pStyle w:val="Tiret1"/>
        <w:rPr>
          <w:noProof/>
        </w:rPr>
      </w:pPr>
      <w:r>
        <w:rPr>
          <w:noProof/>
        </w:rPr>
        <w:t>the Committee on Trade and Sustainable Development, which addresses matters concerning sustainable development;</w:t>
      </w:r>
    </w:p>
    <w:p>
      <w:pPr>
        <w:pStyle w:val="Tiret1"/>
        <w:rPr>
          <w:noProof/>
        </w:rPr>
      </w:pPr>
      <w:r>
        <w:rPr>
          <w:noProof/>
        </w:rPr>
        <w:t>the Regulatory Cooperation Forum, which addresses matters concerning regulatory cooperation; and</w:t>
      </w:r>
    </w:p>
    <w:p>
      <w:pPr>
        <w:pStyle w:val="Tiret1"/>
        <w:rPr>
          <w:noProof/>
        </w:rPr>
      </w:pPr>
      <w:r>
        <w:rPr>
          <w:noProof/>
        </w:rPr>
        <w:t>the CETA Committee on Geographical Indications, which addresses matters concerning geographical indications.</w:t>
      </w:r>
    </w:p>
    <w:p>
      <w:pPr>
        <w:autoSpaceDE w:val="0"/>
        <w:autoSpaceDN w:val="0"/>
        <w:adjustRightInd w:val="0"/>
        <w:spacing w:before="0" w:after="0"/>
        <w:rPr>
          <w:noProof/>
        </w:rPr>
      </w:pPr>
      <w:r>
        <w:rPr>
          <w:noProof/>
        </w:rPr>
        <w:t>To the extent that any of such specialised Committee has any decision-making power under CETA, those decisions will be taken in the same manner as those of the Joint Committee.</w:t>
      </w:r>
    </w:p>
    <w:p>
      <w:pPr>
        <w:pStyle w:val="ManualHeading2"/>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Implementation in the EU</w:t>
      </w:r>
    </w:p>
    <w:p>
      <w:pPr>
        <w:autoSpaceDE w:val="0"/>
        <w:autoSpaceDN w:val="0"/>
        <w:adjustRightInd w:val="0"/>
        <w:spacing w:before="0" w:after="0"/>
        <w:rPr>
          <w:noProof/>
        </w:rPr>
      </w:pPr>
      <w:r>
        <w:rPr>
          <w:noProof/>
        </w:rPr>
        <w:t xml:space="preserve">Certain actions will need to be taken in order to ensure implementation of the Agreement. These will be put in place in time for the application of the Agreement. These are a Commission implementing regulation to be adopted pursuant to Article 58(1) of Regulation (EU) No 952/2013 of the European Parliament and of the Council of 9 October 2013 laying down the Union Customs Code opening the tariff rate quotas provided for by the Agreement. </w:t>
      </w:r>
    </w:p>
    <w:p>
      <w:pPr>
        <w:pStyle w:val="ManualHeading2"/>
        <w:rPr>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r>
      <w:r>
        <w:rPr>
          <w:noProof/>
        </w:rPr>
        <w:t>Explanatory</w:t>
      </w:r>
      <w:r>
        <w:rPr>
          <w:noProof/>
          <w:u w:color="000000"/>
          <w:bdr w:val="nil"/>
          <w:lang w:eastAsia="en-GB"/>
        </w:rPr>
        <w:t xml:space="preserve"> documents (for directives)</w:t>
      </w:r>
    </w:p>
    <w:p>
      <w:pPr>
        <w:pBdr>
          <w:top w:val="nil"/>
          <w:left w:val="nil"/>
          <w:bottom w:val="nil"/>
          <w:right w:val="nil"/>
          <w:between w:val="nil"/>
          <w:bar w:val="nil"/>
        </w:pBdr>
        <w:spacing w:before="0" w:after="240"/>
        <w:rPr>
          <w:rFonts w:eastAsia="Arial Unicode MS"/>
          <w:noProof/>
        </w:rPr>
      </w:pPr>
      <w:r>
        <w:rPr>
          <w:noProof/>
        </w:rPr>
        <w:t>Not applicable.</w:t>
      </w:r>
    </w:p>
    <w:p>
      <w:pPr>
        <w:pStyle w:val="ManualHeading2"/>
        <w:rPr>
          <w:rFonts w:eastAsia="Arial Unicode MS"/>
          <w:noProof/>
          <w:u w:color="000000"/>
          <w:bdr w:val="nil"/>
          <w:lang w:eastAsia="en-GB"/>
        </w:rPr>
      </w:pPr>
      <w:r>
        <w:rPr>
          <w:rFonts w:eastAsia="Arial Unicode MS"/>
          <w:noProof/>
          <w:u w:color="000000"/>
          <w:bdr w:val="nil"/>
          <w:lang w:eastAsia="en-GB"/>
        </w:rPr>
        <w:t>•</w:t>
      </w:r>
      <w:r>
        <w:rPr>
          <w:rFonts w:eastAsia="Arial Unicode MS"/>
          <w:noProof/>
          <w:u w:color="000000"/>
          <w:bdr w:val="nil"/>
          <w:lang w:eastAsia="en-GB"/>
        </w:rPr>
        <w:tab/>
        <w:t>Detailed explanation of the specific provisions of the proposal</w:t>
      </w:r>
    </w:p>
    <w:p>
      <w:pPr>
        <w:autoSpaceDE w:val="0"/>
        <w:autoSpaceDN w:val="0"/>
        <w:adjustRightInd w:val="0"/>
        <w:spacing w:before="0"/>
        <w:rPr>
          <w:bCs/>
          <w:noProof/>
          <w:szCs w:val="24"/>
        </w:rPr>
      </w:pPr>
      <w:r>
        <w:rPr>
          <w:bCs/>
          <w:noProof/>
          <w:szCs w:val="24"/>
        </w:rPr>
        <w:t>CETA is a comprehensive trade and investment agreement which contains</w:t>
      </w:r>
      <w:r>
        <w:rPr>
          <w:noProof/>
          <w:szCs w:val="20"/>
        </w:rPr>
        <w:t xml:space="preserve"> provisions on </w:t>
      </w:r>
      <w:r>
        <w:rPr>
          <w:noProof/>
        </w:rPr>
        <w:t xml:space="preserve">national treatment and market access for goods, trade remedies, technical barriers to trade, sanitary and phytosanitary measures, customs and trade facilitation, subsidies, investment, cross-border trade in services, temporary entry and stay of natural persons for business purposes, </w:t>
      </w:r>
      <w:r>
        <w:rPr>
          <w:bCs/>
          <w:noProof/>
          <w:szCs w:val="24"/>
        </w:rPr>
        <w:t>mutual recognition of professional qualifications, domestic regulation, financial services, international maritime transport services, telecommunications, electronic commerce, competition policy, state enterprises, monopolies, and enterprises granted special rights or privileges, government procurement, intellectual property, regulatory cooperation, trade and sustainable development, trade and labour, trade and environment, bilateral dialogues and cooperation,</w:t>
      </w:r>
      <w:r>
        <w:rPr>
          <w:bCs/>
          <w:noProof/>
          <w:sz w:val="22"/>
        </w:rPr>
        <w:t xml:space="preserve"> </w:t>
      </w:r>
      <w:r>
        <w:rPr>
          <w:bCs/>
          <w:noProof/>
          <w:szCs w:val="24"/>
        </w:rPr>
        <w:t>administrative and institutional provisions, transparency and dispute settlement.</w:t>
      </w:r>
    </w:p>
    <w:p>
      <w:pPr>
        <w:rPr>
          <w:noProof/>
          <w:lang w:val="en-US"/>
        </w:rPr>
      </w:pPr>
      <w:r>
        <w:rPr>
          <w:noProof/>
          <w:lang w:val="en-US"/>
        </w:rPr>
        <w:t xml:space="preserve">CETA will significantly </w:t>
      </w:r>
      <w:r>
        <w:rPr>
          <w:bCs/>
          <w:noProof/>
          <w:lang w:val="en-US"/>
        </w:rPr>
        <w:t>improve business opportunities</w:t>
      </w:r>
      <w:r>
        <w:rPr>
          <w:noProof/>
          <w:lang w:val="en-US"/>
        </w:rPr>
        <w:t xml:space="preserve"> for European companies in Canada. With CETA, European companies will receive the best treatment that Canada has ever offered to any trading partner, thus </w:t>
      </w:r>
      <w:r>
        <w:rPr>
          <w:bCs/>
          <w:noProof/>
          <w:lang w:val="en-US"/>
        </w:rPr>
        <w:t>levelling the playing field</w:t>
      </w:r>
      <w:r>
        <w:rPr>
          <w:noProof/>
          <w:lang w:val="en-US"/>
        </w:rPr>
        <w:t xml:space="preserve"> on the Canadian market for EU companies. </w:t>
      </w:r>
    </w:p>
    <w:p>
      <w:pPr>
        <w:rPr>
          <w:noProof/>
          <w:lang w:val="en-US"/>
        </w:rPr>
      </w:pPr>
      <w:r>
        <w:rPr>
          <w:noProof/>
          <w:lang w:val="en-US"/>
        </w:rPr>
        <w:t xml:space="preserve">By opening markets, CETA should support growth and jobs in the EU and bring further benefits for European consumers. It has the potential to keep prices down and provide consumers with greater choice of quality products. </w:t>
      </w:r>
      <w:r>
        <w:rPr>
          <w:bCs/>
          <w:noProof/>
          <w:lang w:val="en-US"/>
        </w:rPr>
        <w:t>CETA will not change EU standards.</w:t>
      </w:r>
      <w:r>
        <w:rPr>
          <w:b/>
          <w:bCs/>
          <w:noProof/>
          <w:lang w:val="en-US"/>
        </w:rPr>
        <w:t xml:space="preserve"> </w:t>
      </w:r>
      <w:r>
        <w:rPr>
          <w:noProof/>
          <w:lang w:val="en-US"/>
        </w:rPr>
        <w:t>Standards and regulations related to food safety, product safety, consumer protection, health, environment, social or labour standards etc. will remain untouched.</w:t>
      </w:r>
      <w:r>
        <w:rPr>
          <w:b/>
          <w:bCs/>
          <w:noProof/>
          <w:lang w:val="en-US"/>
        </w:rPr>
        <w:t xml:space="preserve"> </w:t>
      </w:r>
      <w:r>
        <w:rPr>
          <w:noProof/>
          <w:lang w:val="en-US"/>
        </w:rPr>
        <w:t xml:space="preserve">All imports from Canada will have to satisfy all EU product rules and regulations – without exception. </w:t>
      </w:r>
    </w:p>
    <w:p>
      <w:pPr>
        <w:rPr>
          <w:noProof/>
          <w:lang w:val="en-US"/>
        </w:rPr>
      </w:pPr>
      <w:r>
        <w:rPr>
          <w:noProof/>
          <w:lang w:val="en-US"/>
        </w:rPr>
        <w:t>More specifically CETA will offer:</w:t>
      </w:r>
    </w:p>
    <w:p>
      <w:pPr>
        <w:rPr>
          <w:noProof/>
          <w:lang w:val="en-US"/>
        </w:rPr>
      </w:pPr>
      <w:r>
        <w:rPr>
          <w:b/>
          <w:bCs/>
          <w:noProof/>
          <w:lang w:val="en-US"/>
        </w:rPr>
        <w:t>Savings on customs duties</w:t>
      </w:r>
    </w:p>
    <w:p>
      <w:pPr>
        <w:rPr>
          <w:noProof/>
          <w:lang w:val="en-US"/>
        </w:rPr>
      </w:pPr>
      <w:r>
        <w:rPr>
          <w:noProof/>
          <w:lang w:val="en-US"/>
        </w:rPr>
        <w:t xml:space="preserve">CETA will bring tangible benefits to European consumers and companies by </w:t>
      </w:r>
      <w:r>
        <w:rPr>
          <w:bCs/>
          <w:noProof/>
          <w:lang w:val="en-US"/>
        </w:rPr>
        <w:t>eliminating or cutting customs duties</w:t>
      </w:r>
      <w:r>
        <w:rPr>
          <w:noProof/>
          <w:lang w:val="en-US"/>
        </w:rPr>
        <w:t>– some of the most far reaching cuts achieved by the EU in a trade agreement. This will provide important market opportunities for European companies including SMEs. Importantly, most customs duties will be removed as soon as CETA comes into effect. Cutting customs duties will not lower or change EU standards. Canadian imports will have to respect EU regulations.</w:t>
      </w:r>
    </w:p>
    <w:p>
      <w:pPr>
        <w:rPr>
          <w:b/>
          <w:noProof/>
          <w:lang w:val="en-US"/>
        </w:rPr>
      </w:pPr>
      <w:r>
        <w:rPr>
          <w:b/>
          <w:noProof/>
          <w:lang w:val="en-US"/>
        </w:rPr>
        <w:t>Opportunities for service suppliers and transparent and effective investment protection and dispute settlement mechanisms</w:t>
      </w:r>
    </w:p>
    <w:p>
      <w:pPr>
        <w:rPr>
          <w:bCs/>
          <w:noProof/>
          <w:lang w:val="en-US"/>
        </w:rPr>
      </w:pPr>
      <w:r>
        <w:rPr>
          <w:noProof/>
          <w:lang w:val="en-US"/>
        </w:rPr>
        <w:t xml:space="preserve">CETA is by far the most far reaching agreement ever concluded by EU in the area of </w:t>
      </w:r>
      <w:r>
        <w:rPr>
          <w:bCs/>
          <w:noProof/>
          <w:lang w:val="en-US"/>
        </w:rPr>
        <w:t>services and investment</w:t>
      </w:r>
      <w:r>
        <w:rPr>
          <w:noProof/>
          <w:lang w:val="en-US"/>
        </w:rPr>
        <w:t xml:space="preserve">. European firms will have more opportunities to provide specialised maritime transport services like dredging, moving empty containers, and shipping of certain cargo within Canada. European firms will also have new advantages when it comes to getting investment projects approved in Canada, </w:t>
      </w:r>
      <w:r>
        <w:rPr>
          <w:bCs/>
          <w:noProof/>
          <w:lang w:val="en-US"/>
        </w:rPr>
        <w:t xml:space="preserve">protecting their investments and enforcing their rights </w:t>
      </w:r>
      <w:r>
        <w:rPr>
          <w:noProof/>
        </w:rPr>
        <w:t>in case of unfair treatment through</w:t>
      </w:r>
      <w:r>
        <w:rPr>
          <w:bCs/>
          <w:noProof/>
          <w:lang w:val="en-US"/>
        </w:rPr>
        <w:t xml:space="preserve"> a balanced and effective dispute settlement system</w:t>
      </w:r>
      <w:r>
        <w:rPr>
          <w:noProof/>
          <w:lang w:val="en-US"/>
        </w:rPr>
        <w:t xml:space="preserve">. For all services sectors, such as environmental services, telecom and finance, market access is ensured, both at federal level and - for the first time – </w:t>
      </w:r>
      <w:r>
        <w:rPr>
          <w:noProof/>
        </w:rPr>
        <w:t>provincial level.</w:t>
      </w:r>
      <w:r>
        <w:rPr>
          <w:noProof/>
          <w:lang w:val="en-US"/>
        </w:rPr>
        <w:t xml:space="preserve"> In CETA – as in all its trade agreements – </w:t>
      </w:r>
      <w:r>
        <w:rPr>
          <w:bCs/>
          <w:noProof/>
          <w:lang w:val="en-US"/>
        </w:rPr>
        <w:t>the EU protects public services. Again, Canadian investors and service providers will have to respect applicable EU regulations.</w:t>
      </w:r>
    </w:p>
    <w:p>
      <w:pPr>
        <w:rPr>
          <w:b/>
          <w:noProof/>
        </w:rPr>
      </w:pPr>
      <w:r>
        <w:rPr>
          <w:b/>
          <w:noProof/>
        </w:rPr>
        <w:t>Investment protection and investment dispute settlement</w:t>
      </w:r>
    </w:p>
    <w:p>
      <w:pPr>
        <w:rPr>
          <w:noProof/>
        </w:rPr>
      </w:pPr>
      <w:r>
        <w:rPr>
          <w:noProof/>
        </w:rPr>
        <w:t>CETA includes all the innovations of the EU's new approach on investment and its dispute settlement mechanism, thus meeting the expectations of stakeholders for a fairer, more transparent and institutionalised system for the settlement of investment disputes. It introduces important innovations in this field, ensuring a high level of protection for investors, while fully preserving the right of governments to regulate and pursue legitimate public policy objectives such as the protection of health, safety or the environment. CETA represents a significant break with the traditional approach to investment protection and settlement of investment disputes in most of the existing bilateral investment treaties worldwide. It removes ambiguities that made the old system open to abuses or excessive interpretations and creates an independent investment court system, consisting of a permanent tribunal and an appeal tribunal that will conduct dispute settlement proceedings in a transparent and impartial manner.</w:t>
      </w:r>
    </w:p>
    <w:p>
      <w:pPr>
        <w:rPr>
          <w:b/>
          <w:noProof/>
          <w:lang w:val="en-US"/>
        </w:rPr>
      </w:pPr>
      <w:r>
        <w:rPr>
          <w:b/>
          <w:noProof/>
          <w:lang w:val="en-US"/>
        </w:rPr>
        <w:t xml:space="preserve">Mutual recognition of professional qualifications </w:t>
      </w:r>
    </w:p>
    <w:p>
      <w:pPr>
        <w:rPr>
          <w:noProof/>
          <w:lang w:val="en-US"/>
        </w:rPr>
      </w:pPr>
      <w:r>
        <w:rPr>
          <w:noProof/>
          <w:lang w:val="en-US"/>
        </w:rPr>
        <w:t>The agreement provides a framework to facilitate the mutual recognition of qualifications in regulated professions such as architects, accountants and engineers. The relevant professional organisations in the EU and Canada now have a framework that sets out the conditions for the negotiation of mutual recognition agreements for their respective professions. These will then have to be confirmed and agreed by the EU and Canada.</w:t>
      </w:r>
    </w:p>
    <w:p>
      <w:pPr>
        <w:rPr>
          <w:b/>
          <w:noProof/>
          <w:lang w:val="en-US"/>
        </w:rPr>
      </w:pPr>
      <w:r>
        <w:rPr>
          <w:b/>
          <w:noProof/>
          <w:lang w:val="en-US"/>
        </w:rPr>
        <w:t>Easier transfers of company staff and other professionals between the EU and Canada</w:t>
      </w:r>
    </w:p>
    <w:p>
      <w:pPr>
        <w:rPr>
          <w:b/>
          <w:bCs/>
          <w:noProof/>
          <w:lang w:val="en-US"/>
        </w:rPr>
      </w:pPr>
      <w:r>
        <w:rPr>
          <w:noProof/>
          <w:lang w:val="en-US"/>
        </w:rPr>
        <w:t>CETA will make it easier for firms to move staff temporarily between the EU and Canada. This will facilitate European companies' operations in Canada. It will be also easier for providers of professional services to temporarily supply legal, accounting, architectural or similar services.</w:t>
      </w:r>
    </w:p>
    <w:p>
      <w:pPr>
        <w:rPr>
          <w:b/>
          <w:noProof/>
          <w:lang w:val="en-US"/>
        </w:rPr>
      </w:pPr>
      <w:r>
        <w:rPr>
          <w:b/>
          <w:noProof/>
          <w:lang w:val="en-US"/>
        </w:rPr>
        <w:t>Improve ability of European companies to provide after sales services</w:t>
      </w:r>
    </w:p>
    <w:p>
      <w:pPr>
        <w:rPr>
          <w:noProof/>
          <w:lang w:val="en-US"/>
        </w:rPr>
      </w:pPr>
      <w:r>
        <w:rPr>
          <w:noProof/>
          <w:lang w:val="en-US"/>
        </w:rPr>
        <w:t xml:space="preserve">CETA will make it easier for EU firms to export equipment, machinery and software by allowing firms to send maintenance engineers and other specialists to provide after-sales and related services. </w:t>
      </w:r>
    </w:p>
    <w:p>
      <w:pPr>
        <w:rPr>
          <w:b/>
          <w:noProof/>
          <w:lang w:val="en-US"/>
        </w:rPr>
      </w:pPr>
      <w:r>
        <w:rPr>
          <w:b/>
          <w:noProof/>
          <w:lang w:val="en-US"/>
        </w:rPr>
        <w:t>Access to Canadian public tenders</w:t>
      </w:r>
    </w:p>
    <w:p>
      <w:pPr>
        <w:rPr>
          <w:noProof/>
          <w:lang w:val="en-US"/>
        </w:rPr>
      </w:pPr>
      <w:r>
        <w:rPr>
          <w:noProof/>
          <w:lang w:val="en-US"/>
        </w:rPr>
        <w:t xml:space="preserve">Canada has opened up its </w:t>
      </w:r>
      <w:r>
        <w:rPr>
          <w:bCs/>
          <w:noProof/>
          <w:lang w:val="en-US"/>
        </w:rPr>
        <w:t>government tenders</w:t>
      </w:r>
      <w:r>
        <w:rPr>
          <w:noProof/>
          <w:lang w:val="en-US"/>
        </w:rPr>
        <w:t xml:space="preserve"> to EU companies to a greater extent than with any of its other trading partners. EU firms will be able to bid to provide goods and services not only at federal level but also to Canadian provinces and municipalities, the first non-Canadian firms to be able to do so. Canada’s provincial procurement market is estimated to be double the size of its federal equivalent. </w:t>
      </w:r>
    </w:p>
    <w:p>
      <w:pPr>
        <w:rPr>
          <w:b/>
          <w:noProof/>
          <w:lang w:val="en-US"/>
        </w:rPr>
      </w:pPr>
      <w:r>
        <w:rPr>
          <w:b/>
          <w:noProof/>
          <w:lang w:val="en-US"/>
        </w:rPr>
        <w:t>Avoiding costs related to double testing</w:t>
      </w:r>
    </w:p>
    <w:p>
      <w:pPr>
        <w:rPr>
          <w:noProof/>
          <w:lang w:val="en-US"/>
        </w:rPr>
      </w:pPr>
      <w:r>
        <w:rPr>
          <w:noProof/>
          <w:lang w:val="en-US"/>
        </w:rPr>
        <w:t>The EU and Canada have agreed to accept each other’s conformity assessment certificates in areas such as electrical goods, electronic and radio equipment, toys, machinery or measuring equipment. This means that a conformity assessment body in the EU can test EU products for export to Canada according to Canadian rules and vice versa. This will avoid both sides doing the same test and could greatly reduce costs for companies and consumers alike. This is of particular benefit to smaller companies for whom paying twice for the same test can be prohibitive. While this falls short of how the EU operates within its borders, it is nevertheless a very big step forward in the EU's International agreements.</w:t>
      </w:r>
    </w:p>
    <w:p>
      <w:pPr>
        <w:rPr>
          <w:b/>
          <w:noProof/>
          <w:lang w:val="en-US"/>
        </w:rPr>
      </w:pPr>
      <w:r>
        <w:rPr>
          <w:b/>
          <w:noProof/>
          <w:lang w:val="en-US"/>
        </w:rPr>
        <w:t>Better protection for EU innovation and creative works</w:t>
      </w:r>
    </w:p>
    <w:p>
      <w:pPr>
        <w:rPr>
          <w:noProof/>
          <w:lang w:val="en-US"/>
        </w:rPr>
      </w:pPr>
      <w:r>
        <w:rPr>
          <w:noProof/>
          <w:lang w:val="en-US"/>
        </w:rPr>
        <w:t xml:space="preserve">CETA will create a more level playing field between Canada and the EU on intellectual property rights. It will strengthen the protection of copyrights (alignment with EU rules on protection of technological measures and digital rights management as well as on the liability of internet service providers) and enforcement (namely by foreseeing the possibility of provisional measures and injunctions for intermediaries involved in infringing activities). It will improve how Canada’s IPR system protects patents for EU pharmaceutical products. Canada also agreed to strengthen its border measures against counterfeit trademark goods, pirated copyright goods and counterfeit geographical indication goods. </w:t>
      </w:r>
    </w:p>
    <w:p>
      <w:pPr>
        <w:rPr>
          <w:b/>
          <w:noProof/>
          <w:lang w:val="en-US"/>
        </w:rPr>
      </w:pPr>
      <w:r>
        <w:rPr>
          <w:b/>
          <w:noProof/>
          <w:lang w:val="en-US"/>
        </w:rPr>
        <w:t>Market advantage for producers of traditional European products</w:t>
      </w:r>
    </w:p>
    <w:p>
      <w:pPr>
        <w:rPr>
          <w:noProof/>
          <w:lang w:val="en-US"/>
        </w:rPr>
      </w:pPr>
      <w:r>
        <w:rPr>
          <w:noProof/>
          <w:lang w:val="en-US"/>
        </w:rPr>
        <w:t xml:space="preserve">Many medium-sized and smaller businesses trading in agricultural products will benefit from Canada agreeing to protect 143 </w:t>
      </w:r>
      <w:r>
        <w:rPr>
          <w:bCs/>
          <w:noProof/>
        </w:rPr>
        <w:t>geographical indications</w:t>
      </w:r>
      <w:r>
        <w:rPr>
          <w:noProof/>
          <w:lang w:val="en-US"/>
        </w:rPr>
        <w:t xml:space="preserve"> for high-quality European products, such as Roquefort cheese, balsamic vinegar from Modena or Dutch Gouda cheese and many others.</w:t>
      </w:r>
    </w:p>
    <w:p>
      <w:pPr>
        <w:rPr>
          <w:b/>
          <w:noProof/>
          <w:lang w:val="en-US"/>
        </w:rPr>
      </w:pPr>
      <w:r>
        <w:rPr>
          <w:b/>
          <w:noProof/>
          <w:lang w:val="en-US"/>
        </w:rPr>
        <w:t>Commitment to Sustainable Development</w:t>
      </w:r>
    </w:p>
    <w:p>
      <w:pPr>
        <w:rPr>
          <w:noProof/>
        </w:rPr>
      </w:pPr>
      <w:r>
        <w:rPr>
          <w:noProof/>
          <w:lang w:val="en-US"/>
        </w:rPr>
        <w:t>In CETA,</w:t>
      </w:r>
      <w:r>
        <w:rPr>
          <w:b/>
          <w:bCs/>
          <w:noProof/>
          <w:lang w:val="en-US"/>
        </w:rPr>
        <w:t xml:space="preserve"> </w:t>
      </w:r>
      <w:r>
        <w:rPr>
          <w:noProof/>
          <w:lang w:val="en-US"/>
        </w:rPr>
        <w:t>the EU and Canada affirm their commitment to sustainable development. Both agree that trade and investment should further environmental protection and labour rights – and not be at their expense. The EU and Canada are committed to CETA helping to ensure that economic growth, social development and environmental protection are mutually supportive. CETA integrates the EU’s and Canada's obligations to international rules on workers’ rights and environmental protection, and gives a strong role to EU and Canadian civil society in participating in the implementation of the commitments in these areas in CETA. CETA also sets up a process for settling disputes, including government consultations and a panel of experts.</w:t>
      </w:r>
      <w:r>
        <w:rPr>
          <w:noProof/>
        </w:rPr>
        <w:t xml:space="preserve"> </w:t>
      </w:r>
    </w:p>
    <w:p>
      <w:pPr>
        <w:rPr>
          <w:noProof/>
        </w:rPr>
        <w:sectPr>
          <w:footerReference w:type="default" r:id="rId14"/>
          <w:footerReference w:type="first" r:id="rId15"/>
          <w:pgSz w:w="11907" w:h="16839"/>
          <w:pgMar w:top="1134" w:right="1417" w:bottom="1134" w:left="1417" w:header="709" w:footer="709" w:gutter="0"/>
          <w:cols w:space="708"/>
          <w:docGrid w:linePitch="360"/>
        </w:sectPr>
      </w:pPr>
    </w:p>
    <w:p>
      <w:pPr>
        <w:pStyle w:val="Rfrenceinterinstitutionnelle"/>
        <w:rPr>
          <w:noProof/>
        </w:rPr>
      </w:pPr>
      <w:r>
        <w:rPr>
          <w:noProof/>
        </w:rPr>
        <w:t>2016/0206 (NLE)</w:t>
      </w:r>
    </w:p>
    <w:p>
      <w:pPr>
        <w:pStyle w:val="Statut"/>
        <w:rPr>
          <w:noProof/>
        </w:rPr>
      </w:pPr>
      <w:r>
        <w:rPr>
          <w:noProof/>
        </w:rPr>
        <w:t>Proposal for a</w:t>
      </w:r>
    </w:p>
    <w:p>
      <w:pPr>
        <w:pStyle w:val="Typedudocument"/>
        <w:rPr>
          <w:noProof/>
        </w:rPr>
      </w:pPr>
      <w:r>
        <w:rPr>
          <w:noProof/>
        </w:rPr>
        <w:t>COUNCIL DECISION</w:t>
      </w:r>
    </w:p>
    <w:p>
      <w:pPr>
        <w:pStyle w:val="Titreobjet"/>
        <w:rPr>
          <w:noProof/>
        </w:rPr>
      </w:pPr>
      <w:r>
        <w:rPr>
          <w:noProof/>
        </w:rPr>
        <w:t>on the signing on behalf of the European Union of the Comprehensive Economic and Trade Agreement between Canada of the one part, and the European Union and its Member States, of the other part</w:t>
      </w:r>
    </w:p>
    <w:p>
      <w:pPr>
        <w:pStyle w:val="Institutionquiagit"/>
        <w:rPr>
          <w:noProof/>
        </w:rPr>
      </w:pPr>
      <w:r>
        <w:rPr>
          <w:noProof/>
        </w:rPr>
        <w:t>THE COUNCIL OF THE EUROPEAN UNION,</w:t>
      </w:r>
    </w:p>
    <w:p>
      <w:pPr>
        <w:rPr>
          <w:noProof/>
        </w:rPr>
      </w:pPr>
      <w:r>
        <w:rPr>
          <w:noProof/>
        </w:rPr>
        <w:t>Having regard to the Treaty on the Functioning of the European Union, and in particular Article 91, Article 100(2) and the first subparagraph of Article 207(4), in conjunction with Article 218(5), thereof,</w:t>
      </w:r>
    </w:p>
    <w:p>
      <w:pPr>
        <w:rPr>
          <w:noProof/>
        </w:rPr>
      </w:pPr>
      <w:r>
        <w:rPr>
          <w:noProof/>
        </w:rPr>
        <w:t>Having regard to the proposal from the European Commission,</w:t>
      </w:r>
    </w:p>
    <w:p>
      <w:pPr>
        <w:rPr>
          <w:noProof/>
        </w:rPr>
      </w:pPr>
      <w:r>
        <w:rPr>
          <w:noProof/>
        </w:rPr>
        <w:t>Whereas:</w:t>
      </w:r>
    </w:p>
    <w:p>
      <w:pPr>
        <w:pStyle w:val="ManualConsidrant"/>
        <w:rPr>
          <w:noProof/>
        </w:rPr>
      </w:pPr>
      <w:bookmarkStart w:id="4" w:name="DQPStarAt1DQPStarAt36492315E65348C2B10E5"/>
      <w:r>
        <w:t>(1)</w:t>
      </w:r>
      <w:r>
        <w:tab/>
      </w:r>
      <w:r>
        <w:rPr>
          <w:noProof/>
        </w:rPr>
        <w:t xml:space="preserve">On 24 April 2009 the Council authorised the Commission to open negotiations for a Comprehensive Economic and Trade Agreement with Canada. </w:t>
      </w:r>
    </w:p>
    <w:bookmarkEnd w:id="4"/>
    <w:p>
      <w:pPr>
        <w:pStyle w:val="ManualConsidrant"/>
        <w:rPr>
          <w:noProof/>
        </w:rPr>
      </w:pPr>
      <w:r>
        <w:t>(2)</w:t>
      </w:r>
      <w:r>
        <w:tab/>
      </w:r>
      <w:r>
        <w:rPr>
          <w:noProof/>
        </w:rPr>
        <w:t>The negotiations have been concluded and the Agreement should be signed on behalf of the Union, subject to the fulfilment of the procedures required for its conclusion at a later date.</w:t>
      </w:r>
    </w:p>
    <w:p>
      <w:pPr>
        <w:pStyle w:val="ManualConsidrant"/>
        <w:rPr>
          <w:noProof/>
        </w:rPr>
      </w:pPr>
      <w:r>
        <w:t>(3)</w:t>
      </w:r>
      <w:r>
        <w:tab/>
      </w:r>
      <w:r>
        <w:rPr>
          <w:noProof/>
        </w:rPr>
        <w:t>In accordance with Article 30.6(1) of the Agreement it should not confer rights or obligations which can be directly invoked before Union or Member State courts or tribunals,</w:t>
      </w:r>
    </w:p>
    <w:p>
      <w:pPr>
        <w:pStyle w:val="Formuledadoption"/>
        <w:rPr>
          <w:noProof/>
        </w:rPr>
      </w:pPr>
      <w:r>
        <w:rPr>
          <w:noProof/>
        </w:rPr>
        <w:t xml:space="preserve">HAS ADOPTED THIS DECISION: </w:t>
      </w:r>
    </w:p>
    <w:p>
      <w:pPr>
        <w:pStyle w:val="Titrearticle"/>
        <w:rPr>
          <w:noProof/>
        </w:rPr>
      </w:pPr>
      <w:r>
        <w:rPr>
          <w:noProof/>
        </w:rPr>
        <w:t>Article 1</w:t>
      </w:r>
    </w:p>
    <w:p>
      <w:pPr>
        <w:rPr>
          <w:noProof/>
        </w:rPr>
      </w:pPr>
      <w:r>
        <w:rPr>
          <w:noProof/>
        </w:rPr>
        <w:t xml:space="preserve">The signing, on behalf of the Union, of the Comprehensive Economic and Trade Agreement </w:t>
      </w:r>
      <w:r>
        <w:rPr>
          <w:rFonts w:eastAsia="Calibri"/>
          <w:noProof/>
          <w:szCs w:val="24"/>
        </w:rPr>
        <w:t xml:space="preserve">between the European Union and its Member States of the one part and Canada of the other part </w:t>
      </w:r>
      <w:r>
        <w:rPr>
          <w:noProof/>
        </w:rPr>
        <w:t xml:space="preserve">is hereby authorised, subject to its conclusion. </w:t>
      </w:r>
    </w:p>
    <w:p>
      <w:pPr>
        <w:rPr>
          <w:noProof/>
        </w:rPr>
      </w:pPr>
      <w:r>
        <w:rPr>
          <w:noProof/>
        </w:rPr>
        <w:t>The text of the Agreement is attached to this Decision.</w:t>
      </w:r>
    </w:p>
    <w:p>
      <w:pPr>
        <w:pStyle w:val="Titrearticle"/>
        <w:keepNext w:val="0"/>
        <w:rPr>
          <w:noProof/>
        </w:rPr>
      </w:pPr>
      <w:r>
        <w:rPr>
          <w:noProof/>
        </w:rPr>
        <w:t>Article 2</w:t>
      </w:r>
    </w:p>
    <w:p>
      <w:pPr>
        <w:keepLines/>
        <w:rPr>
          <w:noProof/>
        </w:rPr>
      </w:pPr>
      <w:r>
        <w:rPr>
          <w:noProof/>
        </w:rPr>
        <w:t xml:space="preserve">The President of the Council is hereby authorised to designate the person empowered to sign the Agreement on behalf of the Union, subject to its conclusion. </w:t>
      </w:r>
    </w:p>
    <w:p>
      <w:pPr>
        <w:pStyle w:val="Titrearticle"/>
        <w:rPr>
          <w:noProof/>
        </w:rPr>
      </w:pPr>
      <w:r>
        <w:rPr>
          <w:noProof/>
        </w:rPr>
        <w:t>Article 3</w:t>
      </w:r>
    </w:p>
    <w:p>
      <w:pPr>
        <w:keepNext/>
        <w:keepLines/>
        <w:rPr>
          <w:noProof/>
        </w:rPr>
      </w:pPr>
      <w:r>
        <w:rPr>
          <w:noProof/>
        </w:rPr>
        <w:t>This Decision shall enter into force on the day of its adoption.</w:t>
      </w:r>
    </w:p>
    <w:p>
      <w:pPr>
        <w:pStyle w:val="Fait"/>
        <w:rPr>
          <w:noProof/>
        </w:rPr>
      </w:pPr>
      <w:r>
        <w:rPr>
          <w:noProof/>
        </w:rPr>
        <w:t>Done at Strasbourg,</w:t>
      </w:r>
    </w:p>
    <w:p>
      <w:pPr>
        <w:pStyle w:val="Institutionquisigne"/>
        <w:rPr>
          <w:noProof/>
        </w:rPr>
      </w:pPr>
      <w:r>
        <w:rPr>
          <w:noProof/>
        </w:rPr>
        <w:tab/>
        <w:t>For the Council</w:t>
      </w:r>
    </w:p>
    <w:p>
      <w:pPr>
        <w:pStyle w:val="Personnequisigne"/>
        <w:rPr>
          <w:noProof/>
        </w:rPr>
      </w:pPr>
      <w:r>
        <w:rPr>
          <w:noProof/>
        </w:rPr>
        <w:tab/>
        <w:t>The President</w:t>
      </w:r>
    </w:p>
    <w:p>
      <w:pPr>
        <w:rPr>
          <w:noProof/>
        </w:rPr>
        <w:sectPr>
          <w:pgSz w:w="11907" w:h="16839"/>
          <w:pgMar w:top="1134" w:right="1417" w:bottom="1134" w:left="1417" w:header="709" w:footer="709" w:gutter="0"/>
          <w:cols w:space="708"/>
          <w:docGrid w:linePitch="360"/>
        </w:sectPr>
      </w:pPr>
    </w:p>
    <w:p>
      <w:pPr>
        <w:pStyle w:val="Fichefinanciretitre"/>
        <w:rPr>
          <w:noProof/>
        </w:rPr>
      </w:pPr>
      <w:r>
        <w:rPr>
          <w:noProof/>
        </w:rPr>
        <w:t>LEGISLATIVE FINANCIAL STATEMENT</w:t>
      </w:r>
    </w:p>
    <w:p>
      <w:pPr>
        <w:pStyle w:val="ManualHeading1"/>
        <w:rPr>
          <w:noProof/>
        </w:rPr>
      </w:pPr>
      <w:r>
        <w:rPr>
          <w:noProof/>
        </w:rPr>
        <w:t>1.</w:t>
      </w:r>
      <w:r>
        <w:rPr>
          <w:noProof/>
        </w:rPr>
        <w:tab/>
        <w:t xml:space="preserve">FRAMEWORK OF THE PROPOSAL/INITIATIVE </w:t>
      </w:r>
    </w:p>
    <w:p>
      <w:pPr>
        <w:pStyle w:val="ManualHeading2"/>
        <w:rPr>
          <w:b w:val="0"/>
          <w:noProof/>
        </w:rPr>
      </w:pPr>
      <w:r>
        <w:rPr>
          <w:noProof/>
        </w:rPr>
        <w:tab/>
      </w:r>
      <w:r>
        <w:rPr>
          <w:b w:val="0"/>
          <w:noProof/>
        </w:rPr>
        <w:t>1.1.</w:t>
      </w:r>
      <w:r>
        <w:rPr>
          <w:b w:val="0"/>
          <w:noProof/>
        </w:rPr>
        <w:tab/>
        <w:t xml:space="preserve">Title of the proposal/initiative </w:t>
      </w:r>
    </w:p>
    <w:p>
      <w:pPr>
        <w:pStyle w:val="ManualHeading2"/>
        <w:rPr>
          <w:b w:val="0"/>
          <w:noProof/>
        </w:rPr>
      </w:pPr>
      <w:r>
        <w:rPr>
          <w:b w:val="0"/>
          <w:noProof/>
        </w:rPr>
        <w:tab/>
        <w:t>1.2.</w:t>
      </w:r>
      <w:r>
        <w:rPr>
          <w:b w:val="0"/>
          <w:noProof/>
        </w:rPr>
        <w:tab/>
        <w:t>Policy area(s) concerned in the ABM/ABB structure</w:t>
      </w:r>
    </w:p>
    <w:p>
      <w:pPr>
        <w:pStyle w:val="ManualHeading2"/>
        <w:rPr>
          <w:b w:val="0"/>
          <w:noProof/>
        </w:rPr>
      </w:pPr>
      <w:r>
        <w:rPr>
          <w:b w:val="0"/>
          <w:noProof/>
        </w:rPr>
        <w:tab/>
        <w:t>1.3.</w:t>
      </w:r>
      <w:r>
        <w:rPr>
          <w:b w:val="0"/>
          <w:noProof/>
        </w:rPr>
        <w:tab/>
        <w:t xml:space="preserve">Nature of the proposal/initiative </w:t>
      </w:r>
    </w:p>
    <w:p>
      <w:pPr>
        <w:pStyle w:val="ManualHeading2"/>
        <w:rPr>
          <w:b w:val="0"/>
          <w:noProof/>
        </w:rPr>
      </w:pPr>
      <w:r>
        <w:rPr>
          <w:b w:val="0"/>
          <w:noProof/>
        </w:rPr>
        <w:tab/>
        <w:t>1.4.</w:t>
      </w:r>
      <w:r>
        <w:rPr>
          <w:b w:val="0"/>
          <w:noProof/>
        </w:rPr>
        <w:tab/>
        <w:t xml:space="preserve">Objective(s) </w:t>
      </w:r>
    </w:p>
    <w:p>
      <w:pPr>
        <w:pStyle w:val="ManualHeading2"/>
        <w:rPr>
          <w:b w:val="0"/>
          <w:noProof/>
        </w:rPr>
      </w:pPr>
      <w:r>
        <w:rPr>
          <w:b w:val="0"/>
          <w:noProof/>
        </w:rPr>
        <w:tab/>
        <w:t>1.5.</w:t>
      </w:r>
      <w:r>
        <w:rPr>
          <w:b w:val="0"/>
          <w:noProof/>
        </w:rPr>
        <w:tab/>
        <w:t xml:space="preserve">Grounds for the proposal/initiative </w:t>
      </w:r>
    </w:p>
    <w:p>
      <w:pPr>
        <w:pStyle w:val="ManualHeading2"/>
        <w:rPr>
          <w:b w:val="0"/>
          <w:noProof/>
        </w:rPr>
      </w:pPr>
      <w:r>
        <w:rPr>
          <w:b w:val="0"/>
          <w:noProof/>
        </w:rPr>
        <w:tab/>
        <w:t>1.6.</w:t>
      </w:r>
      <w:r>
        <w:rPr>
          <w:b w:val="0"/>
          <w:noProof/>
        </w:rPr>
        <w:tab/>
        <w:t xml:space="preserve">Duration and financial impact </w:t>
      </w:r>
    </w:p>
    <w:p>
      <w:pPr>
        <w:pStyle w:val="ManualHeading2"/>
        <w:rPr>
          <w:b w:val="0"/>
          <w:noProof/>
        </w:rPr>
      </w:pPr>
      <w:r>
        <w:rPr>
          <w:b w:val="0"/>
          <w:noProof/>
        </w:rPr>
        <w:tab/>
        <w:t>1.7.</w:t>
      </w:r>
      <w:r>
        <w:rPr>
          <w:b w:val="0"/>
          <w:noProof/>
        </w:rPr>
        <w:tab/>
        <w:t xml:space="preserve">Management mode(s) planned </w:t>
      </w:r>
    </w:p>
    <w:p>
      <w:pPr>
        <w:pStyle w:val="ManualHeading1"/>
        <w:rPr>
          <w:noProof/>
        </w:rPr>
      </w:pPr>
      <w:r>
        <w:rPr>
          <w:noProof/>
        </w:rPr>
        <w:t>2.</w:t>
      </w:r>
      <w:r>
        <w:rPr>
          <w:noProof/>
        </w:rPr>
        <w:tab/>
        <w:t xml:space="preserve">MANAGEMENT MEASURES </w:t>
      </w:r>
    </w:p>
    <w:p>
      <w:pPr>
        <w:pStyle w:val="ManualHeading2"/>
        <w:rPr>
          <w:b w:val="0"/>
          <w:noProof/>
        </w:rPr>
      </w:pPr>
      <w:r>
        <w:rPr>
          <w:b w:val="0"/>
          <w:noProof/>
        </w:rPr>
        <w:tab/>
        <w:t>2.1.</w:t>
      </w:r>
      <w:r>
        <w:rPr>
          <w:b w:val="0"/>
          <w:noProof/>
        </w:rPr>
        <w:tab/>
        <w:t xml:space="preserve">Monitoring and reporting rules </w:t>
      </w:r>
    </w:p>
    <w:p>
      <w:pPr>
        <w:pStyle w:val="ManualHeading2"/>
        <w:rPr>
          <w:b w:val="0"/>
          <w:noProof/>
        </w:rPr>
      </w:pPr>
      <w:r>
        <w:rPr>
          <w:b w:val="0"/>
          <w:noProof/>
        </w:rPr>
        <w:tab/>
        <w:t>2.2.</w:t>
      </w:r>
      <w:r>
        <w:rPr>
          <w:b w:val="0"/>
          <w:noProof/>
        </w:rPr>
        <w:tab/>
        <w:t xml:space="preserve">Management and control system </w:t>
      </w:r>
    </w:p>
    <w:p>
      <w:pPr>
        <w:pStyle w:val="ManualHeading2"/>
        <w:rPr>
          <w:b w:val="0"/>
          <w:noProof/>
        </w:rPr>
      </w:pPr>
      <w:r>
        <w:rPr>
          <w:b w:val="0"/>
          <w:noProof/>
        </w:rPr>
        <w:tab/>
        <w:t>2.3.</w:t>
      </w:r>
      <w:r>
        <w:rPr>
          <w:b w:val="0"/>
          <w:noProof/>
        </w:rPr>
        <w:tab/>
        <w:t xml:space="preserve">Measures to prevent fraud and irregularities </w:t>
      </w:r>
    </w:p>
    <w:p>
      <w:pPr>
        <w:pStyle w:val="ManualHeading1"/>
        <w:rPr>
          <w:noProof/>
        </w:rPr>
      </w:pPr>
      <w:r>
        <w:rPr>
          <w:noProof/>
        </w:rPr>
        <w:t>3.</w:t>
      </w:r>
      <w:r>
        <w:rPr>
          <w:noProof/>
        </w:rPr>
        <w:tab/>
        <w:t xml:space="preserve">ESTIMATED FINANCIAL IMPACT OF THE PROPOSAL/INITIATIVE </w:t>
      </w:r>
    </w:p>
    <w:p>
      <w:pPr>
        <w:pStyle w:val="ManualHeading2"/>
        <w:rPr>
          <w:b w:val="0"/>
          <w:noProof/>
        </w:rPr>
      </w:pPr>
      <w:r>
        <w:rPr>
          <w:b w:val="0"/>
          <w:noProof/>
        </w:rPr>
        <w:tab/>
        <w:t>3.1.</w:t>
      </w:r>
      <w:r>
        <w:rPr>
          <w:b w:val="0"/>
          <w:noProof/>
        </w:rPr>
        <w:tab/>
        <w:t xml:space="preserve">Heading(s) of the multiannual financial framework and expenditure budget line(s) affected </w:t>
      </w:r>
    </w:p>
    <w:p>
      <w:pPr>
        <w:pStyle w:val="ManualHeading2"/>
        <w:rPr>
          <w:noProof/>
        </w:rPr>
      </w:pPr>
      <w:r>
        <w:rPr>
          <w:b w:val="0"/>
          <w:noProof/>
        </w:rPr>
        <w:tab/>
        <w:t>3.2.</w:t>
      </w:r>
      <w:r>
        <w:rPr>
          <w:b w:val="0"/>
          <w:noProof/>
        </w:rPr>
        <w:tab/>
        <w:t>Estimated impact on expenditure</w:t>
      </w:r>
      <w:r>
        <w:rPr>
          <w:noProof/>
        </w:rPr>
        <w:t xml:space="preserve"> </w:t>
      </w:r>
    </w:p>
    <w:p>
      <w:pPr>
        <w:pStyle w:val="ManualHeading3"/>
        <w:rPr>
          <w:noProof/>
        </w:rPr>
      </w:pPr>
      <w:r>
        <w:rPr>
          <w:noProof/>
        </w:rPr>
        <w:tab/>
        <w:t>3.2.1.</w:t>
      </w:r>
      <w:r>
        <w:rPr>
          <w:noProof/>
        </w:rPr>
        <w:tab/>
        <w:t xml:space="preserve">Summary of estimated impact on expenditure </w:t>
      </w:r>
    </w:p>
    <w:p>
      <w:pPr>
        <w:pStyle w:val="ManualHeading3"/>
        <w:rPr>
          <w:noProof/>
        </w:rPr>
      </w:pPr>
      <w:r>
        <w:rPr>
          <w:noProof/>
        </w:rPr>
        <w:tab/>
        <w:t>3.2.2.</w:t>
      </w:r>
      <w:r>
        <w:rPr>
          <w:noProof/>
        </w:rPr>
        <w:tab/>
        <w:t xml:space="preserve">Estimated impact on operational appropriations </w:t>
      </w:r>
    </w:p>
    <w:p>
      <w:pPr>
        <w:pStyle w:val="ManualHeading3"/>
        <w:rPr>
          <w:noProof/>
        </w:rPr>
      </w:pPr>
      <w:r>
        <w:rPr>
          <w:noProof/>
        </w:rPr>
        <w:tab/>
        <w:t>3.2.3.</w:t>
      </w:r>
      <w:r>
        <w:rPr>
          <w:noProof/>
        </w:rPr>
        <w:tab/>
        <w:t>Estimated impact on appropriations of an administrative nature</w:t>
      </w:r>
    </w:p>
    <w:p>
      <w:pPr>
        <w:pStyle w:val="ManualHeading3"/>
        <w:rPr>
          <w:noProof/>
        </w:rPr>
      </w:pPr>
      <w:r>
        <w:rPr>
          <w:noProof/>
        </w:rPr>
        <w:tab/>
        <w:t>3.2.4.</w:t>
      </w:r>
      <w:r>
        <w:rPr>
          <w:noProof/>
        </w:rPr>
        <w:tab/>
        <w:t>Compatibility with the current multiannual financial framework</w:t>
      </w:r>
    </w:p>
    <w:p>
      <w:pPr>
        <w:pStyle w:val="ManualHeading3"/>
        <w:rPr>
          <w:noProof/>
        </w:rPr>
      </w:pPr>
      <w:r>
        <w:rPr>
          <w:noProof/>
        </w:rPr>
        <w:tab/>
        <w:t>3.2.5.</w:t>
      </w:r>
      <w:r>
        <w:rPr>
          <w:noProof/>
        </w:rPr>
        <w:tab/>
        <w:t xml:space="preserve">Third-party contributions </w:t>
      </w:r>
    </w:p>
    <w:p>
      <w:pPr>
        <w:pStyle w:val="ManualHeading2"/>
        <w:jc w:val="left"/>
        <w:rPr>
          <w:b w:val="0"/>
          <w:noProof/>
        </w:rPr>
        <w:sectPr>
          <w:pgSz w:w="11907" w:h="16840" w:code="9"/>
          <w:pgMar w:top="1134" w:right="1418" w:bottom="1134" w:left="1418" w:header="709" w:footer="709" w:gutter="0"/>
          <w:cols w:space="708"/>
          <w:docGrid w:linePitch="360"/>
        </w:sectPr>
      </w:pPr>
      <w:r>
        <w:rPr>
          <w:b w:val="0"/>
          <w:noProof/>
        </w:rPr>
        <w:tab/>
        <w:t>3.3.</w:t>
      </w:r>
      <w:r>
        <w:rPr>
          <w:b w:val="0"/>
          <w:noProof/>
        </w:rPr>
        <w:tab/>
        <w:t>Estimated impact on revenue</w:t>
      </w:r>
    </w:p>
    <w:p>
      <w:pPr>
        <w:jc w:val="center"/>
        <w:rPr>
          <w:noProof/>
        </w:rPr>
      </w:pPr>
      <w:r>
        <w:rPr>
          <w:b/>
          <w:noProof/>
          <w:u w:val="single"/>
        </w:rPr>
        <w:t>LEGISLATIVE FINANCIAL STATEMENT</w:t>
      </w:r>
    </w:p>
    <w:p>
      <w:pPr>
        <w:pStyle w:val="ManualHeading1"/>
        <w:rPr>
          <w:noProof/>
        </w:rPr>
      </w:pPr>
      <w:bookmarkStart w:id="5" w:name="DQPStarAt1DQPStarAt3D82AEC73C8C404B8B9DE"/>
      <w:r>
        <w:rPr>
          <w:noProof/>
        </w:rPr>
        <w:t>1.</w:t>
      </w:r>
      <w:r>
        <w:rPr>
          <w:noProof/>
        </w:rPr>
        <w:tab/>
        <w:t xml:space="preserve">FRAMEWORK OF THE PROPOSAL/INITIATIVE </w:t>
      </w:r>
    </w:p>
    <w:p>
      <w:pPr>
        <w:pStyle w:val="ManualHeading2"/>
        <w:rPr>
          <w:noProof/>
        </w:rPr>
      </w:pPr>
      <w:bookmarkStart w:id="6" w:name="DQPStarAt1DQPStarAt1C04900595094F8291881"/>
      <w:bookmarkEnd w:id="5"/>
      <w:r>
        <w:rPr>
          <w:noProof/>
        </w:rPr>
        <w:t>1.1.</w:t>
      </w:r>
      <w:r>
        <w:rPr>
          <w:noProof/>
        </w:rPr>
        <w:tab/>
        <w:t xml:space="preserve">Title of the proposal/initiative </w:t>
      </w:r>
    </w:p>
    <w:bookmarkEnd w:id="6"/>
    <w:p>
      <w:pPr>
        <w:pStyle w:val="Text1"/>
        <w:pBdr>
          <w:top w:val="single" w:sz="4" w:space="1" w:color="auto"/>
          <w:left w:val="single" w:sz="4" w:space="4" w:color="auto"/>
          <w:bottom w:val="single" w:sz="4" w:space="1" w:color="auto"/>
          <w:right w:val="single" w:sz="4" w:space="4" w:color="auto"/>
        </w:pBdr>
        <w:rPr>
          <w:noProof/>
        </w:rPr>
      </w:pPr>
      <w:r>
        <w:rPr>
          <w:noProof/>
        </w:rPr>
        <w:t xml:space="preserve">Comprehensive Economic and Trade Agreement (CETA) </w:t>
      </w:r>
    </w:p>
    <w:p>
      <w:pPr>
        <w:pStyle w:val="ManualHeading2"/>
        <w:rPr>
          <w:noProof/>
          <w:szCs w:val="24"/>
        </w:rPr>
      </w:pPr>
      <w:r>
        <w:rPr>
          <w:noProof/>
        </w:rPr>
        <w:t>1.2.</w:t>
      </w:r>
      <w:r>
        <w:rPr>
          <w:noProof/>
        </w:rPr>
        <w:tab/>
        <w:t>Policy area(s) concerned in the ABM/ABB structure</w:t>
      </w:r>
      <w:r>
        <w:rPr>
          <w:rStyle w:val="FootnoteReference"/>
          <w:noProof/>
        </w:rPr>
        <w:footnoteReference w:id="4"/>
      </w:r>
      <w:r>
        <w:rPr>
          <w:i/>
          <w:noProof/>
        </w:rPr>
        <w:t xml:space="preserve"> </w:t>
      </w:r>
    </w:p>
    <w:p>
      <w:pPr>
        <w:pStyle w:val="Text1"/>
        <w:pBdr>
          <w:top w:val="single" w:sz="4" w:space="1" w:color="auto"/>
          <w:left w:val="single" w:sz="4" w:space="4" w:color="auto"/>
          <w:bottom w:val="single" w:sz="4" w:space="1" w:color="auto"/>
          <w:right w:val="single" w:sz="4" w:space="4" w:color="auto"/>
        </w:pBdr>
        <w:rPr>
          <w:noProof/>
        </w:rPr>
      </w:pPr>
      <w:r>
        <w:rPr>
          <w:noProof/>
        </w:rPr>
        <w:t>20.02 – Trade Policy</w:t>
      </w:r>
    </w:p>
    <w:p>
      <w:pPr>
        <w:pStyle w:val="ManualHeading2"/>
        <w:rPr>
          <w:bCs/>
          <w:noProof/>
          <w:szCs w:val="24"/>
        </w:rPr>
      </w:pPr>
      <w:r>
        <w:rPr>
          <w:noProof/>
        </w:rPr>
        <w:t>1.3.</w:t>
      </w:r>
      <w:r>
        <w:rPr>
          <w:noProof/>
        </w:rPr>
        <w:tab/>
        <w:t xml:space="preserve">Nature of the proposal/initiative </w:t>
      </w:r>
    </w:p>
    <w:p>
      <w:pPr>
        <w:pStyle w:val="Text1"/>
        <w:rPr>
          <w:b/>
          <w:noProof/>
          <w:sz w:val="22"/>
        </w:rPr>
      </w:pPr>
      <w:r>
        <w:rPr>
          <w:noProof/>
          <w:sz w:val="22"/>
        </w:rPr>
        <w:sym w:font="Wingdings" w:char="F0FE"/>
      </w:r>
      <w:r>
        <w:rPr>
          <w:b/>
          <w:i/>
          <w:noProof/>
          <w:sz w:val="22"/>
        </w:rPr>
        <w:t xml:space="preserve"> </w:t>
      </w:r>
      <w:r>
        <w:rPr>
          <w:noProof/>
        </w:rPr>
        <w:t xml:space="preserve">The proposal/initiative relates to </w:t>
      </w:r>
      <w:r>
        <w:rPr>
          <w:b/>
          <w:noProof/>
        </w:rPr>
        <w:t>a new action</w:t>
      </w:r>
      <w:r>
        <w:rPr>
          <w:b/>
          <w:noProof/>
          <w:sz w:val="22"/>
        </w:rPr>
        <w:t xml:space="preserve"> </w:t>
      </w:r>
    </w:p>
    <w:p>
      <w:pPr>
        <w:pStyle w:val="Text1"/>
        <w:rPr>
          <w:noProof/>
          <w:sz w:val="22"/>
        </w:rPr>
      </w:pPr>
      <w:r>
        <w:rPr>
          <w:noProof/>
          <w:sz w:val="22"/>
        </w:rPr>
        <w:sym w:font="Wingdings" w:char="F0A8"/>
      </w:r>
      <w:r>
        <w:rPr>
          <w:i/>
          <w:noProof/>
          <w:sz w:val="22"/>
        </w:rPr>
        <w:t xml:space="preserve"> </w:t>
      </w:r>
      <w:r>
        <w:rPr>
          <w:noProof/>
        </w:rPr>
        <w:t xml:space="preserve">The proposal/initiative relates to </w:t>
      </w:r>
      <w:r>
        <w:rPr>
          <w:b/>
          <w:noProof/>
        </w:rPr>
        <w:t>a new action following a pilot project/preparatory action</w:t>
      </w:r>
      <w:r>
        <w:rPr>
          <w:rStyle w:val="FootnoteReference"/>
          <w:b/>
          <w:noProof/>
        </w:rPr>
        <w:footnoteReference w:id="5"/>
      </w:r>
      <w:r>
        <w:rPr>
          <w:noProof/>
          <w:sz w:val="22"/>
        </w:rPr>
        <w:t xml:space="preserve"> </w:t>
      </w:r>
    </w:p>
    <w:p>
      <w:pPr>
        <w:pStyle w:val="Text1"/>
        <w:rPr>
          <w:noProof/>
          <w:sz w:val="22"/>
        </w:rPr>
      </w:pPr>
      <w:r>
        <w:rPr>
          <w:noProof/>
          <w:sz w:val="22"/>
        </w:rPr>
        <w:sym w:font="Wingdings" w:char="F0A8"/>
      </w:r>
      <w:r>
        <w:rPr>
          <w:i/>
          <w:noProof/>
          <w:sz w:val="22"/>
        </w:rPr>
        <w:t xml:space="preserve"> </w:t>
      </w:r>
      <w:r>
        <w:rPr>
          <w:noProof/>
        </w:rPr>
        <w:t xml:space="preserve">The proposal/initiative relates to </w:t>
      </w:r>
      <w:r>
        <w:rPr>
          <w:b/>
          <w:noProof/>
        </w:rPr>
        <w:t>the extension of an existing action</w:t>
      </w:r>
      <w:r>
        <w:rPr>
          <w:noProof/>
          <w:sz w:val="22"/>
        </w:rPr>
        <w:t xml:space="preserve"> </w:t>
      </w:r>
    </w:p>
    <w:p>
      <w:pPr>
        <w:pStyle w:val="Text1"/>
        <w:rPr>
          <w:noProof/>
        </w:rPr>
      </w:pPr>
      <w:r>
        <w:rPr>
          <w:noProof/>
          <w:sz w:val="22"/>
        </w:rPr>
        <w:sym w:font="Wingdings" w:char="F0A8"/>
      </w:r>
      <w:r>
        <w:rPr>
          <w:i/>
          <w:noProof/>
          <w:sz w:val="22"/>
        </w:rPr>
        <w:t xml:space="preserve"> </w:t>
      </w:r>
      <w:r>
        <w:rPr>
          <w:noProof/>
        </w:rPr>
        <w:t xml:space="preserve">The proposal/initiative relates to </w:t>
      </w:r>
      <w:r>
        <w:rPr>
          <w:b/>
          <w:noProof/>
        </w:rPr>
        <w:t>an action redirected towards a new action</w:t>
      </w:r>
      <w:r>
        <w:rPr>
          <w:noProof/>
        </w:rPr>
        <w:t xml:space="preserve"> </w:t>
      </w:r>
    </w:p>
    <w:p>
      <w:pPr>
        <w:pStyle w:val="ManualHeading2"/>
        <w:rPr>
          <w:bCs/>
          <w:noProof/>
          <w:szCs w:val="24"/>
        </w:rPr>
      </w:pPr>
      <w:r>
        <w:rPr>
          <w:noProof/>
        </w:rPr>
        <w:t>1.4.</w:t>
      </w:r>
      <w:r>
        <w:rPr>
          <w:noProof/>
        </w:rPr>
        <w:tab/>
        <w:t>Objective(s)</w:t>
      </w:r>
    </w:p>
    <w:p>
      <w:pPr>
        <w:pStyle w:val="ManualHeading3"/>
        <w:rPr>
          <w:noProof/>
        </w:rPr>
      </w:pPr>
      <w:bookmarkStart w:id="7" w:name="DQPStarAt1DQPStarAt50C02B590DB04B35A541B"/>
      <w:r>
        <w:rPr>
          <w:noProof/>
        </w:rPr>
        <w:t>1.4.1.</w:t>
      </w:r>
      <w:r>
        <w:rPr>
          <w:noProof/>
        </w:rPr>
        <w:tab/>
        <w:t xml:space="preserve">The Commission's multiannual strategic objective(s) targeted by the proposal/initiative </w:t>
      </w:r>
    </w:p>
    <w:bookmarkEnd w:id="7"/>
    <w:p>
      <w:pPr>
        <w:pStyle w:val="Text1"/>
        <w:pBdr>
          <w:top w:val="single" w:sz="4" w:space="1" w:color="auto"/>
          <w:left w:val="single" w:sz="4" w:space="4" w:color="auto"/>
          <w:bottom w:val="single" w:sz="4" w:space="1" w:color="auto"/>
          <w:right w:val="single" w:sz="4" w:space="4" w:color="auto"/>
        </w:pBdr>
        <w:rPr>
          <w:noProof/>
        </w:rPr>
      </w:pPr>
      <w:r>
        <w:rPr>
          <w:noProof/>
        </w:rPr>
        <w:t>The proposal can be framed in the the first of the ten Juncker priorities – Job, Growth and Investment.</w:t>
      </w:r>
    </w:p>
    <w:p>
      <w:pPr>
        <w:pStyle w:val="ManualHeading3"/>
        <w:rPr>
          <w:bCs/>
          <w:noProof/>
          <w:szCs w:val="24"/>
        </w:rPr>
      </w:pPr>
      <w:r>
        <w:rPr>
          <w:noProof/>
        </w:rPr>
        <w:t>1.4.2.</w:t>
      </w:r>
      <w:r>
        <w:rPr>
          <w:noProof/>
        </w:rPr>
        <w:tab/>
        <w:t xml:space="preserve">Specific objective(s) and ABM/ABB activity(ies) concerned </w:t>
      </w:r>
    </w:p>
    <w:p>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Specific objective No</w:t>
      </w:r>
    </w:p>
    <w:p>
      <w:pPr>
        <w:pStyle w:val="Text1"/>
        <w:pBdr>
          <w:top w:val="single" w:sz="4" w:space="1" w:color="auto"/>
          <w:left w:val="single" w:sz="4" w:space="4" w:color="auto"/>
          <w:bottom w:val="single" w:sz="4" w:space="1" w:color="auto"/>
          <w:right w:val="single" w:sz="4" w:space="4" w:color="auto"/>
        </w:pBdr>
        <w:rPr>
          <w:noProof/>
        </w:rPr>
      </w:pPr>
      <w:r>
        <w:rPr>
          <w:noProof/>
        </w:rPr>
        <w:t>1</w:t>
      </w:r>
    </w:p>
    <w:p>
      <w:pPr>
        <w:pStyle w:val="Text1"/>
        <w:pBdr>
          <w:top w:val="single" w:sz="4" w:space="1" w:color="auto"/>
          <w:left w:val="single" w:sz="4" w:space="4" w:color="auto"/>
          <w:bottom w:val="single" w:sz="4" w:space="1" w:color="auto"/>
          <w:right w:val="single" w:sz="4" w:space="4" w:color="auto"/>
        </w:pBdr>
        <w:rPr>
          <w:noProof/>
          <w:u w:val="single"/>
        </w:rPr>
      </w:pPr>
      <w:r>
        <w:rPr>
          <w:noProof/>
          <w:u w:val="single"/>
        </w:rPr>
        <w:t>ABM/ABB activity(ies) concerned</w:t>
      </w:r>
    </w:p>
    <w:p>
      <w:pPr>
        <w:pStyle w:val="Text1"/>
        <w:pBdr>
          <w:top w:val="single" w:sz="4" w:space="1" w:color="auto"/>
          <w:left w:val="single" w:sz="4" w:space="4" w:color="auto"/>
          <w:bottom w:val="single" w:sz="4" w:space="1" w:color="auto"/>
          <w:right w:val="single" w:sz="4" w:space="4" w:color="auto"/>
        </w:pBdr>
        <w:rPr>
          <w:noProof/>
        </w:rPr>
      </w:pPr>
      <w:r>
        <w:rPr>
          <w:noProof/>
        </w:rPr>
        <w:t>20.02 Trade Policy .</w:t>
      </w:r>
    </w:p>
    <w:p>
      <w:pPr>
        <w:pStyle w:val="ManualHeading3"/>
        <w:rPr>
          <w:bCs/>
          <w:noProof/>
          <w:szCs w:val="24"/>
        </w:rPr>
      </w:pPr>
      <w:r>
        <w:rPr>
          <w:noProof/>
        </w:rPr>
        <w:br w:type="page"/>
        <w:t>1.4.3.</w:t>
      </w:r>
      <w:r>
        <w:rPr>
          <w:noProof/>
        </w:rPr>
        <w:tab/>
        <w:t>Expected result(s) and impact</w:t>
      </w:r>
    </w:p>
    <w:p>
      <w:pPr>
        <w:pStyle w:val="Text1"/>
        <w:rPr>
          <w:i/>
          <w:noProof/>
          <w:sz w:val="20"/>
        </w:rPr>
      </w:pPr>
      <w:r>
        <w:rPr>
          <w:i/>
          <w:noProof/>
          <w:sz w:val="20"/>
        </w:rPr>
        <w:t>Specify the effects which the proposal/initiative should have on the beneficiaries/groups targeted.</w:t>
      </w:r>
    </w:p>
    <w:p>
      <w:pPr>
        <w:pStyle w:val="Text1"/>
        <w:pBdr>
          <w:top w:val="single" w:sz="4" w:space="1" w:color="auto"/>
          <w:left w:val="single" w:sz="4" w:space="4" w:color="auto"/>
          <w:bottom w:val="single" w:sz="4" w:space="1" w:color="auto"/>
          <w:right w:val="single" w:sz="4" w:space="4" w:color="auto"/>
        </w:pBdr>
        <w:rPr>
          <w:noProof/>
        </w:rPr>
      </w:pPr>
      <w:r>
        <w:rPr>
          <w:noProof/>
        </w:rPr>
        <w:t xml:space="preserve">CETA will bring tangible benefits to European consumers and companies by eliminating or cutting customs duties. </w:t>
      </w:r>
    </w:p>
    <w:p>
      <w:pPr>
        <w:pStyle w:val="Text1"/>
        <w:pBdr>
          <w:top w:val="single" w:sz="4" w:space="1" w:color="auto"/>
          <w:left w:val="single" w:sz="4" w:space="4" w:color="auto"/>
          <w:bottom w:val="single" w:sz="4" w:space="1" w:color="auto"/>
          <w:right w:val="single" w:sz="4" w:space="4" w:color="auto"/>
        </w:pBdr>
        <w:rPr>
          <w:noProof/>
          <w:lang w:val="en-US"/>
        </w:rPr>
      </w:pPr>
      <w:r>
        <w:rPr>
          <w:noProof/>
        </w:rPr>
        <w:t xml:space="preserve">The provisions in the CETA agreement having a budgetary impact relate to the setting up and running of the Investment Court System (ICS). </w:t>
      </w:r>
    </w:p>
    <w:p>
      <w:pPr>
        <w:pStyle w:val="Text1"/>
        <w:pBdr>
          <w:top w:val="single" w:sz="4" w:space="1" w:color="auto"/>
          <w:left w:val="single" w:sz="4" w:space="4" w:color="auto"/>
          <w:bottom w:val="single" w:sz="4" w:space="1" w:color="auto"/>
          <w:right w:val="single" w:sz="4" w:space="4" w:color="auto"/>
        </w:pBdr>
        <w:rPr>
          <w:noProof/>
        </w:rPr>
      </w:pPr>
      <w:r>
        <w:rPr>
          <w:noProof/>
        </w:rPr>
        <w:t>The establishment of new Investment Court System will meet the high expectations of citizens and industry for a fairer, more transparent and institutionalised system of settling investment disputes.</w:t>
      </w:r>
    </w:p>
    <w:p>
      <w:pPr>
        <w:pStyle w:val="Text1"/>
        <w:pBdr>
          <w:top w:val="single" w:sz="4" w:space="1" w:color="auto"/>
          <w:left w:val="single" w:sz="4" w:space="4" w:color="auto"/>
          <w:bottom w:val="single" w:sz="4" w:space="1" w:color="auto"/>
          <w:right w:val="single" w:sz="4" w:space="4" w:color="auto"/>
        </w:pBdr>
        <w:rPr>
          <w:noProof/>
        </w:rPr>
      </w:pPr>
      <w:r>
        <w:rPr>
          <w:noProof/>
        </w:rPr>
        <w:t>In addition, the agreement will impact customs duties (see 3.3).</w:t>
      </w:r>
    </w:p>
    <w:p>
      <w:pPr>
        <w:pStyle w:val="ManualHeading3"/>
        <w:rPr>
          <w:bCs/>
          <w:noProof/>
          <w:szCs w:val="24"/>
        </w:rPr>
      </w:pPr>
      <w:r>
        <w:rPr>
          <w:noProof/>
        </w:rPr>
        <w:t>1.4.4.</w:t>
      </w:r>
      <w:r>
        <w:rPr>
          <w:noProof/>
        </w:rPr>
        <w:tab/>
        <w:t xml:space="preserve">Indicators of results and impact </w:t>
      </w:r>
    </w:p>
    <w:p>
      <w:pPr>
        <w:pStyle w:val="Text1"/>
        <w:rPr>
          <w:i/>
          <w:noProof/>
          <w:sz w:val="20"/>
        </w:rPr>
      </w:pPr>
      <w:r>
        <w:rPr>
          <w:i/>
          <w:noProof/>
          <w:sz w:val="20"/>
        </w:rPr>
        <w:t>Specify the indicators for monitoring implementation of the proposal/initiative.</w:t>
      </w:r>
    </w:p>
    <w:p>
      <w:pPr>
        <w:pStyle w:val="Text1"/>
        <w:pBdr>
          <w:top w:val="single" w:sz="4" w:space="1" w:color="auto"/>
          <w:left w:val="single" w:sz="4" w:space="4" w:color="auto"/>
          <w:bottom w:val="single" w:sz="4" w:space="1" w:color="auto"/>
          <w:right w:val="single" w:sz="4" w:space="4" w:color="auto"/>
        </w:pBdr>
        <w:rPr>
          <w:noProof/>
        </w:rPr>
      </w:pPr>
      <w:r>
        <w:rPr>
          <w:noProof/>
        </w:rPr>
        <w:t xml:space="preserve">Maintaining or improving level of trade and investment flows between the EU and Canada. </w:t>
      </w:r>
    </w:p>
    <w:p>
      <w:pPr>
        <w:pStyle w:val="ManualHeading2"/>
        <w:rPr>
          <w:bCs/>
          <w:noProof/>
          <w:szCs w:val="24"/>
        </w:rPr>
      </w:pPr>
      <w:r>
        <w:rPr>
          <w:noProof/>
        </w:rPr>
        <w:t>1.5.</w:t>
      </w:r>
      <w:r>
        <w:rPr>
          <w:noProof/>
        </w:rPr>
        <w:tab/>
        <w:t xml:space="preserve">Grounds for the proposal/initiative </w:t>
      </w:r>
    </w:p>
    <w:p>
      <w:pPr>
        <w:pStyle w:val="ManualHeading3"/>
        <w:rPr>
          <w:noProof/>
        </w:rPr>
      </w:pPr>
      <w:bookmarkStart w:id="8" w:name="DQPStarAt1DQPStarAt0B8C502294B44F699400C"/>
      <w:r>
        <w:rPr>
          <w:noProof/>
        </w:rPr>
        <w:t>1.5.1.</w:t>
      </w:r>
      <w:r>
        <w:rPr>
          <w:noProof/>
        </w:rPr>
        <w:tab/>
        <w:t xml:space="preserve">Requirement(s) to be met in the short or long term </w:t>
      </w:r>
    </w:p>
    <w:bookmarkEnd w:id="8"/>
    <w:p>
      <w:pPr>
        <w:pStyle w:val="Text1"/>
        <w:pBdr>
          <w:top w:val="single" w:sz="4" w:space="1" w:color="auto"/>
          <w:left w:val="single" w:sz="4" w:space="4" w:color="auto"/>
          <w:bottom w:val="single" w:sz="4" w:space="1" w:color="auto"/>
          <w:right w:val="single" w:sz="4" w:space="4" w:color="auto"/>
        </w:pBdr>
        <w:rPr>
          <w:noProof/>
        </w:rPr>
      </w:pPr>
      <w:r>
        <w:rPr>
          <w:noProof/>
        </w:rPr>
        <w:t xml:space="preserve">Maintain or improve level of trade and investment flows between the EU and Canada. </w:t>
      </w:r>
    </w:p>
    <w:p>
      <w:pPr>
        <w:pStyle w:val="ManualHeading3"/>
        <w:rPr>
          <w:bCs/>
          <w:noProof/>
          <w:szCs w:val="24"/>
        </w:rPr>
      </w:pPr>
      <w:r>
        <w:rPr>
          <w:noProof/>
        </w:rPr>
        <w:t>1.5.2.</w:t>
      </w:r>
      <w:r>
        <w:rPr>
          <w:noProof/>
        </w:rPr>
        <w:tab/>
        <w:t>Added value of EU involvement</w:t>
      </w:r>
    </w:p>
    <w:p>
      <w:pPr>
        <w:pStyle w:val="Text1"/>
        <w:pBdr>
          <w:top w:val="single" w:sz="4" w:space="1" w:color="auto"/>
          <w:left w:val="single" w:sz="4" w:space="4" w:color="auto"/>
          <w:bottom w:val="single" w:sz="4" w:space="1" w:color="auto"/>
          <w:right w:val="single" w:sz="4" w:space="4" w:color="auto"/>
        </w:pBdr>
        <w:rPr>
          <w:noProof/>
        </w:rPr>
      </w:pPr>
      <w:r>
        <w:rPr>
          <w:noProof/>
        </w:rPr>
        <w:t>Canada is one of the EUs oldest and closest strategic partners in the world. We have a long history of shared values and therefore work closely together on many global challenges such as the environment, climate change, energy security, regional stability etc. Canada is the 11th largest economy in the world and is the 12th largest trading partner of the EU. With CETA, European companies will receive the best treatment that Canada has ever offered to any trading partner, thus levelling the playing field on the Canadian market for EU operators. By opening markets, CETA should support growth and jobs in the EU and bring further benefits for European consumers.</w:t>
      </w:r>
    </w:p>
    <w:p>
      <w:pPr>
        <w:pStyle w:val="ManualHeading3"/>
        <w:rPr>
          <w:bCs/>
          <w:noProof/>
          <w:szCs w:val="24"/>
        </w:rPr>
      </w:pPr>
      <w:r>
        <w:rPr>
          <w:noProof/>
        </w:rPr>
        <w:t>1.5.3.</w:t>
      </w:r>
      <w:r>
        <w:rPr>
          <w:noProof/>
        </w:rPr>
        <w:tab/>
        <w:t>Lessons learned from similar experiences in the past</w:t>
      </w:r>
    </w:p>
    <w:p>
      <w:pPr>
        <w:pStyle w:val="Text1"/>
        <w:pBdr>
          <w:top w:val="single" w:sz="4" w:space="1" w:color="auto"/>
          <w:left w:val="single" w:sz="4" w:space="4" w:color="auto"/>
          <w:bottom w:val="single" w:sz="4" w:space="1" w:color="auto"/>
          <w:right w:val="single" w:sz="4" w:space="4" w:color="auto"/>
        </w:pBdr>
        <w:rPr>
          <w:noProof/>
        </w:rPr>
      </w:pPr>
      <w:r>
        <w:rPr>
          <w:noProof/>
        </w:rPr>
        <w:t>N/A</w:t>
      </w:r>
    </w:p>
    <w:p>
      <w:pPr>
        <w:pStyle w:val="ManualHeading3"/>
        <w:rPr>
          <w:bCs/>
          <w:noProof/>
          <w:szCs w:val="24"/>
        </w:rPr>
      </w:pPr>
      <w:r>
        <w:rPr>
          <w:noProof/>
        </w:rPr>
        <w:t>1.5.4.</w:t>
      </w:r>
      <w:r>
        <w:rPr>
          <w:noProof/>
        </w:rPr>
        <w:tab/>
        <w:t>Compatibility and possible synergy with other appropriate instruments</w:t>
      </w:r>
    </w:p>
    <w:p>
      <w:pPr>
        <w:pStyle w:val="Text1"/>
        <w:pBdr>
          <w:top w:val="single" w:sz="4" w:space="1" w:color="auto"/>
          <w:left w:val="single" w:sz="4" w:space="4" w:color="auto"/>
          <w:bottom w:val="single" w:sz="4" w:space="1" w:color="auto"/>
          <w:right w:val="single" w:sz="4" w:space="4" w:color="auto"/>
        </w:pBdr>
        <w:rPr>
          <w:noProof/>
        </w:rPr>
      </w:pPr>
      <w:r>
        <w:rPr>
          <w:noProof/>
        </w:rPr>
        <w:t>N/A</w:t>
      </w:r>
    </w:p>
    <w:p>
      <w:pPr>
        <w:pStyle w:val="ManualHeading2"/>
        <w:rPr>
          <w:bCs/>
          <w:noProof/>
          <w:szCs w:val="24"/>
        </w:rPr>
      </w:pPr>
      <w:r>
        <w:rPr>
          <w:noProof/>
        </w:rPr>
        <w:br w:type="page"/>
        <w:t>1.6.</w:t>
      </w:r>
      <w:r>
        <w:rPr>
          <w:noProof/>
        </w:rPr>
        <w:tab/>
        <w:t xml:space="preserve">Duration and financial impact </w:t>
      </w:r>
    </w:p>
    <w:p>
      <w:pPr>
        <w:pStyle w:val="Text1"/>
        <w:rPr>
          <w:noProof/>
        </w:rPr>
      </w:pPr>
      <w:r>
        <w:rPr>
          <w:noProof/>
        </w:rPr>
        <w:sym w:font="Wingdings" w:char="F0A8"/>
      </w:r>
      <w:r>
        <w:rPr>
          <w:b/>
          <w:i/>
          <w:noProof/>
        </w:rPr>
        <w:t xml:space="preserve"> </w:t>
      </w:r>
      <w:r>
        <w:rPr>
          <w:noProof/>
        </w:rPr>
        <w:t xml:space="preserve">Proposal/initiative of </w:t>
      </w:r>
      <w:r>
        <w:rPr>
          <w:b/>
          <w:noProof/>
        </w:rPr>
        <w:t xml:space="preserve">limited duration </w:t>
      </w:r>
    </w:p>
    <w:p>
      <w:pPr>
        <w:pStyle w:val="ListDash2"/>
        <w:rPr>
          <w:noProof/>
        </w:rPr>
      </w:pPr>
      <w:bookmarkStart w:id="9" w:name="DQPStarAt1DQPStarAt59CE30BC2F18444E83EFC"/>
      <w:r>
        <w:rPr>
          <w:noProof/>
        </w:rPr>
        <w:sym w:font="Wingdings" w:char="F0A8"/>
      </w:r>
      <w:r>
        <w:rPr>
          <w:noProof/>
        </w:rPr>
        <w:tab/>
        <w:t xml:space="preserve">Proposal/initiative in effect from [DD/MM]YYYY to [DD/MM]YYYY </w:t>
      </w:r>
    </w:p>
    <w:bookmarkEnd w:id="9"/>
    <w:p>
      <w:pPr>
        <w:pStyle w:val="ListDash2"/>
        <w:rPr>
          <w:noProof/>
        </w:rPr>
      </w:pPr>
      <w:r>
        <w:rPr>
          <w:noProof/>
        </w:rPr>
        <w:sym w:font="Wingdings" w:char="F0A8"/>
      </w:r>
      <w:r>
        <w:rPr>
          <w:noProof/>
        </w:rPr>
        <w:tab/>
        <w:t xml:space="preserve">Financial impact from YYYY to YYYY </w:t>
      </w:r>
    </w:p>
    <w:p>
      <w:pPr>
        <w:pStyle w:val="Text1"/>
        <w:rPr>
          <w:noProof/>
        </w:rPr>
      </w:pPr>
      <w:r>
        <w:rPr>
          <w:noProof/>
        </w:rPr>
        <w:sym w:font="Wingdings" w:char="F0FE"/>
      </w:r>
      <w:r>
        <w:rPr>
          <w:noProof/>
        </w:rPr>
        <w:t xml:space="preserve"> Proposal/initiative of </w:t>
      </w:r>
      <w:r>
        <w:rPr>
          <w:b/>
          <w:noProof/>
        </w:rPr>
        <w:t>unlimited duration</w:t>
      </w:r>
    </w:p>
    <w:p>
      <w:pPr>
        <w:pStyle w:val="ListDash1"/>
        <w:rPr>
          <w:noProof/>
        </w:rPr>
      </w:pPr>
      <w:bookmarkStart w:id="10" w:name="DQPStarAt1DQPStarAt20F85E5B06894B9E8FE99"/>
      <w:r>
        <w:rPr>
          <w:noProof/>
        </w:rPr>
        <w:t>Implementation with a start-up period from 2017 (subject to ratification in the Council and the European Parliament).</w:t>
      </w:r>
    </w:p>
    <w:bookmarkEnd w:id="10"/>
    <w:p>
      <w:pPr>
        <w:pStyle w:val="ListDash1"/>
        <w:rPr>
          <w:noProof/>
        </w:rPr>
      </w:pPr>
      <w:r>
        <w:rPr>
          <w:noProof/>
        </w:rPr>
        <w:t>followed by full-scale operation.</w:t>
      </w:r>
    </w:p>
    <w:p>
      <w:pPr>
        <w:pStyle w:val="ManualHeading2"/>
        <w:rPr>
          <w:bCs/>
          <w:noProof/>
          <w:szCs w:val="24"/>
        </w:rPr>
      </w:pPr>
      <w:r>
        <w:rPr>
          <w:noProof/>
        </w:rPr>
        <w:t>1.7.</w:t>
      </w:r>
      <w:r>
        <w:rPr>
          <w:noProof/>
        </w:rPr>
        <w:tab/>
        <w:t>Management mode(s) planned</w:t>
      </w:r>
      <w:r>
        <w:rPr>
          <w:rStyle w:val="FootnoteReference"/>
          <w:noProof/>
        </w:rPr>
        <w:footnoteReference w:id="6"/>
      </w:r>
      <w:r>
        <w:rPr>
          <w:rStyle w:val="FootnoteReference"/>
          <w:noProof/>
        </w:rPr>
        <w:t xml:space="preserve"> </w:t>
      </w:r>
    </w:p>
    <w:p>
      <w:pPr>
        <w:pStyle w:val="Text1"/>
        <w:rPr>
          <w:noProof/>
        </w:rPr>
      </w:pPr>
      <w:r>
        <w:rPr>
          <w:noProof/>
        </w:rPr>
        <w:sym w:font="Wingdings" w:char="F0A8"/>
      </w:r>
      <w:r>
        <w:rPr>
          <w:i/>
          <w:noProof/>
        </w:rPr>
        <w:t xml:space="preserve"> </w:t>
      </w:r>
      <w:r>
        <w:rPr>
          <w:b/>
          <w:noProof/>
        </w:rPr>
        <w:t>Direct management</w:t>
      </w:r>
      <w:r>
        <w:rPr>
          <w:noProof/>
        </w:rPr>
        <w:t xml:space="preserve"> by the Commission</w:t>
      </w:r>
    </w:p>
    <w:p>
      <w:pPr>
        <w:pStyle w:val="ListDash2"/>
        <w:rPr>
          <w:rFonts w:cs="EUAlbertina"/>
          <w:noProof/>
        </w:rPr>
      </w:pPr>
      <w:r>
        <w:rPr>
          <w:noProof/>
        </w:rPr>
        <w:sym w:font="Wingdings" w:char="F0A8"/>
      </w:r>
      <w:r>
        <w:rPr>
          <w:noProof/>
        </w:rPr>
        <w:t xml:space="preserve"> by its departments, including by its staff in the Union delegations; </w:t>
      </w:r>
    </w:p>
    <w:p>
      <w:pPr>
        <w:pStyle w:val="ListDash2"/>
        <w:rPr>
          <w:noProof/>
        </w:rPr>
      </w:pPr>
      <w:r>
        <w:rPr>
          <w:noProof/>
        </w:rPr>
        <w:sym w:font="Wingdings" w:char="F0A8"/>
      </w:r>
      <w:r>
        <w:rPr>
          <w:noProof/>
        </w:rPr>
        <w:tab/>
        <w:t xml:space="preserve">by the executive agencies </w:t>
      </w:r>
    </w:p>
    <w:p>
      <w:pPr>
        <w:pStyle w:val="Text1"/>
        <w:rPr>
          <w:noProof/>
        </w:rPr>
      </w:pPr>
      <w:r>
        <w:rPr>
          <w:noProof/>
        </w:rPr>
        <w:sym w:font="Wingdings" w:char="F0A8"/>
      </w:r>
      <w:r>
        <w:rPr>
          <w:b/>
          <w:i/>
          <w:noProof/>
        </w:rPr>
        <w:t xml:space="preserve"> </w:t>
      </w:r>
      <w:r>
        <w:rPr>
          <w:b/>
          <w:noProof/>
        </w:rPr>
        <w:t>Shared management</w:t>
      </w:r>
      <w:r>
        <w:rPr>
          <w:noProof/>
        </w:rPr>
        <w:t xml:space="preserve"> with the Member States </w:t>
      </w:r>
    </w:p>
    <w:p>
      <w:pPr>
        <w:pStyle w:val="Text1"/>
        <w:rPr>
          <w:noProof/>
        </w:rPr>
      </w:pPr>
      <w:r>
        <w:rPr>
          <w:noProof/>
        </w:rPr>
        <w:sym w:font="Wingdings" w:char="F0FE"/>
      </w:r>
      <w:r>
        <w:rPr>
          <w:noProof/>
        </w:rPr>
        <w:t xml:space="preserve"> </w:t>
      </w:r>
      <w:r>
        <w:rPr>
          <w:b/>
          <w:noProof/>
        </w:rPr>
        <w:t>Indirect management</w:t>
      </w:r>
      <w:r>
        <w:rPr>
          <w:noProof/>
        </w:rPr>
        <w:t xml:space="preserve"> by entrusting budget implementation tasks to:</w:t>
      </w:r>
    </w:p>
    <w:p>
      <w:pPr>
        <w:pStyle w:val="ListDash2"/>
        <w:rPr>
          <w:noProof/>
        </w:rPr>
      </w:pPr>
      <w:r>
        <w:rPr>
          <w:noProof/>
        </w:rPr>
        <w:sym w:font="Wingdings" w:char="F0A8"/>
      </w:r>
      <w:r>
        <w:rPr>
          <w:noProof/>
        </w:rPr>
        <w:t xml:space="preserve"> third countries or the bodies they have designated;</w:t>
      </w:r>
    </w:p>
    <w:p>
      <w:pPr>
        <w:pStyle w:val="ListDash2"/>
        <w:rPr>
          <w:noProof/>
        </w:rPr>
      </w:pPr>
      <w:r>
        <w:rPr>
          <w:noProof/>
        </w:rPr>
        <w:sym w:font="Wingdings" w:char="F0FE"/>
      </w:r>
      <w:r>
        <w:rPr>
          <w:noProof/>
        </w:rPr>
        <w:t xml:space="preserve"> international organisations and their agencies (to be specified);</w:t>
      </w:r>
    </w:p>
    <w:p>
      <w:pPr>
        <w:pStyle w:val="ListDash2"/>
        <w:rPr>
          <w:noProof/>
        </w:rPr>
      </w:pPr>
      <w:r>
        <w:rPr>
          <w:noProof/>
        </w:rPr>
        <w:sym w:font="Wingdings" w:char="F0A8"/>
      </w:r>
      <w:r>
        <w:rPr>
          <w:noProof/>
        </w:rPr>
        <w:t>the EIB and the European Investment Fund;</w:t>
      </w:r>
    </w:p>
    <w:p>
      <w:pPr>
        <w:pStyle w:val="ListDash2"/>
        <w:rPr>
          <w:noProof/>
        </w:rPr>
      </w:pPr>
      <w:r>
        <w:rPr>
          <w:noProof/>
        </w:rPr>
        <w:sym w:font="Wingdings" w:char="F0A8"/>
      </w:r>
      <w:r>
        <w:rPr>
          <w:noProof/>
        </w:rPr>
        <w:t xml:space="preserve"> bodies referred to in Articles 208 and 209 of the Financial Regulation;</w:t>
      </w:r>
    </w:p>
    <w:p>
      <w:pPr>
        <w:pStyle w:val="ListDash2"/>
        <w:rPr>
          <w:noProof/>
        </w:rPr>
      </w:pPr>
      <w:r>
        <w:rPr>
          <w:noProof/>
        </w:rPr>
        <w:sym w:font="Wingdings" w:char="F0A8"/>
      </w:r>
      <w:r>
        <w:rPr>
          <w:noProof/>
        </w:rPr>
        <w:t xml:space="preserve"> public law bodies;</w:t>
      </w:r>
    </w:p>
    <w:p>
      <w:pPr>
        <w:pStyle w:val="ListDash2"/>
        <w:rPr>
          <w:noProof/>
        </w:rPr>
      </w:pPr>
      <w:r>
        <w:rPr>
          <w:noProof/>
        </w:rPr>
        <w:sym w:font="Wingdings" w:char="F0A8"/>
      </w:r>
      <w:r>
        <w:rPr>
          <w:noProof/>
        </w:rPr>
        <w:t xml:space="preserve"> bodies governed by private law with a public service mission to the extent that they provide adequate financial guarantees;</w:t>
      </w:r>
    </w:p>
    <w:p>
      <w:pPr>
        <w:pStyle w:val="ListDash2"/>
        <w:rPr>
          <w:noProof/>
        </w:rPr>
      </w:pPr>
      <w:r>
        <w:rPr>
          <w:noProof/>
        </w:rPr>
        <w:sym w:font="Wingdings" w:char="F0A8"/>
      </w:r>
      <w:r>
        <w:rPr>
          <w:noProof/>
        </w:rPr>
        <w:t xml:space="preserve"> bodies governed by the private law of a Member State that are entrusted with the implementation of a public-private partnership and that provide adequate financial guarantees;</w:t>
      </w:r>
    </w:p>
    <w:p>
      <w:pPr>
        <w:pStyle w:val="ListDash2"/>
        <w:rPr>
          <w:noProof/>
        </w:rPr>
      </w:pPr>
      <w:r>
        <w:rPr>
          <w:noProof/>
        </w:rPr>
        <w:sym w:font="Wingdings" w:char="F0A8"/>
      </w:r>
      <w:r>
        <w:rPr>
          <w:noProof/>
        </w:rPr>
        <w:t xml:space="preserve"> persons entrusted with the implementation of specific actions in the CFSP pursuant to Title V of the TEU, and identified in the relevant basic act.</w:t>
      </w:r>
    </w:p>
    <w:p>
      <w:pPr>
        <w:pStyle w:val="ListDash2"/>
        <w:rPr>
          <w:i/>
          <w:noProof/>
          <w:sz w:val="18"/>
          <w:u w:val="single"/>
        </w:rPr>
      </w:pPr>
      <w:r>
        <w:rPr>
          <w:i/>
          <w:noProof/>
          <w:sz w:val="18"/>
        </w:rPr>
        <w:t>If more than one management mode is indicated, please provide details in the ‘Comments’ section.</w:t>
      </w:r>
    </w:p>
    <w:p>
      <w:pPr>
        <w:rPr>
          <w:noProof/>
        </w:rPr>
      </w:pPr>
      <w:r>
        <w:rPr>
          <w:noProof/>
        </w:rPr>
        <w:t xml:space="preserve">Comments </w:t>
      </w:r>
    </w:p>
    <w:p>
      <w:pPr>
        <w:pBdr>
          <w:top w:val="single" w:sz="4" w:space="1" w:color="auto"/>
          <w:left w:val="single" w:sz="4" w:space="4" w:color="auto"/>
          <w:bottom w:val="single" w:sz="4" w:space="1" w:color="auto"/>
          <w:right w:val="single" w:sz="4" w:space="4" w:color="auto"/>
        </w:pBdr>
        <w:rPr>
          <w:noProof/>
        </w:rPr>
      </w:pPr>
      <w:r>
        <w:rPr>
          <w:noProof/>
        </w:rPr>
        <w:t>A contribution will be given to an "</w:t>
      </w:r>
      <w:r>
        <w:rPr>
          <w:i/>
          <w:iCs/>
          <w:noProof/>
        </w:rPr>
        <w:t>existing structure</w:t>
      </w:r>
      <w:r>
        <w:rPr>
          <w:noProof/>
        </w:rPr>
        <w:t>" (namely, the ICSID) so that it channels the retainer fees to be paid to the judges composing the ICS. It is only in case that a dispute arises that the fees for case management could materialize, the services of ICSID as secretariat being otherwise free of charge.</w:t>
      </w:r>
    </w:p>
    <w:p>
      <w:pPr>
        <w:rPr>
          <w:noProof/>
        </w:rPr>
        <w:sectPr>
          <w:pgSz w:w="11907" w:h="16840" w:code="9"/>
          <w:pgMar w:top="1134" w:right="1418" w:bottom="1134" w:left="1418" w:header="709" w:footer="709" w:gutter="0"/>
          <w:cols w:space="708"/>
          <w:docGrid w:linePitch="360"/>
        </w:sectPr>
      </w:pPr>
    </w:p>
    <w:p>
      <w:pPr>
        <w:pStyle w:val="ManualHeading1"/>
        <w:rPr>
          <w:bCs/>
          <w:noProof/>
          <w:szCs w:val="24"/>
        </w:rPr>
      </w:pPr>
      <w:r>
        <w:rPr>
          <w:noProof/>
        </w:rPr>
        <w:t>2.</w:t>
      </w:r>
      <w:r>
        <w:rPr>
          <w:noProof/>
        </w:rPr>
        <w:tab/>
        <w:t xml:space="preserve">MANAGEMENT MEASURES </w:t>
      </w:r>
    </w:p>
    <w:p>
      <w:pPr>
        <w:pStyle w:val="ManualHeading2"/>
        <w:rPr>
          <w:noProof/>
        </w:rPr>
      </w:pPr>
      <w:bookmarkStart w:id="11" w:name="DQPStarAt1DQPStarAtD48EAF8732344C41BD5D1"/>
      <w:r>
        <w:rPr>
          <w:noProof/>
        </w:rPr>
        <w:t>2.1.</w:t>
      </w:r>
      <w:r>
        <w:rPr>
          <w:noProof/>
        </w:rPr>
        <w:tab/>
        <w:t xml:space="preserve">Monitoring and reporting rules </w:t>
      </w:r>
    </w:p>
    <w:bookmarkEnd w:id="11"/>
    <w:p>
      <w:pPr>
        <w:pStyle w:val="Text1"/>
        <w:rPr>
          <w:i/>
          <w:noProof/>
          <w:sz w:val="20"/>
          <w:u w:val="single"/>
        </w:rPr>
      </w:pPr>
      <w:r>
        <w:rPr>
          <w:i/>
          <w:noProof/>
          <w:sz w:val="20"/>
        </w:rPr>
        <w:t>Specify frequency and conditions.</w:t>
      </w:r>
    </w:p>
    <w:p>
      <w:pPr>
        <w:pStyle w:val="Text1"/>
        <w:pBdr>
          <w:top w:val="single" w:sz="4" w:space="1" w:color="auto"/>
          <w:left w:val="single" w:sz="4" w:space="4" w:color="auto"/>
          <w:bottom w:val="single" w:sz="4" w:space="1" w:color="auto"/>
          <w:right w:val="single" w:sz="4" w:space="4" w:color="auto"/>
        </w:pBdr>
        <w:rPr>
          <w:noProof/>
        </w:rPr>
      </w:pPr>
      <w:r>
        <w:rPr>
          <w:noProof/>
        </w:rPr>
        <w:t>As per the provisions of the framework agreement concluded with the organisation concerned.</w:t>
      </w:r>
    </w:p>
    <w:p>
      <w:pPr>
        <w:pStyle w:val="ManualHeading2"/>
        <w:rPr>
          <w:bCs/>
          <w:noProof/>
          <w:szCs w:val="24"/>
        </w:rPr>
      </w:pPr>
      <w:r>
        <w:rPr>
          <w:noProof/>
        </w:rPr>
        <w:t>2.2.</w:t>
      </w:r>
      <w:r>
        <w:rPr>
          <w:noProof/>
        </w:rPr>
        <w:tab/>
        <w:t xml:space="preserve">Management and control system </w:t>
      </w:r>
    </w:p>
    <w:p>
      <w:pPr>
        <w:pStyle w:val="ManualHeading3"/>
        <w:rPr>
          <w:noProof/>
        </w:rPr>
      </w:pPr>
      <w:bookmarkStart w:id="12" w:name="DQPStarAt1DQPStarAtFC30858830B9459B92A75"/>
      <w:r>
        <w:rPr>
          <w:noProof/>
        </w:rPr>
        <w:t>2.2.1.</w:t>
      </w:r>
      <w:r>
        <w:rPr>
          <w:noProof/>
        </w:rPr>
        <w:tab/>
        <w:t xml:space="preserve">Risk(s) identified </w:t>
      </w:r>
    </w:p>
    <w:bookmarkEnd w:id="12"/>
    <w:p>
      <w:pPr>
        <w:pStyle w:val="Text1"/>
        <w:pBdr>
          <w:top w:val="single" w:sz="4" w:space="1" w:color="auto"/>
          <w:left w:val="single" w:sz="4" w:space="4" w:color="auto"/>
          <w:bottom w:val="single" w:sz="4" w:space="1" w:color="auto"/>
          <w:right w:val="single" w:sz="4" w:space="4" w:color="auto"/>
        </w:pBdr>
        <w:rPr>
          <w:noProof/>
        </w:rPr>
      </w:pPr>
      <w:r>
        <w:rPr>
          <w:noProof/>
        </w:rPr>
        <w:t>As per the provisions of the framework agreement concluded with the organisation concerned.</w:t>
      </w:r>
    </w:p>
    <w:p>
      <w:pPr>
        <w:pStyle w:val="ManualHeading3"/>
        <w:rPr>
          <w:bCs/>
          <w:noProof/>
          <w:szCs w:val="24"/>
        </w:rPr>
      </w:pPr>
      <w:r>
        <w:rPr>
          <w:noProof/>
        </w:rPr>
        <w:t>2.2.2.</w:t>
      </w:r>
      <w:r>
        <w:rPr>
          <w:noProof/>
        </w:rPr>
        <w:tab/>
        <w:t>Information concerning the internal control system set up</w:t>
      </w:r>
    </w:p>
    <w:p>
      <w:pPr>
        <w:pStyle w:val="Text1"/>
        <w:pBdr>
          <w:top w:val="single" w:sz="4" w:space="1" w:color="auto"/>
          <w:left w:val="single" w:sz="4" w:space="4" w:color="auto"/>
          <w:bottom w:val="single" w:sz="4" w:space="1" w:color="auto"/>
          <w:right w:val="single" w:sz="4" w:space="4" w:color="auto"/>
        </w:pBdr>
        <w:rPr>
          <w:noProof/>
        </w:rPr>
      </w:pPr>
      <w:r>
        <w:rPr>
          <w:noProof/>
        </w:rPr>
        <w:t>As per the provisions of the framework agreement concluded with the organisation concerned. In particular, the applicable verification rules.</w:t>
      </w:r>
    </w:p>
    <w:p>
      <w:pPr>
        <w:pStyle w:val="ManualHeading3"/>
        <w:rPr>
          <w:noProof/>
        </w:rPr>
      </w:pPr>
      <w:r>
        <w:rPr>
          <w:noProof/>
        </w:rPr>
        <w:t>2.2.3.</w:t>
      </w:r>
      <w:r>
        <w:rPr>
          <w:noProof/>
        </w:rPr>
        <w:tab/>
        <w:t xml:space="preserve">Estimate of the costs and benefits of the controls and assessment of the expected level of risk of error </w:t>
      </w:r>
    </w:p>
    <w:p>
      <w:pPr>
        <w:pStyle w:val="Text1"/>
        <w:pBdr>
          <w:top w:val="single" w:sz="4" w:space="1" w:color="auto"/>
          <w:left w:val="single" w:sz="4" w:space="4" w:color="auto"/>
          <w:bottom w:val="single" w:sz="4" w:space="1" w:color="auto"/>
          <w:right w:val="single" w:sz="4" w:space="4" w:color="auto"/>
        </w:pBdr>
        <w:rPr>
          <w:noProof/>
        </w:rPr>
      </w:pPr>
      <w:r>
        <w:rPr>
          <w:noProof/>
        </w:rPr>
        <w:t xml:space="preserve">Given the estimated financial impact, no substantive quantifiable costs or benefits can be identified. The contribution will be part of DG Trade’s overall control system. As regards non-quantifiable benefits. </w:t>
      </w:r>
    </w:p>
    <w:p>
      <w:pPr>
        <w:pStyle w:val="ManualHeading2"/>
        <w:rPr>
          <w:bCs/>
          <w:noProof/>
          <w:szCs w:val="24"/>
        </w:rPr>
      </w:pPr>
      <w:r>
        <w:rPr>
          <w:noProof/>
        </w:rPr>
        <w:t>2.3.</w:t>
      </w:r>
      <w:r>
        <w:rPr>
          <w:noProof/>
        </w:rPr>
        <w:tab/>
        <w:t xml:space="preserve">Measures to prevent fraud and irregularities </w:t>
      </w:r>
    </w:p>
    <w:p>
      <w:pPr>
        <w:pStyle w:val="Text1"/>
        <w:rPr>
          <w:i/>
          <w:noProof/>
          <w:sz w:val="20"/>
        </w:rPr>
      </w:pPr>
      <w:r>
        <w:rPr>
          <w:i/>
          <w:noProof/>
          <w:sz w:val="20"/>
        </w:rPr>
        <w:t>Specify existing or envisaged prevention and protection measures.</w:t>
      </w:r>
    </w:p>
    <w:p>
      <w:pPr>
        <w:pStyle w:val="Text1"/>
        <w:pBdr>
          <w:top w:val="single" w:sz="4" w:space="1" w:color="auto"/>
          <w:left w:val="single" w:sz="4" w:space="4" w:color="auto"/>
          <w:bottom w:val="single" w:sz="4" w:space="1" w:color="auto"/>
          <w:right w:val="single" w:sz="4" w:space="4" w:color="auto"/>
        </w:pBdr>
        <w:rPr>
          <w:noProof/>
        </w:rPr>
      </w:pPr>
      <w:r>
        <w:rPr>
          <w:noProof/>
        </w:rPr>
        <w:t>As per the provisions of the framework agreement concluded with the organisation concerned. In addition, DG Trade’s anti-fraud strategy, which contains a dedicated chapter on financial management, will apply.</w:t>
      </w:r>
    </w:p>
    <w:p>
      <w:pPr>
        <w:rPr>
          <w:noProof/>
        </w:rPr>
        <w:sectPr>
          <w:pgSz w:w="11907" w:h="16840" w:code="9"/>
          <w:pgMar w:top="1134" w:right="1418" w:bottom="1134" w:left="1418" w:header="709" w:footer="709" w:gutter="0"/>
          <w:cols w:space="708"/>
          <w:docGrid w:linePitch="360"/>
        </w:sectPr>
      </w:pPr>
    </w:p>
    <w:p>
      <w:pPr>
        <w:pStyle w:val="ManualHeading1"/>
        <w:rPr>
          <w:bCs/>
          <w:noProof/>
          <w:szCs w:val="24"/>
        </w:rPr>
      </w:pPr>
      <w:r>
        <w:rPr>
          <w:noProof/>
        </w:rPr>
        <w:t>3.</w:t>
      </w:r>
      <w:r>
        <w:rPr>
          <w:noProof/>
        </w:rPr>
        <w:tab/>
        <w:t xml:space="preserve">ESTIMATED FINANCIAL IMPACT OF THE PROPOSAL/INITIATIVE </w:t>
      </w:r>
    </w:p>
    <w:p>
      <w:pPr>
        <w:pStyle w:val="ManualHeading2"/>
        <w:rPr>
          <w:noProof/>
        </w:rPr>
      </w:pPr>
      <w:bookmarkStart w:id="13" w:name="DQPStarAt1DQPStarAt59EF210DAE3644E2BA7C1"/>
      <w:r>
        <w:rPr>
          <w:noProof/>
        </w:rPr>
        <w:t>3.1.</w:t>
      </w:r>
      <w:r>
        <w:rPr>
          <w:noProof/>
        </w:rPr>
        <w:tab/>
        <w:t xml:space="preserve">Heading(s) of the multiannual financial framework and expenditure budget line(s) affected </w:t>
      </w:r>
    </w:p>
    <w:p>
      <w:pPr>
        <w:pStyle w:val="ListBullet1"/>
        <w:rPr>
          <w:noProof/>
        </w:rPr>
      </w:pPr>
      <w:bookmarkStart w:id="14" w:name="DQPStarAt1DQPStarAt9901936C2C694FDB8789A"/>
      <w:bookmarkEnd w:id="13"/>
      <w:r>
        <w:rPr>
          <w:noProof/>
        </w:rPr>
        <w:t xml:space="preserve">Existing budget lines </w:t>
      </w:r>
    </w:p>
    <w:bookmarkEnd w:id="14"/>
    <w:p>
      <w:pPr>
        <w:pStyle w:val="Text1"/>
        <w:rPr>
          <w:noProof/>
        </w:rPr>
      </w:pPr>
      <w:r>
        <w:rPr>
          <w:noProof/>
          <w:u w:val="single"/>
        </w:rPr>
        <w:t>In order</w:t>
      </w:r>
      <w:r>
        <w:rPr>
          <w:noProof/>
        </w:rPr>
        <w:t xml:space="preserve"> of multiannual financial framework headings and budget lines.</w:t>
      </w:r>
    </w:p>
    <w:tbl>
      <w:tblPr>
        <w:tblW w:w="105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960"/>
        <w:gridCol w:w="1080"/>
        <w:gridCol w:w="956"/>
        <w:gridCol w:w="1080"/>
        <w:gridCol w:w="956"/>
        <w:gridCol w:w="1448"/>
      </w:tblGrid>
      <w:tr>
        <w:tc>
          <w:tcPr>
            <w:tcW w:w="1080" w:type="dxa"/>
            <w:vMerge w:val="restart"/>
            <w:vAlign w:val="center"/>
          </w:tcPr>
          <w:p>
            <w:pPr>
              <w:spacing w:before="60" w:after="60"/>
              <w:jc w:val="center"/>
              <w:rPr>
                <w:noProof/>
                <w:sz w:val="22"/>
              </w:rPr>
            </w:pPr>
            <w:r>
              <w:rPr>
                <w:noProof/>
                <w:sz w:val="18"/>
              </w:rPr>
              <w:t>Heading of multiannual financial framework</w:t>
            </w:r>
          </w:p>
        </w:tc>
        <w:tc>
          <w:tcPr>
            <w:tcW w:w="3960" w:type="dxa"/>
            <w:vAlign w:val="center"/>
          </w:tcPr>
          <w:p>
            <w:pPr>
              <w:spacing w:before="60" w:after="60"/>
              <w:jc w:val="center"/>
              <w:rPr>
                <w:noProof/>
                <w:sz w:val="22"/>
              </w:rPr>
            </w:pPr>
            <w:r>
              <w:rPr>
                <w:noProof/>
                <w:sz w:val="20"/>
              </w:rPr>
              <w:t>Budget line</w:t>
            </w:r>
          </w:p>
        </w:tc>
        <w:tc>
          <w:tcPr>
            <w:tcW w:w="1080" w:type="dxa"/>
            <w:vAlign w:val="center"/>
          </w:tcPr>
          <w:p>
            <w:pPr>
              <w:spacing w:before="60" w:after="60"/>
              <w:jc w:val="center"/>
              <w:rPr>
                <w:noProof/>
                <w:sz w:val="22"/>
              </w:rPr>
            </w:pPr>
            <w:r>
              <w:rPr>
                <w:noProof/>
                <w:sz w:val="18"/>
              </w:rPr>
              <w:t xml:space="preserve">Type of </w:t>
            </w:r>
            <w:r>
              <w:rPr>
                <w:noProof/>
                <w:sz w:val="22"/>
              </w:rPr>
              <w:br/>
            </w:r>
            <w:r>
              <w:rPr>
                <w:noProof/>
                <w:sz w:val="18"/>
              </w:rPr>
              <w:t>expenditure</w:t>
            </w:r>
          </w:p>
        </w:tc>
        <w:tc>
          <w:tcPr>
            <w:tcW w:w="4440" w:type="dxa"/>
            <w:gridSpan w:val="4"/>
            <w:vAlign w:val="center"/>
          </w:tcPr>
          <w:p>
            <w:pPr>
              <w:spacing w:before="60" w:after="60"/>
              <w:jc w:val="center"/>
              <w:rPr>
                <w:noProof/>
                <w:sz w:val="22"/>
              </w:rPr>
            </w:pPr>
            <w:r>
              <w:rPr>
                <w:noProof/>
                <w:sz w:val="20"/>
              </w:rPr>
              <w:t xml:space="preserve">Contribution </w:t>
            </w:r>
          </w:p>
        </w:tc>
      </w:tr>
      <w:tr>
        <w:tc>
          <w:tcPr>
            <w:tcW w:w="1080" w:type="dxa"/>
            <w:vMerge/>
            <w:vAlign w:val="center"/>
          </w:tcPr>
          <w:p>
            <w:pPr>
              <w:jc w:val="center"/>
              <w:rPr>
                <w:noProof/>
                <w:sz w:val="22"/>
              </w:rPr>
            </w:pPr>
          </w:p>
        </w:tc>
        <w:tc>
          <w:tcPr>
            <w:tcW w:w="3960" w:type="dxa"/>
            <w:vAlign w:val="center"/>
          </w:tcPr>
          <w:p>
            <w:pPr>
              <w:rPr>
                <w:noProof/>
                <w:sz w:val="22"/>
              </w:rPr>
            </w:pPr>
            <w:r>
              <w:rPr>
                <w:noProof/>
                <w:sz w:val="20"/>
              </w:rPr>
              <w:t xml:space="preserve">Number </w:t>
            </w:r>
            <w:r>
              <w:rPr>
                <w:noProof/>
                <w:sz w:val="22"/>
              </w:rPr>
              <w:br/>
            </w:r>
            <w:r>
              <w:rPr>
                <w:noProof/>
              </w:rPr>
              <w:t>4</w:t>
            </w:r>
          </w:p>
        </w:tc>
        <w:tc>
          <w:tcPr>
            <w:tcW w:w="1080" w:type="dxa"/>
            <w:vAlign w:val="center"/>
          </w:tcPr>
          <w:p>
            <w:pPr>
              <w:jc w:val="center"/>
              <w:rPr>
                <w:noProof/>
                <w:sz w:val="22"/>
              </w:rPr>
            </w:pPr>
            <w:r>
              <w:rPr>
                <w:noProof/>
                <w:sz w:val="18"/>
              </w:rPr>
              <w:t>Diff./Non-diff.</w:t>
            </w:r>
            <w:r>
              <w:rPr>
                <w:rStyle w:val="FootnoteReference"/>
                <w:noProof/>
                <w:sz w:val="18"/>
              </w:rPr>
              <w:footnoteReference w:id="7"/>
            </w:r>
          </w:p>
        </w:tc>
        <w:tc>
          <w:tcPr>
            <w:tcW w:w="956" w:type="dxa"/>
            <w:vAlign w:val="center"/>
          </w:tcPr>
          <w:p>
            <w:pPr>
              <w:jc w:val="center"/>
              <w:rPr>
                <w:noProof/>
                <w:sz w:val="22"/>
              </w:rPr>
            </w:pPr>
            <w:r>
              <w:rPr>
                <w:noProof/>
                <w:sz w:val="18"/>
              </w:rPr>
              <w:t>from EFTA countries</w:t>
            </w:r>
            <w:r>
              <w:rPr>
                <w:rStyle w:val="FootnoteReference"/>
                <w:noProof/>
                <w:sz w:val="18"/>
              </w:rPr>
              <w:footnoteReference w:id="8"/>
            </w:r>
          </w:p>
          <w:p>
            <w:pPr>
              <w:spacing w:before="0" w:after="0"/>
              <w:jc w:val="center"/>
              <w:rPr>
                <w:b/>
                <w:noProof/>
                <w:sz w:val="18"/>
              </w:rPr>
            </w:pPr>
          </w:p>
        </w:tc>
        <w:tc>
          <w:tcPr>
            <w:tcW w:w="1080" w:type="dxa"/>
            <w:vAlign w:val="center"/>
          </w:tcPr>
          <w:p>
            <w:pPr>
              <w:jc w:val="center"/>
              <w:rPr>
                <w:noProof/>
                <w:sz w:val="22"/>
              </w:rPr>
            </w:pPr>
            <w:r>
              <w:rPr>
                <w:noProof/>
                <w:sz w:val="18"/>
              </w:rPr>
              <w:t>from candidate countries</w:t>
            </w:r>
            <w:r>
              <w:rPr>
                <w:rStyle w:val="FootnoteReference"/>
                <w:noProof/>
                <w:sz w:val="18"/>
              </w:rPr>
              <w:footnoteReference w:id="9"/>
            </w:r>
          </w:p>
          <w:p>
            <w:pPr>
              <w:spacing w:before="0" w:after="0"/>
              <w:jc w:val="center"/>
              <w:rPr>
                <w:noProof/>
                <w:sz w:val="18"/>
              </w:rPr>
            </w:pPr>
          </w:p>
        </w:tc>
        <w:tc>
          <w:tcPr>
            <w:tcW w:w="956" w:type="dxa"/>
            <w:vAlign w:val="center"/>
          </w:tcPr>
          <w:p>
            <w:pPr>
              <w:jc w:val="center"/>
              <w:rPr>
                <w:noProof/>
                <w:sz w:val="18"/>
              </w:rPr>
            </w:pPr>
            <w:r>
              <w:rPr>
                <w:noProof/>
                <w:sz w:val="18"/>
              </w:rPr>
              <w:t>from third countries</w:t>
            </w:r>
          </w:p>
        </w:tc>
        <w:tc>
          <w:tcPr>
            <w:tcW w:w="1448" w:type="dxa"/>
            <w:vAlign w:val="center"/>
          </w:tcPr>
          <w:p>
            <w:pPr>
              <w:jc w:val="center"/>
              <w:rPr>
                <w:noProof/>
                <w:sz w:val="22"/>
              </w:rPr>
            </w:pPr>
            <w:r>
              <w:rPr>
                <w:noProof/>
                <w:sz w:val="16"/>
              </w:rPr>
              <w:t xml:space="preserve">within the meaning of Article 21(2)(b) of the Financial Regulation </w:t>
            </w:r>
          </w:p>
        </w:tc>
      </w:tr>
      <w:tr>
        <w:tc>
          <w:tcPr>
            <w:tcW w:w="1080" w:type="dxa"/>
            <w:vAlign w:val="center"/>
          </w:tcPr>
          <w:p>
            <w:pPr>
              <w:jc w:val="center"/>
              <w:rPr>
                <w:noProof/>
                <w:sz w:val="22"/>
              </w:rPr>
            </w:pPr>
          </w:p>
        </w:tc>
        <w:tc>
          <w:tcPr>
            <w:tcW w:w="3960" w:type="dxa"/>
            <w:vAlign w:val="center"/>
          </w:tcPr>
          <w:p>
            <w:pPr>
              <w:spacing w:before="60"/>
              <w:rPr>
                <w:noProof/>
                <w:sz w:val="22"/>
              </w:rPr>
            </w:pPr>
            <w:r>
              <w:rPr>
                <w:noProof/>
              </w:rPr>
              <w:t>20.0201</w:t>
            </w:r>
          </w:p>
          <w:p>
            <w:pPr>
              <w:spacing w:after="60"/>
              <w:rPr>
                <w:noProof/>
                <w:sz w:val="22"/>
              </w:rPr>
            </w:pPr>
          </w:p>
        </w:tc>
        <w:tc>
          <w:tcPr>
            <w:tcW w:w="1080" w:type="dxa"/>
            <w:vAlign w:val="center"/>
          </w:tcPr>
          <w:p>
            <w:pPr>
              <w:jc w:val="center"/>
              <w:rPr>
                <w:noProof/>
                <w:sz w:val="22"/>
              </w:rPr>
            </w:pPr>
            <w:r>
              <w:rPr>
                <w:noProof/>
                <w:sz w:val="22"/>
              </w:rPr>
              <w:t>Diff.</w:t>
            </w:r>
          </w:p>
        </w:tc>
        <w:tc>
          <w:tcPr>
            <w:tcW w:w="956" w:type="dxa"/>
            <w:vAlign w:val="center"/>
          </w:tcPr>
          <w:p>
            <w:pPr>
              <w:jc w:val="center"/>
              <w:rPr>
                <w:noProof/>
                <w:sz w:val="22"/>
              </w:rPr>
            </w:pPr>
            <w:r>
              <w:rPr>
                <w:noProof/>
                <w:sz w:val="22"/>
              </w:rPr>
              <w:t>NO</w:t>
            </w:r>
          </w:p>
        </w:tc>
        <w:tc>
          <w:tcPr>
            <w:tcW w:w="1080" w:type="dxa"/>
            <w:vAlign w:val="center"/>
          </w:tcPr>
          <w:p>
            <w:pPr>
              <w:jc w:val="center"/>
              <w:rPr>
                <w:noProof/>
                <w:sz w:val="22"/>
              </w:rPr>
            </w:pPr>
            <w:r>
              <w:rPr>
                <w:noProof/>
                <w:sz w:val="22"/>
              </w:rPr>
              <w:t>NO</w:t>
            </w:r>
          </w:p>
        </w:tc>
        <w:tc>
          <w:tcPr>
            <w:tcW w:w="956" w:type="dxa"/>
            <w:vAlign w:val="center"/>
          </w:tcPr>
          <w:p>
            <w:pPr>
              <w:jc w:val="center"/>
              <w:rPr>
                <w:noProof/>
                <w:sz w:val="22"/>
              </w:rPr>
            </w:pPr>
            <w:r>
              <w:rPr>
                <w:noProof/>
                <w:sz w:val="22"/>
              </w:rPr>
              <w:t>NO</w:t>
            </w:r>
          </w:p>
        </w:tc>
        <w:tc>
          <w:tcPr>
            <w:tcW w:w="1448" w:type="dxa"/>
            <w:vAlign w:val="center"/>
          </w:tcPr>
          <w:p>
            <w:pPr>
              <w:jc w:val="center"/>
              <w:rPr>
                <w:noProof/>
                <w:sz w:val="22"/>
              </w:rPr>
            </w:pPr>
            <w:r>
              <w:rPr>
                <w:noProof/>
                <w:sz w:val="22"/>
              </w:rPr>
              <w:t>NO</w:t>
            </w:r>
          </w:p>
        </w:tc>
      </w:tr>
    </w:tbl>
    <w:p>
      <w:pPr>
        <w:pStyle w:val="ListBullet1"/>
        <w:rPr>
          <w:noProof/>
        </w:rPr>
      </w:pPr>
      <w:r>
        <w:rPr>
          <w:noProof/>
        </w:rPr>
        <w:t xml:space="preserve">New budget lines requested </w:t>
      </w:r>
    </w:p>
    <w:p>
      <w:pPr>
        <w:pStyle w:val="Text1"/>
        <w:rPr>
          <w:i/>
          <w:noProof/>
          <w:sz w:val="20"/>
        </w:rPr>
      </w:pPr>
      <w:r>
        <w:rPr>
          <w:i/>
          <w:noProof/>
          <w:u w:val="single"/>
        </w:rPr>
        <w:t>In order</w:t>
      </w:r>
      <w:r>
        <w:rPr>
          <w:i/>
          <w:noProof/>
        </w:rPr>
        <w:t xml:space="preserve"> of multiannual financial framework headings and budget lines.</w:t>
      </w:r>
    </w:p>
    <w:tbl>
      <w:tblPr>
        <w:tblW w:w="105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960"/>
        <w:gridCol w:w="1080"/>
        <w:gridCol w:w="956"/>
        <w:gridCol w:w="1080"/>
        <w:gridCol w:w="956"/>
        <w:gridCol w:w="1448"/>
      </w:tblGrid>
      <w:tr>
        <w:tc>
          <w:tcPr>
            <w:tcW w:w="1080" w:type="dxa"/>
            <w:vMerge w:val="restart"/>
            <w:vAlign w:val="center"/>
          </w:tcPr>
          <w:p>
            <w:pPr>
              <w:spacing w:before="60" w:after="60"/>
              <w:jc w:val="center"/>
              <w:rPr>
                <w:noProof/>
                <w:sz w:val="18"/>
                <w:szCs w:val="18"/>
              </w:rPr>
            </w:pPr>
            <w:r>
              <w:rPr>
                <w:noProof/>
                <w:sz w:val="18"/>
              </w:rPr>
              <w:t>Heading of multiannual financial framework</w:t>
            </w:r>
          </w:p>
        </w:tc>
        <w:tc>
          <w:tcPr>
            <w:tcW w:w="3960" w:type="dxa"/>
            <w:vAlign w:val="center"/>
          </w:tcPr>
          <w:p>
            <w:pPr>
              <w:spacing w:before="60" w:after="60"/>
              <w:jc w:val="center"/>
              <w:rPr>
                <w:noProof/>
                <w:sz w:val="22"/>
              </w:rPr>
            </w:pPr>
            <w:r>
              <w:rPr>
                <w:noProof/>
                <w:sz w:val="20"/>
              </w:rPr>
              <w:t>Budget line</w:t>
            </w:r>
          </w:p>
        </w:tc>
        <w:tc>
          <w:tcPr>
            <w:tcW w:w="1080" w:type="dxa"/>
            <w:vAlign w:val="center"/>
          </w:tcPr>
          <w:p>
            <w:pPr>
              <w:spacing w:before="60" w:after="60"/>
              <w:jc w:val="center"/>
              <w:rPr>
                <w:noProof/>
                <w:sz w:val="22"/>
              </w:rPr>
            </w:pPr>
            <w:r>
              <w:rPr>
                <w:noProof/>
                <w:sz w:val="18"/>
              </w:rPr>
              <w:t>Type of</w:t>
            </w:r>
            <w:r>
              <w:rPr>
                <w:noProof/>
                <w:sz w:val="22"/>
              </w:rPr>
              <w:br/>
            </w:r>
            <w:r>
              <w:rPr>
                <w:noProof/>
                <w:sz w:val="18"/>
              </w:rPr>
              <w:t>expenditure</w:t>
            </w:r>
          </w:p>
        </w:tc>
        <w:tc>
          <w:tcPr>
            <w:tcW w:w="4440" w:type="dxa"/>
            <w:gridSpan w:val="4"/>
            <w:vAlign w:val="center"/>
          </w:tcPr>
          <w:p>
            <w:pPr>
              <w:spacing w:before="60" w:after="60"/>
              <w:jc w:val="center"/>
              <w:rPr>
                <w:noProof/>
                <w:sz w:val="22"/>
              </w:rPr>
            </w:pPr>
            <w:r>
              <w:rPr>
                <w:noProof/>
                <w:sz w:val="20"/>
              </w:rPr>
              <w:t xml:space="preserve">Contribution </w:t>
            </w:r>
          </w:p>
        </w:tc>
      </w:tr>
      <w:tr>
        <w:tc>
          <w:tcPr>
            <w:tcW w:w="1080" w:type="dxa"/>
            <w:vMerge/>
            <w:vAlign w:val="center"/>
          </w:tcPr>
          <w:p>
            <w:pPr>
              <w:jc w:val="center"/>
              <w:rPr>
                <w:noProof/>
                <w:sz w:val="22"/>
              </w:rPr>
            </w:pPr>
          </w:p>
        </w:tc>
        <w:tc>
          <w:tcPr>
            <w:tcW w:w="3960" w:type="dxa"/>
            <w:vAlign w:val="center"/>
          </w:tcPr>
          <w:p>
            <w:pPr>
              <w:rPr>
                <w:noProof/>
                <w:sz w:val="22"/>
              </w:rPr>
            </w:pPr>
            <w:r>
              <w:rPr>
                <w:noProof/>
                <w:sz w:val="20"/>
              </w:rPr>
              <w:t xml:space="preserve">Number </w:t>
            </w:r>
            <w:r>
              <w:rPr>
                <w:noProof/>
                <w:sz w:val="22"/>
              </w:rPr>
              <w:br/>
            </w:r>
            <w:r>
              <w:rPr>
                <w:noProof/>
              </w:rPr>
              <w:t>N/A</w:t>
            </w:r>
          </w:p>
        </w:tc>
        <w:tc>
          <w:tcPr>
            <w:tcW w:w="1080" w:type="dxa"/>
            <w:vAlign w:val="center"/>
          </w:tcPr>
          <w:p>
            <w:pPr>
              <w:jc w:val="center"/>
              <w:rPr>
                <w:noProof/>
                <w:sz w:val="22"/>
              </w:rPr>
            </w:pPr>
            <w:r>
              <w:rPr>
                <w:noProof/>
                <w:sz w:val="18"/>
              </w:rPr>
              <w:t>Diff./Non-diff.</w:t>
            </w:r>
          </w:p>
        </w:tc>
        <w:tc>
          <w:tcPr>
            <w:tcW w:w="956" w:type="dxa"/>
            <w:vAlign w:val="center"/>
          </w:tcPr>
          <w:p>
            <w:pPr>
              <w:jc w:val="center"/>
              <w:rPr>
                <w:noProof/>
                <w:sz w:val="18"/>
              </w:rPr>
            </w:pPr>
            <w:r>
              <w:rPr>
                <w:noProof/>
                <w:sz w:val="18"/>
              </w:rPr>
              <w:t>from EFTA countries</w:t>
            </w:r>
          </w:p>
        </w:tc>
        <w:tc>
          <w:tcPr>
            <w:tcW w:w="1080" w:type="dxa"/>
            <w:vAlign w:val="center"/>
          </w:tcPr>
          <w:p>
            <w:pPr>
              <w:jc w:val="center"/>
              <w:rPr>
                <w:noProof/>
                <w:sz w:val="18"/>
              </w:rPr>
            </w:pPr>
            <w:r>
              <w:rPr>
                <w:noProof/>
                <w:sz w:val="18"/>
              </w:rPr>
              <w:t>from candidate countries</w:t>
            </w:r>
          </w:p>
        </w:tc>
        <w:tc>
          <w:tcPr>
            <w:tcW w:w="956" w:type="dxa"/>
            <w:vAlign w:val="center"/>
          </w:tcPr>
          <w:p>
            <w:pPr>
              <w:jc w:val="center"/>
              <w:rPr>
                <w:noProof/>
                <w:sz w:val="18"/>
              </w:rPr>
            </w:pPr>
            <w:r>
              <w:rPr>
                <w:noProof/>
                <w:sz w:val="18"/>
              </w:rPr>
              <w:t>from third countries</w:t>
            </w:r>
          </w:p>
        </w:tc>
        <w:tc>
          <w:tcPr>
            <w:tcW w:w="1448" w:type="dxa"/>
            <w:vAlign w:val="center"/>
          </w:tcPr>
          <w:p>
            <w:pPr>
              <w:jc w:val="center"/>
              <w:rPr>
                <w:noProof/>
                <w:sz w:val="22"/>
              </w:rPr>
            </w:pPr>
            <w:r>
              <w:rPr>
                <w:noProof/>
                <w:sz w:val="16"/>
              </w:rPr>
              <w:t xml:space="preserve">within the meaning of Article 21(2)(b) of the Financial Regulation </w:t>
            </w:r>
          </w:p>
        </w:tc>
      </w:tr>
      <w:tr>
        <w:tc>
          <w:tcPr>
            <w:tcW w:w="1080" w:type="dxa"/>
            <w:vAlign w:val="center"/>
          </w:tcPr>
          <w:p>
            <w:pPr>
              <w:jc w:val="center"/>
              <w:rPr>
                <w:noProof/>
                <w:sz w:val="22"/>
              </w:rPr>
            </w:pPr>
          </w:p>
        </w:tc>
        <w:tc>
          <w:tcPr>
            <w:tcW w:w="3960" w:type="dxa"/>
            <w:vAlign w:val="center"/>
          </w:tcPr>
          <w:p>
            <w:pPr>
              <w:spacing w:after="60"/>
              <w:rPr>
                <w:noProof/>
                <w:sz w:val="22"/>
                <w:lang w:val="pt-PT"/>
              </w:rPr>
            </w:pPr>
            <w:r>
              <w:rPr>
                <w:noProof/>
                <w:sz w:val="22"/>
                <w:lang w:val="pt-PT"/>
              </w:rPr>
              <w:t>N/A</w:t>
            </w:r>
          </w:p>
        </w:tc>
        <w:tc>
          <w:tcPr>
            <w:tcW w:w="1080" w:type="dxa"/>
            <w:vAlign w:val="center"/>
          </w:tcPr>
          <w:p>
            <w:pPr>
              <w:jc w:val="center"/>
              <w:rPr>
                <w:noProof/>
                <w:sz w:val="22"/>
                <w:lang w:val="pt-PT"/>
              </w:rPr>
            </w:pPr>
          </w:p>
        </w:tc>
        <w:tc>
          <w:tcPr>
            <w:tcW w:w="956" w:type="dxa"/>
            <w:vAlign w:val="center"/>
          </w:tcPr>
          <w:p>
            <w:pPr>
              <w:jc w:val="center"/>
              <w:rPr>
                <w:noProof/>
                <w:sz w:val="22"/>
              </w:rPr>
            </w:pPr>
            <w:r>
              <w:rPr>
                <w:noProof/>
                <w:sz w:val="22"/>
              </w:rPr>
              <w:t>YES/NO</w:t>
            </w:r>
          </w:p>
        </w:tc>
        <w:tc>
          <w:tcPr>
            <w:tcW w:w="1080" w:type="dxa"/>
            <w:vAlign w:val="center"/>
          </w:tcPr>
          <w:p>
            <w:pPr>
              <w:jc w:val="center"/>
              <w:rPr>
                <w:noProof/>
                <w:sz w:val="18"/>
              </w:rPr>
            </w:pPr>
            <w:r>
              <w:rPr>
                <w:noProof/>
                <w:sz w:val="22"/>
              </w:rPr>
              <w:t>YES/NO</w:t>
            </w:r>
          </w:p>
        </w:tc>
        <w:tc>
          <w:tcPr>
            <w:tcW w:w="956" w:type="dxa"/>
            <w:vAlign w:val="center"/>
          </w:tcPr>
          <w:p>
            <w:pPr>
              <w:jc w:val="center"/>
              <w:rPr>
                <w:noProof/>
                <w:sz w:val="18"/>
              </w:rPr>
            </w:pPr>
            <w:r>
              <w:rPr>
                <w:noProof/>
                <w:sz w:val="22"/>
              </w:rPr>
              <w:t>YES/NO</w:t>
            </w:r>
          </w:p>
        </w:tc>
        <w:tc>
          <w:tcPr>
            <w:tcW w:w="1448" w:type="dxa"/>
            <w:vAlign w:val="center"/>
          </w:tcPr>
          <w:p>
            <w:pPr>
              <w:jc w:val="center"/>
              <w:rPr>
                <w:noProof/>
                <w:sz w:val="22"/>
              </w:rPr>
            </w:pPr>
            <w:r>
              <w:rPr>
                <w:noProof/>
                <w:sz w:val="22"/>
              </w:rPr>
              <w:t>YES/NO</w:t>
            </w:r>
          </w:p>
        </w:tc>
      </w:tr>
    </w:tbl>
    <w:p>
      <w:pPr>
        <w:rPr>
          <w:noProof/>
        </w:rPr>
        <w:sectPr>
          <w:pgSz w:w="11907" w:h="16840" w:code="1"/>
          <w:pgMar w:top="1134" w:right="1418" w:bottom="1134" w:left="1418" w:header="709" w:footer="709" w:gutter="0"/>
          <w:cols w:space="708"/>
          <w:docGrid w:linePitch="360"/>
        </w:sectPr>
      </w:pPr>
    </w:p>
    <w:p>
      <w:pPr>
        <w:pStyle w:val="ManualHeading2"/>
        <w:rPr>
          <w:bCs/>
          <w:noProof/>
          <w:szCs w:val="24"/>
        </w:rPr>
      </w:pPr>
      <w:r>
        <w:rPr>
          <w:noProof/>
        </w:rPr>
        <w:t>3.2.</w:t>
      </w:r>
      <w:r>
        <w:rPr>
          <w:noProof/>
        </w:rPr>
        <w:tab/>
        <w:t xml:space="preserve">Estimated impact on expenditure </w:t>
      </w:r>
    </w:p>
    <w:p>
      <w:pPr>
        <w:pStyle w:val="ManualHeading3"/>
        <w:rPr>
          <w:noProof/>
          <w:u w:val="single"/>
        </w:rPr>
      </w:pPr>
      <w:bookmarkStart w:id="15" w:name="DQPStarAt1DQPStarAtA442A75585C34D589C233"/>
      <w:r>
        <w:rPr>
          <w:noProof/>
        </w:rPr>
        <w:t>3.2.1.</w:t>
      </w:r>
      <w:r>
        <w:rPr>
          <w:noProof/>
        </w:rPr>
        <w:tab/>
        <w:t xml:space="preserve">Summary of estimated impact on expenditure </w:t>
      </w:r>
    </w:p>
    <w:bookmarkEnd w:id="15"/>
    <w:p>
      <w:pPr>
        <w:jc w:val="right"/>
        <w:rPr>
          <w:noProof/>
          <w:sz w:val="20"/>
        </w:rPr>
      </w:pPr>
      <w:r>
        <w:rPr>
          <w:noProof/>
          <w:sz w:val="20"/>
        </w:rPr>
        <w:t>EUR million (to three decimal places)</w:t>
      </w:r>
    </w:p>
    <w:tbl>
      <w:tblPr>
        <w:tblW w:w="0" w:type="auto"/>
        <w:jc w:val="center"/>
        <w:tblInd w:w="-2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trPr>
          <w:jc w:val="center"/>
        </w:trPr>
        <w:tc>
          <w:tcPr>
            <w:tcW w:w="4744" w:type="dxa"/>
            <w:shd w:val="thinDiagStripe" w:color="C0C0C0" w:fill="auto"/>
            <w:vAlign w:val="center"/>
          </w:tcPr>
          <w:p>
            <w:pPr>
              <w:spacing w:before="60" w:after="60"/>
              <w:jc w:val="center"/>
              <w:rPr>
                <w:b/>
                <w:noProof/>
                <w:sz w:val="22"/>
              </w:rPr>
            </w:pPr>
            <w:r>
              <w:rPr>
                <w:b/>
                <w:noProof/>
                <w:sz w:val="22"/>
              </w:rPr>
              <w:t xml:space="preserve">Heading of multiannual financial </w:t>
            </w:r>
            <w:r>
              <w:rPr>
                <w:noProof/>
                <w:sz w:val="22"/>
              </w:rPr>
              <w:br/>
            </w:r>
            <w:r>
              <w:rPr>
                <w:b/>
                <w:noProof/>
                <w:sz w:val="22"/>
              </w:rPr>
              <w:t xml:space="preserve">framework </w:t>
            </w:r>
          </w:p>
        </w:tc>
        <w:tc>
          <w:tcPr>
            <w:tcW w:w="1080" w:type="dxa"/>
            <w:vAlign w:val="center"/>
          </w:tcPr>
          <w:p>
            <w:pPr>
              <w:spacing w:before="60" w:after="60"/>
              <w:jc w:val="center"/>
              <w:rPr>
                <w:noProof/>
                <w:sz w:val="22"/>
              </w:rPr>
            </w:pPr>
            <w:r>
              <w:rPr>
                <w:noProof/>
                <w:sz w:val="22"/>
              </w:rPr>
              <w:t>Number</w:t>
            </w:r>
          </w:p>
        </w:tc>
        <w:tc>
          <w:tcPr>
            <w:tcW w:w="7817" w:type="dxa"/>
            <w:vAlign w:val="center"/>
          </w:tcPr>
          <w:p>
            <w:pPr>
              <w:spacing w:before="60" w:after="60"/>
              <w:rPr>
                <w:noProof/>
                <w:sz w:val="22"/>
              </w:rPr>
            </w:pPr>
            <w:r>
              <w:rPr>
                <w:noProof/>
              </w:rPr>
              <w:t>4</w:t>
            </w:r>
          </w:p>
        </w:tc>
      </w:tr>
    </w:tbl>
    <w:p>
      <w:pPr>
        <w:rPr>
          <w:noProof/>
          <w:sz w:val="16"/>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440"/>
        <w:gridCol w:w="120"/>
        <w:gridCol w:w="534"/>
        <w:gridCol w:w="868"/>
        <w:gridCol w:w="868"/>
        <w:gridCol w:w="868"/>
        <w:gridCol w:w="868"/>
        <w:gridCol w:w="868"/>
        <w:gridCol w:w="868"/>
        <w:gridCol w:w="868"/>
        <w:gridCol w:w="1777"/>
      </w:tblGrid>
      <w:tr>
        <w:tc>
          <w:tcPr>
            <w:tcW w:w="3960" w:type="dxa"/>
            <w:vAlign w:val="center"/>
          </w:tcPr>
          <w:p>
            <w:pPr>
              <w:jc w:val="center"/>
              <w:rPr>
                <w:noProof/>
                <w:sz w:val="22"/>
              </w:rPr>
            </w:pPr>
            <w:r>
              <w:rPr>
                <w:noProof/>
                <w:sz w:val="22"/>
              </w:rPr>
              <w:t>DG: TRADE</w:t>
            </w:r>
          </w:p>
        </w:tc>
        <w:tc>
          <w:tcPr>
            <w:tcW w:w="1560" w:type="dxa"/>
            <w:gridSpan w:val="2"/>
          </w:tcPr>
          <w:p>
            <w:pPr>
              <w:rPr>
                <w:noProof/>
                <w:sz w:val="20"/>
              </w:rPr>
            </w:pPr>
          </w:p>
        </w:tc>
        <w:tc>
          <w:tcPr>
            <w:tcW w:w="534" w:type="dxa"/>
          </w:tcPr>
          <w:p>
            <w:pPr>
              <w:jc w:val="center"/>
              <w:rPr>
                <w:noProof/>
                <w:sz w:val="20"/>
              </w:rPr>
            </w:pPr>
          </w:p>
        </w:tc>
        <w:tc>
          <w:tcPr>
            <w:tcW w:w="868" w:type="dxa"/>
            <w:vAlign w:val="center"/>
          </w:tcPr>
          <w:p>
            <w:pPr>
              <w:jc w:val="center"/>
              <w:rPr>
                <w:noProof/>
                <w:sz w:val="20"/>
              </w:rPr>
            </w:pPr>
            <w:r>
              <w:rPr>
                <w:noProof/>
                <w:sz w:val="20"/>
              </w:rPr>
              <w:t>Year</w:t>
            </w:r>
            <w:r>
              <w:rPr>
                <w:noProof/>
                <w:sz w:val="22"/>
              </w:rPr>
              <w:br/>
            </w:r>
            <w:r>
              <w:rPr>
                <w:b/>
                <w:noProof/>
                <w:sz w:val="20"/>
              </w:rPr>
              <w:t>2017</w:t>
            </w:r>
          </w:p>
        </w:tc>
        <w:tc>
          <w:tcPr>
            <w:tcW w:w="868" w:type="dxa"/>
            <w:vAlign w:val="center"/>
          </w:tcPr>
          <w:p>
            <w:pPr>
              <w:jc w:val="center"/>
              <w:rPr>
                <w:noProof/>
                <w:sz w:val="20"/>
              </w:rPr>
            </w:pPr>
            <w:r>
              <w:rPr>
                <w:noProof/>
                <w:sz w:val="20"/>
              </w:rPr>
              <w:t>Year</w:t>
            </w:r>
            <w:r>
              <w:rPr>
                <w:noProof/>
                <w:sz w:val="22"/>
              </w:rPr>
              <w:br/>
            </w:r>
            <w:r>
              <w:rPr>
                <w:b/>
                <w:noProof/>
                <w:sz w:val="20"/>
              </w:rPr>
              <w:t>2018</w:t>
            </w:r>
          </w:p>
        </w:tc>
        <w:tc>
          <w:tcPr>
            <w:tcW w:w="868" w:type="dxa"/>
            <w:vAlign w:val="center"/>
          </w:tcPr>
          <w:p>
            <w:pPr>
              <w:jc w:val="center"/>
              <w:rPr>
                <w:noProof/>
                <w:sz w:val="20"/>
              </w:rPr>
            </w:pPr>
            <w:r>
              <w:rPr>
                <w:noProof/>
                <w:sz w:val="20"/>
              </w:rPr>
              <w:t>Year</w:t>
            </w:r>
            <w:r>
              <w:rPr>
                <w:noProof/>
                <w:sz w:val="22"/>
              </w:rPr>
              <w:br/>
            </w:r>
            <w:r>
              <w:rPr>
                <w:b/>
                <w:noProof/>
                <w:sz w:val="20"/>
              </w:rPr>
              <w:t>2019</w:t>
            </w:r>
          </w:p>
        </w:tc>
        <w:tc>
          <w:tcPr>
            <w:tcW w:w="868" w:type="dxa"/>
            <w:vAlign w:val="center"/>
          </w:tcPr>
          <w:p>
            <w:pPr>
              <w:jc w:val="center"/>
              <w:rPr>
                <w:noProof/>
                <w:sz w:val="20"/>
              </w:rPr>
            </w:pPr>
            <w:r>
              <w:rPr>
                <w:noProof/>
                <w:sz w:val="20"/>
              </w:rPr>
              <w:t>Year</w:t>
            </w:r>
            <w:r>
              <w:rPr>
                <w:noProof/>
                <w:sz w:val="22"/>
              </w:rPr>
              <w:br/>
            </w:r>
            <w:r>
              <w:rPr>
                <w:b/>
                <w:noProof/>
                <w:sz w:val="20"/>
              </w:rPr>
              <w:t>2020</w:t>
            </w:r>
          </w:p>
        </w:tc>
        <w:tc>
          <w:tcPr>
            <w:tcW w:w="2604" w:type="dxa"/>
            <w:gridSpan w:val="3"/>
            <w:vAlign w:val="center"/>
          </w:tcPr>
          <w:p>
            <w:pPr>
              <w:jc w:val="center"/>
              <w:rPr>
                <w:b/>
                <w:noProof/>
                <w:sz w:val="18"/>
              </w:rPr>
            </w:pPr>
            <w:r>
              <w:rPr>
                <w:noProof/>
                <w:sz w:val="18"/>
              </w:rPr>
              <w:t>Enter as many years as necessary to show the duration of the impact (see point 1.6)</w:t>
            </w:r>
          </w:p>
        </w:tc>
        <w:tc>
          <w:tcPr>
            <w:tcW w:w="1777" w:type="dxa"/>
            <w:vAlign w:val="center"/>
          </w:tcPr>
          <w:p>
            <w:pPr>
              <w:jc w:val="center"/>
              <w:rPr>
                <w:b/>
                <w:noProof/>
                <w:sz w:val="20"/>
              </w:rPr>
            </w:pPr>
            <w:r>
              <w:rPr>
                <w:b/>
                <w:noProof/>
                <w:sz w:val="20"/>
              </w:rPr>
              <w:t>TOTAL</w:t>
            </w:r>
          </w:p>
        </w:tc>
      </w:tr>
      <w:tr>
        <w:trPr>
          <w:trHeight w:val="213"/>
        </w:trPr>
        <w:tc>
          <w:tcPr>
            <w:tcW w:w="6054" w:type="dxa"/>
            <w:gridSpan w:val="4"/>
            <w:vAlign w:val="center"/>
          </w:tcPr>
          <w:p>
            <w:pPr>
              <w:spacing w:before="20" w:after="20"/>
              <w:rPr>
                <w:noProof/>
                <w:sz w:val="21"/>
              </w:rPr>
            </w:pPr>
            <w:r>
              <w:rPr>
                <w:noProof/>
                <w:sz w:val="21"/>
              </w:rPr>
              <w:sym w:font="Wingdings" w:char="F09F"/>
            </w:r>
            <w:r>
              <w:rPr>
                <w:noProof/>
                <w:sz w:val="21"/>
              </w:rPr>
              <w:t xml:space="preserve"> Operational appropriations </w:t>
            </w:r>
          </w:p>
        </w:tc>
        <w:tc>
          <w:tcPr>
            <w:tcW w:w="868" w:type="dxa"/>
            <w:vAlign w:val="center"/>
          </w:tcPr>
          <w:p>
            <w:pPr>
              <w:rPr>
                <w:noProof/>
                <w:sz w:val="20"/>
              </w:rPr>
            </w:pPr>
          </w:p>
        </w:tc>
        <w:tc>
          <w:tcPr>
            <w:tcW w:w="868" w:type="dxa"/>
            <w:vAlign w:val="center"/>
          </w:tcPr>
          <w:p>
            <w:pPr>
              <w:rPr>
                <w:noProof/>
                <w:sz w:val="20"/>
              </w:rPr>
            </w:pPr>
          </w:p>
        </w:tc>
        <w:tc>
          <w:tcPr>
            <w:tcW w:w="868" w:type="dxa"/>
            <w:vAlign w:val="center"/>
          </w:tcPr>
          <w:p>
            <w:pPr>
              <w:rPr>
                <w:noProof/>
                <w:sz w:val="20"/>
              </w:rPr>
            </w:pPr>
          </w:p>
        </w:tc>
        <w:tc>
          <w:tcPr>
            <w:tcW w:w="868" w:type="dxa"/>
            <w:vAlign w:val="center"/>
          </w:tcPr>
          <w:p>
            <w:pPr>
              <w:rPr>
                <w:noProof/>
                <w:sz w:val="20"/>
              </w:rPr>
            </w:pPr>
          </w:p>
        </w:tc>
        <w:tc>
          <w:tcPr>
            <w:tcW w:w="868" w:type="dxa"/>
            <w:vAlign w:val="center"/>
          </w:tcPr>
          <w:p>
            <w:pPr>
              <w:rPr>
                <w:noProof/>
                <w:sz w:val="20"/>
              </w:rPr>
            </w:pPr>
          </w:p>
        </w:tc>
        <w:tc>
          <w:tcPr>
            <w:tcW w:w="868" w:type="dxa"/>
            <w:vAlign w:val="center"/>
          </w:tcPr>
          <w:p>
            <w:pPr>
              <w:rPr>
                <w:noProof/>
                <w:sz w:val="20"/>
              </w:rPr>
            </w:pPr>
          </w:p>
        </w:tc>
        <w:tc>
          <w:tcPr>
            <w:tcW w:w="868" w:type="dxa"/>
            <w:vAlign w:val="center"/>
          </w:tcPr>
          <w:p>
            <w:pPr>
              <w:rPr>
                <w:b/>
                <w:noProof/>
                <w:sz w:val="20"/>
              </w:rPr>
            </w:pPr>
          </w:p>
        </w:tc>
        <w:tc>
          <w:tcPr>
            <w:tcW w:w="1777" w:type="dxa"/>
            <w:vAlign w:val="center"/>
          </w:tcPr>
          <w:p>
            <w:pPr>
              <w:rPr>
                <w:b/>
                <w:noProof/>
                <w:sz w:val="20"/>
              </w:rPr>
            </w:pPr>
          </w:p>
        </w:tc>
      </w:tr>
      <w:tr>
        <w:trPr>
          <w:trHeight w:val="277"/>
        </w:trPr>
        <w:tc>
          <w:tcPr>
            <w:tcW w:w="3960" w:type="dxa"/>
            <w:vMerge w:val="restart"/>
            <w:vAlign w:val="center"/>
          </w:tcPr>
          <w:p>
            <w:pPr>
              <w:rPr>
                <w:noProof/>
                <w:sz w:val="22"/>
              </w:rPr>
            </w:pPr>
            <w:r>
              <w:rPr>
                <w:noProof/>
                <w:sz w:val="20"/>
              </w:rPr>
              <w:t>Number of budget line 20.0201</w:t>
            </w:r>
          </w:p>
        </w:tc>
        <w:tc>
          <w:tcPr>
            <w:tcW w:w="1440" w:type="dxa"/>
            <w:vAlign w:val="center"/>
          </w:tcPr>
          <w:p>
            <w:pPr>
              <w:spacing w:before="20" w:after="20"/>
              <w:rPr>
                <w:noProof/>
                <w:sz w:val="18"/>
              </w:rPr>
            </w:pPr>
            <w:r>
              <w:rPr>
                <w:noProof/>
                <w:sz w:val="18"/>
              </w:rPr>
              <w:t>Commitments</w:t>
            </w:r>
          </w:p>
        </w:tc>
        <w:tc>
          <w:tcPr>
            <w:tcW w:w="654" w:type="dxa"/>
            <w:gridSpan w:val="2"/>
            <w:vAlign w:val="center"/>
          </w:tcPr>
          <w:p>
            <w:pPr>
              <w:spacing w:before="20" w:after="20"/>
              <w:jc w:val="center"/>
              <w:rPr>
                <w:noProof/>
                <w:sz w:val="14"/>
              </w:rPr>
            </w:pPr>
            <w:r>
              <w:rPr>
                <w:noProof/>
                <w:sz w:val="14"/>
              </w:rPr>
              <w:t>(1)</w:t>
            </w:r>
          </w:p>
        </w:tc>
        <w:tc>
          <w:tcPr>
            <w:tcW w:w="868" w:type="dxa"/>
            <w:vAlign w:val="center"/>
          </w:tcPr>
          <w:p>
            <w:pPr>
              <w:spacing w:before="20" w:after="20"/>
              <w:jc w:val="right"/>
              <w:rPr>
                <w:noProof/>
                <w:sz w:val="20"/>
              </w:rPr>
            </w:pPr>
            <w:r>
              <w:rPr>
                <w:noProof/>
                <w:sz w:val="20"/>
              </w:rPr>
              <w:t>0.500</w:t>
            </w:r>
          </w:p>
        </w:tc>
        <w:tc>
          <w:tcPr>
            <w:tcW w:w="868" w:type="dxa"/>
          </w:tcPr>
          <w:p>
            <w:pPr>
              <w:rPr>
                <w:noProof/>
              </w:rPr>
            </w:pPr>
            <w:r>
              <w:rPr>
                <w:noProof/>
                <w:sz w:val="20"/>
              </w:rPr>
              <w:t>0.500</w:t>
            </w:r>
          </w:p>
        </w:tc>
        <w:tc>
          <w:tcPr>
            <w:tcW w:w="868" w:type="dxa"/>
          </w:tcPr>
          <w:p>
            <w:pPr>
              <w:rPr>
                <w:noProof/>
              </w:rPr>
            </w:pPr>
            <w:r>
              <w:rPr>
                <w:noProof/>
                <w:sz w:val="20"/>
              </w:rPr>
              <w:t>0.500</w:t>
            </w:r>
          </w:p>
        </w:tc>
        <w:tc>
          <w:tcPr>
            <w:tcW w:w="868" w:type="dxa"/>
            <w:vAlign w:val="center"/>
          </w:tcPr>
          <w:p>
            <w:pPr>
              <w:spacing w:before="20" w:after="20"/>
              <w:jc w:val="right"/>
              <w:rPr>
                <w:noProof/>
                <w:sz w:val="20"/>
              </w:rPr>
            </w:pPr>
            <w:r>
              <w:rPr>
                <w:noProof/>
                <w:sz w:val="20"/>
              </w:rPr>
              <w:t>0.500</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jc w:val="right"/>
              <w:rPr>
                <w:b/>
                <w:noProof/>
                <w:sz w:val="20"/>
              </w:rPr>
            </w:pPr>
            <w:r>
              <w:rPr>
                <w:b/>
                <w:noProof/>
                <w:sz w:val="20"/>
              </w:rPr>
              <w:t>2.000</w:t>
            </w:r>
          </w:p>
        </w:tc>
      </w:tr>
      <w:tr>
        <w:tc>
          <w:tcPr>
            <w:tcW w:w="3960" w:type="dxa"/>
            <w:vMerge/>
          </w:tcPr>
          <w:p>
            <w:pPr>
              <w:jc w:val="center"/>
              <w:rPr>
                <w:noProof/>
                <w:sz w:val="20"/>
              </w:rPr>
            </w:pPr>
          </w:p>
        </w:tc>
        <w:tc>
          <w:tcPr>
            <w:tcW w:w="1440" w:type="dxa"/>
            <w:vAlign w:val="center"/>
          </w:tcPr>
          <w:p>
            <w:pPr>
              <w:spacing w:before="20" w:after="20"/>
              <w:rPr>
                <w:noProof/>
                <w:sz w:val="18"/>
              </w:rPr>
            </w:pPr>
            <w:r>
              <w:rPr>
                <w:noProof/>
                <w:sz w:val="18"/>
              </w:rPr>
              <w:t>Payments</w:t>
            </w:r>
          </w:p>
        </w:tc>
        <w:tc>
          <w:tcPr>
            <w:tcW w:w="654" w:type="dxa"/>
            <w:gridSpan w:val="2"/>
            <w:vAlign w:val="center"/>
          </w:tcPr>
          <w:p>
            <w:pPr>
              <w:spacing w:before="20" w:after="20"/>
              <w:jc w:val="center"/>
              <w:rPr>
                <w:noProof/>
                <w:sz w:val="14"/>
              </w:rPr>
            </w:pPr>
            <w:r>
              <w:rPr>
                <w:noProof/>
                <w:sz w:val="14"/>
              </w:rPr>
              <w:t>(2)</w:t>
            </w:r>
          </w:p>
        </w:tc>
        <w:tc>
          <w:tcPr>
            <w:tcW w:w="868" w:type="dxa"/>
            <w:vAlign w:val="center"/>
          </w:tcPr>
          <w:p>
            <w:pPr>
              <w:spacing w:before="20" w:after="20"/>
              <w:jc w:val="right"/>
              <w:rPr>
                <w:noProof/>
                <w:sz w:val="20"/>
              </w:rPr>
            </w:pPr>
            <w:r>
              <w:rPr>
                <w:noProof/>
                <w:sz w:val="20"/>
              </w:rPr>
              <w:t>0.500</w:t>
            </w:r>
          </w:p>
        </w:tc>
        <w:tc>
          <w:tcPr>
            <w:tcW w:w="868" w:type="dxa"/>
            <w:vAlign w:val="center"/>
          </w:tcPr>
          <w:p>
            <w:pPr>
              <w:spacing w:before="20" w:after="20"/>
              <w:jc w:val="right"/>
              <w:rPr>
                <w:noProof/>
                <w:sz w:val="20"/>
              </w:rPr>
            </w:pPr>
            <w:r>
              <w:rPr>
                <w:noProof/>
                <w:sz w:val="20"/>
              </w:rPr>
              <w:t>0.500</w:t>
            </w:r>
          </w:p>
        </w:tc>
        <w:tc>
          <w:tcPr>
            <w:tcW w:w="868" w:type="dxa"/>
            <w:vAlign w:val="center"/>
          </w:tcPr>
          <w:p>
            <w:pPr>
              <w:spacing w:before="20" w:after="20"/>
              <w:jc w:val="right"/>
              <w:rPr>
                <w:noProof/>
                <w:sz w:val="20"/>
              </w:rPr>
            </w:pPr>
            <w:r>
              <w:rPr>
                <w:noProof/>
                <w:sz w:val="20"/>
              </w:rPr>
              <w:t>0.500</w:t>
            </w:r>
          </w:p>
        </w:tc>
        <w:tc>
          <w:tcPr>
            <w:tcW w:w="868" w:type="dxa"/>
            <w:vAlign w:val="center"/>
          </w:tcPr>
          <w:p>
            <w:pPr>
              <w:spacing w:before="20" w:after="20"/>
              <w:jc w:val="right"/>
              <w:rPr>
                <w:noProof/>
                <w:sz w:val="20"/>
              </w:rPr>
            </w:pPr>
            <w:r>
              <w:rPr>
                <w:noProof/>
                <w:sz w:val="20"/>
              </w:rPr>
              <w:t>0.500</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jc w:val="right"/>
              <w:rPr>
                <w:b/>
                <w:noProof/>
                <w:sz w:val="20"/>
              </w:rPr>
            </w:pPr>
            <w:r>
              <w:rPr>
                <w:b/>
                <w:noProof/>
                <w:sz w:val="20"/>
              </w:rPr>
              <w:t>2.000</w:t>
            </w:r>
          </w:p>
        </w:tc>
      </w:tr>
      <w:tr>
        <w:tc>
          <w:tcPr>
            <w:tcW w:w="3960" w:type="dxa"/>
            <w:vMerge w:val="restart"/>
            <w:vAlign w:val="center"/>
          </w:tcPr>
          <w:p>
            <w:pPr>
              <w:rPr>
                <w:noProof/>
                <w:sz w:val="22"/>
              </w:rPr>
            </w:pPr>
            <w:r>
              <w:rPr>
                <w:noProof/>
                <w:sz w:val="20"/>
              </w:rPr>
              <w:t>Number of budget line</w:t>
            </w:r>
          </w:p>
        </w:tc>
        <w:tc>
          <w:tcPr>
            <w:tcW w:w="1440" w:type="dxa"/>
            <w:vAlign w:val="center"/>
          </w:tcPr>
          <w:p>
            <w:pPr>
              <w:spacing w:before="20" w:after="20"/>
              <w:rPr>
                <w:noProof/>
                <w:sz w:val="18"/>
              </w:rPr>
            </w:pPr>
            <w:r>
              <w:rPr>
                <w:noProof/>
                <w:sz w:val="18"/>
              </w:rPr>
              <w:t>Commitments</w:t>
            </w:r>
          </w:p>
        </w:tc>
        <w:tc>
          <w:tcPr>
            <w:tcW w:w="654" w:type="dxa"/>
            <w:gridSpan w:val="2"/>
            <w:vAlign w:val="center"/>
          </w:tcPr>
          <w:p>
            <w:pPr>
              <w:spacing w:before="20" w:after="20"/>
              <w:jc w:val="center"/>
              <w:rPr>
                <w:noProof/>
                <w:sz w:val="14"/>
              </w:rPr>
            </w:pPr>
            <w:r>
              <w:rPr>
                <w:noProof/>
                <w:sz w:val="14"/>
              </w:rPr>
              <w:t>(1a)</w:t>
            </w:r>
          </w:p>
        </w:tc>
        <w:tc>
          <w:tcPr>
            <w:tcW w:w="868" w:type="dxa"/>
            <w:vAlign w:val="center"/>
          </w:tcPr>
          <w:p>
            <w:pPr>
              <w:spacing w:before="20" w:after="20"/>
              <w:jc w:val="right"/>
              <w:rPr>
                <w:noProof/>
                <w:sz w:val="20"/>
              </w:rPr>
            </w:pPr>
            <w:r>
              <w:rPr>
                <w:noProof/>
                <w:sz w:val="20"/>
              </w:rPr>
              <w:t>-</w:t>
            </w:r>
          </w:p>
        </w:tc>
        <w:tc>
          <w:tcPr>
            <w:tcW w:w="868" w:type="dxa"/>
            <w:vAlign w:val="center"/>
          </w:tcPr>
          <w:p>
            <w:pPr>
              <w:spacing w:before="20" w:after="20"/>
              <w:jc w:val="right"/>
              <w:rPr>
                <w:noProof/>
                <w:sz w:val="20"/>
              </w:rPr>
            </w:pPr>
            <w:r>
              <w:rPr>
                <w:noProof/>
                <w:sz w:val="20"/>
              </w:rPr>
              <w:t>-</w:t>
            </w:r>
          </w:p>
        </w:tc>
        <w:tc>
          <w:tcPr>
            <w:tcW w:w="868" w:type="dxa"/>
            <w:vAlign w:val="center"/>
          </w:tcPr>
          <w:p>
            <w:pPr>
              <w:spacing w:before="20" w:after="20"/>
              <w:jc w:val="right"/>
              <w:rPr>
                <w:noProof/>
                <w:sz w:val="20"/>
              </w:rPr>
            </w:pPr>
            <w:r>
              <w:rPr>
                <w:noProof/>
                <w:sz w:val="20"/>
              </w:rPr>
              <w:t>-</w:t>
            </w:r>
          </w:p>
        </w:tc>
        <w:tc>
          <w:tcPr>
            <w:tcW w:w="868" w:type="dxa"/>
            <w:vAlign w:val="center"/>
          </w:tcPr>
          <w:p>
            <w:pPr>
              <w:spacing w:before="20" w:after="20"/>
              <w:jc w:val="right"/>
              <w:rPr>
                <w:noProof/>
                <w:sz w:val="20"/>
              </w:rPr>
            </w:pPr>
            <w:r>
              <w:rPr>
                <w:noProof/>
                <w:sz w:val="20"/>
              </w:rPr>
              <w:t>-</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jc w:val="right"/>
              <w:rPr>
                <w:b/>
                <w:noProof/>
                <w:sz w:val="20"/>
              </w:rPr>
            </w:pPr>
          </w:p>
        </w:tc>
      </w:tr>
      <w:tr>
        <w:tc>
          <w:tcPr>
            <w:tcW w:w="3960" w:type="dxa"/>
            <w:vMerge/>
          </w:tcPr>
          <w:p>
            <w:pPr>
              <w:jc w:val="center"/>
              <w:rPr>
                <w:noProof/>
                <w:sz w:val="20"/>
              </w:rPr>
            </w:pPr>
          </w:p>
        </w:tc>
        <w:tc>
          <w:tcPr>
            <w:tcW w:w="1440" w:type="dxa"/>
            <w:vAlign w:val="center"/>
          </w:tcPr>
          <w:p>
            <w:pPr>
              <w:spacing w:before="20" w:after="20"/>
              <w:rPr>
                <w:noProof/>
                <w:sz w:val="18"/>
              </w:rPr>
            </w:pPr>
            <w:r>
              <w:rPr>
                <w:noProof/>
                <w:sz w:val="18"/>
              </w:rPr>
              <w:t>Payments</w:t>
            </w:r>
          </w:p>
        </w:tc>
        <w:tc>
          <w:tcPr>
            <w:tcW w:w="654" w:type="dxa"/>
            <w:gridSpan w:val="2"/>
            <w:vAlign w:val="center"/>
          </w:tcPr>
          <w:p>
            <w:pPr>
              <w:spacing w:before="20" w:after="20"/>
              <w:jc w:val="center"/>
              <w:rPr>
                <w:noProof/>
                <w:sz w:val="14"/>
              </w:rPr>
            </w:pPr>
            <w:r>
              <w:rPr>
                <w:noProof/>
                <w:sz w:val="14"/>
              </w:rPr>
              <w:t>(2a)</w:t>
            </w:r>
          </w:p>
        </w:tc>
        <w:tc>
          <w:tcPr>
            <w:tcW w:w="868" w:type="dxa"/>
            <w:vAlign w:val="center"/>
          </w:tcPr>
          <w:p>
            <w:pPr>
              <w:spacing w:before="20" w:after="20"/>
              <w:jc w:val="right"/>
              <w:rPr>
                <w:noProof/>
                <w:sz w:val="20"/>
              </w:rPr>
            </w:pPr>
            <w:r>
              <w:rPr>
                <w:noProof/>
                <w:sz w:val="20"/>
              </w:rPr>
              <w:t>-</w:t>
            </w:r>
          </w:p>
        </w:tc>
        <w:tc>
          <w:tcPr>
            <w:tcW w:w="868" w:type="dxa"/>
            <w:vAlign w:val="center"/>
          </w:tcPr>
          <w:p>
            <w:pPr>
              <w:spacing w:before="20" w:after="20"/>
              <w:jc w:val="right"/>
              <w:rPr>
                <w:noProof/>
                <w:sz w:val="20"/>
              </w:rPr>
            </w:pPr>
            <w:r>
              <w:rPr>
                <w:noProof/>
                <w:sz w:val="20"/>
              </w:rPr>
              <w:t>-</w:t>
            </w:r>
          </w:p>
        </w:tc>
        <w:tc>
          <w:tcPr>
            <w:tcW w:w="868" w:type="dxa"/>
            <w:vAlign w:val="center"/>
          </w:tcPr>
          <w:p>
            <w:pPr>
              <w:spacing w:before="20" w:after="20"/>
              <w:jc w:val="right"/>
              <w:rPr>
                <w:noProof/>
                <w:sz w:val="20"/>
              </w:rPr>
            </w:pPr>
            <w:r>
              <w:rPr>
                <w:noProof/>
                <w:sz w:val="20"/>
              </w:rPr>
              <w:t>-</w:t>
            </w:r>
          </w:p>
        </w:tc>
        <w:tc>
          <w:tcPr>
            <w:tcW w:w="868" w:type="dxa"/>
            <w:vAlign w:val="center"/>
          </w:tcPr>
          <w:p>
            <w:pPr>
              <w:spacing w:before="20" w:after="20"/>
              <w:jc w:val="right"/>
              <w:rPr>
                <w:noProof/>
                <w:sz w:val="20"/>
              </w:rPr>
            </w:pPr>
            <w:r>
              <w:rPr>
                <w:noProof/>
                <w:sz w:val="20"/>
              </w:rPr>
              <w:t>-</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jc w:val="right"/>
              <w:rPr>
                <w:b/>
                <w:noProof/>
                <w:sz w:val="20"/>
              </w:rPr>
            </w:pPr>
          </w:p>
        </w:tc>
      </w:tr>
      <w:tr>
        <w:trPr>
          <w:trHeight w:val="231"/>
        </w:trPr>
        <w:tc>
          <w:tcPr>
            <w:tcW w:w="6054" w:type="dxa"/>
            <w:gridSpan w:val="4"/>
            <w:vAlign w:val="center"/>
          </w:tcPr>
          <w:p>
            <w:pPr>
              <w:spacing w:before="20" w:after="20"/>
              <w:rPr>
                <w:noProof/>
                <w:sz w:val="22"/>
              </w:rPr>
            </w:pPr>
            <w:r>
              <w:rPr>
                <w:noProof/>
                <w:sz w:val="21"/>
              </w:rPr>
              <w:t>Appropriations of an administrative nature financed from the envelope of specific programmes</w:t>
            </w:r>
            <w:r>
              <w:rPr>
                <w:rStyle w:val="FootnoteReference"/>
                <w:noProof/>
                <w:sz w:val="21"/>
              </w:rPr>
              <w:footnoteReference w:id="10"/>
            </w:r>
            <w:r>
              <w:rPr>
                <w:noProof/>
                <w:sz w:val="21"/>
              </w:rPr>
              <w:t xml:space="preserve"> </w:t>
            </w:r>
          </w:p>
          <w:p>
            <w:pPr>
              <w:spacing w:before="0" w:after="0"/>
              <w:rPr>
                <w:noProof/>
                <w:sz w:val="22"/>
              </w:rPr>
            </w:pPr>
          </w:p>
        </w:tc>
        <w:tc>
          <w:tcPr>
            <w:tcW w:w="868" w:type="dxa"/>
            <w:vAlign w:val="center"/>
          </w:tcPr>
          <w:p>
            <w:pPr>
              <w:rPr>
                <w:b/>
                <w:noProof/>
                <w:sz w:val="20"/>
              </w:rPr>
            </w:pPr>
            <w:r>
              <w:rPr>
                <w:b/>
                <w:noProof/>
                <w:sz w:val="20"/>
              </w:rPr>
              <w:t>0</w:t>
            </w:r>
          </w:p>
        </w:tc>
        <w:tc>
          <w:tcPr>
            <w:tcW w:w="868" w:type="dxa"/>
            <w:vAlign w:val="center"/>
          </w:tcPr>
          <w:p>
            <w:pPr>
              <w:rPr>
                <w:b/>
                <w:noProof/>
                <w:sz w:val="20"/>
              </w:rPr>
            </w:pPr>
            <w:r>
              <w:rPr>
                <w:b/>
                <w:noProof/>
                <w:sz w:val="20"/>
              </w:rPr>
              <w:t>0</w:t>
            </w:r>
          </w:p>
        </w:tc>
        <w:tc>
          <w:tcPr>
            <w:tcW w:w="868" w:type="dxa"/>
            <w:vAlign w:val="center"/>
          </w:tcPr>
          <w:p>
            <w:pPr>
              <w:rPr>
                <w:b/>
                <w:noProof/>
                <w:sz w:val="20"/>
              </w:rPr>
            </w:pPr>
            <w:r>
              <w:rPr>
                <w:b/>
                <w:noProof/>
                <w:sz w:val="20"/>
              </w:rPr>
              <w:t>0</w:t>
            </w:r>
          </w:p>
        </w:tc>
        <w:tc>
          <w:tcPr>
            <w:tcW w:w="868" w:type="dxa"/>
            <w:vAlign w:val="center"/>
          </w:tcPr>
          <w:p>
            <w:pPr>
              <w:rPr>
                <w:b/>
                <w:noProof/>
                <w:sz w:val="20"/>
              </w:rPr>
            </w:pPr>
            <w:r>
              <w:rPr>
                <w:b/>
                <w:noProof/>
                <w:sz w:val="20"/>
              </w:rPr>
              <w:t>0</w:t>
            </w:r>
          </w:p>
        </w:tc>
        <w:tc>
          <w:tcPr>
            <w:tcW w:w="868" w:type="dxa"/>
            <w:vAlign w:val="center"/>
          </w:tcPr>
          <w:p>
            <w:pPr>
              <w:rPr>
                <w:b/>
                <w:noProof/>
                <w:sz w:val="20"/>
              </w:rPr>
            </w:pPr>
          </w:p>
        </w:tc>
        <w:tc>
          <w:tcPr>
            <w:tcW w:w="868" w:type="dxa"/>
            <w:vAlign w:val="center"/>
          </w:tcPr>
          <w:p>
            <w:pPr>
              <w:rPr>
                <w:b/>
                <w:noProof/>
                <w:sz w:val="20"/>
              </w:rPr>
            </w:pPr>
          </w:p>
        </w:tc>
        <w:tc>
          <w:tcPr>
            <w:tcW w:w="868" w:type="dxa"/>
            <w:vAlign w:val="center"/>
          </w:tcPr>
          <w:p>
            <w:pPr>
              <w:rPr>
                <w:b/>
                <w:noProof/>
                <w:sz w:val="20"/>
              </w:rPr>
            </w:pPr>
          </w:p>
        </w:tc>
        <w:tc>
          <w:tcPr>
            <w:tcW w:w="1777" w:type="dxa"/>
            <w:vAlign w:val="center"/>
          </w:tcPr>
          <w:p>
            <w:pPr>
              <w:rPr>
                <w:b/>
                <w:noProof/>
                <w:sz w:val="20"/>
              </w:rPr>
            </w:pPr>
          </w:p>
        </w:tc>
      </w:tr>
      <w:tr>
        <w:trPr>
          <w:trHeight w:val="319"/>
        </w:trPr>
        <w:tc>
          <w:tcPr>
            <w:tcW w:w="3960" w:type="dxa"/>
            <w:vAlign w:val="center"/>
          </w:tcPr>
          <w:p>
            <w:pPr>
              <w:spacing w:before="60" w:after="60"/>
              <w:rPr>
                <w:noProof/>
                <w:sz w:val="22"/>
              </w:rPr>
            </w:pPr>
            <w:r>
              <w:rPr>
                <w:noProof/>
                <w:sz w:val="20"/>
              </w:rPr>
              <w:t>Number of budget line</w:t>
            </w:r>
          </w:p>
        </w:tc>
        <w:tc>
          <w:tcPr>
            <w:tcW w:w="1440" w:type="dxa"/>
            <w:vAlign w:val="center"/>
          </w:tcPr>
          <w:p>
            <w:pPr>
              <w:spacing w:before="40" w:after="40"/>
              <w:jc w:val="right"/>
              <w:rPr>
                <w:noProof/>
                <w:sz w:val="18"/>
              </w:rPr>
            </w:pPr>
          </w:p>
        </w:tc>
        <w:tc>
          <w:tcPr>
            <w:tcW w:w="654" w:type="dxa"/>
            <w:gridSpan w:val="2"/>
            <w:vAlign w:val="center"/>
          </w:tcPr>
          <w:p>
            <w:pPr>
              <w:spacing w:before="40" w:after="40"/>
              <w:jc w:val="center"/>
              <w:rPr>
                <w:noProof/>
                <w:sz w:val="14"/>
              </w:rPr>
            </w:pPr>
            <w:r>
              <w:rPr>
                <w:noProof/>
                <w:sz w:val="14"/>
              </w:rPr>
              <w:t>(3)</w:t>
            </w:r>
          </w:p>
        </w:tc>
        <w:tc>
          <w:tcPr>
            <w:tcW w:w="868" w:type="dxa"/>
            <w:vAlign w:val="center"/>
          </w:tcPr>
          <w:p>
            <w:pPr>
              <w:spacing w:before="40" w:after="40"/>
              <w:jc w:val="right"/>
              <w:rPr>
                <w:b/>
                <w:noProof/>
                <w:sz w:val="20"/>
              </w:rPr>
            </w:pPr>
          </w:p>
        </w:tc>
        <w:tc>
          <w:tcPr>
            <w:tcW w:w="868" w:type="dxa"/>
            <w:vAlign w:val="center"/>
          </w:tcPr>
          <w:p>
            <w:pPr>
              <w:spacing w:before="40" w:after="40"/>
              <w:jc w:val="right"/>
              <w:rPr>
                <w:b/>
                <w:noProof/>
                <w:sz w:val="20"/>
              </w:rPr>
            </w:pPr>
          </w:p>
        </w:tc>
        <w:tc>
          <w:tcPr>
            <w:tcW w:w="868" w:type="dxa"/>
            <w:vAlign w:val="center"/>
          </w:tcPr>
          <w:p>
            <w:pPr>
              <w:spacing w:before="40" w:after="40"/>
              <w:jc w:val="right"/>
              <w:rPr>
                <w:b/>
                <w:noProof/>
                <w:sz w:val="20"/>
              </w:rPr>
            </w:pPr>
          </w:p>
        </w:tc>
        <w:tc>
          <w:tcPr>
            <w:tcW w:w="868" w:type="dxa"/>
            <w:vAlign w:val="center"/>
          </w:tcPr>
          <w:p>
            <w:pPr>
              <w:spacing w:before="40" w:after="40"/>
              <w:jc w:val="right"/>
              <w:rPr>
                <w:b/>
                <w:noProof/>
                <w:sz w:val="20"/>
              </w:rPr>
            </w:pPr>
          </w:p>
        </w:tc>
        <w:tc>
          <w:tcPr>
            <w:tcW w:w="868" w:type="dxa"/>
            <w:vAlign w:val="center"/>
          </w:tcPr>
          <w:p>
            <w:pPr>
              <w:spacing w:before="40" w:after="40"/>
              <w:jc w:val="right"/>
              <w:rPr>
                <w:b/>
                <w:noProof/>
                <w:sz w:val="20"/>
              </w:rPr>
            </w:pPr>
          </w:p>
        </w:tc>
        <w:tc>
          <w:tcPr>
            <w:tcW w:w="868" w:type="dxa"/>
            <w:vAlign w:val="center"/>
          </w:tcPr>
          <w:p>
            <w:pPr>
              <w:spacing w:before="40" w:after="40"/>
              <w:jc w:val="right"/>
              <w:rPr>
                <w:b/>
                <w:noProof/>
                <w:sz w:val="20"/>
              </w:rPr>
            </w:pPr>
          </w:p>
        </w:tc>
        <w:tc>
          <w:tcPr>
            <w:tcW w:w="868" w:type="dxa"/>
            <w:vAlign w:val="center"/>
          </w:tcPr>
          <w:p>
            <w:pPr>
              <w:spacing w:before="40" w:after="40"/>
              <w:jc w:val="right"/>
              <w:rPr>
                <w:b/>
                <w:noProof/>
                <w:sz w:val="20"/>
              </w:rPr>
            </w:pPr>
          </w:p>
        </w:tc>
        <w:tc>
          <w:tcPr>
            <w:tcW w:w="1777" w:type="dxa"/>
            <w:vAlign w:val="center"/>
          </w:tcPr>
          <w:p>
            <w:pPr>
              <w:spacing w:before="40" w:after="40"/>
              <w:jc w:val="right"/>
              <w:rPr>
                <w:b/>
                <w:noProof/>
                <w:sz w:val="20"/>
              </w:rPr>
            </w:pPr>
          </w:p>
        </w:tc>
      </w:tr>
      <w:tr>
        <w:tc>
          <w:tcPr>
            <w:tcW w:w="3960" w:type="dxa"/>
            <w:vMerge w:val="restart"/>
            <w:vAlign w:val="center"/>
          </w:tcPr>
          <w:p>
            <w:pPr>
              <w:jc w:val="center"/>
              <w:rPr>
                <w:b/>
                <w:noProof/>
                <w:sz w:val="22"/>
              </w:rPr>
            </w:pPr>
            <w:r>
              <w:rPr>
                <w:b/>
                <w:noProof/>
                <w:sz w:val="22"/>
              </w:rPr>
              <w:t>TOTAL appropriations</w:t>
            </w:r>
            <w:r>
              <w:rPr>
                <w:noProof/>
                <w:sz w:val="22"/>
              </w:rPr>
              <w:br/>
            </w:r>
            <w:r>
              <w:rPr>
                <w:b/>
                <w:noProof/>
                <w:sz w:val="22"/>
              </w:rPr>
              <w:t xml:space="preserve">for DG </w:t>
            </w:r>
            <w:r>
              <w:rPr>
                <w:noProof/>
                <w:sz w:val="22"/>
              </w:rPr>
              <w:t>TRADE</w:t>
            </w:r>
          </w:p>
        </w:tc>
        <w:tc>
          <w:tcPr>
            <w:tcW w:w="1440" w:type="dxa"/>
            <w:vAlign w:val="center"/>
          </w:tcPr>
          <w:p>
            <w:pPr>
              <w:rPr>
                <w:noProof/>
                <w:sz w:val="18"/>
              </w:rPr>
            </w:pPr>
            <w:r>
              <w:rPr>
                <w:noProof/>
                <w:sz w:val="18"/>
              </w:rPr>
              <w:t>Commitments</w:t>
            </w:r>
          </w:p>
        </w:tc>
        <w:tc>
          <w:tcPr>
            <w:tcW w:w="654" w:type="dxa"/>
            <w:gridSpan w:val="2"/>
            <w:vAlign w:val="center"/>
          </w:tcPr>
          <w:p>
            <w:pPr>
              <w:jc w:val="center"/>
              <w:rPr>
                <w:noProof/>
                <w:sz w:val="14"/>
              </w:rPr>
            </w:pPr>
            <w:r>
              <w:rPr>
                <w:noProof/>
                <w:sz w:val="14"/>
              </w:rPr>
              <w:t>=1+1a +3</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p>
        </w:tc>
        <w:tc>
          <w:tcPr>
            <w:tcW w:w="868" w:type="dxa"/>
          </w:tcPr>
          <w:p>
            <w:pPr>
              <w:spacing w:before="20" w:after="20"/>
              <w:jc w:val="right"/>
              <w:rPr>
                <w:noProof/>
                <w:sz w:val="20"/>
              </w:rPr>
            </w:pPr>
          </w:p>
        </w:tc>
        <w:tc>
          <w:tcPr>
            <w:tcW w:w="868" w:type="dxa"/>
          </w:tcPr>
          <w:p>
            <w:pPr>
              <w:spacing w:before="20" w:after="20"/>
              <w:jc w:val="right"/>
              <w:rPr>
                <w:noProof/>
                <w:sz w:val="20"/>
              </w:rPr>
            </w:pPr>
          </w:p>
        </w:tc>
        <w:tc>
          <w:tcPr>
            <w:tcW w:w="1777" w:type="dxa"/>
          </w:tcPr>
          <w:p>
            <w:pPr>
              <w:spacing w:before="20" w:after="20"/>
              <w:jc w:val="right"/>
              <w:rPr>
                <w:b/>
                <w:noProof/>
                <w:sz w:val="20"/>
              </w:rPr>
            </w:pPr>
            <w:r>
              <w:rPr>
                <w:b/>
                <w:noProof/>
                <w:sz w:val="20"/>
              </w:rPr>
              <w:t>2.000</w:t>
            </w:r>
          </w:p>
        </w:tc>
      </w:tr>
      <w:tr>
        <w:tc>
          <w:tcPr>
            <w:tcW w:w="3960" w:type="dxa"/>
            <w:vMerge/>
          </w:tcPr>
          <w:p>
            <w:pPr>
              <w:rPr>
                <w:noProof/>
                <w:sz w:val="20"/>
              </w:rPr>
            </w:pPr>
          </w:p>
        </w:tc>
        <w:tc>
          <w:tcPr>
            <w:tcW w:w="1440" w:type="dxa"/>
            <w:vAlign w:val="center"/>
          </w:tcPr>
          <w:p>
            <w:pPr>
              <w:rPr>
                <w:noProof/>
                <w:sz w:val="18"/>
              </w:rPr>
            </w:pPr>
            <w:r>
              <w:rPr>
                <w:noProof/>
                <w:sz w:val="18"/>
              </w:rPr>
              <w:t>Payments</w:t>
            </w:r>
          </w:p>
        </w:tc>
        <w:tc>
          <w:tcPr>
            <w:tcW w:w="654" w:type="dxa"/>
            <w:gridSpan w:val="2"/>
            <w:vAlign w:val="center"/>
          </w:tcPr>
          <w:p>
            <w:pPr>
              <w:jc w:val="center"/>
              <w:rPr>
                <w:noProof/>
                <w:sz w:val="14"/>
              </w:rPr>
            </w:pPr>
            <w:r>
              <w:rPr>
                <w:noProof/>
                <w:sz w:val="14"/>
              </w:rPr>
              <w:t>=2+2a</w:t>
            </w:r>
          </w:p>
          <w:p>
            <w:pPr>
              <w:jc w:val="center"/>
              <w:rPr>
                <w:noProof/>
                <w:sz w:val="14"/>
              </w:rPr>
            </w:pPr>
            <w:r>
              <w:rPr>
                <w:noProof/>
                <w:sz w:val="14"/>
              </w:rPr>
              <w:t>+3</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p>
        </w:tc>
        <w:tc>
          <w:tcPr>
            <w:tcW w:w="868" w:type="dxa"/>
          </w:tcPr>
          <w:p>
            <w:pPr>
              <w:spacing w:before="20" w:after="20"/>
              <w:jc w:val="right"/>
              <w:rPr>
                <w:noProof/>
                <w:sz w:val="20"/>
              </w:rPr>
            </w:pPr>
          </w:p>
        </w:tc>
        <w:tc>
          <w:tcPr>
            <w:tcW w:w="868" w:type="dxa"/>
          </w:tcPr>
          <w:p>
            <w:pPr>
              <w:spacing w:before="20" w:after="20"/>
              <w:jc w:val="right"/>
              <w:rPr>
                <w:noProof/>
                <w:sz w:val="20"/>
              </w:rPr>
            </w:pPr>
          </w:p>
        </w:tc>
        <w:tc>
          <w:tcPr>
            <w:tcW w:w="1777" w:type="dxa"/>
          </w:tcPr>
          <w:p>
            <w:pPr>
              <w:spacing w:before="20" w:after="20"/>
              <w:jc w:val="right"/>
              <w:rPr>
                <w:b/>
                <w:noProof/>
                <w:sz w:val="20"/>
              </w:rPr>
            </w:pPr>
            <w:r>
              <w:rPr>
                <w:b/>
                <w:noProof/>
                <w:sz w:val="20"/>
              </w:rPr>
              <w:t>2.000</w:t>
            </w:r>
          </w:p>
        </w:tc>
      </w:tr>
    </w:tbl>
    <w:p>
      <w:pPr>
        <w:rPr>
          <w:noProof/>
        </w:rPr>
      </w:pPr>
      <w:r>
        <w:rPr>
          <w:noProof/>
        </w:rPr>
        <w:br/>
      </w:r>
      <w:r>
        <w:rPr>
          <w:noProof/>
        </w:rPr>
        <w:br/>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440"/>
        <w:gridCol w:w="654"/>
        <w:gridCol w:w="868"/>
        <w:gridCol w:w="868"/>
        <w:gridCol w:w="868"/>
        <w:gridCol w:w="868"/>
        <w:gridCol w:w="868"/>
        <w:gridCol w:w="868"/>
        <w:gridCol w:w="868"/>
        <w:gridCol w:w="1777"/>
      </w:tblGrid>
      <w:tr>
        <w:trPr>
          <w:trHeight w:val="277"/>
        </w:trPr>
        <w:tc>
          <w:tcPr>
            <w:tcW w:w="3960" w:type="dxa"/>
            <w:vMerge w:val="restart"/>
            <w:vAlign w:val="center"/>
          </w:tcPr>
          <w:p>
            <w:pPr>
              <w:spacing w:before="20" w:after="20"/>
              <w:rPr>
                <w:noProof/>
                <w:sz w:val="22"/>
              </w:rPr>
            </w:pPr>
            <w:r>
              <w:rPr>
                <w:noProof/>
                <w:sz w:val="22"/>
              </w:rPr>
              <w:br w:type="page"/>
            </w:r>
            <w:r>
              <w:rPr>
                <w:noProof/>
                <w:sz w:val="21"/>
              </w:rPr>
              <w:sym w:font="Wingdings" w:char="F09F"/>
            </w:r>
            <w:r>
              <w:rPr>
                <w:noProof/>
                <w:sz w:val="21"/>
              </w:rPr>
              <w:t xml:space="preserve"> TOTAL operational appropriations </w:t>
            </w:r>
          </w:p>
        </w:tc>
        <w:tc>
          <w:tcPr>
            <w:tcW w:w="1440" w:type="dxa"/>
            <w:vAlign w:val="center"/>
          </w:tcPr>
          <w:p>
            <w:pPr>
              <w:spacing w:beforeLines="20" w:before="48" w:afterLines="20" w:after="48"/>
              <w:rPr>
                <w:noProof/>
                <w:sz w:val="18"/>
              </w:rPr>
            </w:pPr>
            <w:r>
              <w:rPr>
                <w:noProof/>
                <w:sz w:val="18"/>
              </w:rPr>
              <w:t>Commitments</w:t>
            </w:r>
          </w:p>
        </w:tc>
        <w:tc>
          <w:tcPr>
            <w:tcW w:w="654" w:type="dxa"/>
            <w:vAlign w:val="center"/>
          </w:tcPr>
          <w:p>
            <w:pPr>
              <w:spacing w:beforeLines="20" w:before="48" w:afterLines="20" w:after="48"/>
              <w:jc w:val="center"/>
              <w:rPr>
                <w:noProof/>
                <w:sz w:val="14"/>
              </w:rPr>
            </w:pPr>
            <w:r>
              <w:rPr>
                <w:noProof/>
                <w:sz w:val="14"/>
              </w:rPr>
              <w:t>(4)</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p>
        </w:tc>
        <w:tc>
          <w:tcPr>
            <w:tcW w:w="868" w:type="dxa"/>
          </w:tcPr>
          <w:p>
            <w:pPr>
              <w:spacing w:before="20" w:after="20"/>
              <w:jc w:val="right"/>
              <w:rPr>
                <w:noProof/>
                <w:sz w:val="20"/>
              </w:rPr>
            </w:pPr>
          </w:p>
        </w:tc>
        <w:tc>
          <w:tcPr>
            <w:tcW w:w="868" w:type="dxa"/>
          </w:tcPr>
          <w:p>
            <w:pPr>
              <w:spacing w:before="20" w:after="20"/>
              <w:jc w:val="right"/>
              <w:rPr>
                <w:noProof/>
                <w:sz w:val="20"/>
              </w:rPr>
            </w:pPr>
          </w:p>
        </w:tc>
        <w:tc>
          <w:tcPr>
            <w:tcW w:w="1777" w:type="dxa"/>
          </w:tcPr>
          <w:p>
            <w:pPr>
              <w:spacing w:before="20" w:after="20"/>
              <w:jc w:val="right"/>
              <w:rPr>
                <w:b/>
                <w:noProof/>
                <w:sz w:val="20"/>
              </w:rPr>
            </w:pPr>
            <w:r>
              <w:rPr>
                <w:b/>
                <w:noProof/>
                <w:sz w:val="20"/>
              </w:rPr>
              <w:t>2.000</w:t>
            </w:r>
          </w:p>
        </w:tc>
      </w:tr>
      <w:tr>
        <w:tc>
          <w:tcPr>
            <w:tcW w:w="3960" w:type="dxa"/>
            <w:vMerge/>
          </w:tcPr>
          <w:p>
            <w:pPr>
              <w:jc w:val="center"/>
              <w:rPr>
                <w:noProof/>
                <w:sz w:val="20"/>
              </w:rPr>
            </w:pPr>
          </w:p>
        </w:tc>
        <w:tc>
          <w:tcPr>
            <w:tcW w:w="1440" w:type="dxa"/>
            <w:vAlign w:val="center"/>
          </w:tcPr>
          <w:p>
            <w:pPr>
              <w:spacing w:beforeLines="20" w:before="48" w:afterLines="20" w:after="48"/>
              <w:rPr>
                <w:noProof/>
                <w:sz w:val="18"/>
              </w:rPr>
            </w:pPr>
            <w:r>
              <w:rPr>
                <w:noProof/>
                <w:sz w:val="18"/>
              </w:rPr>
              <w:t>Payments</w:t>
            </w:r>
          </w:p>
        </w:tc>
        <w:tc>
          <w:tcPr>
            <w:tcW w:w="654" w:type="dxa"/>
            <w:vAlign w:val="center"/>
          </w:tcPr>
          <w:p>
            <w:pPr>
              <w:spacing w:beforeLines="20" w:before="48" w:afterLines="20" w:after="48"/>
              <w:jc w:val="center"/>
              <w:rPr>
                <w:noProof/>
                <w:sz w:val="14"/>
              </w:rPr>
            </w:pPr>
            <w:r>
              <w:rPr>
                <w:noProof/>
                <w:sz w:val="14"/>
              </w:rPr>
              <w:t>(5)</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p>
        </w:tc>
        <w:tc>
          <w:tcPr>
            <w:tcW w:w="868" w:type="dxa"/>
          </w:tcPr>
          <w:p>
            <w:pPr>
              <w:spacing w:before="20" w:after="20"/>
              <w:jc w:val="right"/>
              <w:rPr>
                <w:noProof/>
                <w:sz w:val="20"/>
              </w:rPr>
            </w:pPr>
          </w:p>
        </w:tc>
        <w:tc>
          <w:tcPr>
            <w:tcW w:w="868" w:type="dxa"/>
          </w:tcPr>
          <w:p>
            <w:pPr>
              <w:spacing w:before="20" w:after="20"/>
              <w:jc w:val="right"/>
              <w:rPr>
                <w:noProof/>
                <w:sz w:val="20"/>
              </w:rPr>
            </w:pPr>
          </w:p>
        </w:tc>
        <w:tc>
          <w:tcPr>
            <w:tcW w:w="1777" w:type="dxa"/>
          </w:tcPr>
          <w:p>
            <w:pPr>
              <w:spacing w:before="20" w:after="20"/>
              <w:jc w:val="right"/>
              <w:rPr>
                <w:b/>
                <w:noProof/>
                <w:sz w:val="20"/>
              </w:rPr>
            </w:pPr>
            <w:r>
              <w:rPr>
                <w:b/>
                <w:noProof/>
                <w:sz w:val="20"/>
              </w:rPr>
              <w:t>2.000</w:t>
            </w:r>
          </w:p>
        </w:tc>
      </w:tr>
      <w:tr>
        <w:trPr>
          <w:trHeight w:val="533"/>
        </w:trPr>
        <w:tc>
          <w:tcPr>
            <w:tcW w:w="5400" w:type="dxa"/>
            <w:gridSpan w:val="2"/>
            <w:vAlign w:val="center"/>
          </w:tcPr>
          <w:p>
            <w:pPr>
              <w:spacing w:beforeLines="20" w:before="48" w:afterLines="20" w:after="48"/>
              <w:rPr>
                <w:noProof/>
                <w:sz w:val="22"/>
              </w:rPr>
            </w:pPr>
            <w:r>
              <w:rPr>
                <w:noProof/>
                <w:sz w:val="21"/>
              </w:rPr>
              <w:sym w:font="Wingdings" w:char="F09F"/>
            </w:r>
            <w:r>
              <w:rPr>
                <w:noProof/>
                <w:sz w:val="21"/>
              </w:rPr>
              <w:t xml:space="preserve"> TOTAL appropriations of an administrative nature financed from the envelope for specific programmes </w:t>
            </w:r>
          </w:p>
        </w:tc>
        <w:tc>
          <w:tcPr>
            <w:tcW w:w="654" w:type="dxa"/>
            <w:vAlign w:val="center"/>
          </w:tcPr>
          <w:p>
            <w:pPr>
              <w:spacing w:beforeLines="20" w:before="48" w:afterLines="20" w:after="48"/>
              <w:jc w:val="center"/>
              <w:rPr>
                <w:noProof/>
                <w:sz w:val="14"/>
              </w:rPr>
            </w:pPr>
            <w:r>
              <w:rPr>
                <w:noProof/>
                <w:sz w:val="14"/>
              </w:rPr>
              <w:t>(6)</w:t>
            </w:r>
          </w:p>
        </w:tc>
        <w:tc>
          <w:tcPr>
            <w:tcW w:w="868" w:type="dxa"/>
            <w:vAlign w:val="center"/>
          </w:tcPr>
          <w:p>
            <w:pPr>
              <w:spacing w:before="20" w:after="20"/>
              <w:jc w:val="right"/>
              <w:rPr>
                <w:b/>
                <w:noProof/>
                <w:sz w:val="20"/>
              </w:rPr>
            </w:pPr>
            <w:r>
              <w:rPr>
                <w:b/>
                <w:noProof/>
                <w:sz w:val="20"/>
              </w:rPr>
              <w:t>0</w:t>
            </w:r>
          </w:p>
        </w:tc>
        <w:tc>
          <w:tcPr>
            <w:tcW w:w="868" w:type="dxa"/>
            <w:vAlign w:val="center"/>
          </w:tcPr>
          <w:p>
            <w:pPr>
              <w:spacing w:before="20" w:after="20"/>
              <w:jc w:val="right"/>
              <w:rPr>
                <w:b/>
                <w:noProof/>
                <w:sz w:val="20"/>
              </w:rPr>
            </w:pPr>
            <w:r>
              <w:rPr>
                <w:b/>
                <w:noProof/>
                <w:sz w:val="20"/>
              </w:rPr>
              <w:t>0</w:t>
            </w:r>
          </w:p>
        </w:tc>
        <w:tc>
          <w:tcPr>
            <w:tcW w:w="868" w:type="dxa"/>
            <w:vAlign w:val="center"/>
          </w:tcPr>
          <w:p>
            <w:pPr>
              <w:spacing w:before="20" w:after="20"/>
              <w:jc w:val="right"/>
              <w:rPr>
                <w:b/>
                <w:noProof/>
                <w:sz w:val="20"/>
              </w:rPr>
            </w:pPr>
            <w:r>
              <w:rPr>
                <w:b/>
                <w:noProof/>
                <w:sz w:val="20"/>
              </w:rPr>
              <w:t>0</w:t>
            </w:r>
          </w:p>
        </w:tc>
        <w:tc>
          <w:tcPr>
            <w:tcW w:w="868" w:type="dxa"/>
            <w:vAlign w:val="center"/>
          </w:tcPr>
          <w:p>
            <w:pPr>
              <w:spacing w:before="20" w:after="20"/>
              <w:jc w:val="right"/>
              <w:rPr>
                <w:b/>
                <w:noProof/>
                <w:sz w:val="20"/>
              </w:rPr>
            </w:pPr>
            <w:r>
              <w:rPr>
                <w:b/>
                <w:noProof/>
                <w:sz w:val="20"/>
              </w:rPr>
              <w:t>0</w:t>
            </w:r>
          </w:p>
        </w:tc>
        <w:tc>
          <w:tcPr>
            <w:tcW w:w="868" w:type="dxa"/>
            <w:vAlign w:val="center"/>
          </w:tcPr>
          <w:p>
            <w:pPr>
              <w:spacing w:before="20" w:after="20"/>
              <w:jc w:val="right"/>
              <w:rPr>
                <w:b/>
                <w:noProof/>
                <w:sz w:val="20"/>
              </w:rPr>
            </w:pPr>
          </w:p>
        </w:tc>
        <w:tc>
          <w:tcPr>
            <w:tcW w:w="868" w:type="dxa"/>
            <w:vAlign w:val="center"/>
          </w:tcPr>
          <w:p>
            <w:pPr>
              <w:spacing w:before="20" w:after="20"/>
              <w:jc w:val="right"/>
              <w:rPr>
                <w:b/>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jc w:val="right"/>
              <w:rPr>
                <w:b/>
                <w:noProof/>
                <w:sz w:val="20"/>
              </w:rPr>
            </w:pPr>
          </w:p>
        </w:tc>
      </w:tr>
      <w:tr>
        <w:tc>
          <w:tcPr>
            <w:tcW w:w="3960" w:type="dxa"/>
            <w:vMerge w:val="restart"/>
            <w:shd w:val="thinDiagStripe" w:color="C0C0C0" w:fill="auto"/>
            <w:vAlign w:val="center"/>
          </w:tcPr>
          <w:p>
            <w:pPr>
              <w:jc w:val="center"/>
              <w:rPr>
                <w:b/>
                <w:noProof/>
                <w:sz w:val="22"/>
              </w:rPr>
            </w:pPr>
            <w:r>
              <w:rPr>
                <w:b/>
                <w:noProof/>
                <w:sz w:val="22"/>
              </w:rPr>
              <w:t xml:space="preserve">TOTAL appropriations </w:t>
            </w:r>
            <w:r>
              <w:rPr>
                <w:noProof/>
                <w:sz w:val="22"/>
              </w:rPr>
              <w:br/>
            </w:r>
            <w:r>
              <w:rPr>
                <w:b/>
                <w:noProof/>
                <w:sz w:val="22"/>
              </w:rPr>
              <w:t>under HEADING 4</w:t>
            </w:r>
            <w:r>
              <w:rPr>
                <w:noProof/>
                <w:sz w:val="22"/>
              </w:rPr>
              <w:br/>
              <w:t>of the multiannual financial framework</w:t>
            </w:r>
          </w:p>
        </w:tc>
        <w:tc>
          <w:tcPr>
            <w:tcW w:w="1440" w:type="dxa"/>
            <w:vAlign w:val="center"/>
          </w:tcPr>
          <w:p>
            <w:pPr>
              <w:rPr>
                <w:noProof/>
                <w:sz w:val="18"/>
              </w:rPr>
            </w:pPr>
            <w:r>
              <w:rPr>
                <w:noProof/>
                <w:sz w:val="18"/>
              </w:rPr>
              <w:t>Commitments</w:t>
            </w:r>
          </w:p>
        </w:tc>
        <w:tc>
          <w:tcPr>
            <w:tcW w:w="654" w:type="dxa"/>
            <w:vAlign w:val="center"/>
          </w:tcPr>
          <w:p>
            <w:pPr>
              <w:jc w:val="center"/>
              <w:rPr>
                <w:noProof/>
                <w:sz w:val="14"/>
              </w:rPr>
            </w:pPr>
            <w:r>
              <w:rPr>
                <w:noProof/>
                <w:sz w:val="14"/>
              </w:rPr>
              <w:t>=4+ 6</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p>
        </w:tc>
        <w:tc>
          <w:tcPr>
            <w:tcW w:w="868" w:type="dxa"/>
          </w:tcPr>
          <w:p>
            <w:pPr>
              <w:spacing w:before="20" w:after="20"/>
              <w:jc w:val="right"/>
              <w:rPr>
                <w:noProof/>
                <w:sz w:val="20"/>
              </w:rPr>
            </w:pPr>
          </w:p>
        </w:tc>
        <w:tc>
          <w:tcPr>
            <w:tcW w:w="868" w:type="dxa"/>
          </w:tcPr>
          <w:p>
            <w:pPr>
              <w:spacing w:before="20" w:after="20"/>
              <w:jc w:val="right"/>
              <w:rPr>
                <w:noProof/>
                <w:sz w:val="20"/>
              </w:rPr>
            </w:pPr>
          </w:p>
        </w:tc>
        <w:tc>
          <w:tcPr>
            <w:tcW w:w="1777" w:type="dxa"/>
          </w:tcPr>
          <w:p>
            <w:pPr>
              <w:spacing w:before="20" w:after="20"/>
              <w:jc w:val="right"/>
              <w:rPr>
                <w:b/>
                <w:noProof/>
                <w:sz w:val="20"/>
              </w:rPr>
            </w:pPr>
            <w:r>
              <w:rPr>
                <w:b/>
                <w:noProof/>
                <w:sz w:val="20"/>
              </w:rPr>
              <w:t>2.000</w:t>
            </w:r>
          </w:p>
        </w:tc>
      </w:tr>
      <w:tr>
        <w:tc>
          <w:tcPr>
            <w:tcW w:w="3960" w:type="dxa"/>
            <w:vMerge/>
            <w:shd w:val="thinDiagStripe" w:color="C0C0C0" w:fill="auto"/>
          </w:tcPr>
          <w:p>
            <w:pPr>
              <w:rPr>
                <w:noProof/>
                <w:sz w:val="20"/>
              </w:rPr>
            </w:pPr>
          </w:p>
        </w:tc>
        <w:tc>
          <w:tcPr>
            <w:tcW w:w="1440" w:type="dxa"/>
            <w:vAlign w:val="center"/>
          </w:tcPr>
          <w:p>
            <w:pPr>
              <w:rPr>
                <w:noProof/>
                <w:sz w:val="18"/>
              </w:rPr>
            </w:pPr>
            <w:r>
              <w:rPr>
                <w:noProof/>
                <w:sz w:val="18"/>
              </w:rPr>
              <w:t>Payments</w:t>
            </w:r>
          </w:p>
        </w:tc>
        <w:tc>
          <w:tcPr>
            <w:tcW w:w="654" w:type="dxa"/>
            <w:vAlign w:val="center"/>
          </w:tcPr>
          <w:p>
            <w:pPr>
              <w:jc w:val="center"/>
              <w:rPr>
                <w:noProof/>
                <w:sz w:val="14"/>
              </w:rPr>
            </w:pPr>
            <w:r>
              <w:rPr>
                <w:noProof/>
                <w:sz w:val="14"/>
              </w:rPr>
              <w:t>=5+ 6</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r>
              <w:rPr>
                <w:noProof/>
                <w:sz w:val="20"/>
              </w:rPr>
              <w:t>0.500</w:t>
            </w:r>
          </w:p>
        </w:tc>
        <w:tc>
          <w:tcPr>
            <w:tcW w:w="868" w:type="dxa"/>
          </w:tcPr>
          <w:p>
            <w:pPr>
              <w:spacing w:before="20" w:after="20"/>
              <w:jc w:val="right"/>
              <w:rPr>
                <w:noProof/>
                <w:sz w:val="20"/>
              </w:rPr>
            </w:pPr>
          </w:p>
        </w:tc>
        <w:tc>
          <w:tcPr>
            <w:tcW w:w="868" w:type="dxa"/>
          </w:tcPr>
          <w:p>
            <w:pPr>
              <w:spacing w:before="20" w:after="20"/>
              <w:jc w:val="right"/>
              <w:rPr>
                <w:noProof/>
                <w:sz w:val="20"/>
              </w:rPr>
            </w:pPr>
          </w:p>
        </w:tc>
        <w:tc>
          <w:tcPr>
            <w:tcW w:w="868" w:type="dxa"/>
          </w:tcPr>
          <w:p>
            <w:pPr>
              <w:spacing w:before="20" w:after="20"/>
              <w:jc w:val="right"/>
              <w:rPr>
                <w:noProof/>
                <w:sz w:val="20"/>
              </w:rPr>
            </w:pPr>
          </w:p>
        </w:tc>
        <w:tc>
          <w:tcPr>
            <w:tcW w:w="1777" w:type="dxa"/>
          </w:tcPr>
          <w:p>
            <w:pPr>
              <w:spacing w:before="20" w:after="20"/>
              <w:jc w:val="right"/>
              <w:rPr>
                <w:b/>
                <w:noProof/>
                <w:sz w:val="20"/>
              </w:rPr>
            </w:pPr>
            <w:r>
              <w:rPr>
                <w:b/>
                <w:noProof/>
                <w:sz w:val="20"/>
              </w:rPr>
              <w:t>2.000</w:t>
            </w:r>
          </w:p>
        </w:tc>
      </w:tr>
    </w:tbl>
    <w:p>
      <w:pPr>
        <w:spacing w:after="40"/>
        <w:rPr>
          <w:b/>
          <w:noProof/>
          <w:sz w:val="22"/>
          <w:u w:val="single"/>
        </w:rPr>
      </w:pPr>
      <w:r>
        <w:rPr>
          <w:b/>
          <w:noProof/>
          <w:sz w:val="22"/>
          <w:u w:val="single"/>
        </w:rPr>
        <w:t>If more than one heading is affected by the proposal / initiative:</w:t>
      </w:r>
    </w:p>
    <w:tbl>
      <w:tblPr>
        <w:tblW w:w="0" w:type="auto"/>
        <w:tblInd w:w="-252" w:type="dxa"/>
        <w:tblBorders>
          <w:top w:val="single" w:sz="4" w:space="0" w:color="FF0000"/>
          <w:left w:val="single" w:sz="4" w:space="0" w:color="FF0000"/>
          <w:bottom w:val="single" w:sz="4" w:space="0" w:color="FF0000"/>
          <w:right w:val="single" w:sz="4" w:space="0" w:color="FF0000"/>
          <w:insideH w:val="single" w:sz="4" w:space="0" w:color="auto"/>
          <w:insideV w:val="single" w:sz="4" w:space="0" w:color="auto"/>
        </w:tblBorders>
        <w:tblLayout w:type="fixed"/>
        <w:tblLook w:val="01E0" w:firstRow="1" w:lastRow="1" w:firstColumn="1" w:lastColumn="1" w:noHBand="0" w:noVBand="0"/>
      </w:tblPr>
      <w:tblGrid>
        <w:gridCol w:w="3960"/>
        <w:gridCol w:w="1440"/>
        <w:gridCol w:w="654"/>
        <w:gridCol w:w="868"/>
        <w:gridCol w:w="868"/>
        <w:gridCol w:w="868"/>
        <w:gridCol w:w="868"/>
        <w:gridCol w:w="868"/>
        <w:gridCol w:w="868"/>
        <w:gridCol w:w="868"/>
        <w:gridCol w:w="1777"/>
      </w:tblGrid>
      <w:tr>
        <w:trPr>
          <w:trHeight w:val="277"/>
        </w:trPr>
        <w:tc>
          <w:tcPr>
            <w:tcW w:w="3960" w:type="dxa"/>
            <w:vMerge w:val="restart"/>
            <w:tcBorders>
              <w:top w:val="single" w:sz="4" w:space="0" w:color="FF0000"/>
              <w:left w:val="single" w:sz="4" w:space="0" w:color="auto"/>
              <w:bottom w:val="single" w:sz="4" w:space="0" w:color="FF0000"/>
            </w:tcBorders>
            <w:vAlign w:val="center"/>
          </w:tcPr>
          <w:p>
            <w:pPr>
              <w:spacing w:before="20" w:after="20"/>
              <w:rPr>
                <w:noProof/>
                <w:sz w:val="22"/>
              </w:rPr>
            </w:pPr>
            <w:r>
              <w:rPr>
                <w:noProof/>
                <w:sz w:val="21"/>
              </w:rPr>
              <w:sym w:font="Wingdings" w:char="F09F"/>
            </w:r>
            <w:r>
              <w:rPr>
                <w:noProof/>
                <w:sz w:val="21"/>
              </w:rPr>
              <w:t xml:space="preserve"> TOTAL operational appropriations </w:t>
            </w:r>
          </w:p>
        </w:tc>
        <w:tc>
          <w:tcPr>
            <w:tcW w:w="1440" w:type="dxa"/>
            <w:tcBorders>
              <w:top w:val="single" w:sz="4" w:space="0" w:color="FF0000"/>
            </w:tcBorders>
            <w:vAlign w:val="center"/>
          </w:tcPr>
          <w:p>
            <w:pPr>
              <w:spacing w:beforeLines="20" w:before="48" w:afterLines="20" w:after="48"/>
              <w:rPr>
                <w:noProof/>
                <w:sz w:val="18"/>
              </w:rPr>
            </w:pPr>
            <w:r>
              <w:rPr>
                <w:noProof/>
                <w:sz w:val="18"/>
              </w:rPr>
              <w:t>Commitments</w:t>
            </w:r>
          </w:p>
        </w:tc>
        <w:tc>
          <w:tcPr>
            <w:tcW w:w="654" w:type="dxa"/>
            <w:tcBorders>
              <w:top w:val="single" w:sz="4" w:space="0" w:color="FF0000"/>
            </w:tcBorders>
            <w:vAlign w:val="center"/>
          </w:tcPr>
          <w:p>
            <w:pPr>
              <w:spacing w:beforeLines="20" w:before="48" w:afterLines="20" w:after="48"/>
              <w:jc w:val="center"/>
              <w:rPr>
                <w:noProof/>
                <w:sz w:val="14"/>
              </w:rPr>
            </w:pPr>
            <w:r>
              <w:rPr>
                <w:noProof/>
                <w:sz w:val="14"/>
              </w:rPr>
              <w:t>(4)</w:t>
            </w:r>
          </w:p>
        </w:tc>
        <w:tc>
          <w:tcPr>
            <w:tcW w:w="868" w:type="dxa"/>
            <w:tcBorders>
              <w:top w:val="single" w:sz="4" w:space="0" w:color="FF0000"/>
            </w:tcBorders>
            <w:vAlign w:val="center"/>
          </w:tcPr>
          <w:p>
            <w:pPr>
              <w:spacing w:before="20" w:after="20"/>
              <w:jc w:val="right"/>
              <w:rPr>
                <w:noProof/>
                <w:sz w:val="20"/>
              </w:rPr>
            </w:pPr>
          </w:p>
        </w:tc>
        <w:tc>
          <w:tcPr>
            <w:tcW w:w="868" w:type="dxa"/>
            <w:tcBorders>
              <w:top w:val="single" w:sz="4" w:space="0" w:color="FF0000"/>
            </w:tcBorders>
            <w:vAlign w:val="center"/>
          </w:tcPr>
          <w:p>
            <w:pPr>
              <w:spacing w:before="20" w:after="20"/>
              <w:jc w:val="right"/>
              <w:rPr>
                <w:noProof/>
                <w:sz w:val="20"/>
              </w:rPr>
            </w:pPr>
          </w:p>
        </w:tc>
        <w:tc>
          <w:tcPr>
            <w:tcW w:w="868" w:type="dxa"/>
            <w:tcBorders>
              <w:top w:val="single" w:sz="4" w:space="0" w:color="FF0000"/>
            </w:tcBorders>
            <w:vAlign w:val="center"/>
          </w:tcPr>
          <w:p>
            <w:pPr>
              <w:spacing w:before="20" w:after="20"/>
              <w:jc w:val="right"/>
              <w:rPr>
                <w:noProof/>
                <w:sz w:val="20"/>
              </w:rPr>
            </w:pPr>
          </w:p>
        </w:tc>
        <w:tc>
          <w:tcPr>
            <w:tcW w:w="868" w:type="dxa"/>
            <w:tcBorders>
              <w:top w:val="single" w:sz="4" w:space="0" w:color="FF0000"/>
            </w:tcBorders>
            <w:vAlign w:val="center"/>
          </w:tcPr>
          <w:p>
            <w:pPr>
              <w:spacing w:before="20" w:after="20"/>
              <w:jc w:val="right"/>
              <w:rPr>
                <w:noProof/>
                <w:sz w:val="20"/>
              </w:rPr>
            </w:pPr>
          </w:p>
        </w:tc>
        <w:tc>
          <w:tcPr>
            <w:tcW w:w="868" w:type="dxa"/>
            <w:tcBorders>
              <w:top w:val="single" w:sz="4" w:space="0" w:color="FF0000"/>
            </w:tcBorders>
            <w:vAlign w:val="center"/>
          </w:tcPr>
          <w:p>
            <w:pPr>
              <w:spacing w:before="20" w:after="20"/>
              <w:jc w:val="right"/>
              <w:rPr>
                <w:noProof/>
                <w:sz w:val="20"/>
              </w:rPr>
            </w:pPr>
          </w:p>
        </w:tc>
        <w:tc>
          <w:tcPr>
            <w:tcW w:w="868" w:type="dxa"/>
            <w:tcBorders>
              <w:top w:val="single" w:sz="4" w:space="0" w:color="FF0000"/>
            </w:tcBorders>
            <w:vAlign w:val="center"/>
          </w:tcPr>
          <w:p>
            <w:pPr>
              <w:spacing w:before="20" w:after="20"/>
              <w:jc w:val="right"/>
              <w:rPr>
                <w:noProof/>
                <w:sz w:val="20"/>
              </w:rPr>
            </w:pPr>
          </w:p>
        </w:tc>
        <w:tc>
          <w:tcPr>
            <w:tcW w:w="868" w:type="dxa"/>
            <w:tcBorders>
              <w:top w:val="single" w:sz="4" w:space="0" w:color="FF0000"/>
            </w:tcBorders>
            <w:vAlign w:val="center"/>
          </w:tcPr>
          <w:p>
            <w:pPr>
              <w:spacing w:before="20" w:after="20"/>
              <w:jc w:val="right"/>
              <w:rPr>
                <w:b/>
                <w:noProof/>
                <w:sz w:val="20"/>
              </w:rPr>
            </w:pPr>
          </w:p>
        </w:tc>
        <w:tc>
          <w:tcPr>
            <w:tcW w:w="1777" w:type="dxa"/>
            <w:tcBorders>
              <w:top w:val="single" w:sz="4" w:space="0" w:color="FF0000"/>
              <w:right w:val="single" w:sz="4" w:space="0" w:color="auto"/>
            </w:tcBorders>
            <w:vAlign w:val="center"/>
          </w:tcPr>
          <w:p>
            <w:pPr>
              <w:spacing w:before="20" w:after="20"/>
              <w:jc w:val="right"/>
              <w:rPr>
                <w:b/>
                <w:noProof/>
                <w:sz w:val="20"/>
              </w:rPr>
            </w:pPr>
          </w:p>
        </w:tc>
      </w:tr>
      <w:tr>
        <w:tc>
          <w:tcPr>
            <w:tcW w:w="3960" w:type="dxa"/>
            <w:vMerge/>
            <w:tcBorders>
              <w:top w:val="single" w:sz="4" w:space="0" w:color="FF0000"/>
              <w:left w:val="single" w:sz="4" w:space="0" w:color="auto"/>
              <w:bottom w:val="single" w:sz="4" w:space="0" w:color="FF0000"/>
            </w:tcBorders>
          </w:tcPr>
          <w:p>
            <w:pPr>
              <w:jc w:val="center"/>
              <w:rPr>
                <w:noProof/>
                <w:sz w:val="20"/>
              </w:rPr>
            </w:pPr>
          </w:p>
        </w:tc>
        <w:tc>
          <w:tcPr>
            <w:tcW w:w="1440" w:type="dxa"/>
            <w:vAlign w:val="center"/>
          </w:tcPr>
          <w:p>
            <w:pPr>
              <w:spacing w:beforeLines="20" w:before="48" w:afterLines="20" w:after="48"/>
              <w:rPr>
                <w:noProof/>
                <w:sz w:val="18"/>
              </w:rPr>
            </w:pPr>
            <w:r>
              <w:rPr>
                <w:noProof/>
                <w:sz w:val="18"/>
              </w:rPr>
              <w:t>Payments</w:t>
            </w:r>
          </w:p>
        </w:tc>
        <w:tc>
          <w:tcPr>
            <w:tcW w:w="654" w:type="dxa"/>
            <w:vAlign w:val="center"/>
          </w:tcPr>
          <w:p>
            <w:pPr>
              <w:spacing w:beforeLines="20" w:before="48" w:afterLines="20" w:after="48"/>
              <w:jc w:val="center"/>
              <w:rPr>
                <w:noProof/>
                <w:sz w:val="14"/>
              </w:rPr>
            </w:pPr>
            <w:r>
              <w:rPr>
                <w:noProof/>
                <w:sz w:val="14"/>
              </w:rPr>
              <w:t>(5)</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1777" w:type="dxa"/>
            <w:tcBorders>
              <w:right w:val="single" w:sz="4" w:space="0" w:color="auto"/>
            </w:tcBorders>
            <w:vAlign w:val="center"/>
          </w:tcPr>
          <w:p>
            <w:pPr>
              <w:spacing w:before="20" w:after="20"/>
              <w:jc w:val="right"/>
              <w:rPr>
                <w:b/>
                <w:noProof/>
                <w:sz w:val="20"/>
              </w:rPr>
            </w:pPr>
          </w:p>
        </w:tc>
      </w:tr>
      <w:tr>
        <w:tblPrEx>
          <w:tblBorders>
            <w:top w:val="single" w:sz="4" w:space="0" w:color="auto"/>
            <w:left w:val="single" w:sz="4" w:space="0" w:color="auto"/>
            <w:bottom w:val="single" w:sz="4" w:space="0" w:color="auto"/>
            <w:right w:val="single" w:sz="4" w:space="0" w:color="auto"/>
          </w:tblBorders>
        </w:tblPrEx>
        <w:trPr>
          <w:trHeight w:val="533"/>
        </w:trPr>
        <w:tc>
          <w:tcPr>
            <w:tcW w:w="5400" w:type="dxa"/>
            <w:gridSpan w:val="2"/>
            <w:vAlign w:val="center"/>
          </w:tcPr>
          <w:p>
            <w:pPr>
              <w:spacing w:beforeLines="20" w:before="48" w:afterLines="20" w:after="48"/>
              <w:rPr>
                <w:noProof/>
                <w:sz w:val="22"/>
              </w:rPr>
            </w:pPr>
            <w:r>
              <w:rPr>
                <w:noProof/>
                <w:sz w:val="21"/>
              </w:rPr>
              <w:sym w:font="Wingdings" w:char="F09F"/>
            </w:r>
            <w:r>
              <w:rPr>
                <w:noProof/>
                <w:sz w:val="21"/>
              </w:rPr>
              <w:t xml:space="preserve"> TOTAL appropriations of an administrative nature financed from the envelope for specific programmes </w:t>
            </w:r>
          </w:p>
        </w:tc>
        <w:tc>
          <w:tcPr>
            <w:tcW w:w="654" w:type="dxa"/>
            <w:vAlign w:val="center"/>
          </w:tcPr>
          <w:p>
            <w:pPr>
              <w:spacing w:beforeLines="20" w:before="48" w:afterLines="20" w:after="48"/>
              <w:jc w:val="center"/>
              <w:rPr>
                <w:noProof/>
                <w:sz w:val="14"/>
              </w:rPr>
            </w:pPr>
            <w:r>
              <w:rPr>
                <w:noProof/>
                <w:sz w:val="14"/>
              </w:rPr>
              <w:t>(6)</w:t>
            </w:r>
          </w:p>
        </w:tc>
        <w:tc>
          <w:tcPr>
            <w:tcW w:w="868" w:type="dxa"/>
            <w:vAlign w:val="center"/>
          </w:tcPr>
          <w:p>
            <w:pPr>
              <w:spacing w:before="20" w:after="20"/>
              <w:jc w:val="right"/>
              <w:rPr>
                <w:b/>
                <w:noProof/>
                <w:sz w:val="20"/>
              </w:rPr>
            </w:pPr>
          </w:p>
        </w:tc>
        <w:tc>
          <w:tcPr>
            <w:tcW w:w="868" w:type="dxa"/>
            <w:vAlign w:val="center"/>
          </w:tcPr>
          <w:p>
            <w:pPr>
              <w:spacing w:before="20" w:after="20"/>
              <w:jc w:val="right"/>
              <w:rPr>
                <w:b/>
                <w:noProof/>
                <w:sz w:val="20"/>
              </w:rPr>
            </w:pPr>
          </w:p>
        </w:tc>
        <w:tc>
          <w:tcPr>
            <w:tcW w:w="868" w:type="dxa"/>
            <w:vAlign w:val="center"/>
          </w:tcPr>
          <w:p>
            <w:pPr>
              <w:spacing w:before="20" w:after="20"/>
              <w:jc w:val="right"/>
              <w:rPr>
                <w:b/>
                <w:noProof/>
                <w:sz w:val="20"/>
              </w:rPr>
            </w:pPr>
          </w:p>
        </w:tc>
        <w:tc>
          <w:tcPr>
            <w:tcW w:w="868" w:type="dxa"/>
            <w:vAlign w:val="center"/>
          </w:tcPr>
          <w:p>
            <w:pPr>
              <w:spacing w:before="20" w:after="20"/>
              <w:jc w:val="right"/>
              <w:rPr>
                <w:b/>
                <w:noProof/>
                <w:sz w:val="20"/>
              </w:rPr>
            </w:pPr>
          </w:p>
        </w:tc>
        <w:tc>
          <w:tcPr>
            <w:tcW w:w="868" w:type="dxa"/>
            <w:vAlign w:val="center"/>
          </w:tcPr>
          <w:p>
            <w:pPr>
              <w:spacing w:before="20" w:after="20"/>
              <w:jc w:val="right"/>
              <w:rPr>
                <w:b/>
                <w:noProof/>
                <w:sz w:val="20"/>
              </w:rPr>
            </w:pPr>
          </w:p>
        </w:tc>
        <w:tc>
          <w:tcPr>
            <w:tcW w:w="868" w:type="dxa"/>
            <w:vAlign w:val="center"/>
          </w:tcPr>
          <w:p>
            <w:pPr>
              <w:spacing w:before="20" w:after="20"/>
              <w:jc w:val="right"/>
              <w:rPr>
                <w:b/>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jc w:val="right"/>
              <w:rPr>
                <w:b/>
                <w:noProof/>
                <w:sz w:val="20"/>
              </w:rPr>
            </w:pPr>
          </w:p>
        </w:tc>
      </w:tr>
      <w:tr>
        <w:tc>
          <w:tcPr>
            <w:tcW w:w="3960" w:type="dxa"/>
            <w:vMerge w:val="restart"/>
            <w:tcBorders>
              <w:top w:val="single" w:sz="4" w:space="0" w:color="FF0000"/>
              <w:left w:val="single" w:sz="4" w:space="0" w:color="auto"/>
              <w:bottom w:val="single" w:sz="4" w:space="0" w:color="FF0000"/>
            </w:tcBorders>
            <w:shd w:val="thinDiagStripe" w:color="C0C0C0" w:fill="auto"/>
            <w:vAlign w:val="center"/>
          </w:tcPr>
          <w:p>
            <w:pPr>
              <w:jc w:val="center"/>
              <w:rPr>
                <w:b/>
                <w:noProof/>
                <w:sz w:val="22"/>
              </w:rPr>
            </w:pPr>
            <w:r>
              <w:rPr>
                <w:b/>
                <w:noProof/>
                <w:sz w:val="22"/>
              </w:rPr>
              <w:t xml:space="preserve">TOTAL appropriations </w:t>
            </w:r>
            <w:r>
              <w:rPr>
                <w:noProof/>
                <w:sz w:val="22"/>
              </w:rPr>
              <w:br/>
            </w:r>
            <w:r>
              <w:rPr>
                <w:b/>
                <w:noProof/>
                <w:sz w:val="22"/>
              </w:rPr>
              <w:t>under HEADINGS 1 to 4</w:t>
            </w:r>
            <w:r>
              <w:rPr>
                <w:noProof/>
                <w:sz w:val="22"/>
              </w:rPr>
              <w:br/>
              <w:t>of the multiannual financial framework</w:t>
            </w:r>
            <w:r>
              <w:rPr>
                <w:noProof/>
                <w:sz w:val="22"/>
              </w:rPr>
              <w:br/>
            </w:r>
            <w:r>
              <w:rPr>
                <w:noProof/>
                <w:sz w:val="20"/>
              </w:rPr>
              <w:t>(Reference amount)</w:t>
            </w:r>
          </w:p>
        </w:tc>
        <w:tc>
          <w:tcPr>
            <w:tcW w:w="1440" w:type="dxa"/>
            <w:vAlign w:val="center"/>
          </w:tcPr>
          <w:p>
            <w:pPr>
              <w:rPr>
                <w:noProof/>
                <w:sz w:val="18"/>
              </w:rPr>
            </w:pPr>
            <w:r>
              <w:rPr>
                <w:noProof/>
                <w:sz w:val="18"/>
              </w:rPr>
              <w:t>Commitments</w:t>
            </w:r>
          </w:p>
        </w:tc>
        <w:tc>
          <w:tcPr>
            <w:tcW w:w="654" w:type="dxa"/>
            <w:vAlign w:val="center"/>
          </w:tcPr>
          <w:p>
            <w:pPr>
              <w:jc w:val="center"/>
              <w:rPr>
                <w:noProof/>
                <w:sz w:val="14"/>
              </w:rPr>
            </w:pPr>
            <w:r>
              <w:rPr>
                <w:noProof/>
                <w:sz w:val="14"/>
              </w:rPr>
              <w:t>=4+ 6</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1777" w:type="dxa"/>
            <w:tcBorders>
              <w:right w:val="single" w:sz="4" w:space="0" w:color="auto"/>
            </w:tcBorders>
            <w:vAlign w:val="center"/>
          </w:tcPr>
          <w:p>
            <w:pPr>
              <w:spacing w:before="20" w:after="20"/>
              <w:jc w:val="right"/>
              <w:rPr>
                <w:b/>
                <w:noProof/>
                <w:sz w:val="20"/>
              </w:rPr>
            </w:pPr>
          </w:p>
        </w:tc>
      </w:tr>
      <w:tr>
        <w:tc>
          <w:tcPr>
            <w:tcW w:w="3960" w:type="dxa"/>
            <w:vMerge/>
            <w:tcBorders>
              <w:top w:val="single" w:sz="4" w:space="0" w:color="FF0000"/>
              <w:left w:val="single" w:sz="4" w:space="0" w:color="auto"/>
              <w:bottom w:val="single" w:sz="4" w:space="0" w:color="FF0000"/>
            </w:tcBorders>
            <w:shd w:val="thinDiagStripe" w:color="C0C0C0" w:fill="auto"/>
          </w:tcPr>
          <w:p>
            <w:pPr>
              <w:rPr>
                <w:noProof/>
                <w:sz w:val="20"/>
              </w:rPr>
            </w:pPr>
          </w:p>
        </w:tc>
        <w:tc>
          <w:tcPr>
            <w:tcW w:w="1440" w:type="dxa"/>
            <w:tcBorders>
              <w:bottom w:val="single" w:sz="4" w:space="0" w:color="FF0000"/>
            </w:tcBorders>
            <w:vAlign w:val="center"/>
          </w:tcPr>
          <w:p>
            <w:pPr>
              <w:rPr>
                <w:noProof/>
                <w:sz w:val="18"/>
              </w:rPr>
            </w:pPr>
            <w:r>
              <w:rPr>
                <w:noProof/>
                <w:sz w:val="18"/>
              </w:rPr>
              <w:t>Payments</w:t>
            </w:r>
          </w:p>
        </w:tc>
        <w:tc>
          <w:tcPr>
            <w:tcW w:w="654" w:type="dxa"/>
            <w:tcBorders>
              <w:bottom w:val="single" w:sz="4" w:space="0" w:color="FF0000"/>
            </w:tcBorders>
            <w:vAlign w:val="center"/>
          </w:tcPr>
          <w:p>
            <w:pPr>
              <w:jc w:val="center"/>
              <w:rPr>
                <w:noProof/>
                <w:sz w:val="14"/>
              </w:rPr>
            </w:pPr>
            <w:r>
              <w:rPr>
                <w:noProof/>
                <w:sz w:val="14"/>
              </w:rPr>
              <w:t>=5+ 6</w:t>
            </w:r>
          </w:p>
        </w:tc>
        <w:tc>
          <w:tcPr>
            <w:tcW w:w="868" w:type="dxa"/>
            <w:tcBorders>
              <w:bottom w:val="single" w:sz="4" w:space="0" w:color="FF0000"/>
            </w:tcBorders>
            <w:vAlign w:val="center"/>
          </w:tcPr>
          <w:p>
            <w:pPr>
              <w:spacing w:before="20" w:after="20"/>
              <w:jc w:val="right"/>
              <w:rPr>
                <w:noProof/>
                <w:sz w:val="20"/>
              </w:rPr>
            </w:pPr>
          </w:p>
        </w:tc>
        <w:tc>
          <w:tcPr>
            <w:tcW w:w="868" w:type="dxa"/>
            <w:tcBorders>
              <w:bottom w:val="single" w:sz="4" w:space="0" w:color="FF0000"/>
            </w:tcBorders>
            <w:vAlign w:val="center"/>
          </w:tcPr>
          <w:p>
            <w:pPr>
              <w:spacing w:before="20" w:after="20"/>
              <w:jc w:val="right"/>
              <w:rPr>
                <w:noProof/>
                <w:sz w:val="20"/>
              </w:rPr>
            </w:pPr>
          </w:p>
        </w:tc>
        <w:tc>
          <w:tcPr>
            <w:tcW w:w="868" w:type="dxa"/>
            <w:tcBorders>
              <w:bottom w:val="single" w:sz="4" w:space="0" w:color="FF0000"/>
            </w:tcBorders>
            <w:vAlign w:val="center"/>
          </w:tcPr>
          <w:p>
            <w:pPr>
              <w:spacing w:before="20" w:after="20"/>
              <w:jc w:val="right"/>
              <w:rPr>
                <w:noProof/>
                <w:sz w:val="20"/>
              </w:rPr>
            </w:pPr>
          </w:p>
        </w:tc>
        <w:tc>
          <w:tcPr>
            <w:tcW w:w="868" w:type="dxa"/>
            <w:tcBorders>
              <w:bottom w:val="single" w:sz="4" w:space="0" w:color="FF0000"/>
            </w:tcBorders>
            <w:vAlign w:val="center"/>
          </w:tcPr>
          <w:p>
            <w:pPr>
              <w:spacing w:before="20" w:after="20"/>
              <w:jc w:val="right"/>
              <w:rPr>
                <w:noProof/>
                <w:sz w:val="20"/>
              </w:rPr>
            </w:pPr>
          </w:p>
        </w:tc>
        <w:tc>
          <w:tcPr>
            <w:tcW w:w="868" w:type="dxa"/>
            <w:tcBorders>
              <w:bottom w:val="single" w:sz="4" w:space="0" w:color="FF0000"/>
            </w:tcBorders>
            <w:vAlign w:val="center"/>
          </w:tcPr>
          <w:p>
            <w:pPr>
              <w:spacing w:before="20" w:after="20"/>
              <w:jc w:val="right"/>
              <w:rPr>
                <w:noProof/>
                <w:sz w:val="20"/>
              </w:rPr>
            </w:pPr>
          </w:p>
        </w:tc>
        <w:tc>
          <w:tcPr>
            <w:tcW w:w="868" w:type="dxa"/>
            <w:tcBorders>
              <w:bottom w:val="single" w:sz="4" w:space="0" w:color="FF0000"/>
            </w:tcBorders>
            <w:vAlign w:val="center"/>
          </w:tcPr>
          <w:p>
            <w:pPr>
              <w:spacing w:before="20" w:after="20"/>
              <w:jc w:val="right"/>
              <w:rPr>
                <w:noProof/>
                <w:sz w:val="20"/>
              </w:rPr>
            </w:pPr>
          </w:p>
        </w:tc>
        <w:tc>
          <w:tcPr>
            <w:tcW w:w="868" w:type="dxa"/>
            <w:tcBorders>
              <w:bottom w:val="single" w:sz="4" w:space="0" w:color="FF0000"/>
            </w:tcBorders>
            <w:vAlign w:val="center"/>
          </w:tcPr>
          <w:p>
            <w:pPr>
              <w:spacing w:before="20" w:after="20"/>
              <w:jc w:val="right"/>
              <w:rPr>
                <w:b/>
                <w:noProof/>
                <w:sz w:val="20"/>
              </w:rPr>
            </w:pPr>
          </w:p>
        </w:tc>
        <w:tc>
          <w:tcPr>
            <w:tcW w:w="1777" w:type="dxa"/>
            <w:tcBorders>
              <w:bottom w:val="single" w:sz="4" w:space="0" w:color="FF0000"/>
              <w:right w:val="single" w:sz="4" w:space="0" w:color="auto"/>
            </w:tcBorders>
            <w:vAlign w:val="center"/>
          </w:tcPr>
          <w:p>
            <w:pPr>
              <w:spacing w:before="20" w:after="20"/>
              <w:jc w:val="right"/>
              <w:rPr>
                <w:b/>
                <w:noProof/>
                <w:sz w:val="20"/>
              </w:rPr>
            </w:pPr>
          </w:p>
        </w:tc>
      </w:tr>
    </w:tbl>
    <w:p>
      <w:pPr>
        <w:rPr>
          <w:noProof/>
        </w:rPr>
      </w:pPr>
    </w:p>
    <w:p>
      <w:pPr>
        <w:rPr>
          <w:noProof/>
        </w:rPr>
      </w:pPr>
      <w:r>
        <w:rPr>
          <w:noProof/>
        </w:rPr>
        <w:br w:type="page"/>
      </w:r>
    </w:p>
    <w:tbl>
      <w:tblPr>
        <w:tblW w:w="0" w:type="auto"/>
        <w:jc w:val="center"/>
        <w:tblInd w:w="-2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trPr>
          <w:jc w:val="center"/>
        </w:trPr>
        <w:tc>
          <w:tcPr>
            <w:tcW w:w="4744" w:type="dxa"/>
            <w:shd w:val="thinDiagStripe" w:color="C0C0C0" w:fill="auto"/>
            <w:vAlign w:val="center"/>
          </w:tcPr>
          <w:p>
            <w:pPr>
              <w:spacing w:before="60" w:after="60"/>
              <w:jc w:val="center"/>
              <w:rPr>
                <w:b/>
                <w:noProof/>
                <w:sz w:val="22"/>
              </w:rPr>
            </w:pPr>
            <w:r>
              <w:rPr>
                <w:noProof/>
                <w:sz w:val="22"/>
              </w:rPr>
              <w:br w:type="page"/>
            </w:r>
            <w:r>
              <w:rPr>
                <w:b/>
                <w:noProof/>
                <w:sz w:val="22"/>
              </w:rPr>
              <w:t xml:space="preserve">Heading of multiannual financial </w:t>
            </w:r>
            <w:r>
              <w:rPr>
                <w:noProof/>
                <w:sz w:val="22"/>
              </w:rPr>
              <w:br/>
            </w:r>
            <w:r>
              <w:rPr>
                <w:b/>
                <w:noProof/>
                <w:sz w:val="22"/>
              </w:rPr>
              <w:t xml:space="preserve">framework </w:t>
            </w:r>
          </w:p>
        </w:tc>
        <w:tc>
          <w:tcPr>
            <w:tcW w:w="1080" w:type="dxa"/>
            <w:shd w:val="thinDiagStripe" w:color="C0C0C0" w:fill="auto"/>
            <w:vAlign w:val="center"/>
          </w:tcPr>
          <w:p>
            <w:pPr>
              <w:spacing w:before="60" w:after="60"/>
              <w:jc w:val="center"/>
              <w:rPr>
                <w:noProof/>
                <w:sz w:val="22"/>
              </w:rPr>
            </w:pPr>
            <w:r>
              <w:rPr>
                <w:b/>
                <w:noProof/>
                <w:sz w:val="22"/>
              </w:rPr>
              <w:t>5</w:t>
            </w:r>
          </w:p>
        </w:tc>
        <w:tc>
          <w:tcPr>
            <w:tcW w:w="7817" w:type="dxa"/>
            <w:vAlign w:val="center"/>
          </w:tcPr>
          <w:p>
            <w:pPr>
              <w:spacing w:before="60" w:after="60"/>
              <w:rPr>
                <w:noProof/>
                <w:sz w:val="22"/>
              </w:rPr>
            </w:pPr>
            <w:r>
              <w:rPr>
                <w:noProof/>
                <w:sz w:val="22"/>
              </w:rPr>
              <w:t>‘Administrative expenditure’</w:t>
            </w:r>
          </w:p>
        </w:tc>
      </w:tr>
    </w:tbl>
    <w:p>
      <w:pPr>
        <w:jc w:val="right"/>
        <w:rPr>
          <w:noProof/>
          <w:sz w:val="20"/>
        </w:rPr>
      </w:pPr>
      <w:r>
        <w:rPr>
          <w:noProof/>
          <w:sz w:val="20"/>
        </w:rPr>
        <w:t>EUR million (to three decimal places)</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560"/>
        <w:gridCol w:w="534"/>
        <w:gridCol w:w="868"/>
        <w:gridCol w:w="868"/>
        <w:gridCol w:w="868"/>
        <w:gridCol w:w="868"/>
        <w:gridCol w:w="868"/>
        <w:gridCol w:w="868"/>
        <w:gridCol w:w="868"/>
        <w:gridCol w:w="1777"/>
      </w:tblGrid>
      <w:tr>
        <w:tc>
          <w:tcPr>
            <w:tcW w:w="3960" w:type="dxa"/>
            <w:tcBorders>
              <w:top w:val="nil"/>
              <w:left w:val="nil"/>
              <w:right w:val="nil"/>
            </w:tcBorders>
            <w:vAlign w:val="center"/>
          </w:tcPr>
          <w:p>
            <w:pPr>
              <w:jc w:val="center"/>
              <w:rPr>
                <w:noProof/>
                <w:sz w:val="22"/>
              </w:rPr>
            </w:pPr>
          </w:p>
        </w:tc>
        <w:tc>
          <w:tcPr>
            <w:tcW w:w="1560" w:type="dxa"/>
            <w:tcBorders>
              <w:top w:val="nil"/>
              <w:left w:val="nil"/>
              <w:right w:val="nil"/>
            </w:tcBorders>
          </w:tcPr>
          <w:p>
            <w:pPr>
              <w:rPr>
                <w:noProof/>
                <w:sz w:val="20"/>
              </w:rPr>
            </w:pPr>
          </w:p>
        </w:tc>
        <w:tc>
          <w:tcPr>
            <w:tcW w:w="534" w:type="dxa"/>
            <w:tcBorders>
              <w:top w:val="nil"/>
              <w:left w:val="nil"/>
            </w:tcBorders>
          </w:tcPr>
          <w:p>
            <w:pPr>
              <w:jc w:val="center"/>
              <w:rPr>
                <w:noProof/>
                <w:sz w:val="20"/>
              </w:rPr>
            </w:pPr>
          </w:p>
        </w:tc>
        <w:tc>
          <w:tcPr>
            <w:tcW w:w="868" w:type="dxa"/>
            <w:vAlign w:val="center"/>
          </w:tcPr>
          <w:p>
            <w:pPr>
              <w:jc w:val="center"/>
              <w:rPr>
                <w:noProof/>
                <w:sz w:val="20"/>
              </w:rPr>
            </w:pPr>
            <w:r>
              <w:rPr>
                <w:noProof/>
                <w:sz w:val="20"/>
              </w:rPr>
              <w:t>Year</w:t>
            </w:r>
            <w:r>
              <w:rPr>
                <w:noProof/>
                <w:sz w:val="22"/>
              </w:rPr>
              <w:br/>
            </w:r>
            <w:r>
              <w:rPr>
                <w:b/>
                <w:noProof/>
                <w:sz w:val="20"/>
              </w:rPr>
              <w:t>2017</w:t>
            </w:r>
          </w:p>
        </w:tc>
        <w:tc>
          <w:tcPr>
            <w:tcW w:w="868" w:type="dxa"/>
            <w:vAlign w:val="center"/>
          </w:tcPr>
          <w:p>
            <w:pPr>
              <w:jc w:val="center"/>
              <w:rPr>
                <w:noProof/>
                <w:sz w:val="20"/>
              </w:rPr>
            </w:pPr>
            <w:r>
              <w:rPr>
                <w:noProof/>
                <w:sz w:val="20"/>
              </w:rPr>
              <w:t>Year</w:t>
            </w:r>
            <w:r>
              <w:rPr>
                <w:noProof/>
                <w:sz w:val="22"/>
              </w:rPr>
              <w:br/>
            </w:r>
            <w:r>
              <w:rPr>
                <w:b/>
                <w:noProof/>
                <w:sz w:val="20"/>
              </w:rPr>
              <w:t>2018</w:t>
            </w:r>
          </w:p>
        </w:tc>
        <w:tc>
          <w:tcPr>
            <w:tcW w:w="868" w:type="dxa"/>
            <w:vAlign w:val="center"/>
          </w:tcPr>
          <w:p>
            <w:pPr>
              <w:jc w:val="center"/>
              <w:rPr>
                <w:noProof/>
                <w:sz w:val="20"/>
              </w:rPr>
            </w:pPr>
            <w:r>
              <w:rPr>
                <w:noProof/>
                <w:sz w:val="20"/>
              </w:rPr>
              <w:t>Year</w:t>
            </w:r>
            <w:r>
              <w:rPr>
                <w:noProof/>
                <w:sz w:val="22"/>
              </w:rPr>
              <w:br/>
            </w:r>
            <w:r>
              <w:rPr>
                <w:b/>
                <w:noProof/>
                <w:sz w:val="20"/>
              </w:rPr>
              <w:t>2019</w:t>
            </w:r>
          </w:p>
        </w:tc>
        <w:tc>
          <w:tcPr>
            <w:tcW w:w="868" w:type="dxa"/>
            <w:vAlign w:val="center"/>
          </w:tcPr>
          <w:p>
            <w:pPr>
              <w:jc w:val="center"/>
              <w:rPr>
                <w:noProof/>
                <w:sz w:val="20"/>
              </w:rPr>
            </w:pPr>
            <w:r>
              <w:rPr>
                <w:noProof/>
                <w:sz w:val="20"/>
              </w:rPr>
              <w:t>Year</w:t>
            </w:r>
            <w:r>
              <w:rPr>
                <w:noProof/>
                <w:sz w:val="22"/>
              </w:rPr>
              <w:br/>
            </w:r>
            <w:r>
              <w:rPr>
                <w:b/>
                <w:noProof/>
                <w:sz w:val="20"/>
              </w:rPr>
              <w:t>2020</w:t>
            </w:r>
          </w:p>
        </w:tc>
        <w:tc>
          <w:tcPr>
            <w:tcW w:w="2604" w:type="dxa"/>
            <w:gridSpan w:val="3"/>
            <w:vAlign w:val="center"/>
          </w:tcPr>
          <w:p>
            <w:pPr>
              <w:jc w:val="center"/>
              <w:rPr>
                <w:b/>
                <w:noProof/>
                <w:sz w:val="18"/>
              </w:rPr>
            </w:pPr>
            <w:r>
              <w:rPr>
                <w:noProof/>
                <w:sz w:val="18"/>
              </w:rPr>
              <w:t xml:space="preserve">Enter as many years as necessary to show the duration of the impact (see point 1.6) </w:t>
            </w:r>
          </w:p>
        </w:tc>
        <w:tc>
          <w:tcPr>
            <w:tcW w:w="1777" w:type="dxa"/>
            <w:vAlign w:val="center"/>
          </w:tcPr>
          <w:p>
            <w:pPr>
              <w:jc w:val="center"/>
              <w:rPr>
                <w:b/>
                <w:noProof/>
                <w:sz w:val="20"/>
              </w:rPr>
            </w:pPr>
            <w:r>
              <w:rPr>
                <w:b/>
                <w:noProof/>
                <w:sz w:val="20"/>
              </w:rPr>
              <w:t>TOTAL</w:t>
            </w:r>
          </w:p>
        </w:tc>
      </w:tr>
      <w:tr>
        <w:trPr>
          <w:gridAfter w:val="10"/>
          <w:wAfter w:w="9947" w:type="dxa"/>
        </w:trPr>
        <w:tc>
          <w:tcPr>
            <w:tcW w:w="3960" w:type="dxa"/>
            <w:vAlign w:val="center"/>
          </w:tcPr>
          <w:p>
            <w:pPr>
              <w:spacing w:before="60" w:after="60"/>
              <w:jc w:val="center"/>
              <w:rPr>
                <w:noProof/>
                <w:sz w:val="22"/>
              </w:rPr>
            </w:pPr>
            <w:r>
              <w:rPr>
                <w:noProof/>
                <w:sz w:val="22"/>
              </w:rPr>
              <w:t>DG: TRADE</w:t>
            </w:r>
          </w:p>
        </w:tc>
      </w:tr>
      <w:tr>
        <w:trPr>
          <w:trHeight w:val="313"/>
        </w:trPr>
        <w:tc>
          <w:tcPr>
            <w:tcW w:w="6054" w:type="dxa"/>
            <w:gridSpan w:val="3"/>
            <w:vAlign w:val="center"/>
          </w:tcPr>
          <w:p>
            <w:pPr>
              <w:spacing w:before="20" w:after="20"/>
              <w:rPr>
                <w:noProof/>
                <w:sz w:val="22"/>
              </w:rPr>
            </w:pPr>
            <w:r>
              <w:rPr>
                <w:noProof/>
                <w:sz w:val="22"/>
              </w:rPr>
              <w:sym w:font="Wingdings" w:char="F09F"/>
            </w:r>
            <w:r>
              <w:rPr>
                <w:noProof/>
                <w:sz w:val="22"/>
              </w:rPr>
              <w:t xml:space="preserve"> Human resources </w:t>
            </w:r>
          </w:p>
        </w:tc>
        <w:tc>
          <w:tcPr>
            <w:tcW w:w="868" w:type="dxa"/>
            <w:vAlign w:val="center"/>
          </w:tcPr>
          <w:p>
            <w:pPr>
              <w:spacing w:before="20" w:after="20"/>
              <w:jc w:val="center"/>
              <w:rPr>
                <w:noProof/>
                <w:sz w:val="20"/>
              </w:rPr>
            </w:pPr>
            <w:r>
              <w:rPr>
                <w:noProof/>
                <w:sz w:val="20"/>
              </w:rPr>
              <w:t>0.134</w:t>
            </w:r>
          </w:p>
        </w:tc>
        <w:tc>
          <w:tcPr>
            <w:tcW w:w="868" w:type="dxa"/>
          </w:tcPr>
          <w:p>
            <w:pPr>
              <w:jc w:val="center"/>
              <w:rPr>
                <w:noProof/>
              </w:rPr>
            </w:pPr>
            <w:r>
              <w:rPr>
                <w:noProof/>
                <w:sz w:val="20"/>
              </w:rPr>
              <w:t>0.134</w:t>
            </w:r>
          </w:p>
        </w:tc>
        <w:tc>
          <w:tcPr>
            <w:tcW w:w="868" w:type="dxa"/>
          </w:tcPr>
          <w:p>
            <w:pPr>
              <w:jc w:val="center"/>
              <w:rPr>
                <w:noProof/>
              </w:rPr>
            </w:pPr>
            <w:r>
              <w:rPr>
                <w:noProof/>
                <w:sz w:val="20"/>
              </w:rPr>
              <w:t>0.134</w:t>
            </w:r>
          </w:p>
        </w:tc>
        <w:tc>
          <w:tcPr>
            <w:tcW w:w="868" w:type="dxa"/>
          </w:tcPr>
          <w:p>
            <w:pPr>
              <w:jc w:val="center"/>
              <w:rPr>
                <w:noProof/>
              </w:rPr>
            </w:pPr>
            <w:r>
              <w:rPr>
                <w:noProof/>
                <w:sz w:val="20"/>
              </w:rPr>
              <w:t>0.134</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jc w:val="right"/>
              <w:rPr>
                <w:b/>
                <w:noProof/>
                <w:sz w:val="20"/>
              </w:rPr>
            </w:pPr>
            <w:r>
              <w:rPr>
                <w:b/>
                <w:noProof/>
                <w:sz w:val="20"/>
              </w:rPr>
              <w:t>0.536</w:t>
            </w:r>
          </w:p>
        </w:tc>
      </w:tr>
      <w:tr>
        <w:trPr>
          <w:trHeight w:val="351"/>
        </w:trPr>
        <w:tc>
          <w:tcPr>
            <w:tcW w:w="6054" w:type="dxa"/>
            <w:gridSpan w:val="3"/>
            <w:vAlign w:val="center"/>
          </w:tcPr>
          <w:p>
            <w:pPr>
              <w:spacing w:before="20" w:after="20"/>
              <w:rPr>
                <w:noProof/>
                <w:sz w:val="22"/>
              </w:rPr>
            </w:pPr>
            <w:r>
              <w:rPr>
                <w:noProof/>
                <w:sz w:val="22"/>
              </w:rPr>
              <w:sym w:font="Wingdings" w:char="F09F"/>
            </w:r>
            <w:r>
              <w:rPr>
                <w:noProof/>
                <w:sz w:val="22"/>
              </w:rPr>
              <w:t xml:space="preserve"> Other administrative expenditure </w:t>
            </w:r>
          </w:p>
        </w:tc>
        <w:tc>
          <w:tcPr>
            <w:tcW w:w="868" w:type="dxa"/>
            <w:vAlign w:val="center"/>
          </w:tcPr>
          <w:p>
            <w:pPr>
              <w:spacing w:before="20" w:after="20"/>
              <w:jc w:val="center"/>
              <w:rPr>
                <w:b/>
                <w:noProof/>
                <w:sz w:val="20"/>
              </w:rPr>
            </w:pPr>
            <w:r>
              <w:rPr>
                <w:b/>
                <w:noProof/>
                <w:sz w:val="20"/>
              </w:rPr>
              <w:t>0</w:t>
            </w:r>
          </w:p>
        </w:tc>
        <w:tc>
          <w:tcPr>
            <w:tcW w:w="868" w:type="dxa"/>
            <w:vAlign w:val="center"/>
          </w:tcPr>
          <w:p>
            <w:pPr>
              <w:spacing w:before="20" w:after="20"/>
              <w:jc w:val="center"/>
              <w:rPr>
                <w:b/>
                <w:noProof/>
                <w:sz w:val="20"/>
              </w:rPr>
            </w:pPr>
            <w:r>
              <w:rPr>
                <w:b/>
                <w:noProof/>
                <w:sz w:val="20"/>
              </w:rPr>
              <w:t>0</w:t>
            </w:r>
          </w:p>
        </w:tc>
        <w:tc>
          <w:tcPr>
            <w:tcW w:w="868" w:type="dxa"/>
            <w:vAlign w:val="center"/>
          </w:tcPr>
          <w:p>
            <w:pPr>
              <w:spacing w:before="20" w:after="20"/>
              <w:jc w:val="center"/>
              <w:rPr>
                <w:b/>
                <w:noProof/>
                <w:sz w:val="20"/>
              </w:rPr>
            </w:pPr>
            <w:r>
              <w:rPr>
                <w:b/>
                <w:noProof/>
                <w:sz w:val="20"/>
              </w:rPr>
              <w:t>0</w:t>
            </w:r>
          </w:p>
        </w:tc>
        <w:tc>
          <w:tcPr>
            <w:tcW w:w="868" w:type="dxa"/>
            <w:vAlign w:val="center"/>
          </w:tcPr>
          <w:p>
            <w:pPr>
              <w:spacing w:before="20" w:after="20"/>
              <w:jc w:val="center"/>
              <w:rPr>
                <w:b/>
                <w:noProof/>
                <w:sz w:val="20"/>
              </w:rPr>
            </w:pPr>
            <w:r>
              <w:rPr>
                <w:b/>
                <w:noProof/>
                <w:sz w:val="20"/>
              </w:rPr>
              <w:t>0</w:t>
            </w:r>
          </w:p>
        </w:tc>
        <w:tc>
          <w:tcPr>
            <w:tcW w:w="868" w:type="dxa"/>
            <w:vAlign w:val="center"/>
          </w:tcPr>
          <w:p>
            <w:pPr>
              <w:spacing w:before="20" w:after="20"/>
              <w:jc w:val="right"/>
              <w:rPr>
                <w:b/>
                <w:noProof/>
                <w:sz w:val="20"/>
              </w:rPr>
            </w:pPr>
          </w:p>
        </w:tc>
        <w:tc>
          <w:tcPr>
            <w:tcW w:w="868" w:type="dxa"/>
            <w:vAlign w:val="center"/>
          </w:tcPr>
          <w:p>
            <w:pPr>
              <w:spacing w:before="20" w:after="20"/>
              <w:jc w:val="right"/>
              <w:rPr>
                <w:b/>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jc w:val="right"/>
              <w:rPr>
                <w:b/>
                <w:noProof/>
                <w:sz w:val="20"/>
              </w:rPr>
            </w:pPr>
          </w:p>
        </w:tc>
      </w:tr>
      <w:tr>
        <w:tc>
          <w:tcPr>
            <w:tcW w:w="3960" w:type="dxa"/>
            <w:vAlign w:val="center"/>
          </w:tcPr>
          <w:p>
            <w:pPr>
              <w:jc w:val="center"/>
              <w:rPr>
                <w:b/>
                <w:noProof/>
                <w:sz w:val="22"/>
              </w:rPr>
            </w:pPr>
            <w:r>
              <w:rPr>
                <w:b/>
                <w:noProof/>
                <w:sz w:val="22"/>
              </w:rPr>
              <w:t xml:space="preserve">TOTAL DG </w:t>
            </w:r>
            <w:r>
              <w:rPr>
                <w:noProof/>
                <w:sz w:val="22"/>
              </w:rPr>
              <w:t>TRADE</w:t>
            </w:r>
          </w:p>
        </w:tc>
        <w:tc>
          <w:tcPr>
            <w:tcW w:w="2094" w:type="dxa"/>
            <w:gridSpan w:val="2"/>
            <w:vAlign w:val="center"/>
          </w:tcPr>
          <w:p>
            <w:pPr>
              <w:rPr>
                <w:noProof/>
                <w:sz w:val="14"/>
              </w:rPr>
            </w:pPr>
            <w:r>
              <w:rPr>
                <w:noProof/>
                <w:sz w:val="18"/>
              </w:rPr>
              <w:t xml:space="preserve">Appropriations </w:t>
            </w:r>
          </w:p>
        </w:tc>
        <w:tc>
          <w:tcPr>
            <w:tcW w:w="868" w:type="dxa"/>
            <w:vAlign w:val="center"/>
          </w:tcPr>
          <w:p>
            <w:pPr>
              <w:spacing w:before="20" w:after="20"/>
              <w:jc w:val="center"/>
              <w:rPr>
                <w:noProof/>
                <w:sz w:val="20"/>
              </w:rPr>
            </w:pPr>
            <w:r>
              <w:rPr>
                <w:noProof/>
                <w:sz w:val="20"/>
              </w:rPr>
              <w:t>0.134</w:t>
            </w:r>
          </w:p>
        </w:tc>
        <w:tc>
          <w:tcPr>
            <w:tcW w:w="868" w:type="dxa"/>
          </w:tcPr>
          <w:p>
            <w:pPr>
              <w:jc w:val="center"/>
              <w:rPr>
                <w:noProof/>
              </w:rPr>
            </w:pPr>
            <w:r>
              <w:rPr>
                <w:noProof/>
                <w:sz w:val="20"/>
              </w:rPr>
              <w:t>0.134</w:t>
            </w:r>
          </w:p>
        </w:tc>
        <w:tc>
          <w:tcPr>
            <w:tcW w:w="868" w:type="dxa"/>
          </w:tcPr>
          <w:p>
            <w:pPr>
              <w:jc w:val="center"/>
              <w:rPr>
                <w:noProof/>
              </w:rPr>
            </w:pPr>
            <w:r>
              <w:rPr>
                <w:noProof/>
                <w:sz w:val="20"/>
              </w:rPr>
              <w:t>0.134</w:t>
            </w:r>
          </w:p>
        </w:tc>
        <w:tc>
          <w:tcPr>
            <w:tcW w:w="868" w:type="dxa"/>
          </w:tcPr>
          <w:p>
            <w:pPr>
              <w:jc w:val="center"/>
              <w:rPr>
                <w:noProof/>
              </w:rPr>
            </w:pPr>
            <w:r>
              <w:rPr>
                <w:noProof/>
                <w:sz w:val="20"/>
              </w:rPr>
              <w:t>0.134</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jc w:val="right"/>
              <w:rPr>
                <w:b/>
                <w:noProof/>
                <w:sz w:val="20"/>
              </w:rPr>
            </w:pPr>
            <w:r>
              <w:rPr>
                <w:b/>
                <w:noProof/>
                <w:sz w:val="20"/>
              </w:rPr>
              <w:t>0.536</w:t>
            </w:r>
          </w:p>
        </w:tc>
      </w:tr>
    </w:tbl>
    <w:p>
      <w:pPr>
        <w:rPr>
          <w:noProof/>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2094"/>
        <w:gridCol w:w="868"/>
        <w:gridCol w:w="868"/>
        <w:gridCol w:w="868"/>
        <w:gridCol w:w="868"/>
        <w:gridCol w:w="868"/>
        <w:gridCol w:w="868"/>
        <w:gridCol w:w="868"/>
        <w:gridCol w:w="1777"/>
      </w:tblGrid>
      <w:tr>
        <w:tc>
          <w:tcPr>
            <w:tcW w:w="3960" w:type="dxa"/>
            <w:shd w:val="thinDiagStripe" w:color="C0C0C0" w:fill="auto"/>
            <w:vAlign w:val="center"/>
          </w:tcPr>
          <w:p>
            <w:pPr>
              <w:jc w:val="center"/>
              <w:rPr>
                <w:b/>
                <w:noProof/>
                <w:sz w:val="22"/>
              </w:rPr>
            </w:pPr>
            <w:r>
              <w:rPr>
                <w:b/>
                <w:noProof/>
                <w:sz w:val="22"/>
              </w:rPr>
              <w:t>TOTAL appropriations</w:t>
            </w:r>
            <w:r>
              <w:rPr>
                <w:noProof/>
                <w:sz w:val="22"/>
              </w:rPr>
              <w:br/>
            </w:r>
            <w:r>
              <w:rPr>
                <w:b/>
                <w:noProof/>
                <w:sz w:val="22"/>
              </w:rPr>
              <w:t>under HEADING 5</w:t>
            </w:r>
            <w:r>
              <w:rPr>
                <w:noProof/>
                <w:sz w:val="22"/>
              </w:rPr>
              <w:br/>
              <w:t>of the multiannual financial framework</w:t>
            </w:r>
            <w:r>
              <w:rPr>
                <w:b/>
                <w:noProof/>
                <w:sz w:val="22"/>
              </w:rPr>
              <w:t xml:space="preserve"> </w:t>
            </w:r>
          </w:p>
        </w:tc>
        <w:tc>
          <w:tcPr>
            <w:tcW w:w="2094" w:type="dxa"/>
            <w:vAlign w:val="center"/>
          </w:tcPr>
          <w:p>
            <w:pPr>
              <w:spacing w:before="40" w:after="40"/>
              <w:rPr>
                <w:noProof/>
                <w:sz w:val="22"/>
              </w:rPr>
            </w:pPr>
            <w:r>
              <w:rPr>
                <w:noProof/>
                <w:sz w:val="18"/>
              </w:rPr>
              <w:t>(Total commitments = Total payments)</w:t>
            </w:r>
          </w:p>
        </w:tc>
        <w:tc>
          <w:tcPr>
            <w:tcW w:w="868" w:type="dxa"/>
            <w:vAlign w:val="center"/>
          </w:tcPr>
          <w:p>
            <w:pPr>
              <w:spacing w:before="20" w:after="20"/>
              <w:jc w:val="center"/>
              <w:rPr>
                <w:noProof/>
                <w:sz w:val="20"/>
              </w:rPr>
            </w:pPr>
            <w:r>
              <w:rPr>
                <w:noProof/>
                <w:sz w:val="20"/>
              </w:rPr>
              <w:t>0.134</w:t>
            </w:r>
          </w:p>
        </w:tc>
        <w:tc>
          <w:tcPr>
            <w:tcW w:w="868" w:type="dxa"/>
            <w:vAlign w:val="center"/>
          </w:tcPr>
          <w:p>
            <w:pPr>
              <w:spacing w:before="20" w:after="20"/>
              <w:jc w:val="center"/>
              <w:rPr>
                <w:noProof/>
                <w:sz w:val="20"/>
              </w:rPr>
            </w:pPr>
            <w:r>
              <w:rPr>
                <w:noProof/>
                <w:sz w:val="20"/>
              </w:rPr>
              <w:t>0.134</w:t>
            </w:r>
          </w:p>
        </w:tc>
        <w:tc>
          <w:tcPr>
            <w:tcW w:w="868" w:type="dxa"/>
            <w:vAlign w:val="center"/>
          </w:tcPr>
          <w:p>
            <w:pPr>
              <w:spacing w:before="20" w:after="20"/>
              <w:jc w:val="center"/>
              <w:rPr>
                <w:noProof/>
                <w:sz w:val="20"/>
              </w:rPr>
            </w:pPr>
            <w:r>
              <w:rPr>
                <w:noProof/>
                <w:sz w:val="20"/>
              </w:rPr>
              <w:t>0.134</w:t>
            </w:r>
          </w:p>
        </w:tc>
        <w:tc>
          <w:tcPr>
            <w:tcW w:w="868" w:type="dxa"/>
            <w:vAlign w:val="center"/>
          </w:tcPr>
          <w:p>
            <w:pPr>
              <w:spacing w:before="20" w:after="20"/>
              <w:jc w:val="center"/>
              <w:rPr>
                <w:noProof/>
                <w:sz w:val="20"/>
              </w:rPr>
            </w:pPr>
            <w:r>
              <w:rPr>
                <w:noProof/>
                <w:sz w:val="20"/>
              </w:rPr>
              <w:t>0.134</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jc w:val="right"/>
              <w:rPr>
                <w:b/>
                <w:noProof/>
                <w:sz w:val="20"/>
              </w:rPr>
            </w:pPr>
            <w:r>
              <w:rPr>
                <w:b/>
                <w:noProof/>
                <w:sz w:val="20"/>
              </w:rPr>
              <w:t>0.536</w:t>
            </w:r>
          </w:p>
        </w:tc>
      </w:tr>
    </w:tbl>
    <w:p>
      <w:pPr>
        <w:jc w:val="right"/>
        <w:rPr>
          <w:noProof/>
          <w:sz w:val="20"/>
        </w:rPr>
      </w:pPr>
      <w:r>
        <w:rPr>
          <w:noProof/>
          <w:sz w:val="20"/>
        </w:rPr>
        <w:t>EUR million (to three decimal places)</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560"/>
        <w:gridCol w:w="534"/>
        <w:gridCol w:w="868"/>
        <w:gridCol w:w="868"/>
        <w:gridCol w:w="868"/>
        <w:gridCol w:w="868"/>
        <w:gridCol w:w="868"/>
        <w:gridCol w:w="868"/>
        <w:gridCol w:w="868"/>
        <w:gridCol w:w="1777"/>
      </w:tblGrid>
      <w:tr>
        <w:tc>
          <w:tcPr>
            <w:tcW w:w="3960" w:type="dxa"/>
            <w:tcBorders>
              <w:top w:val="nil"/>
              <w:left w:val="nil"/>
              <w:right w:val="nil"/>
            </w:tcBorders>
            <w:vAlign w:val="center"/>
          </w:tcPr>
          <w:p>
            <w:pPr>
              <w:jc w:val="center"/>
              <w:rPr>
                <w:noProof/>
                <w:sz w:val="22"/>
              </w:rPr>
            </w:pPr>
          </w:p>
        </w:tc>
        <w:tc>
          <w:tcPr>
            <w:tcW w:w="1560" w:type="dxa"/>
            <w:tcBorders>
              <w:top w:val="nil"/>
              <w:left w:val="nil"/>
              <w:right w:val="nil"/>
            </w:tcBorders>
          </w:tcPr>
          <w:p>
            <w:pPr>
              <w:rPr>
                <w:noProof/>
                <w:sz w:val="20"/>
              </w:rPr>
            </w:pPr>
          </w:p>
        </w:tc>
        <w:tc>
          <w:tcPr>
            <w:tcW w:w="534" w:type="dxa"/>
            <w:tcBorders>
              <w:top w:val="nil"/>
              <w:left w:val="nil"/>
            </w:tcBorders>
          </w:tcPr>
          <w:p>
            <w:pPr>
              <w:jc w:val="center"/>
              <w:rPr>
                <w:noProof/>
                <w:sz w:val="20"/>
              </w:rPr>
            </w:pPr>
          </w:p>
        </w:tc>
        <w:tc>
          <w:tcPr>
            <w:tcW w:w="868" w:type="dxa"/>
            <w:vAlign w:val="center"/>
          </w:tcPr>
          <w:p>
            <w:pPr>
              <w:jc w:val="center"/>
              <w:rPr>
                <w:noProof/>
                <w:sz w:val="20"/>
              </w:rPr>
            </w:pPr>
            <w:r>
              <w:rPr>
                <w:noProof/>
                <w:sz w:val="20"/>
              </w:rPr>
              <w:t>Year</w:t>
            </w:r>
            <w:r>
              <w:rPr>
                <w:noProof/>
                <w:sz w:val="22"/>
              </w:rPr>
              <w:br/>
            </w:r>
            <w:r>
              <w:rPr>
                <w:b/>
                <w:noProof/>
                <w:sz w:val="20"/>
              </w:rPr>
              <w:t>N</w:t>
            </w:r>
            <w:r>
              <w:rPr>
                <w:rStyle w:val="FootnoteReference"/>
                <w:b/>
                <w:noProof/>
                <w:sz w:val="20"/>
              </w:rPr>
              <w:footnoteReference w:id="11"/>
            </w:r>
          </w:p>
        </w:tc>
        <w:tc>
          <w:tcPr>
            <w:tcW w:w="868" w:type="dxa"/>
            <w:vAlign w:val="center"/>
          </w:tcPr>
          <w:p>
            <w:pPr>
              <w:jc w:val="center"/>
              <w:rPr>
                <w:noProof/>
                <w:sz w:val="20"/>
              </w:rPr>
            </w:pPr>
            <w:r>
              <w:rPr>
                <w:noProof/>
                <w:sz w:val="20"/>
              </w:rPr>
              <w:t>Year</w:t>
            </w:r>
            <w:r>
              <w:rPr>
                <w:noProof/>
                <w:sz w:val="22"/>
              </w:rPr>
              <w:br/>
            </w:r>
            <w:r>
              <w:rPr>
                <w:b/>
                <w:noProof/>
                <w:sz w:val="20"/>
              </w:rPr>
              <w:t>N+1</w:t>
            </w:r>
          </w:p>
        </w:tc>
        <w:tc>
          <w:tcPr>
            <w:tcW w:w="868" w:type="dxa"/>
            <w:vAlign w:val="center"/>
          </w:tcPr>
          <w:p>
            <w:pPr>
              <w:jc w:val="center"/>
              <w:rPr>
                <w:noProof/>
                <w:sz w:val="20"/>
              </w:rPr>
            </w:pPr>
            <w:r>
              <w:rPr>
                <w:noProof/>
                <w:sz w:val="20"/>
              </w:rPr>
              <w:t>Year</w:t>
            </w:r>
            <w:r>
              <w:rPr>
                <w:noProof/>
                <w:sz w:val="22"/>
              </w:rPr>
              <w:br/>
            </w:r>
            <w:r>
              <w:rPr>
                <w:b/>
                <w:noProof/>
                <w:sz w:val="20"/>
              </w:rPr>
              <w:t>N+2</w:t>
            </w:r>
          </w:p>
        </w:tc>
        <w:tc>
          <w:tcPr>
            <w:tcW w:w="868" w:type="dxa"/>
            <w:vAlign w:val="center"/>
          </w:tcPr>
          <w:p>
            <w:pPr>
              <w:jc w:val="center"/>
              <w:rPr>
                <w:noProof/>
                <w:sz w:val="20"/>
              </w:rPr>
            </w:pPr>
            <w:r>
              <w:rPr>
                <w:noProof/>
                <w:sz w:val="20"/>
              </w:rPr>
              <w:t>Year</w:t>
            </w:r>
            <w:r>
              <w:rPr>
                <w:noProof/>
                <w:sz w:val="22"/>
              </w:rPr>
              <w:br/>
            </w:r>
            <w:r>
              <w:rPr>
                <w:b/>
                <w:noProof/>
                <w:sz w:val="20"/>
              </w:rPr>
              <w:t>N+3</w:t>
            </w:r>
          </w:p>
        </w:tc>
        <w:tc>
          <w:tcPr>
            <w:tcW w:w="2604" w:type="dxa"/>
            <w:gridSpan w:val="3"/>
            <w:vAlign w:val="center"/>
          </w:tcPr>
          <w:p>
            <w:pPr>
              <w:jc w:val="center"/>
              <w:rPr>
                <w:b/>
                <w:noProof/>
                <w:sz w:val="18"/>
              </w:rPr>
            </w:pPr>
            <w:r>
              <w:rPr>
                <w:noProof/>
                <w:sz w:val="18"/>
              </w:rPr>
              <w:t>Enter as many years as necessary to show the duration of the impact (see point 1.6)</w:t>
            </w:r>
          </w:p>
        </w:tc>
        <w:tc>
          <w:tcPr>
            <w:tcW w:w="1777" w:type="dxa"/>
            <w:vAlign w:val="center"/>
          </w:tcPr>
          <w:p>
            <w:pPr>
              <w:jc w:val="center"/>
              <w:rPr>
                <w:b/>
                <w:noProof/>
                <w:sz w:val="20"/>
              </w:rPr>
            </w:pPr>
            <w:r>
              <w:rPr>
                <w:b/>
                <w:noProof/>
                <w:sz w:val="20"/>
              </w:rPr>
              <w:t>TOTAL</w:t>
            </w:r>
          </w:p>
        </w:tc>
      </w:tr>
      <w:tr>
        <w:tc>
          <w:tcPr>
            <w:tcW w:w="3960" w:type="dxa"/>
            <w:vMerge w:val="restart"/>
            <w:shd w:val="clear" w:color="auto" w:fill="C0C0C0"/>
            <w:vAlign w:val="center"/>
          </w:tcPr>
          <w:p>
            <w:pPr>
              <w:jc w:val="center"/>
              <w:rPr>
                <w:b/>
                <w:noProof/>
                <w:sz w:val="22"/>
              </w:rPr>
            </w:pPr>
            <w:r>
              <w:rPr>
                <w:b/>
                <w:noProof/>
                <w:sz w:val="22"/>
              </w:rPr>
              <w:t xml:space="preserve">TOTAL appropriations </w:t>
            </w:r>
            <w:r>
              <w:rPr>
                <w:noProof/>
                <w:sz w:val="22"/>
              </w:rPr>
              <w:br/>
            </w:r>
            <w:r>
              <w:rPr>
                <w:b/>
                <w:noProof/>
                <w:sz w:val="22"/>
              </w:rPr>
              <w:t>under HEADINGS 1 to 5</w:t>
            </w:r>
            <w:r>
              <w:rPr>
                <w:noProof/>
                <w:sz w:val="22"/>
              </w:rPr>
              <w:br/>
              <w:t>of the multiannual financial framework</w:t>
            </w:r>
            <w:r>
              <w:rPr>
                <w:b/>
                <w:noProof/>
                <w:sz w:val="22"/>
              </w:rPr>
              <w:t xml:space="preserve"> </w:t>
            </w:r>
          </w:p>
        </w:tc>
        <w:tc>
          <w:tcPr>
            <w:tcW w:w="2094" w:type="dxa"/>
            <w:gridSpan w:val="2"/>
            <w:vAlign w:val="center"/>
          </w:tcPr>
          <w:p>
            <w:pPr>
              <w:rPr>
                <w:noProof/>
                <w:sz w:val="14"/>
              </w:rPr>
            </w:pPr>
            <w:r>
              <w:rPr>
                <w:noProof/>
                <w:sz w:val="18"/>
              </w:rPr>
              <w:t>Commitments</w:t>
            </w:r>
          </w:p>
        </w:tc>
        <w:tc>
          <w:tcPr>
            <w:tcW w:w="868" w:type="dxa"/>
            <w:vAlign w:val="center"/>
          </w:tcPr>
          <w:p>
            <w:pPr>
              <w:spacing w:before="60" w:after="60"/>
              <w:jc w:val="center"/>
              <w:rPr>
                <w:noProof/>
                <w:sz w:val="20"/>
              </w:rPr>
            </w:pPr>
            <w:r>
              <w:rPr>
                <w:noProof/>
                <w:sz w:val="20"/>
              </w:rPr>
              <w:t>0.634</w:t>
            </w:r>
          </w:p>
        </w:tc>
        <w:tc>
          <w:tcPr>
            <w:tcW w:w="868" w:type="dxa"/>
            <w:vAlign w:val="center"/>
          </w:tcPr>
          <w:p>
            <w:pPr>
              <w:spacing w:before="60" w:after="60"/>
              <w:jc w:val="center"/>
              <w:rPr>
                <w:noProof/>
                <w:sz w:val="20"/>
              </w:rPr>
            </w:pPr>
            <w:r>
              <w:rPr>
                <w:noProof/>
                <w:sz w:val="20"/>
              </w:rPr>
              <w:t>0.634</w:t>
            </w:r>
          </w:p>
        </w:tc>
        <w:tc>
          <w:tcPr>
            <w:tcW w:w="868" w:type="dxa"/>
            <w:vAlign w:val="center"/>
          </w:tcPr>
          <w:p>
            <w:pPr>
              <w:spacing w:before="60" w:after="60"/>
              <w:jc w:val="center"/>
              <w:rPr>
                <w:noProof/>
                <w:sz w:val="20"/>
              </w:rPr>
            </w:pPr>
            <w:r>
              <w:rPr>
                <w:noProof/>
                <w:sz w:val="20"/>
              </w:rPr>
              <w:t>0.634</w:t>
            </w:r>
          </w:p>
        </w:tc>
        <w:tc>
          <w:tcPr>
            <w:tcW w:w="868" w:type="dxa"/>
            <w:vAlign w:val="center"/>
          </w:tcPr>
          <w:p>
            <w:pPr>
              <w:spacing w:before="60" w:after="60"/>
              <w:jc w:val="center"/>
              <w:rPr>
                <w:noProof/>
                <w:sz w:val="20"/>
              </w:rPr>
            </w:pPr>
            <w:r>
              <w:rPr>
                <w:noProof/>
                <w:sz w:val="20"/>
              </w:rPr>
              <w:t>0.634</w:t>
            </w:r>
          </w:p>
        </w:tc>
        <w:tc>
          <w:tcPr>
            <w:tcW w:w="868" w:type="dxa"/>
            <w:vAlign w:val="center"/>
          </w:tcPr>
          <w:p>
            <w:pPr>
              <w:spacing w:before="60" w:after="60"/>
              <w:jc w:val="right"/>
              <w:rPr>
                <w:noProof/>
                <w:sz w:val="20"/>
              </w:rPr>
            </w:pPr>
          </w:p>
        </w:tc>
        <w:tc>
          <w:tcPr>
            <w:tcW w:w="868" w:type="dxa"/>
            <w:vAlign w:val="center"/>
          </w:tcPr>
          <w:p>
            <w:pPr>
              <w:spacing w:before="60" w:after="60"/>
              <w:jc w:val="right"/>
              <w:rPr>
                <w:noProof/>
                <w:sz w:val="20"/>
              </w:rPr>
            </w:pPr>
          </w:p>
        </w:tc>
        <w:tc>
          <w:tcPr>
            <w:tcW w:w="868" w:type="dxa"/>
            <w:vAlign w:val="center"/>
          </w:tcPr>
          <w:p>
            <w:pPr>
              <w:spacing w:before="60" w:after="60"/>
              <w:jc w:val="right"/>
              <w:rPr>
                <w:b/>
                <w:noProof/>
                <w:sz w:val="20"/>
              </w:rPr>
            </w:pPr>
          </w:p>
        </w:tc>
        <w:tc>
          <w:tcPr>
            <w:tcW w:w="1777" w:type="dxa"/>
            <w:vAlign w:val="center"/>
          </w:tcPr>
          <w:p>
            <w:pPr>
              <w:spacing w:before="60" w:after="60"/>
              <w:jc w:val="right"/>
              <w:rPr>
                <w:b/>
                <w:noProof/>
                <w:sz w:val="20"/>
              </w:rPr>
            </w:pPr>
            <w:r>
              <w:rPr>
                <w:b/>
                <w:noProof/>
                <w:sz w:val="20"/>
              </w:rPr>
              <w:t>2.536</w:t>
            </w:r>
          </w:p>
        </w:tc>
      </w:tr>
      <w:tr>
        <w:tc>
          <w:tcPr>
            <w:tcW w:w="3960" w:type="dxa"/>
            <w:vMerge/>
            <w:shd w:val="clear" w:color="auto" w:fill="C0C0C0"/>
          </w:tcPr>
          <w:p>
            <w:pPr>
              <w:rPr>
                <w:noProof/>
                <w:sz w:val="20"/>
              </w:rPr>
            </w:pPr>
          </w:p>
        </w:tc>
        <w:tc>
          <w:tcPr>
            <w:tcW w:w="2094" w:type="dxa"/>
            <w:gridSpan w:val="2"/>
            <w:vAlign w:val="center"/>
          </w:tcPr>
          <w:p>
            <w:pPr>
              <w:rPr>
                <w:noProof/>
                <w:sz w:val="14"/>
              </w:rPr>
            </w:pPr>
            <w:r>
              <w:rPr>
                <w:noProof/>
                <w:sz w:val="18"/>
              </w:rPr>
              <w:t>Payments</w:t>
            </w:r>
          </w:p>
        </w:tc>
        <w:tc>
          <w:tcPr>
            <w:tcW w:w="868" w:type="dxa"/>
            <w:vAlign w:val="center"/>
          </w:tcPr>
          <w:p>
            <w:pPr>
              <w:spacing w:before="60" w:after="60"/>
              <w:jc w:val="center"/>
              <w:rPr>
                <w:noProof/>
                <w:sz w:val="20"/>
              </w:rPr>
            </w:pPr>
            <w:r>
              <w:rPr>
                <w:noProof/>
                <w:sz w:val="20"/>
              </w:rPr>
              <w:t>0.634</w:t>
            </w:r>
          </w:p>
        </w:tc>
        <w:tc>
          <w:tcPr>
            <w:tcW w:w="868" w:type="dxa"/>
            <w:vAlign w:val="center"/>
          </w:tcPr>
          <w:p>
            <w:pPr>
              <w:spacing w:before="60" w:after="60"/>
              <w:jc w:val="center"/>
              <w:rPr>
                <w:noProof/>
                <w:sz w:val="20"/>
              </w:rPr>
            </w:pPr>
            <w:r>
              <w:rPr>
                <w:noProof/>
                <w:sz w:val="20"/>
              </w:rPr>
              <w:t>0.634</w:t>
            </w:r>
          </w:p>
        </w:tc>
        <w:tc>
          <w:tcPr>
            <w:tcW w:w="868" w:type="dxa"/>
            <w:vAlign w:val="center"/>
          </w:tcPr>
          <w:p>
            <w:pPr>
              <w:spacing w:before="60" w:after="60"/>
              <w:jc w:val="center"/>
              <w:rPr>
                <w:noProof/>
                <w:sz w:val="20"/>
              </w:rPr>
            </w:pPr>
            <w:r>
              <w:rPr>
                <w:noProof/>
                <w:sz w:val="20"/>
              </w:rPr>
              <w:t>0.634</w:t>
            </w:r>
          </w:p>
        </w:tc>
        <w:tc>
          <w:tcPr>
            <w:tcW w:w="868" w:type="dxa"/>
            <w:vAlign w:val="center"/>
          </w:tcPr>
          <w:p>
            <w:pPr>
              <w:spacing w:before="60" w:after="60"/>
              <w:jc w:val="center"/>
              <w:rPr>
                <w:noProof/>
                <w:sz w:val="20"/>
              </w:rPr>
            </w:pPr>
            <w:r>
              <w:rPr>
                <w:noProof/>
                <w:sz w:val="20"/>
              </w:rPr>
              <w:t>0.634</w:t>
            </w:r>
          </w:p>
        </w:tc>
        <w:tc>
          <w:tcPr>
            <w:tcW w:w="868" w:type="dxa"/>
            <w:vAlign w:val="center"/>
          </w:tcPr>
          <w:p>
            <w:pPr>
              <w:spacing w:before="60" w:after="60"/>
              <w:jc w:val="right"/>
              <w:rPr>
                <w:noProof/>
                <w:sz w:val="20"/>
              </w:rPr>
            </w:pPr>
          </w:p>
        </w:tc>
        <w:tc>
          <w:tcPr>
            <w:tcW w:w="868" w:type="dxa"/>
            <w:vAlign w:val="center"/>
          </w:tcPr>
          <w:p>
            <w:pPr>
              <w:spacing w:before="60" w:after="60"/>
              <w:jc w:val="right"/>
              <w:rPr>
                <w:noProof/>
                <w:sz w:val="20"/>
              </w:rPr>
            </w:pPr>
          </w:p>
        </w:tc>
        <w:tc>
          <w:tcPr>
            <w:tcW w:w="868" w:type="dxa"/>
            <w:vAlign w:val="center"/>
          </w:tcPr>
          <w:p>
            <w:pPr>
              <w:spacing w:before="60" w:after="60"/>
              <w:jc w:val="right"/>
              <w:rPr>
                <w:b/>
                <w:noProof/>
                <w:sz w:val="20"/>
              </w:rPr>
            </w:pPr>
          </w:p>
        </w:tc>
        <w:tc>
          <w:tcPr>
            <w:tcW w:w="1777" w:type="dxa"/>
            <w:vAlign w:val="center"/>
          </w:tcPr>
          <w:p>
            <w:pPr>
              <w:spacing w:before="60" w:after="60"/>
              <w:jc w:val="right"/>
              <w:rPr>
                <w:b/>
                <w:noProof/>
                <w:sz w:val="20"/>
              </w:rPr>
            </w:pPr>
            <w:r>
              <w:rPr>
                <w:b/>
                <w:noProof/>
                <w:sz w:val="20"/>
              </w:rPr>
              <w:t>2.536</w:t>
            </w:r>
          </w:p>
        </w:tc>
      </w:tr>
    </w:tbl>
    <w:p>
      <w:pPr>
        <w:rPr>
          <w:noProof/>
        </w:rPr>
        <w:sectPr>
          <w:headerReference w:type="default" r:id="rId16"/>
          <w:footerReference w:type="default" r:id="rId17"/>
          <w:headerReference w:type="first" r:id="rId18"/>
          <w:footerReference w:type="first" r:id="rId19"/>
          <w:pgSz w:w="16840" w:h="11907" w:orient="landscape" w:code="9"/>
          <w:pgMar w:top="1134" w:right="1418" w:bottom="1134" w:left="1418" w:header="709" w:footer="709" w:gutter="0"/>
          <w:cols w:space="708"/>
          <w:docGrid w:linePitch="360"/>
        </w:sectPr>
      </w:pPr>
    </w:p>
    <w:p>
      <w:pPr>
        <w:pStyle w:val="ManualHeading3"/>
        <w:rPr>
          <w:bCs/>
          <w:noProof/>
          <w:szCs w:val="24"/>
        </w:rPr>
      </w:pPr>
      <w:r>
        <w:rPr>
          <w:noProof/>
        </w:rPr>
        <w:t>3.2.2.</w:t>
      </w:r>
      <w:r>
        <w:rPr>
          <w:noProof/>
        </w:rPr>
        <w:tab/>
        <w:t xml:space="preserve">Estimated impact on operational appropriations </w:t>
      </w:r>
    </w:p>
    <w:p>
      <w:pPr>
        <w:pStyle w:val="ListDash1"/>
        <w:rPr>
          <w:noProof/>
        </w:rPr>
      </w:pPr>
      <w:r>
        <w:rPr>
          <w:noProof/>
        </w:rPr>
        <w:sym w:font="Wingdings" w:char="F0A8"/>
      </w:r>
      <w:r>
        <w:rPr>
          <w:noProof/>
        </w:rPr>
        <w:tab/>
        <w:t xml:space="preserve">The proposal/initiative does not require the use of operational appropriations </w:t>
      </w:r>
    </w:p>
    <w:p>
      <w:pPr>
        <w:pStyle w:val="ListDash1"/>
        <w:rPr>
          <w:noProof/>
        </w:rPr>
      </w:pPr>
      <w:r>
        <w:rPr>
          <w:noProof/>
        </w:rPr>
        <w:sym w:font="Wingdings" w:char="F0FE"/>
      </w:r>
      <w:r>
        <w:rPr>
          <w:noProof/>
        </w:rPr>
        <w:tab/>
        <w:t>The proposal/initiative requires the use of operational appropriations, as explained below:</w:t>
      </w:r>
    </w:p>
    <w:p>
      <w:pPr>
        <w:jc w:val="right"/>
        <w:rPr>
          <w:noProof/>
          <w:sz w:val="20"/>
        </w:rPr>
      </w:pPr>
      <w:r>
        <w:rPr>
          <w:noProof/>
          <w:sz w:val="20"/>
        </w:rPr>
        <w:t>Commitment appropriations in EUR million (to three decimal places)</w:t>
      </w:r>
    </w:p>
    <w:tbl>
      <w:tblPr>
        <w:tblW w:w="13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8"/>
        <w:gridCol w:w="1065"/>
        <w:gridCol w:w="701"/>
        <w:gridCol w:w="504"/>
        <w:gridCol w:w="720"/>
        <w:gridCol w:w="540"/>
        <w:gridCol w:w="720"/>
        <w:gridCol w:w="720"/>
        <w:gridCol w:w="720"/>
        <w:gridCol w:w="900"/>
        <w:gridCol w:w="51"/>
        <w:gridCol w:w="669"/>
        <w:gridCol w:w="540"/>
        <w:gridCol w:w="648"/>
        <w:gridCol w:w="432"/>
        <w:gridCol w:w="720"/>
        <w:gridCol w:w="540"/>
        <w:gridCol w:w="720"/>
        <w:gridCol w:w="720"/>
        <w:gridCol w:w="900"/>
      </w:tblGrid>
      <w:tr>
        <w:trPr>
          <w:jc w:val="center"/>
        </w:trPr>
        <w:tc>
          <w:tcPr>
            <w:tcW w:w="1078" w:type="dxa"/>
            <w:vMerge w:val="restart"/>
            <w:vAlign w:val="center"/>
          </w:tcPr>
          <w:p>
            <w:pPr>
              <w:ind w:right="-29"/>
              <w:jc w:val="center"/>
              <w:rPr>
                <w:b/>
                <w:noProof/>
                <w:sz w:val="18"/>
                <w:szCs w:val="18"/>
              </w:rPr>
            </w:pPr>
            <w:r>
              <w:rPr>
                <w:b/>
                <w:noProof/>
                <w:sz w:val="18"/>
              </w:rPr>
              <w:t xml:space="preserve">Indicate objectives and outputs </w:t>
            </w:r>
          </w:p>
          <w:p>
            <w:pPr>
              <w:ind w:right="-29"/>
              <w:jc w:val="center"/>
              <w:rPr>
                <w:b/>
                <w:noProof/>
                <w:sz w:val="18"/>
                <w:szCs w:val="18"/>
              </w:rPr>
            </w:pPr>
          </w:p>
          <w:p>
            <w:pPr>
              <w:ind w:right="-29"/>
              <w:jc w:val="center"/>
              <w:rPr>
                <w:noProof/>
                <w:sz w:val="18"/>
                <w:szCs w:val="18"/>
              </w:rPr>
            </w:pPr>
            <w:r>
              <w:rPr>
                <w:noProof/>
                <w:sz w:val="18"/>
              </w:rPr>
              <w:sym w:font="Wingdings" w:char="F0F2"/>
            </w:r>
          </w:p>
        </w:tc>
        <w:tc>
          <w:tcPr>
            <w:tcW w:w="1065" w:type="dxa"/>
            <w:vAlign w:val="center"/>
          </w:tcPr>
          <w:p>
            <w:pPr>
              <w:ind w:right="-29"/>
              <w:jc w:val="center"/>
              <w:rPr>
                <w:noProof/>
                <w:sz w:val="18"/>
                <w:szCs w:val="18"/>
              </w:rPr>
            </w:pPr>
          </w:p>
        </w:tc>
        <w:tc>
          <w:tcPr>
            <w:tcW w:w="701" w:type="dxa"/>
            <w:vAlign w:val="center"/>
          </w:tcPr>
          <w:p>
            <w:pPr>
              <w:ind w:right="-29"/>
              <w:jc w:val="center"/>
              <w:rPr>
                <w:noProof/>
                <w:sz w:val="18"/>
                <w:szCs w:val="18"/>
              </w:rPr>
            </w:pPr>
          </w:p>
        </w:tc>
        <w:tc>
          <w:tcPr>
            <w:tcW w:w="1224" w:type="dxa"/>
            <w:gridSpan w:val="2"/>
            <w:tcBorders>
              <w:left w:val="nil"/>
            </w:tcBorders>
            <w:vAlign w:val="center"/>
          </w:tcPr>
          <w:p>
            <w:pPr>
              <w:ind w:right="-29"/>
              <w:jc w:val="center"/>
              <w:rPr>
                <w:noProof/>
                <w:sz w:val="18"/>
                <w:szCs w:val="18"/>
              </w:rPr>
            </w:pPr>
            <w:r>
              <w:rPr>
                <w:noProof/>
                <w:sz w:val="18"/>
              </w:rPr>
              <w:t>Year</w:t>
            </w:r>
            <w:r>
              <w:rPr>
                <w:noProof/>
                <w:sz w:val="22"/>
              </w:rPr>
              <w:br/>
            </w:r>
            <w:r>
              <w:rPr>
                <w:b/>
                <w:noProof/>
                <w:sz w:val="18"/>
              </w:rPr>
              <w:t>2017</w:t>
            </w:r>
          </w:p>
        </w:tc>
        <w:tc>
          <w:tcPr>
            <w:tcW w:w="1260" w:type="dxa"/>
            <w:gridSpan w:val="2"/>
            <w:vAlign w:val="center"/>
          </w:tcPr>
          <w:p>
            <w:pPr>
              <w:ind w:right="-29"/>
              <w:jc w:val="center"/>
              <w:rPr>
                <w:noProof/>
                <w:sz w:val="18"/>
                <w:szCs w:val="18"/>
              </w:rPr>
            </w:pPr>
            <w:r>
              <w:rPr>
                <w:noProof/>
                <w:sz w:val="18"/>
              </w:rPr>
              <w:t>Year</w:t>
            </w:r>
            <w:r>
              <w:rPr>
                <w:noProof/>
                <w:sz w:val="22"/>
              </w:rPr>
              <w:br/>
            </w:r>
            <w:r>
              <w:rPr>
                <w:b/>
                <w:noProof/>
                <w:sz w:val="18"/>
              </w:rPr>
              <w:t>2018</w:t>
            </w:r>
          </w:p>
        </w:tc>
        <w:tc>
          <w:tcPr>
            <w:tcW w:w="1440" w:type="dxa"/>
            <w:gridSpan w:val="2"/>
            <w:vAlign w:val="center"/>
          </w:tcPr>
          <w:p>
            <w:pPr>
              <w:ind w:right="-29"/>
              <w:jc w:val="center"/>
              <w:rPr>
                <w:noProof/>
                <w:sz w:val="18"/>
                <w:szCs w:val="18"/>
              </w:rPr>
            </w:pPr>
            <w:r>
              <w:rPr>
                <w:noProof/>
                <w:sz w:val="18"/>
              </w:rPr>
              <w:t>Year</w:t>
            </w:r>
            <w:r>
              <w:rPr>
                <w:noProof/>
                <w:sz w:val="22"/>
              </w:rPr>
              <w:br/>
            </w:r>
            <w:r>
              <w:rPr>
                <w:b/>
                <w:noProof/>
                <w:sz w:val="18"/>
              </w:rPr>
              <w:t>2019</w:t>
            </w:r>
          </w:p>
        </w:tc>
        <w:tc>
          <w:tcPr>
            <w:tcW w:w="1620" w:type="dxa"/>
            <w:gridSpan w:val="3"/>
            <w:vAlign w:val="center"/>
          </w:tcPr>
          <w:p>
            <w:pPr>
              <w:ind w:right="-29"/>
              <w:jc w:val="center"/>
              <w:rPr>
                <w:noProof/>
                <w:sz w:val="18"/>
                <w:szCs w:val="18"/>
              </w:rPr>
            </w:pPr>
            <w:r>
              <w:rPr>
                <w:noProof/>
                <w:sz w:val="18"/>
              </w:rPr>
              <w:t>Year</w:t>
            </w:r>
            <w:r>
              <w:rPr>
                <w:noProof/>
                <w:sz w:val="22"/>
              </w:rPr>
              <w:br/>
            </w:r>
            <w:r>
              <w:rPr>
                <w:b/>
                <w:noProof/>
                <w:sz w:val="18"/>
              </w:rPr>
              <w:t>2020</w:t>
            </w:r>
          </w:p>
        </w:tc>
        <w:tc>
          <w:tcPr>
            <w:tcW w:w="3600" w:type="dxa"/>
            <w:gridSpan w:val="6"/>
            <w:vAlign w:val="center"/>
          </w:tcPr>
          <w:p>
            <w:pPr>
              <w:jc w:val="center"/>
              <w:rPr>
                <w:noProof/>
                <w:sz w:val="18"/>
                <w:szCs w:val="18"/>
              </w:rPr>
            </w:pPr>
            <w:r>
              <w:rPr>
                <w:noProof/>
                <w:sz w:val="18"/>
              </w:rPr>
              <w:t>Enter as many years as necessary to show the duration of the impact (see point 1.6)</w:t>
            </w:r>
          </w:p>
        </w:tc>
        <w:tc>
          <w:tcPr>
            <w:tcW w:w="1620" w:type="dxa"/>
            <w:gridSpan w:val="2"/>
            <w:tcBorders>
              <w:left w:val="nil"/>
              <w:bottom w:val="nil"/>
            </w:tcBorders>
            <w:vAlign w:val="center"/>
          </w:tcPr>
          <w:p>
            <w:pPr>
              <w:ind w:right="-29"/>
              <w:jc w:val="center"/>
              <w:rPr>
                <w:noProof/>
                <w:sz w:val="18"/>
                <w:szCs w:val="18"/>
              </w:rPr>
            </w:pPr>
            <w:r>
              <w:rPr>
                <w:b/>
                <w:noProof/>
                <w:sz w:val="18"/>
              </w:rPr>
              <w:t>TOTAL</w:t>
            </w:r>
          </w:p>
        </w:tc>
      </w:tr>
      <w:tr>
        <w:trPr>
          <w:jc w:val="center"/>
        </w:trPr>
        <w:tc>
          <w:tcPr>
            <w:tcW w:w="1078" w:type="dxa"/>
            <w:vMerge/>
            <w:vAlign w:val="center"/>
          </w:tcPr>
          <w:p>
            <w:pPr>
              <w:ind w:right="-29"/>
              <w:jc w:val="center"/>
              <w:rPr>
                <w:noProof/>
                <w:sz w:val="18"/>
                <w:szCs w:val="18"/>
              </w:rPr>
            </w:pPr>
          </w:p>
        </w:tc>
        <w:tc>
          <w:tcPr>
            <w:tcW w:w="12530" w:type="dxa"/>
            <w:gridSpan w:val="19"/>
            <w:vAlign w:val="center"/>
          </w:tcPr>
          <w:p>
            <w:pPr>
              <w:spacing w:before="60" w:after="60"/>
              <w:ind w:right="-29"/>
              <w:jc w:val="center"/>
              <w:rPr>
                <w:noProof/>
                <w:sz w:val="18"/>
                <w:szCs w:val="18"/>
              </w:rPr>
            </w:pPr>
            <w:r>
              <w:rPr>
                <w:b/>
                <w:noProof/>
                <w:sz w:val="18"/>
              </w:rPr>
              <w:t>OUTPUTS</w:t>
            </w:r>
          </w:p>
        </w:tc>
      </w:tr>
      <w:tr>
        <w:trPr>
          <w:cantSplit/>
          <w:trHeight w:val="1134"/>
          <w:jc w:val="center"/>
        </w:trPr>
        <w:tc>
          <w:tcPr>
            <w:tcW w:w="1078" w:type="dxa"/>
            <w:vMerge/>
            <w:vAlign w:val="center"/>
          </w:tcPr>
          <w:p>
            <w:pPr>
              <w:rPr>
                <w:noProof/>
                <w:sz w:val="18"/>
                <w:szCs w:val="18"/>
              </w:rPr>
            </w:pPr>
          </w:p>
        </w:tc>
        <w:tc>
          <w:tcPr>
            <w:tcW w:w="1065" w:type="dxa"/>
            <w:vAlign w:val="center"/>
          </w:tcPr>
          <w:p>
            <w:pPr>
              <w:jc w:val="center"/>
              <w:rPr>
                <w:noProof/>
                <w:sz w:val="18"/>
                <w:szCs w:val="18"/>
              </w:rPr>
            </w:pPr>
            <w:r>
              <w:rPr>
                <w:noProof/>
                <w:sz w:val="18"/>
              </w:rPr>
              <w:t>Type</w:t>
            </w:r>
            <w:r>
              <w:rPr>
                <w:rStyle w:val="FootnoteReference"/>
                <w:noProof/>
                <w:sz w:val="18"/>
              </w:rPr>
              <w:footnoteReference w:id="12"/>
            </w:r>
          </w:p>
          <w:p>
            <w:pPr>
              <w:spacing w:before="0" w:after="0"/>
              <w:jc w:val="center"/>
              <w:rPr>
                <w:noProof/>
                <w:sz w:val="18"/>
                <w:szCs w:val="18"/>
              </w:rPr>
            </w:pPr>
          </w:p>
        </w:tc>
        <w:tc>
          <w:tcPr>
            <w:tcW w:w="701" w:type="dxa"/>
            <w:vAlign w:val="center"/>
          </w:tcPr>
          <w:p>
            <w:pPr>
              <w:jc w:val="center"/>
              <w:rPr>
                <w:noProof/>
                <w:sz w:val="18"/>
                <w:szCs w:val="18"/>
              </w:rPr>
            </w:pPr>
            <w:r>
              <w:rPr>
                <w:noProof/>
                <w:sz w:val="18"/>
              </w:rPr>
              <w:t>Average cost</w:t>
            </w:r>
          </w:p>
        </w:tc>
        <w:tc>
          <w:tcPr>
            <w:tcW w:w="504" w:type="dxa"/>
            <w:tcBorders>
              <w:left w:val="nil"/>
              <w:right w:val="dashSmallGap" w:sz="4" w:space="0" w:color="auto"/>
            </w:tcBorders>
            <w:shd w:val="pct10" w:color="auto" w:fill="auto"/>
            <w:textDirection w:val="btLr"/>
            <w:vAlign w:val="center"/>
          </w:tcPr>
          <w:p>
            <w:pPr>
              <w:ind w:left="113" w:right="113"/>
              <w:jc w:val="center"/>
              <w:rPr>
                <w:noProof/>
                <w:sz w:val="18"/>
                <w:szCs w:val="18"/>
              </w:rPr>
            </w:pPr>
            <w:r>
              <w:rPr>
                <w:noProof/>
                <w:sz w:val="18"/>
              </w:rPr>
              <w:t>No</w:t>
            </w:r>
          </w:p>
        </w:tc>
        <w:tc>
          <w:tcPr>
            <w:tcW w:w="720" w:type="dxa"/>
            <w:tcBorders>
              <w:left w:val="dashSmallGap" w:sz="4" w:space="0" w:color="auto"/>
            </w:tcBorders>
            <w:shd w:val="pct10" w:color="auto" w:fill="auto"/>
            <w:vAlign w:val="center"/>
          </w:tcPr>
          <w:p>
            <w:pPr>
              <w:jc w:val="center"/>
              <w:rPr>
                <w:noProof/>
                <w:sz w:val="18"/>
                <w:szCs w:val="18"/>
              </w:rPr>
            </w:pPr>
            <w:r>
              <w:rPr>
                <w:noProof/>
                <w:sz w:val="18"/>
              </w:rPr>
              <w:t>Cost</w:t>
            </w:r>
          </w:p>
        </w:tc>
        <w:tc>
          <w:tcPr>
            <w:tcW w:w="540" w:type="dxa"/>
            <w:tcBorders>
              <w:right w:val="dashSmallGap" w:sz="4" w:space="0" w:color="auto"/>
            </w:tcBorders>
            <w:shd w:val="pct10" w:color="auto" w:fill="auto"/>
            <w:textDirection w:val="btLr"/>
            <w:vAlign w:val="center"/>
          </w:tcPr>
          <w:p>
            <w:pPr>
              <w:ind w:left="113" w:right="113"/>
              <w:jc w:val="center"/>
              <w:rPr>
                <w:noProof/>
                <w:sz w:val="18"/>
                <w:szCs w:val="18"/>
              </w:rPr>
            </w:pPr>
            <w:r>
              <w:rPr>
                <w:noProof/>
                <w:sz w:val="18"/>
              </w:rPr>
              <w:t>No</w:t>
            </w:r>
          </w:p>
        </w:tc>
        <w:tc>
          <w:tcPr>
            <w:tcW w:w="720" w:type="dxa"/>
            <w:tcBorders>
              <w:left w:val="dashSmallGap" w:sz="4" w:space="0" w:color="auto"/>
            </w:tcBorders>
            <w:shd w:val="pct10" w:color="auto" w:fill="auto"/>
            <w:vAlign w:val="center"/>
          </w:tcPr>
          <w:p>
            <w:pPr>
              <w:jc w:val="center"/>
              <w:rPr>
                <w:noProof/>
                <w:sz w:val="18"/>
                <w:szCs w:val="18"/>
              </w:rPr>
            </w:pPr>
            <w:r>
              <w:rPr>
                <w:noProof/>
                <w:sz w:val="18"/>
              </w:rPr>
              <w:t>Cost</w:t>
            </w:r>
          </w:p>
        </w:tc>
        <w:tc>
          <w:tcPr>
            <w:tcW w:w="720" w:type="dxa"/>
            <w:tcBorders>
              <w:right w:val="dashSmallGap" w:sz="4" w:space="0" w:color="auto"/>
            </w:tcBorders>
            <w:shd w:val="pct10" w:color="auto" w:fill="auto"/>
            <w:textDirection w:val="btLr"/>
            <w:vAlign w:val="center"/>
          </w:tcPr>
          <w:p>
            <w:pPr>
              <w:ind w:left="113" w:right="113"/>
              <w:jc w:val="center"/>
              <w:rPr>
                <w:noProof/>
                <w:sz w:val="18"/>
                <w:szCs w:val="18"/>
              </w:rPr>
            </w:pPr>
            <w:r>
              <w:rPr>
                <w:noProof/>
                <w:sz w:val="18"/>
              </w:rPr>
              <w:t>No</w:t>
            </w:r>
          </w:p>
        </w:tc>
        <w:tc>
          <w:tcPr>
            <w:tcW w:w="720" w:type="dxa"/>
            <w:tcBorders>
              <w:left w:val="dashSmallGap" w:sz="4" w:space="0" w:color="auto"/>
            </w:tcBorders>
            <w:shd w:val="pct10" w:color="auto" w:fill="auto"/>
            <w:vAlign w:val="center"/>
          </w:tcPr>
          <w:p>
            <w:pPr>
              <w:jc w:val="center"/>
              <w:rPr>
                <w:noProof/>
                <w:sz w:val="18"/>
                <w:szCs w:val="18"/>
              </w:rPr>
            </w:pPr>
            <w:r>
              <w:rPr>
                <w:noProof/>
                <w:sz w:val="18"/>
              </w:rPr>
              <w:t>Cost</w:t>
            </w:r>
          </w:p>
        </w:tc>
        <w:tc>
          <w:tcPr>
            <w:tcW w:w="900" w:type="dxa"/>
            <w:tcBorders>
              <w:right w:val="dashSmallGap" w:sz="4" w:space="0" w:color="auto"/>
            </w:tcBorders>
            <w:shd w:val="pct10" w:color="auto" w:fill="auto"/>
            <w:textDirection w:val="btLr"/>
            <w:vAlign w:val="center"/>
          </w:tcPr>
          <w:p>
            <w:pPr>
              <w:ind w:left="113" w:right="113"/>
              <w:jc w:val="center"/>
              <w:rPr>
                <w:noProof/>
                <w:sz w:val="18"/>
                <w:szCs w:val="18"/>
              </w:rPr>
            </w:pPr>
            <w:r>
              <w:rPr>
                <w:noProof/>
                <w:sz w:val="18"/>
              </w:rPr>
              <w:t>No</w:t>
            </w:r>
          </w:p>
        </w:tc>
        <w:tc>
          <w:tcPr>
            <w:tcW w:w="720" w:type="dxa"/>
            <w:gridSpan w:val="2"/>
            <w:tcBorders>
              <w:left w:val="dashSmallGap" w:sz="4" w:space="0" w:color="auto"/>
            </w:tcBorders>
            <w:shd w:val="pct10" w:color="auto" w:fill="auto"/>
            <w:vAlign w:val="center"/>
          </w:tcPr>
          <w:p>
            <w:pPr>
              <w:jc w:val="center"/>
              <w:rPr>
                <w:noProof/>
                <w:sz w:val="18"/>
                <w:szCs w:val="18"/>
              </w:rPr>
            </w:pPr>
            <w:r>
              <w:rPr>
                <w:noProof/>
                <w:sz w:val="18"/>
              </w:rPr>
              <w:t>Cost</w:t>
            </w:r>
          </w:p>
        </w:tc>
        <w:tc>
          <w:tcPr>
            <w:tcW w:w="540" w:type="dxa"/>
            <w:tcBorders>
              <w:right w:val="dashSmallGap" w:sz="4" w:space="0" w:color="auto"/>
            </w:tcBorders>
            <w:shd w:val="pct10" w:color="auto" w:fill="auto"/>
            <w:textDirection w:val="btLr"/>
            <w:vAlign w:val="center"/>
          </w:tcPr>
          <w:p>
            <w:pPr>
              <w:ind w:left="113" w:right="113"/>
              <w:jc w:val="center"/>
              <w:rPr>
                <w:noProof/>
                <w:sz w:val="18"/>
                <w:szCs w:val="18"/>
              </w:rPr>
            </w:pPr>
            <w:r>
              <w:rPr>
                <w:noProof/>
                <w:sz w:val="18"/>
              </w:rPr>
              <w:t>No</w:t>
            </w:r>
          </w:p>
        </w:tc>
        <w:tc>
          <w:tcPr>
            <w:tcW w:w="648" w:type="dxa"/>
            <w:tcBorders>
              <w:left w:val="dashSmallGap" w:sz="4" w:space="0" w:color="auto"/>
            </w:tcBorders>
            <w:shd w:val="pct10" w:color="auto" w:fill="auto"/>
            <w:vAlign w:val="center"/>
          </w:tcPr>
          <w:p>
            <w:pPr>
              <w:jc w:val="center"/>
              <w:rPr>
                <w:noProof/>
                <w:sz w:val="18"/>
                <w:szCs w:val="18"/>
              </w:rPr>
            </w:pPr>
            <w:r>
              <w:rPr>
                <w:noProof/>
                <w:sz w:val="18"/>
              </w:rPr>
              <w:t>Cost</w:t>
            </w:r>
          </w:p>
        </w:tc>
        <w:tc>
          <w:tcPr>
            <w:tcW w:w="432" w:type="dxa"/>
            <w:tcBorders>
              <w:right w:val="dashSmallGap" w:sz="4" w:space="0" w:color="auto"/>
            </w:tcBorders>
            <w:shd w:val="pct10" w:color="auto" w:fill="auto"/>
            <w:textDirection w:val="btLr"/>
            <w:vAlign w:val="center"/>
          </w:tcPr>
          <w:p>
            <w:pPr>
              <w:ind w:left="113" w:right="113"/>
              <w:jc w:val="center"/>
              <w:rPr>
                <w:noProof/>
                <w:sz w:val="18"/>
                <w:szCs w:val="18"/>
              </w:rPr>
            </w:pPr>
            <w:r>
              <w:rPr>
                <w:noProof/>
                <w:sz w:val="18"/>
              </w:rPr>
              <w:t>No</w:t>
            </w:r>
          </w:p>
        </w:tc>
        <w:tc>
          <w:tcPr>
            <w:tcW w:w="720" w:type="dxa"/>
            <w:tcBorders>
              <w:left w:val="dashSmallGap" w:sz="4" w:space="0" w:color="auto"/>
            </w:tcBorders>
            <w:shd w:val="pct10" w:color="auto" w:fill="auto"/>
            <w:vAlign w:val="center"/>
          </w:tcPr>
          <w:p>
            <w:pPr>
              <w:jc w:val="center"/>
              <w:rPr>
                <w:noProof/>
                <w:sz w:val="18"/>
                <w:szCs w:val="18"/>
              </w:rPr>
            </w:pPr>
            <w:r>
              <w:rPr>
                <w:noProof/>
                <w:sz w:val="18"/>
              </w:rPr>
              <w:t>Cost</w:t>
            </w:r>
          </w:p>
        </w:tc>
        <w:tc>
          <w:tcPr>
            <w:tcW w:w="540" w:type="dxa"/>
            <w:tcBorders>
              <w:right w:val="dashSmallGap" w:sz="4" w:space="0" w:color="auto"/>
            </w:tcBorders>
            <w:shd w:val="pct10" w:color="auto" w:fill="auto"/>
            <w:textDirection w:val="btLr"/>
            <w:vAlign w:val="center"/>
          </w:tcPr>
          <w:p>
            <w:pPr>
              <w:ind w:left="113" w:right="113"/>
              <w:jc w:val="center"/>
              <w:rPr>
                <w:noProof/>
                <w:sz w:val="18"/>
                <w:szCs w:val="18"/>
              </w:rPr>
            </w:pPr>
            <w:r>
              <w:rPr>
                <w:noProof/>
                <w:sz w:val="18"/>
              </w:rPr>
              <w:t>No</w:t>
            </w:r>
          </w:p>
        </w:tc>
        <w:tc>
          <w:tcPr>
            <w:tcW w:w="720" w:type="dxa"/>
            <w:tcBorders>
              <w:left w:val="dashSmallGap" w:sz="4" w:space="0" w:color="auto"/>
            </w:tcBorders>
            <w:shd w:val="pct10" w:color="auto" w:fill="auto"/>
            <w:vAlign w:val="center"/>
          </w:tcPr>
          <w:p>
            <w:pPr>
              <w:jc w:val="center"/>
              <w:rPr>
                <w:noProof/>
                <w:sz w:val="18"/>
                <w:szCs w:val="18"/>
              </w:rPr>
            </w:pPr>
            <w:r>
              <w:rPr>
                <w:noProof/>
                <w:sz w:val="18"/>
              </w:rPr>
              <w:t>Cost</w:t>
            </w:r>
          </w:p>
        </w:tc>
        <w:tc>
          <w:tcPr>
            <w:tcW w:w="720" w:type="dxa"/>
            <w:tcBorders>
              <w:right w:val="dashSmallGap" w:sz="4" w:space="0" w:color="auto"/>
            </w:tcBorders>
            <w:shd w:val="pct10" w:color="auto" w:fill="auto"/>
            <w:vAlign w:val="center"/>
          </w:tcPr>
          <w:p>
            <w:pPr>
              <w:jc w:val="center"/>
              <w:rPr>
                <w:noProof/>
                <w:sz w:val="18"/>
                <w:szCs w:val="18"/>
              </w:rPr>
            </w:pPr>
            <w:r>
              <w:rPr>
                <w:noProof/>
                <w:sz w:val="18"/>
              </w:rPr>
              <w:t>Total No</w:t>
            </w:r>
          </w:p>
        </w:tc>
        <w:tc>
          <w:tcPr>
            <w:tcW w:w="900" w:type="dxa"/>
            <w:tcBorders>
              <w:left w:val="dashSmallGap" w:sz="4" w:space="0" w:color="auto"/>
            </w:tcBorders>
            <w:shd w:val="pct10" w:color="auto" w:fill="auto"/>
            <w:vAlign w:val="center"/>
          </w:tcPr>
          <w:p>
            <w:pPr>
              <w:jc w:val="center"/>
              <w:rPr>
                <w:noProof/>
                <w:sz w:val="18"/>
                <w:szCs w:val="18"/>
              </w:rPr>
            </w:pPr>
            <w:r>
              <w:rPr>
                <w:noProof/>
                <w:sz w:val="18"/>
              </w:rPr>
              <w:t>Total cost</w:t>
            </w:r>
          </w:p>
        </w:tc>
      </w:tr>
      <w:tr>
        <w:trPr>
          <w:jc w:val="center"/>
        </w:trPr>
        <w:tc>
          <w:tcPr>
            <w:tcW w:w="2844" w:type="dxa"/>
            <w:gridSpan w:val="3"/>
            <w:vAlign w:val="center"/>
          </w:tcPr>
          <w:p>
            <w:pPr>
              <w:spacing w:before="60" w:after="60"/>
              <w:ind w:right="-29"/>
              <w:jc w:val="center"/>
              <w:rPr>
                <w:noProof/>
                <w:sz w:val="18"/>
                <w:szCs w:val="18"/>
              </w:rPr>
            </w:pPr>
            <w:r>
              <w:rPr>
                <w:noProof/>
                <w:sz w:val="18"/>
              </w:rPr>
              <w:t>SPECIFIC OBJECTIVE No 1</w:t>
            </w:r>
            <w:r>
              <w:rPr>
                <w:rStyle w:val="FootnoteReference"/>
                <w:noProof/>
                <w:sz w:val="18"/>
              </w:rPr>
              <w:footnoteReference w:id="13"/>
            </w:r>
            <w:r>
              <w:rPr>
                <w:noProof/>
                <w:sz w:val="18"/>
              </w:rPr>
              <w:t>…</w:t>
            </w:r>
          </w:p>
        </w:tc>
        <w:tc>
          <w:tcPr>
            <w:tcW w:w="10764" w:type="dxa"/>
            <w:gridSpan w:val="17"/>
            <w:tcBorders>
              <w:top w:val="nil"/>
              <w:left w:val="nil"/>
              <w:bottom w:val="nil"/>
              <w:right w:val="nil"/>
            </w:tcBorders>
          </w:tcPr>
          <w:p>
            <w:pPr>
              <w:spacing w:before="60" w:after="60"/>
              <w:ind w:right="-29"/>
              <w:jc w:val="left"/>
              <w:rPr>
                <w:noProof/>
                <w:sz w:val="18"/>
                <w:szCs w:val="18"/>
              </w:rPr>
            </w:pPr>
            <w:r>
              <w:rPr>
                <w:noProof/>
                <w:sz w:val="18"/>
                <w:szCs w:val="18"/>
              </w:rPr>
              <w:t>Running of the ICS</w:t>
            </w:r>
          </w:p>
        </w:tc>
      </w:tr>
      <w:tr>
        <w:trPr>
          <w:trHeight w:hRule="exact" w:val="369"/>
          <w:jc w:val="center"/>
        </w:trPr>
        <w:tc>
          <w:tcPr>
            <w:tcW w:w="1078" w:type="dxa"/>
          </w:tcPr>
          <w:p>
            <w:pPr>
              <w:ind w:right="-29"/>
              <w:jc w:val="center"/>
              <w:rPr>
                <w:noProof/>
                <w:sz w:val="18"/>
                <w:szCs w:val="18"/>
              </w:rPr>
            </w:pPr>
            <w:r>
              <w:rPr>
                <w:noProof/>
                <w:sz w:val="18"/>
              </w:rPr>
              <w:t>- Output</w:t>
            </w:r>
          </w:p>
        </w:tc>
        <w:tc>
          <w:tcPr>
            <w:tcW w:w="1065" w:type="dxa"/>
          </w:tcPr>
          <w:p>
            <w:pPr>
              <w:ind w:right="-29"/>
              <w:jc w:val="center"/>
              <w:rPr>
                <w:noProof/>
                <w:sz w:val="16"/>
                <w:szCs w:val="16"/>
              </w:rPr>
            </w:pPr>
            <w:r>
              <w:rPr>
                <w:noProof/>
                <w:sz w:val="16"/>
                <w:szCs w:val="16"/>
              </w:rPr>
              <w:t>Secretariat</w:t>
            </w:r>
          </w:p>
        </w:tc>
        <w:tc>
          <w:tcPr>
            <w:tcW w:w="701" w:type="dxa"/>
          </w:tcPr>
          <w:p>
            <w:pPr>
              <w:ind w:right="-29"/>
              <w:jc w:val="center"/>
              <w:rPr>
                <w:noProof/>
                <w:sz w:val="18"/>
                <w:szCs w:val="18"/>
              </w:rPr>
            </w:pPr>
          </w:p>
        </w:tc>
        <w:tc>
          <w:tcPr>
            <w:tcW w:w="504" w:type="dxa"/>
            <w:tcBorders>
              <w:right w:val="dashSmallGap" w:sz="4" w:space="0" w:color="auto"/>
            </w:tcBorders>
          </w:tcPr>
          <w:p>
            <w:pPr>
              <w:ind w:right="-29"/>
              <w:jc w:val="center"/>
              <w:rPr>
                <w:noProof/>
                <w:sz w:val="18"/>
                <w:szCs w:val="18"/>
              </w:rPr>
            </w:pPr>
            <w:r>
              <w:rPr>
                <w:noProof/>
                <w:sz w:val="18"/>
                <w:szCs w:val="18"/>
              </w:rPr>
              <w:t>1</w:t>
            </w:r>
          </w:p>
        </w:tc>
        <w:tc>
          <w:tcPr>
            <w:tcW w:w="720" w:type="dxa"/>
            <w:tcBorders>
              <w:left w:val="dashSmallGap" w:sz="4" w:space="0" w:color="auto"/>
            </w:tcBorders>
          </w:tcPr>
          <w:p>
            <w:pPr>
              <w:ind w:right="-29"/>
              <w:jc w:val="center"/>
              <w:rPr>
                <w:noProof/>
                <w:sz w:val="18"/>
                <w:szCs w:val="18"/>
              </w:rPr>
            </w:pPr>
            <w:r>
              <w:rPr>
                <w:noProof/>
                <w:sz w:val="18"/>
                <w:szCs w:val="18"/>
              </w:rPr>
              <w:t>0.500</w:t>
            </w:r>
          </w:p>
        </w:tc>
        <w:tc>
          <w:tcPr>
            <w:tcW w:w="540" w:type="dxa"/>
            <w:tcBorders>
              <w:right w:val="dashSmallGap" w:sz="4" w:space="0" w:color="auto"/>
            </w:tcBorders>
          </w:tcPr>
          <w:p>
            <w:pPr>
              <w:ind w:right="-29"/>
              <w:jc w:val="center"/>
              <w:rPr>
                <w:noProof/>
                <w:sz w:val="18"/>
                <w:szCs w:val="18"/>
              </w:rPr>
            </w:pPr>
          </w:p>
        </w:tc>
        <w:tc>
          <w:tcPr>
            <w:tcW w:w="720" w:type="dxa"/>
            <w:tcBorders>
              <w:left w:val="dashSmallGap" w:sz="4" w:space="0" w:color="auto"/>
            </w:tcBorders>
          </w:tcPr>
          <w:p>
            <w:pPr>
              <w:ind w:right="-29"/>
              <w:jc w:val="center"/>
              <w:rPr>
                <w:noProof/>
                <w:sz w:val="18"/>
                <w:szCs w:val="18"/>
              </w:rPr>
            </w:pPr>
            <w:r>
              <w:rPr>
                <w:noProof/>
                <w:sz w:val="18"/>
                <w:szCs w:val="18"/>
              </w:rPr>
              <w:t>0.500</w:t>
            </w:r>
          </w:p>
        </w:tc>
        <w:tc>
          <w:tcPr>
            <w:tcW w:w="720" w:type="dxa"/>
            <w:tcBorders>
              <w:right w:val="dashSmallGap" w:sz="4" w:space="0" w:color="auto"/>
            </w:tcBorders>
          </w:tcPr>
          <w:p>
            <w:pPr>
              <w:ind w:right="-29"/>
              <w:jc w:val="center"/>
              <w:rPr>
                <w:noProof/>
                <w:sz w:val="18"/>
                <w:szCs w:val="18"/>
              </w:rPr>
            </w:pPr>
          </w:p>
        </w:tc>
        <w:tc>
          <w:tcPr>
            <w:tcW w:w="720" w:type="dxa"/>
            <w:tcBorders>
              <w:left w:val="dashSmallGap" w:sz="4" w:space="0" w:color="auto"/>
            </w:tcBorders>
          </w:tcPr>
          <w:p>
            <w:pPr>
              <w:ind w:right="-29"/>
              <w:jc w:val="center"/>
              <w:rPr>
                <w:noProof/>
                <w:sz w:val="18"/>
                <w:szCs w:val="18"/>
              </w:rPr>
            </w:pPr>
            <w:r>
              <w:rPr>
                <w:noProof/>
                <w:sz w:val="18"/>
                <w:szCs w:val="18"/>
              </w:rPr>
              <w:t>0.500</w:t>
            </w:r>
          </w:p>
        </w:tc>
        <w:tc>
          <w:tcPr>
            <w:tcW w:w="900" w:type="dxa"/>
            <w:tcBorders>
              <w:right w:val="dashSmallGap" w:sz="4" w:space="0" w:color="auto"/>
            </w:tcBorders>
          </w:tcPr>
          <w:p>
            <w:pPr>
              <w:ind w:right="-29"/>
              <w:jc w:val="center"/>
              <w:rPr>
                <w:noProof/>
                <w:sz w:val="18"/>
                <w:szCs w:val="18"/>
              </w:rPr>
            </w:pPr>
          </w:p>
        </w:tc>
        <w:tc>
          <w:tcPr>
            <w:tcW w:w="720" w:type="dxa"/>
            <w:gridSpan w:val="2"/>
            <w:tcBorders>
              <w:left w:val="dashSmallGap" w:sz="4" w:space="0" w:color="auto"/>
            </w:tcBorders>
          </w:tcPr>
          <w:p>
            <w:pPr>
              <w:ind w:right="-29"/>
              <w:jc w:val="center"/>
              <w:rPr>
                <w:noProof/>
                <w:sz w:val="18"/>
                <w:szCs w:val="18"/>
              </w:rPr>
            </w:pPr>
            <w:r>
              <w:rPr>
                <w:noProof/>
                <w:sz w:val="18"/>
                <w:szCs w:val="18"/>
              </w:rPr>
              <w:t>0.500</w:t>
            </w:r>
          </w:p>
        </w:tc>
        <w:tc>
          <w:tcPr>
            <w:tcW w:w="540" w:type="dxa"/>
            <w:tcBorders>
              <w:right w:val="dashSmallGap" w:sz="4" w:space="0" w:color="auto"/>
            </w:tcBorders>
          </w:tcPr>
          <w:p>
            <w:pPr>
              <w:ind w:right="-29"/>
              <w:jc w:val="center"/>
              <w:rPr>
                <w:noProof/>
                <w:sz w:val="18"/>
                <w:szCs w:val="18"/>
              </w:rPr>
            </w:pPr>
          </w:p>
        </w:tc>
        <w:tc>
          <w:tcPr>
            <w:tcW w:w="648" w:type="dxa"/>
            <w:tcBorders>
              <w:left w:val="dashSmallGap" w:sz="4" w:space="0" w:color="auto"/>
            </w:tcBorders>
          </w:tcPr>
          <w:p>
            <w:pPr>
              <w:ind w:right="-29"/>
              <w:jc w:val="center"/>
              <w:rPr>
                <w:noProof/>
                <w:sz w:val="18"/>
                <w:szCs w:val="18"/>
              </w:rPr>
            </w:pPr>
          </w:p>
        </w:tc>
        <w:tc>
          <w:tcPr>
            <w:tcW w:w="432" w:type="dxa"/>
            <w:tcBorders>
              <w:right w:val="dashSmallGap" w:sz="4" w:space="0" w:color="auto"/>
            </w:tcBorders>
          </w:tcPr>
          <w:p>
            <w:pPr>
              <w:ind w:right="-29"/>
              <w:jc w:val="center"/>
              <w:rPr>
                <w:noProof/>
                <w:sz w:val="18"/>
                <w:szCs w:val="18"/>
              </w:rPr>
            </w:pPr>
          </w:p>
        </w:tc>
        <w:tc>
          <w:tcPr>
            <w:tcW w:w="720" w:type="dxa"/>
            <w:tcBorders>
              <w:left w:val="dashSmallGap" w:sz="4" w:space="0" w:color="auto"/>
            </w:tcBorders>
          </w:tcPr>
          <w:p>
            <w:pPr>
              <w:ind w:right="-29"/>
              <w:jc w:val="center"/>
              <w:rPr>
                <w:noProof/>
                <w:sz w:val="18"/>
                <w:szCs w:val="18"/>
              </w:rPr>
            </w:pPr>
          </w:p>
        </w:tc>
        <w:tc>
          <w:tcPr>
            <w:tcW w:w="540" w:type="dxa"/>
            <w:tcBorders>
              <w:right w:val="dashSmallGap" w:sz="4" w:space="0" w:color="auto"/>
            </w:tcBorders>
          </w:tcPr>
          <w:p>
            <w:pPr>
              <w:ind w:right="-29"/>
              <w:jc w:val="center"/>
              <w:rPr>
                <w:noProof/>
                <w:sz w:val="18"/>
                <w:szCs w:val="18"/>
              </w:rPr>
            </w:pPr>
          </w:p>
        </w:tc>
        <w:tc>
          <w:tcPr>
            <w:tcW w:w="720" w:type="dxa"/>
            <w:tcBorders>
              <w:left w:val="dashSmallGap" w:sz="4" w:space="0" w:color="auto"/>
            </w:tcBorders>
          </w:tcPr>
          <w:p>
            <w:pPr>
              <w:ind w:right="-29"/>
              <w:jc w:val="center"/>
              <w:rPr>
                <w:noProof/>
                <w:sz w:val="18"/>
                <w:szCs w:val="18"/>
              </w:rPr>
            </w:pPr>
          </w:p>
        </w:tc>
        <w:tc>
          <w:tcPr>
            <w:tcW w:w="720" w:type="dxa"/>
          </w:tcPr>
          <w:p>
            <w:pPr>
              <w:ind w:right="-29"/>
              <w:jc w:val="center"/>
              <w:rPr>
                <w:noProof/>
                <w:sz w:val="18"/>
                <w:szCs w:val="18"/>
              </w:rPr>
            </w:pPr>
          </w:p>
        </w:tc>
        <w:tc>
          <w:tcPr>
            <w:tcW w:w="900" w:type="dxa"/>
          </w:tcPr>
          <w:p>
            <w:pPr>
              <w:ind w:right="-29"/>
              <w:jc w:val="center"/>
              <w:rPr>
                <w:noProof/>
                <w:sz w:val="18"/>
                <w:szCs w:val="18"/>
              </w:rPr>
            </w:pPr>
          </w:p>
        </w:tc>
      </w:tr>
      <w:tr>
        <w:trPr>
          <w:trHeight w:hRule="exact" w:val="369"/>
          <w:jc w:val="center"/>
        </w:trPr>
        <w:tc>
          <w:tcPr>
            <w:tcW w:w="1078" w:type="dxa"/>
          </w:tcPr>
          <w:p>
            <w:pPr>
              <w:ind w:right="-29"/>
              <w:jc w:val="center"/>
              <w:rPr>
                <w:noProof/>
                <w:sz w:val="18"/>
                <w:szCs w:val="18"/>
              </w:rPr>
            </w:pPr>
            <w:r>
              <w:rPr>
                <w:noProof/>
                <w:sz w:val="18"/>
              </w:rPr>
              <w:t>- Output</w:t>
            </w:r>
          </w:p>
        </w:tc>
        <w:tc>
          <w:tcPr>
            <w:tcW w:w="1065" w:type="dxa"/>
          </w:tcPr>
          <w:p>
            <w:pPr>
              <w:ind w:right="-29"/>
              <w:jc w:val="center"/>
              <w:rPr>
                <w:noProof/>
                <w:sz w:val="16"/>
                <w:szCs w:val="16"/>
              </w:rPr>
            </w:pPr>
            <w:r>
              <w:rPr>
                <w:noProof/>
                <w:sz w:val="16"/>
                <w:szCs w:val="16"/>
              </w:rPr>
              <w:t>Case(s)</w:t>
            </w:r>
          </w:p>
        </w:tc>
        <w:tc>
          <w:tcPr>
            <w:tcW w:w="701" w:type="dxa"/>
          </w:tcPr>
          <w:p>
            <w:pPr>
              <w:ind w:right="-29"/>
              <w:jc w:val="center"/>
              <w:rPr>
                <w:noProof/>
                <w:sz w:val="18"/>
                <w:szCs w:val="18"/>
              </w:rPr>
            </w:pPr>
          </w:p>
        </w:tc>
        <w:tc>
          <w:tcPr>
            <w:tcW w:w="504" w:type="dxa"/>
            <w:tcBorders>
              <w:right w:val="dashSmallGap" w:sz="4" w:space="0" w:color="auto"/>
            </w:tcBorders>
          </w:tcPr>
          <w:p>
            <w:pPr>
              <w:ind w:right="-29"/>
              <w:jc w:val="center"/>
              <w:rPr>
                <w:noProof/>
                <w:sz w:val="18"/>
                <w:szCs w:val="18"/>
              </w:rPr>
            </w:pPr>
          </w:p>
        </w:tc>
        <w:tc>
          <w:tcPr>
            <w:tcW w:w="720" w:type="dxa"/>
            <w:tcBorders>
              <w:left w:val="dashSmallGap" w:sz="4" w:space="0" w:color="auto"/>
            </w:tcBorders>
          </w:tcPr>
          <w:p>
            <w:pPr>
              <w:ind w:right="-29"/>
              <w:jc w:val="center"/>
              <w:rPr>
                <w:noProof/>
                <w:sz w:val="18"/>
                <w:szCs w:val="18"/>
              </w:rPr>
            </w:pPr>
            <w:r>
              <w:rPr>
                <w:noProof/>
                <w:sz w:val="18"/>
                <w:szCs w:val="18"/>
              </w:rPr>
              <w:t>-</w:t>
            </w:r>
          </w:p>
        </w:tc>
        <w:tc>
          <w:tcPr>
            <w:tcW w:w="540" w:type="dxa"/>
            <w:tcBorders>
              <w:right w:val="dashSmallGap" w:sz="4" w:space="0" w:color="auto"/>
            </w:tcBorders>
          </w:tcPr>
          <w:p>
            <w:pPr>
              <w:ind w:right="-29"/>
              <w:jc w:val="center"/>
              <w:rPr>
                <w:noProof/>
                <w:sz w:val="18"/>
                <w:szCs w:val="18"/>
              </w:rPr>
            </w:pPr>
          </w:p>
        </w:tc>
        <w:tc>
          <w:tcPr>
            <w:tcW w:w="720" w:type="dxa"/>
            <w:tcBorders>
              <w:left w:val="dashSmallGap" w:sz="4" w:space="0" w:color="auto"/>
            </w:tcBorders>
          </w:tcPr>
          <w:p>
            <w:pPr>
              <w:ind w:right="-29"/>
              <w:jc w:val="center"/>
              <w:rPr>
                <w:noProof/>
                <w:sz w:val="18"/>
                <w:szCs w:val="18"/>
              </w:rPr>
            </w:pPr>
            <w:r>
              <w:rPr>
                <w:noProof/>
                <w:sz w:val="18"/>
                <w:szCs w:val="18"/>
              </w:rPr>
              <w:t>p.m.</w:t>
            </w:r>
          </w:p>
        </w:tc>
        <w:tc>
          <w:tcPr>
            <w:tcW w:w="720" w:type="dxa"/>
            <w:tcBorders>
              <w:right w:val="dashSmallGap" w:sz="4" w:space="0" w:color="auto"/>
            </w:tcBorders>
          </w:tcPr>
          <w:p>
            <w:pPr>
              <w:ind w:right="-29"/>
              <w:jc w:val="center"/>
              <w:rPr>
                <w:noProof/>
                <w:sz w:val="18"/>
                <w:szCs w:val="18"/>
              </w:rPr>
            </w:pPr>
          </w:p>
        </w:tc>
        <w:tc>
          <w:tcPr>
            <w:tcW w:w="720" w:type="dxa"/>
            <w:tcBorders>
              <w:left w:val="dashSmallGap" w:sz="4" w:space="0" w:color="auto"/>
            </w:tcBorders>
          </w:tcPr>
          <w:p>
            <w:pPr>
              <w:ind w:right="-29"/>
              <w:jc w:val="center"/>
              <w:rPr>
                <w:noProof/>
                <w:sz w:val="18"/>
                <w:szCs w:val="18"/>
              </w:rPr>
            </w:pPr>
            <w:r>
              <w:rPr>
                <w:noProof/>
                <w:sz w:val="18"/>
                <w:szCs w:val="18"/>
              </w:rPr>
              <w:t>p.m.</w:t>
            </w:r>
          </w:p>
        </w:tc>
        <w:tc>
          <w:tcPr>
            <w:tcW w:w="900" w:type="dxa"/>
            <w:tcBorders>
              <w:right w:val="dashSmallGap" w:sz="4" w:space="0" w:color="auto"/>
            </w:tcBorders>
          </w:tcPr>
          <w:p>
            <w:pPr>
              <w:ind w:right="-29"/>
              <w:jc w:val="center"/>
              <w:rPr>
                <w:noProof/>
                <w:sz w:val="18"/>
                <w:szCs w:val="18"/>
              </w:rPr>
            </w:pPr>
          </w:p>
        </w:tc>
        <w:tc>
          <w:tcPr>
            <w:tcW w:w="720" w:type="dxa"/>
            <w:gridSpan w:val="2"/>
            <w:tcBorders>
              <w:left w:val="dashSmallGap" w:sz="4" w:space="0" w:color="auto"/>
            </w:tcBorders>
          </w:tcPr>
          <w:p>
            <w:pPr>
              <w:ind w:right="-29"/>
              <w:jc w:val="center"/>
              <w:rPr>
                <w:noProof/>
                <w:sz w:val="18"/>
                <w:szCs w:val="18"/>
              </w:rPr>
            </w:pPr>
            <w:r>
              <w:rPr>
                <w:noProof/>
                <w:sz w:val="18"/>
                <w:szCs w:val="18"/>
              </w:rPr>
              <w:t>p.m.</w:t>
            </w:r>
          </w:p>
        </w:tc>
        <w:tc>
          <w:tcPr>
            <w:tcW w:w="540" w:type="dxa"/>
            <w:tcBorders>
              <w:right w:val="dashSmallGap" w:sz="4" w:space="0" w:color="auto"/>
            </w:tcBorders>
          </w:tcPr>
          <w:p>
            <w:pPr>
              <w:ind w:right="-29"/>
              <w:jc w:val="center"/>
              <w:rPr>
                <w:noProof/>
                <w:sz w:val="18"/>
                <w:szCs w:val="18"/>
              </w:rPr>
            </w:pPr>
          </w:p>
        </w:tc>
        <w:tc>
          <w:tcPr>
            <w:tcW w:w="648" w:type="dxa"/>
            <w:tcBorders>
              <w:left w:val="dashSmallGap" w:sz="4" w:space="0" w:color="auto"/>
            </w:tcBorders>
          </w:tcPr>
          <w:p>
            <w:pPr>
              <w:ind w:right="-29"/>
              <w:jc w:val="center"/>
              <w:rPr>
                <w:noProof/>
                <w:sz w:val="18"/>
                <w:szCs w:val="18"/>
              </w:rPr>
            </w:pPr>
          </w:p>
        </w:tc>
        <w:tc>
          <w:tcPr>
            <w:tcW w:w="432" w:type="dxa"/>
            <w:tcBorders>
              <w:right w:val="dashSmallGap" w:sz="4" w:space="0" w:color="auto"/>
            </w:tcBorders>
          </w:tcPr>
          <w:p>
            <w:pPr>
              <w:ind w:right="-29"/>
              <w:jc w:val="center"/>
              <w:rPr>
                <w:noProof/>
                <w:sz w:val="18"/>
                <w:szCs w:val="18"/>
              </w:rPr>
            </w:pPr>
          </w:p>
        </w:tc>
        <w:tc>
          <w:tcPr>
            <w:tcW w:w="720" w:type="dxa"/>
            <w:tcBorders>
              <w:left w:val="dashSmallGap" w:sz="4" w:space="0" w:color="auto"/>
            </w:tcBorders>
          </w:tcPr>
          <w:p>
            <w:pPr>
              <w:ind w:right="-29"/>
              <w:jc w:val="center"/>
              <w:rPr>
                <w:noProof/>
                <w:sz w:val="18"/>
                <w:szCs w:val="18"/>
              </w:rPr>
            </w:pPr>
          </w:p>
        </w:tc>
        <w:tc>
          <w:tcPr>
            <w:tcW w:w="540" w:type="dxa"/>
            <w:tcBorders>
              <w:right w:val="dashSmallGap" w:sz="4" w:space="0" w:color="auto"/>
            </w:tcBorders>
          </w:tcPr>
          <w:p>
            <w:pPr>
              <w:ind w:right="-29"/>
              <w:jc w:val="center"/>
              <w:rPr>
                <w:noProof/>
                <w:sz w:val="18"/>
                <w:szCs w:val="18"/>
              </w:rPr>
            </w:pPr>
          </w:p>
        </w:tc>
        <w:tc>
          <w:tcPr>
            <w:tcW w:w="720" w:type="dxa"/>
            <w:tcBorders>
              <w:left w:val="dashSmallGap" w:sz="4" w:space="0" w:color="auto"/>
            </w:tcBorders>
          </w:tcPr>
          <w:p>
            <w:pPr>
              <w:ind w:right="-29"/>
              <w:jc w:val="center"/>
              <w:rPr>
                <w:noProof/>
                <w:sz w:val="18"/>
                <w:szCs w:val="18"/>
              </w:rPr>
            </w:pPr>
          </w:p>
        </w:tc>
        <w:tc>
          <w:tcPr>
            <w:tcW w:w="720" w:type="dxa"/>
          </w:tcPr>
          <w:p>
            <w:pPr>
              <w:ind w:right="-29"/>
              <w:jc w:val="center"/>
              <w:rPr>
                <w:noProof/>
                <w:sz w:val="18"/>
                <w:szCs w:val="18"/>
              </w:rPr>
            </w:pPr>
          </w:p>
        </w:tc>
        <w:tc>
          <w:tcPr>
            <w:tcW w:w="900" w:type="dxa"/>
          </w:tcPr>
          <w:p>
            <w:pPr>
              <w:ind w:right="-29"/>
              <w:jc w:val="center"/>
              <w:rPr>
                <w:noProof/>
                <w:sz w:val="18"/>
                <w:szCs w:val="18"/>
              </w:rPr>
            </w:pPr>
          </w:p>
        </w:tc>
      </w:tr>
      <w:tr>
        <w:trPr>
          <w:trHeight w:hRule="exact" w:val="369"/>
          <w:jc w:val="center"/>
        </w:trPr>
        <w:tc>
          <w:tcPr>
            <w:tcW w:w="1078" w:type="dxa"/>
          </w:tcPr>
          <w:p>
            <w:pPr>
              <w:ind w:right="-29"/>
              <w:jc w:val="center"/>
              <w:rPr>
                <w:noProof/>
                <w:sz w:val="18"/>
                <w:szCs w:val="18"/>
              </w:rPr>
            </w:pPr>
            <w:r>
              <w:rPr>
                <w:noProof/>
                <w:sz w:val="18"/>
              </w:rPr>
              <w:t>- Output</w:t>
            </w:r>
          </w:p>
        </w:tc>
        <w:tc>
          <w:tcPr>
            <w:tcW w:w="1065" w:type="dxa"/>
          </w:tcPr>
          <w:p>
            <w:pPr>
              <w:ind w:right="-29"/>
              <w:jc w:val="center"/>
              <w:rPr>
                <w:noProof/>
                <w:sz w:val="18"/>
                <w:szCs w:val="18"/>
              </w:rPr>
            </w:pPr>
          </w:p>
        </w:tc>
        <w:tc>
          <w:tcPr>
            <w:tcW w:w="701" w:type="dxa"/>
          </w:tcPr>
          <w:p>
            <w:pPr>
              <w:ind w:right="-29"/>
              <w:jc w:val="center"/>
              <w:rPr>
                <w:noProof/>
                <w:sz w:val="18"/>
                <w:szCs w:val="18"/>
              </w:rPr>
            </w:pPr>
          </w:p>
        </w:tc>
        <w:tc>
          <w:tcPr>
            <w:tcW w:w="504" w:type="dxa"/>
          </w:tcPr>
          <w:p>
            <w:pPr>
              <w:ind w:right="-29"/>
              <w:jc w:val="center"/>
              <w:rPr>
                <w:noProof/>
                <w:sz w:val="18"/>
                <w:szCs w:val="18"/>
              </w:rPr>
            </w:pPr>
          </w:p>
        </w:tc>
        <w:tc>
          <w:tcPr>
            <w:tcW w:w="720" w:type="dxa"/>
          </w:tcPr>
          <w:p>
            <w:pPr>
              <w:ind w:right="-29"/>
              <w:jc w:val="center"/>
              <w:rPr>
                <w:noProof/>
                <w:sz w:val="18"/>
                <w:szCs w:val="18"/>
              </w:rPr>
            </w:pPr>
          </w:p>
        </w:tc>
        <w:tc>
          <w:tcPr>
            <w:tcW w:w="540" w:type="dxa"/>
          </w:tcPr>
          <w:p>
            <w:pPr>
              <w:ind w:right="-29"/>
              <w:jc w:val="center"/>
              <w:rPr>
                <w:noProof/>
                <w:sz w:val="18"/>
                <w:szCs w:val="18"/>
              </w:rPr>
            </w:pPr>
          </w:p>
        </w:tc>
        <w:tc>
          <w:tcPr>
            <w:tcW w:w="720" w:type="dxa"/>
          </w:tcPr>
          <w:p>
            <w:pPr>
              <w:ind w:right="-29"/>
              <w:jc w:val="center"/>
              <w:rPr>
                <w:noProof/>
                <w:sz w:val="18"/>
                <w:szCs w:val="18"/>
              </w:rPr>
            </w:pPr>
          </w:p>
        </w:tc>
        <w:tc>
          <w:tcPr>
            <w:tcW w:w="720" w:type="dxa"/>
          </w:tcPr>
          <w:p>
            <w:pPr>
              <w:ind w:right="-29"/>
              <w:jc w:val="center"/>
              <w:rPr>
                <w:noProof/>
                <w:sz w:val="18"/>
                <w:szCs w:val="18"/>
              </w:rPr>
            </w:pPr>
          </w:p>
        </w:tc>
        <w:tc>
          <w:tcPr>
            <w:tcW w:w="720" w:type="dxa"/>
          </w:tcPr>
          <w:p>
            <w:pPr>
              <w:ind w:right="-29"/>
              <w:jc w:val="center"/>
              <w:rPr>
                <w:noProof/>
                <w:sz w:val="18"/>
                <w:szCs w:val="18"/>
              </w:rPr>
            </w:pPr>
          </w:p>
        </w:tc>
        <w:tc>
          <w:tcPr>
            <w:tcW w:w="900" w:type="dxa"/>
          </w:tcPr>
          <w:p>
            <w:pPr>
              <w:ind w:right="-29"/>
              <w:jc w:val="center"/>
              <w:rPr>
                <w:noProof/>
                <w:sz w:val="18"/>
                <w:szCs w:val="18"/>
              </w:rPr>
            </w:pPr>
          </w:p>
        </w:tc>
        <w:tc>
          <w:tcPr>
            <w:tcW w:w="720" w:type="dxa"/>
            <w:gridSpan w:val="2"/>
          </w:tcPr>
          <w:p>
            <w:pPr>
              <w:ind w:right="-29"/>
              <w:jc w:val="center"/>
              <w:rPr>
                <w:noProof/>
                <w:sz w:val="18"/>
                <w:szCs w:val="18"/>
              </w:rPr>
            </w:pPr>
          </w:p>
        </w:tc>
        <w:tc>
          <w:tcPr>
            <w:tcW w:w="540" w:type="dxa"/>
          </w:tcPr>
          <w:p>
            <w:pPr>
              <w:ind w:right="-29"/>
              <w:jc w:val="center"/>
              <w:rPr>
                <w:noProof/>
                <w:sz w:val="18"/>
                <w:szCs w:val="18"/>
              </w:rPr>
            </w:pPr>
          </w:p>
        </w:tc>
        <w:tc>
          <w:tcPr>
            <w:tcW w:w="648" w:type="dxa"/>
          </w:tcPr>
          <w:p>
            <w:pPr>
              <w:ind w:right="-29"/>
              <w:jc w:val="center"/>
              <w:rPr>
                <w:noProof/>
                <w:sz w:val="18"/>
                <w:szCs w:val="18"/>
              </w:rPr>
            </w:pPr>
          </w:p>
        </w:tc>
        <w:tc>
          <w:tcPr>
            <w:tcW w:w="432" w:type="dxa"/>
          </w:tcPr>
          <w:p>
            <w:pPr>
              <w:ind w:right="-29"/>
              <w:jc w:val="center"/>
              <w:rPr>
                <w:noProof/>
                <w:sz w:val="18"/>
                <w:szCs w:val="18"/>
              </w:rPr>
            </w:pPr>
          </w:p>
        </w:tc>
        <w:tc>
          <w:tcPr>
            <w:tcW w:w="720" w:type="dxa"/>
          </w:tcPr>
          <w:p>
            <w:pPr>
              <w:ind w:right="-29"/>
              <w:jc w:val="center"/>
              <w:rPr>
                <w:noProof/>
                <w:sz w:val="18"/>
                <w:szCs w:val="18"/>
              </w:rPr>
            </w:pPr>
          </w:p>
        </w:tc>
        <w:tc>
          <w:tcPr>
            <w:tcW w:w="540" w:type="dxa"/>
          </w:tcPr>
          <w:p>
            <w:pPr>
              <w:ind w:right="-29"/>
              <w:jc w:val="center"/>
              <w:rPr>
                <w:noProof/>
                <w:sz w:val="18"/>
                <w:szCs w:val="18"/>
              </w:rPr>
            </w:pPr>
          </w:p>
        </w:tc>
        <w:tc>
          <w:tcPr>
            <w:tcW w:w="720" w:type="dxa"/>
          </w:tcPr>
          <w:p>
            <w:pPr>
              <w:ind w:right="-29"/>
              <w:jc w:val="center"/>
              <w:rPr>
                <w:noProof/>
                <w:sz w:val="18"/>
                <w:szCs w:val="18"/>
              </w:rPr>
            </w:pPr>
          </w:p>
        </w:tc>
        <w:tc>
          <w:tcPr>
            <w:tcW w:w="720" w:type="dxa"/>
          </w:tcPr>
          <w:p>
            <w:pPr>
              <w:ind w:right="-29"/>
              <w:jc w:val="center"/>
              <w:rPr>
                <w:noProof/>
                <w:sz w:val="18"/>
                <w:szCs w:val="18"/>
              </w:rPr>
            </w:pPr>
          </w:p>
        </w:tc>
        <w:tc>
          <w:tcPr>
            <w:tcW w:w="900" w:type="dxa"/>
          </w:tcPr>
          <w:p>
            <w:pPr>
              <w:ind w:right="-29"/>
              <w:jc w:val="center"/>
              <w:rPr>
                <w:noProof/>
                <w:sz w:val="18"/>
                <w:szCs w:val="18"/>
              </w:rPr>
            </w:pPr>
          </w:p>
        </w:tc>
      </w:tr>
      <w:tr>
        <w:trPr>
          <w:jc w:val="center"/>
        </w:trPr>
        <w:tc>
          <w:tcPr>
            <w:tcW w:w="2844" w:type="dxa"/>
            <w:gridSpan w:val="3"/>
            <w:tcBorders>
              <w:bottom w:val="single" w:sz="12" w:space="0" w:color="auto"/>
            </w:tcBorders>
            <w:vAlign w:val="center"/>
          </w:tcPr>
          <w:p>
            <w:pPr>
              <w:ind w:right="-29"/>
              <w:jc w:val="center"/>
              <w:rPr>
                <w:noProof/>
                <w:sz w:val="18"/>
                <w:szCs w:val="18"/>
              </w:rPr>
            </w:pPr>
            <w:r>
              <w:rPr>
                <w:noProof/>
                <w:sz w:val="18"/>
              </w:rPr>
              <w:t>Subtotal for specific objective No 1</w:t>
            </w:r>
          </w:p>
        </w:tc>
        <w:tc>
          <w:tcPr>
            <w:tcW w:w="504" w:type="dxa"/>
            <w:tcBorders>
              <w:bottom w:val="single" w:sz="12" w:space="0" w:color="auto"/>
            </w:tcBorders>
          </w:tcPr>
          <w:p>
            <w:pPr>
              <w:ind w:right="-29"/>
              <w:jc w:val="center"/>
              <w:rPr>
                <w:noProof/>
                <w:sz w:val="18"/>
                <w:szCs w:val="18"/>
              </w:rPr>
            </w:pPr>
          </w:p>
        </w:tc>
        <w:tc>
          <w:tcPr>
            <w:tcW w:w="720" w:type="dxa"/>
            <w:tcBorders>
              <w:bottom w:val="single" w:sz="12" w:space="0" w:color="auto"/>
            </w:tcBorders>
          </w:tcPr>
          <w:p>
            <w:pPr>
              <w:ind w:right="-29"/>
              <w:jc w:val="center"/>
              <w:rPr>
                <w:noProof/>
                <w:sz w:val="18"/>
                <w:szCs w:val="18"/>
              </w:rPr>
            </w:pPr>
            <w:r>
              <w:rPr>
                <w:noProof/>
                <w:sz w:val="18"/>
                <w:szCs w:val="18"/>
              </w:rPr>
              <w:t>0.500</w:t>
            </w:r>
          </w:p>
        </w:tc>
        <w:tc>
          <w:tcPr>
            <w:tcW w:w="540" w:type="dxa"/>
            <w:tcBorders>
              <w:bottom w:val="single" w:sz="12" w:space="0" w:color="auto"/>
            </w:tcBorders>
          </w:tcPr>
          <w:p>
            <w:pPr>
              <w:ind w:right="-29"/>
              <w:jc w:val="center"/>
              <w:rPr>
                <w:noProof/>
                <w:sz w:val="18"/>
                <w:szCs w:val="18"/>
              </w:rPr>
            </w:pPr>
          </w:p>
        </w:tc>
        <w:tc>
          <w:tcPr>
            <w:tcW w:w="720" w:type="dxa"/>
            <w:tcBorders>
              <w:bottom w:val="single" w:sz="12" w:space="0" w:color="auto"/>
            </w:tcBorders>
          </w:tcPr>
          <w:p>
            <w:pPr>
              <w:ind w:right="-29"/>
              <w:jc w:val="center"/>
              <w:rPr>
                <w:noProof/>
                <w:sz w:val="18"/>
                <w:szCs w:val="18"/>
              </w:rPr>
            </w:pPr>
            <w:r>
              <w:rPr>
                <w:noProof/>
                <w:sz w:val="18"/>
                <w:szCs w:val="18"/>
              </w:rPr>
              <w:t>0.500</w:t>
            </w:r>
          </w:p>
        </w:tc>
        <w:tc>
          <w:tcPr>
            <w:tcW w:w="720" w:type="dxa"/>
            <w:tcBorders>
              <w:bottom w:val="single" w:sz="12" w:space="0" w:color="auto"/>
            </w:tcBorders>
          </w:tcPr>
          <w:p>
            <w:pPr>
              <w:ind w:right="-29"/>
              <w:jc w:val="center"/>
              <w:rPr>
                <w:noProof/>
                <w:sz w:val="18"/>
                <w:szCs w:val="18"/>
              </w:rPr>
            </w:pPr>
          </w:p>
        </w:tc>
        <w:tc>
          <w:tcPr>
            <w:tcW w:w="720" w:type="dxa"/>
            <w:tcBorders>
              <w:bottom w:val="single" w:sz="12" w:space="0" w:color="auto"/>
            </w:tcBorders>
          </w:tcPr>
          <w:p>
            <w:pPr>
              <w:ind w:right="-29"/>
              <w:jc w:val="center"/>
              <w:rPr>
                <w:noProof/>
                <w:sz w:val="18"/>
                <w:szCs w:val="18"/>
              </w:rPr>
            </w:pPr>
            <w:r>
              <w:rPr>
                <w:noProof/>
                <w:sz w:val="18"/>
                <w:szCs w:val="18"/>
              </w:rPr>
              <w:t>0.500</w:t>
            </w:r>
          </w:p>
        </w:tc>
        <w:tc>
          <w:tcPr>
            <w:tcW w:w="900" w:type="dxa"/>
            <w:tcBorders>
              <w:bottom w:val="single" w:sz="12" w:space="0" w:color="auto"/>
            </w:tcBorders>
          </w:tcPr>
          <w:p>
            <w:pPr>
              <w:ind w:right="-29"/>
              <w:jc w:val="center"/>
              <w:rPr>
                <w:noProof/>
                <w:sz w:val="18"/>
                <w:szCs w:val="18"/>
              </w:rPr>
            </w:pPr>
          </w:p>
        </w:tc>
        <w:tc>
          <w:tcPr>
            <w:tcW w:w="720" w:type="dxa"/>
            <w:gridSpan w:val="2"/>
            <w:tcBorders>
              <w:bottom w:val="single" w:sz="12" w:space="0" w:color="auto"/>
            </w:tcBorders>
          </w:tcPr>
          <w:p>
            <w:pPr>
              <w:ind w:right="-29"/>
              <w:jc w:val="center"/>
              <w:rPr>
                <w:noProof/>
                <w:sz w:val="18"/>
                <w:szCs w:val="18"/>
              </w:rPr>
            </w:pPr>
            <w:r>
              <w:rPr>
                <w:noProof/>
                <w:sz w:val="18"/>
                <w:szCs w:val="18"/>
              </w:rPr>
              <w:t>0.500</w:t>
            </w:r>
          </w:p>
        </w:tc>
        <w:tc>
          <w:tcPr>
            <w:tcW w:w="540" w:type="dxa"/>
            <w:tcBorders>
              <w:bottom w:val="single" w:sz="12" w:space="0" w:color="auto"/>
            </w:tcBorders>
          </w:tcPr>
          <w:p>
            <w:pPr>
              <w:ind w:right="-29"/>
              <w:jc w:val="center"/>
              <w:rPr>
                <w:noProof/>
                <w:sz w:val="18"/>
                <w:szCs w:val="18"/>
              </w:rPr>
            </w:pPr>
          </w:p>
        </w:tc>
        <w:tc>
          <w:tcPr>
            <w:tcW w:w="648" w:type="dxa"/>
            <w:tcBorders>
              <w:bottom w:val="single" w:sz="12" w:space="0" w:color="auto"/>
            </w:tcBorders>
          </w:tcPr>
          <w:p>
            <w:pPr>
              <w:ind w:right="-29"/>
              <w:jc w:val="center"/>
              <w:rPr>
                <w:noProof/>
                <w:sz w:val="18"/>
                <w:szCs w:val="18"/>
              </w:rPr>
            </w:pPr>
          </w:p>
        </w:tc>
        <w:tc>
          <w:tcPr>
            <w:tcW w:w="432" w:type="dxa"/>
            <w:tcBorders>
              <w:bottom w:val="single" w:sz="12" w:space="0" w:color="auto"/>
            </w:tcBorders>
          </w:tcPr>
          <w:p>
            <w:pPr>
              <w:ind w:right="-29"/>
              <w:jc w:val="center"/>
              <w:rPr>
                <w:noProof/>
                <w:sz w:val="18"/>
                <w:szCs w:val="18"/>
              </w:rPr>
            </w:pPr>
          </w:p>
        </w:tc>
        <w:tc>
          <w:tcPr>
            <w:tcW w:w="720" w:type="dxa"/>
            <w:tcBorders>
              <w:bottom w:val="single" w:sz="12" w:space="0" w:color="auto"/>
            </w:tcBorders>
          </w:tcPr>
          <w:p>
            <w:pPr>
              <w:ind w:right="-29"/>
              <w:jc w:val="center"/>
              <w:rPr>
                <w:noProof/>
                <w:sz w:val="18"/>
                <w:szCs w:val="18"/>
              </w:rPr>
            </w:pPr>
          </w:p>
        </w:tc>
        <w:tc>
          <w:tcPr>
            <w:tcW w:w="540" w:type="dxa"/>
            <w:tcBorders>
              <w:bottom w:val="single" w:sz="12" w:space="0" w:color="auto"/>
            </w:tcBorders>
          </w:tcPr>
          <w:p>
            <w:pPr>
              <w:ind w:right="-29"/>
              <w:jc w:val="center"/>
              <w:rPr>
                <w:noProof/>
                <w:sz w:val="18"/>
                <w:szCs w:val="18"/>
              </w:rPr>
            </w:pPr>
          </w:p>
        </w:tc>
        <w:tc>
          <w:tcPr>
            <w:tcW w:w="720" w:type="dxa"/>
            <w:tcBorders>
              <w:bottom w:val="single" w:sz="12" w:space="0" w:color="auto"/>
            </w:tcBorders>
          </w:tcPr>
          <w:p>
            <w:pPr>
              <w:ind w:right="-29"/>
              <w:jc w:val="center"/>
              <w:rPr>
                <w:noProof/>
                <w:sz w:val="18"/>
                <w:szCs w:val="18"/>
              </w:rPr>
            </w:pPr>
          </w:p>
        </w:tc>
        <w:tc>
          <w:tcPr>
            <w:tcW w:w="720" w:type="dxa"/>
            <w:tcBorders>
              <w:bottom w:val="single" w:sz="12" w:space="0" w:color="auto"/>
            </w:tcBorders>
          </w:tcPr>
          <w:p>
            <w:pPr>
              <w:ind w:right="-29"/>
              <w:jc w:val="center"/>
              <w:rPr>
                <w:noProof/>
                <w:sz w:val="18"/>
                <w:szCs w:val="18"/>
              </w:rPr>
            </w:pPr>
          </w:p>
        </w:tc>
        <w:tc>
          <w:tcPr>
            <w:tcW w:w="900" w:type="dxa"/>
            <w:tcBorders>
              <w:bottom w:val="single" w:sz="12" w:space="0" w:color="auto"/>
            </w:tcBorders>
          </w:tcPr>
          <w:p>
            <w:pPr>
              <w:ind w:right="-29"/>
              <w:jc w:val="center"/>
              <w:rPr>
                <w:noProof/>
                <w:sz w:val="18"/>
                <w:szCs w:val="18"/>
              </w:rPr>
            </w:pPr>
          </w:p>
        </w:tc>
      </w:tr>
      <w:tr>
        <w:trPr>
          <w:jc w:val="center"/>
        </w:trPr>
        <w:tc>
          <w:tcPr>
            <w:tcW w:w="2844" w:type="dxa"/>
            <w:gridSpan w:val="3"/>
            <w:vAlign w:val="center"/>
          </w:tcPr>
          <w:p>
            <w:pPr>
              <w:spacing w:before="60" w:after="60"/>
              <w:ind w:right="-29"/>
              <w:jc w:val="center"/>
              <w:rPr>
                <w:noProof/>
                <w:sz w:val="18"/>
                <w:szCs w:val="18"/>
              </w:rPr>
            </w:pPr>
            <w:r>
              <w:rPr>
                <w:noProof/>
                <w:sz w:val="18"/>
              </w:rPr>
              <w:t>SPECIFIC OBJECTIVE No 2 ...</w:t>
            </w:r>
          </w:p>
        </w:tc>
        <w:tc>
          <w:tcPr>
            <w:tcW w:w="504" w:type="dxa"/>
            <w:tcBorders>
              <w:top w:val="nil"/>
              <w:left w:val="nil"/>
              <w:bottom w:val="nil"/>
              <w:right w:val="nil"/>
            </w:tcBorders>
          </w:tcPr>
          <w:p>
            <w:pPr>
              <w:spacing w:before="60" w:after="60"/>
              <w:ind w:right="-29"/>
              <w:jc w:val="center"/>
              <w:rPr>
                <w:noProof/>
                <w:sz w:val="18"/>
                <w:szCs w:val="18"/>
              </w:rPr>
            </w:pPr>
          </w:p>
        </w:tc>
        <w:tc>
          <w:tcPr>
            <w:tcW w:w="720" w:type="dxa"/>
            <w:tcBorders>
              <w:top w:val="nil"/>
              <w:left w:val="nil"/>
              <w:bottom w:val="nil"/>
              <w:right w:val="nil"/>
            </w:tcBorders>
          </w:tcPr>
          <w:p>
            <w:pPr>
              <w:spacing w:before="60" w:after="60"/>
              <w:ind w:right="-29"/>
              <w:jc w:val="center"/>
              <w:rPr>
                <w:noProof/>
                <w:sz w:val="18"/>
                <w:szCs w:val="18"/>
              </w:rPr>
            </w:pPr>
          </w:p>
        </w:tc>
        <w:tc>
          <w:tcPr>
            <w:tcW w:w="540" w:type="dxa"/>
            <w:tcBorders>
              <w:top w:val="nil"/>
              <w:left w:val="nil"/>
              <w:bottom w:val="nil"/>
              <w:right w:val="nil"/>
            </w:tcBorders>
          </w:tcPr>
          <w:p>
            <w:pPr>
              <w:spacing w:before="60" w:after="60"/>
              <w:ind w:right="-29"/>
              <w:jc w:val="center"/>
              <w:rPr>
                <w:noProof/>
                <w:sz w:val="18"/>
                <w:szCs w:val="18"/>
              </w:rPr>
            </w:pPr>
          </w:p>
        </w:tc>
        <w:tc>
          <w:tcPr>
            <w:tcW w:w="720" w:type="dxa"/>
            <w:tcBorders>
              <w:top w:val="nil"/>
              <w:left w:val="nil"/>
              <w:bottom w:val="nil"/>
              <w:right w:val="nil"/>
            </w:tcBorders>
          </w:tcPr>
          <w:p>
            <w:pPr>
              <w:spacing w:before="60" w:after="60"/>
              <w:ind w:right="-29"/>
              <w:jc w:val="center"/>
              <w:rPr>
                <w:noProof/>
                <w:sz w:val="18"/>
                <w:szCs w:val="18"/>
              </w:rPr>
            </w:pPr>
          </w:p>
        </w:tc>
        <w:tc>
          <w:tcPr>
            <w:tcW w:w="720" w:type="dxa"/>
            <w:tcBorders>
              <w:top w:val="nil"/>
              <w:left w:val="nil"/>
              <w:bottom w:val="nil"/>
              <w:right w:val="nil"/>
            </w:tcBorders>
          </w:tcPr>
          <w:p>
            <w:pPr>
              <w:spacing w:before="60" w:after="60"/>
              <w:ind w:right="-29"/>
              <w:jc w:val="center"/>
              <w:rPr>
                <w:noProof/>
                <w:sz w:val="18"/>
                <w:szCs w:val="18"/>
              </w:rPr>
            </w:pPr>
          </w:p>
        </w:tc>
        <w:tc>
          <w:tcPr>
            <w:tcW w:w="720" w:type="dxa"/>
            <w:tcBorders>
              <w:top w:val="nil"/>
              <w:left w:val="nil"/>
              <w:bottom w:val="nil"/>
              <w:right w:val="nil"/>
            </w:tcBorders>
          </w:tcPr>
          <w:p>
            <w:pPr>
              <w:spacing w:before="60" w:after="60"/>
              <w:ind w:right="-29"/>
              <w:jc w:val="center"/>
              <w:rPr>
                <w:noProof/>
                <w:sz w:val="18"/>
                <w:szCs w:val="18"/>
              </w:rPr>
            </w:pPr>
          </w:p>
        </w:tc>
        <w:tc>
          <w:tcPr>
            <w:tcW w:w="900" w:type="dxa"/>
            <w:tcBorders>
              <w:top w:val="nil"/>
              <w:left w:val="nil"/>
              <w:bottom w:val="nil"/>
              <w:right w:val="nil"/>
            </w:tcBorders>
          </w:tcPr>
          <w:p>
            <w:pPr>
              <w:spacing w:before="60" w:after="60"/>
              <w:ind w:right="-29"/>
              <w:jc w:val="center"/>
              <w:rPr>
                <w:noProof/>
                <w:sz w:val="18"/>
                <w:szCs w:val="18"/>
              </w:rPr>
            </w:pPr>
          </w:p>
        </w:tc>
        <w:tc>
          <w:tcPr>
            <w:tcW w:w="720" w:type="dxa"/>
            <w:gridSpan w:val="2"/>
            <w:tcBorders>
              <w:top w:val="nil"/>
              <w:left w:val="nil"/>
              <w:bottom w:val="nil"/>
              <w:right w:val="nil"/>
            </w:tcBorders>
          </w:tcPr>
          <w:p>
            <w:pPr>
              <w:spacing w:before="60" w:after="60"/>
              <w:ind w:right="-29"/>
              <w:jc w:val="center"/>
              <w:rPr>
                <w:noProof/>
                <w:sz w:val="18"/>
                <w:szCs w:val="18"/>
              </w:rPr>
            </w:pPr>
          </w:p>
        </w:tc>
        <w:tc>
          <w:tcPr>
            <w:tcW w:w="540" w:type="dxa"/>
            <w:tcBorders>
              <w:top w:val="nil"/>
              <w:left w:val="nil"/>
              <w:bottom w:val="nil"/>
              <w:right w:val="nil"/>
            </w:tcBorders>
          </w:tcPr>
          <w:p>
            <w:pPr>
              <w:spacing w:before="60" w:after="60"/>
              <w:ind w:right="-29"/>
              <w:jc w:val="center"/>
              <w:rPr>
                <w:noProof/>
                <w:sz w:val="18"/>
                <w:szCs w:val="18"/>
              </w:rPr>
            </w:pPr>
          </w:p>
        </w:tc>
        <w:tc>
          <w:tcPr>
            <w:tcW w:w="648" w:type="dxa"/>
            <w:tcBorders>
              <w:top w:val="nil"/>
              <w:left w:val="nil"/>
              <w:bottom w:val="nil"/>
              <w:right w:val="nil"/>
            </w:tcBorders>
          </w:tcPr>
          <w:p>
            <w:pPr>
              <w:spacing w:before="60" w:after="60"/>
              <w:ind w:right="-29"/>
              <w:jc w:val="center"/>
              <w:rPr>
                <w:noProof/>
                <w:sz w:val="18"/>
                <w:szCs w:val="18"/>
              </w:rPr>
            </w:pPr>
          </w:p>
        </w:tc>
        <w:tc>
          <w:tcPr>
            <w:tcW w:w="432" w:type="dxa"/>
            <w:tcBorders>
              <w:top w:val="nil"/>
              <w:left w:val="nil"/>
              <w:bottom w:val="nil"/>
              <w:right w:val="nil"/>
            </w:tcBorders>
          </w:tcPr>
          <w:p>
            <w:pPr>
              <w:spacing w:before="60" w:after="60"/>
              <w:ind w:right="-29"/>
              <w:jc w:val="center"/>
              <w:rPr>
                <w:noProof/>
                <w:sz w:val="18"/>
                <w:szCs w:val="18"/>
              </w:rPr>
            </w:pPr>
          </w:p>
        </w:tc>
        <w:tc>
          <w:tcPr>
            <w:tcW w:w="720" w:type="dxa"/>
            <w:tcBorders>
              <w:top w:val="nil"/>
              <w:left w:val="nil"/>
              <w:bottom w:val="nil"/>
              <w:right w:val="nil"/>
            </w:tcBorders>
          </w:tcPr>
          <w:p>
            <w:pPr>
              <w:spacing w:before="60" w:after="60"/>
              <w:ind w:right="-29"/>
              <w:jc w:val="center"/>
              <w:rPr>
                <w:noProof/>
                <w:sz w:val="18"/>
                <w:szCs w:val="18"/>
              </w:rPr>
            </w:pPr>
          </w:p>
        </w:tc>
        <w:tc>
          <w:tcPr>
            <w:tcW w:w="540" w:type="dxa"/>
            <w:tcBorders>
              <w:top w:val="nil"/>
              <w:left w:val="nil"/>
              <w:bottom w:val="nil"/>
              <w:right w:val="nil"/>
            </w:tcBorders>
          </w:tcPr>
          <w:p>
            <w:pPr>
              <w:spacing w:before="60" w:after="60"/>
              <w:ind w:right="-29"/>
              <w:jc w:val="center"/>
              <w:rPr>
                <w:noProof/>
                <w:sz w:val="18"/>
                <w:szCs w:val="18"/>
              </w:rPr>
            </w:pPr>
          </w:p>
        </w:tc>
        <w:tc>
          <w:tcPr>
            <w:tcW w:w="720" w:type="dxa"/>
            <w:tcBorders>
              <w:top w:val="nil"/>
              <w:left w:val="nil"/>
              <w:bottom w:val="nil"/>
              <w:right w:val="nil"/>
            </w:tcBorders>
          </w:tcPr>
          <w:p>
            <w:pPr>
              <w:spacing w:before="60" w:after="60"/>
              <w:ind w:right="-29"/>
              <w:jc w:val="center"/>
              <w:rPr>
                <w:noProof/>
                <w:sz w:val="18"/>
                <w:szCs w:val="18"/>
              </w:rPr>
            </w:pPr>
          </w:p>
        </w:tc>
        <w:tc>
          <w:tcPr>
            <w:tcW w:w="720" w:type="dxa"/>
            <w:tcBorders>
              <w:top w:val="nil"/>
              <w:left w:val="nil"/>
              <w:bottom w:val="nil"/>
              <w:right w:val="nil"/>
            </w:tcBorders>
          </w:tcPr>
          <w:p>
            <w:pPr>
              <w:spacing w:before="60" w:after="60"/>
              <w:ind w:right="-29"/>
              <w:jc w:val="center"/>
              <w:rPr>
                <w:noProof/>
                <w:sz w:val="18"/>
                <w:szCs w:val="18"/>
              </w:rPr>
            </w:pPr>
          </w:p>
        </w:tc>
        <w:tc>
          <w:tcPr>
            <w:tcW w:w="900" w:type="dxa"/>
            <w:tcBorders>
              <w:top w:val="nil"/>
              <w:left w:val="nil"/>
              <w:bottom w:val="nil"/>
              <w:right w:val="nil"/>
            </w:tcBorders>
          </w:tcPr>
          <w:p>
            <w:pPr>
              <w:spacing w:before="60" w:after="60"/>
              <w:ind w:right="-29"/>
              <w:jc w:val="center"/>
              <w:rPr>
                <w:noProof/>
                <w:sz w:val="18"/>
                <w:szCs w:val="18"/>
              </w:rPr>
            </w:pPr>
          </w:p>
        </w:tc>
      </w:tr>
      <w:tr>
        <w:trPr>
          <w:trHeight w:hRule="exact" w:val="369"/>
          <w:jc w:val="center"/>
        </w:trPr>
        <w:tc>
          <w:tcPr>
            <w:tcW w:w="1078" w:type="dxa"/>
          </w:tcPr>
          <w:p>
            <w:pPr>
              <w:ind w:right="-29"/>
              <w:jc w:val="center"/>
              <w:rPr>
                <w:noProof/>
                <w:sz w:val="18"/>
                <w:szCs w:val="18"/>
              </w:rPr>
            </w:pPr>
            <w:r>
              <w:rPr>
                <w:noProof/>
                <w:sz w:val="18"/>
              </w:rPr>
              <w:t>- Output</w:t>
            </w:r>
          </w:p>
        </w:tc>
        <w:tc>
          <w:tcPr>
            <w:tcW w:w="1065" w:type="dxa"/>
          </w:tcPr>
          <w:p>
            <w:pPr>
              <w:ind w:right="-29"/>
              <w:jc w:val="center"/>
              <w:rPr>
                <w:noProof/>
                <w:sz w:val="18"/>
                <w:szCs w:val="18"/>
              </w:rPr>
            </w:pPr>
          </w:p>
        </w:tc>
        <w:tc>
          <w:tcPr>
            <w:tcW w:w="701" w:type="dxa"/>
          </w:tcPr>
          <w:p>
            <w:pPr>
              <w:ind w:right="-29"/>
              <w:jc w:val="center"/>
              <w:rPr>
                <w:noProof/>
                <w:sz w:val="18"/>
                <w:szCs w:val="18"/>
              </w:rPr>
            </w:pPr>
          </w:p>
        </w:tc>
        <w:tc>
          <w:tcPr>
            <w:tcW w:w="504" w:type="dxa"/>
          </w:tcPr>
          <w:p>
            <w:pPr>
              <w:ind w:right="-29"/>
              <w:jc w:val="center"/>
              <w:rPr>
                <w:noProof/>
                <w:sz w:val="18"/>
                <w:szCs w:val="18"/>
              </w:rPr>
            </w:pPr>
          </w:p>
        </w:tc>
        <w:tc>
          <w:tcPr>
            <w:tcW w:w="720" w:type="dxa"/>
          </w:tcPr>
          <w:p>
            <w:pPr>
              <w:ind w:right="-29"/>
              <w:jc w:val="center"/>
              <w:rPr>
                <w:noProof/>
                <w:sz w:val="18"/>
                <w:szCs w:val="18"/>
              </w:rPr>
            </w:pPr>
          </w:p>
        </w:tc>
        <w:tc>
          <w:tcPr>
            <w:tcW w:w="540" w:type="dxa"/>
          </w:tcPr>
          <w:p>
            <w:pPr>
              <w:ind w:right="-29"/>
              <w:jc w:val="center"/>
              <w:rPr>
                <w:noProof/>
                <w:sz w:val="18"/>
                <w:szCs w:val="18"/>
              </w:rPr>
            </w:pPr>
          </w:p>
        </w:tc>
        <w:tc>
          <w:tcPr>
            <w:tcW w:w="720" w:type="dxa"/>
          </w:tcPr>
          <w:p>
            <w:pPr>
              <w:ind w:right="-29"/>
              <w:jc w:val="center"/>
              <w:rPr>
                <w:noProof/>
                <w:sz w:val="18"/>
                <w:szCs w:val="18"/>
              </w:rPr>
            </w:pPr>
          </w:p>
        </w:tc>
        <w:tc>
          <w:tcPr>
            <w:tcW w:w="720" w:type="dxa"/>
          </w:tcPr>
          <w:p>
            <w:pPr>
              <w:ind w:right="-29"/>
              <w:jc w:val="center"/>
              <w:rPr>
                <w:noProof/>
                <w:sz w:val="18"/>
                <w:szCs w:val="18"/>
              </w:rPr>
            </w:pPr>
          </w:p>
        </w:tc>
        <w:tc>
          <w:tcPr>
            <w:tcW w:w="720" w:type="dxa"/>
          </w:tcPr>
          <w:p>
            <w:pPr>
              <w:ind w:right="-29"/>
              <w:jc w:val="center"/>
              <w:rPr>
                <w:noProof/>
                <w:sz w:val="18"/>
                <w:szCs w:val="18"/>
              </w:rPr>
            </w:pPr>
          </w:p>
        </w:tc>
        <w:tc>
          <w:tcPr>
            <w:tcW w:w="900" w:type="dxa"/>
          </w:tcPr>
          <w:p>
            <w:pPr>
              <w:ind w:right="-29"/>
              <w:jc w:val="center"/>
              <w:rPr>
                <w:noProof/>
                <w:sz w:val="18"/>
                <w:szCs w:val="18"/>
              </w:rPr>
            </w:pPr>
          </w:p>
        </w:tc>
        <w:tc>
          <w:tcPr>
            <w:tcW w:w="720" w:type="dxa"/>
            <w:gridSpan w:val="2"/>
          </w:tcPr>
          <w:p>
            <w:pPr>
              <w:ind w:right="-29"/>
              <w:jc w:val="center"/>
              <w:rPr>
                <w:noProof/>
                <w:sz w:val="18"/>
                <w:szCs w:val="18"/>
              </w:rPr>
            </w:pPr>
          </w:p>
        </w:tc>
        <w:tc>
          <w:tcPr>
            <w:tcW w:w="540" w:type="dxa"/>
          </w:tcPr>
          <w:p>
            <w:pPr>
              <w:ind w:right="-29"/>
              <w:jc w:val="center"/>
              <w:rPr>
                <w:noProof/>
                <w:sz w:val="18"/>
                <w:szCs w:val="18"/>
              </w:rPr>
            </w:pPr>
          </w:p>
        </w:tc>
        <w:tc>
          <w:tcPr>
            <w:tcW w:w="648" w:type="dxa"/>
          </w:tcPr>
          <w:p>
            <w:pPr>
              <w:ind w:right="-29"/>
              <w:jc w:val="center"/>
              <w:rPr>
                <w:noProof/>
                <w:sz w:val="18"/>
                <w:szCs w:val="18"/>
              </w:rPr>
            </w:pPr>
          </w:p>
        </w:tc>
        <w:tc>
          <w:tcPr>
            <w:tcW w:w="432" w:type="dxa"/>
          </w:tcPr>
          <w:p>
            <w:pPr>
              <w:ind w:right="-29"/>
              <w:jc w:val="center"/>
              <w:rPr>
                <w:noProof/>
                <w:sz w:val="18"/>
                <w:szCs w:val="18"/>
              </w:rPr>
            </w:pPr>
          </w:p>
        </w:tc>
        <w:tc>
          <w:tcPr>
            <w:tcW w:w="720" w:type="dxa"/>
          </w:tcPr>
          <w:p>
            <w:pPr>
              <w:ind w:right="-29"/>
              <w:jc w:val="center"/>
              <w:rPr>
                <w:noProof/>
                <w:sz w:val="18"/>
                <w:szCs w:val="18"/>
              </w:rPr>
            </w:pPr>
          </w:p>
        </w:tc>
        <w:tc>
          <w:tcPr>
            <w:tcW w:w="540" w:type="dxa"/>
          </w:tcPr>
          <w:p>
            <w:pPr>
              <w:ind w:right="-29"/>
              <w:jc w:val="center"/>
              <w:rPr>
                <w:noProof/>
                <w:sz w:val="18"/>
                <w:szCs w:val="18"/>
              </w:rPr>
            </w:pPr>
          </w:p>
        </w:tc>
        <w:tc>
          <w:tcPr>
            <w:tcW w:w="720" w:type="dxa"/>
          </w:tcPr>
          <w:p>
            <w:pPr>
              <w:ind w:right="-29"/>
              <w:jc w:val="center"/>
              <w:rPr>
                <w:noProof/>
                <w:sz w:val="18"/>
                <w:szCs w:val="18"/>
              </w:rPr>
            </w:pPr>
          </w:p>
        </w:tc>
        <w:tc>
          <w:tcPr>
            <w:tcW w:w="720" w:type="dxa"/>
          </w:tcPr>
          <w:p>
            <w:pPr>
              <w:ind w:right="-29"/>
              <w:jc w:val="center"/>
              <w:rPr>
                <w:noProof/>
                <w:sz w:val="18"/>
                <w:szCs w:val="18"/>
              </w:rPr>
            </w:pPr>
          </w:p>
        </w:tc>
        <w:tc>
          <w:tcPr>
            <w:tcW w:w="900" w:type="dxa"/>
          </w:tcPr>
          <w:p>
            <w:pPr>
              <w:ind w:right="-29"/>
              <w:jc w:val="center"/>
              <w:rPr>
                <w:noProof/>
                <w:sz w:val="18"/>
                <w:szCs w:val="18"/>
              </w:rPr>
            </w:pPr>
          </w:p>
        </w:tc>
      </w:tr>
      <w:tr>
        <w:trPr>
          <w:jc w:val="center"/>
        </w:trPr>
        <w:tc>
          <w:tcPr>
            <w:tcW w:w="2844" w:type="dxa"/>
            <w:gridSpan w:val="3"/>
            <w:tcBorders>
              <w:bottom w:val="single" w:sz="12" w:space="0" w:color="auto"/>
            </w:tcBorders>
            <w:vAlign w:val="center"/>
          </w:tcPr>
          <w:p>
            <w:pPr>
              <w:jc w:val="center"/>
              <w:rPr>
                <w:noProof/>
                <w:sz w:val="18"/>
                <w:szCs w:val="18"/>
              </w:rPr>
            </w:pPr>
            <w:r>
              <w:rPr>
                <w:noProof/>
                <w:sz w:val="18"/>
              </w:rPr>
              <w:t>Subtotal for specific objective No 2</w:t>
            </w:r>
          </w:p>
        </w:tc>
        <w:tc>
          <w:tcPr>
            <w:tcW w:w="504" w:type="dxa"/>
            <w:tcBorders>
              <w:bottom w:val="single" w:sz="12" w:space="0" w:color="auto"/>
            </w:tcBorders>
          </w:tcPr>
          <w:p>
            <w:pPr>
              <w:ind w:right="-29"/>
              <w:jc w:val="center"/>
              <w:rPr>
                <w:noProof/>
                <w:sz w:val="18"/>
                <w:szCs w:val="18"/>
              </w:rPr>
            </w:pPr>
          </w:p>
        </w:tc>
        <w:tc>
          <w:tcPr>
            <w:tcW w:w="720" w:type="dxa"/>
            <w:tcBorders>
              <w:bottom w:val="single" w:sz="12" w:space="0" w:color="auto"/>
            </w:tcBorders>
          </w:tcPr>
          <w:p>
            <w:pPr>
              <w:ind w:right="-29"/>
              <w:jc w:val="center"/>
              <w:rPr>
                <w:noProof/>
                <w:sz w:val="18"/>
                <w:szCs w:val="18"/>
              </w:rPr>
            </w:pPr>
          </w:p>
        </w:tc>
        <w:tc>
          <w:tcPr>
            <w:tcW w:w="540" w:type="dxa"/>
            <w:tcBorders>
              <w:bottom w:val="single" w:sz="12" w:space="0" w:color="auto"/>
            </w:tcBorders>
          </w:tcPr>
          <w:p>
            <w:pPr>
              <w:ind w:right="-29"/>
              <w:jc w:val="center"/>
              <w:rPr>
                <w:noProof/>
                <w:sz w:val="18"/>
                <w:szCs w:val="18"/>
              </w:rPr>
            </w:pPr>
          </w:p>
        </w:tc>
        <w:tc>
          <w:tcPr>
            <w:tcW w:w="720" w:type="dxa"/>
            <w:tcBorders>
              <w:bottom w:val="single" w:sz="12" w:space="0" w:color="auto"/>
            </w:tcBorders>
          </w:tcPr>
          <w:p>
            <w:pPr>
              <w:ind w:right="-29"/>
              <w:jc w:val="center"/>
              <w:rPr>
                <w:noProof/>
                <w:sz w:val="18"/>
                <w:szCs w:val="18"/>
              </w:rPr>
            </w:pPr>
          </w:p>
        </w:tc>
        <w:tc>
          <w:tcPr>
            <w:tcW w:w="720" w:type="dxa"/>
            <w:tcBorders>
              <w:bottom w:val="single" w:sz="12" w:space="0" w:color="auto"/>
            </w:tcBorders>
          </w:tcPr>
          <w:p>
            <w:pPr>
              <w:ind w:right="-29"/>
              <w:jc w:val="center"/>
              <w:rPr>
                <w:noProof/>
                <w:sz w:val="18"/>
                <w:szCs w:val="18"/>
              </w:rPr>
            </w:pPr>
          </w:p>
        </w:tc>
        <w:tc>
          <w:tcPr>
            <w:tcW w:w="720" w:type="dxa"/>
            <w:tcBorders>
              <w:bottom w:val="single" w:sz="12" w:space="0" w:color="auto"/>
            </w:tcBorders>
          </w:tcPr>
          <w:p>
            <w:pPr>
              <w:ind w:right="-29"/>
              <w:jc w:val="center"/>
              <w:rPr>
                <w:noProof/>
                <w:sz w:val="18"/>
                <w:szCs w:val="18"/>
              </w:rPr>
            </w:pPr>
          </w:p>
        </w:tc>
        <w:tc>
          <w:tcPr>
            <w:tcW w:w="951" w:type="dxa"/>
            <w:gridSpan w:val="2"/>
            <w:tcBorders>
              <w:bottom w:val="single" w:sz="12" w:space="0" w:color="auto"/>
            </w:tcBorders>
          </w:tcPr>
          <w:p>
            <w:pPr>
              <w:ind w:right="-29"/>
              <w:jc w:val="center"/>
              <w:rPr>
                <w:noProof/>
                <w:sz w:val="18"/>
                <w:szCs w:val="18"/>
              </w:rPr>
            </w:pPr>
          </w:p>
        </w:tc>
        <w:tc>
          <w:tcPr>
            <w:tcW w:w="669" w:type="dxa"/>
            <w:tcBorders>
              <w:bottom w:val="single" w:sz="12" w:space="0" w:color="auto"/>
            </w:tcBorders>
          </w:tcPr>
          <w:p>
            <w:pPr>
              <w:ind w:right="-29"/>
              <w:jc w:val="center"/>
              <w:rPr>
                <w:noProof/>
                <w:sz w:val="18"/>
                <w:szCs w:val="18"/>
              </w:rPr>
            </w:pPr>
          </w:p>
        </w:tc>
        <w:tc>
          <w:tcPr>
            <w:tcW w:w="540" w:type="dxa"/>
            <w:tcBorders>
              <w:bottom w:val="single" w:sz="12" w:space="0" w:color="auto"/>
            </w:tcBorders>
          </w:tcPr>
          <w:p>
            <w:pPr>
              <w:ind w:right="-29"/>
              <w:jc w:val="center"/>
              <w:rPr>
                <w:noProof/>
                <w:sz w:val="18"/>
                <w:szCs w:val="18"/>
              </w:rPr>
            </w:pPr>
          </w:p>
        </w:tc>
        <w:tc>
          <w:tcPr>
            <w:tcW w:w="648" w:type="dxa"/>
            <w:tcBorders>
              <w:bottom w:val="single" w:sz="12" w:space="0" w:color="auto"/>
            </w:tcBorders>
          </w:tcPr>
          <w:p>
            <w:pPr>
              <w:ind w:right="-29"/>
              <w:jc w:val="center"/>
              <w:rPr>
                <w:noProof/>
                <w:sz w:val="18"/>
                <w:szCs w:val="18"/>
              </w:rPr>
            </w:pPr>
          </w:p>
        </w:tc>
        <w:tc>
          <w:tcPr>
            <w:tcW w:w="432" w:type="dxa"/>
            <w:tcBorders>
              <w:bottom w:val="single" w:sz="12" w:space="0" w:color="auto"/>
            </w:tcBorders>
          </w:tcPr>
          <w:p>
            <w:pPr>
              <w:ind w:right="-29"/>
              <w:jc w:val="center"/>
              <w:rPr>
                <w:noProof/>
                <w:sz w:val="18"/>
                <w:szCs w:val="18"/>
              </w:rPr>
            </w:pPr>
          </w:p>
        </w:tc>
        <w:tc>
          <w:tcPr>
            <w:tcW w:w="720" w:type="dxa"/>
            <w:tcBorders>
              <w:bottom w:val="single" w:sz="12" w:space="0" w:color="auto"/>
            </w:tcBorders>
          </w:tcPr>
          <w:p>
            <w:pPr>
              <w:ind w:right="-29"/>
              <w:jc w:val="center"/>
              <w:rPr>
                <w:noProof/>
                <w:sz w:val="18"/>
                <w:szCs w:val="18"/>
              </w:rPr>
            </w:pPr>
          </w:p>
        </w:tc>
        <w:tc>
          <w:tcPr>
            <w:tcW w:w="540" w:type="dxa"/>
            <w:tcBorders>
              <w:bottom w:val="single" w:sz="12" w:space="0" w:color="auto"/>
            </w:tcBorders>
          </w:tcPr>
          <w:p>
            <w:pPr>
              <w:ind w:right="-29"/>
              <w:jc w:val="center"/>
              <w:rPr>
                <w:noProof/>
                <w:sz w:val="18"/>
                <w:szCs w:val="18"/>
              </w:rPr>
            </w:pPr>
          </w:p>
        </w:tc>
        <w:tc>
          <w:tcPr>
            <w:tcW w:w="720" w:type="dxa"/>
            <w:tcBorders>
              <w:bottom w:val="single" w:sz="12" w:space="0" w:color="auto"/>
            </w:tcBorders>
          </w:tcPr>
          <w:p>
            <w:pPr>
              <w:ind w:right="-29"/>
              <w:jc w:val="center"/>
              <w:rPr>
                <w:noProof/>
                <w:sz w:val="18"/>
                <w:szCs w:val="18"/>
              </w:rPr>
            </w:pPr>
          </w:p>
        </w:tc>
        <w:tc>
          <w:tcPr>
            <w:tcW w:w="720" w:type="dxa"/>
            <w:tcBorders>
              <w:bottom w:val="single" w:sz="12" w:space="0" w:color="auto"/>
            </w:tcBorders>
          </w:tcPr>
          <w:p>
            <w:pPr>
              <w:ind w:right="-29"/>
              <w:jc w:val="center"/>
              <w:rPr>
                <w:noProof/>
                <w:sz w:val="18"/>
                <w:szCs w:val="18"/>
              </w:rPr>
            </w:pPr>
          </w:p>
        </w:tc>
        <w:tc>
          <w:tcPr>
            <w:tcW w:w="900" w:type="dxa"/>
            <w:tcBorders>
              <w:bottom w:val="single" w:sz="12" w:space="0" w:color="auto"/>
            </w:tcBorders>
          </w:tcPr>
          <w:p>
            <w:pPr>
              <w:ind w:right="-29"/>
              <w:jc w:val="center"/>
              <w:rPr>
                <w:noProof/>
                <w:sz w:val="18"/>
                <w:szCs w:val="18"/>
              </w:rPr>
            </w:pPr>
          </w:p>
        </w:tc>
      </w:tr>
      <w:tr>
        <w:trPr>
          <w:jc w:val="center"/>
        </w:trPr>
        <w:tc>
          <w:tcPr>
            <w:tcW w:w="2844" w:type="dxa"/>
            <w:gridSpan w:val="3"/>
            <w:tcBorders>
              <w:top w:val="single" w:sz="12" w:space="0" w:color="auto"/>
              <w:left w:val="single" w:sz="12" w:space="0" w:color="auto"/>
              <w:bottom w:val="single" w:sz="12" w:space="0" w:color="auto"/>
            </w:tcBorders>
            <w:vAlign w:val="center"/>
          </w:tcPr>
          <w:p>
            <w:pPr>
              <w:ind w:right="-29"/>
              <w:jc w:val="center"/>
              <w:rPr>
                <w:noProof/>
                <w:sz w:val="18"/>
                <w:szCs w:val="18"/>
              </w:rPr>
            </w:pPr>
            <w:r>
              <w:rPr>
                <w:b/>
                <w:noProof/>
                <w:sz w:val="18"/>
              </w:rPr>
              <w:t>TOTAL COST</w:t>
            </w:r>
          </w:p>
        </w:tc>
        <w:tc>
          <w:tcPr>
            <w:tcW w:w="504" w:type="dxa"/>
            <w:tcBorders>
              <w:top w:val="single" w:sz="12" w:space="0" w:color="auto"/>
              <w:bottom w:val="single" w:sz="12" w:space="0" w:color="auto"/>
            </w:tcBorders>
          </w:tcPr>
          <w:p>
            <w:pPr>
              <w:spacing w:before="180" w:after="180"/>
              <w:ind w:right="-29"/>
              <w:jc w:val="center"/>
              <w:rPr>
                <w:noProof/>
                <w:sz w:val="18"/>
                <w:szCs w:val="18"/>
              </w:rPr>
            </w:pPr>
          </w:p>
        </w:tc>
        <w:tc>
          <w:tcPr>
            <w:tcW w:w="720" w:type="dxa"/>
            <w:tcBorders>
              <w:top w:val="single" w:sz="12" w:space="0" w:color="auto"/>
              <w:bottom w:val="single" w:sz="12" w:space="0" w:color="auto"/>
            </w:tcBorders>
          </w:tcPr>
          <w:p>
            <w:pPr>
              <w:ind w:right="-29"/>
              <w:jc w:val="center"/>
              <w:rPr>
                <w:noProof/>
                <w:sz w:val="18"/>
                <w:szCs w:val="18"/>
              </w:rPr>
            </w:pPr>
            <w:r>
              <w:rPr>
                <w:noProof/>
                <w:sz w:val="18"/>
                <w:szCs w:val="18"/>
              </w:rPr>
              <w:t>0.500</w:t>
            </w:r>
          </w:p>
        </w:tc>
        <w:tc>
          <w:tcPr>
            <w:tcW w:w="540" w:type="dxa"/>
            <w:tcBorders>
              <w:top w:val="single" w:sz="12" w:space="0" w:color="auto"/>
              <w:bottom w:val="single" w:sz="12" w:space="0" w:color="auto"/>
            </w:tcBorders>
          </w:tcPr>
          <w:p>
            <w:pPr>
              <w:ind w:right="-29"/>
              <w:jc w:val="center"/>
              <w:rPr>
                <w:noProof/>
                <w:sz w:val="18"/>
                <w:szCs w:val="18"/>
              </w:rPr>
            </w:pPr>
          </w:p>
        </w:tc>
        <w:tc>
          <w:tcPr>
            <w:tcW w:w="720" w:type="dxa"/>
            <w:tcBorders>
              <w:top w:val="single" w:sz="12" w:space="0" w:color="auto"/>
              <w:bottom w:val="single" w:sz="12" w:space="0" w:color="auto"/>
            </w:tcBorders>
          </w:tcPr>
          <w:p>
            <w:pPr>
              <w:ind w:right="-29"/>
              <w:jc w:val="center"/>
              <w:rPr>
                <w:noProof/>
                <w:sz w:val="18"/>
                <w:szCs w:val="18"/>
              </w:rPr>
            </w:pPr>
            <w:r>
              <w:rPr>
                <w:noProof/>
                <w:sz w:val="18"/>
                <w:szCs w:val="18"/>
              </w:rPr>
              <w:t>0.500</w:t>
            </w:r>
          </w:p>
        </w:tc>
        <w:tc>
          <w:tcPr>
            <w:tcW w:w="720" w:type="dxa"/>
            <w:tcBorders>
              <w:top w:val="single" w:sz="12" w:space="0" w:color="auto"/>
              <w:bottom w:val="single" w:sz="12" w:space="0" w:color="auto"/>
            </w:tcBorders>
          </w:tcPr>
          <w:p>
            <w:pPr>
              <w:ind w:right="-29"/>
              <w:jc w:val="center"/>
              <w:rPr>
                <w:noProof/>
                <w:sz w:val="18"/>
                <w:szCs w:val="18"/>
              </w:rPr>
            </w:pPr>
          </w:p>
        </w:tc>
        <w:tc>
          <w:tcPr>
            <w:tcW w:w="720" w:type="dxa"/>
            <w:tcBorders>
              <w:top w:val="single" w:sz="12" w:space="0" w:color="auto"/>
              <w:bottom w:val="single" w:sz="12" w:space="0" w:color="auto"/>
            </w:tcBorders>
          </w:tcPr>
          <w:p>
            <w:pPr>
              <w:ind w:right="-29"/>
              <w:jc w:val="center"/>
              <w:rPr>
                <w:noProof/>
                <w:sz w:val="18"/>
                <w:szCs w:val="18"/>
              </w:rPr>
            </w:pPr>
            <w:r>
              <w:rPr>
                <w:noProof/>
                <w:sz w:val="18"/>
                <w:szCs w:val="18"/>
              </w:rPr>
              <w:t>0.500</w:t>
            </w:r>
          </w:p>
        </w:tc>
        <w:tc>
          <w:tcPr>
            <w:tcW w:w="900" w:type="dxa"/>
            <w:tcBorders>
              <w:top w:val="single" w:sz="12" w:space="0" w:color="auto"/>
              <w:bottom w:val="single" w:sz="12" w:space="0" w:color="auto"/>
            </w:tcBorders>
          </w:tcPr>
          <w:p>
            <w:pPr>
              <w:ind w:right="-29"/>
              <w:jc w:val="center"/>
              <w:rPr>
                <w:noProof/>
                <w:sz w:val="18"/>
                <w:szCs w:val="18"/>
              </w:rPr>
            </w:pPr>
          </w:p>
        </w:tc>
        <w:tc>
          <w:tcPr>
            <w:tcW w:w="720" w:type="dxa"/>
            <w:gridSpan w:val="2"/>
            <w:tcBorders>
              <w:top w:val="single" w:sz="12" w:space="0" w:color="auto"/>
              <w:bottom w:val="single" w:sz="12" w:space="0" w:color="auto"/>
            </w:tcBorders>
          </w:tcPr>
          <w:p>
            <w:pPr>
              <w:ind w:right="-29"/>
              <w:jc w:val="center"/>
              <w:rPr>
                <w:noProof/>
                <w:sz w:val="18"/>
                <w:szCs w:val="18"/>
              </w:rPr>
            </w:pPr>
            <w:r>
              <w:rPr>
                <w:noProof/>
                <w:sz w:val="18"/>
                <w:szCs w:val="18"/>
              </w:rPr>
              <w:t>0.500</w:t>
            </w:r>
          </w:p>
        </w:tc>
        <w:tc>
          <w:tcPr>
            <w:tcW w:w="540" w:type="dxa"/>
            <w:tcBorders>
              <w:top w:val="single" w:sz="12" w:space="0" w:color="auto"/>
              <w:bottom w:val="single" w:sz="12" w:space="0" w:color="auto"/>
            </w:tcBorders>
          </w:tcPr>
          <w:p>
            <w:pPr>
              <w:spacing w:before="180" w:after="180"/>
              <w:ind w:right="-29"/>
              <w:jc w:val="center"/>
              <w:rPr>
                <w:noProof/>
                <w:sz w:val="18"/>
                <w:szCs w:val="18"/>
              </w:rPr>
            </w:pPr>
          </w:p>
        </w:tc>
        <w:tc>
          <w:tcPr>
            <w:tcW w:w="648" w:type="dxa"/>
            <w:tcBorders>
              <w:top w:val="single" w:sz="12" w:space="0" w:color="auto"/>
              <w:bottom w:val="single" w:sz="12" w:space="0" w:color="auto"/>
            </w:tcBorders>
          </w:tcPr>
          <w:p>
            <w:pPr>
              <w:spacing w:before="180" w:after="180"/>
              <w:ind w:right="-29"/>
              <w:jc w:val="center"/>
              <w:rPr>
                <w:noProof/>
                <w:sz w:val="18"/>
                <w:szCs w:val="18"/>
              </w:rPr>
            </w:pPr>
          </w:p>
        </w:tc>
        <w:tc>
          <w:tcPr>
            <w:tcW w:w="432" w:type="dxa"/>
            <w:tcBorders>
              <w:top w:val="single" w:sz="12" w:space="0" w:color="auto"/>
              <w:bottom w:val="single" w:sz="12" w:space="0" w:color="auto"/>
            </w:tcBorders>
          </w:tcPr>
          <w:p>
            <w:pPr>
              <w:spacing w:before="180" w:after="180"/>
              <w:ind w:right="-29"/>
              <w:jc w:val="center"/>
              <w:rPr>
                <w:noProof/>
                <w:sz w:val="18"/>
                <w:szCs w:val="18"/>
              </w:rPr>
            </w:pPr>
          </w:p>
        </w:tc>
        <w:tc>
          <w:tcPr>
            <w:tcW w:w="720" w:type="dxa"/>
            <w:tcBorders>
              <w:top w:val="single" w:sz="12" w:space="0" w:color="auto"/>
              <w:bottom w:val="single" w:sz="12" w:space="0" w:color="auto"/>
            </w:tcBorders>
          </w:tcPr>
          <w:p>
            <w:pPr>
              <w:spacing w:before="180" w:after="180"/>
              <w:ind w:right="-29"/>
              <w:jc w:val="center"/>
              <w:rPr>
                <w:noProof/>
                <w:sz w:val="18"/>
                <w:szCs w:val="18"/>
              </w:rPr>
            </w:pPr>
          </w:p>
        </w:tc>
        <w:tc>
          <w:tcPr>
            <w:tcW w:w="540" w:type="dxa"/>
            <w:tcBorders>
              <w:top w:val="single" w:sz="12" w:space="0" w:color="auto"/>
              <w:bottom w:val="single" w:sz="12" w:space="0" w:color="auto"/>
            </w:tcBorders>
          </w:tcPr>
          <w:p>
            <w:pPr>
              <w:spacing w:before="180" w:after="180"/>
              <w:ind w:right="-29"/>
              <w:jc w:val="center"/>
              <w:rPr>
                <w:noProof/>
                <w:sz w:val="18"/>
                <w:szCs w:val="18"/>
              </w:rPr>
            </w:pPr>
          </w:p>
        </w:tc>
        <w:tc>
          <w:tcPr>
            <w:tcW w:w="720" w:type="dxa"/>
            <w:tcBorders>
              <w:top w:val="single" w:sz="12" w:space="0" w:color="auto"/>
              <w:bottom w:val="single" w:sz="12" w:space="0" w:color="auto"/>
            </w:tcBorders>
          </w:tcPr>
          <w:p>
            <w:pPr>
              <w:spacing w:before="180" w:after="180"/>
              <w:ind w:right="-29"/>
              <w:jc w:val="center"/>
              <w:rPr>
                <w:noProof/>
                <w:sz w:val="18"/>
                <w:szCs w:val="18"/>
              </w:rPr>
            </w:pPr>
          </w:p>
        </w:tc>
        <w:tc>
          <w:tcPr>
            <w:tcW w:w="720" w:type="dxa"/>
            <w:tcBorders>
              <w:top w:val="single" w:sz="12" w:space="0" w:color="auto"/>
              <w:bottom w:val="single" w:sz="12" w:space="0" w:color="auto"/>
            </w:tcBorders>
          </w:tcPr>
          <w:p>
            <w:pPr>
              <w:spacing w:before="180" w:after="180"/>
              <w:ind w:right="-29"/>
              <w:jc w:val="center"/>
              <w:rPr>
                <w:noProof/>
                <w:sz w:val="18"/>
                <w:szCs w:val="18"/>
              </w:rPr>
            </w:pPr>
          </w:p>
        </w:tc>
        <w:tc>
          <w:tcPr>
            <w:tcW w:w="900" w:type="dxa"/>
            <w:tcBorders>
              <w:top w:val="single" w:sz="12" w:space="0" w:color="auto"/>
              <w:bottom w:val="single" w:sz="12" w:space="0" w:color="auto"/>
              <w:right w:val="single" w:sz="12" w:space="0" w:color="auto"/>
            </w:tcBorders>
          </w:tcPr>
          <w:p>
            <w:pPr>
              <w:spacing w:before="180" w:after="180"/>
              <w:ind w:right="-29"/>
              <w:jc w:val="center"/>
              <w:rPr>
                <w:noProof/>
                <w:sz w:val="18"/>
                <w:szCs w:val="18"/>
              </w:rPr>
            </w:pPr>
          </w:p>
        </w:tc>
      </w:tr>
    </w:tbl>
    <w:p>
      <w:pPr>
        <w:rPr>
          <w:noProof/>
        </w:rPr>
        <w:sectPr>
          <w:pgSz w:w="16840" w:h="11907" w:orient="landscape" w:code="9"/>
          <w:pgMar w:top="1134" w:right="1418" w:bottom="567" w:left="1418" w:header="709" w:footer="709" w:gutter="0"/>
          <w:cols w:space="708"/>
          <w:docGrid w:linePitch="360"/>
        </w:sectPr>
      </w:pPr>
    </w:p>
    <w:p>
      <w:pPr>
        <w:pStyle w:val="ManualHeading3"/>
        <w:rPr>
          <w:bCs/>
          <w:noProof/>
          <w:szCs w:val="24"/>
        </w:rPr>
      </w:pPr>
      <w:r>
        <w:rPr>
          <w:noProof/>
        </w:rPr>
        <w:t>3.2.3.</w:t>
      </w:r>
      <w:r>
        <w:rPr>
          <w:noProof/>
        </w:rPr>
        <w:tab/>
        <w:t>Estimated impact on appropriations of an administrative nature</w:t>
      </w:r>
    </w:p>
    <w:p>
      <w:pPr>
        <w:pStyle w:val="ManualHeading4"/>
        <w:rPr>
          <w:noProof/>
        </w:rPr>
      </w:pPr>
      <w:bookmarkStart w:id="16" w:name="DQPStarAt1DQPStarAtB3CCE80A12A64BE5B3455"/>
      <w:r>
        <w:rPr>
          <w:noProof/>
        </w:rPr>
        <w:t>3.2.3.1.</w:t>
      </w:r>
      <w:r>
        <w:rPr>
          <w:noProof/>
        </w:rPr>
        <w:tab/>
        <w:t xml:space="preserve">Summary </w:t>
      </w:r>
    </w:p>
    <w:bookmarkEnd w:id="16"/>
    <w:p>
      <w:pPr>
        <w:pStyle w:val="ListDash1"/>
        <w:rPr>
          <w:noProof/>
        </w:rPr>
      </w:pPr>
      <w:r>
        <w:rPr>
          <w:noProof/>
        </w:rPr>
        <w:sym w:font="Wingdings" w:char="F0A8"/>
      </w:r>
      <w:r>
        <w:rPr>
          <w:noProof/>
        </w:rPr>
        <w:tab/>
        <w:t xml:space="preserve">The proposal/initiative does not require the use of appropriations of an administrative nature </w:t>
      </w:r>
    </w:p>
    <w:p>
      <w:pPr>
        <w:pStyle w:val="ListDash1"/>
        <w:rPr>
          <w:noProof/>
        </w:rPr>
      </w:pPr>
      <w:r>
        <w:rPr>
          <w:noProof/>
        </w:rPr>
        <w:sym w:font="Wingdings" w:char="F0FE"/>
      </w:r>
      <w:r>
        <w:rPr>
          <w:noProof/>
        </w:rPr>
        <w:tab/>
        <w:t>The proposal/initiative requires the use of appropriations of an administrative nature, as explained below:</w:t>
      </w:r>
    </w:p>
    <w:p>
      <w:pPr>
        <w:rPr>
          <w:noProof/>
          <w:sz w:val="20"/>
        </w:rPr>
      </w:pPr>
      <w:r>
        <w:rPr>
          <w:noProof/>
          <w:sz w:val="20"/>
        </w:rPr>
        <w:t>EUR million (to three decimal places)</w:t>
      </w: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3240"/>
        <w:gridCol w:w="1080"/>
      </w:tblGrid>
      <w:tr>
        <w:trPr>
          <w:trHeight w:val="585"/>
        </w:trPr>
        <w:tc>
          <w:tcPr>
            <w:tcW w:w="1980" w:type="dxa"/>
          </w:tcPr>
          <w:p>
            <w:pPr>
              <w:spacing w:before="60" w:after="60" w:line="200" w:lineRule="exact"/>
              <w:rPr>
                <w:noProof/>
                <w:sz w:val="16"/>
                <w:szCs w:val="16"/>
              </w:rPr>
            </w:pPr>
          </w:p>
        </w:tc>
        <w:tc>
          <w:tcPr>
            <w:tcW w:w="1080" w:type="dxa"/>
            <w:vAlign w:val="center"/>
          </w:tcPr>
          <w:p>
            <w:pPr>
              <w:spacing w:before="60" w:after="60" w:line="200" w:lineRule="exact"/>
              <w:jc w:val="center"/>
              <w:rPr>
                <w:noProof/>
                <w:sz w:val="16"/>
                <w:szCs w:val="16"/>
              </w:rPr>
            </w:pPr>
            <w:r>
              <w:rPr>
                <w:noProof/>
                <w:sz w:val="16"/>
              </w:rPr>
              <w:t>Year</w:t>
            </w:r>
            <w:r>
              <w:rPr>
                <w:noProof/>
                <w:sz w:val="22"/>
              </w:rPr>
              <w:br/>
            </w:r>
            <w:r>
              <w:rPr>
                <w:b/>
                <w:noProof/>
                <w:sz w:val="16"/>
              </w:rPr>
              <w:t xml:space="preserve">N </w:t>
            </w:r>
            <w:r>
              <w:rPr>
                <w:rStyle w:val="FootnoteReference"/>
                <w:b/>
                <w:noProof/>
                <w:sz w:val="16"/>
              </w:rPr>
              <w:footnoteReference w:id="14"/>
            </w:r>
          </w:p>
        </w:tc>
        <w:tc>
          <w:tcPr>
            <w:tcW w:w="1080" w:type="dxa"/>
            <w:vAlign w:val="center"/>
          </w:tcPr>
          <w:p>
            <w:pPr>
              <w:spacing w:before="60" w:after="60" w:line="200" w:lineRule="exact"/>
              <w:jc w:val="center"/>
              <w:rPr>
                <w:noProof/>
                <w:sz w:val="16"/>
                <w:szCs w:val="16"/>
              </w:rPr>
            </w:pPr>
            <w:r>
              <w:rPr>
                <w:noProof/>
                <w:sz w:val="16"/>
              </w:rPr>
              <w:t>Year</w:t>
            </w:r>
            <w:r>
              <w:rPr>
                <w:noProof/>
                <w:sz w:val="22"/>
              </w:rPr>
              <w:br/>
            </w:r>
            <w:r>
              <w:rPr>
                <w:b/>
                <w:noProof/>
                <w:sz w:val="16"/>
              </w:rPr>
              <w:t>N+1</w:t>
            </w:r>
          </w:p>
        </w:tc>
        <w:tc>
          <w:tcPr>
            <w:tcW w:w="1080" w:type="dxa"/>
            <w:vAlign w:val="center"/>
          </w:tcPr>
          <w:p>
            <w:pPr>
              <w:spacing w:before="60" w:after="60" w:line="200" w:lineRule="exact"/>
              <w:jc w:val="center"/>
              <w:rPr>
                <w:noProof/>
                <w:sz w:val="16"/>
                <w:szCs w:val="16"/>
              </w:rPr>
            </w:pPr>
            <w:r>
              <w:rPr>
                <w:noProof/>
                <w:sz w:val="16"/>
              </w:rPr>
              <w:t>Year</w:t>
            </w:r>
            <w:r>
              <w:rPr>
                <w:noProof/>
                <w:sz w:val="22"/>
              </w:rPr>
              <w:br/>
            </w:r>
            <w:r>
              <w:rPr>
                <w:b/>
                <w:noProof/>
                <w:sz w:val="16"/>
              </w:rPr>
              <w:t>N+2</w:t>
            </w:r>
          </w:p>
        </w:tc>
        <w:tc>
          <w:tcPr>
            <w:tcW w:w="1080" w:type="dxa"/>
            <w:vAlign w:val="center"/>
          </w:tcPr>
          <w:p>
            <w:pPr>
              <w:spacing w:before="60" w:after="60" w:line="200" w:lineRule="exact"/>
              <w:jc w:val="center"/>
              <w:rPr>
                <w:noProof/>
                <w:sz w:val="16"/>
                <w:szCs w:val="16"/>
              </w:rPr>
            </w:pPr>
            <w:r>
              <w:rPr>
                <w:noProof/>
                <w:sz w:val="16"/>
              </w:rPr>
              <w:t>Year</w:t>
            </w:r>
            <w:r>
              <w:rPr>
                <w:noProof/>
                <w:sz w:val="22"/>
              </w:rPr>
              <w:br/>
            </w:r>
            <w:r>
              <w:rPr>
                <w:b/>
                <w:noProof/>
                <w:sz w:val="16"/>
              </w:rPr>
              <w:t>N+3</w:t>
            </w:r>
          </w:p>
        </w:tc>
        <w:tc>
          <w:tcPr>
            <w:tcW w:w="3240" w:type="dxa"/>
            <w:vAlign w:val="center"/>
          </w:tcPr>
          <w:p>
            <w:pPr>
              <w:spacing w:line="200" w:lineRule="exact"/>
              <w:jc w:val="center"/>
              <w:rPr>
                <w:b/>
                <w:noProof/>
                <w:sz w:val="16"/>
                <w:szCs w:val="16"/>
              </w:rPr>
            </w:pPr>
            <w:r>
              <w:rPr>
                <w:noProof/>
                <w:sz w:val="16"/>
              </w:rPr>
              <w:t>Enter as many years as necessary to show the duration of the impact (see point 1.6)</w:t>
            </w:r>
          </w:p>
        </w:tc>
        <w:tc>
          <w:tcPr>
            <w:tcW w:w="1080" w:type="dxa"/>
            <w:vAlign w:val="center"/>
          </w:tcPr>
          <w:p>
            <w:pPr>
              <w:spacing w:before="60" w:after="60" w:line="200" w:lineRule="exact"/>
              <w:jc w:val="center"/>
              <w:rPr>
                <w:b/>
                <w:noProof/>
                <w:sz w:val="16"/>
                <w:szCs w:val="16"/>
              </w:rPr>
            </w:pPr>
            <w:r>
              <w:rPr>
                <w:b/>
                <w:noProof/>
                <w:sz w:val="16"/>
              </w:rPr>
              <w:t>TOTAL</w:t>
            </w:r>
          </w:p>
        </w:tc>
      </w:tr>
    </w:tbl>
    <w:p>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HEADING 5</w:t>
            </w:r>
            <w:r>
              <w:rPr>
                <w:noProof/>
                <w:sz w:val="22"/>
              </w:rPr>
              <w:br/>
            </w:r>
            <w:r>
              <w:rPr>
                <w:b/>
                <w:noProof/>
                <w:sz w:val="16"/>
              </w:rPr>
              <w:t>of the multiannual financial framework</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Human resources </w:t>
            </w:r>
          </w:p>
        </w:tc>
        <w:tc>
          <w:tcPr>
            <w:tcW w:w="1080" w:type="dxa"/>
            <w:vAlign w:val="center"/>
          </w:tcPr>
          <w:p>
            <w:pPr>
              <w:spacing w:before="60" w:after="60" w:line="200" w:lineRule="exact"/>
              <w:jc w:val="right"/>
              <w:rPr>
                <w:noProof/>
                <w:sz w:val="16"/>
                <w:szCs w:val="16"/>
              </w:rPr>
            </w:pPr>
            <w:r>
              <w:rPr>
                <w:noProof/>
                <w:sz w:val="16"/>
                <w:szCs w:val="16"/>
              </w:rPr>
              <w:t>0.134</w:t>
            </w:r>
          </w:p>
        </w:tc>
        <w:tc>
          <w:tcPr>
            <w:tcW w:w="1080" w:type="dxa"/>
            <w:vAlign w:val="center"/>
          </w:tcPr>
          <w:p>
            <w:pPr>
              <w:spacing w:before="60" w:after="60" w:line="200" w:lineRule="exact"/>
              <w:jc w:val="right"/>
              <w:rPr>
                <w:noProof/>
                <w:sz w:val="16"/>
                <w:szCs w:val="16"/>
              </w:rPr>
            </w:pPr>
            <w:r>
              <w:rPr>
                <w:noProof/>
                <w:sz w:val="16"/>
                <w:szCs w:val="16"/>
              </w:rPr>
              <w:t>0.134</w:t>
            </w:r>
          </w:p>
        </w:tc>
        <w:tc>
          <w:tcPr>
            <w:tcW w:w="1080" w:type="dxa"/>
            <w:vAlign w:val="center"/>
          </w:tcPr>
          <w:p>
            <w:pPr>
              <w:spacing w:before="60" w:after="60" w:line="200" w:lineRule="exact"/>
              <w:jc w:val="right"/>
              <w:rPr>
                <w:noProof/>
                <w:sz w:val="16"/>
                <w:szCs w:val="16"/>
              </w:rPr>
            </w:pPr>
            <w:r>
              <w:rPr>
                <w:noProof/>
                <w:sz w:val="16"/>
                <w:szCs w:val="16"/>
              </w:rPr>
              <w:t>0.134</w:t>
            </w:r>
          </w:p>
        </w:tc>
        <w:tc>
          <w:tcPr>
            <w:tcW w:w="1080" w:type="dxa"/>
            <w:vAlign w:val="center"/>
          </w:tcPr>
          <w:p>
            <w:pPr>
              <w:spacing w:before="60" w:after="60" w:line="200" w:lineRule="exact"/>
              <w:jc w:val="right"/>
              <w:rPr>
                <w:noProof/>
                <w:sz w:val="16"/>
                <w:szCs w:val="16"/>
              </w:rPr>
            </w:pPr>
            <w:r>
              <w:rPr>
                <w:noProof/>
                <w:sz w:val="16"/>
                <w:szCs w:val="16"/>
              </w:rPr>
              <w:t>0.134</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r>
              <w:rPr>
                <w:b/>
                <w:noProof/>
                <w:sz w:val="16"/>
                <w:szCs w:val="16"/>
              </w:rPr>
              <w:t>0.536</w:t>
            </w: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Other administrative expenditure </w:t>
            </w:r>
          </w:p>
        </w:tc>
        <w:tc>
          <w:tcPr>
            <w:tcW w:w="1080" w:type="dxa"/>
            <w:vAlign w:val="center"/>
          </w:tcPr>
          <w:p>
            <w:pPr>
              <w:spacing w:before="60" w:after="60" w:line="200" w:lineRule="exact"/>
              <w:jc w:val="right"/>
              <w:rPr>
                <w:noProof/>
                <w:sz w:val="16"/>
                <w:szCs w:val="16"/>
              </w:rPr>
            </w:pPr>
            <w:r>
              <w:rPr>
                <w:noProof/>
                <w:sz w:val="16"/>
                <w:szCs w:val="16"/>
              </w:rPr>
              <w:t>0</w:t>
            </w:r>
          </w:p>
        </w:tc>
        <w:tc>
          <w:tcPr>
            <w:tcW w:w="1080" w:type="dxa"/>
            <w:vAlign w:val="center"/>
          </w:tcPr>
          <w:p>
            <w:pPr>
              <w:spacing w:before="60" w:after="60" w:line="200" w:lineRule="exact"/>
              <w:jc w:val="right"/>
              <w:rPr>
                <w:noProof/>
                <w:sz w:val="16"/>
                <w:szCs w:val="16"/>
              </w:rPr>
            </w:pPr>
            <w:r>
              <w:rPr>
                <w:noProof/>
                <w:sz w:val="16"/>
                <w:szCs w:val="16"/>
              </w:rPr>
              <w:t>0</w:t>
            </w:r>
          </w:p>
        </w:tc>
        <w:tc>
          <w:tcPr>
            <w:tcW w:w="1080" w:type="dxa"/>
            <w:vAlign w:val="center"/>
          </w:tcPr>
          <w:p>
            <w:pPr>
              <w:spacing w:before="60" w:after="60" w:line="200" w:lineRule="exact"/>
              <w:jc w:val="right"/>
              <w:rPr>
                <w:noProof/>
                <w:sz w:val="16"/>
                <w:szCs w:val="16"/>
              </w:rPr>
            </w:pPr>
            <w:r>
              <w:rPr>
                <w:noProof/>
                <w:sz w:val="16"/>
                <w:szCs w:val="16"/>
              </w:rPr>
              <w:t>0</w:t>
            </w:r>
          </w:p>
        </w:tc>
        <w:tc>
          <w:tcPr>
            <w:tcW w:w="1080" w:type="dxa"/>
            <w:vAlign w:val="center"/>
          </w:tcPr>
          <w:p>
            <w:pPr>
              <w:spacing w:before="60" w:after="60" w:line="200" w:lineRule="exact"/>
              <w:jc w:val="right"/>
              <w:rPr>
                <w:noProof/>
                <w:sz w:val="16"/>
                <w:szCs w:val="16"/>
              </w:rPr>
            </w:pPr>
            <w:r>
              <w:rPr>
                <w:noProof/>
                <w:sz w:val="16"/>
                <w:szCs w:val="16"/>
              </w:rPr>
              <w:t>0</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Subtotal HEADING 5</w:t>
            </w:r>
            <w:r>
              <w:rPr>
                <w:noProof/>
                <w:sz w:val="22"/>
              </w:rPr>
              <w:br/>
            </w:r>
            <w:r>
              <w:rPr>
                <w:b/>
                <w:noProof/>
                <w:sz w:val="16"/>
              </w:rPr>
              <w:t xml:space="preserve">of the multiannual financial framework </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bl>
    <w:p>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noProof/>
                <w:sz w:val="16"/>
                <w:szCs w:val="16"/>
              </w:rPr>
            </w:pPr>
            <w:r>
              <w:rPr>
                <w:b/>
                <w:noProof/>
                <w:sz w:val="16"/>
              </w:rPr>
              <w:t>Outside HEADING 5</w:t>
            </w:r>
            <w:r>
              <w:rPr>
                <w:rStyle w:val="FootnoteReference"/>
                <w:b/>
                <w:noProof/>
                <w:sz w:val="16"/>
              </w:rPr>
              <w:footnoteReference w:id="15"/>
            </w:r>
            <w:r>
              <w:rPr>
                <w:noProof/>
                <w:sz w:val="22"/>
              </w:rPr>
              <w:br/>
            </w:r>
            <w:r>
              <w:rPr>
                <w:b/>
                <w:noProof/>
                <w:sz w:val="16"/>
              </w:rPr>
              <w:t xml:space="preserve">of the multiannual financial framework </w:t>
            </w:r>
          </w:p>
          <w:p>
            <w:pPr>
              <w:spacing w:before="0" w:after="0" w:line="200" w:lineRule="exact"/>
              <w:jc w:val="center"/>
              <w:rPr>
                <w:b/>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Human resources </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Other expenditure </w:t>
            </w:r>
            <w:r>
              <w:rPr>
                <w:noProof/>
                <w:sz w:val="22"/>
              </w:rPr>
              <w:br/>
            </w:r>
            <w:r>
              <w:rPr>
                <w:noProof/>
                <w:sz w:val="16"/>
              </w:rPr>
              <w:t>of an administrative nature</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 xml:space="preserve">Subtotal </w:t>
            </w:r>
            <w:r>
              <w:rPr>
                <w:noProof/>
                <w:sz w:val="22"/>
              </w:rPr>
              <w:br/>
            </w:r>
            <w:r>
              <w:rPr>
                <w:b/>
                <w:noProof/>
                <w:sz w:val="16"/>
              </w:rPr>
              <w:t>outside HEADING 5</w:t>
            </w:r>
            <w:r>
              <w:rPr>
                <w:noProof/>
                <w:sz w:val="22"/>
              </w:rPr>
              <w:br/>
            </w:r>
            <w:r>
              <w:rPr>
                <w:b/>
                <w:noProof/>
                <w:sz w:val="16"/>
              </w:rPr>
              <w:t xml:space="preserve">of the multiannual financial framework </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bl>
    <w:p>
      <w:pPr>
        <w:spacing w:line="200" w:lineRule="exact"/>
        <w:rPr>
          <w:noProof/>
          <w:sz w:val="16"/>
          <w:szCs w:val="16"/>
        </w:rPr>
      </w:pPr>
    </w:p>
    <w:tbl>
      <w:tblPr>
        <w:tblW w:w="10620" w:type="dxa"/>
        <w:tblInd w:w="-612" w:type="dxa"/>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tcBorders>
              <w:top w:val="single" w:sz="12" w:space="0" w:color="auto"/>
              <w:left w:val="single" w:sz="12" w:space="0" w:color="auto"/>
              <w:bottom w:val="single" w:sz="12" w:space="0" w:color="auto"/>
              <w:right w:val="single" w:sz="2" w:space="0" w:color="auto"/>
            </w:tcBorders>
            <w:vAlign w:val="center"/>
          </w:tcPr>
          <w:p>
            <w:pPr>
              <w:spacing w:before="60" w:after="60" w:line="200" w:lineRule="exact"/>
              <w:jc w:val="center"/>
              <w:rPr>
                <w:noProof/>
                <w:sz w:val="16"/>
                <w:szCs w:val="16"/>
              </w:rPr>
            </w:pPr>
            <w:r>
              <w:rPr>
                <w:b/>
                <w:noProof/>
                <w:sz w:val="16"/>
              </w:rPr>
              <w:t>TOTAL</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noProof/>
                <w:sz w:val="16"/>
                <w:szCs w:val="16"/>
              </w:rPr>
            </w:pPr>
            <w:r>
              <w:rPr>
                <w:noProof/>
                <w:sz w:val="16"/>
                <w:szCs w:val="16"/>
              </w:rPr>
              <w:t>0.134</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noProof/>
                <w:sz w:val="16"/>
                <w:szCs w:val="16"/>
              </w:rPr>
            </w:pPr>
            <w:r>
              <w:rPr>
                <w:noProof/>
                <w:sz w:val="16"/>
                <w:szCs w:val="16"/>
              </w:rPr>
              <w:t>0.134</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noProof/>
                <w:sz w:val="16"/>
                <w:szCs w:val="16"/>
              </w:rPr>
            </w:pPr>
            <w:r>
              <w:rPr>
                <w:noProof/>
                <w:sz w:val="16"/>
                <w:szCs w:val="16"/>
              </w:rPr>
              <w:t>0.134</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noProof/>
                <w:sz w:val="16"/>
                <w:szCs w:val="16"/>
              </w:rPr>
            </w:pPr>
            <w:r>
              <w:rPr>
                <w:noProof/>
                <w:sz w:val="16"/>
                <w:szCs w:val="16"/>
              </w:rPr>
              <w:t>0.134</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p>
        </w:tc>
        <w:tc>
          <w:tcPr>
            <w:tcW w:w="1080" w:type="dxa"/>
            <w:tcBorders>
              <w:top w:val="single" w:sz="12" w:space="0" w:color="auto"/>
              <w:left w:val="single" w:sz="2" w:space="0" w:color="auto"/>
              <w:bottom w:val="single" w:sz="12" w:space="0" w:color="auto"/>
              <w:right w:val="single" w:sz="12" w:space="0" w:color="auto"/>
            </w:tcBorders>
            <w:vAlign w:val="center"/>
          </w:tcPr>
          <w:p>
            <w:pPr>
              <w:spacing w:before="60" w:after="60" w:line="200" w:lineRule="exact"/>
              <w:jc w:val="right"/>
              <w:rPr>
                <w:b/>
                <w:noProof/>
                <w:sz w:val="16"/>
                <w:szCs w:val="16"/>
              </w:rPr>
            </w:pPr>
            <w:r>
              <w:rPr>
                <w:b/>
                <w:noProof/>
                <w:sz w:val="16"/>
                <w:szCs w:val="16"/>
              </w:rPr>
              <w:t>0.536</w:t>
            </w:r>
          </w:p>
        </w:tc>
      </w:tr>
    </w:tbl>
    <w:p>
      <w:pPr>
        <w:rPr>
          <w:noProof/>
          <w:sz w:val="18"/>
        </w:rPr>
      </w:pPr>
      <w:r>
        <w:rPr>
          <w:noProof/>
          <w:sz w:val="18"/>
        </w:rPr>
        <w:t>The appropriations required for human resources and other expenditure of an administrative nature will be met by appropriations from the DG that are already assigned to management of the action and/or have been redeployed within the DG, together if necessary with any additional allocation which may be granted to the managing DG under the annual allocation procedure and in the light of budgetary constraints.</w:t>
      </w:r>
    </w:p>
    <w:p>
      <w:pPr>
        <w:rPr>
          <w:noProof/>
          <w:sz w:val="18"/>
        </w:rPr>
        <w:sectPr>
          <w:headerReference w:type="default" r:id="rId20"/>
          <w:footerReference w:type="default" r:id="rId21"/>
          <w:headerReference w:type="first" r:id="rId22"/>
          <w:footerReference w:type="first" r:id="rId23"/>
          <w:pgSz w:w="11907" w:h="16840"/>
          <w:pgMar w:top="1134" w:right="1418" w:bottom="1134" w:left="1418" w:header="709" w:footer="709" w:gutter="0"/>
          <w:cols w:space="708"/>
          <w:docGrid w:linePitch="360"/>
        </w:sectPr>
      </w:pPr>
    </w:p>
    <w:p>
      <w:pPr>
        <w:pStyle w:val="ManualHeading4"/>
        <w:rPr>
          <w:bCs/>
          <w:noProof/>
          <w:szCs w:val="24"/>
        </w:rPr>
      </w:pPr>
      <w:r>
        <w:rPr>
          <w:noProof/>
        </w:rPr>
        <w:t>3.2.3.2.</w:t>
      </w:r>
      <w:r>
        <w:rPr>
          <w:noProof/>
        </w:rPr>
        <w:tab/>
        <w:t>Estimated requirements of human resources</w:t>
      </w:r>
    </w:p>
    <w:p>
      <w:pPr>
        <w:pStyle w:val="ListDash1"/>
        <w:rPr>
          <w:noProof/>
        </w:rPr>
      </w:pPr>
      <w:r>
        <w:rPr>
          <w:noProof/>
        </w:rPr>
        <w:sym w:font="Wingdings" w:char="F0A8"/>
      </w:r>
      <w:r>
        <w:rPr>
          <w:noProof/>
        </w:rPr>
        <w:tab/>
        <w:t xml:space="preserve">The proposal/initiative does not require the use of human resources. </w:t>
      </w:r>
    </w:p>
    <w:p>
      <w:pPr>
        <w:pStyle w:val="ListDash1"/>
        <w:rPr>
          <w:noProof/>
        </w:rPr>
      </w:pPr>
      <w:r>
        <w:rPr>
          <w:noProof/>
        </w:rPr>
        <w:sym w:font="Wingdings" w:char="F0FE"/>
      </w:r>
      <w:r>
        <w:rPr>
          <w:noProof/>
        </w:rPr>
        <w:tab/>
        <w:t>The proposal/initiative requires the use of human resources, as explained below:</w:t>
      </w:r>
    </w:p>
    <w:p>
      <w:pPr>
        <w:spacing w:after="60"/>
        <w:jc w:val="right"/>
        <w:rPr>
          <w:i/>
          <w:noProof/>
          <w:sz w:val="20"/>
        </w:rPr>
      </w:pPr>
      <w:r>
        <w:rPr>
          <w:i/>
          <w:noProof/>
          <w:sz w:val="20"/>
        </w:rPr>
        <w:t>Estimate to be expressed in full time equivalent units</w:t>
      </w:r>
    </w:p>
    <w:tbl>
      <w:tblPr>
        <w:tblW w:w="5544" w:type="pct"/>
        <w:jc w:val="center"/>
        <w:tblInd w:w="-22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2"/>
        <w:gridCol w:w="1952"/>
        <w:gridCol w:w="1954"/>
        <w:gridCol w:w="655"/>
        <w:gridCol w:w="655"/>
        <w:gridCol w:w="3894"/>
        <w:gridCol w:w="465"/>
        <w:gridCol w:w="237"/>
        <w:gridCol w:w="237"/>
        <w:gridCol w:w="236"/>
      </w:tblGrid>
      <w:tr>
        <w:trPr>
          <w:gridBefore w:val="1"/>
          <w:wBefore w:w="6" w:type="pct"/>
          <w:trHeight w:val="289"/>
          <w:jc w:val="center"/>
        </w:trPr>
        <w:tc>
          <w:tcPr>
            <w:tcW w:w="1897" w:type="pct"/>
            <w:gridSpan w:val="2"/>
            <w:shd w:val="clear" w:color="auto" w:fill="auto"/>
          </w:tcPr>
          <w:p>
            <w:pPr>
              <w:pStyle w:val="Text1"/>
              <w:spacing w:before="40" w:after="40"/>
              <w:ind w:left="0"/>
              <w:jc w:val="center"/>
              <w:rPr>
                <w:i/>
                <w:noProof/>
                <w:sz w:val="16"/>
                <w:szCs w:val="16"/>
              </w:rPr>
            </w:pPr>
          </w:p>
        </w:tc>
        <w:tc>
          <w:tcPr>
            <w:tcW w:w="318" w:type="pct"/>
            <w:shd w:val="clear" w:color="auto" w:fill="auto"/>
            <w:vAlign w:val="center"/>
          </w:tcPr>
          <w:p>
            <w:pPr>
              <w:spacing w:before="20" w:after="20"/>
              <w:jc w:val="center"/>
              <w:rPr>
                <w:noProof/>
                <w:sz w:val="16"/>
                <w:szCs w:val="16"/>
              </w:rPr>
            </w:pPr>
            <w:r>
              <w:rPr>
                <w:noProof/>
                <w:sz w:val="16"/>
              </w:rPr>
              <w:t>Year</w:t>
            </w:r>
            <w:r>
              <w:rPr>
                <w:noProof/>
                <w:sz w:val="22"/>
              </w:rPr>
              <w:br/>
            </w:r>
            <w:r>
              <w:rPr>
                <w:b/>
                <w:noProof/>
                <w:sz w:val="16"/>
              </w:rPr>
              <w:t>N</w:t>
            </w:r>
          </w:p>
        </w:tc>
        <w:tc>
          <w:tcPr>
            <w:tcW w:w="318" w:type="pct"/>
            <w:shd w:val="clear" w:color="auto" w:fill="auto"/>
            <w:vAlign w:val="center"/>
          </w:tcPr>
          <w:p>
            <w:pPr>
              <w:spacing w:before="20" w:after="20"/>
              <w:jc w:val="center"/>
              <w:rPr>
                <w:noProof/>
                <w:sz w:val="16"/>
                <w:szCs w:val="16"/>
              </w:rPr>
            </w:pPr>
            <w:r>
              <w:rPr>
                <w:noProof/>
                <w:sz w:val="16"/>
              </w:rPr>
              <w:t>Year</w:t>
            </w:r>
            <w:r>
              <w:rPr>
                <w:noProof/>
                <w:sz w:val="22"/>
              </w:rPr>
              <w:br/>
            </w:r>
            <w:r>
              <w:rPr>
                <w:b/>
                <w:noProof/>
                <w:sz w:val="16"/>
              </w:rPr>
              <w:t>N+1</w:t>
            </w:r>
          </w:p>
        </w:tc>
        <w:tc>
          <w:tcPr>
            <w:tcW w:w="1891" w:type="pct"/>
            <w:shd w:val="clear" w:color="auto" w:fill="auto"/>
            <w:vAlign w:val="center"/>
          </w:tcPr>
          <w:p>
            <w:pPr>
              <w:spacing w:before="20" w:after="20"/>
              <w:jc w:val="center"/>
              <w:rPr>
                <w:noProof/>
                <w:sz w:val="16"/>
                <w:szCs w:val="16"/>
              </w:rPr>
            </w:pPr>
            <w:r>
              <w:rPr>
                <w:noProof/>
                <w:sz w:val="16"/>
                <w:szCs w:val="16"/>
              </w:rPr>
              <w:t xml:space="preserve">Year </w:t>
            </w:r>
            <w:r>
              <w:rPr>
                <w:b/>
                <w:noProof/>
                <w:sz w:val="16"/>
                <w:szCs w:val="16"/>
              </w:rPr>
              <w:t>N+2</w:t>
            </w:r>
          </w:p>
        </w:tc>
        <w:tc>
          <w:tcPr>
            <w:tcW w:w="226" w:type="pct"/>
            <w:shd w:val="clear" w:color="auto" w:fill="auto"/>
            <w:vAlign w:val="center"/>
          </w:tcPr>
          <w:p>
            <w:pPr>
              <w:spacing w:before="20" w:after="20"/>
              <w:jc w:val="center"/>
              <w:rPr>
                <w:noProof/>
                <w:sz w:val="16"/>
                <w:szCs w:val="16"/>
              </w:rPr>
            </w:pPr>
            <w:r>
              <w:rPr>
                <w:noProof/>
                <w:sz w:val="16"/>
                <w:szCs w:val="16"/>
              </w:rPr>
              <w:t xml:space="preserve">Year </w:t>
            </w:r>
            <w:r>
              <w:rPr>
                <w:b/>
                <w:noProof/>
                <w:sz w:val="16"/>
                <w:szCs w:val="16"/>
              </w:rPr>
              <w:t>N+3</w:t>
            </w:r>
          </w:p>
        </w:tc>
        <w:tc>
          <w:tcPr>
            <w:tcW w:w="345" w:type="pct"/>
            <w:gridSpan w:val="3"/>
            <w:shd w:val="clear" w:color="auto" w:fill="auto"/>
            <w:vAlign w:val="center"/>
          </w:tcPr>
          <w:p>
            <w:pPr>
              <w:jc w:val="center"/>
              <w:rPr>
                <w:b/>
                <w:noProof/>
                <w:sz w:val="16"/>
                <w:szCs w:val="16"/>
              </w:rPr>
            </w:pPr>
            <w:r>
              <w:rPr>
                <w:noProof/>
                <w:sz w:val="16"/>
              </w:rPr>
              <w:t>Enter as many years as necessary to show the duration of the impact (see point 1.6)</w:t>
            </w:r>
          </w:p>
        </w:tc>
      </w:tr>
      <w:tr>
        <w:trPr>
          <w:gridBefore w:val="1"/>
          <w:wBefore w:w="6" w:type="pct"/>
          <w:trHeight w:val="289"/>
          <w:jc w:val="center"/>
        </w:trPr>
        <w:tc>
          <w:tcPr>
            <w:tcW w:w="4424" w:type="pct"/>
            <w:gridSpan w:val="5"/>
            <w:shd w:val="clear" w:color="auto" w:fill="auto"/>
          </w:tcPr>
          <w:p>
            <w:pPr>
              <w:spacing w:before="20" w:after="20"/>
              <w:rPr>
                <w:noProof/>
                <w:sz w:val="16"/>
                <w:szCs w:val="16"/>
              </w:rPr>
            </w:pPr>
            <w:r>
              <w:rPr>
                <w:b/>
                <w:noProof/>
                <w:sz w:val="16"/>
              </w:rPr>
              <w:sym w:font="Wingdings" w:char="F09F"/>
            </w:r>
            <w:r>
              <w:rPr>
                <w:b/>
                <w:noProof/>
                <w:sz w:val="16"/>
              </w:rPr>
              <w:t xml:space="preserve"> Establishment plan posts (officials and temporary staff)</w:t>
            </w:r>
          </w:p>
        </w:tc>
        <w:tc>
          <w:tcPr>
            <w:tcW w:w="226" w:type="pct"/>
            <w:shd w:val="clear" w:color="auto" w:fill="auto"/>
            <w:vAlign w:val="center"/>
          </w:tcPr>
          <w:p>
            <w:pPr>
              <w:spacing w:before="20" w:after="20"/>
              <w:jc w:val="center"/>
              <w:rPr>
                <w:noProof/>
                <w:sz w:val="16"/>
                <w:szCs w:val="16"/>
              </w:rPr>
            </w:pPr>
          </w:p>
        </w:tc>
        <w:tc>
          <w:tcPr>
            <w:tcW w:w="345" w:type="pct"/>
            <w:gridSpan w:val="3"/>
            <w:shd w:val="clear" w:color="auto" w:fill="auto"/>
            <w:vAlign w:val="center"/>
          </w:tcPr>
          <w:p>
            <w:pPr>
              <w:jc w:val="center"/>
              <w:rPr>
                <w:noProof/>
                <w:sz w:val="16"/>
                <w:szCs w:val="16"/>
              </w:rPr>
            </w:pPr>
          </w:p>
        </w:tc>
      </w:tr>
      <w:tr>
        <w:trPr>
          <w:gridBefore w:val="1"/>
          <w:wBefore w:w="6" w:type="pct"/>
          <w:trHeight w:val="289"/>
          <w:jc w:val="center"/>
        </w:trPr>
        <w:tc>
          <w:tcPr>
            <w:tcW w:w="1897" w:type="pct"/>
            <w:gridSpan w:val="2"/>
            <w:shd w:val="clear" w:color="auto" w:fill="auto"/>
            <w:vAlign w:val="center"/>
          </w:tcPr>
          <w:p>
            <w:pPr>
              <w:pStyle w:val="Text1"/>
              <w:spacing w:beforeLines="20" w:before="48" w:afterLines="20" w:after="48"/>
              <w:ind w:left="134"/>
              <w:jc w:val="left"/>
              <w:rPr>
                <w:b/>
                <w:noProof/>
                <w:sz w:val="16"/>
                <w:szCs w:val="16"/>
              </w:rPr>
            </w:pPr>
            <w:r>
              <w:rPr>
                <w:noProof/>
                <w:sz w:val="16"/>
              </w:rPr>
              <w:t>XX 01 01 01 (Headquarters and Commission’s Representation Offices)</w:t>
            </w:r>
          </w:p>
        </w:tc>
        <w:tc>
          <w:tcPr>
            <w:tcW w:w="318" w:type="pct"/>
            <w:shd w:val="clear" w:color="auto" w:fill="auto"/>
            <w:vAlign w:val="center"/>
          </w:tcPr>
          <w:p>
            <w:pPr>
              <w:spacing w:beforeLines="20" w:before="48" w:afterLines="20" w:after="48"/>
              <w:jc w:val="center"/>
              <w:rPr>
                <w:noProof/>
                <w:sz w:val="16"/>
                <w:szCs w:val="16"/>
              </w:rPr>
            </w:pPr>
            <w:r>
              <w:rPr>
                <w:noProof/>
                <w:sz w:val="16"/>
                <w:szCs w:val="16"/>
              </w:rPr>
              <w:t>1</w:t>
            </w:r>
          </w:p>
        </w:tc>
        <w:tc>
          <w:tcPr>
            <w:tcW w:w="318" w:type="pct"/>
            <w:shd w:val="clear" w:color="auto" w:fill="auto"/>
            <w:vAlign w:val="center"/>
          </w:tcPr>
          <w:p>
            <w:pPr>
              <w:spacing w:beforeLines="20" w:before="48" w:afterLines="20" w:after="48"/>
              <w:jc w:val="center"/>
              <w:rPr>
                <w:noProof/>
                <w:sz w:val="16"/>
                <w:szCs w:val="16"/>
              </w:rPr>
            </w:pPr>
            <w:r>
              <w:rPr>
                <w:noProof/>
                <w:sz w:val="16"/>
                <w:szCs w:val="16"/>
              </w:rPr>
              <w:t>1</w:t>
            </w:r>
          </w:p>
        </w:tc>
        <w:tc>
          <w:tcPr>
            <w:tcW w:w="1891" w:type="pct"/>
            <w:shd w:val="clear" w:color="auto" w:fill="auto"/>
            <w:vAlign w:val="center"/>
          </w:tcPr>
          <w:p>
            <w:pPr>
              <w:spacing w:beforeLines="20" w:before="48" w:afterLines="20" w:after="48"/>
              <w:jc w:val="center"/>
              <w:rPr>
                <w:noProof/>
                <w:sz w:val="16"/>
                <w:szCs w:val="16"/>
              </w:rPr>
            </w:pPr>
            <w:r>
              <w:rPr>
                <w:noProof/>
                <w:sz w:val="16"/>
                <w:szCs w:val="16"/>
              </w:rPr>
              <w:t>1</w:t>
            </w:r>
          </w:p>
        </w:tc>
        <w:tc>
          <w:tcPr>
            <w:tcW w:w="226" w:type="pct"/>
            <w:shd w:val="clear" w:color="auto" w:fill="auto"/>
            <w:vAlign w:val="center"/>
          </w:tcPr>
          <w:p>
            <w:pPr>
              <w:spacing w:beforeLines="20" w:before="48" w:afterLines="20" w:after="48"/>
              <w:jc w:val="center"/>
              <w:rPr>
                <w:noProof/>
                <w:sz w:val="16"/>
                <w:szCs w:val="16"/>
              </w:rPr>
            </w:pPr>
            <w:r>
              <w:rPr>
                <w:noProof/>
                <w:sz w:val="16"/>
                <w:szCs w:val="16"/>
              </w:rPr>
              <w:t>1</w:t>
            </w: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1897" w:type="pct"/>
            <w:gridSpan w:val="2"/>
            <w:shd w:val="clear" w:color="auto" w:fill="auto"/>
            <w:vAlign w:val="center"/>
          </w:tcPr>
          <w:p>
            <w:pPr>
              <w:pStyle w:val="Text1"/>
              <w:spacing w:beforeLines="20" w:before="48" w:afterLines="20" w:after="48"/>
              <w:ind w:left="134"/>
              <w:jc w:val="left"/>
              <w:rPr>
                <w:noProof/>
                <w:sz w:val="16"/>
                <w:szCs w:val="16"/>
              </w:rPr>
            </w:pPr>
            <w:r>
              <w:rPr>
                <w:noProof/>
                <w:sz w:val="16"/>
              </w:rPr>
              <w:t>XX 01 01 02 (Delegations)</w:t>
            </w:r>
          </w:p>
        </w:tc>
        <w:tc>
          <w:tcPr>
            <w:tcW w:w="318" w:type="pct"/>
            <w:shd w:val="clear" w:color="auto" w:fill="auto"/>
            <w:vAlign w:val="center"/>
          </w:tcPr>
          <w:p>
            <w:pPr>
              <w:spacing w:beforeLines="20" w:before="48" w:afterLines="20" w:after="48"/>
              <w:jc w:val="center"/>
              <w:rPr>
                <w:noProof/>
                <w:sz w:val="16"/>
                <w:szCs w:val="16"/>
              </w:rPr>
            </w:pPr>
          </w:p>
        </w:tc>
        <w:tc>
          <w:tcPr>
            <w:tcW w:w="318" w:type="pct"/>
            <w:shd w:val="clear" w:color="auto" w:fill="auto"/>
            <w:vAlign w:val="center"/>
          </w:tcPr>
          <w:p>
            <w:pPr>
              <w:spacing w:beforeLines="20" w:before="48" w:afterLines="20" w:after="48"/>
              <w:jc w:val="center"/>
              <w:rPr>
                <w:noProof/>
                <w:sz w:val="16"/>
                <w:szCs w:val="16"/>
              </w:rPr>
            </w:pPr>
          </w:p>
        </w:tc>
        <w:tc>
          <w:tcPr>
            <w:tcW w:w="1891" w:type="pct"/>
            <w:shd w:val="clear" w:color="auto" w:fill="auto"/>
            <w:vAlign w:val="center"/>
          </w:tcPr>
          <w:p>
            <w:pPr>
              <w:spacing w:beforeLines="20" w:before="48" w:afterLines="20" w:after="48"/>
              <w:jc w:val="center"/>
              <w:rPr>
                <w:noProof/>
                <w:sz w:val="16"/>
                <w:szCs w:val="16"/>
              </w:rPr>
            </w:pPr>
          </w:p>
        </w:tc>
        <w:tc>
          <w:tcPr>
            <w:tcW w:w="226"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1897" w:type="pct"/>
            <w:gridSpan w:val="2"/>
            <w:shd w:val="clear" w:color="auto" w:fill="auto"/>
            <w:vAlign w:val="center"/>
          </w:tcPr>
          <w:p>
            <w:pPr>
              <w:pStyle w:val="Text1"/>
              <w:spacing w:beforeLines="20" w:before="48" w:afterLines="20" w:after="48"/>
              <w:ind w:left="134"/>
              <w:jc w:val="left"/>
              <w:rPr>
                <w:noProof/>
                <w:sz w:val="16"/>
                <w:szCs w:val="16"/>
              </w:rPr>
            </w:pPr>
            <w:r>
              <w:rPr>
                <w:noProof/>
                <w:sz w:val="16"/>
              </w:rPr>
              <w:t>XX 01 05 01 (Indirect research)</w:t>
            </w:r>
          </w:p>
        </w:tc>
        <w:tc>
          <w:tcPr>
            <w:tcW w:w="318" w:type="pct"/>
            <w:shd w:val="clear" w:color="auto" w:fill="auto"/>
            <w:vAlign w:val="center"/>
          </w:tcPr>
          <w:p>
            <w:pPr>
              <w:spacing w:beforeLines="20" w:before="48" w:afterLines="20" w:after="48"/>
              <w:jc w:val="center"/>
              <w:rPr>
                <w:noProof/>
                <w:sz w:val="16"/>
                <w:szCs w:val="16"/>
              </w:rPr>
            </w:pPr>
          </w:p>
        </w:tc>
        <w:tc>
          <w:tcPr>
            <w:tcW w:w="318" w:type="pct"/>
            <w:shd w:val="clear" w:color="auto" w:fill="auto"/>
            <w:vAlign w:val="center"/>
          </w:tcPr>
          <w:p>
            <w:pPr>
              <w:spacing w:beforeLines="20" w:before="48" w:afterLines="20" w:after="48"/>
              <w:jc w:val="center"/>
              <w:rPr>
                <w:noProof/>
                <w:sz w:val="16"/>
                <w:szCs w:val="16"/>
              </w:rPr>
            </w:pPr>
          </w:p>
        </w:tc>
        <w:tc>
          <w:tcPr>
            <w:tcW w:w="1891" w:type="pct"/>
            <w:shd w:val="clear" w:color="auto" w:fill="auto"/>
            <w:vAlign w:val="center"/>
          </w:tcPr>
          <w:p>
            <w:pPr>
              <w:spacing w:beforeLines="20" w:before="48" w:afterLines="20" w:after="48"/>
              <w:jc w:val="center"/>
              <w:rPr>
                <w:noProof/>
                <w:sz w:val="16"/>
                <w:szCs w:val="16"/>
              </w:rPr>
            </w:pPr>
          </w:p>
        </w:tc>
        <w:tc>
          <w:tcPr>
            <w:tcW w:w="226"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1897" w:type="pct"/>
            <w:gridSpan w:val="2"/>
            <w:shd w:val="clear" w:color="auto" w:fill="auto"/>
            <w:vAlign w:val="center"/>
          </w:tcPr>
          <w:p>
            <w:pPr>
              <w:pStyle w:val="Text1"/>
              <w:spacing w:beforeLines="20" w:before="48" w:afterLines="20" w:after="48"/>
              <w:ind w:left="134"/>
              <w:jc w:val="left"/>
              <w:rPr>
                <w:noProof/>
                <w:sz w:val="16"/>
                <w:szCs w:val="16"/>
              </w:rPr>
            </w:pPr>
            <w:r>
              <w:rPr>
                <w:noProof/>
                <w:sz w:val="16"/>
              </w:rPr>
              <w:t>10 01 05 01 (Direct research)</w:t>
            </w:r>
          </w:p>
        </w:tc>
        <w:tc>
          <w:tcPr>
            <w:tcW w:w="318" w:type="pct"/>
            <w:shd w:val="clear" w:color="auto" w:fill="auto"/>
            <w:vAlign w:val="center"/>
          </w:tcPr>
          <w:p>
            <w:pPr>
              <w:spacing w:beforeLines="20" w:before="48" w:afterLines="20" w:after="48"/>
              <w:jc w:val="center"/>
              <w:rPr>
                <w:noProof/>
                <w:sz w:val="16"/>
                <w:szCs w:val="16"/>
              </w:rPr>
            </w:pPr>
          </w:p>
        </w:tc>
        <w:tc>
          <w:tcPr>
            <w:tcW w:w="318" w:type="pct"/>
            <w:shd w:val="clear" w:color="auto" w:fill="auto"/>
            <w:vAlign w:val="center"/>
          </w:tcPr>
          <w:p>
            <w:pPr>
              <w:spacing w:beforeLines="20" w:before="48" w:afterLines="20" w:after="48"/>
              <w:jc w:val="center"/>
              <w:rPr>
                <w:noProof/>
                <w:sz w:val="16"/>
                <w:szCs w:val="16"/>
              </w:rPr>
            </w:pPr>
          </w:p>
        </w:tc>
        <w:tc>
          <w:tcPr>
            <w:tcW w:w="1891" w:type="pct"/>
            <w:shd w:val="clear" w:color="auto" w:fill="auto"/>
            <w:vAlign w:val="center"/>
          </w:tcPr>
          <w:p>
            <w:pPr>
              <w:spacing w:beforeLines="20" w:before="48" w:afterLines="20" w:after="48"/>
              <w:jc w:val="center"/>
              <w:rPr>
                <w:noProof/>
                <w:sz w:val="16"/>
                <w:szCs w:val="16"/>
              </w:rPr>
            </w:pPr>
          </w:p>
        </w:tc>
        <w:tc>
          <w:tcPr>
            <w:tcW w:w="226"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r>
      <w:tr>
        <w:trPr>
          <w:gridAfter w:val="4"/>
          <w:wAfter w:w="570" w:type="pct"/>
          <w:trHeight w:val="248"/>
          <w:jc w:val="center"/>
        </w:trPr>
        <w:tc>
          <w:tcPr>
            <w:tcW w:w="4430" w:type="pct"/>
            <w:gridSpan w:val="6"/>
            <w:shd w:val="clear" w:color="auto" w:fill="auto"/>
            <w:vAlign w:val="center"/>
          </w:tcPr>
          <w:p>
            <w:pPr>
              <w:pStyle w:val="Text1"/>
              <w:spacing w:before="60" w:after="60"/>
              <w:ind w:left="0"/>
              <w:jc w:val="left"/>
              <w:rPr>
                <w:b/>
                <w:noProof/>
                <w:sz w:val="16"/>
                <w:szCs w:val="16"/>
              </w:rPr>
            </w:pPr>
            <w:r>
              <w:rPr>
                <w:b/>
                <w:noProof/>
                <w:sz w:val="16"/>
              </w:rPr>
              <w:sym w:font="Wingdings" w:char="F09F"/>
            </w:r>
            <w:r>
              <w:rPr>
                <w:b/>
                <w:noProof/>
                <w:sz w:val="16"/>
              </w:rPr>
              <w:t xml:space="preserve"> External staff (in Full Time Equivalent unit: FTE)</w:t>
            </w:r>
            <w:r>
              <w:rPr>
                <w:rStyle w:val="FootnoteReference"/>
                <w:b/>
                <w:noProof/>
                <w:sz w:val="16"/>
              </w:rPr>
              <w:footnoteReference w:id="16"/>
            </w:r>
          </w:p>
          <w:p>
            <w:pPr>
              <w:pStyle w:val="Text1"/>
              <w:spacing w:before="0" w:after="0"/>
              <w:ind w:left="0"/>
              <w:jc w:val="left"/>
              <w:rPr>
                <w:noProof/>
                <w:sz w:val="16"/>
                <w:szCs w:val="16"/>
              </w:rPr>
            </w:pPr>
          </w:p>
        </w:tc>
      </w:tr>
      <w:tr>
        <w:trPr>
          <w:gridBefore w:val="1"/>
          <w:wBefore w:w="6" w:type="pct"/>
          <w:trHeight w:val="289"/>
          <w:jc w:val="center"/>
        </w:trPr>
        <w:tc>
          <w:tcPr>
            <w:tcW w:w="1897" w:type="pct"/>
            <w:gridSpan w:val="2"/>
            <w:shd w:val="clear" w:color="auto" w:fill="auto"/>
            <w:vAlign w:val="center"/>
          </w:tcPr>
          <w:p>
            <w:pPr>
              <w:pStyle w:val="Text1"/>
              <w:spacing w:beforeLines="20" w:before="48" w:afterLines="20" w:after="48"/>
              <w:ind w:left="136"/>
              <w:jc w:val="left"/>
              <w:rPr>
                <w:b/>
                <w:noProof/>
                <w:sz w:val="16"/>
                <w:szCs w:val="16"/>
              </w:rPr>
            </w:pPr>
            <w:r>
              <w:rPr>
                <w:noProof/>
                <w:sz w:val="16"/>
              </w:rPr>
              <w:t>XX 01 02 01 (AC, END, INT from the ‘global envelope’)</w:t>
            </w:r>
          </w:p>
        </w:tc>
        <w:tc>
          <w:tcPr>
            <w:tcW w:w="318" w:type="pct"/>
            <w:shd w:val="clear" w:color="auto" w:fill="auto"/>
            <w:vAlign w:val="center"/>
          </w:tcPr>
          <w:p>
            <w:pPr>
              <w:spacing w:beforeLines="20" w:before="48" w:afterLines="20" w:after="48"/>
              <w:jc w:val="center"/>
              <w:rPr>
                <w:noProof/>
                <w:sz w:val="16"/>
                <w:szCs w:val="16"/>
              </w:rPr>
            </w:pPr>
          </w:p>
        </w:tc>
        <w:tc>
          <w:tcPr>
            <w:tcW w:w="318" w:type="pct"/>
            <w:shd w:val="clear" w:color="auto" w:fill="auto"/>
            <w:vAlign w:val="center"/>
          </w:tcPr>
          <w:p>
            <w:pPr>
              <w:spacing w:beforeLines="20" w:before="48" w:afterLines="20" w:after="48"/>
              <w:jc w:val="center"/>
              <w:rPr>
                <w:noProof/>
                <w:sz w:val="16"/>
                <w:szCs w:val="16"/>
              </w:rPr>
            </w:pPr>
          </w:p>
        </w:tc>
        <w:tc>
          <w:tcPr>
            <w:tcW w:w="1891" w:type="pct"/>
            <w:shd w:val="clear" w:color="auto" w:fill="auto"/>
            <w:vAlign w:val="center"/>
          </w:tcPr>
          <w:p>
            <w:pPr>
              <w:spacing w:beforeLines="20" w:before="48" w:afterLines="20" w:after="48"/>
              <w:jc w:val="center"/>
              <w:rPr>
                <w:noProof/>
                <w:sz w:val="16"/>
                <w:szCs w:val="16"/>
              </w:rPr>
            </w:pPr>
          </w:p>
        </w:tc>
        <w:tc>
          <w:tcPr>
            <w:tcW w:w="226"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1897" w:type="pct"/>
            <w:gridSpan w:val="2"/>
            <w:shd w:val="clear" w:color="auto" w:fill="auto"/>
            <w:vAlign w:val="center"/>
          </w:tcPr>
          <w:p>
            <w:pPr>
              <w:pStyle w:val="Text1"/>
              <w:spacing w:beforeLines="20" w:before="48" w:afterLines="20" w:after="48"/>
              <w:ind w:left="136"/>
              <w:jc w:val="left"/>
              <w:rPr>
                <w:noProof/>
                <w:sz w:val="16"/>
                <w:szCs w:val="16"/>
              </w:rPr>
            </w:pPr>
            <w:r>
              <w:rPr>
                <w:noProof/>
                <w:sz w:val="16"/>
              </w:rPr>
              <w:t>XX 01 02 02 (AC, AL, END, INT and JED in the delegations)</w:t>
            </w:r>
          </w:p>
        </w:tc>
        <w:tc>
          <w:tcPr>
            <w:tcW w:w="318" w:type="pct"/>
            <w:shd w:val="clear" w:color="auto" w:fill="auto"/>
            <w:vAlign w:val="center"/>
          </w:tcPr>
          <w:p>
            <w:pPr>
              <w:spacing w:beforeLines="20" w:before="48" w:afterLines="20" w:after="48"/>
              <w:jc w:val="center"/>
              <w:rPr>
                <w:noProof/>
                <w:sz w:val="16"/>
                <w:szCs w:val="16"/>
              </w:rPr>
            </w:pPr>
          </w:p>
        </w:tc>
        <w:tc>
          <w:tcPr>
            <w:tcW w:w="318" w:type="pct"/>
            <w:shd w:val="clear" w:color="auto" w:fill="auto"/>
            <w:vAlign w:val="center"/>
          </w:tcPr>
          <w:p>
            <w:pPr>
              <w:spacing w:beforeLines="20" w:before="48" w:afterLines="20" w:after="48"/>
              <w:jc w:val="center"/>
              <w:rPr>
                <w:noProof/>
                <w:sz w:val="16"/>
                <w:szCs w:val="16"/>
              </w:rPr>
            </w:pPr>
          </w:p>
        </w:tc>
        <w:tc>
          <w:tcPr>
            <w:tcW w:w="1891" w:type="pct"/>
            <w:shd w:val="clear" w:color="auto" w:fill="auto"/>
            <w:vAlign w:val="center"/>
          </w:tcPr>
          <w:p>
            <w:pPr>
              <w:spacing w:beforeLines="20" w:before="48" w:afterLines="20" w:after="48"/>
              <w:jc w:val="center"/>
              <w:rPr>
                <w:noProof/>
                <w:sz w:val="16"/>
                <w:szCs w:val="16"/>
              </w:rPr>
            </w:pPr>
          </w:p>
        </w:tc>
        <w:tc>
          <w:tcPr>
            <w:tcW w:w="226"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948" w:type="pct"/>
            <w:vMerge w:val="restart"/>
            <w:shd w:val="clear" w:color="auto" w:fill="auto"/>
            <w:vAlign w:val="center"/>
          </w:tcPr>
          <w:p>
            <w:pPr>
              <w:pStyle w:val="Text1"/>
              <w:spacing w:beforeLines="20" w:before="48" w:afterLines="20" w:after="48"/>
              <w:ind w:left="136"/>
              <w:jc w:val="left"/>
              <w:rPr>
                <w:b/>
                <w:noProof/>
                <w:sz w:val="16"/>
                <w:szCs w:val="16"/>
              </w:rPr>
            </w:pPr>
            <w:r>
              <w:rPr>
                <w:b/>
                <w:noProof/>
                <w:sz w:val="16"/>
                <w:szCs w:val="16"/>
              </w:rPr>
              <w:t>XX</w:t>
            </w:r>
            <w:r>
              <w:rPr>
                <w:noProof/>
                <w:sz w:val="16"/>
                <w:szCs w:val="16"/>
              </w:rPr>
              <w:t xml:space="preserve"> 01 04 </w:t>
            </w:r>
            <w:r>
              <w:rPr>
                <w:b/>
                <w:noProof/>
                <w:sz w:val="16"/>
                <w:szCs w:val="16"/>
              </w:rPr>
              <w:t>yy</w:t>
            </w:r>
            <w:r>
              <w:rPr>
                <w:b/>
                <w:i/>
                <w:noProof/>
                <w:sz w:val="16"/>
              </w:rPr>
              <w:t xml:space="preserve"> </w:t>
            </w:r>
            <w:r>
              <w:rPr>
                <w:rStyle w:val="FootnoteReference"/>
                <w:b/>
                <w:i/>
                <w:noProof/>
                <w:sz w:val="16"/>
              </w:rPr>
              <w:footnoteReference w:id="17"/>
            </w:r>
          </w:p>
          <w:p>
            <w:pPr>
              <w:pStyle w:val="Text1"/>
              <w:spacing w:beforeLines="20" w:before="48" w:afterLines="20" w:after="48"/>
              <w:ind w:left="136"/>
              <w:jc w:val="left"/>
              <w:rPr>
                <w:b/>
                <w:noProof/>
                <w:sz w:val="16"/>
                <w:szCs w:val="16"/>
              </w:rPr>
            </w:pPr>
          </w:p>
        </w:tc>
        <w:tc>
          <w:tcPr>
            <w:tcW w:w="949" w:type="pct"/>
            <w:shd w:val="clear" w:color="auto" w:fill="auto"/>
            <w:vAlign w:val="center"/>
          </w:tcPr>
          <w:p>
            <w:pPr>
              <w:pStyle w:val="Text1"/>
              <w:spacing w:beforeLines="20" w:before="48" w:afterLines="20" w:after="48"/>
              <w:ind w:left="136"/>
              <w:jc w:val="left"/>
              <w:rPr>
                <w:b/>
                <w:noProof/>
                <w:sz w:val="16"/>
                <w:szCs w:val="16"/>
              </w:rPr>
            </w:pPr>
            <w:r>
              <w:rPr>
                <w:noProof/>
                <w:sz w:val="16"/>
              </w:rPr>
              <w:t>- at Headquarters</w:t>
            </w:r>
          </w:p>
          <w:p>
            <w:pPr>
              <w:pStyle w:val="Text1"/>
              <w:spacing w:beforeLines="20" w:before="48" w:afterLines="20" w:after="48"/>
              <w:ind w:left="136"/>
              <w:jc w:val="left"/>
              <w:rPr>
                <w:b/>
                <w:noProof/>
                <w:sz w:val="16"/>
                <w:szCs w:val="16"/>
              </w:rPr>
            </w:pPr>
          </w:p>
        </w:tc>
        <w:tc>
          <w:tcPr>
            <w:tcW w:w="318" w:type="pct"/>
            <w:shd w:val="clear" w:color="auto" w:fill="auto"/>
            <w:vAlign w:val="center"/>
          </w:tcPr>
          <w:p>
            <w:pPr>
              <w:pStyle w:val="Text1"/>
              <w:spacing w:beforeLines="20" w:before="48" w:afterLines="20" w:after="48"/>
              <w:ind w:left="0"/>
              <w:rPr>
                <w:noProof/>
                <w:sz w:val="16"/>
                <w:szCs w:val="16"/>
              </w:rPr>
            </w:pPr>
          </w:p>
        </w:tc>
        <w:tc>
          <w:tcPr>
            <w:tcW w:w="318" w:type="pct"/>
            <w:shd w:val="clear" w:color="auto" w:fill="auto"/>
            <w:vAlign w:val="center"/>
          </w:tcPr>
          <w:p>
            <w:pPr>
              <w:spacing w:beforeLines="20" w:before="48" w:afterLines="20" w:after="48"/>
              <w:jc w:val="center"/>
              <w:rPr>
                <w:noProof/>
                <w:sz w:val="16"/>
                <w:szCs w:val="16"/>
              </w:rPr>
            </w:pPr>
          </w:p>
        </w:tc>
        <w:tc>
          <w:tcPr>
            <w:tcW w:w="1891" w:type="pct"/>
            <w:shd w:val="clear" w:color="auto" w:fill="auto"/>
            <w:vAlign w:val="center"/>
          </w:tcPr>
          <w:p>
            <w:pPr>
              <w:spacing w:beforeLines="20" w:before="48" w:afterLines="20" w:after="48"/>
              <w:jc w:val="center"/>
              <w:rPr>
                <w:noProof/>
                <w:sz w:val="16"/>
                <w:szCs w:val="16"/>
              </w:rPr>
            </w:pPr>
          </w:p>
        </w:tc>
        <w:tc>
          <w:tcPr>
            <w:tcW w:w="226"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948" w:type="pct"/>
            <w:vMerge/>
            <w:shd w:val="clear" w:color="auto" w:fill="auto"/>
            <w:vAlign w:val="center"/>
          </w:tcPr>
          <w:p>
            <w:pPr>
              <w:pStyle w:val="Text1"/>
              <w:spacing w:beforeLines="20" w:before="48" w:afterLines="20" w:after="48"/>
              <w:ind w:left="136"/>
              <w:jc w:val="left"/>
              <w:rPr>
                <w:b/>
                <w:noProof/>
                <w:sz w:val="16"/>
                <w:szCs w:val="16"/>
              </w:rPr>
            </w:pPr>
          </w:p>
        </w:tc>
        <w:tc>
          <w:tcPr>
            <w:tcW w:w="949" w:type="pct"/>
            <w:shd w:val="clear" w:color="auto" w:fill="auto"/>
            <w:vAlign w:val="center"/>
          </w:tcPr>
          <w:p>
            <w:pPr>
              <w:pStyle w:val="Text1"/>
              <w:spacing w:beforeLines="20" w:before="48" w:afterLines="20" w:after="48"/>
              <w:ind w:left="136"/>
              <w:jc w:val="left"/>
              <w:rPr>
                <w:b/>
                <w:noProof/>
                <w:sz w:val="16"/>
                <w:szCs w:val="16"/>
              </w:rPr>
            </w:pPr>
            <w:r>
              <w:rPr>
                <w:noProof/>
                <w:sz w:val="16"/>
              </w:rPr>
              <w:t xml:space="preserve">- in Delegations </w:t>
            </w:r>
          </w:p>
        </w:tc>
        <w:tc>
          <w:tcPr>
            <w:tcW w:w="318" w:type="pct"/>
            <w:shd w:val="clear" w:color="auto" w:fill="auto"/>
            <w:vAlign w:val="center"/>
          </w:tcPr>
          <w:p>
            <w:pPr>
              <w:pStyle w:val="Text1"/>
              <w:spacing w:beforeLines="20" w:before="48" w:afterLines="20" w:after="48"/>
              <w:ind w:left="0"/>
              <w:rPr>
                <w:noProof/>
                <w:sz w:val="16"/>
                <w:szCs w:val="16"/>
              </w:rPr>
            </w:pPr>
          </w:p>
        </w:tc>
        <w:tc>
          <w:tcPr>
            <w:tcW w:w="318" w:type="pct"/>
            <w:shd w:val="clear" w:color="auto" w:fill="auto"/>
            <w:vAlign w:val="center"/>
          </w:tcPr>
          <w:p>
            <w:pPr>
              <w:spacing w:beforeLines="20" w:before="48" w:afterLines="20" w:after="48"/>
              <w:jc w:val="center"/>
              <w:rPr>
                <w:noProof/>
                <w:sz w:val="16"/>
                <w:szCs w:val="16"/>
              </w:rPr>
            </w:pPr>
          </w:p>
        </w:tc>
        <w:tc>
          <w:tcPr>
            <w:tcW w:w="1891" w:type="pct"/>
            <w:shd w:val="clear" w:color="auto" w:fill="auto"/>
            <w:vAlign w:val="center"/>
          </w:tcPr>
          <w:p>
            <w:pPr>
              <w:spacing w:beforeLines="20" w:before="48" w:afterLines="20" w:after="48"/>
              <w:jc w:val="center"/>
              <w:rPr>
                <w:noProof/>
                <w:sz w:val="16"/>
                <w:szCs w:val="16"/>
              </w:rPr>
            </w:pPr>
          </w:p>
        </w:tc>
        <w:tc>
          <w:tcPr>
            <w:tcW w:w="226"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1897" w:type="pct"/>
            <w:gridSpan w:val="2"/>
            <w:shd w:val="clear" w:color="auto" w:fill="auto"/>
            <w:vAlign w:val="center"/>
          </w:tcPr>
          <w:p>
            <w:pPr>
              <w:pStyle w:val="Text1"/>
              <w:spacing w:beforeLines="20" w:before="48" w:afterLines="20" w:after="48"/>
              <w:ind w:left="136"/>
              <w:jc w:val="left"/>
              <w:rPr>
                <w:noProof/>
                <w:sz w:val="16"/>
                <w:szCs w:val="16"/>
              </w:rPr>
            </w:pPr>
            <w:r>
              <w:rPr>
                <w:b/>
                <w:noProof/>
                <w:sz w:val="16"/>
                <w:szCs w:val="16"/>
              </w:rPr>
              <w:t>XX</w:t>
            </w:r>
            <w:r>
              <w:rPr>
                <w:noProof/>
                <w:sz w:val="16"/>
                <w:szCs w:val="16"/>
              </w:rPr>
              <w:t xml:space="preserve"> 01 05 02 (AC, END, INT - Indirect research)</w:t>
            </w:r>
          </w:p>
        </w:tc>
        <w:tc>
          <w:tcPr>
            <w:tcW w:w="318" w:type="pct"/>
            <w:shd w:val="clear" w:color="auto" w:fill="auto"/>
            <w:vAlign w:val="center"/>
          </w:tcPr>
          <w:p>
            <w:pPr>
              <w:spacing w:beforeLines="20" w:before="48" w:afterLines="20" w:after="48"/>
              <w:jc w:val="center"/>
              <w:rPr>
                <w:noProof/>
                <w:sz w:val="16"/>
                <w:szCs w:val="16"/>
              </w:rPr>
            </w:pPr>
          </w:p>
        </w:tc>
        <w:tc>
          <w:tcPr>
            <w:tcW w:w="318" w:type="pct"/>
            <w:shd w:val="clear" w:color="auto" w:fill="auto"/>
            <w:vAlign w:val="center"/>
          </w:tcPr>
          <w:p>
            <w:pPr>
              <w:spacing w:beforeLines="20" w:before="48" w:afterLines="20" w:after="48"/>
              <w:jc w:val="center"/>
              <w:rPr>
                <w:noProof/>
                <w:sz w:val="16"/>
                <w:szCs w:val="16"/>
              </w:rPr>
            </w:pPr>
          </w:p>
        </w:tc>
        <w:tc>
          <w:tcPr>
            <w:tcW w:w="1891" w:type="pct"/>
            <w:shd w:val="clear" w:color="auto" w:fill="auto"/>
            <w:vAlign w:val="center"/>
          </w:tcPr>
          <w:p>
            <w:pPr>
              <w:spacing w:beforeLines="20" w:before="48" w:afterLines="20" w:after="48"/>
              <w:jc w:val="center"/>
              <w:rPr>
                <w:noProof/>
                <w:sz w:val="16"/>
                <w:szCs w:val="16"/>
              </w:rPr>
            </w:pPr>
          </w:p>
        </w:tc>
        <w:tc>
          <w:tcPr>
            <w:tcW w:w="226"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1897" w:type="pct"/>
            <w:gridSpan w:val="2"/>
            <w:shd w:val="clear" w:color="auto" w:fill="auto"/>
            <w:vAlign w:val="center"/>
          </w:tcPr>
          <w:p>
            <w:pPr>
              <w:pStyle w:val="Text1"/>
              <w:spacing w:beforeLines="20" w:before="48" w:afterLines="20" w:after="48"/>
              <w:ind w:left="136"/>
              <w:jc w:val="left"/>
              <w:rPr>
                <w:noProof/>
                <w:sz w:val="16"/>
                <w:szCs w:val="16"/>
              </w:rPr>
            </w:pPr>
            <w:r>
              <w:rPr>
                <w:noProof/>
                <w:sz w:val="16"/>
              </w:rPr>
              <w:t>10 01 05 02 (AC, END, INT - Direct research)</w:t>
            </w:r>
          </w:p>
        </w:tc>
        <w:tc>
          <w:tcPr>
            <w:tcW w:w="318" w:type="pct"/>
            <w:shd w:val="clear" w:color="auto" w:fill="auto"/>
            <w:vAlign w:val="center"/>
          </w:tcPr>
          <w:p>
            <w:pPr>
              <w:spacing w:beforeLines="20" w:before="48" w:afterLines="20" w:after="48"/>
              <w:jc w:val="center"/>
              <w:rPr>
                <w:noProof/>
                <w:sz w:val="16"/>
                <w:szCs w:val="16"/>
              </w:rPr>
            </w:pPr>
          </w:p>
        </w:tc>
        <w:tc>
          <w:tcPr>
            <w:tcW w:w="318" w:type="pct"/>
            <w:shd w:val="clear" w:color="auto" w:fill="auto"/>
            <w:vAlign w:val="center"/>
          </w:tcPr>
          <w:p>
            <w:pPr>
              <w:spacing w:beforeLines="20" w:before="48" w:afterLines="20" w:after="48"/>
              <w:jc w:val="center"/>
              <w:rPr>
                <w:noProof/>
                <w:sz w:val="16"/>
                <w:szCs w:val="16"/>
              </w:rPr>
            </w:pPr>
          </w:p>
        </w:tc>
        <w:tc>
          <w:tcPr>
            <w:tcW w:w="1891" w:type="pct"/>
            <w:shd w:val="clear" w:color="auto" w:fill="auto"/>
            <w:vAlign w:val="center"/>
          </w:tcPr>
          <w:p>
            <w:pPr>
              <w:spacing w:beforeLines="20" w:before="48" w:afterLines="20" w:after="48"/>
              <w:jc w:val="center"/>
              <w:rPr>
                <w:noProof/>
                <w:sz w:val="16"/>
                <w:szCs w:val="16"/>
              </w:rPr>
            </w:pPr>
          </w:p>
        </w:tc>
        <w:tc>
          <w:tcPr>
            <w:tcW w:w="226"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c>
          <w:tcPr>
            <w:tcW w:w="115" w:type="pct"/>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1897" w:type="pct"/>
            <w:gridSpan w:val="2"/>
            <w:tcBorders>
              <w:bottom w:val="double" w:sz="4" w:space="0" w:color="auto"/>
            </w:tcBorders>
            <w:shd w:val="clear" w:color="auto" w:fill="auto"/>
            <w:vAlign w:val="center"/>
          </w:tcPr>
          <w:p>
            <w:pPr>
              <w:pStyle w:val="Text1"/>
              <w:spacing w:beforeLines="20" w:before="48" w:afterLines="20" w:after="48"/>
              <w:ind w:left="134"/>
              <w:jc w:val="left"/>
              <w:rPr>
                <w:noProof/>
                <w:sz w:val="16"/>
                <w:szCs w:val="16"/>
              </w:rPr>
            </w:pPr>
            <w:r>
              <w:rPr>
                <w:noProof/>
                <w:sz w:val="16"/>
              </w:rPr>
              <w:t>Other budget lines (specify)</w:t>
            </w:r>
          </w:p>
        </w:tc>
        <w:tc>
          <w:tcPr>
            <w:tcW w:w="318"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318"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1891"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226"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115"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115"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115" w:type="pct"/>
            <w:tcBorders>
              <w:bottom w:val="double" w:sz="4" w:space="0" w:color="auto"/>
            </w:tcBorders>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1897" w:type="pct"/>
            <w:gridSpan w:val="2"/>
            <w:tcBorders>
              <w:top w:val="double" w:sz="4" w:space="0" w:color="auto"/>
            </w:tcBorders>
            <w:shd w:val="clear" w:color="auto" w:fill="auto"/>
            <w:vAlign w:val="center"/>
          </w:tcPr>
          <w:p>
            <w:pPr>
              <w:pStyle w:val="Text1"/>
              <w:spacing w:beforeLines="20" w:before="48" w:afterLines="20" w:after="48"/>
              <w:ind w:left="136"/>
              <w:jc w:val="left"/>
              <w:rPr>
                <w:noProof/>
                <w:sz w:val="16"/>
                <w:szCs w:val="16"/>
              </w:rPr>
            </w:pPr>
            <w:r>
              <w:rPr>
                <w:b/>
                <w:noProof/>
                <w:sz w:val="16"/>
              </w:rPr>
              <w:t>TOTAL</w:t>
            </w:r>
          </w:p>
        </w:tc>
        <w:tc>
          <w:tcPr>
            <w:tcW w:w="318" w:type="pct"/>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szCs w:val="16"/>
              </w:rPr>
              <w:t>1</w:t>
            </w:r>
          </w:p>
        </w:tc>
        <w:tc>
          <w:tcPr>
            <w:tcW w:w="318" w:type="pct"/>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szCs w:val="16"/>
              </w:rPr>
              <w:t>1</w:t>
            </w:r>
          </w:p>
        </w:tc>
        <w:tc>
          <w:tcPr>
            <w:tcW w:w="1891" w:type="pct"/>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szCs w:val="16"/>
              </w:rPr>
              <w:t>1</w:t>
            </w:r>
          </w:p>
        </w:tc>
        <w:tc>
          <w:tcPr>
            <w:tcW w:w="226" w:type="pct"/>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szCs w:val="16"/>
              </w:rPr>
              <w:t>1</w:t>
            </w:r>
          </w:p>
        </w:tc>
        <w:tc>
          <w:tcPr>
            <w:tcW w:w="115" w:type="pct"/>
            <w:tcBorders>
              <w:top w:val="double" w:sz="4" w:space="0" w:color="auto"/>
            </w:tcBorders>
            <w:shd w:val="clear" w:color="auto" w:fill="auto"/>
            <w:vAlign w:val="center"/>
          </w:tcPr>
          <w:p>
            <w:pPr>
              <w:spacing w:beforeLines="20" w:before="48" w:afterLines="20" w:after="48"/>
              <w:jc w:val="center"/>
              <w:rPr>
                <w:b/>
                <w:noProof/>
                <w:sz w:val="16"/>
                <w:szCs w:val="16"/>
              </w:rPr>
            </w:pPr>
          </w:p>
        </w:tc>
        <w:tc>
          <w:tcPr>
            <w:tcW w:w="115" w:type="pct"/>
            <w:tcBorders>
              <w:top w:val="double" w:sz="4" w:space="0" w:color="auto"/>
            </w:tcBorders>
            <w:shd w:val="clear" w:color="auto" w:fill="auto"/>
            <w:vAlign w:val="center"/>
          </w:tcPr>
          <w:p>
            <w:pPr>
              <w:spacing w:beforeLines="20" w:before="48" w:afterLines="20" w:after="48"/>
              <w:jc w:val="center"/>
              <w:rPr>
                <w:b/>
                <w:noProof/>
                <w:sz w:val="16"/>
                <w:szCs w:val="16"/>
              </w:rPr>
            </w:pPr>
          </w:p>
        </w:tc>
        <w:tc>
          <w:tcPr>
            <w:tcW w:w="115" w:type="pct"/>
            <w:tcBorders>
              <w:top w:val="double" w:sz="4" w:space="0" w:color="auto"/>
            </w:tcBorders>
            <w:shd w:val="clear" w:color="auto" w:fill="auto"/>
            <w:vAlign w:val="center"/>
          </w:tcPr>
          <w:p>
            <w:pPr>
              <w:spacing w:beforeLines="20" w:before="48" w:afterLines="20" w:after="48"/>
              <w:jc w:val="center"/>
              <w:rPr>
                <w:b/>
                <w:noProof/>
                <w:sz w:val="16"/>
                <w:szCs w:val="16"/>
              </w:rPr>
            </w:pPr>
          </w:p>
        </w:tc>
      </w:tr>
    </w:tbl>
    <w:p>
      <w:pPr>
        <w:pStyle w:val="Text1"/>
        <w:spacing w:before="60" w:after="60"/>
        <w:ind w:left="851"/>
        <w:rPr>
          <w:noProof/>
          <w:sz w:val="18"/>
          <w:szCs w:val="18"/>
        </w:rPr>
      </w:pPr>
      <w:r>
        <w:rPr>
          <w:b/>
          <w:noProof/>
          <w:sz w:val="18"/>
          <w:szCs w:val="18"/>
        </w:rPr>
        <w:t>XX</w:t>
      </w:r>
      <w:r>
        <w:rPr>
          <w:noProof/>
          <w:sz w:val="18"/>
          <w:szCs w:val="18"/>
        </w:rPr>
        <w:t xml:space="preserve"> is the policy area or budget title concerned.</w:t>
      </w:r>
    </w:p>
    <w:p>
      <w:pPr>
        <w:pStyle w:val="Text1"/>
        <w:rPr>
          <w:noProof/>
          <w:sz w:val="18"/>
          <w:szCs w:val="18"/>
        </w:rPr>
      </w:pPr>
      <w:r>
        <w:rPr>
          <w:noProof/>
          <w:sz w:val="18"/>
        </w:rPr>
        <w:t>The human resources required will be met by staff from the DG who are already assigned to management of the action and/or have been redeployed within the DG, together if necessary with any additional allocation which may be granted to the managing DG under the annual allocation procedure and in the light of budgetary constraints.</w:t>
      </w:r>
    </w:p>
    <w:p>
      <w:pPr>
        <w:rPr>
          <w:noProof/>
          <w:sz w:val="20"/>
        </w:rPr>
      </w:pPr>
      <w:r>
        <w:rPr>
          <w:noProof/>
          <w:sz w:val="20"/>
        </w:rPr>
        <w:t>Description of tasks to be carried out:</w:t>
      </w:r>
    </w:p>
    <w:tbl>
      <w:tblPr>
        <w:tblW w:w="10440" w:type="dxa"/>
        <w:tblInd w:w="-4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3240"/>
        <w:gridCol w:w="7200"/>
      </w:tblGrid>
      <w:tr>
        <w:tc>
          <w:tcPr>
            <w:tcW w:w="3240" w:type="dxa"/>
          </w:tcPr>
          <w:p>
            <w:pPr>
              <w:rPr>
                <w:noProof/>
                <w:sz w:val="20"/>
              </w:rPr>
            </w:pPr>
            <w:r>
              <w:rPr>
                <w:noProof/>
                <w:sz w:val="20"/>
              </w:rPr>
              <w:t>Officials and temporary staff</w:t>
            </w:r>
          </w:p>
        </w:tc>
        <w:tc>
          <w:tcPr>
            <w:tcW w:w="7200" w:type="dxa"/>
          </w:tcPr>
          <w:p>
            <w:pPr>
              <w:rPr>
                <w:noProof/>
                <w:sz w:val="20"/>
              </w:rPr>
            </w:pPr>
            <w:r>
              <w:rPr>
                <w:noProof/>
                <w:sz w:val="20"/>
              </w:rPr>
              <w:t>Monitoring of the running of the ICS/Case handling</w:t>
            </w:r>
          </w:p>
        </w:tc>
      </w:tr>
      <w:tr>
        <w:tc>
          <w:tcPr>
            <w:tcW w:w="3240" w:type="dxa"/>
          </w:tcPr>
          <w:p>
            <w:pPr>
              <w:spacing w:before="60" w:after="60"/>
              <w:rPr>
                <w:noProof/>
                <w:sz w:val="20"/>
              </w:rPr>
            </w:pPr>
            <w:r>
              <w:rPr>
                <w:noProof/>
                <w:sz w:val="20"/>
              </w:rPr>
              <w:t>External staff</w:t>
            </w:r>
          </w:p>
        </w:tc>
        <w:tc>
          <w:tcPr>
            <w:tcW w:w="7200" w:type="dxa"/>
          </w:tcPr>
          <w:p>
            <w:pPr>
              <w:rPr>
                <w:noProof/>
                <w:sz w:val="20"/>
              </w:rPr>
            </w:pPr>
          </w:p>
        </w:tc>
      </w:tr>
    </w:tbl>
    <w:p>
      <w:pPr>
        <w:rPr>
          <w:noProof/>
        </w:rPr>
        <w:sectPr>
          <w:pgSz w:w="11907" w:h="16840"/>
          <w:pgMar w:top="1134" w:right="1418" w:bottom="1134" w:left="1418" w:header="709" w:footer="709" w:gutter="0"/>
          <w:cols w:space="708"/>
          <w:docGrid w:linePitch="360"/>
        </w:sectPr>
      </w:pPr>
    </w:p>
    <w:p>
      <w:pPr>
        <w:pStyle w:val="ManualHeading3"/>
        <w:rPr>
          <w:bCs/>
          <w:noProof/>
          <w:szCs w:val="24"/>
        </w:rPr>
      </w:pPr>
      <w:r>
        <w:rPr>
          <w:noProof/>
        </w:rPr>
        <w:t>3.2.4.</w:t>
      </w:r>
      <w:r>
        <w:rPr>
          <w:noProof/>
        </w:rPr>
        <w:tab/>
        <w:t xml:space="preserve">Compatibility with the current multiannual financial framework </w:t>
      </w:r>
    </w:p>
    <w:p>
      <w:pPr>
        <w:pStyle w:val="ListDash1"/>
        <w:rPr>
          <w:noProof/>
        </w:rPr>
      </w:pPr>
      <w:r>
        <w:rPr>
          <w:noProof/>
        </w:rPr>
        <w:sym w:font="Wingdings" w:char="F0FE"/>
      </w:r>
      <w:r>
        <w:rPr>
          <w:noProof/>
        </w:rPr>
        <w:tab/>
        <w:t>The proposal/initiative is compatible the current multiannual financial framework.</w:t>
      </w:r>
    </w:p>
    <w:p>
      <w:pPr>
        <w:pStyle w:val="ListDash1"/>
        <w:rPr>
          <w:noProof/>
        </w:rPr>
      </w:pPr>
      <w:r>
        <w:rPr>
          <w:noProof/>
        </w:rPr>
        <w:sym w:font="Wingdings" w:char="F0A8"/>
      </w:r>
      <w:r>
        <w:rPr>
          <w:noProof/>
        </w:rPr>
        <w:tab/>
        <w:t>The proposal/initiative will entail reprogramming of the relevant heading in the multiannual financial framework.</w:t>
      </w:r>
    </w:p>
    <w:p>
      <w:pPr>
        <w:pStyle w:val="Text1"/>
        <w:pBdr>
          <w:top w:val="single" w:sz="4" w:space="1" w:color="auto"/>
          <w:left w:val="single" w:sz="4" w:space="4" w:color="auto"/>
          <w:bottom w:val="single" w:sz="4" w:space="1" w:color="auto"/>
          <w:right w:val="single" w:sz="4" w:space="4" w:color="auto"/>
        </w:pBdr>
        <w:rPr>
          <w:noProof/>
          <w:sz w:val="20"/>
        </w:rPr>
      </w:pPr>
      <w:r>
        <w:rPr>
          <w:noProof/>
          <w:sz w:val="20"/>
        </w:rPr>
        <w:t>Explain what reprogramming is required, specifying the budget lines concerned and the corresponding amounts.</w:t>
      </w:r>
    </w:p>
    <w:p>
      <w:pPr>
        <w:pStyle w:val="Text1"/>
        <w:pBdr>
          <w:top w:val="single" w:sz="4" w:space="1" w:color="auto"/>
          <w:left w:val="single" w:sz="4" w:space="4" w:color="auto"/>
          <w:bottom w:val="single" w:sz="4" w:space="1" w:color="auto"/>
          <w:right w:val="single" w:sz="4" w:space="4" w:color="auto"/>
        </w:pBdr>
        <w:rPr>
          <w:noProof/>
        </w:rPr>
      </w:pPr>
      <w:r>
        <w:rPr>
          <w:noProof/>
        </w:rPr>
        <w:t>[…]</w:t>
      </w:r>
    </w:p>
    <w:p>
      <w:pPr>
        <w:pStyle w:val="ListDash1"/>
        <w:rPr>
          <w:noProof/>
        </w:rPr>
      </w:pPr>
      <w:r>
        <w:rPr>
          <w:noProof/>
        </w:rPr>
        <w:sym w:font="Wingdings" w:char="F0A8"/>
      </w:r>
      <w:r>
        <w:rPr>
          <w:noProof/>
        </w:rPr>
        <w:tab/>
        <w:t>The proposal/initiative requires application of the flexibility instrument or revision of the multiannual financial framework.</w:t>
      </w:r>
    </w:p>
    <w:p>
      <w:pPr>
        <w:pStyle w:val="Text1"/>
        <w:pBdr>
          <w:top w:val="single" w:sz="4" w:space="1" w:color="auto"/>
          <w:left w:val="single" w:sz="4" w:space="4" w:color="auto"/>
          <w:bottom w:val="single" w:sz="4" w:space="1" w:color="auto"/>
          <w:right w:val="single" w:sz="4" w:space="4" w:color="auto"/>
        </w:pBdr>
        <w:rPr>
          <w:noProof/>
          <w:sz w:val="20"/>
        </w:rPr>
      </w:pPr>
      <w:r>
        <w:rPr>
          <w:noProof/>
          <w:sz w:val="20"/>
        </w:rPr>
        <w:t>Explain what is required, specifying the headings and budget lines concerned and the corresponding amounts.</w:t>
      </w:r>
    </w:p>
    <w:p>
      <w:pPr>
        <w:pStyle w:val="Text1"/>
        <w:pBdr>
          <w:top w:val="single" w:sz="4" w:space="1" w:color="auto"/>
          <w:left w:val="single" w:sz="4" w:space="4" w:color="auto"/>
          <w:bottom w:val="single" w:sz="4" w:space="1" w:color="auto"/>
          <w:right w:val="single" w:sz="4" w:space="4" w:color="auto"/>
        </w:pBdr>
        <w:rPr>
          <w:noProof/>
        </w:rPr>
      </w:pPr>
      <w:r>
        <w:rPr>
          <w:noProof/>
        </w:rPr>
        <w:t>[…]</w:t>
      </w:r>
    </w:p>
    <w:p>
      <w:pPr>
        <w:pStyle w:val="ManualHeading3"/>
        <w:rPr>
          <w:bCs/>
          <w:noProof/>
          <w:szCs w:val="24"/>
        </w:rPr>
      </w:pPr>
      <w:r>
        <w:rPr>
          <w:noProof/>
        </w:rPr>
        <w:t>3.2.5.</w:t>
      </w:r>
      <w:r>
        <w:rPr>
          <w:noProof/>
        </w:rPr>
        <w:tab/>
        <w:t xml:space="preserve">Third-party contributions </w:t>
      </w:r>
    </w:p>
    <w:p>
      <w:pPr>
        <w:pStyle w:val="ListDash1"/>
        <w:rPr>
          <w:noProof/>
        </w:rPr>
      </w:pPr>
      <w:r>
        <w:rPr>
          <w:noProof/>
        </w:rPr>
        <w:t xml:space="preserve">The proposal/initiative does not provide for co-financing by third parties. </w:t>
      </w:r>
    </w:p>
    <w:p>
      <w:pPr>
        <w:pStyle w:val="ListDash1"/>
        <w:rPr>
          <w:noProof/>
        </w:rPr>
      </w:pPr>
      <w:r>
        <w:rPr>
          <w:noProof/>
        </w:rPr>
        <w:t>The proposal/initiative provides for the co-financing estimated below:</w:t>
      </w:r>
    </w:p>
    <w:p>
      <w:pPr>
        <w:jc w:val="right"/>
        <w:rPr>
          <w:noProof/>
          <w:sz w:val="20"/>
        </w:rPr>
      </w:pPr>
      <w:r>
        <w:rPr>
          <w:noProof/>
          <w:sz w:val="20"/>
        </w:rPr>
        <w:t>Appropriations in EUR million (to three decimal places)</w:t>
      </w:r>
    </w:p>
    <w:tbl>
      <w:tblPr>
        <w:tblW w:w="10246" w:type="dxa"/>
        <w:tblInd w:w="-4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964"/>
        <w:gridCol w:w="964"/>
        <w:gridCol w:w="964"/>
        <w:gridCol w:w="964"/>
        <w:gridCol w:w="964"/>
        <w:gridCol w:w="964"/>
        <w:gridCol w:w="964"/>
        <w:gridCol w:w="1158"/>
      </w:tblGrid>
      <w:tr>
        <w:trPr>
          <w:cantSplit/>
        </w:trPr>
        <w:tc>
          <w:tcPr>
            <w:tcW w:w="2340" w:type="dxa"/>
          </w:tcPr>
          <w:p>
            <w:pPr>
              <w:spacing w:before="60" w:after="60"/>
              <w:rPr>
                <w:noProof/>
                <w:sz w:val="20"/>
              </w:rPr>
            </w:pPr>
          </w:p>
        </w:tc>
        <w:tc>
          <w:tcPr>
            <w:tcW w:w="964" w:type="dxa"/>
            <w:vAlign w:val="center"/>
          </w:tcPr>
          <w:p>
            <w:pPr>
              <w:jc w:val="center"/>
              <w:rPr>
                <w:noProof/>
                <w:sz w:val="20"/>
              </w:rPr>
            </w:pPr>
            <w:r>
              <w:rPr>
                <w:noProof/>
                <w:sz w:val="20"/>
              </w:rPr>
              <w:t>Year</w:t>
            </w:r>
            <w:r>
              <w:rPr>
                <w:noProof/>
                <w:sz w:val="22"/>
              </w:rPr>
              <w:br/>
            </w:r>
            <w:r>
              <w:rPr>
                <w:b/>
                <w:noProof/>
                <w:sz w:val="20"/>
              </w:rPr>
              <w:t>N</w:t>
            </w:r>
          </w:p>
        </w:tc>
        <w:tc>
          <w:tcPr>
            <w:tcW w:w="964" w:type="dxa"/>
            <w:vAlign w:val="center"/>
          </w:tcPr>
          <w:p>
            <w:pPr>
              <w:jc w:val="center"/>
              <w:rPr>
                <w:noProof/>
                <w:sz w:val="20"/>
              </w:rPr>
            </w:pPr>
            <w:r>
              <w:rPr>
                <w:noProof/>
                <w:sz w:val="20"/>
              </w:rPr>
              <w:t>Year</w:t>
            </w:r>
            <w:r>
              <w:rPr>
                <w:noProof/>
                <w:sz w:val="22"/>
              </w:rPr>
              <w:br/>
            </w:r>
            <w:r>
              <w:rPr>
                <w:b/>
                <w:noProof/>
                <w:sz w:val="20"/>
              </w:rPr>
              <w:t>N+1</w:t>
            </w:r>
          </w:p>
        </w:tc>
        <w:tc>
          <w:tcPr>
            <w:tcW w:w="964" w:type="dxa"/>
            <w:vAlign w:val="center"/>
          </w:tcPr>
          <w:p>
            <w:pPr>
              <w:jc w:val="center"/>
              <w:rPr>
                <w:noProof/>
                <w:sz w:val="20"/>
              </w:rPr>
            </w:pPr>
            <w:r>
              <w:rPr>
                <w:noProof/>
                <w:sz w:val="20"/>
              </w:rPr>
              <w:t>Year</w:t>
            </w:r>
            <w:r>
              <w:rPr>
                <w:noProof/>
                <w:sz w:val="22"/>
              </w:rPr>
              <w:br/>
            </w:r>
            <w:r>
              <w:rPr>
                <w:b/>
                <w:noProof/>
                <w:sz w:val="20"/>
              </w:rPr>
              <w:t>N+2</w:t>
            </w:r>
          </w:p>
        </w:tc>
        <w:tc>
          <w:tcPr>
            <w:tcW w:w="964" w:type="dxa"/>
            <w:vAlign w:val="center"/>
          </w:tcPr>
          <w:p>
            <w:pPr>
              <w:jc w:val="center"/>
              <w:rPr>
                <w:noProof/>
                <w:sz w:val="20"/>
              </w:rPr>
            </w:pPr>
            <w:r>
              <w:rPr>
                <w:noProof/>
                <w:sz w:val="20"/>
              </w:rPr>
              <w:t>Year</w:t>
            </w:r>
            <w:r>
              <w:rPr>
                <w:noProof/>
                <w:sz w:val="22"/>
              </w:rPr>
              <w:br/>
            </w:r>
            <w:r>
              <w:rPr>
                <w:b/>
                <w:noProof/>
                <w:sz w:val="20"/>
              </w:rPr>
              <w:t>N+3</w:t>
            </w:r>
          </w:p>
        </w:tc>
        <w:tc>
          <w:tcPr>
            <w:tcW w:w="2892" w:type="dxa"/>
            <w:gridSpan w:val="3"/>
            <w:vAlign w:val="center"/>
          </w:tcPr>
          <w:p>
            <w:pPr>
              <w:jc w:val="center"/>
              <w:rPr>
                <w:b/>
                <w:noProof/>
                <w:sz w:val="20"/>
              </w:rPr>
            </w:pPr>
            <w:r>
              <w:rPr>
                <w:noProof/>
                <w:sz w:val="20"/>
              </w:rPr>
              <w:t>Enter as many years as necessary to show the duration of the impact (see point 1.6)</w:t>
            </w:r>
          </w:p>
        </w:tc>
        <w:tc>
          <w:tcPr>
            <w:tcW w:w="1158" w:type="dxa"/>
            <w:vAlign w:val="center"/>
          </w:tcPr>
          <w:p>
            <w:pPr>
              <w:spacing w:before="60" w:after="60"/>
              <w:jc w:val="center"/>
              <w:rPr>
                <w:noProof/>
                <w:sz w:val="20"/>
              </w:rPr>
            </w:pPr>
            <w:r>
              <w:rPr>
                <w:noProof/>
                <w:sz w:val="20"/>
              </w:rPr>
              <w:t>Total</w:t>
            </w:r>
          </w:p>
        </w:tc>
      </w:tr>
      <w:tr>
        <w:trPr>
          <w:cantSplit/>
        </w:trPr>
        <w:tc>
          <w:tcPr>
            <w:tcW w:w="2340" w:type="dxa"/>
          </w:tcPr>
          <w:p>
            <w:pPr>
              <w:rPr>
                <w:noProof/>
                <w:sz w:val="22"/>
              </w:rPr>
            </w:pPr>
            <w:r>
              <w:rPr>
                <w:noProof/>
                <w:sz w:val="20"/>
              </w:rPr>
              <w:t>Specify the co-financing body</w:t>
            </w:r>
            <w:r>
              <w:rPr>
                <w:i/>
                <w:noProof/>
                <w:sz w:val="20"/>
              </w:rPr>
              <w:t xml:space="preserve"> : Canadian government</w:t>
            </w:r>
          </w:p>
        </w:tc>
        <w:tc>
          <w:tcPr>
            <w:tcW w:w="964" w:type="dxa"/>
            <w:vAlign w:val="center"/>
          </w:tcPr>
          <w:p>
            <w:pPr>
              <w:spacing w:before="60" w:after="60"/>
              <w:jc w:val="center"/>
              <w:rPr>
                <w:noProof/>
                <w:sz w:val="20"/>
              </w:rPr>
            </w:pPr>
            <w:r>
              <w:rPr>
                <w:noProof/>
                <w:sz w:val="20"/>
              </w:rPr>
              <w:t>0.500</w:t>
            </w:r>
          </w:p>
        </w:tc>
        <w:tc>
          <w:tcPr>
            <w:tcW w:w="964" w:type="dxa"/>
            <w:vAlign w:val="center"/>
          </w:tcPr>
          <w:p>
            <w:pPr>
              <w:spacing w:before="60" w:after="60"/>
              <w:jc w:val="center"/>
              <w:rPr>
                <w:noProof/>
                <w:sz w:val="20"/>
              </w:rPr>
            </w:pPr>
            <w:r>
              <w:rPr>
                <w:noProof/>
                <w:sz w:val="20"/>
              </w:rPr>
              <w:t>0.500</w:t>
            </w:r>
          </w:p>
        </w:tc>
        <w:tc>
          <w:tcPr>
            <w:tcW w:w="964" w:type="dxa"/>
            <w:vAlign w:val="center"/>
          </w:tcPr>
          <w:p>
            <w:pPr>
              <w:spacing w:before="60" w:after="60"/>
              <w:jc w:val="center"/>
              <w:rPr>
                <w:noProof/>
                <w:sz w:val="20"/>
              </w:rPr>
            </w:pPr>
            <w:r>
              <w:rPr>
                <w:noProof/>
                <w:sz w:val="20"/>
              </w:rPr>
              <w:t>0.500</w:t>
            </w:r>
          </w:p>
        </w:tc>
        <w:tc>
          <w:tcPr>
            <w:tcW w:w="964" w:type="dxa"/>
            <w:vAlign w:val="center"/>
          </w:tcPr>
          <w:p>
            <w:pPr>
              <w:spacing w:before="60" w:after="60"/>
              <w:jc w:val="center"/>
              <w:rPr>
                <w:noProof/>
                <w:sz w:val="20"/>
              </w:rPr>
            </w:pPr>
            <w:r>
              <w:rPr>
                <w:noProof/>
                <w:sz w:val="20"/>
              </w:rPr>
              <w:t>0.500</w:t>
            </w: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1158" w:type="dxa"/>
            <w:vAlign w:val="center"/>
          </w:tcPr>
          <w:p>
            <w:pPr>
              <w:spacing w:before="60" w:after="60"/>
              <w:jc w:val="center"/>
              <w:rPr>
                <w:noProof/>
                <w:sz w:val="20"/>
              </w:rPr>
            </w:pPr>
            <w:r>
              <w:rPr>
                <w:noProof/>
                <w:sz w:val="20"/>
              </w:rPr>
              <w:t>2.000</w:t>
            </w:r>
          </w:p>
        </w:tc>
      </w:tr>
      <w:tr>
        <w:trPr>
          <w:cantSplit/>
        </w:trPr>
        <w:tc>
          <w:tcPr>
            <w:tcW w:w="2340" w:type="dxa"/>
          </w:tcPr>
          <w:p>
            <w:pPr>
              <w:spacing w:before="60" w:after="60"/>
              <w:jc w:val="left"/>
              <w:rPr>
                <w:noProof/>
                <w:sz w:val="20"/>
              </w:rPr>
            </w:pPr>
            <w:r>
              <w:rPr>
                <w:noProof/>
                <w:sz w:val="20"/>
              </w:rPr>
              <w:t xml:space="preserve">TOTAL appropriations co-financed </w:t>
            </w:r>
          </w:p>
        </w:tc>
        <w:tc>
          <w:tcPr>
            <w:tcW w:w="964" w:type="dxa"/>
            <w:vAlign w:val="center"/>
          </w:tcPr>
          <w:p>
            <w:pPr>
              <w:spacing w:before="60" w:after="60"/>
              <w:jc w:val="center"/>
              <w:rPr>
                <w:noProof/>
                <w:sz w:val="20"/>
              </w:rPr>
            </w:pPr>
            <w:r>
              <w:rPr>
                <w:noProof/>
                <w:sz w:val="20"/>
              </w:rPr>
              <w:t>0.500</w:t>
            </w:r>
          </w:p>
        </w:tc>
        <w:tc>
          <w:tcPr>
            <w:tcW w:w="964" w:type="dxa"/>
            <w:vAlign w:val="center"/>
          </w:tcPr>
          <w:p>
            <w:pPr>
              <w:spacing w:before="60" w:after="60"/>
              <w:jc w:val="center"/>
              <w:rPr>
                <w:noProof/>
                <w:sz w:val="20"/>
              </w:rPr>
            </w:pPr>
            <w:r>
              <w:rPr>
                <w:noProof/>
                <w:sz w:val="20"/>
              </w:rPr>
              <w:t>0.500</w:t>
            </w:r>
          </w:p>
        </w:tc>
        <w:tc>
          <w:tcPr>
            <w:tcW w:w="964" w:type="dxa"/>
            <w:vAlign w:val="center"/>
          </w:tcPr>
          <w:p>
            <w:pPr>
              <w:spacing w:before="60" w:after="60"/>
              <w:jc w:val="center"/>
              <w:rPr>
                <w:noProof/>
                <w:sz w:val="20"/>
              </w:rPr>
            </w:pPr>
            <w:r>
              <w:rPr>
                <w:noProof/>
                <w:sz w:val="20"/>
              </w:rPr>
              <w:t>0.500</w:t>
            </w:r>
          </w:p>
        </w:tc>
        <w:tc>
          <w:tcPr>
            <w:tcW w:w="964" w:type="dxa"/>
            <w:vAlign w:val="center"/>
          </w:tcPr>
          <w:p>
            <w:pPr>
              <w:spacing w:before="60" w:after="60"/>
              <w:jc w:val="center"/>
              <w:rPr>
                <w:noProof/>
                <w:sz w:val="20"/>
              </w:rPr>
            </w:pPr>
            <w:r>
              <w:rPr>
                <w:noProof/>
                <w:sz w:val="20"/>
              </w:rPr>
              <w:t>0.500</w:t>
            </w: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1158" w:type="dxa"/>
            <w:vAlign w:val="center"/>
          </w:tcPr>
          <w:p>
            <w:pPr>
              <w:spacing w:before="60" w:after="60"/>
              <w:jc w:val="center"/>
              <w:rPr>
                <w:noProof/>
                <w:sz w:val="20"/>
              </w:rPr>
            </w:pPr>
            <w:r>
              <w:rPr>
                <w:noProof/>
                <w:sz w:val="20"/>
              </w:rPr>
              <w:t>2.000</w:t>
            </w:r>
          </w:p>
        </w:tc>
      </w:tr>
    </w:tbl>
    <w:p>
      <w:pPr>
        <w:rPr>
          <w:noProof/>
        </w:rPr>
      </w:pPr>
      <w:r>
        <w:rPr>
          <w:noProof/>
        </w:rPr>
        <w:br/>
      </w:r>
    </w:p>
    <w:p>
      <w:pPr>
        <w:pStyle w:val="ManualHeading2"/>
        <w:rPr>
          <w:bCs/>
          <w:noProof/>
          <w:szCs w:val="24"/>
        </w:rPr>
      </w:pPr>
      <w:r>
        <w:rPr>
          <w:noProof/>
        </w:rPr>
        <w:br w:type="page"/>
        <w:t>3.3.</w:t>
      </w:r>
      <w:r>
        <w:rPr>
          <w:noProof/>
        </w:rPr>
        <w:tab/>
        <w:t xml:space="preserve">Estimated impact on revenue </w:t>
      </w:r>
    </w:p>
    <w:p>
      <w:pPr>
        <w:pStyle w:val="ListDash1"/>
        <w:rPr>
          <w:noProof/>
        </w:rPr>
      </w:pPr>
      <w:r>
        <w:rPr>
          <w:noProof/>
        </w:rPr>
        <w:sym w:font="Wingdings" w:char="F0A8"/>
      </w:r>
      <w:r>
        <w:rPr>
          <w:noProof/>
        </w:rPr>
        <w:tab/>
        <w:t>The proposal/initiative has no financial impact on revenue.</w:t>
      </w:r>
    </w:p>
    <w:p>
      <w:pPr>
        <w:pStyle w:val="ListDash1"/>
        <w:rPr>
          <w:noProof/>
        </w:rPr>
      </w:pPr>
      <w:r>
        <w:rPr>
          <w:noProof/>
        </w:rPr>
        <w:sym w:font="Wingdings" w:char="F0FE"/>
      </w:r>
      <w:r>
        <w:rPr>
          <w:noProof/>
        </w:rPr>
        <w:tab/>
        <w:t xml:space="preserve">The proposal/initiative has the following financial impact: </w:t>
      </w:r>
    </w:p>
    <w:p>
      <w:pPr>
        <w:pStyle w:val="Tiret2"/>
        <w:numPr>
          <w:ilvl w:val="0"/>
          <w:numId w:val="15"/>
        </w:numPr>
        <w:rPr>
          <w:noProof/>
        </w:rPr>
      </w:pPr>
      <w:r>
        <w:rPr>
          <w:noProof/>
        </w:rPr>
        <w:sym w:font="Wingdings" w:char="F0FE"/>
      </w:r>
      <w:r>
        <w:rPr>
          <w:noProof/>
        </w:rPr>
        <w:tab/>
        <w:t xml:space="preserve">on own resources </w:t>
      </w:r>
    </w:p>
    <w:p>
      <w:pPr>
        <w:pStyle w:val="Tiret2"/>
        <w:rPr>
          <w:noProof/>
        </w:rPr>
      </w:pPr>
      <w:r>
        <w:rPr>
          <w:noProof/>
        </w:rPr>
        <w:sym w:font="Wingdings" w:char="F0A8"/>
      </w:r>
      <w:r>
        <w:rPr>
          <w:noProof/>
        </w:rPr>
        <w:tab/>
        <w:t xml:space="preserve">on miscellaneous revenue </w:t>
      </w:r>
    </w:p>
    <w:p>
      <w:pPr>
        <w:jc w:val="right"/>
        <w:rPr>
          <w:noProof/>
        </w:rPr>
      </w:pPr>
      <w:r>
        <w:rPr>
          <w:noProof/>
        </w:rPr>
        <w:t>EUR million (to three decimal places)</w:t>
      </w:r>
    </w:p>
    <w:tbl>
      <w:tblPr>
        <w:tblpPr w:leftFromText="180" w:rightFromText="180" w:bottomFromText="65" w:vertAnchor="text"/>
        <w:tblW w:w="9990" w:type="dxa"/>
        <w:tblCellMar>
          <w:left w:w="0" w:type="dxa"/>
          <w:right w:w="0" w:type="dxa"/>
        </w:tblCellMar>
        <w:tblLook w:val="04A0" w:firstRow="1" w:lastRow="0" w:firstColumn="1" w:lastColumn="0" w:noHBand="0" w:noVBand="1"/>
      </w:tblPr>
      <w:tblGrid>
        <w:gridCol w:w="1721"/>
        <w:gridCol w:w="1315"/>
        <w:gridCol w:w="884"/>
        <w:gridCol w:w="746"/>
        <w:gridCol w:w="746"/>
        <w:gridCol w:w="1116"/>
        <w:gridCol w:w="885"/>
        <w:gridCol w:w="861"/>
        <w:gridCol w:w="859"/>
        <w:gridCol w:w="857"/>
      </w:tblGrid>
      <w:tr>
        <w:trPr>
          <w:trHeight w:val="273"/>
        </w:trPr>
        <w:tc>
          <w:tcPr>
            <w:tcW w:w="1721"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pPr>
              <w:spacing w:before="40" w:after="40" w:line="276" w:lineRule="auto"/>
              <w:rPr>
                <w:noProof/>
                <w:sz w:val="18"/>
                <w:szCs w:val="18"/>
                <w:lang w:val="en-US"/>
              </w:rPr>
            </w:pPr>
            <w:r>
              <w:rPr>
                <w:noProof/>
                <w:sz w:val="18"/>
                <w:szCs w:val="18"/>
                <w:lang w:val="en-US"/>
              </w:rPr>
              <w:t>Budget revenue line:</w:t>
            </w:r>
          </w:p>
        </w:tc>
        <w:tc>
          <w:tcPr>
            <w:tcW w:w="1315"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pPr>
              <w:spacing w:line="276" w:lineRule="auto"/>
              <w:jc w:val="center"/>
              <w:rPr>
                <w:noProof/>
                <w:sz w:val="18"/>
                <w:szCs w:val="18"/>
                <w:lang w:val="en-US"/>
              </w:rPr>
            </w:pPr>
            <w:r>
              <w:rPr>
                <w:noProof/>
                <w:sz w:val="18"/>
                <w:szCs w:val="18"/>
                <w:lang w:val="en-US"/>
              </w:rPr>
              <w:t xml:space="preserve">Appropriations available for the current financial year </w:t>
            </w:r>
            <w:r>
              <w:rPr>
                <w:b/>
                <w:bCs/>
                <w:noProof/>
                <w:sz w:val="18"/>
                <w:szCs w:val="18"/>
                <w:lang w:val="en-US"/>
              </w:rPr>
              <w:t>(B2016)</w:t>
            </w:r>
          </w:p>
        </w:tc>
        <w:tc>
          <w:tcPr>
            <w:tcW w:w="884" w:type="dxa"/>
            <w:tcBorders>
              <w:top w:val="single" w:sz="8" w:space="0" w:color="auto"/>
              <w:left w:val="nil"/>
              <w:bottom w:val="single" w:sz="8" w:space="0" w:color="auto"/>
              <w:right w:val="single" w:sz="8" w:space="0" w:color="auto"/>
            </w:tcBorders>
            <w:tcMar>
              <w:top w:w="0" w:type="dxa"/>
              <w:left w:w="108" w:type="dxa"/>
              <w:bottom w:w="0" w:type="dxa"/>
              <w:right w:w="108" w:type="dxa"/>
            </w:tcMar>
          </w:tcPr>
          <w:p>
            <w:pPr>
              <w:spacing w:line="276" w:lineRule="auto"/>
              <w:jc w:val="center"/>
              <w:rPr>
                <w:rFonts w:ascii="Calibri" w:hAnsi="Calibri" w:cs="Calibri"/>
                <w:noProof/>
                <w:sz w:val="18"/>
                <w:szCs w:val="18"/>
                <w:lang w:val="en-US"/>
              </w:rPr>
            </w:pPr>
          </w:p>
        </w:tc>
        <w:tc>
          <w:tcPr>
            <w:tcW w:w="6070" w:type="dxa"/>
            <w:gridSpan w:val="7"/>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pPr>
              <w:spacing w:line="276" w:lineRule="auto"/>
              <w:jc w:val="center"/>
              <w:rPr>
                <w:noProof/>
                <w:sz w:val="18"/>
                <w:szCs w:val="18"/>
                <w:lang w:val="en-US"/>
              </w:rPr>
            </w:pPr>
            <w:r>
              <w:rPr>
                <w:noProof/>
                <w:sz w:val="18"/>
                <w:szCs w:val="18"/>
                <w:lang w:val="en-US"/>
              </w:rPr>
              <w:t>Impact of the proposal/initiative</w:t>
            </w:r>
            <w:r>
              <w:rPr>
                <w:rStyle w:val="FootnoteReference"/>
                <w:noProof/>
                <w:sz w:val="18"/>
                <w:szCs w:val="18"/>
                <w:lang w:val="en-US"/>
              </w:rPr>
              <w:footnoteReference w:id="18"/>
            </w:r>
          </w:p>
        </w:tc>
      </w:tr>
      <w:tr>
        <w:trPr>
          <w:trHeight w:val="273"/>
        </w:trPr>
        <w:tc>
          <w:tcPr>
            <w:tcW w:w="0" w:type="auto"/>
            <w:vMerge/>
            <w:tcBorders>
              <w:top w:val="single" w:sz="8" w:space="0" w:color="auto"/>
              <w:left w:val="single" w:sz="8" w:space="0" w:color="auto"/>
              <w:bottom w:val="single" w:sz="8" w:space="0" w:color="auto"/>
              <w:right w:val="single" w:sz="8" w:space="0" w:color="auto"/>
            </w:tcBorders>
            <w:vAlign w:val="center"/>
            <w:hideMark/>
          </w:tcPr>
          <w:p>
            <w:pPr>
              <w:rPr>
                <w:noProof/>
                <w:sz w:val="18"/>
                <w:szCs w:val="18"/>
                <w:lang w:val="en-US"/>
              </w:rPr>
            </w:pPr>
          </w:p>
        </w:tc>
        <w:tc>
          <w:tcPr>
            <w:tcW w:w="0" w:type="auto"/>
            <w:vMerge/>
            <w:tcBorders>
              <w:top w:val="single" w:sz="8" w:space="0" w:color="auto"/>
              <w:left w:val="nil"/>
              <w:bottom w:val="single" w:sz="8" w:space="0" w:color="auto"/>
              <w:right w:val="single" w:sz="8" w:space="0" w:color="auto"/>
            </w:tcBorders>
            <w:vAlign w:val="center"/>
            <w:hideMark/>
          </w:tcPr>
          <w:p>
            <w:pPr>
              <w:rPr>
                <w:noProof/>
                <w:sz w:val="18"/>
                <w:szCs w:val="18"/>
                <w:lang w:val="en-US"/>
              </w:rPr>
            </w:pPr>
          </w:p>
        </w:tc>
        <w:tc>
          <w:tcPr>
            <w:tcW w:w="8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pPr>
              <w:spacing w:line="276" w:lineRule="auto"/>
              <w:jc w:val="center"/>
              <w:rPr>
                <w:noProof/>
                <w:sz w:val="18"/>
                <w:szCs w:val="18"/>
                <w:lang w:val="en-US"/>
              </w:rPr>
            </w:pPr>
            <w:r>
              <w:rPr>
                <w:noProof/>
                <w:sz w:val="18"/>
                <w:szCs w:val="18"/>
                <w:lang w:val="en-US"/>
              </w:rPr>
              <w:t>Year</w:t>
            </w:r>
            <w:r>
              <w:rPr>
                <w:noProof/>
                <w:lang w:val="en-US"/>
              </w:rPr>
              <w:br/>
            </w:r>
            <w:r>
              <w:rPr>
                <w:b/>
                <w:bCs/>
                <w:noProof/>
                <w:sz w:val="18"/>
                <w:szCs w:val="18"/>
                <w:lang w:val="en-US"/>
              </w:rPr>
              <w:t>N</w:t>
            </w:r>
          </w:p>
        </w:tc>
        <w:tc>
          <w:tcPr>
            <w:tcW w:w="7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pPr>
              <w:spacing w:line="276" w:lineRule="auto"/>
              <w:jc w:val="center"/>
              <w:rPr>
                <w:noProof/>
                <w:sz w:val="18"/>
                <w:szCs w:val="18"/>
                <w:lang w:val="en-US"/>
              </w:rPr>
            </w:pPr>
            <w:r>
              <w:rPr>
                <w:noProof/>
                <w:sz w:val="18"/>
                <w:szCs w:val="18"/>
                <w:lang w:val="en-US"/>
              </w:rPr>
              <w:t>Year</w:t>
            </w:r>
            <w:r>
              <w:rPr>
                <w:noProof/>
                <w:lang w:val="en-US"/>
              </w:rPr>
              <w:br/>
            </w:r>
            <w:r>
              <w:rPr>
                <w:b/>
                <w:bCs/>
                <w:noProof/>
                <w:sz w:val="18"/>
                <w:szCs w:val="18"/>
                <w:lang w:val="en-US"/>
              </w:rPr>
              <w:t>N+1</w:t>
            </w:r>
          </w:p>
        </w:tc>
        <w:tc>
          <w:tcPr>
            <w:tcW w:w="7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pPr>
              <w:spacing w:line="276" w:lineRule="auto"/>
              <w:jc w:val="center"/>
              <w:rPr>
                <w:noProof/>
                <w:sz w:val="18"/>
                <w:szCs w:val="18"/>
                <w:lang w:val="en-US"/>
              </w:rPr>
            </w:pPr>
            <w:r>
              <w:rPr>
                <w:noProof/>
                <w:sz w:val="18"/>
                <w:szCs w:val="18"/>
                <w:lang w:val="en-US"/>
              </w:rPr>
              <w:t>Year</w:t>
            </w:r>
            <w:r>
              <w:rPr>
                <w:noProof/>
                <w:lang w:val="en-US"/>
              </w:rPr>
              <w:br/>
            </w:r>
            <w:r>
              <w:rPr>
                <w:b/>
                <w:bCs/>
                <w:noProof/>
                <w:sz w:val="18"/>
                <w:szCs w:val="18"/>
                <w:lang w:val="en-US"/>
              </w:rPr>
              <w:t>N+2</w:t>
            </w:r>
          </w:p>
        </w:tc>
        <w:tc>
          <w:tcPr>
            <w:tcW w:w="11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pPr>
              <w:spacing w:line="276" w:lineRule="auto"/>
              <w:jc w:val="center"/>
              <w:rPr>
                <w:rFonts w:ascii="Calibri" w:hAnsi="Calibri" w:cs="Calibri"/>
                <w:noProof/>
                <w:sz w:val="18"/>
                <w:szCs w:val="18"/>
                <w:lang w:val="en-US"/>
              </w:rPr>
            </w:pPr>
            <w:r>
              <w:rPr>
                <w:noProof/>
                <w:sz w:val="18"/>
                <w:szCs w:val="18"/>
                <w:lang w:val="en-US"/>
              </w:rPr>
              <w:t>…………</w:t>
            </w:r>
          </w:p>
        </w:tc>
        <w:tc>
          <w:tcPr>
            <w:tcW w:w="8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pPr>
              <w:spacing w:line="276" w:lineRule="auto"/>
              <w:jc w:val="center"/>
              <w:rPr>
                <w:noProof/>
                <w:sz w:val="18"/>
                <w:szCs w:val="18"/>
                <w:lang w:val="en-US"/>
              </w:rPr>
            </w:pPr>
            <w:r>
              <w:rPr>
                <w:noProof/>
                <w:sz w:val="18"/>
                <w:szCs w:val="18"/>
                <w:lang w:val="en-US"/>
              </w:rPr>
              <w:t>Year</w:t>
            </w:r>
            <w:r>
              <w:rPr>
                <w:noProof/>
                <w:lang w:val="en-US"/>
              </w:rPr>
              <w:br/>
            </w:r>
            <w:r>
              <w:rPr>
                <w:b/>
                <w:bCs/>
                <w:noProof/>
                <w:sz w:val="18"/>
                <w:szCs w:val="18"/>
                <w:lang w:val="en-US"/>
              </w:rPr>
              <w:t>N+7</w:t>
            </w:r>
          </w:p>
        </w:tc>
        <w:tc>
          <w:tcPr>
            <w:tcW w:w="2577"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pPr>
              <w:spacing w:line="276" w:lineRule="auto"/>
              <w:jc w:val="center"/>
              <w:rPr>
                <w:b/>
                <w:bCs/>
                <w:noProof/>
                <w:sz w:val="18"/>
                <w:szCs w:val="18"/>
                <w:lang w:val="en-US"/>
              </w:rPr>
            </w:pPr>
            <w:r>
              <w:rPr>
                <w:noProof/>
                <w:sz w:val="18"/>
                <w:szCs w:val="18"/>
                <w:lang w:val="en-US"/>
              </w:rPr>
              <w:t>Enter as many years as necessary to show the duration of the impact (see point 1.6)</w:t>
            </w:r>
          </w:p>
        </w:tc>
      </w:tr>
      <w:tr>
        <w:trPr>
          <w:trHeight w:val="273"/>
        </w:trPr>
        <w:tc>
          <w:tcPr>
            <w:tcW w:w="172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pPr>
              <w:spacing w:before="40" w:after="40" w:line="276" w:lineRule="auto"/>
              <w:rPr>
                <w:noProof/>
                <w:sz w:val="18"/>
                <w:szCs w:val="18"/>
                <w:lang w:val="fr-BE"/>
              </w:rPr>
            </w:pPr>
            <w:r>
              <w:rPr>
                <w:noProof/>
                <w:sz w:val="18"/>
                <w:szCs w:val="18"/>
                <w:lang w:val="fr-BE"/>
              </w:rPr>
              <w:t>Article 120 - Custom Duties</w:t>
            </w:r>
          </w:p>
        </w:tc>
        <w:tc>
          <w:tcPr>
            <w:tcW w:w="1315" w:type="dxa"/>
            <w:tcBorders>
              <w:top w:val="nil"/>
              <w:left w:val="nil"/>
              <w:bottom w:val="single" w:sz="8" w:space="0" w:color="auto"/>
              <w:right w:val="single" w:sz="8" w:space="0" w:color="auto"/>
            </w:tcBorders>
            <w:tcMar>
              <w:top w:w="0" w:type="dxa"/>
              <w:left w:w="108" w:type="dxa"/>
              <w:bottom w:w="0" w:type="dxa"/>
              <w:right w:w="108" w:type="dxa"/>
            </w:tcMar>
            <w:hideMark/>
          </w:tcPr>
          <w:p>
            <w:pPr>
              <w:spacing w:beforeLines="40" w:before="96" w:afterLines="40" w:after="96" w:line="276" w:lineRule="auto"/>
              <w:jc w:val="center"/>
              <w:rPr>
                <w:b/>
                <w:bCs/>
                <w:i/>
                <w:iCs/>
                <w:noProof/>
                <w:sz w:val="18"/>
                <w:szCs w:val="18"/>
                <w:lang w:val="fr-BE"/>
              </w:rPr>
            </w:pPr>
            <w:r>
              <w:rPr>
                <w:b/>
                <w:bCs/>
                <w:i/>
                <w:iCs/>
                <w:noProof/>
                <w:sz w:val="18"/>
                <w:szCs w:val="18"/>
                <w:lang w:val="fr-BE"/>
              </w:rPr>
              <w:t>18.465,30</w:t>
            </w:r>
          </w:p>
        </w:tc>
        <w:tc>
          <w:tcPr>
            <w:tcW w:w="4377" w:type="dxa"/>
            <w:gridSpan w:val="5"/>
            <w:tcBorders>
              <w:top w:val="nil"/>
              <w:left w:val="nil"/>
              <w:bottom w:val="single" w:sz="8" w:space="0" w:color="auto"/>
              <w:right w:val="single" w:sz="8" w:space="0" w:color="auto"/>
            </w:tcBorders>
            <w:tcMar>
              <w:top w:w="0" w:type="dxa"/>
              <w:left w:w="108" w:type="dxa"/>
              <w:bottom w:w="0" w:type="dxa"/>
              <w:right w:w="108" w:type="dxa"/>
            </w:tcMar>
          </w:tcPr>
          <w:p>
            <w:pPr>
              <w:spacing w:beforeLines="40" w:before="96" w:afterLines="40" w:after="96" w:line="276" w:lineRule="auto"/>
              <w:jc w:val="center"/>
              <w:rPr>
                <w:rFonts w:ascii="Calibri" w:hAnsi="Calibri" w:cs="Calibri"/>
                <w:noProof/>
                <w:sz w:val="18"/>
                <w:szCs w:val="18"/>
                <w:lang w:val="fr-BE"/>
              </w:rPr>
            </w:pPr>
            <w:r>
              <w:rPr>
                <w:noProof/>
                <w:sz w:val="18"/>
                <w:szCs w:val="18"/>
                <w:lang w:val="fr-BE"/>
              </w:rPr>
              <w:t>……………</w:t>
            </w:r>
          </w:p>
          <w:p>
            <w:pPr>
              <w:spacing w:beforeLines="40" w:before="96" w:afterLines="40" w:after="96" w:line="276" w:lineRule="auto"/>
              <w:jc w:val="center"/>
              <w:rPr>
                <w:b/>
                <w:bCs/>
                <w:noProof/>
                <w:sz w:val="18"/>
                <w:szCs w:val="18"/>
                <w:lang w:val="fr-BE"/>
              </w:rPr>
            </w:pPr>
            <w:r>
              <w:rPr>
                <w:b/>
                <w:bCs/>
                <w:noProof/>
                <w:sz w:val="18"/>
                <w:szCs w:val="18"/>
                <w:lang w:val="fr-BE"/>
              </w:rPr>
              <w:t>311</w:t>
            </w:r>
          </w:p>
        </w:tc>
        <w:tc>
          <w:tcPr>
            <w:tcW w:w="861" w:type="dxa"/>
            <w:tcBorders>
              <w:top w:val="nil"/>
              <w:left w:val="nil"/>
              <w:bottom w:val="single" w:sz="8" w:space="0" w:color="auto"/>
              <w:right w:val="single" w:sz="8" w:space="0" w:color="auto"/>
            </w:tcBorders>
            <w:tcMar>
              <w:top w:w="0" w:type="dxa"/>
              <w:left w:w="108" w:type="dxa"/>
              <w:bottom w:w="0" w:type="dxa"/>
              <w:right w:w="108" w:type="dxa"/>
            </w:tcMar>
            <w:hideMark/>
          </w:tcPr>
          <w:p>
            <w:pPr>
              <w:spacing w:beforeLines="40" w:before="96" w:afterLines="40" w:after="96" w:line="276" w:lineRule="auto"/>
              <w:jc w:val="center"/>
              <w:rPr>
                <w:b/>
                <w:bCs/>
                <w:noProof/>
                <w:sz w:val="18"/>
                <w:szCs w:val="18"/>
                <w:lang w:val="fr-BE"/>
              </w:rPr>
            </w:pPr>
          </w:p>
        </w:tc>
        <w:tc>
          <w:tcPr>
            <w:tcW w:w="859" w:type="dxa"/>
            <w:tcBorders>
              <w:top w:val="nil"/>
              <w:left w:val="nil"/>
              <w:bottom w:val="single" w:sz="8" w:space="0" w:color="auto"/>
              <w:right w:val="single" w:sz="8" w:space="0" w:color="auto"/>
            </w:tcBorders>
            <w:tcMar>
              <w:top w:w="0" w:type="dxa"/>
              <w:left w:w="108" w:type="dxa"/>
              <w:bottom w:w="0" w:type="dxa"/>
              <w:right w:w="108" w:type="dxa"/>
            </w:tcMar>
            <w:hideMark/>
          </w:tcPr>
          <w:p>
            <w:pPr>
              <w:spacing w:beforeLines="40" w:before="96" w:afterLines="40" w:after="96" w:line="276" w:lineRule="auto"/>
              <w:jc w:val="center"/>
              <w:rPr>
                <w:b/>
                <w:bCs/>
                <w:noProof/>
                <w:sz w:val="18"/>
                <w:szCs w:val="18"/>
                <w:lang w:val="fr-BE"/>
              </w:rPr>
            </w:pP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pPr>
              <w:spacing w:beforeLines="40" w:before="96" w:afterLines="40" w:after="96" w:line="276" w:lineRule="auto"/>
              <w:jc w:val="center"/>
              <w:rPr>
                <w:b/>
                <w:bCs/>
                <w:noProof/>
                <w:sz w:val="18"/>
                <w:szCs w:val="18"/>
                <w:lang w:val="fr-BE"/>
              </w:rPr>
            </w:pPr>
          </w:p>
        </w:tc>
      </w:tr>
    </w:tbl>
    <w:p>
      <w:pPr>
        <w:rPr>
          <w:noProof/>
        </w:rPr>
      </w:pPr>
    </w:p>
    <w:p>
      <w:pPr>
        <w:pStyle w:val="Text1"/>
        <w:rPr>
          <w:noProof/>
          <w:sz w:val="20"/>
        </w:rPr>
      </w:pPr>
      <w:r>
        <w:rPr>
          <w:noProof/>
          <w:sz w:val="20"/>
        </w:rPr>
        <w:t>For miscellaneous ‘assigned’ revenue, specify the budget expenditure line(s) affected.</w:t>
      </w:r>
    </w:p>
    <w:p>
      <w:pPr>
        <w:pStyle w:val="Text1"/>
        <w:pBdr>
          <w:top w:val="single" w:sz="4" w:space="1" w:color="auto"/>
          <w:left w:val="single" w:sz="4" w:space="4" w:color="auto"/>
          <w:bottom w:val="single" w:sz="4" w:space="1" w:color="auto"/>
          <w:right w:val="single" w:sz="4" w:space="4" w:color="auto"/>
        </w:pBdr>
        <w:rPr>
          <w:noProof/>
        </w:rPr>
      </w:pPr>
      <w:r>
        <w:rPr>
          <w:noProof/>
        </w:rPr>
        <w:t>[…]</w:t>
      </w:r>
    </w:p>
    <w:p>
      <w:pPr>
        <w:pStyle w:val="Text1"/>
        <w:rPr>
          <w:noProof/>
          <w:sz w:val="20"/>
        </w:rPr>
      </w:pPr>
      <w:r>
        <w:rPr>
          <w:noProof/>
          <w:sz w:val="20"/>
        </w:rPr>
        <w:t>Specify the method for calculating the impact on revenue.</w:t>
      </w:r>
    </w:p>
    <w:p>
      <w:pPr>
        <w:pStyle w:val="Text1"/>
        <w:pBdr>
          <w:top w:val="single" w:sz="4" w:space="1" w:color="auto"/>
          <w:left w:val="single" w:sz="4" w:space="4" w:color="auto"/>
          <w:bottom w:val="single" w:sz="4" w:space="1" w:color="auto"/>
          <w:right w:val="single" w:sz="4" w:space="4" w:color="auto"/>
        </w:pBdr>
        <w:rPr>
          <w:noProof/>
        </w:rPr>
      </w:pPr>
      <w:r>
        <w:rPr>
          <w:noProof/>
        </w:rPr>
        <w:t xml:space="preserve">Duty loss has been calculated on the basis of 2015 data, the budgetary impact of which will be EUR 311 million (80% of EUR 390 million). These duty losses will be spread out over a total of 7 years. The EU will eliminate 97.7% of the EU tariff lines at the entry into force of the agreement and then gradually within 3, 5 or 7 years for an additional 1% of tariff lines for imports of goods originating in Canada. </w:t>
      </w:r>
    </w:p>
    <w:sectPr>
      <w:pgSz w:w="11907" w:h="16840" w:code="9"/>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 w:type="continuationNotice" w:id="1">
    <w:p>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EUAlbertina">
    <w:altName w:val="EU Alberti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EN</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EN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EN</w:t>
    </w:r>
    <w:r>
      <w:rPr>
        <w:rFonts w:ascii="Arial" w:hAnsi="Arial" w:cs="Arial"/>
        <w:b/>
        <w:sz w:val="48"/>
      </w:rPr>
      <w:tab/>
    </w:r>
    <w:r>
      <w:fldChar w:fldCharType="begin"/>
    </w:r>
    <w:r>
      <w:instrText xml:space="preserve"> PAGE  \* MERGEFORMAT </w:instrText>
    </w:r>
    <w:r>
      <w:fldChar w:fldCharType="separate"/>
    </w:r>
    <w:r>
      <w:rPr>
        <w:noProof/>
      </w:rPr>
      <w:t>13</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EN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rPr>
        <w:rFonts w:ascii="Arial" w:hAnsi="Arial" w:cs="Arial"/>
        <w:b/>
        <w:sz w:val="48"/>
      </w:rPr>
    </w:pPr>
    <w:r>
      <w:rPr>
        <w:rFonts w:ascii="Arial" w:hAnsi="Arial" w:cs="Arial"/>
        <w:b/>
        <w:sz w:val="48"/>
      </w:rPr>
      <w:t>EN</w:t>
    </w:r>
    <w:r>
      <w:rPr>
        <w:rFonts w:ascii="Arial" w:hAnsi="Arial" w:cs="Arial"/>
        <w:b/>
        <w:sz w:val="48"/>
      </w:rPr>
      <w:tab/>
    </w:r>
    <w:r>
      <w:fldChar w:fldCharType="begin"/>
    </w:r>
    <w:r>
      <w:instrText xml:space="preserve"> PAGE  \* MERGEFORMAT </w:instrText>
    </w:r>
    <w:r>
      <w:fldChar w:fldCharType="separate"/>
    </w:r>
    <w:r>
      <w:rPr>
        <w:noProof/>
      </w:rPr>
      <w:t>23</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EN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EN</w:t>
    </w:r>
    <w:r>
      <w:rPr>
        <w:rFonts w:ascii="Arial" w:hAnsi="Arial" w:cs="Arial"/>
        <w:b/>
        <w:sz w:val="48"/>
      </w:rPr>
      <w:tab/>
    </w:r>
    <w:r>
      <w:fldChar w:fldCharType="begin"/>
    </w:r>
    <w:r>
      <w:instrText xml:space="preserve"> PAGE  \* MERGEFORMAT </w:instrText>
    </w:r>
    <w:r>
      <w:fldChar w:fldCharType="separate"/>
    </w:r>
    <w:r>
      <w:rPr>
        <w:noProof/>
      </w:rPr>
      <w:t>28</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EN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type="continuationNotice" w:id="1">
    <w:p>
      <w:pPr>
        <w:spacing w:before="0" w:after="0"/>
      </w:pPr>
    </w:p>
  </w:footnote>
  <w:footnote w:id="2">
    <w:p>
      <w:pPr>
        <w:pStyle w:val="FootnoteText"/>
      </w:pPr>
      <w:r>
        <w:rPr>
          <w:rStyle w:val="FootnoteReference"/>
        </w:rPr>
        <w:footnoteRef/>
      </w:r>
      <w:r>
        <w:tab/>
      </w:r>
      <w:hyperlink r:id="rId1" w:history="1">
        <w:r>
          <w:rPr>
            <w:rStyle w:val="Hyperlink"/>
          </w:rPr>
          <w:t>http://trade.ec.europa.eu/doclib/docs/2008/october/tradoc_141032.pdf</w:t>
        </w:r>
      </w:hyperlink>
      <w:r>
        <w:t xml:space="preserve"> </w:t>
      </w:r>
    </w:p>
  </w:footnote>
  <w:footnote w:id="3">
    <w:p>
      <w:pPr>
        <w:pStyle w:val="FootnoteText"/>
      </w:pPr>
      <w:r>
        <w:rPr>
          <w:rStyle w:val="FootnoteReference"/>
        </w:rPr>
        <w:footnoteRef/>
      </w:r>
      <w:r>
        <w:tab/>
      </w:r>
      <w:hyperlink r:id="rId2" w:history="1">
        <w:r>
          <w:rPr>
            <w:rStyle w:val="Hyperlink"/>
          </w:rPr>
          <w:t>http://trade.ec.europa.eu/doclib/docs/2011/september/tradoc_148201.pdf</w:t>
        </w:r>
      </w:hyperlink>
      <w:r>
        <w:t xml:space="preserve"> </w:t>
      </w:r>
    </w:p>
  </w:footnote>
  <w:footnote w:id="4">
    <w:p>
      <w:pPr>
        <w:pStyle w:val="FootnoteText"/>
        <w:rPr>
          <w:szCs w:val="24"/>
        </w:rPr>
      </w:pPr>
      <w:r>
        <w:rPr>
          <w:rStyle w:val="FootnoteReference"/>
        </w:rPr>
        <w:footnoteRef/>
      </w:r>
      <w:r>
        <w:tab/>
        <w:t>ABM: activity-based management; ABB: activity-based budgeting.</w:t>
      </w:r>
    </w:p>
  </w:footnote>
  <w:footnote w:id="5">
    <w:p>
      <w:pPr>
        <w:pStyle w:val="FootnoteText"/>
        <w:rPr>
          <w:szCs w:val="24"/>
        </w:rPr>
      </w:pPr>
      <w:r>
        <w:rPr>
          <w:rStyle w:val="FootnoteReference"/>
        </w:rPr>
        <w:footnoteRef/>
      </w:r>
      <w:r>
        <w:tab/>
        <w:t>As referred to in Article 54(2)(a) or (b) of the Financial Regulation.</w:t>
      </w:r>
    </w:p>
  </w:footnote>
  <w:footnote w:id="6">
    <w:p>
      <w:pPr>
        <w:pStyle w:val="FootnoteText"/>
        <w:rPr>
          <w:szCs w:val="24"/>
        </w:rPr>
      </w:pPr>
      <w:r>
        <w:rPr>
          <w:rStyle w:val="FootnoteReference"/>
        </w:rPr>
        <w:footnoteRef/>
      </w:r>
      <w:r>
        <w:tab/>
        <w:t xml:space="preserve">Details of management modes and references to the Financial Regulation may be found on the BudgWeb site: </w:t>
      </w:r>
      <w:hyperlink r:id="rId3" w:history="1">
        <w:r>
          <w:rPr>
            <w:rStyle w:val="Hyperlink"/>
            <w:sz w:val="18"/>
          </w:rPr>
          <w:t>http://www.cc.cec/budg/man/budgmanag/budgmanag_en.html</w:t>
        </w:r>
      </w:hyperlink>
    </w:p>
  </w:footnote>
  <w:footnote w:id="7">
    <w:p>
      <w:pPr>
        <w:pStyle w:val="FootnoteText"/>
        <w:rPr>
          <w:szCs w:val="24"/>
        </w:rPr>
      </w:pPr>
      <w:r>
        <w:rPr>
          <w:rStyle w:val="FootnoteReference"/>
        </w:rPr>
        <w:footnoteRef/>
      </w:r>
      <w:r>
        <w:tab/>
        <w:t>Diff. = Differentiated appropriations / Non-diff. = Non-differentiated appropriations.</w:t>
      </w:r>
    </w:p>
  </w:footnote>
  <w:footnote w:id="8">
    <w:p>
      <w:pPr>
        <w:pStyle w:val="FootnoteText"/>
        <w:rPr>
          <w:szCs w:val="24"/>
        </w:rPr>
      </w:pPr>
      <w:r>
        <w:rPr>
          <w:rStyle w:val="FootnoteReference"/>
        </w:rPr>
        <w:footnoteRef/>
      </w:r>
      <w:r>
        <w:tab/>
        <w:t xml:space="preserve">EFTA: European Free Trade Association. </w:t>
      </w:r>
    </w:p>
  </w:footnote>
  <w:footnote w:id="9">
    <w:p>
      <w:pPr>
        <w:pStyle w:val="FootnoteText"/>
        <w:rPr>
          <w:szCs w:val="24"/>
        </w:rPr>
      </w:pPr>
      <w:r>
        <w:rPr>
          <w:rStyle w:val="FootnoteReference"/>
        </w:rPr>
        <w:footnoteRef/>
      </w:r>
      <w:r>
        <w:tab/>
        <w:t>Candidate countries and, where applicable, potential candidate countries from the Western Balkans.</w:t>
      </w:r>
    </w:p>
  </w:footnote>
  <w:footnote w:id="10">
    <w:p>
      <w:pPr>
        <w:pStyle w:val="FootnoteText"/>
        <w:rPr>
          <w:szCs w:val="24"/>
        </w:rPr>
      </w:pPr>
      <w:r>
        <w:rPr>
          <w:rStyle w:val="FootnoteReference"/>
        </w:rPr>
        <w:footnoteRef/>
      </w:r>
      <w:r>
        <w:tab/>
        <w:t>Technical and/or administrative assistance and expenditure in support of the implementation of EU programmes and/or actions (former ‘BA’ lines), indirect research, direct research.</w:t>
      </w:r>
    </w:p>
  </w:footnote>
  <w:footnote w:id="11">
    <w:p>
      <w:pPr>
        <w:pStyle w:val="FootnoteText"/>
        <w:rPr>
          <w:szCs w:val="24"/>
        </w:rPr>
      </w:pPr>
      <w:r>
        <w:rPr>
          <w:rStyle w:val="FootnoteReference"/>
        </w:rPr>
        <w:footnoteRef/>
      </w:r>
      <w:r>
        <w:tab/>
        <w:t>Year N is the year in which implementation of the proposal/initiative starts.</w:t>
      </w:r>
    </w:p>
  </w:footnote>
  <w:footnote w:id="12">
    <w:p>
      <w:pPr>
        <w:pStyle w:val="FootnoteText"/>
        <w:rPr>
          <w:szCs w:val="24"/>
        </w:rPr>
      </w:pPr>
      <w:r>
        <w:rPr>
          <w:rStyle w:val="FootnoteReference"/>
        </w:rPr>
        <w:footnoteRef/>
      </w:r>
      <w:r>
        <w:tab/>
        <w:t>Outputs are products and services to be supplied (e.g.: number of student exchanges financed, number of km of roads built, etc.).</w:t>
      </w:r>
    </w:p>
  </w:footnote>
  <w:footnote w:id="13">
    <w:p>
      <w:pPr>
        <w:pStyle w:val="FootnoteText"/>
        <w:rPr>
          <w:szCs w:val="24"/>
        </w:rPr>
      </w:pPr>
      <w:r>
        <w:rPr>
          <w:rStyle w:val="FootnoteReference"/>
        </w:rPr>
        <w:footnoteRef/>
      </w:r>
      <w:r>
        <w:tab/>
        <w:t xml:space="preserve">As described in point 1.4.2. ‘Specific objective(s)…’ </w:t>
      </w:r>
    </w:p>
  </w:footnote>
  <w:footnote w:id="14">
    <w:p>
      <w:pPr>
        <w:pStyle w:val="FootnoteText"/>
        <w:rPr>
          <w:szCs w:val="24"/>
        </w:rPr>
      </w:pPr>
      <w:r>
        <w:rPr>
          <w:rStyle w:val="FootnoteReference"/>
        </w:rPr>
        <w:footnoteRef/>
      </w:r>
      <w:r>
        <w:tab/>
        <w:t>Year N is the year in which implementation of the proposal/initiative starts.</w:t>
      </w:r>
    </w:p>
  </w:footnote>
  <w:footnote w:id="15">
    <w:p>
      <w:pPr>
        <w:pStyle w:val="FootnoteText"/>
        <w:rPr>
          <w:szCs w:val="24"/>
        </w:rPr>
      </w:pPr>
      <w:r>
        <w:rPr>
          <w:rStyle w:val="FootnoteReference"/>
        </w:rPr>
        <w:footnoteRef/>
      </w:r>
      <w:r>
        <w:tab/>
        <w:t>Technical and/or administrative assistance and expenditure in support of the implementation of EU programmes and/or actions (former ‘BA’ lines), indirect research, direct research.</w:t>
      </w:r>
    </w:p>
  </w:footnote>
  <w:footnote w:id="16">
    <w:p>
      <w:pPr>
        <w:pStyle w:val="FootnoteText"/>
        <w:rPr>
          <w:szCs w:val="24"/>
        </w:rPr>
      </w:pPr>
      <w:r>
        <w:rPr>
          <w:rStyle w:val="FootnoteReference"/>
        </w:rPr>
        <w:footnoteRef/>
      </w:r>
      <w:r>
        <w:tab/>
        <w:t xml:space="preserve">AC= Contract Staff; AL = Local Staff; END= Seconded National Expert; INT = agency staff; JED= Junior Experts in Delegations. </w:t>
      </w:r>
    </w:p>
  </w:footnote>
  <w:footnote w:id="17">
    <w:p>
      <w:pPr>
        <w:pStyle w:val="FootnoteText"/>
        <w:rPr>
          <w:szCs w:val="24"/>
        </w:rPr>
      </w:pPr>
      <w:r>
        <w:rPr>
          <w:rStyle w:val="FootnoteReference"/>
        </w:rPr>
        <w:footnoteRef/>
      </w:r>
      <w:r>
        <w:tab/>
        <w:t>Sub-ceiling for external staff covered by operational appropriations (former ‘BA’ lines).</w:t>
      </w:r>
    </w:p>
  </w:footnote>
  <w:footnote w:id="18">
    <w:p>
      <w:pPr>
        <w:pStyle w:val="FootnoteText"/>
      </w:pPr>
      <w:r>
        <w:rPr>
          <w:rStyle w:val="FootnoteReference"/>
        </w:rPr>
        <w:footnoteRef/>
      </w:r>
      <w:r>
        <w:tab/>
        <w:t>As regards traditional own resources (customs duties, sugar levies), the amounts indicated must be net amounts, i.e. gross amounts after deduction of 25 % for collection costs.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C468FD4"/>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334E86A8"/>
    <w:lvl w:ilvl="0">
      <w:start w:val="1"/>
      <w:numFmt w:val="decimal"/>
      <w:pStyle w:val="ListNumber3"/>
      <w:lvlText w:val="%1."/>
      <w:lvlJc w:val="left"/>
      <w:pPr>
        <w:tabs>
          <w:tab w:val="num" w:pos="926"/>
        </w:tabs>
        <w:ind w:left="926" w:hanging="360"/>
      </w:pPr>
    </w:lvl>
  </w:abstractNum>
  <w:abstractNum w:abstractNumId="2">
    <w:nsid w:val="FFFFFF7F"/>
    <w:multiLevelType w:val="singleLevel"/>
    <w:tmpl w:val="23B65E10"/>
    <w:lvl w:ilvl="0">
      <w:start w:val="1"/>
      <w:numFmt w:val="decimal"/>
      <w:pStyle w:val="ListNumber2"/>
      <w:lvlText w:val="%1."/>
      <w:lvlJc w:val="left"/>
      <w:pPr>
        <w:tabs>
          <w:tab w:val="num" w:pos="643"/>
        </w:tabs>
        <w:ind w:left="643" w:hanging="360"/>
      </w:pPr>
    </w:lvl>
  </w:abstractNum>
  <w:abstractNum w:abstractNumId="3">
    <w:nsid w:val="FFFFFF81"/>
    <w:multiLevelType w:val="singleLevel"/>
    <w:tmpl w:val="CE18EE44"/>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14F8D92A"/>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360A79C6"/>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96F487F4"/>
    <w:lvl w:ilvl="0">
      <w:start w:val="1"/>
      <w:numFmt w:val="decimal"/>
      <w:pStyle w:val="ListNumber"/>
      <w:lvlText w:val="%1."/>
      <w:lvlJc w:val="left"/>
      <w:pPr>
        <w:tabs>
          <w:tab w:val="num" w:pos="360"/>
        </w:tabs>
        <w:ind w:left="360" w:hanging="360"/>
      </w:pPr>
    </w:lvl>
  </w:abstractNum>
  <w:abstractNum w:abstractNumId="7">
    <w:nsid w:val="FFFFFF89"/>
    <w:multiLevelType w:val="singleLevel"/>
    <w:tmpl w:val="0BC02338"/>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9">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2">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4">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5">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7">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8">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9">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2">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4">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19"/>
    <w:lvlOverride w:ilvl="0">
      <w:startOverride w:val="1"/>
    </w:lvlOverride>
  </w:num>
  <w:num w:numId="3">
    <w:abstractNumId w:val="13"/>
    <w:lvlOverride w:ilvl="0">
      <w:startOverride w:val="1"/>
    </w:lvlOverride>
  </w:num>
  <w:num w:numId="4">
    <w:abstractNumId w:val="24"/>
    <w:lvlOverride w:ilvl="0">
      <w:startOverride w:val="1"/>
    </w:lvlOverride>
  </w:num>
  <w:num w:numId="5">
    <w:abstractNumId w:val="5"/>
  </w:num>
  <w:num w:numId="6">
    <w:abstractNumId w:val="4"/>
  </w:num>
  <w:num w:numId="7">
    <w:abstractNumId w:val="3"/>
  </w:num>
  <w:num w:numId="8">
    <w:abstractNumId w:val="6"/>
  </w:num>
  <w:num w:numId="9">
    <w:abstractNumId w:val="2"/>
  </w:num>
  <w:num w:numId="10">
    <w:abstractNumId w:val="1"/>
  </w:num>
  <w:num w:numId="11">
    <w:abstractNumId w:val="0"/>
  </w:num>
  <w:num w:numId="12">
    <w:abstractNumId w:val="8"/>
  </w:num>
  <w:num w:numId="13">
    <w:abstractNumId w:val="17"/>
  </w:num>
  <w:num w:numId="14">
    <w:abstractNumId w:val="16"/>
  </w:num>
  <w:num w:numId="15">
    <w:abstractNumId w:val="23"/>
    <w:lvlOverride w:ilvl="0">
      <w:startOverride w:val="1"/>
    </w:lvlOverride>
  </w:num>
  <w:num w:numId="16">
    <w:abstractNumId w:val="21"/>
  </w:num>
  <w:num w:numId="17">
    <w:abstractNumId w:val="13"/>
  </w:num>
  <w:num w:numId="18">
    <w:abstractNumId w:val="23"/>
  </w:num>
  <w:num w:numId="19">
    <w:abstractNumId w:val="12"/>
  </w:num>
  <w:num w:numId="20">
    <w:abstractNumId w:val="14"/>
  </w:num>
  <w:num w:numId="21">
    <w:abstractNumId w:val="10"/>
  </w:num>
  <w:num w:numId="22">
    <w:abstractNumId w:val="22"/>
  </w:num>
  <w:num w:numId="23">
    <w:abstractNumId w:val="9"/>
  </w:num>
  <w:num w:numId="24">
    <w:abstractNumId w:val="15"/>
  </w:num>
  <w:num w:numId="25">
    <w:abstractNumId w:val="19"/>
  </w:num>
  <w:num w:numId="26">
    <w:abstractNumId w:val="20"/>
  </w:num>
  <w:num w:numId="27">
    <w:abstractNumId w:val="11"/>
  </w:num>
  <w:num w:numId="28">
    <w:abstractNumId w:val="18"/>
  </w:num>
  <w:num w:numId="29">
    <w:abstractNumId w:val="24"/>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attachedTemplate r:id="rId1"/>
  <w:revisionView w:markup="0"/>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6-07-05 09:34:29"/>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2"/>
    <w:docVar w:name="DQCResult_UnknownFonts" w:val="0;0"/>
    <w:docVar w:name="DQCResult_UnknownStyles" w:val="0;0"/>
    <w:docVar w:name="DQCStatus" w:val="Yellow"/>
    <w:docVar w:name="DQCVersion" w:val="3"/>
    <w:docVar w:name="DQCWithWarnings" w:val="0"/>
    <w:docVar w:name="LW_CONFIDENCE" w:val=" "/>
    <w:docVar w:name="LW_CONST_RESTREINT_UE" w:val="RESTREINT UE"/>
    <w:docVar w:name="LW_CORRIGENDUM" w:val="&lt;UNUSED&gt;"/>
    <w:docVar w:name="LW_COVERPAGE_GUID" w:val="26D98922B4F540D096977A50430BD087"/>
    <w:docVar w:name="LW_CROSSREFERENCE" w:val="&lt;UNUSED&gt;"/>
    <w:docVar w:name="LW_DocType" w:val="COM"/>
    <w:docVar w:name="LW_EMISSION" w:val="5.7.2016"/>
    <w:docVar w:name="LW_EMISSION_ISODATE" w:val="2016-07-05"/>
    <w:docVar w:name="LW_EMISSION_LOCATION" w:val="STR"/>
    <w:docVar w:name="LW_EMISSION_PREFIX" w:val="Strasbourg, "/>
    <w:docVar w:name="LW_EMISSION_SUFFIX" w:val=" "/>
    <w:docVar w:name="LW_ID_DOCMODEL" w:val="SJ-019"/>
    <w:docVar w:name="LW_ID_DOCSIGNATURE" w:val="SJ-019"/>
    <w:docVar w:name="LW_ID_DOCSTRUCTURE" w:val="COM/PL/ORG"/>
    <w:docVar w:name="LW_ID_DOCTYPE" w:val="SJ-019"/>
    <w:docVar w:name="LW_ID_STATUT" w:val="SJ-019"/>
    <w:docVar w:name="LW_INTERETEEE.CP" w:val="&lt;UNUSED&gt;"/>
    <w:docVar w:name="LW_LANGUE" w:val="EN"/>
    <w:docVar w:name="LW_MARKING" w:val="&lt;UNUSED&gt;"/>
    <w:docVar w:name="LW_NOM.INST" w:val="EUROPEAN COMMISSION"/>
    <w:docVar w:name="LW_NOM.INST_JOINTDOC" w:val="&lt;EMPTY&gt;"/>
    <w:docVar w:name="LW_PART_NBR" w:val="1"/>
    <w:docVar w:name="LW_PART_NBR_TOTAL" w:val="1"/>
    <w:docVar w:name="LW_REF.II.NEW.CP" w:val="NLE"/>
    <w:docVar w:name="LW_REF.II.NEW.CP_NUMBER" w:val="0206"/>
    <w:docVar w:name="LW_REF.II.NEW.CP_YEAR" w:val="2016"/>
    <w:docVar w:name="LW_REF.INST.NEW" w:val="COM"/>
    <w:docVar w:name="LW_REF.INST.NEW_ADOPTED" w:val="final"/>
    <w:docVar w:name="LW_REF.INST.NEW_TEXT" w:val="(2016) 444"/>
    <w:docVar w:name="LW_REF.INTERNE" w:val="&lt;UNUSED&gt;"/>
    <w:docVar w:name="LW_SOUS.TITRE.OBJ.CP" w:val="&lt;UNUSED&gt;"/>
    <w:docVar w:name="LW_STATUT.CP" w:val="Proposal for a"/>
    <w:docVar w:name="LW_SUPERTITRE" w:val="&lt;UNUSED&gt;"/>
    <w:docVar w:name="LW_TITRE.OBJ.CP" w:val="on the signing on behalf of the European Union of the Comprehensive Economic and Trade Agreement between Canada of the one part, and the European Union and its Member States, of the other part"/>
    <w:docVar w:name="LW_TITRE.OBJ_CONTENT_FMTD" w:val="on the signing on behalf of the European Union of the Comprehensive Economic and Trade Agreement between Canada of the one part, and the European Union and its Member States, of the other part"/>
    <w:docVar w:name="LW_TITRE.OBJ_USEMAINTEXTFORCP" w:val="1"/>
    <w:docVar w:name="LW_TYPE.DOC.CP" w:val="COUNCIL DECISION"/>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Number"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pPr>
      <w:keepNext/>
      <w:numPr>
        <w:numId w:val="2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2"/>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nhideWhenUsed/>
    <w:pPr>
      <w:numPr>
        <w:numId w:val="1"/>
      </w:numPr>
      <w:contextualSpacing/>
    </w:pPr>
  </w:style>
  <w:style w:type="character" w:styleId="Hyperlink">
    <w:name w:val="Hyperlink"/>
    <w:basedOn w:val="DefaultParagraphFont"/>
    <w:unhideWhenUsed/>
    <w:rPr>
      <w:color w:val="0000FF" w:themeColor="hyperlink"/>
      <w:u w:val="single"/>
    </w:rPr>
  </w:style>
  <w:style w:type="paragraph" w:styleId="ListParagraph">
    <w:name w:val="List Paragraph"/>
    <w:basedOn w:val="Normal"/>
    <w:uiPriority w:val="34"/>
    <w:qFormat/>
    <w:pPr>
      <w:ind w:left="720"/>
      <w:contextualSpacing/>
    </w:pPr>
  </w:style>
  <w:style w:type="paragraph" w:styleId="ListBullet2">
    <w:name w:val="List Bullet 2"/>
    <w:basedOn w:val="Normal"/>
    <w:unhideWhenUsed/>
    <w:pPr>
      <w:numPr>
        <w:numId w:val="5"/>
      </w:numPr>
      <w:contextualSpacing/>
    </w:pPr>
  </w:style>
  <w:style w:type="paragraph" w:styleId="ListBullet3">
    <w:name w:val="List Bullet 3"/>
    <w:basedOn w:val="Normal"/>
    <w:uiPriority w:val="99"/>
    <w:semiHidden/>
    <w:unhideWhenUsed/>
    <w:pPr>
      <w:numPr>
        <w:numId w:val="6"/>
      </w:numPr>
      <w:contextualSpacing/>
    </w:pPr>
  </w:style>
  <w:style w:type="paragraph" w:styleId="ListBullet4">
    <w:name w:val="List Bullet 4"/>
    <w:basedOn w:val="Normal"/>
    <w:uiPriority w:val="99"/>
    <w:semiHidden/>
    <w:unhideWhenUsed/>
    <w:pPr>
      <w:numPr>
        <w:numId w:val="7"/>
      </w:numPr>
      <w:contextualSpacing/>
    </w:p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nhideWhenUsed/>
    <w:pPr>
      <w:numPr>
        <w:numId w:val="8"/>
      </w:numPr>
      <w:contextualSpacing/>
    </w:pPr>
  </w:style>
  <w:style w:type="paragraph" w:styleId="ListNumber2">
    <w:name w:val="List Number 2"/>
    <w:basedOn w:val="Normal"/>
    <w:uiPriority w:val="99"/>
    <w:semiHidden/>
    <w:unhideWhenUsed/>
    <w:pPr>
      <w:numPr>
        <w:numId w:val="9"/>
      </w:numPr>
      <w:contextualSpacing/>
    </w:pPr>
  </w:style>
  <w:style w:type="paragraph" w:styleId="ListNumber3">
    <w:name w:val="List Number 3"/>
    <w:basedOn w:val="Normal"/>
    <w:uiPriority w:val="99"/>
    <w:semiHidden/>
    <w:unhideWhenUsed/>
    <w:pPr>
      <w:numPr>
        <w:numId w:val="10"/>
      </w:numPr>
      <w:contextualSpacing/>
    </w:pPr>
  </w:style>
  <w:style w:type="paragraph" w:styleId="ListNumber4">
    <w:name w:val="List Number 4"/>
    <w:basedOn w:val="Normal"/>
    <w:uiPriority w:val="99"/>
    <w:semiHidden/>
    <w:unhideWhenUsed/>
    <w:pPr>
      <w:numPr>
        <w:numId w:val="11"/>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n-GB"/>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paragraph" w:styleId="Revision">
    <w:name w:val="Revision"/>
    <w:hidden/>
    <w:uiPriority w:val="99"/>
    <w:semiHidden/>
    <w:pPr>
      <w:spacing w:after="0" w:line="240" w:lineRule="auto"/>
    </w:pPr>
    <w:rPr>
      <w:rFonts w:ascii="Times New Roman" w:hAnsi="Times New Roman" w:cs="Times New Roman"/>
      <w:sz w:val="24"/>
      <w:lang w:val="en-GB"/>
    </w:rPr>
  </w:style>
  <w:style w:type="paragraph" w:customStyle="1" w:styleId="ListBullet1">
    <w:name w:val="List Bullet 1"/>
    <w:basedOn w:val="Normal"/>
    <w:pPr>
      <w:numPr>
        <w:numId w:val="12"/>
      </w:numPr>
    </w:pPr>
    <w:rPr>
      <w:rFonts w:eastAsia="Times New Roman"/>
      <w:lang w:eastAsia="de-DE"/>
    </w:rPr>
  </w:style>
  <w:style w:type="paragraph" w:customStyle="1" w:styleId="ListDash1">
    <w:name w:val="List Dash 1"/>
    <w:basedOn w:val="Normal"/>
    <w:pPr>
      <w:numPr>
        <w:numId w:val="13"/>
      </w:numPr>
    </w:pPr>
    <w:rPr>
      <w:rFonts w:eastAsia="Times New Roman"/>
      <w:lang w:eastAsia="de-DE"/>
    </w:rPr>
  </w:style>
  <w:style w:type="paragraph" w:customStyle="1" w:styleId="ListDash2">
    <w:name w:val="List Dash 2"/>
    <w:basedOn w:val="Normal"/>
    <w:pPr>
      <w:numPr>
        <w:numId w:val="14"/>
      </w:numPr>
    </w:pPr>
    <w:rPr>
      <w:rFonts w:eastAsia="Times New Roman"/>
      <w:lang w:eastAsia="de-DE"/>
    </w:rPr>
  </w:style>
  <w:style w:type="paragraph" w:customStyle="1" w:styleId="ListNumberLevel2">
    <w:name w:val="List Number (Level 2)"/>
    <w:basedOn w:val="Normal"/>
    <w:pPr>
      <w:tabs>
        <w:tab w:val="num" w:pos="1417"/>
      </w:tabs>
      <w:ind w:left="1417" w:hanging="708"/>
    </w:pPr>
    <w:rPr>
      <w:rFonts w:eastAsia="Times New Roman"/>
      <w:lang w:eastAsia="de-DE"/>
    </w:rPr>
  </w:style>
  <w:style w:type="paragraph" w:customStyle="1" w:styleId="ListNumberLevel3">
    <w:name w:val="List Number (Level 3)"/>
    <w:basedOn w:val="Normal"/>
    <w:pPr>
      <w:tabs>
        <w:tab w:val="num" w:pos="2126"/>
      </w:tabs>
      <w:ind w:left="2126" w:hanging="709"/>
    </w:pPr>
    <w:rPr>
      <w:rFonts w:eastAsia="Times New Roman"/>
      <w:lang w:eastAsia="de-DE"/>
    </w:rPr>
  </w:style>
  <w:style w:type="paragraph" w:customStyle="1" w:styleId="ListNumberLevel4">
    <w:name w:val="List Number (Level 4)"/>
    <w:basedOn w:val="Normal"/>
    <w:pPr>
      <w:tabs>
        <w:tab w:val="num" w:pos="2835"/>
      </w:tabs>
      <w:ind w:left="2835" w:hanging="709"/>
    </w:pPr>
    <w:rPr>
      <w:rFonts w:eastAsia="Times New Roman"/>
      <w:lang w:eastAsia="de-DE"/>
    </w:rPr>
  </w:style>
  <w:style w:type="paragraph" w:customStyle="1" w:styleId="Body">
    <w:name w:val="Body"/>
    <w:pPr>
      <w:pBdr>
        <w:top w:val="nil"/>
        <w:left w:val="nil"/>
        <w:bottom w:val="nil"/>
        <w:right w:val="nil"/>
        <w:between w:val="nil"/>
        <w:bar w:val="nil"/>
      </w:pBdr>
    </w:pPr>
    <w:rPr>
      <w:rFonts w:ascii="Calibri" w:eastAsia="Calibri" w:hAnsi="Calibri" w:cs="Calibri"/>
      <w:color w:val="000000"/>
      <w:u w:color="000000"/>
      <w:bdr w:val="nil"/>
      <w:lang w:eastAsia="en-GB"/>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en-GB"/>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6"/>
      </w:numPr>
    </w:pPr>
  </w:style>
  <w:style w:type="paragraph" w:customStyle="1" w:styleId="Tiret1">
    <w:name w:val="Tiret 1"/>
    <w:basedOn w:val="Point1"/>
    <w:pPr>
      <w:numPr>
        <w:numId w:val="17"/>
      </w:numPr>
    </w:pPr>
  </w:style>
  <w:style w:type="paragraph" w:customStyle="1" w:styleId="Tiret2">
    <w:name w:val="Tiret 2"/>
    <w:basedOn w:val="Point2"/>
    <w:pPr>
      <w:numPr>
        <w:numId w:val="18"/>
      </w:numPr>
    </w:pPr>
  </w:style>
  <w:style w:type="paragraph" w:customStyle="1" w:styleId="Tiret3">
    <w:name w:val="Tiret 3"/>
    <w:basedOn w:val="Point3"/>
    <w:pPr>
      <w:numPr>
        <w:numId w:val="19"/>
      </w:numPr>
    </w:pPr>
  </w:style>
  <w:style w:type="paragraph" w:customStyle="1" w:styleId="Tiret4">
    <w:name w:val="Tiret 4"/>
    <w:basedOn w:val="Point4"/>
    <w:pPr>
      <w:numPr>
        <w:numId w:val="2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1"/>
      </w:numPr>
    </w:pPr>
  </w:style>
  <w:style w:type="paragraph" w:customStyle="1" w:styleId="NumPar2">
    <w:name w:val="NumPar 2"/>
    <w:basedOn w:val="Normal"/>
    <w:next w:val="Text1"/>
    <w:pPr>
      <w:numPr>
        <w:ilvl w:val="1"/>
        <w:numId w:val="21"/>
      </w:numPr>
    </w:pPr>
  </w:style>
  <w:style w:type="paragraph" w:customStyle="1" w:styleId="NumPar3">
    <w:name w:val="NumPar 3"/>
    <w:basedOn w:val="Normal"/>
    <w:next w:val="Text1"/>
    <w:pPr>
      <w:numPr>
        <w:ilvl w:val="2"/>
        <w:numId w:val="21"/>
      </w:numPr>
    </w:pPr>
  </w:style>
  <w:style w:type="paragraph" w:customStyle="1" w:styleId="NumPar4">
    <w:name w:val="NumPar 4"/>
    <w:basedOn w:val="Normal"/>
    <w:next w:val="Text1"/>
    <w:pPr>
      <w:numPr>
        <w:ilvl w:val="3"/>
        <w:numId w:val="2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3"/>
      </w:numPr>
    </w:pPr>
  </w:style>
  <w:style w:type="paragraph" w:customStyle="1" w:styleId="Point1number">
    <w:name w:val="Point 1 (number)"/>
    <w:basedOn w:val="Normal"/>
    <w:pPr>
      <w:numPr>
        <w:ilvl w:val="2"/>
        <w:numId w:val="23"/>
      </w:numPr>
    </w:pPr>
  </w:style>
  <w:style w:type="paragraph" w:customStyle="1" w:styleId="Point2number">
    <w:name w:val="Point 2 (number)"/>
    <w:basedOn w:val="Normal"/>
    <w:pPr>
      <w:numPr>
        <w:ilvl w:val="4"/>
        <w:numId w:val="23"/>
      </w:numPr>
    </w:pPr>
  </w:style>
  <w:style w:type="paragraph" w:customStyle="1" w:styleId="Point3number">
    <w:name w:val="Point 3 (number)"/>
    <w:basedOn w:val="Normal"/>
    <w:pPr>
      <w:numPr>
        <w:ilvl w:val="6"/>
        <w:numId w:val="23"/>
      </w:numPr>
    </w:pPr>
  </w:style>
  <w:style w:type="paragraph" w:customStyle="1" w:styleId="Point0letter">
    <w:name w:val="Point 0 (letter)"/>
    <w:basedOn w:val="Normal"/>
    <w:pPr>
      <w:numPr>
        <w:ilvl w:val="1"/>
        <w:numId w:val="23"/>
      </w:numPr>
    </w:pPr>
  </w:style>
  <w:style w:type="paragraph" w:customStyle="1" w:styleId="Point1letter">
    <w:name w:val="Point 1 (letter)"/>
    <w:basedOn w:val="Normal"/>
    <w:pPr>
      <w:numPr>
        <w:ilvl w:val="3"/>
        <w:numId w:val="23"/>
      </w:numPr>
    </w:pPr>
  </w:style>
  <w:style w:type="paragraph" w:customStyle="1" w:styleId="Point2letter">
    <w:name w:val="Point 2 (letter)"/>
    <w:basedOn w:val="Normal"/>
    <w:pPr>
      <w:numPr>
        <w:ilvl w:val="5"/>
        <w:numId w:val="23"/>
      </w:numPr>
    </w:pPr>
  </w:style>
  <w:style w:type="paragraph" w:customStyle="1" w:styleId="Point3letter">
    <w:name w:val="Point 3 (letter)"/>
    <w:basedOn w:val="Normal"/>
    <w:pPr>
      <w:numPr>
        <w:ilvl w:val="7"/>
        <w:numId w:val="23"/>
      </w:numPr>
    </w:pPr>
  </w:style>
  <w:style w:type="paragraph" w:customStyle="1" w:styleId="Point4letter">
    <w:name w:val="Point 4 (letter)"/>
    <w:basedOn w:val="Normal"/>
    <w:pPr>
      <w:numPr>
        <w:ilvl w:val="8"/>
        <w:numId w:val="23"/>
      </w:numPr>
    </w:pPr>
  </w:style>
  <w:style w:type="paragraph" w:customStyle="1" w:styleId="Bullet0">
    <w:name w:val="Bullet 0"/>
    <w:basedOn w:val="Normal"/>
    <w:pPr>
      <w:numPr>
        <w:numId w:val="24"/>
      </w:numPr>
    </w:pPr>
  </w:style>
  <w:style w:type="paragraph" w:customStyle="1" w:styleId="Bullet1">
    <w:name w:val="Bullet 1"/>
    <w:basedOn w:val="Normal"/>
    <w:pPr>
      <w:numPr>
        <w:numId w:val="25"/>
      </w:numPr>
    </w:pPr>
  </w:style>
  <w:style w:type="paragraph" w:customStyle="1" w:styleId="Bullet2">
    <w:name w:val="Bullet 2"/>
    <w:basedOn w:val="Normal"/>
    <w:pPr>
      <w:numPr>
        <w:numId w:val="26"/>
      </w:numPr>
    </w:pPr>
  </w:style>
  <w:style w:type="paragraph" w:customStyle="1" w:styleId="Bullet3">
    <w:name w:val="Bullet 3"/>
    <w:basedOn w:val="Normal"/>
    <w:pPr>
      <w:numPr>
        <w:numId w:val="27"/>
      </w:numPr>
    </w:pPr>
  </w:style>
  <w:style w:type="paragraph" w:customStyle="1" w:styleId="Bullet4">
    <w:name w:val="Bullet 4"/>
    <w:basedOn w:val="Normal"/>
    <w:pPr>
      <w:numPr>
        <w:numId w:val="28"/>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Number"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pPr>
      <w:keepNext/>
      <w:numPr>
        <w:numId w:val="2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2"/>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nhideWhenUsed/>
    <w:pPr>
      <w:numPr>
        <w:numId w:val="1"/>
      </w:numPr>
      <w:contextualSpacing/>
    </w:pPr>
  </w:style>
  <w:style w:type="character" w:styleId="Hyperlink">
    <w:name w:val="Hyperlink"/>
    <w:basedOn w:val="DefaultParagraphFont"/>
    <w:unhideWhenUsed/>
    <w:rPr>
      <w:color w:val="0000FF" w:themeColor="hyperlink"/>
      <w:u w:val="single"/>
    </w:rPr>
  </w:style>
  <w:style w:type="paragraph" w:styleId="ListParagraph">
    <w:name w:val="List Paragraph"/>
    <w:basedOn w:val="Normal"/>
    <w:uiPriority w:val="34"/>
    <w:qFormat/>
    <w:pPr>
      <w:ind w:left="720"/>
      <w:contextualSpacing/>
    </w:pPr>
  </w:style>
  <w:style w:type="paragraph" w:styleId="ListBullet2">
    <w:name w:val="List Bullet 2"/>
    <w:basedOn w:val="Normal"/>
    <w:unhideWhenUsed/>
    <w:pPr>
      <w:numPr>
        <w:numId w:val="5"/>
      </w:numPr>
      <w:contextualSpacing/>
    </w:pPr>
  </w:style>
  <w:style w:type="paragraph" w:styleId="ListBullet3">
    <w:name w:val="List Bullet 3"/>
    <w:basedOn w:val="Normal"/>
    <w:uiPriority w:val="99"/>
    <w:semiHidden/>
    <w:unhideWhenUsed/>
    <w:pPr>
      <w:numPr>
        <w:numId w:val="6"/>
      </w:numPr>
      <w:contextualSpacing/>
    </w:pPr>
  </w:style>
  <w:style w:type="paragraph" w:styleId="ListBullet4">
    <w:name w:val="List Bullet 4"/>
    <w:basedOn w:val="Normal"/>
    <w:uiPriority w:val="99"/>
    <w:semiHidden/>
    <w:unhideWhenUsed/>
    <w:pPr>
      <w:numPr>
        <w:numId w:val="7"/>
      </w:numPr>
      <w:contextualSpacing/>
    </w:p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nhideWhenUsed/>
    <w:pPr>
      <w:numPr>
        <w:numId w:val="8"/>
      </w:numPr>
      <w:contextualSpacing/>
    </w:pPr>
  </w:style>
  <w:style w:type="paragraph" w:styleId="ListNumber2">
    <w:name w:val="List Number 2"/>
    <w:basedOn w:val="Normal"/>
    <w:uiPriority w:val="99"/>
    <w:semiHidden/>
    <w:unhideWhenUsed/>
    <w:pPr>
      <w:numPr>
        <w:numId w:val="9"/>
      </w:numPr>
      <w:contextualSpacing/>
    </w:pPr>
  </w:style>
  <w:style w:type="paragraph" w:styleId="ListNumber3">
    <w:name w:val="List Number 3"/>
    <w:basedOn w:val="Normal"/>
    <w:uiPriority w:val="99"/>
    <w:semiHidden/>
    <w:unhideWhenUsed/>
    <w:pPr>
      <w:numPr>
        <w:numId w:val="10"/>
      </w:numPr>
      <w:contextualSpacing/>
    </w:pPr>
  </w:style>
  <w:style w:type="paragraph" w:styleId="ListNumber4">
    <w:name w:val="List Number 4"/>
    <w:basedOn w:val="Normal"/>
    <w:uiPriority w:val="99"/>
    <w:semiHidden/>
    <w:unhideWhenUsed/>
    <w:pPr>
      <w:numPr>
        <w:numId w:val="11"/>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n-GB"/>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paragraph" w:styleId="Revision">
    <w:name w:val="Revision"/>
    <w:hidden/>
    <w:uiPriority w:val="99"/>
    <w:semiHidden/>
    <w:pPr>
      <w:spacing w:after="0" w:line="240" w:lineRule="auto"/>
    </w:pPr>
    <w:rPr>
      <w:rFonts w:ascii="Times New Roman" w:hAnsi="Times New Roman" w:cs="Times New Roman"/>
      <w:sz w:val="24"/>
      <w:lang w:val="en-GB"/>
    </w:rPr>
  </w:style>
  <w:style w:type="paragraph" w:customStyle="1" w:styleId="ListBullet1">
    <w:name w:val="List Bullet 1"/>
    <w:basedOn w:val="Normal"/>
    <w:pPr>
      <w:numPr>
        <w:numId w:val="12"/>
      </w:numPr>
    </w:pPr>
    <w:rPr>
      <w:rFonts w:eastAsia="Times New Roman"/>
      <w:lang w:eastAsia="de-DE"/>
    </w:rPr>
  </w:style>
  <w:style w:type="paragraph" w:customStyle="1" w:styleId="ListDash1">
    <w:name w:val="List Dash 1"/>
    <w:basedOn w:val="Normal"/>
    <w:pPr>
      <w:numPr>
        <w:numId w:val="13"/>
      </w:numPr>
    </w:pPr>
    <w:rPr>
      <w:rFonts w:eastAsia="Times New Roman"/>
      <w:lang w:eastAsia="de-DE"/>
    </w:rPr>
  </w:style>
  <w:style w:type="paragraph" w:customStyle="1" w:styleId="ListDash2">
    <w:name w:val="List Dash 2"/>
    <w:basedOn w:val="Normal"/>
    <w:pPr>
      <w:numPr>
        <w:numId w:val="14"/>
      </w:numPr>
    </w:pPr>
    <w:rPr>
      <w:rFonts w:eastAsia="Times New Roman"/>
      <w:lang w:eastAsia="de-DE"/>
    </w:rPr>
  </w:style>
  <w:style w:type="paragraph" w:customStyle="1" w:styleId="ListNumberLevel2">
    <w:name w:val="List Number (Level 2)"/>
    <w:basedOn w:val="Normal"/>
    <w:pPr>
      <w:tabs>
        <w:tab w:val="num" w:pos="1417"/>
      </w:tabs>
      <w:ind w:left="1417" w:hanging="708"/>
    </w:pPr>
    <w:rPr>
      <w:rFonts w:eastAsia="Times New Roman"/>
      <w:lang w:eastAsia="de-DE"/>
    </w:rPr>
  </w:style>
  <w:style w:type="paragraph" w:customStyle="1" w:styleId="ListNumberLevel3">
    <w:name w:val="List Number (Level 3)"/>
    <w:basedOn w:val="Normal"/>
    <w:pPr>
      <w:tabs>
        <w:tab w:val="num" w:pos="2126"/>
      </w:tabs>
      <w:ind w:left="2126" w:hanging="709"/>
    </w:pPr>
    <w:rPr>
      <w:rFonts w:eastAsia="Times New Roman"/>
      <w:lang w:eastAsia="de-DE"/>
    </w:rPr>
  </w:style>
  <w:style w:type="paragraph" w:customStyle="1" w:styleId="ListNumberLevel4">
    <w:name w:val="List Number (Level 4)"/>
    <w:basedOn w:val="Normal"/>
    <w:pPr>
      <w:tabs>
        <w:tab w:val="num" w:pos="2835"/>
      </w:tabs>
      <w:ind w:left="2835" w:hanging="709"/>
    </w:pPr>
    <w:rPr>
      <w:rFonts w:eastAsia="Times New Roman"/>
      <w:lang w:eastAsia="de-DE"/>
    </w:rPr>
  </w:style>
  <w:style w:type="paragraph" w:customStyle="1" w:styleId="Body">
    <w:name w:val="Body"/>
    <w:pPr>
      <w:pBdr>
        <w:top w:val="nil"/>
        <w:left w:val="nil"/>
        <w:bottom w:val="nil"/>
        <w:right w:val="nil"/>
        <w:between w:val="nil"/>
        <w:bar w:val="nil"/>
      </w:pBdr>
    </w:pPr>
    <w:rPr>
      <w:rFonts w:ascii="Calibri" w:eastAsia="Calibri" w:hAnsi="Calibri" w:cs="Calibri"/>
      <w:color w:val="000000"/>
      <w:u w:color="000000"/>
      <w:bdr w:val="nil"/>
      <w:lang w:eastAsia="en-GB"/>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en-GB"/>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6"/>
      </w:numPr>
    </w:pPr>
  </w:style>
  <w:style w:type="paragraph" w:customStyle="1" w:styleId="Tiret1">
    <w:name w:val="Tiret 1"/>
    <w:basedOn w:val="Point1"/>
    <w:pPr>
      <w:numPr>
        <w:numId w:val="17"/>
      </w:numPr>
    </w:pPr>
  </w:style>
  <w:style w:type="paragraph" w:customStyle="1" w:styleId="Tiret2">
    <w:name w:val="Tiret 2"/>
    <w:basedOn w:val="Point2"/>
    <w:pPr>
      <w:numPr>
        <w:numId w:val="18"/>
      </w:numPr>
    </w:pPr>
  </w:style>
  <w:style w:type="paragraph" w:customStyle="1" w:styleId="Tiret3">
    <w:name w:val="Tiret 3"/>
    <w:basedOn w:val="Point3"/>
    <w:pPr>
      <w:numPr>
        <w:numId w:val="19"/>
      </w:numPr>
    </w:pPr>
  </w:style>
  <w:style w:type="paragraph" w:customStyle="1" w:styleId="Tiret4">
    <w:name w:val="Tiret 4"/>
    <w:basedOn w:val="Point4"/>
    <w:pPr>
      <w:numPr>
        <w:numId w:val="2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1"/>
      </w:numPr>
    </w:pPr>
  </w:style>
  <w:style w:type="paragraph" w:customStyle="1" w:styleId="NumPar2">
    <w:name w:val="NumPar 2"/>
    <w:basedOn w:val="Normal"/>
    <w:next w:val="Text1"/>
    <w:pPr>
      <w:numPr>
        <w:ilvl w:val="1"/>
        <w:numId w:val="21"/>
      </w:numPr>
    </w:pPr>
  </w:style>
  <w:style w:type="paragraph" w:customStyle="1" w:styleId="NumPar3">
    <w:name w:val="NumPar 3"/>
    <w:basedOn w:val="Normal"/>
    <w:next w:val="Text1"/>
    <w:pPr>
      <w:numPr>
        <w:ilvl w:val="2"/>
        <w:numId w:val="21"/>
      </w:numPr>
    </w:pPr>
  </w:style>
  <w:style w:type="paragraph" w:customStyle="1" w:styleId="NumPar4">
    <w:name w:val="NumPar 4"/>
    <w:basedOn w:val="Normal"/>
    <w:next w:val="Text1"/>
    <w:pPr>
      <w:numPr>
        <w:ilvl w:val="3"/>
        <w:numId w:val="2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3"/>
      </w:numPr>
    </w:pPr>
  </w:style>
  <w:style w:type="paragraph" w:customStyle="1" w:styleId="Point1number">
    <w:name w:val="Point 1 (number)"/>
    <w:basedOn w:val="Normal"/>
    <w:pPr>
      <w:numPr>
        <w:ilvl w:val="2"/>
        <w:numId w:val="23"/>
      </w:numPr>
    </w:pPr>
  </w:style>
  <w:style w:type="paragraph" w:customStyle="1" w:styleId="Point2number">
    <w:name w:val="Point 2 (number)"/>
    <w:basedOn w:val="Normal"/>
    <w:pPr>
      <w:numPr>
        <w:ilvl w:val="4"/>
        <w:numId w:val="23"/>
      </w:numPr>
    </w:pPr>
  </w:style>
  <w:style w:type="paragraph" w:customStyle="1" w:styleId="Point3number">
    <w:name w:val="Point 3 (number)"/>
    <w:basedOn w:val="Normal"/>
    <w:pPr>
      <w:numPr>
        <w:ilvl w:val="6"/>
        <w:numId w:val="23"/>
      </w:numPr>
    </w:pPr>
  </w:style>
  <w:style w:type="paragraph" w:customStyle="1" w:styleId="Point0letter">
    <w:name w:val="Point 0 (letter)"/>
    <w:basedOn w:val="Normal"/>
    <w:pPr>
      <w:numPr>
        <w:ilvl w:val="1"/>
        <w:numId w:val="23"/>
      </w:numPr>
    </w:pPr>
  </w:style>
  <w:style w:type="paragraph" w:customStyle="1" w:styleId="Point1letter">
    <w:name w:val="Point 1 (letter)"/>
    <w:basedOn w:val="Normal"/>
    <w:pPr>
      <w:numPr>
        <w:ilvl w:val="3"/>
        <w:numId w:val="23"/>
      </w:numPr>
    </w:pPr>
  </w:style>
  <w:style w:type="paragraph" w:customStyle="1" w:styleId="Point2letter">
    <w:name w:val="Point 2 (letter)"/>
    <w:basedOn w:val="Normal"/>
    <w:pPr>
      <w:numPr>
        <w:ilvl w:val="5"/>
        <w:numId w:val="23"/>
      </w:numPr>
    </w:pPr>
  </w:style>
  <w:style w:type="paragraph" w:customStyle="1" w:styleId="Point3letter">
    <w:name w:val="Point 3 (letter)"/>
    <w:basedOn w:val="Normal"/>
    <w:pPr>
      <w:numPr>
        <w:ilvl w:val="7"/>
        <w:numId w:val="23"/>
      </w:numPr>
    </w:pPr>
  </w:style>
  <w:style w:type="paragraph" w:customStyle="1" w:styleId="Point4letter">
    <w:name w:val="Point 4 (letter)"/>
    <w:basedOn w:val="Normal"/>
    <w:pPr>
      <w:numPr>
        <w:ilvl w:val="8"/>
        <w:numId w:val="23"/>
      </w:numPr>
    </w:pPr>
  </w:style>
  <w:style w:type="paragraph" w:customStyle="1" w:styleId="Bullet0">
    <w:name w:val="Bullet 0"/>
    <w:basedOn w:val="Normal"/>
    <w:pPr>
      <w:numPr>
        <w:numId w:val="24"/>
      </w:numPr>
    </w:pPr>
  </w:style>
  <w:style w:type="paragraph" w:customStyle="1" w:styleId="Bullet1">
    <w:name w:val="Bullet 1"/>
    <w:basedOn w:val="Normal"/>
    <w:pPr>
      <w:numPr>
        <w:numId w:val="25"/>
      </w:numPr>
    </w:pPr>
  </w:style>
  <w:style w:type="paragraph" w:customStyle="1" w:styleId="Bullet2">
    <w:name w:val="Bullet 2"/>
    <w:basedOn w:val="Normal"/>
    <w:pPr>
      <w:numPr>
        <w:numId w:val="26"/>
      </w:numPr>
    </w:pPr>
  </w:style>
  <w:style w:type="paragraph" w:customStyle="1" w:styleId="Bullet3">
    <w:name w:val="Bullet 3"/>
    <w:basedOn w:val="Normal"/>
    <w:pPr>
      <w:numPr>
        <w:numId w:val="27"/>
      </w:numPr>
    </w:pPr>
  </w:style>
  <w:style w:type="paragraph" w:customStyle="1" w:styleId="Bullet4">
    <w:name w:val="Bullet 4"/>
    <w:basedOn w:val="Normal"/>
    <w:pPr>
      <w:numPr>
        <w:numId w:val="28"/>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c.europa.eu/trade/policy/policy-making/analysis/sustainability-impact-assessments/assessments/"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hyperlink" Target="http://trade.ec.europa.eu/doclib/docs/2008/october/tradoc_141032.pdf" TargetMode="Externa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rade.ec.europa.eu/doclib/docs/2014/september/tradoc_152806.pdf"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 Id="rId22" Type="http://schemas.openxmlformats.org/officeDocument/2006/relationships/header" Target="header4.xml"/></Relationships>
</file>

<file path=word/_rels/footnotes.xml.rels><?xml version='1.0' encoding='UTF-8' standalone='yes'?>
<Relationships xmlns="http://schemas.openxmlformats.org/package/2006/relationships"><Relationship Id="rId3" Type="http://schemas.openxmlformats.org/officeDocument/2006/relationships/hyperlink" Target="http://www.cc.cec/budg/man/budgmanag/budgmanag_en.html" TargetMode="External"/><Relationship Id="rId2" Type="http://schemas.openxmlformats.org/officeDocument/2006/relationships/hyperlink" Target="http://trade.ec.europa.eu/doclib/docs/2011/september/tradoc_148201.pdf" TargetMode="External"/><Relationship Id="rId1" Type="http://schemas.openxmlformats.org/officeDocument/2006/relationships/hyperlink" Target="http://trade.ec.europa.eu/doclib/docs/2008/october/tradoc_14103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47062-5C32-468C-8165-72DD5A170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3</TotalTime>
  <Pages>28</Pages>
  <Words>7167</Words>
  <Characters>40208</Characters>
  <Application>Microsoft Office Word</Application>
  <DocSecurity>0</DocSecurity>
  <Lines>1608</Lines>
  <Paragraphs>751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18</cp:revision>
  <cp:lastPrinted>2016-07-05T09:14:00Z</cp:lastPrinted>
  <dcterms:created xsi:type="dcterms:W3CDTF">2016-07-05T09:14:00Z</dcterms:created>
  <dcterms:modified xsi:type="dcterms:W3CDTF">2016-07-05T15:43:00Z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Classification">
    <vt:lpwstr> </vt:lpwstr>
  </property>
  <property fmtid="{D5CDD505-2E9C-101B-9397-08002B2CF9AE}" pid="4" name="Version">
    <vt:lpwstr>5.84.2.0</vt:lpwstr>
  </property>
  <property fmtid="{D5CDD505-2E9C-101B-9397-08002B2CF9AE}" pid="5" name="Last edited using">
    <vt:lpwstr>LW 5.8.4, Build 20150407</vt:lpwstr>
  </property>
  <property fmtid="{D5CDD505-2E9C-101B-9397-08002B2CF9AE}" pid="6" name="Created using">
    <vt:lpwstr>LW 5.8.4, Build 20150407</vt:lpwstr>
  </property>
  <property fmtid="{D5CDD505-2E9C-101B-9397-08002B2CF9AE}" pid="7" name="Part">
    <vt:lpwstr>1</vt:lpwstr>
  </property>
  <property fmtid="{D5CDD505-2E9C-101B-9397-08002B2CF9AE}" pid="8" name="Total parts">
    <vt:lpwstr>1</vt:lpwstr>
  </property>
  <property fmtid="{D5CDD505-2E9C-101B-9397-08002B2CF9AE}" pid="9" name="LWTemplateID">
    <vt:lpwstr>SJ-019</vt:lpwstr>
  </property>
  <property fmtid="{D5CDD505-2E9C-101B-9397-08002B2CF9AE}" pid="10" name="DQCStatus">
    <vt:lpwstr>Yellow (DQC version 03)</vt:lpwstr>
  </property>
  <property name="OP_sanitized" fmtid="{D5CDD505-2E9C-101B-9397-08002B2CF9AE}" pid="11">
    <vt:lpwstr>True</vt:lpwstr>
  </property>
</Properties>
</file>