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5B0052DB-AE94-4076-AF8F-43EAEE19B769" style="width:455.35pt;height:383.35pt">
            <v:imagedata r:id="rId9" o:title=""/>
          </v:shape>
        </w:pict>
      </w:r>
    </w:p>
    <w:p>
      <w:pPr>
        <w:rPr>
          <w:noProof/>
        </w:rPr>
        <w:sectPr>
          <w:footerReference w:type="default" r:id="rId10"/>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BEGRUNDELSE</w:t>
      </w:r>
    </w:p>
    <w:p>
      <w:pPr>
        <w:pStyle w:val="ManualHeading1"/>
        <w:rPr>
          <w:rFonts w:eastAsia="Arial Unicode MS"/>
          <w:noProof/>
        </w:rPr>
      </w:pPr>
      <w:r>
        <w:t>1.</w:t>
      </w:r>
      <w:r>
        <w:tab/>
      </w:r>
      <w:r>
        <w:rPr>
          <w:noProof/>
        </w:rPr>
        <w:t>Forslagets genstand</w:t>
      </w:r>
    </w:p>
    <w:p>
      <w:pPr>
        <w:rPr>
          <w:rFonts w:eastAsia="Arial Unicode MS"/>
          <w:noProof/>
        </w:rPr>
      </w:pPr>
      <w:r>
        <w:rPr>
          <w:noProof/>
        </w:rPr>
        <w:t>Dette forslag vedrører en afgørelse om fastlæggelse af den holdning, der skal indtages på Unionens vegne i Det Internationale Sukkerråd ("ISC") i forbindelse med den afgørelse, der skal træffes med kvalificeret flertal i overensstemmelse med artikel 44, stk. 1, i den internationale sukkeroverenskomst ("ISA") om en henstilling til medlemmerne af Den Internationale Sukkerorganisation ("ISO") om at ændre ISA i overensstemmelse med resultatet af forhandlingerne om dens delvise revision, der blev indledt i juli 2019.</w:t>
      </w:r>
    </w:p>
    <w:p>
      <w:pPr>
        <w:pStyle w:val="ManualHeading1"/>
        <w:rPr>
          <w:noProof/>
        </w:rPr>
      </w:pPr>
      <w:r>
        <w:t>2.</w:t>
      </w:r>
      <w:r>
        <w:tab/>
      </w:r>
      <w:r>
        <w:rPr>
          <w:noProof/>
        </w:rPr>
        <w:t>Baggrund for forslaget</w:t>
      </w:r>
    </w:p>
    <w:p>
      <w:pPr>
        <w:pStyle w:val="ManualHeading2"/>
        <w:rPr>
          <w:noProof/>
        </w:rPr>
      </w:pPr>
      <w:r>
        <w:t>2.1.</w:t>
      </w:r>
      <w:r>
        <w:tab/>
      </w:r>
      <w:r>
        <w:rPr>
          <w:noProof/>
        </w:rPr>
        <w:t>Den internationale sukkeroverenskomst af 1992</w:t>
      </w:r>
    </w:p>
    <w:p>
      <w:pPr>
        <w:rPr>
          <w:rFonts w:eastAsia="Arial Unicode MS"/>
          <w:noProof/>
        </w:rPr>
      </w:pPr>
      <w:r>
        <w:rPr>
          <w:noProof/>
        </w:rPr>
        <w:t>Den internationale sukkeroverenskomst af 1992 ("ISA") har til formål at sikre et øget internationalt samarbejde om spørgsmål vedrørende sukker og dertil relaterede spørgsmål, at tilvejebringe et forum for mellemstatslige samråd om sukker og om mulighederne for at forbedre den globale sukkerøkonomi, at lette samhandelen ved at indsamle oplysninger om verdensmarkedet for sukker og andre sødemidler og stille disse til rådighed og at tilskynde til øget efterspørgsel efter sukker, navnlig til ikketraditionelle anvendelsesformål.</w:t>
      </w:r>
    </w:p>
    <w:p>
      <w:pPr>
        <w:rPr>
          <w:rFonts w:eastAsia="Arial Unicode MS"/>
          <w:noProof/>
        </w:rPr>
      </w:pPr>
      <w:r>
        <w:rPr>
          <w:noProof/>
        </w:rPr>
        <w:t>ISA trådte i kraft den 1. januar 1993.</w:t>
      </w:r>
    </w:p>
    <w:p>
      <w:pPr>
        <w:rPr>
          <w:rFonts w:eastAsia="Arial Unicode MS"/>
          <w:noProof/>
        </w:rPr>
      </w:pPr>
      <w:r>
        <w:rPr>
          <w:noProof/>
        </w:rPr>
        <w:t>Unionen er part i den internationale sukkeroverenskomst</w:t>
      </w:r>
      <w:r>
        <w:rPr>
          <w:rStyle w:val="FootnoteReference"/>
          <w:rFonts w:eastAsia="Arial Unicode MS"/>
          <w:noProof/>
        </w:rPr>
        <w:footnoteReference w:id="1"/>
      </w:r>
      <w:r>
        <w:rPr>
          <w:noProof/>
        </w:rPr>
        <w:t>. ISA blev indgået ved Rådets afgørelse 92/580/EØF og trådte i kraft den 1. januar 1993. Den blev indgået for en periode på tre år indtil den 31. december 1995, og siden da er den med regelmæssige mellemrum blevet forlænget med yderligere perioder på to år ad gangen som fastsat i artikel 45. ISA blev senest forlænget i juli 2019</w:t>
      </w:r>
      <w:r>
        <w:rPr>
          <w:rStyle w:val="FootnoteReference"/>
          <w:rFonts w:eastAsia="Arial Unicode MS"/>
          <w:noProof/>
        </w:rPr>
        <w:footnoteReference w:id="2"/>
      </w:r>
      <w:r>
        <w:rPr>
          <w:noProof/>
        </w:rPr>
        <w:t xml:space="preserve"> og er i kraft indtil den 31. december 2021. Kommissionen har udarbejdet et forslag til Rådets afgørelse om en yderligere forlængelse af ISA indtil december 2023. Vedtagelsesproceduren for dette forslag er i gang.</w:t>
      </w:r>
    </w:p>
    <w:p>
      <w:pPr>
        <w:rPr>
          <w:rFonts w:eastAsia="Arial Unicode MS"/>
          <w:noProof/>
        </w:rPr>
      </w:pPr>
      <w:r>
        <w:rPr>
          <w:noProof/>
        </w:rPr>
        <w:t>Det er i Unionens interesse at deltage i en international aftale om sukker i betragtning af denne sektors betydning for en række medlemsstater og for økonomien i Unionens sukkersektor.</w:t>
      </w:r>
    </w:p>
    <w:p>
      <w:pPr>
        <w:pStyle w:val="ManualHeading2"/>
        <w:rPr>
          <w:noProof/>
        </w:rPr>
      </w:pPr>
      <w:r>
        <w:t>2.2.</w:t>
      </w:r>
      <w:r>
        <w:tab/>
      </w:r>
      <w:r>
        <w:rPr>
          <w:noProof/>
        </w:rPr>
        <w:t>Det Internationale Sukkerråd</w:t>
      </w:r>
    </w:p>
    <w:p>
      <w:pPr>
        <w:rPr>
          <w:rFonts w:eastAsia="Arial Unicode MS"/>
          <w:noProof/>
        </w:rPr>
      </w:pPr>
      <w:r>
        <w:rPr>
          <w:noProof/>
        </w:rPr>
        <w:t>Det Internationale Sukkerråd ("ISC") er det organ, der er ansvarligt for udførelsen af alle de funktioner, der er nødvendige for ISA's gennemførelse. Det vedtager regler og forskrifter, herunder forretningsordenen for ISC og dets komitéer tillige med ISO's finansforordning og personalevedtægt. ISC fører de nødvendige optegnelser og offentliggør en årsberetning og andre oplysninger, hvis dette skønnes nødvendigt.</w:t>
      </w:r>
    </w:p>
    <w:p>
      <w:pPr>
        <w:rPr>
          <w:rFonts w:eastAsia="Arial Unicode MS"/>
          <w:noProof/>
        </w:rPr>
      </w:pPr>
      <w:r>
        <w:rPr>
          <w:noProof/>
        </w:rPr>
        <w:t>ISA's parter har i alt 2 000 stemmer. Hver part i ISA har et bestemt antal stemmer, som justeres årligt efter kriterier, der er fastsat på forhånd i ISA. Samtlige beslutninger, der træffes af Sukkerrådet, træffes i princippet ved konsensus, medmindre andet er fastsat i ISA. Hvis der ikke opnås konsensus, træffes beslutningerne ved simpelt flertal, medmindre der i ISA er fastsat bestemmelser om kvalificeret flertal.</w:t>
      </w:r>
    </w:p>
    <w:p>
      <w:pPr>
        <w:pStyle w:val="ManualHeading2"/>
        <w:rPr>
          <w:noProof/>
        </w:rPr>
      </w:pPr>
      <w:r>
        <w:t>2.3.</w:t>
      </w:r>
      <w:r>
        <w:tab/>
      </w:r>
      <w:r>
        <w:rPr>
          <w:noProof/>
        </w:rPr>
        <w:t>Den påtænkte retsakt, der skal vedtages af</w:t>
      </w:r>
      <w:r>
        <w:t xml:space="preserve"> </w:t>
      </w:r>
      <w:r>
        <w:rPr>
          <w:noProof/>
        </w:rPr>
        <w:t>Det Internationale Sukkerråd</w:t>
      </w:r>
    </w:p>
    <w:p>
      <w:pPr>
        <w:rPr>
          <w:rFonts w:eastAsia="Arial Unicode MS"/>
          <w:noProof/>
        </w:rPr>
      </w:pPr>
      <w:r>
        <w:rPr>
          <w:noProof/>
        </w:rPr>
        <w:t>I 2017 fik Kommissionen bemyndigelse fra Rådet</w:t>
      </w:r>
      <w:r>
        <w:rPr>
          <w:rStyle w:val="FootnoteReference"/>
          <w:rFonts w:eastAsia="Arial Unicode MS"/>
          <w:noProof/>
        </w:rPr>
        <w:footnoteReference w:id="3"/>
      </w:r>
      <w:r>
        <w:rPr>
          <w:noProof/>
        </w:rPr>
        <w:t xml:space="preserve"> til at indlede forhandlinger med de øvrige parter i ISA inden for rammerne af ISC med henblik på at modernisere ISA, navnlig med hensyn til uoverensstemmelserne mellem det antal stemmer og de finansielle bidrag, der gælder for medlemmerne af ISO, på den ene side og deres relative vægt på det globale sukkermarked på den anden side. Denne bemyndigelse blev forlænget i 2019 og gælder til 31. december 2021</w:t>
      </w:r>
      <w:r>
        <w:rPr>
          <w:rStyle w:val="FootnoteReference"/>
          <w:rFonts w:eastAsia="Arial Unicode MS"/>
          <w:noProof/>
        </w:rPr>
        <w:footnoteReference w:id="4"/>
      </w:r>
      <w:r>
        <w:rPr>
          <w:noProof/>
        </w:rPr>
        <w:t xml:space="preserve">. </w:t>
      </w:r>
    </w:p>
    <w:p>
      <w:pPr>
        <w:rPr>
          <w:rFonts w:eastAsia="Arial Unicode MS"/>
          <w:noProof/>
        </w:rPr>
      </w:pPr>
      <w:r>
        <w:rPr>
          <w:noProof/>
        </w:rPr>
        <w:t>ISC besluttede på sin 55. samling den 19. juli 2019 at indlede forhandlinger under ledelse af UNCTAD. Disse forhandlinger vedrørte en delvis revision af ISA med fokus på følgende tre områder: det administrative budget og medlemmernes bidrag i henhold til artikel 25; udvidelse af formål, studier, evalueringer og forskningsaktiviteter for at gøre det muligt at medtage andre sukkerrelaterede produkter (navnlig bioethanol) i anvendelsesområdet for artikel 1, 32, 33 og 34; og reglerne for udnævnelse af den administrerende direktør i henhold til artikel 23.</w:t>
      </w:r>
    </w:p>
    <w:p>
      <w:pPr>
        <w:pStyle w:val="Point0"/>
        <w:rPr>
          <w:noProof/>
        </w:rPr>
      </w:pPr>
      <w:r>
        <w:t>(a)</w:t>
      </w:r>
      <w:r>
        <w:tab/>
      </w:r>
      <w:r>
        <w:rPr>
          <w:noProof/>
        </w:rPr>
        <w:t>Det administrative budget og medlemmernes bidrag i henhold til artikel 25</w:t>
      </w:r>
    </w:p>
    <w:p>
      <w:pPr>
        <w:autoSpaceDE w:val="0"/>
        <w:autoSpaceDN w:val="0"/>
        <w:adjustRightInd w:val="0"/>
        <w:spacing w:before="0" w:after="0"/>
        <w:ind w:left="851"/>
        <w:rPr>
          <w:rFonts w:eastAsia="Arial Unicode MS"/>
          <w:noProof/>
        </w:rPr>
      </w:pPr>
      <w:r>
        <w:rPr>
          <w:noProof/>
        </w:rPr>
        <w:t>På grundlag af forhandlingsbemyndigelsen fra Rådet fremsatte Kommissionen konkrete forslag til ændring af artikel 25 i ISA, som regulerer vedtagelsen af det administrative budget og medlemmernes bidrag. Dette forslag blev foranlediget af, at Unionens andel af de finansielle bidrag i henhold til de nuværende regler om finansielle bidrag til ISO har været stort set den samme siden 1992, selv om det globale sukkermarked, og navnlig Unionens relative vægt på dette marked, har ændret sig betydeligt siden da. Som følge heraf har Unionen i de seneste år båret en uforholdsmæssigt stor del af de budgetmæssige omkostninger</w:t>
      </w:r>
      <w:r>
        <w:rPr>
          <w:rStyle w:val="FootnoteReference"/>
          <w:rFonts w:eastAsia="Arial Unicode MS"/>
          <w:noProof/>
        </w:rPr>
        <w:footnoteReference w:id="5"/>
      </w:r>
      <w:r>
        <w:rPr>
          <w:noProof/>
        </w:rPr>
        <w:t xml:space="preserve"> og af det ansvar i ISO, der følger med omkostningerne. For at rette op på situationen indledte Kommissionen forhandlinger om en revideret beregningsmetode og en mere effektiv justeringsmekanisme. Den foreslåede formel vægter ligeligt de relevante indikatorer: produktion, forbrug, eksport, import og evnen til at betale, og den tager hensyn til strukturelle ændringer over tid ved hjælp af en årlig justeringsmekanisme baseret på femårige glidende gennemsnit. For at kunne tilpasse den nuværende stemmefordeling til de faktiske forhold på verdensmarkedet for sukker i dag er der medtaget en overgangsmekanisme, som begrænser den årlige ændring i antallet af stemmer til 15 % de første fem år og 20 % den resterende del af overgangsperioden. Overgangsperioden må ikke overstige ti år. Kommissionen støttede på Unionens vegne og i overensstemmelse med den bevilgede forhandlingsbemyndigelse den ændring af artikel 25 i ISA, der blev opnået enighed om under forhandlingerne. </w:t>
      </w:r>
    </w:p>
    <w:p>
      <w:pPr>
        <w:pStyle w:val="Point0"/>
        <w:rPr>
          <w:noProof/>
        </w:rPr>
      </w:pPr>
      <w:r>
        <w:t>(b)</w:t>
      </w:r>
      <w:r>
        <w:tab/>
      </w:r>
      <w:r>
        <w:rPr>
          <w:noProof/>
        </w:rPr>
        <w:t>Udvidelse af formål, studier, evalueringer og forskningsaktiviteter for at gøre det muligt at medtage andre sukkerrelaterede produkter i anvendelsesområdet for artikel 1, 32, 33 og 34</w:t>
      </w:r>
    </w:p>
    <w:p>
      <w:pPr>
        <w:ind w:left="851"/>
        <w:rPr>
          <w:rFonts w:eastAsia="Arial Unicode MS"/>
          <w:noProof/>
        </w:rPr>
      </w:pPr>
      <w:r>
        <w:rPr>
          <w:noProof/>
        </w:rPr>
        <w:t>Under forhandlingerne om den delvise revision af ISA foreslog andre medlemmer af ISA ændringer vedrørende artikel 1 (formål), 32 (oplysningsvirksomhed og studier), 33 (markedsvurdering, forbrug og statistik) og 34 (forskning og udvikling). Disse ændringer omfatter:</w:t>
      </w:r>
    </w:p>
    <w:p>
      <w:pPr>
        <w:pStyle w:val="Point1"/>
        <w:rPr>
          <w:noProof/>
        </w:rPr>
      </w:pPr>
      <w:r>
        <w:t>(1)</w:t>
      </w:r>
      <w:r>
        <w:tab/>
      </w:r>
      <w:r>
        <w:rPr>
          <w:noProof/>
        </w:rPr>
        <w:t>medtagelse af bioethanol i de overordnede formål for ISA (artikel 1, kapitel I)</w:t>
      </w:r>
    </w:p>
    <w:p>
      <w:pPr>
        <w:pStyle w:val="Point1"/>
        <w:rPr>
          <w:noProof/>
        </w:rPr>
      </w:pPr>
      <w:r>
        <w:t>(2)</w:t>
      </w:r>
      <w:r>
        <w:tab/>
      </w:r>
      <w:r>
        <w:rPr>
          <w:noProof/>
        </w:rPr>
        <w:t xml:space="preserve">en bredere forståelse af "oplysningsvirksomhed og studier" (artikel 32, kapitel IX), "markedsvurdering, forbrug og statistik" (artikel 33, kapitel IX) og "forskning og udvikling" (artikel 34, kapitel X) for grundlæggende at tillade medtagelsen af andre sukkerrelaterede produkter (navnlig bioethanol) i sådanne aktiviteter. </w:t>
      </w:r>
    </w:p>
    <w:p>
      <w:pPr>
        <w:ind w:left="1418"/>
        <w:rPr>
          <w:rFonts w:eastAsia="Arial Unicode MS"/>
          <w:noProof/>
        </w:rPr>
      </w:pPr>
      <w:r>
        <w:rPr>
          <w:noProof/>
        </w:rPr>
        <w:t>Kommissionen støttede på EU's vegne og i overensstemmelse med den bevilgede forhandlingsbemyndigelse disse ændringer, da det overordnede formål med ISA, som beskrevet i artikel 1 i ISA, ikke vil blive ændret med medtagelsen af bioethanol.</w:t>
      </w:r>
    </w:p>
    <w:p>
      <w:pPr>
        <w:ind w:left="1418"/>
        <w:rPr>
          <w:rFonts w:eastAsia="Arial Unicode MS"/>
          <w:noProof/>
        </w:rPr>
      </w:pPr>
      <w:r>
        <w:rPr>
          <w:noProof/>
        </w:rPr>
        <w:t xml:space="preserve">Ændringerne i litra a) og b) ovenfor blev drøftet indgående, og ISC nåede til enighed om den endelige formulering på sin 57. samling i november 2020. </w:t>
      </w:r>
    </w:p>
    <w:p>
      <w:pPr>
        <w:pStyle w:val="Point0"/>
        <w:rPr>
          <w:noProof/>
        </w:rPr>
      </w:pPr>
      <w:r>
        <w:t>(c)</w:t>
      </w:r>
      <w:r>
        <w:tab/>
      </w:r>
      <w:r>
        <w:rPr>
          <w:noProof/>
        </w:rPr>
        <w:t>Reglerne for udnævnelse af den administrerende direktør i henhold til artikel 23</w:t>
      </w:r>
    </w:p>
    <w:p>
      <w:pPr>
        <w:ind w:left="851"/>
        <w:rPr>
          <w:rFonts w:eastAsia="Arial Unicode MS"/>
          <w:noProof/>
        </w:rPr>
      </w:pPr>
      <w:r>
        <w:rPr>
          <w:noProof/>
        </w:rPr>
        <w:t xml:space="preserve">I december 2020 foreslog Brasilien en ændring af artikel 23 i ISA vedrørende reglerne for udnævnelse af den administrerende direktør. Den største ændring, dette vil medføre, er en begrænsning af antallet af mandater, som en administrerende direktør kan varetage, til to. For nuværende siger hverken kapitel IV i ISA eller kapitel IX i de tilhørende administrative bestemmelser noget om nogen af disse aspekter. Selv om den blev forelagt efter den aftalte frist den 31. januar 2020, støttede EU medtagelsen af denne ændring i den nuværende delvise revision af ISA, da den har til formål at forbedre Den Internationale Sukkerorganisations aktiviteter og bidrager til det overordnede formål for moderniseringen af ISO. ISC nåede på sin 58. samling i juni 2021 til enighed om den endelige formulering af denne ændring samt dens medtagelse i den nuværende delvise revision af ISA. </w:t>
      </w:r>
    </w:p>
    <w:p>
      <w:pPr>
        <w:rPr>
          <w:rFonts w:eastAsia="Arial Unicode MS"/>
          <w:noProof/>
        </w:rPr>
      </w:pPr>
      <w:r>
        <w:rPr>
          <w:noProof/>
        </w:rPr>
        <w:t>Alle ovennævnte ændringer, som der blev opnået enighed om under forhandlingerne om den delvise revision af ISA, bør vedtages efter proceduren i artikel 44 i ISA for at få virkning: "</w:t>
      </w:r>
      <w:r>
        <w:rPr>
          <w:i/>
          <w:noProof/>
        </w:rPr>
        <w:t>Rådet kan med kvalificeret flertal rette henstilling til medlemmerne om en ændring af overenskomsten. Rådet kan fastsætte et tidspunkt, efter hvilket hvert medlem skal give depositaren meddelelse om sin accept af ændringen. Ændringen træder i kraft 100 dage efter, at depositaren har modtaget meddelelse om accept fra medlemmer, der råder over mindst to tredjedele af alle medlemmers samlede antal stemmer i henhold til artikel 11 og som fastlagt i artikel 25, eller på et senere tidspunkt, som Rådet måtte have fastsat med kvalificeret flertal. Rådet kan fastsætte en frist, inden for hvilken hvert medlem skal underrette depositaren om sin accept af ændringen, og såfremt denne ikke er trådt i kraft ved udløbet af nævnte frist, anses den for bortfaldet. Rådet giver depositaren de fornødne oplysninger til afgørelse af, om antallet af modtagne meddelelser om accept er tilstrækkeligt til at sætte ændringen i kraft.</w:t>
      </w:r>
      <w:r>
        <w:rPr>
          <w:noProof/>
        </w:rPr>
        <w:t xml:space="preserve">" </w:t>
      </w:r>
    </w:p>
    <w:p>
      <w:pPr>
        <w:rPr>
          <w:rFonts w:eastAsia="Arial Unicode MS"/>
          <w:noProof/>
        </w:rPr>
      </w:pPr>
      <w:r>
        <w:rPr>
          <w:noProof/>
        </w:rPr>
        <w:t xml:space="preserve">I henhold til ovennævnte artikel vil ISC på sin næste samling den 26. november 2021: </w:t>
      </w:r>
    </w:p>
    <w:p>
      <w:pPr>
        <w:pStyle w:val="Bullet1"/>
        <w:numPr>
          <w:ilvl w:val="0"/>
          <w:numId w:val="5"/>
        </w:numPr>
        <w:rPr>
          <w:noProof/>
        </w:rPr>
      </w:pPr>
      <w:r>
        <w:rPr>
          <w:noProof/>
        </w:rPr>
        <w:t>Henstille til medlemmerne at ændre ISA enten ved konsensus eller, hvis der ikke opnås konsensus, ved kvalificeret flertal.</w:t>
      </w:r>
    </w:p>
    <w:p>
      <w:pPr>
        <w:pStyle w:val="Bullet1"/>
        <w:rPr>
          <w:noProof/>
        </w:rPr>
      </w:pPr>
      <w:r>
        <w:rPr>
          <w:noProof/>
        </w:rPr>
        <w:t xml:space="preserve">Godkende tidsplanen for gennemførelsen af ændringen enten ved konsensus eller, hvis der ikke opnås konsensus, ved kvalificeret flertal. ISO's administrationskomité har foreslået en tidsplan for gennemførelsen af ændringsproceduren i henhold til artikel 44 og den efterfølgende ikrafttræden af de ændringer af artiklerne i ISA, der blev opnået enighed om under forhandlingerne om den delvise revision af ISA. Denne foreslåede tidsplan blev forelagt for ISC på dets 58. samling den 18. juni 2021. Ingen medlemmer gjorde indsigelse mod den foreslåede tidsplan for gennemførelsen på samlingen. </w:t>
      </w:r>
    </w:p>
    <w:p>
      <w:pPr>
        <w:ind w:left="360"/>
        <w:rPr>
          <w:rFonts w:eastAsia="Arial Unicode MS"/>
          <w:noProof/>
        </w:rPr>
      </w:pPr>
      <w:r>
        <w:rPr>
          <w:noProof/>
        </w:rPr>
        <w:t xml:space="preserve">De </w:t>
      </w:r>
      <w:r>
        <w:rPr>
          <w:b/>
          <w:noProof/>
        </w:rPr>
        <w:t>vigtigste milepæle</w:t>
      </w:r>
      <w:r>
        <w:rPr>
          <w:noProof/>
        </w:rPr>
        <w:t xml:space="preserve"> i den foreslåede tidsplan for gennemførelsen nævnt ovenfor er:</w:t>
      </w:r>
    </w:p>
    <w:p>
      <w:pPr>
        <w:pStyle w:val="Bullet1"/>
        <w:rPr>
          <w:noProof/>
        </w:rPr>
      </w:pPr>
      <w:r>
        <w:rPr>
          <w:noProof/>
        </w:rPr>
        <w:t xml:space="preserve">Medlemmerne skal give depositaren meddelelse om deres accept af ændringen senest den </w:t>
      </w:r>
      <w:r>
        <w:rPr>
          <w:b/>
          <w:noProof/>
        </w:rPr>
        <w:t xml:space="preserve">30. juni 2023. </w:t>
      </w:r>
      <w:r>
        <w:rPr>
          <w:noProof/>
        </w:rPr>
        <w:t xml:space="preserve">Denne frist foreslås for at give medlemmerne tilstrækkelig tid til at gennemføre alle de forfatningsmæssige procedurer, der er nødvendige for godkendelse af ændringen af ISA. </w:t>
      </w:r>
    </w:p>
    <w:p>
      <w:pPr>
        <w:pStyle w:val="Bullet1"/>
        <w:rPr>
          <w:noProof/>
        </w:rPr>
      </w:pPr>
      <w:r>
        <w:rPr>
          <w:noProof/>
        </w:rPr>
        <w:t xml:space="preserve">Hvis depositaren har modtaget meddelelse om accept fra medlemmer, der råder over mindst to tredjedele af det samlede antal stemmer, </w:t>
      </w:r>
      <w:r>
        <w:rPr>
          <w:b/>
          <w:noProof/>
        </w:rPr>
        <w:t>træder ændringerne i kraft den</w:t>
      </w:r>
      <w:r>
        <w:rPr>
          <w:noProof/>
        </w:rPr>
        <w:t xml:space="preserve"> </w:t>
      </w:r>
      <w:r>
        <w:rPr>
          <w:b/>
          <w:noProof/>
        </w:rPr>
        <w:t>31. oktober 2023</w:t>
      </w:r>
      <w:r>
        <w:rPr>
          <w:noProof/>
        </w:rPr>
        <w:t>. Dette er ca. 123 dage efter den dato, der er fastsat for modtagelse af meddelelsen om accept (dvs. den 30. juni 2023). Medlemmer, der ikke har sendt meddelelse om accept senest denne dato, vil ikke længere være part i ISA.</w:t>
      </w:r>
    </w:p>
    <w:p>
      <w:pPr>
        <w:pStyle w:val="Bullet1"/>
        <w:rPr>
          <w:b/>
          <w:noProof/>
        </w:rPr>
      </w:pPr>
      <w:r>
        <w:rPr>
          <w:noProof/>
        </w:rPr>
        <w:t>Hvis ovennævnte situation opstår, vil medlemmerne godkende den reviderede stemmefordeling i overensstemmelse med den nye beregningsformel i den ændrede artikel 25 i ISA og de finansielle bidrag for 2024</w:t>
      </w:r>
      <w:r>
        <w:rPr>
          <w:noProof/>
          <w:vertAlign w:val="superscript"/>
        </w:rPr>
        <w:t>5</w:t>
      </w:r>
      <w:r>
        <w:rPr>
          <w:noProof/>
        </w:rPr>
        <w:t xml:space="preserve"> på ISC's anden samling i 2023, som vil blive afholdt i </w:t>
      </w:r>
      <w:r>
        <w:rPr>
          <w:b/>
          <w:noProof/>
        </w:rPr>
        <w:t xml:space="preserve">den sidste uge af november eller den første uge af december 2023. </w:t>
      </w:r>
    </w:p>
    <w:p>
      <w:pPr>
        <w:pStyle w:val="Bullet1"/>
        <w:rPr>
          <w:b/>
          <w:noProof/>
        </w:rPr>
      </w:pPr>
      <w:r>
        <w:rPr>
          <w:b/>
          <w:noProof/>
        </w:rPr>
        <w:t xml:space="preserve">Den ændrede ISA træder i kraft med virkning fra 1. januar 2024. </w:t>
      </w:r>
      <w:r>
        <w:rPr>
          <w:noProof/>
        </w:rPr>
        <w:t>Denne dato falder sammen med udløbet af den seneste ISA-forlængelse, som dækker perioden 1. januar 2022-31.december 2023 (skal godkendes af ISC på dets samling den 26. november 2021</w:t>
      </w:r>
      <w:r>
        <w:rPr>
          <w:rStyle w:val="FootnoteReference"/>
          <w:noProof/>
        </w:rPr>
        <w:footnoteReference w:id="6"/>
      </w:r>
      <w:r>
        <w:rPr>
          <w:noProof/>
        </w:rPr>
        <w:t xml:space="preserve">). </w:t>
      </w:r>
    </w:p>
    <w:p>
      <w:pPr>
        <w:pStyle w:val="Bullet1"/>
        <w:rPr>
          <w:noProof/>
        </w:rPr>
      </w:pPr>
      <w:r>
        <w:rPr>
          <w:noProof/>
        </w:rPr>
        <w:t xml:space="preserve">Hvis depositaren har modtaget meddelelse om accept fra medlemmer, der råder over mindre end to tredjedele af det samlede antal stemmer senest den 31. oktober 2023, træder ændringen ikke i kraft, og overenskomsten af 1992 forbliver uændret. </w:t>
      </w:r>
    </w:p>
    <w:p>
      <w:pPr>
        <w:rPr>
          <w:rFonts w:eastAsia="Arial Unicode MS"/>
          <w:noProof/>
        </w:rPr>
      </w:pPr>
      <w:r>
        <w:rPr>
          <w:noProof/>
        </w:rPr>
        <w:t>Ovennævnte tidsplan er i overensstemmelse med bestemmelserne i artikel 44 i ISA.</w:t>
      </w:r>
    </w:p>
    <w:p>
      <w:pPr>
        <w:pStyle w:val="ManualHeading1"/>
        <w:rPr>
          <w:rFonts w:eastAsia="Arial Unicode MS"/>
          <w:noProof/>
        </w:rPr>
      </w:pPr>
      <w:r>
        <w:t>3.</w:t>
      </w:r>
      <w:r>
        <w:tab/>
      </w:r>
      <w:r>
        <w:rPr>
          <w:noProof/>
        </w:rPr>
        <w:t>Den holdning, der skal indtages på Unionens vegne</w:t>
      </w:r>
    </w:p>
    <w:p>
      <w:pPr>
        <w:rPr>
          <w:noProof/>
        </w:rPr>
      </w:pPr>
      <w:r>
        <w:rPr>
          <w:noProof/>
        </w:rPr>
        <w:t>Formålet med denne afgørelse er at indhente Rådets bemyndigelse til, at Kommissionen på Unionens vegne på ISC's 59. samling, der afholdes den 26. november 2021, stemmer for at rette henstilling til medlemmerne af ISO om at ændre ISA i overensstemmelse med resultatet af forhandlingerne om dens delvise revision. Udkastet til den ændrede ISA indeholder de ændringer vedrørende artikel 1, 25, 23, 32, 33 og 34, der blev opnået enighed om under forhandlingerne om den delvise revision af ISA (nærmere oplysninger findes i punkt 2.3, litra a), b) og c), ovenfor).</w:t>
      </w:r>
    </w:p>
    <w:p>
      <w:pPr>
        <w:rPr>
          <w:noProof/>
        </w:rPr>
      </w:pPr>
      <w:r>
        <w:rPr>
          <w:noProof/>
        </w:rPr>
        <w:t xml:space="preserve">Det er helt klart i EU's interesse, at der gennemføres en reform af ISO for at tilpasse praksis i denne organisation til de former for praksis, som EU fremmer i andre internationale råvareorganer, og til den udvikling, der er sket på det globale sukkermarked siden 1992. Denne reform vil føre til gennemsigtighed vedrørende medlemmernes ansvar i forbindelse med afstemninger samt deres finansielle bidrag. Fastlæggelsen af klare regler for udnævnelsen af den administrerende direktør og begrænsningen af antallet af mandater, som han eller hun kan varetage, er i overensstemmelse med Unionens mål om at modernisere ISA, mens den formelle medtagelse af ethanol i ISO's formål og arbejdsprogram bringer dens indhold i overensstemmelse med gældende praksis.  </w:t>
      </w:r>
    </w:p>
    <w:p>
      <w:r>
        <w:rPr>
          <w:noProof/>
        </w:rPr>
        <w:t xml:space="preserve">Derudover er formålet med denne afgørelse at indhente Rådets bemyndigelse til, at Kommissionen på Unionens vegne på ISC's 59. samling, som afholdes den 26. november 2021, kan stemme for en tidsplan for gennemførelse, som sikrer, at de forskellige milepæle i forbindelse med ændringen af ISA gøres tydelige, og at ændringen senest træder i kraft den 1. januar 2024. </w:t>
      </w:r>
    </w:p>
    <w:p>
      <w:pPr>
        <w:pStyle w:val="ManualHeading1"/>
        <w:rPr>
          <w:noProof/>
        </w:rPr>
      </w:pPr>
      <w:r>
        <w:t>4.</w:t>
      </w:r>
      <w:r>
        <w:tab/>
      </w:r>
      <w:r>
        <w:rPr>
          <w:noProof/>
        </w:rPr>
        <w:t>Retsgrundlag</w:t>
      </w:r>
    </w:p>
    <w:p>
      <w:pPr>
        <w:pStyle w:val="ManualHeading2"/>
        <w:rPr>
          <w:noProof/>
        </w:rPr>
      </w:pPr>
      <w:r>
        <w:t>4.1.</w:t>
      </w:r>
      <w:r>
        <w:tab/>
      </w:r>
      <w:r>
        <w:rPr>
          <w:noProof/>
        </w:rPr>
        <w:t>Proceduremæssigt retsgrundlag</w:t>
      </w:r>
    </w:p>
    <w:p>
      <w:pPr>
        <w:pStyle w:val="ManualHeading3"/>
        <w:rPr>
          <w:noProof/>
        </w:rPr>
      </w:pPr>
      <w:r>
        <w:t>4.1.1.</w:t>
      </w:r>
      <w:r>
        <w:tab/>
      </w:r>
      <w:r>
        <w:rPr>
          <w:noProof/>
        </w:rPr>
        <w:t>Principper</w:t>
      </w:r>
    </w:p>
    <w:p>
      <w:pPr>
        <w:rPr>
          <w:noProof/>
        </w:rPr>
      </w:pPr>
      <w:r>
        <w:rPr>
          <w:noProof/>
        </w:rPr>
        <w:t>I henhold til artikel 218, stk. 9, i traktaten om Den Europæiske Unions funktionsmåde (TEUF) vedtager Rådet afgørelser om "</w:t>
      </w:r>
      <w:r>
        <w:rPr>
          <w:i/>
          <w:noProof/>
        </w:rPr>
        <w:t>fastlæggelse af, hvilke holdninger der skal indtages på Unionens vegne i et organ nedsat ved en aftale, når dette organ skal vedtage retsakter, der har retsvirkninger, bortset fra retsakter, der supplerer eller ændrer den institutionelle ramme for aftalen</w:t>
      </w:r>
      <w:r>
        <w:rPr>
          <w:noProof/>
        </w:rPr>
        <w:t>".</w:t>
      </w:r>
    </w:p>
    <w:p>
      <w:pPr>
        <w:rPr>
          <w:noProof/>
        </w:rPr>
      </w:pPr>
      <w:r>
        <w:rPr>
          <w:noProof/>
        </w:rPr>
        <w:t>Begrebet "</w:t>
      </w:r>
      <w:r>
        <w:rPr>
          <w:i/>
          <w:noProof/>
        </w:rPr>
        <w:t>retsakter, der har retsvirkninger</w:t>
      </w:r>
      <w:r>
        <w:rPr>
          <w:noProof/>
        </w:rPr>
        <w:t>" omfatter retsakter, der har retsvirkninger i medfør af de folkeretlige regler, der gælder for det pågældende organ. Det omfatter også instrumenter, der ikke har bindende virkning i henhold til folkeretten, men som "</w:t>
      </w:r>
      <w:r>
        <w:rPr>
          <w:i/>
          <w:noProof/>
        </w:rPr>
        <w:t>vil kunne få afgørende indflydelse på indholdet af de regler, der vedtages af EU-lovgiver</w:t>
      </w:r>
      <w:r>
        <w:rPr>
          <w:noProof/>
        </w:rPr>
        <w:t>"</w:t>
      </w:r>
      <w:r>
        <w:rPr>
          <w:rStyle w:val="FootnoteReference"/>
          <w:noProof/>
        </w:rPr>
        <w:footnoteReference w:id="7"/>
      </w:r>
      <w:r>
        <w:rPr>
          <w:noProof/>
        </w:rPr>
        <w:t>.</w:t>
      </w:r>
    </w:p>
    <w:p>
      <w:pPr>
        <w:pStyle w:val="ManualHeading3"/>
        <w:rPr>
          <w:noProof/>
        </w:rPr>
      </w:pPr>
      <w:r>
        <w:t>4.1.2.</w:t>
      </w:r>
      <w:r>
        <w:tab/>
      </w:r>
      <w:r>
        <w:rPr>
          <w:noProof/>
        </w:rPr>
        <w:t>Princippernes anvendelse på det foreliggende tilfælde</w:t>
      </w:r>
    </w:p>
    <w:p>
      <w:pPr>
        <w:rPr>
          <w:noProof/>
        </w:rPr>
      </w:pPr>
      <w:r>
        <w:rPr>
          <w:noProof/>
        </w:rPr>
        <w:t xml:space="preserve">Det Internationale Sukkerråds påtænkte retsakt vil ændre ISA, der er en internationalt bindende aftale for Unionen. Den påtænkte retsakt har derfor retsvirkning. </w:t>
      </w:r>
    </w:p>
    <w:p>
      <w:pPr>
        <w:rPr>
          <w:noProof/>
        </w:rPr>
      </w:pPr>
      <w:r>
        <w:rPr>
          <w:noProof/>
        </w:rPr>
        <w:t>Den påtænkte retsakt supplerer eller ændrer ikke den institutionelle ramme for ISA.</w:t>
      </w:r>
    </w:p>
    <w:p>
      <w:pPr>
        <w:rPr>
          <w:noProof/>
        </w:rPr>
      </w:pPr>
      <w:r>
        <w:rPr>
          <w:noProof/>
        </w:rPr>
        <w:t>Det proceduremæssige retsgrundlag for den foreslåede afgørelse er derfor artikel 218, stk. 9, i TEUF.</w:t>
      </w:r>
    </w:p>
    <w:p>
      <w:pPr>
        <w:pStyle w:val="ManualHeading2"/>
        <w:rPr>
          <w:noProof/>
        </w:rPr>
      </w:pPr>
      <w:r>
        <w:t>4.2.</w:t>
      </w:r>
      <w:r>
        <w:tab/>
      </w:r>
      <w:r>
        <w:rPr>
          <w:noProof/>
        </w:rPr>
        <w:t>Materielt retsgrundlag</w:t>
      </w:r>
    </w:p>
    <w:p>
      <w:pPr>
        <w:pStyle w:val="ManualHeading3"/>
        <w:rPr>
          <w:noProof/>
        </w:rPr>
      </w:pPr>
      <w:r>
        <w:t>4.2.1.</w:t>
      </w:r>
      <w:r>
        <w:tab/>
      </w:r>
      <w:r>
        <w:rPr>
          <w:noProof/>
        </w:rPr>
        <w:t>Principper</w:t>
      </w:r>
    </w:p>
    <w:p>
      <w:pPr>
        <w:rPr>
          <w:noProof/>
        </w:rPr>
      </w:pPr>
      <w:r>
        <w:rPr>
          <w:noProof/>
        </w:rPr>
        <w:t>Det materielle retsgrundlag for en afgørelse i henhold til artikel 218, stk. 9, i TEUF afhænger hovedsagelig af formålet med og indholdet af den påtænkte retsakt, hvortil der skal indtages en holdning på Unionens vegne. Hvis den påtænkte retsakt har et dobbelt formål eller består af to elementer, og det ene af disse formål eller elementer kan bestemmes som det primære, mens det andet kun er sekundært, skal den afgørelse, der vedtages i henhold til artikel 218, stk. 9, i TEUF, have et enkelt materielt retsgrundlag, nemlig det, der kræves af det primære eller fremherskende formål eller element.</w:t>
      </w:r>
    </w:p>
    <w:p>
      <w:pPr>
        <w:pStyle w:val="ManualHeading3"/>
        <w:rPr>
          <w:noProof/>
        </w:rPr>
      </w:pPr>
      <w:r>
        <w:t>4.2.2.</w:t>
      </w:r>
      <w:r>
        <w:tab/>
      </w:r>
      <w:r>
        <w:rPr>
          <w:noProof/>
        </w:rPr>
        <w:t>Princippernes anvendelse på det foreliggende tilfælde</w:t>
      </w:r>
    </w:p>
    <w:p>
      <w:pPr>
        <w:rPr>
          <w:noProof/>
        </w:rPr>
      </w:pPr>
      <w:r>
        <w:rPr>
          <w:noProof/>
        </w:rPr>
        <w:t xml:space="preserve">Det primære formål med og indhold af den påtænkte retsakt vedrører den fælles handelspolitik (handel med landbrugsprodukter). </w:t>
      </w:r>
    </w:p>
    <w:p>
      <w:pPr>
        <w:rPr>
          <w:noProof/>
        </w:rPr>
      </w:pPr>
      <w:r>
        <w:rPr>
          <w:noProof/>
        </w:rPr>
        <w:t>Det materielle retsgrundlag for den foreslåede afgørelse er derfor artikel 207 i TEUF.</w:t>
      </w:r>
    </w:p>
    <w:p>
      <w:pPr>
        <w:pStyle w:val="ManualHeading2"/>
        <w:rPr>
          <w:noProof/>
        </w:rPr>
      </w:pPr>
      <w:r>
        <w:t>4.3.</w:t>
      </w:r>
      <w:r>
        <w:tab/>
      </w:r>
      <w:r>
        <w:rPr>
          <w:noProof/>
        </w:rPr>
        <w:t>Konklusion</w:t>
      </w:r>
    </w:p>
    <w:p>
      <w:pPr>
        <w:rPr>
          <w:noProof/>
        </w:rPr>
      </w:pPr>
      <w:r>
        <w:rPr>
          <w:noProof/>
        </w:rPr>
        <w:t>Retsgrundlaget for den foreslåede afgørelse bør være artikel 207 i TEUF sammenholdt med artikel 218, stk. 9, i TEUF.</w:t>
      </w:r>
    </w:p>
    <w:p>
      <w:pPr>
        <w:pStyle w:val="ManualHeading1"/>
        <w:rPr>
          <w:noProof/>
        </w:rPr>
      </w:pPr>
      <w:r>
        <w:t>5.</w:t>
      </w:r>
      <w:r>
        <w:tab/>
      </w:r>
      <w:r>
        <w:rPr>
          <w:noProof/>
        </w:rPr>
        <w:t>Offentliggørelse af den påtænkte retsakt</w:t>
      </w:r>
    </w:p>
    <w:p>
      <w:pPr>
        <w:rPr>
          <w:noProof/>
        </w:rPr>
      </w:pPr>
      <w:r>
        <w:rPr>
          <w:noProof/>
        </w:rPr>
        <w:t xml:space="preserve">Da den retsakt, der skal vedtages af Det Internationale Sukkerråd, ændrer ISA, bør den offentliggøres i </w:t>
      </w:r>
      <w:r>
        <w:rPr>
          <w:i/>
          <w:noProof/>
        </w:rPr>
        <w:t>Den Europæiske Unions Tidende</w:t>
      </w:r>
      <w:r>
        <w:rPr>
          <w:noProof/>
        </w:rPr>
        <w:t xml:space="preserve"> efter vedtagelsen.</w:t>
      </w:r>
    </w:p>
    <w:p>
      <w:pPr>
        <w:rPr>
          <w:noProof/>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t>2021/0286 (NLE)</w:t>
      </w:r>
    </w:p>
    <w:p>
      <w:pPr>
        <w:pStyle w:val="Statut"/>
        <w:rPr>
          <w:noProof/>
        </w:rPr>
      </w:pPr>
      <w:r>
        <w:rPr>
          <w:noProof/>
        </w:rPr>
        <w:t>Forslag til</w:t>
      </w:r>
    </w:p>
    <w:p>
      <w:pPr>
        <w:pStyle w:val="Typedudocument"/>
        <w:rPr>
          <w:noProof/>
        </w:rPr>
      </w:pPr>
      <w:r>
        <w:rPr>
          <w:noProof/>
        </w:rPr>
        <w:t>RÅDETS AFGØRELSE</w:t>
      </w:r>
    </w:p>
    <w:p>
      <w:pPr>
        <w:pStyle w:val="Titreobjet"/>
        <w:rPr>
          <w:noProof/>
        </w:rPr>
      </w:pPr>
      <w:r>
        <w:rPr>
          <w:noProof/>
        </w:rPr>
        <w:t>om den holdning, der skal indtages på Den Europæiske Unions vegne i Det Internationale Sukkerråd for så vidt angår ændring af den internationale sukkeroverenskomst af 1992</w:t>
      </w:r>
    </w:p>
    <w:p>
      <w:pPr>
        <w:pStyle w:val="Institutionquiagit"/>
        <w:rPr>
          <w:noProof/>
        </w:rPr>
      </w:pPr>
      <w:r>
        <w:rPr>
          <w:noProof/>
        </w:rPr>
        <w:t>RÅDET FOR DEN EUROPÆISKE UNION HAR —</w:t>
      </w:r>
    </w:p>
    <w:p>
      <w:pPr>
        <w:rPr>
          <w:noProof/>
        </w:rPr>
      </w:pPr>
      <w:r>
        <w:rPr>
          <w:noProof/>
        </w:rPr>
        <w:t>under henvisning til traktaten om Den Europæiske Unions funktionsmåde, særlig artikel 207 sammenholdt med artikel 218, stk. 9,</w:t>
      </w:r>
    </w:p>
    <w:p>
      <w:pPr>
        <w:rPr>
          <w:noProof/>
        </w:rPr>
      </w:pPr>
      <w:r>
        <w:rPr>
          <w:noProof/>
        </w:rPr>
        <w:t>under henvisning til forslag fra Europa-Kommissionen, og</w:t>
      </w:r>
    </w:p>
    <w:p>
      <w:pPr>
        <w:rPr>
          <w:noProof/>
        </w:rPr>
      </w:pPr>
      <w:r>
        <w:rPr>
          <w:noProof/>
        </w:rPr>
        <w:t>ud fra følgende betragtninger:</w:t>
      </w:r>
    </w:p>
    <w:p>
      <w:pPr>
        <w:pStyle w:val="ManualConsidrant"/>
        <w:rPr>
          <w:noProof/>
        </w:rPr>
      </w:pPr>
      <w:r>
        <w:t>(1)</w:t>
      </w:r>
      <w:r>
        <w:tab/>
      </w:r>
      <w:r>
        <w:rPr>
          <w:noProof/>
        </w:rPr>
        <w:t>Unionen er part i den internationale sukkeroverenskomst af 1992 ("ISA"), som blev indgået af Unionen ved Rådets afgørelse 92/580/EØF</w:t>
      </w:r>
      <w:r>
        <w:rPr>
          <w:rStyle w:val="FootnoteReference"/>
          <w:noProof/>
        </w:rPr>
        <w:footnoteReference w:customMarkFollows="1" w:id="8"/>
        <w:t>1</w:t>
      </w:r>
      <w:r>
        <w:rPr>
          <w:noProof/>
        </w:rPr>
        <w:t>, og er medlem af Den Internationale Sukkerorganisation ("ISO").</w:t>
      </w:r>
    </w:p>
    <w:p>
      <w:pPr>
        <w:pStyle w:val="ManualConsidrant"/>
        <w:rPr>
          <w:noProof/>
        </w:rPr>
      </w:pPr>
      <w:r>
        <w:t>(2)</w:t>
      </w:r>
      <w:r>
        <w:tab/>
      </w:r>
      <w:r>
        <w:rPr>
          <w:noProof/>
        </w:rPr>
        <w:t xml:space="preserve">I henhold til artikel 8 i ISA varetager eller drager Det Internationale Sukkerråd omsorg for udførelsen af alle sådanne funktioner, som er nødvendige til gennemførelse af bestemmelserne i ISA. I henhold til artikel 13 i ISA vedtages alle Det Internationale Sukkerråds beslutninger i princippet enstemmigt. Hvis der ikke er enighed, vedtages beslutningerne med simpelt flertal, medmindre der i ISA er fastsat bestemmelser om kvalificeret flertal. </w:t>
      </w:r>
    </w:p>
    <w:p>
      <w:pPr>
        <w:pStyle w:val="ManualConsidrant"/>
        <w:rPr>
          <w:noProof/>
        </w:rPr>
      </w:pPr>
      <w:r>
        <w:t>(3)</w:t>
      </w:r>
      <w:r>
        <w:tab/>
      </w:r>
      <w:r>
        <w:rPr>
          <w:noProof/>
        </w:rPr>
        <w:t>I henhold til artikel 25 i ISA har ISO's medlemmer i alt 2 000 stemmer. Hvert medlem af ISO har et bestemt antal stemmer, som justeres årligt i overensstemmelse med de kriterier, der er fastsat i nævnte artikel.</w:t>
      </w:r>
    </w:p>
    <w:p>
      <w:pPr>
        <w:pStyle w:val="ManualConsidrant"/>
        <w:rPr>
          <w:noProof/>
        </w:rPr>
      </w:pPr>
      <w:r>
        <w:t>(4)</w:t>
      </w:r>
      <w:r>
        <w:tab/>
      </w:r>
      <w:r>
        <w:rPr>
          <w:noProof/>
        </w:rPr>
        <w:t>Imidlertid afspejler fordelingen af stemmer blandt medlemmerne af ISO, der også er afgørende for medlemmernes finansielle bidrag til ISO, ikke længere de faktiske forhold på det globale sukkermarked.</w:t>
      </w:r>
    </w:p>
    <w:p>
      <w:pPr>
        <w:pStyle w:val="ManualConsidrant"/>
        <w:rPr>
          <w:noProof/>
        </w:rPr>
      </w:pPr>
      <w:r>
        <w:t>(5)</w:t>
      </w:r>
      <w:r>
        <w:tab/>
      </w:r>
      <w:r>
        <w:rPr>
          <w:noProof/>
        </w:rPr>
        <w:t xml:space="preserve">I henhold til reglerne i ISA om de finansielle bidrag til ISO har Unionens andel siden 1992 været den samme, selv om det globale sukkermarked, og navnlig Unionens relative vægt på dette marked, har ændret sig betydeligt siden da. Som følge heraf har Unionen i de seneste år båret en uforholdsmæssigt stor del af de budgetmæssige omkostninger og af det ansvar i ISO, der følger med omkostningerne. </w:t>
      </w:r>
    </w:p>
    <w:p>
      <w:pPr>
        <w:pStyle w:val="ManualConsidrant"/>
        <w:rPr>
          <w:noProof/>
        </w:rPr>
      </w:pPr>
      <w:r>
        <w:t>(6)</w:t>
      </w:r>
      <w:r>
        <w:tab/>
      </w:r>
      <w:r>
        <w:rPr>
          <w:noProof/>
        </w:rPr>
        <w:t>Ved Rådets afgørelse (EU) 2017/2242</w:t>
      </w:r>
      <w:r>
        <w:rPr>
          <w:rStyle w:val="FootnoteReference"/>
          <w:noProof/>
        </w:rPr>
        <w:footnoteReference w:customMarkFollows="1" w:id="9"/>
        <w:t>2</w:t>
      </w:r>
      <w:r>
        <w:rPr>
          <w:noProof/>
        </w:rPr>
        <w:t xml:space="preserve"> fik Kommissionen bemyndigelse fra Rådet til at indlede forhandlinger med de andre parter i ISA i Det Internationale Sukkerråd med henblik på at modernisere ISA, navnlig med hensyn til uoverensstemmelserne mellem det antal stemmer og de finansielle bidrag, der gælder for medlemmerne af ISO, på den ene side og deres relative vægt på det globale sukkermarked på den anden side. Bemyndigelsen blev ved Rådets afgørelse (EU) 2019/2136</w:t>
      </w:r>
      <w:r>
        <w:rPr>
          <w:rStyle w:val="FootnoteReference"/>
          <w:noProof/>
        </w:rPr>
        <w:footnoteReference w:customMarkFollows="1" w:id="10"/>
        <w:t>3</w:t>
      </w:r>
      <w:r>
        <w:rPr>
          <w:noProof/>
        </w:rPr>
        <w:t xml:space="preserve"> forlænget indtil den 31. december 2021.</w:t>
      </w:r>
    </w:p>
    <w:p>
      <w:pPr>
        <w:pStyle w:val="ManualConsidrant"/>
        <w:rPr>
          <w:noProof/>
        </w:rPr>
      </w:pPr>
      <w:r>
        <w:t>(7)</w:t>
      </w:r>
      <w:r>
        <w:tab/>
      </w:r>
      <w:r>
        <w:rPr>
          <w:noProof/>
        </w:rPr>
        <w:t xml:space="preserve">Kommissionen indledte på grundlag af den bemyndigelse, som den modtog, forhandlinger med medlemslandene i ISO og fremsatte konkrete forslag om ændring af artikel 25 i ISA, som indeholder bestemmelser om vedtagelsen af det administrative budget og medlemmernes bidrag. Det Internationale Sukkerråd besluttede på sin 55. samling den 19. juli 2019 at indlede forhandlinger om en delvis revision af ISA inden sit næste møde i november 2019 under ledelse af De Forenede Nationers Konference for Handel og Udvikling (UNCTAD). </w:t>
      </w:r>
    </w:p>
    <w:p>
      <w:pPr>
        <w:pStyle w:val="ManualConsidrant"/>
        <w:rPr>
          <w:noProof/>
        </w:rPr>
      </w:pPr>
      <w:r>
        <w:t>(8)</w:t>
      </w:r>
      <w:r>
        <w:tab/>
      </w:r>
      <w:r>
        <w:rPr>
          <w:noProof/>
        </w:rPr>
        <w:t>Efter anmodning fra flere ISO-medlemmer besluttede Det Internationale Sukkerråd, at der ud over revisionen af artikel 25 i ISA, som Unionen har foreslået, også er andre områder af ISA, der skal gøres til genstand for formelle forhandlinger, navnlig formålene i artikel 1 i ISA og arbejdsprioriteterne for ISO i artikel 32, 33 og 34 i ISA samt reglerne for udnævnelse af den administrerende direktør i artikel 23 i ISA. Det Internationale Sukkerråd nåede til enighed om den endelige formulering af ændringerne vedrørende disse artikler på sin 57. samling i november 2020 og 58. samling i juni 2021.</w:t>
      </w:r>
    </w:p>
    <w:p>
      <w:pPr>
        <w:pStyle w:val="ManualConsidrant"/>
        <w:rPr>
          <w:noProof/>
        </w:rPr>
      </w:pPr>
      <w:r>
        <w:t>(9)</w:t>
      </w:r>
      <w:r>
        <w:tab/>
      </w:r>
      <w:r>
        <w:rPr>
          <w:noProof/>
        </w:rPr>
        <w:t xml:space="preserve">Alle de ændringer, som der er opnået enighed om i disse forhandlinger, skal vedtages efter den procedure, der er fastlagt i artikel 44 i ISA. I medfør af nævnte artikel kan Det Internationale Sukkerråd med kvalificeret flertal beslutte at rette henstilling til ISO's medlemmer om en ændring af ISA. Unionen kan som medlem af Det Internationale Sukkerråd i overensstemmelse med artikel 7 i ISA deltage i afstemningen om den afgørelse, der skal træffes med kvalificeret flertal med henblik på at igangsætte proceduren for ændring af den institutionelle ramme for ISA. </w:t>
      </w:r>
    </w:p>
    <w:p>
      <w:pPr>
        <w:pStyle w:val="ManualConsidrant"/>
        <w:rPr>
          <w:noProof/>
        </w:rPr>
      </w:pPr>
      <w:r>
        <w:t>(10)</w:t>
      </w:r>
      <w:r>
        <w:tab/>
      </w:r>
      <w:r>
        <w:rPr>
          <w:noProof/>
        </w:rPr>
        <w:t>Ifølge tidsplanen for gennemførelsen af den delvise revision af ISA vil afstemningen om den afgørelse om ændring af ISA, der skal træffes med kvalificeret flertal i henhold til artikel 44 i ISA, blive afholdt på Det Internationale Sukkerråds 59. samling i november 2021.</w:t>
      </w:r>
    </w:p>
    <w:p>
      <w:pPr>
        <w:pStyle w:val="ManualConsidrant"/>
        <w:rPr>
          <w:noProof/>
        </w:rPr>
      </w:pPr>
      <w:r>
        <w:t>(11)</w:t>
      </w:r>
      <w:r>
        <w:tab/>
      </w:r>
      <w:r>
        <w:rPr>
          <w:noProof/>
        </w:rPr>
        <w:t>Den holdning, der skal indtages på Unionens vegne på den 59. samling i Det Internationale Sukkerråd, bør derfor fastlægges, da ændringen af ISA for at afspejle resultatet af forhandlingerne om dens delvise revision er i Unionens interesse.</w:t>
      </w:r>
    </w:p>
    <w:p>
      <w:pPr>
        <w:pStyle w:val="ManualConsidrant"/>
        <w:rPr>
          <w:noProof/>
        </w:rPr>
      </w:pPr>
      <w:r>
        <w:t>(12)</w:t>
      </w:r>
      <w:r>
        <w:tab/>
      </w:r>
      <w:r>
        <w:rPr>
          <w:noProof/>
        </w:rPr>
        <w:t>Derudover bør den holdning, der skal indtages på Unionens vegne på den 59. samling i Det Internationale Sukkerråd om tidsplanen for gennemførelsen af ovennævnte ændring af ISA fastlægges, da gennemførelsen af ændringen senest den 1. januar 2024 er i Unionens interesse —</w:t>
      </w:r>
    </w:p>
    <w:p>
      <w:pPr>
        <w:pStyle w:val="Formuledadoption"/>
        <w:rPr>
          <w:noProof/>
        </w:rPr>
      </w:pPr>
      <w:r>
        <w:rPr>
          <w:noProof/>
        </w:rPr>
        <w:t>VEDTAGET DENNE AFGØRELSE:</w:t>
      </w:r>
    </w:p>
    <w:p>
      <w:pPr>
        <w:pStyle w:val="Titrearticle"/>
        <w:rPr>
          <w:noProof/>
        </w:rPr>
      </w:pPr>
      <w:r>
        <w:rPr>
          <w:noProof/>
        </w:rPr>
        <w:t>Artikel 1</w:t>
      </w:r>
    </w:p>
    <w:p>
      <w:pPr>
        <w:rPr>
          <w:noProof/>
        </w:rPr>
      </w:pPr>
      <w:r>
        <w:rPr>
          <w:noProof/>
        </w:rPr>
        <w:t xml:space="preserve">Den holdning, der skal indtages på Unionens vegne ved afstemningen om den afgørelse, der skal træffes med kvalificeret flertal på Det Internationale Sukkerråds 59. samling den 26. november 2021 i henhold til artikel 44 i den internationale sukkeroverenskomst af 1992, er anført i bilaget til denne afgørelse.  </w:t>
      </w:r>
    </w:p>
    <w:p>
      <w:pPr>
        <w:pStyle w:val="Titrearticle"/>
        <w:rPr>
          <w:noProof/>
        </w:rPr>
      </w:pPr>
      <w:r>
        <w:rPr>
          <w:noProof/>
        </w:rPr>
        <w:t>Artikel 2</w:t>
      </w:r>
    </w:p>
    <w:p>
      <w:pPr>
        <w:keepNext/>
        <w:keepLines/>
        <w:rPr>
          <w:noProof/>
        </w:rPr>
      </w:pPr>
      <w:r>
        <w:rPr>
          <w:noProof/>
        </w:rPr>
        <w:t>Denne afgørelse er rettet til Kommissionen.</w:t>
      </w:r>
    </w:p>
    <w:p>
      <w:pPr>
        <w:pStyle w:val="Fait"/>
        <w:rPr>
          <w:noProof/>
        </w:rPr>
      </w:pPr>
      <w:r>
        <w:t xml:space="preserve">Udfærdiget i Bruxelles, den </w:t>
      </w:r>
      <w:r>
        <w:rPr>
          <w:rStyle w:val="Marker"/>
        </w:rPr>
        <w:t>[…]</w:t>
      </w:r>
      <w:r>
        <w:t>.</w:t>
      </w:r>
    </w:p>
    <w:p>
      <w:pPr>
        <w:pStyle w:val="Institutionquisigne"/>
        <w:rPr>
          <w:noProof/>
        </w:rPr>
      </w:pPr>
      <w:r>
        <w:rPr>
          <w:noProof/>
        </w:rPr>
        <w:tab/>
        <w:t>På Rådets vegne</w:t>
      </w:r>
    </w:p>
    <w:p>
      <w:pPr>
        <w:pStyle w:val="Personnequisigne"/>
        <w:keepNext/>
        <w:rPr>
          <w:noProof/>
        </w:rPr>
      </w:pPr>
      <w:r>
        <w:rPr>
          <w:noProof/>
        </w:rPr>
        <w:tab/>
        <w:t>Formand</w:t>
      </w:r>
    </w:p>
    <w:p>
      <w:pPr>
        <w:keepNext/>
        <w:rPr>
          <w:noProof/>
        </w:rPr>
        <w:sectPr>
          <w:pgSz w:w="11907" w:h="16839"/>
          <w:pgMar w:top="1134" w:right="1417" w:bottom="1134" w:left="1417" w:header="709" w:footer="709" w:gutter="0"/>
          <w:cols w:space="708"/>
          <w:docGrid w:linePitch="360"/>
        </w:sect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567"/>
        <w:gridCol w:w="3884"/>
        <w:gridCol w:w="1417"/>
        <w:gridCol w:w="1276"/>
        <w:gridCol w:w="283"/>
        <w:gridCol w:w="851"/>
        <w:gridCol w:w="850"/>
      </w:tblGrid>
      <w:tr>
        <w:trPr>
          <w:trHeight w:val="355"/>
        </w:trPr>
        <w:tc>
          <w:tcPr>
            <w:tcW w:w="7144" w:type="dxa"/>
            <w:gridSpan w:val="4"/>
            <w:vMerge w:val="restart"/>
          </w:tcPr>
          <w:p>
            <w:pPr>
              <w:pStyle w:val="Fichefinanciretitretable"/>
              <w:keepNext/>
              <w:rPr>
                <w:noProof/>
              </w:rPr>
            </w:pPr>
            <w:r>
              <w:rPr>
                <w:noProof/>
              </w:rPr>
              <w:t>FINANSIERINGSOVERSIGT</w:t>
            </w:r>
          </w:p>
        </w:tc>
        <w:tc>
          <w:tcPr>
            <w:tcW w:w="1984" w:type="dxa"/>
            <w:gridSpan w:val="3"/>
          </w:tcPr>
          <w:p>
            <w:pPr>
              <w:pStyle w:val="Fichefinanciretextetable"/>
              <w:keepNext/>
              <w:rPr>
                <w:noProof/>
              </w:rPr>
            </w:pPr>
            <w:r>
              <w:rPr>
                <w:noProof/>
              </w:rPr>
              <w:t xml:space="preserve">FinancSt/10/ </w:t>
            </w:r>
            <w:r>
              <w:rPr>
                <w:noProof/>
              </w:rPr>
              <w:br/>
              <w:t>PSH/hn/xxxxxx</w:t>
            </w:r>
          </w:p>
        </w:tc>
      </w:tr>
      <w:tr>
        <w:trPr>
          <w:trHeight w:val="355"/>
        </w:trPr>
        <w:tc>
          <w:tcPr>
            <w:tcW w:w="7144" w:type="dxa"/>
            <w:gridSpan w:val="4"/>
            <w:vMerge/>
            <w:tcBorders>
              <w:bottom w:val="nil"/>
            </w:tcBorders>
          </w:tcPr>
          <w:p>
            <w:pPr>
              <w:pStyle w:val="Fichefinanciretitretable"/>
              <w:keepNext/>
              <w:rPr>
                <w:noProof/>
              </w:rPr>
            </w:pPr>
          </w:p>
        </w:tc>
        <w:tc>
          <w:tcPr>
            <w:tcW w:w="1984" w:type="dxa"/>
            <w:gridSpan w:val="3"/>
          </w:tcPr>
          <w:p>
            <w:pPr>
              <w:pStyle w:val="Fichefinanciretextetable"/>
              <w:keepNext/>
              <w:rPr>
                <w:noProof/>
              </w:rPr>
            </w:pPr>
            <w:r>
              <w:rPr>
                <w:noProof/>
              </w:rPr>
              <w:t>6.22.2021.1</w:t>
            </w:r>
          </w:p>
        </w:tc>
      </w:tr>
      <w:tr>
        <w:tc>
          <w:tcPr>
            <w:tcW w:w="7144" w:type="dxa"/>
            <w:gridSpan w:val="4"/>
            <w:tcBorders>
              <w:top w:val="nil"/>
            </w:tcBorders>
          </w:tcPr>
          <w:p>
            <w:pPr>
              <w:pStyle w:val="Fichefinanciretextetable"/>
              <w:keepNext/>
              <w:rPr>
                <w:noProof/>
              </w:rPr>
            </w:pPr>
          </w:p>
        </w:tc>
        <w:tc>
          <w:tcPr>
            <w:tcW w:w="1984" w:type="dxa"/>
            <w:gridSpan w:val="3"/>
          </w:tcPr>
          <w:p>
            <w:pPr>
              <w:pStyle w:val="Fichefinanciretextetable"/>
              <w:keepNext/>
              <w:rPr>
                <w:noProof/>
              </w:rPr>
            </w:pPr>
            <w:r>
              <w:rPr>
                <w:noProof/>
              </w:rPr>
              <w:t>DATO: 12.7.2021</w:t>
            </w:r>
          </w:p>
          <w:p>
            <w:pPr>
              <w:pStyle w:val="Fichefinanciretextetable"/>
              <w:keepNext/>
              <w:rPr>
                <w:noProof/>
              </w:rPr>
            </w:pPr>
          </w:p>
        </w:tc>
      </w:tr>
      <w:tr>
        <w:tc>
          <w:tcPr>
            <w:tcW w:w="567" w:type="dxa"/>
            <w:tcBorders>
              <w:right w:val="nil"/>
            </w:tcBorders>
          </w:tcPr>
          <w:p>
            <w:pPr>
              <w:pStyle w:val="Fichefinanciretextetable"/>
              <w:keepNext/>
              <w:rPr>
                <w:noProof/>
              </w:rPr>
            </w:pPr>
            <w:r>
              <w:rPr>
                <w:noProof/>
              </w:rPr>
              <w:t>1.</w:t>
            </w:r>
          </w:p>
        </w:tc>
        <w:tc>
          <w:tcPr>
            <w:tcW w:w="6577" w:type="dxa"/>
            <w:gridSpan w:val="3"/>
            <w:tcBorders>
              <w:left w:val="nil"/>
              <w:right w:val="nil"/>
            </w:tcBorders>
          </w:tcPr>
          <w:p>
            <w:pPr>
              <w:pStyle w:val="Fichefinanciretextetable"/>
              <w:keepNext/>
              <w:rPr>
                <w:noProof/>
              </w:rPr>
            </w:pPr>
            <w:r>
              <w:rPr>
                <w:noProof/>
              </w:rPr>
              <w:t>BUDGETPOST:</w:t>
            </w:r>
          </w:p>
          <w:p>
            <w:pPr>
              <w:pStyle w:val="Fichefinanciretextetable"/>
              <w:keepNext/>
              <w:rPr>
                <w:noProof/>
              </w:rPr>
            </w:pPr>
            <w:r>
              <w:rPr>
                <w:noProof/>
              </w:rPr>
              <w:t>14 20 03 06 Internationale organisationer og aftaler</w:t>
            </w:r>
          </w:p>
          <w:p>
            <w:pPr>
              <w:pStyle w:val="Fichefinanciretextetable"/>
              <w:keepNext/>
              <w:rPr>
                <w:noProof/>
              </w:rPr>
            </w:pPr>
          </w:p>
        </w:tc>
        <w:tc>
          <w:tcPr>
            <w:tcW w:w="1984" w:type="dxa"/>
            <w:gridSpan w:val="3"/>
            <w:tcBorders>
              <w:left w:val="nil"/>
            </w:tcBorders>
          </w:tcPr>
          <w:p>
            <w:pPr>
              <w:pStyle w:val="Fichefinanciretextetable"/>
              <w:keepNext/>
              <w:rPr>
                <w:noProof/>
              </w:rPr>
            </w:pPr>
            <w:r>
              <w:rPr>
                <w:noProof/>
              </w:rPr>
              <w:t>BEVILLINGER:</w:t>
            </w:r>
          </w:p>
          <w:p>
            <w:pPr>
              <w:pStyle w:val="Fichefinanciretextetable"/>
              <w:keepNext/>
              <w:rPr>
                <w:noProof/>
              </w:rPr>
            </w:pPr>
            <w:r>
              <w:rPr>
                <w:noProof/>
              </w:rPr>
              <w:t>B2021 6 300 000 EUR</w:t>
            </w:r>
          </w:p>
        </w:tc>
      </w:tr>
      <w:tr>
        <w:tc>
          <w:tcPr>
            <w:tcW w:w="567" w:type="dxa"/>
            <w:tcBorders>
              <w:bottom w:val="nil"/>
              <w:right w:val="nil"/>
            </w:tcBorders>
          </w:tcPr>
          <w:p>
            <w:pPr>
              <w:pStyle w:val="Fichefinanciretextetable"/>
              <w:keepNext/>
              <w:rPr>
                <w:noProof/>
              </w:rPr>
            </w:pPr>
            <w:r>
              <w:rPr>
                <w:noProof/>
              </w:rPr>
              <w:t>2.</w:t>
            </w:r>
          </w:p>
        </w:tc>
        <w:tc>
          <w:tcPr>
            <w:tcW w:w="8561" w:type="dxa"/>
            <w:gridSpan w:val="6"/>
            <w:tcBorders>
              <w:left w:val="nil"/>
            </w:tcBorders>
          </w:tcPr>
          <w:p>
            <w:pPr>
              <w:pStyle w:val="Fichefinanciretextetable"/>
              <w:keepNext/>
              <w:rPr>
                <w:noProof/>
              </w:rPr>
            </w:pPr>
            <w:r>
              <w:rPr>
                <w:noProof/>
              </w:rPr>
              <w:t>FORANSTALTNINGENS BETEGNELSE:</w:t>
            </w:r>
          </w:p>
          <w:p>
            <w:pPr>
              <w:pStyle w:val="Fichefinanciretextetable"/>
              <w:keepNext/>
              <w:rPr>
                <w:noProof/>
              </w:rPr>
            </w:pPr>
            <w:r>
              <w:rPr>
                <w:noProof/>
              </w:rPr>
              <w:t>Forslag til Rådets afgørelse om den holdning, der skal indtages på Den Europæiske Unions vegne i Det Internationale Sukkerråd for så vidt angår ændring af den internationale sukkeroverenskomst af 1992</w:t>
            </w:r>
          </w:p>
          <w:p>
            <w:pPr>
              <w:pStyle w:val="Fichefinanciretextetable"/>
              <w:keepNext/>
              <w:rPr>
                <w:noProof/>
              </w:rPr>
            </w:pPr>
          </w:p>
        </w:tc>
      </w:tr>
      <w:tr>
        <w:tc>
          <w:tcPr>
            <w:tcW w:w="567" w:type="dxa"/>
            <w:tcBorders>
              <w:bottom w:val="nil"/>
              <w:right w:val="nil"/>
            </w:tcBorders>
          </w:tcPr>
          <w:p>
            <w:pPr>
              <w:pStyle w:val="Fichefinanciretextetable"/>
              <w:keepNext/>
              <w:rPr>
                <w:noProof/>
              </w:rPr>
            </w:pPr>
            <w:r>
              <w:rPr>
                <w:noProof/>
              </w:rPr>
              <w:t>3.</w:t>
            </w:r>
          </w:p>
        </w:tc>
        <w:tc>
          <w:tcPr>
            <w:tcW w:w="8561" w:type="dxa"/>
            <w:gridSpan w:val="6"/>
            <w:tcBorders>
              <w:left w:val="nil"/>
            </w:tcBorders>
          </w:tcPr>
          <w:p>
            <w:pPr>
              <w:pStyle w:val="Fichefinanciretextetable"/>
              <w:keepNext/>
              <w:rPr>
                <w:noProof/>
              </w:rPr>
            </w:pPr>
            <w:r>
              <w:rPr>
                <w:noProof/>
              </w:rPr>
              <w:t>RETSGRUNDLAG: Artikel 207 sammenholdt med artikel 218, stk. 9, i traktaten om Den Europæiske Unions funktionsmåde.</w:t>
            </w:r>
          </w:p>
          <w:p>
            <w:pPr>
              <w:pStyle w:val="Fichefinanciretextetable"/>
              <w:keepNext/>
              <w:rPr>
                <w:noProof/>
              </w:rPr>
            </w:pPr>
          </w:p>
        </w:tc>
      </w:tr>
      <w:tr>
        <w:tc>
          <w:tcPr>
            <w:tcW w:w="567" w:type="dxa"/>
            <w:tcBorders>
              <w:right w:val="nil"/>
            </w:tcBorders>
          </w:tcPr>
          <w:p>
            <w:pPr>
              <w:pStyle w:val="Fichefinanciretextetable"/>
              <w:keepNext/>
              <w:rPr>
                <w:noProof/>
              </w:rPr>
            </w:pPr>
            <w:r>
              <w:rPr>
                <w:noProof/>
              </w:rPr>
              <w:t>4.</w:t>
            </w:r>
          </w:p>
        </w:tc>
        <w:tc>
          <w:tcPr>
            <w:tcW w:w="8561" w:type="dxa"/>
            <w:gridSpan w:val="6"/>
            <w:tcBorders>
              <w:left w:val="nil"/>
            </w:tcBorders>
          </w:tcPr>
          <w:p>
            <w:pPr>
              <w:pStyle w:val="Fichefinanciretextetable"/>
              <w:keepNext/>
              <w:rPr>
                <w:noProof/>
              </w:rPr>
            </w:pPr>
            <w:r>
              <w:rPr>
                <w:noProof/>
              </w:rPr>
              <w:t>FORANSTALTNINGENS FORMÅL:</w:t>
            </w:r>
          </w:p>
          <w:p>
            <w:pPr>
              <w:pStyle w:val="Fichefinanciretextetable"/>
              <w:keepNext/>
              <w:rPr>
                <w:noProof/>
              </w:rPr>
            </w:pPr>
            <w:r>
              <w:rPr>
                <w:noProof/>
              </w:rPr>
              <w:t>Fastlæggelse af den holdning, der skal indtages på Unionens vegne i Det Internationale Sukkerråd ("ISC") i forbindelse med den afgørelse, der skal træffes med kvalificeret flertal i overensstemmelse med artikel 44, stk. 1, i den internationale sukkeroverenskomst ("ISA") om en henstilling til medlemmerne af Den Internationale Sukkerorganisation ("ISO") om at ændre ISA i overensstemmelse med resultatet af forhandlingerne om dens delvise revision, der blev indledt i juli 2019. Revisionen vedrører hovedsagelig en revideret beregningsmetode og en mere effektiv justeringsmekanisme for at normalisere EU's andel af budgetomkostningerne og ansvar inden for ISO.</w:t>
            </w:r>
          </w:p>
          <w:p>
            <w:pPr>
              <w:pStyle w:val="Fichefinanciretextetable"/>
              <w:keepNext/>
              <w:rPr>
                <w:noProof/>
              </w:rPr>
            </w:pPr>
          </w:p>
        </w:tc>
      </w:tr>
      <w:tr>
        <w:tc>
          <w:tcPr>
            <w:tcW w:w="567" w:type="dxa"/>
            <w:tcBorders>
              <w:bottom w:val="nil"/>
              <w:right w:val="nil"/>
            </w:tcBorders>
          </w:tcPr>
          <w:p>
            <w:pPr>
              <w:pStyle w:val="Fichefinanciretextetable"/>
              <w:keepNext/>
              <w:rPr>
                <w:noProof/>
              </w:rPr>
            </w:pPr>
            <w:r>
              <w:rPr>
                <w:noProof/>
              </w:rPr>
              <w:t>5.</w:t>
            </w:r>
          </w:p>
        </w:tc>
        <w:tc>
          <w:tcPr>
            <w:tcW w:w="3884" w:type="dxa"/>
            <w:tcBorders>
              <w:left w:val="nil"/>
            </w:tcBorders>
          </w:tcPr>
          <w:p>
            <w:pPr>
              <w:pStyle w:val="Fichefinanciretextetable"/>
              <w:keepNext/>
              <w:rPr>
                <w:noProof/>
              </w:rPr>
            </w:pPr>
            <w:r>
              <w:rPr>
                <w:noProof/>
              </w:rPr>
              <w:t>FINANSIELLE VIRKNINGER</w:t>
            </w:r>
          </w:p>
        </w:tc>
        <w:tc>
          <w:tcPr>
            <w:tcW w:w="1417" w:type="dxa"/>
          </w:tcPr>
          <w:p>
            <w:pPr>
              <w:pStyle w:val="Fichefinanciretextetable"/>
              <w:keepNext/>
              <w:jc w:val="center"/>
              <w:rPr>
                <w:noProof/>
              </w:rPr>
            </w:pPr>
            <w:r>
              <w:rPr>
                <w:noProof/>
              </w:rPr>
              <w:t xml:space="preserve">12- MÅNEDERS PERIODE </w:t>
            </w:r>
            <w:r>
              <w:rPr>
                <w:noProof/>
              </w:rPr>
              <w:br/>
              <w:t xml:space="preserve"> </w:t>
            </w:r>
            <w:r>
              <w:rPr>
                <w:noProof/>
              </w:rPr>
              <w:br/>
              <w:t xml:space="preserve"> </w:t>
            </w:r>
            <w:r>
              <w:rPr>
                <w:noProof/>
              </w:rPr>
              <w:br/>
              <w:t>(mio. EUR)</w:t>
            </w:r>
          </w:p>
        </w:tc>
        <w:tc>
          <w:tcPr>
            <w:tcW w:w="1559" w:type="dxa"/>
            <w:gridSpan w:val="2"/>
          </w:tcPr>
          <w:p>
            <w:pPr>
              <w:pStyle w:val="Fichefinanciretextetable"/>
              <w:keepNext/>
              <w:jc w:val="center"/>
              <w:rPr>
                <w:noProof/>
              </w:rPr>
            </w:pPr>
            <w:r>
              <w:rPr>
                <w:noProof/>
              </w:rPr>
              <w:t>INDEVÆRENDE REGNSKABSÅR</w:t>
            </w:r>
          </w:p>
          <w:p>
            <w:pPr>
              <w:pStyle w:val="Fichefinanciretextetable"/>
              <w:keepNext/>
              <w:jc w:val="center"/>
              <w:rPr>
                <w:noProof/>
              </w:rPr>
            </w:pPr>
            <w:r>
              <w:rPr>
                <w:noProof/>
              </w:rPr>
              <w:t>2021</w:t>
            </w:r>
          </w:p>
          <w:p>
            <w:pPr>
              <w:pStyle w:val="Fichefinanciretextetable"/>
              <w:keepNext/>
              <w:jc w:val="center"/>
              <w:rPr>
                <w:noProof/>
              </w:rPr>
            </w:pPr>
            <w:r>
              <w:rPr>
                <w:noProof/>
              </w:rPr>
              <w:t>(mio. EUR)</w:t>
            </w:r>
          </w:p>
        </w:tc>
        <w:tc>
          <w:tcPr>
            <w:tcW w:w="1701" w:type="dxa"/>
            <w:gridSpan w:val="2"/>
          </w:tcPr>
          <w:p>
            <w:pPr>
              <w:pStyle w:val="Fichefinanciretextetable"/>
              <w:keepNext/>
              <w:jc w:val="center"/>
              <w:rPr>
                <w:noProof/>
              </w:rPr>
            </w:pPr>
            <w:r>
              <w:rPr>
                <w:noProof/>
              </w:rPr>
              <w:t>FØLGENDE REGNSKABSÅR</w:t>
            </w:r>
          </w:p>
          <w:p>
            <w:pPr>
              <w:pStyle w:val="Fichefinanciretextetable"/>
              <w:keepNext/>
              <w:jc w:val="center"/>
              <w:rPr>
                <w:noProof/>
              </w:rPr>
            </w:pPr>
            <w:r>
              <w:rPr>
                <w:noProof/>
              </w:rPr>
              <w:t>2022</w:t>
            </w:r>
          </w:p>
          <w:p>
            <w:pPr>
              <w:pStyle w:val="Fichefinanciretextetable"/>
              <w:keepNext/>
              <w:jc w:val="center"/>
              <w:rPr>
                <w:noProof/>
              </w:rPr>
            </w:pPr>
            <w:r>
              <w:rPr>
                <w:noProof/>
              </w:rPr>
              <w:t>(mio. EUR)</w:t>
            </w:r>
          </w:p>
        </w:tc>
      </w:tr>
      <w:tr>
        <w:tc>
          <w:tcPr>
            <w:tcW w:w="567" w:type="dxa"/>
            <w:tcBorders>
              <w:bottom w:val="nil"/>
              <w:right w:val="nil"/>
            </w:tcBorders>
          </w:tcPr>
          <w:p>
            <w:pPr>
              <w:pStyle w:val="Fichefinanciretextetable"/>
              <w:keepNext/>
              <w:rPr>
                <w:noProof/>
              </w:rPr>
            </w:pPr>
            <w:r>
              <w:rPr>
                <w:noProof/>
              </w:rPr>
              <w:t>5.0</w:t>
            </w:r>
          </w:p>
        </w:tc>
        <w:tc>
          <w:tcPr>
            <w:tcW w:w="3884" w:type="dxa"/>
            <w:tcBorders>
              <w:left w:val="nil"/>
            </w:tcBorders>
          </w:tcPr>
          <w:p>
            <w:pPr>
              <w:pStyle w:val="Fichefinanciretextetable"/>
              <w:keepNext/>
              <w:rPr>
                <w:noProof/>
              </w:rPr>
            </w:pPr>
            <w:r>
              <w:rPr>
                <w:noProof/>
              </w:rPr>
              <w:t>UDGIFTER, SOM AFHOLDES</w:t>
            </w:r>
          </w:p>
          <w:p>
            <w:pPr>
              <w:pStyle w:val="Fichefinanciretextetable"/>
              <w:keepNext/>
              <w:rPr>
                <w:noProof/>
              </w:rPr>
            </w:pPr>
            <w:r>
              <w:rPr>
                <w:noProof/>
              </w:rPr>
              <w:t>-</w:t>
            </w:r>
            <w:r>
              <w:rPr>
                <w:noProof/>
              </w:rPr>
              <w:tab/>
              <w:t xml:space="preserve">OVER EU-BUDGETTET </w:t>
            </w:r>
            <w:r>
              <w:rPr>
                <w:noProof/>
              </w:rPr>
              <w:br/>
              <w:t>(RESTITUTIONER/INTERVENTIONER)</w:t>
            </w:r>
          </w:p>
          <w:p>
            <w:pPr>
              <w:pStyle w:val="Fichefinanciretextetable"/>
              <w:keepNext/>
              <w:rPr>
                <w:noProof/>
              </w:rPr>
            </w:pPr>
            <w:r>
              <w:rPr>
                <w:noProof/>
              </w:rPr>
              <w:t>-</w:t>
            </w:r>
            <w:r>
              <w:rPr>
                <w:noProof/>
              </w:rPr>
              <w:tab/>
              <w:t>OVER NATIONALE BUDGETTER</w:t>
            </w:r>
          </w:p>
          <w:p>
            <w:pPr>
              <w:pStyle w:val="Fichefinanciretextetable"/>
              <w:keepNext/>
              <w:rPr>
                <w:noProof/>
              </w:rPr>
            </w:pPr>
            <w:r>
              <w:rPr>
                <w:noProof/>
              </w:rPr>
              <w:t>-</w:t>
            </w:r>
            <w:r>
              <w:rPr>
                <w:noProof/>
              </w:rPr>
              <w:tab/>
              <w:t>AF ANDRE</w:t>
            </w:r>
          </w:p>
        </w:tc>
        <w:tc>
          <w:tcPr>
            <w:tcW w:w="1417" w:type="dxa"/>
          </w:tcPr>
          <w:p>
            <w:pPr>
              <w:pStyle w:val="Fichefinanciretextetable"/>
              <w:keepNext/>
              <w:jc w:val="center"/>
              <w:rPr>
                <w:noProof/>
              </w:rPr>
            </w:pPr>
          </w:p>
        </w:tc>
        <w:tc>
          <w:tcPr>
            <w:tcW w:w="1559" w:type="dxa"/>
            <w:gridSpan w:val="2"/>
          </w:tcPr>
          <w:p>
            <w:pPr>
              <w:pStyle w:val="Fichefinanciretextetable"/>
              <w:keepNext/>
              <w:jc w:val="center"/>
              <w:rPr>
                <w:noProof/>
              </w:rPr>
            </w:pPr>
          </w:p>
        </w:tc>
        <w:tc>
          <w:tcPr>
            <w:tcW w:w="1701" w:type="dxa"/>
            <w:gridSpan w:val="2"/>
          </w:tcPr>
          <w:p>
            <w:pPr>
              <w:pStyle w:val="Fichefinanciretextetable"/>
              <w:keepNext/>
              <w:jc w:val="center"/>
              <w:rPr>
                <w:noProof/>
              </w:rPr>
            </w:pPr>
          </w:p>
        </w:tc>
      </w:tr>
      <w:tr>
        <w:tc>
          <w:tcPr>
            <w:tcW w:w="567" w:type="dxa"/>
            <w:tcBorders>
              <w:right w:val="nil"/>
            </w:tcBorders>
          </w:tcPr>
          <w:p>
            <w:pPr>
              <w:pStyle w:val="Fichefinanciretextetable"/>
              <w:keepNext/>
              <w:rPr>
                <w:noProof/>
              </w:rPr>
            </w:pPr>
            <w:r>
              <w:rPr>
                <w:noProof/>
              </w:rPr>
              <w:t>5.1</w:t>
            </w:r>
          </w:p>
        </w:tc>
        <w:tc>
          <w:tcPr>
            <w:tcW w:w="3884" w:type="dxa"/>
            <w:tcBorders>
              <w:left w:val="nil"/>
            </w:tcBorders>
          </w:tcPr>
          <w:p>
            <w:pPr>
              <w:pStyle w:val="Fichefinanciretextetable"/>
              <w:keepNext/>
              <w:rPr>
                <w:noProof/>
              </w:rPr>
            </w:pPr>
            <w:r>
              <w:rPr>
                <w:noProof/>
              </w:rPr>
              <w:t>INDTÆGTER</w:t>
            </w:r>
          </w:p>
          <w:p>
            <w:pPr>
              <w:pStyle w:val="Fichefinanciretextetable"/>
              <w:keepNext/>
              <w:rPr>
                <w:noProof/>
              </w:rPr>
            </w:pPr>
            <w:r>
              <w:rPr>
                <w:noProof/>
              </w:rPr>
              <w:t>-</w:t>
            </w:r>
            <w:r>
              <w:rPr>
                <w:noProof/>
              </w:rPr>
              <w:tab/>
              <w:t xml:space="preserve">EU's EGNE INDTÆGTER </w:t>
            </w:r>
            <w:r>
              <w:rPr>
                <w:noProof/>
              </w:rPr>
              <w:br/>
              <w:t>(AFGIFTER/TOLD)</w:t>
            </w:r>
          </w:p>
          <w:p>
            <w:pPr>
              <w:pStyle w:val="Fichefinanciretextetable"/>
              <w:keepNext/>
              <w:rPr>
                <w:noProof/>
              </w:rPr>
            </w:pPr>
            <w:r>
              <w:rPr>
                <w:noProof/>
              </w:rPr>
              <w:t>-</w:t>
            </w:r>
            <w:r>
              <w:rPr>
                <w:noProof/>
              </w:rPr>
              <w:tab/>
              <w:t>NATIONALE KILDER</w:t>
            </w:r>
          </w:p>
        </w:tc>
        <w:tc>
          <w:tcPr>
            <w:tcW w:w="1417" w:type="dxa"/>
          </w:tcPr>
          <w:p>
            <w:pPr>
              <w:pStyle w:val="Fichefinanciretextetable"/>
              <w:keepNext/>
              <w:jc w:val="center"/>
              <w:rPr>
                <w:noProof/>
              </w:rPr>
            </w:pPr>
          </w:p>
        </w:tc>
        <w:tc>
          <w:tcPr>
            <w:tcW w:w="1559" w:type="dxa"/>
            <w:gridSpan w:val="2"/>
          </w:tcPr>
          <w:p>
            <w:pPr>
              <w:pStyle w:val="Fichefinanciretextetable"/>
              <w:keepNext/>
              <w:jc w:val="center"/>
              <w:rPr>
                <w:noProof/>
              </w:rPr>
            </w:pPr>
          </w:p>
        </w:tc>
        <w:tc>
          <w:tcPr>
            <w:tcW w:w="1701" w:type="dxa"/>
            <w:gridSpan w:val="2"/>
          </w:tcPr>
          <w:p>
            <w:pPr>
              <w:pStyle w:val="Fichefinanciretextetable"/>
              <w:keepNext/>
              <w:jc w:val="center"/>
              <w:rPr>
                <w:noProof/>
              </w:rPr>
            </w:pPr>
          </w:p>
        </w:tc>
      </w:tr>
      <w:tr>
        <w:tc>
          <w:tcPr>
            <w:tcW w:w="567" w:type="dxa"/>
            <w:tcBorders>
              <w:bottom w:val="nil"/>
              <w:right w:val="nil"/>
            </w:tcBorders>
          </w:tcPr>
          <w:p>
            <w:pPr>
              <w:pStyle w:val="Fichefinanciretextetable"/>
              <w:keepNext/>
              <w:rPr>
                <w:noProof/>
              </w:rPr>
            </w:pPr>
          </w:p>
        </w:tc>
        <w:tc>
          <w:tcPr>
            <w:tcW w:w="3884" w:type="dxa"/>
            <w:tcBorders>
              <w:left w:val="nil"/>
              <w:bottom w:val="nil"/>
            </w:tcBorders>
          </w:tcPr>
          <w:p>
            <w:pPr>
              <w:pStyle w:val="Fichefinanciretextetable"/>
              <w:keepNext/>
              <w:rPr>
                <w:noProof/>
              </w:rPr>
            </w:pPr>
          </w:p>
        </w:tc>
        <w:tc>
          <w:tcPr>
            <w:tcW w:w="1417" w:type="dxa"/>
            <w:tcBorders>
              <w:bottom w:val="nil"/>
            </w:tcBorders>
          </w:tcPr>
          <w:p>
            <w:pPr>
              <w:pStyle w:val="Fichefinanciretextetable"/>
              <w:keepNext/>
              <w:jc w:val="center"/>
              <w:rPr>
                <w:noProof/>
              </w:rPr>
            </w:pPr>
            <w:r>
              <w:rPr>
                <w:noProof/>
              </w:rPr>
              <w:t>2023</w:t>
            </w:r>
            <w:r>
              <w:rPr>
                <w:noProof/>
              </w:rPr>
              <w:br/>
              <w:t>(mio. EUR)</w:t>
            </w:r>
          </w:p>
        </w:tc>
        <w:tc>
          <w:tcPr>
            <w:tcW w:w="1559" w:type="dxa"/>
            <w:gridSpan w:val="2"/>
            <w:tcBorders>
              <w:bottom w:val="nil"/>
            </w:tcBorders>
          </w:tcPr>
          <w:p>
            <w:pPr>
              <w:pStyle w:val="Fichefinanciretextetable"/>
              <w:keepNext/>
              <w:jc w:val="center"/>
              <w:rPr>
                <w:noProof/>
              </w:rPr>
            </w:pPr>
          </w:p>
        </w:tc>
        <w:tc>
          <w:tcPr>
            <w:tcW w:w="1701" w:type="dxa"/>
            <w:gridSpan w:val="2"/>
            <w:tcBorders>
              <w:bottom w:val="nil"/>
            </w:tcBorders>
          </w:tcPr>
          <w:p>
            <w:pPr>
              <w:pStyle w:val="Fichefinanciretextetable"/>
              <w:keepNext/>
              <w:jc w:val="center"/>
              <w:rPr>
                <w:noProof/>
              </w:rPr>
            </w:pPr>
          </w:p>
        </w:tc>
      </w:tr>
      <w:tr>
        <w:tc>
          <w:tcPr>
            <w:tcW w:w="567" w:type="dxa"/>
            <w:tcBorders>
              <w:top w:val="nil"/>
              <w:bottom w:val="nil"/>
              <w:right w:val="nil"/>
            </w:tcBorders>
          </w:tcPr>
          <w:p>
            <w:pPr>
              <w:pStyle w:val="Fichefinanciretextetable"/>
              <w:keepNext/>
              <w:rPr>
                <w:noProof/>
              </w:rPr>
            </w:pPr>
            <w:r>
              <w:rPr>
                <w:noProof/>
              </w:rPr>
              <w:t>5.0.1</w:t>
            </w:r>
          </w:p>
        </w:tc>
        <w:tc>
          <w:tcPr>
            <w:tcW w:w="3884" w:type="dxa"/>
            <w:tcBorders>
              <w:top w:val="nil"/>
              <w:left w:val="nil"/>
              <w:bottom w:val="nil"/>
            </w:tcBorders>
          </w:tcPr>
          <w:p>
            <w:pPr>
              <w:pStyle w:val="Fichefinanciretextetable"/>
              <w:keepNext/>
              <w:rPr>
                <w:noProof/>
              </w:rPr>
            </w:pPr>
            <w:r>
              <w:rPr>
                <w:noProof/>
              </w:rPr>
              <w:t>UDGIFTSOVERSLAG</w:t>
            </w:r>
          </w:p>
        </w:tc>
        <w:tc>
          <w:tcPr>
            <w:tcW w:w="1417" w:type="dxa"/>
            <w:tcBorders>
              <w:bottom w:val="nil"/>
            </w:tcBorders>
          </w:tcPr>
          <w:p>
            <w:pPr>
              <w:pStyle w:val="Fichefinanciretextetable"/>
              <w:keepNext/>
              <w:jc w:val="center"/>
              <w:rPr>
                <w:noProof/>
              </w:rPr>
            </w:pPr>
          </w:p>
        </w:tc>
        <w:tc>
          <w:tcPr>
            <w:tcW w:w="1559" w:type="dxa"/>
            <w:gridSpan w:val="2"/>
            <w:tcBorders>
              <w:bottom w:val="nil"/>
            </w:tcBorders>
          </w:tcPr>
          <w:p>
            <w:pPr>
              <w:pStyle w:val="Fichefinanciretextetable"/>
              <w:keepNext/>
              <w:jc w:val="center"/>
              <w:rPr>
                <w:noProof/>
              </w:rPr>
            </w:pPr>
          </w:p>
        </w:tc>
        <w:tc>
          <w:tcPr>
            <w:tcW w:w="1701" w:type="dxa"/>
            <w:gridSpan w:val="2"/>
            <w:tcBorders>
              <w:bottom w:val="nil"/>
            </w:tcBorders>
          </w:tcPr>
          <w:p>
            <w:pPr>
              <w:pStyle w:val="Fichefinanciretextetable"/>
              <w:keepNext/>
              <w:jc w:val="center"/>
              <w:rPr>
                <w:noProof/>
              </w:rPr>
            </w:pPr>
          </w:p>
        </w:tc>
      </w:tr>
      <w:tr>
        <w:tc>
          <w:tcPr>
            <w:tcW w:w="567" w:type="dxa"/>
            <w:tcBorders>
              <w:top w:val="nil"/>
              <w:right w:val="nil"/>
            </w:tcBorders>
          </w:tcPr>
          <w:p>
            <w:pPr>
              <w:pStyle w:val="Fichefinanciretextetable"/>
              <w:keepNext/>
              <w:rPr>
                <w:noProof/>
              </w:rPr>
            </w:pPr>
            <w:r>
              <w:rPr>
                <w:noProof/>
              </w:rPr>
              <w:t>5.1.1</w:t>
            </w:r>
          </w:p>
        </w:tc>
        <w:tc>
          <w:tcPr>
            <w:tcW w:w="3884" w:type="dxa"/>
            <w:tcBorders>
              <w:top w:val="nil"/>
              <w:left w:val="nil"/>
            </w:tcBorders>
          </w:tcPr>
          <w:p>
            <w:pPr>
              <w:pStyle w:val="Fichefinanciretextetable"/>
              <w:keepNext/>
              <w:rPr>
                <w:noProof/>
              </w:rPr>
            </w:pPr>
            <w:r>
              <w:rPr>
                <w:noProof/>
              </w:rPr>
              <w:t>INDTÆGTSOVERSLAG</w:t>
            </w:r>
          </w:p>
        </w:tc>
        <w:tc>
          <w:tcPr>
            <w:tcW w:w="1417" w:type="dxa"/>
            <w:tcBorders>
              <w:top w:val="nil"/>
            </w:tcBorders>
          </w:tcPr>
          <w:p>
            <w:pPr>
              <w:pStyle w:val="Fichefinanciretextetable"/>
              <w:keepNext/>
              <w:jc w:val="center"/>
              <w:rPr>
                <w:noProof/>
              </w:rPr>
            </w:pPr>
          </w:p>
        </w:tc>
        <w:tc>
          <w:tcPr>
            <w:tcW w:w="1559" w:type="dxa"/>
            <w:gridSpan w:val="2"/>
            <w:tcBorders>
              <w:top w:val="nil"/>
            </w:tcBorders>
          </w:tcPr>
          <w:p>
            <w:pPr>
              <w:pStyle w:val="Fichefinanciretextetable"/>
              <w:keepNext/>
              <w:jc w:val="center"/>
              <w:rPr>
                <w:noProof/>
              </w:rPr>
            </w:pPr>
          </w:p>
        </w:tc>
        <w:tc>
          <w:tcPr>
            <w:tcW w:w="1701" w:type="dxa"/>
            <w:gridSpan w:val="2"/>
            <w:tcBorders>
              <w:top w:val="nil"/>
            </w:tcBorders>
          </w:tcPr>
          <w:p>
            <w:pPr>
              <w:pStyle w:val="Fichefinanciretextetable"/>
              <w:keepNext/>
              <w:jc w:val="center"/>
              <w:rPr>
                <w:noProof/>
              </w:rPr>
            </w:pPr>
          </w:p>
        </w:tc>
      </w:tr>
      <w:tr>
        <w:tc>
          <w:tcPr>
            <w:tcW w:w="567" w:type="dxa"/>
            <w:tcBorders>
              <w:right w:val="nil"/>
            </w:tcBorders>
          </w:tcPr>
          <w:p>
            <w:pPr>
              <w:pStyle w:val="Fichefinanciretextetable"/>
              <w:keepNext/>
              <w:rPr>
                <w:noProof/>
              </w:rPr>
            </w:pPr>
            <w:r>
              <w:rPr>
                <w:noProof/>
              </w:rPr>
              <w:t>5.2</w:t>
            </w:r>
          </w:p>
        </w:tc>
        <w:tc>
          <w:tcPr>
            <w:tcW w:w="8561" w:type="dxa"/>
            <w:gridSpan w:val="6"/>
            <w:tcBorders>
              <w:left w:val="nil"/>
            </w:tcBorders>
          </w:tcPr>
          <w:p>
            <w:pPr>
              <w:pStyle w:val="Fichefinanciretextetable"/>
              <w:keepNext/>
              <w:spacing w:after="60"/>
              <w:rPr>
                <w:noProof/>
              </w:rPr>
            </w:pPr>
            <w:r>
              <w:rPr>
                <w:noProof/>
              </w:rPr>
              <w:t xml:space="preserve">BEREGNINGSMÅDE: </w:t>
            </w:r>
          </w:p>
        </w:tc>
      </w:tr>
      <w:tr>
        <w:tc>
          <w:tcPr>
            <w:tcW w:w="567" w:type="dxa"/>
            <w:tcBorders>
              <w:bottom w:val="nil"/>
              <w:right w:val="nil"/>
            </w:tcBorders>
          </w:tcPr>
          <w:p>
            <w:pPr>
              <w:pStyle w:val="Fichefinanciretextetable"/>
              <w:keepNext/>
              <w:rPr>
                <w:noProof/>
              </w:rPr>
            </w:pPr>
            <w:r>
              <w:rPr>
                <w:noProof/>
              </w:rPr>
              <w:t>6.0</w:t>
            </w:r>
          </w:p>
        </w:tc>
        <w:tc>
          <w:tcPr>
            <w:tcW w:w="7711" w:type="dxa"/>
            <w:gridSpan w:val="5"/>
            <w:tcBorders>
              <w:left w:val="nil"/>
              <w:right w:val="nil"/>
            </w:tcBorders>
          </w:tcPr>
          <w:p>
            <w:pPr>
              <w:pStyle w:val="Fichefinanciretextetable"/>
              <w:keepNext/>
              <w:spacing w:after="60"/>
              <w:rPr>
                <w:noProof/>
              </w:rPr>
            </w:pPr>
            <w:r>
              <w:rPr>
                <w:noProof/>
              </w:rPr>
              <w:t>ER FINANSIERING MULIG OVER DE BEVILLINGER, DER PÅ DET LØBENDE BUDGET ER OPFØRT UNDER DET RELEVANTE KAPITEL?</w:t>
            </w:r>
          </w:p>
        </w:tc>
        <w:tc>
          <w:tcPr>
            <w:tcW w:w="850" w:type="dxa"/>
            <w:tcBorders>
              <w:left w:val="nil"/>
              <w:bottom w:val="nil"/>
            </w:tcBorders>
          </w:tcPr>
          <w:p>
            <w:pPr>
              <w:pStyle w:val="Fichefinanciretextetable"/>
              <w:keepNext/>
              <w:jc w:val="center"/>
              <w:rPr>
                <w:noProof/>
              </w:rPr>
            </w:pPr>
            <w:r>
              <w:rPr>
                <w:noProof/>
              </w:rPr>
              <w:t>JA</w:t>
            </w:r>
          </w:p>
        </w:tc>
      </w:tr>
      <w:tr>
        <w:tc>
          <w:tcPr>
            <w:tcW w:w="567" w:type="dxa"/>
            <w:tcBorders>
              <w:bottom w:val="nil"/>
              <w:right w:val="nil"/>
            </w:tcBorders>
          </w:tcPr>
          <w:p>
            <w:pPr>
              <w:pStyle w:val="Fichefinanciretextetable"/>
              <w:keepNext/>
              <w:rPr>
                <w:noProof/>
              </w:rPr>
            </w:pPr>
            <w:r>
              <w:rPr>
                <w:noProof/>
              </w:rPr>
              <w:t>6.1</w:t>
            </w:r>
          </w:p>
        </w:tc>
        <w:tc>
          <w:tcPr>
            <w:tcW w:w="7711" w:type="dxa"/>
            <w:gridSpan w:val="5"/>
            <w:tcBorders>
              <w:left w:val="nil"/>
              <w:right w:val="nil"/>
            </w:tcBorders>
          </w:tcPr>
          <w:p>
            <w:pPr>
              <w:pStyle w:val="Fichefinanciretextetable"/>
              <w:keepNext/>
              <w:spacing w:after="60"/>
              <w:rPr>
                <w:noProof/>
              </w:rPr>
            </w:pPr>
            <w:r>
              <w:rPr>
                <w:noProof/>
              </w:rPr>
              <w:t>ER FINANSIERING MULIG VED OVERFØRSEL MELLEM KAPITLER PÅ DET LØBENDE BUDGET?</w:t>
            </w:r>
          </w:p>
        </w:tc>
        <w:tc>
          <w:tcPr>
            <w:tcW w:w="850" w:type="dxa"/>
            <w:tcBorders>
              <w:left w:val="nil"/>
              <w:bottom w:val="nil"/>
            </w:tcBorders>
          </w:tcPr>
          <w:p>
            <w:pPr>
              <w:pStyle w:val="Fichefinanciretextetable"/>
              <w:keepNext/>
              <w:jc w:val="center"/>
              <w:rPr>
                <w:noProof/>
              </w:rPr>
            </w:pPr>
            <w:r>
              <w:rPr>
                <w:noProof/>
              </w:rPr>
              <w:t>-</w:t>
            </w:r>
          </w:p>
        </w:tc>
      </w:tr>
      <w:tr>
        <w:tc>
          <w:tcPr>
            <w:tcW w:w="567" w:type="dxa"/>
            <w:tcBorders>
              <w:bottom w:val="nil"/>
              <w:right w:val="nil"/>
            </w:tcBorders>
          </w:tcPr>
          <w:p>
            <w:pPr>
              <w:pStyle w:val="Fichefinanciretextetable"/>
              <w:keepNext/>
              <w:rPr>
                <w:noProof/>
              </w:rPr>
            </w:pPr>
            <w:r>
              <w:rPr>
                <w:noProof/>
              </w:rPr>
              <w:t>6.2</w:t>
            </w:r>
          </w:p>
        </w:tc>
        <w:tc>
          <w:tcPr>
            <w:tcW w:w="7711" w:type="dxa"/>
            <w:gridSpan w:val="5"/>
            <w:tcBorders>
              <w:left w:val="nil"/>
              <w:right w:val="nil"/>
            </w:tcBorders>
          </w:tcPr>
          <w:p>
            <w:pPr>
              <w:pStyle w:val="Fichefinanciretextetable"/>
              <w:keepNext/>
              <w:spacing w:after="60"/>
              <w:rPr>
                <w:noProof/>
              </w:rPr>
            </w:pPr>
            <w:r>
              <w:rPr>
                <w:noProof/>
              </w:rPr>
              <w:t>ER ET TILLÆGSBUDGET NØDVENDIGT?</w:t>
            </w:r>
          </w:p>
        </w:tc>
        <w:tc>
          <w:tcPr>
            <w:tcW w:w="850" w:type="dxa"/>
            <w:tcBorders>
              <w:left w:val="nil"/>
              <w:bottom w:val="nil"/>
            </w:tcBorders>
          </w:tcPr>
          <w:p>
            <w:pPr>
              <w:pStyle w:val="Fichefinanciretextetable"/>
              <w:keepNext/>
              <w:jc w:val="center"/>
              <w:rPr>
                <w:noProof/>
              </w:rPr>
            </w:pPr>
            <w:r>
              <w:rPr>
                <w:noProof/>
              </w:rPr>
              <w:t>-</w:t>
            </w:r>
          </w:p>
        </w:tc>
      </w:tr>
      <w:tr>
        <w:tc>
          <w:tcPr>
            <w:tcW w:w="567" w:type="dxa"/>
            <w:tcBorders>
              <w:right w:val="nil"/>
            </w:tcBorders>
          </w:tcPr>
          <w:p>
            <w:pPr>
              <w:pStyle w:val="Fichefinanciretextetable"/>
              <w:keepNext/>
              <w:rPr>
                <w:noProof/>
              </w:rPr>
            </w:pPr>
            <w:r>
              <w:rPr>
                <w:noProof/>
              </w:rPr>
              <w:t>6.3</w:t>
            </w:r>
          </w:p>
        </w:tc>
        <w:tc>
          <w:tcPr>
            <w:tcW w:w="7711" w:type="dxa"/>
            <w:gridSpan w:val="5"/>
            <w:tcBorders>
              <w:left w:val="nil"/>
              <w:right w:val="nil"/>
            </w:tcBorders>
          </w:tcPr>
          <w:p>
            <w:pPr>
              <w:pStyle w:val="Fichefinanciretextetable"/>
              <w:keepNext/>
              <w:spacing w:after="60"/>
              <w:rPr>
                <w:noProof/>
              </w:rPr>
            </w:pPr>
            <w:r>
              <w:rPr>
                <w:noProof/>
              </w:rPr>
              <w:t>BEVILLINGER TIL OPFØRELSE PÅ KOMMENDE BUDGETTER?</w:t>
            </w:r>
          </w:p>
        </w:tc>
        <w:tc>
          <w:tcPr>
            <w:tcW w:w="850" w:type="dxa"/>
            <w:tcBorders>
              <w:left w:val="nil"/>
            </w:tcBorders>
          </w:tcPr>
          <w:p>
            <w:pPr>
              <w:pStyle w:val="Fichefinanciretextetable"/>
              <w:keepNext/>
              <w:jc w:val="center"/>
              <w:rPr>
                <w:noProof/>
              </w:rPr>
            </w:pPr>
            <w:r>
              <w:rPr>
                <w:noProof/>
              </w:rPr>
              <w:t>JA</w:t>
            </w:r>
          </w:p>
        </w:tc>
      </w:tr>
      <w:tr>
        <w:tc>
          <w:tcPr>
            <w:tcW w:w="9128" w:type="dxa"/>
            <w:gridSpan w:val="7"/>
          </w:tcPr>
          <w:p>
            <w:pPr>
              <w:pStyle w:val="Fichefinanciretextetable"/>
              <w:keepNext/>
              <w:rPr>
                <w:noProof/>
              </w:rPr>
            </w:pPr>
            <w:r>
              <w:rPr>
                <w:noProof/>
              </w:rPr>
              <w:t>BEMÆRKNINGER:</w:t>
            </w:r>
          </w:p>
          <w:p>
            <w:pPr>
              <w:autoSpaceDE w:val="0"/>
              <w:autoSpaceDN w:val="0"/>
              <w:adjustRightInd w:val="0"/>
              <w:spacing w:before="0"/>
              <w:rPr>
                <w:noProof/>
              </w:rPr>
            </w:pPr>
            <w:r>
              <w:rPr>
                <w:noProof/>
                <w:sz w:val="20"/>
              </w:rPr>
              <w:t>Forslaget kan få finansielle konsekvenser fra 2024, men disse kan ikke kvantificeres på nuværende tidspunkt. Unionens andel af det finansielle bidrag vil variere afhængigt af det endelige antal stemmer, der tildeles EU efter ændringsaftalen. Formodentlig vil EU's andel falde.</w:t>
            </w:r>
          </w:p>
        </w:tc>
      </w:tr>
    </w:tbl>
    <w:p>
      <w:pPr>
        <w:rPr>
          <w:noProof/>
        </w:rPr>
      </w:pPr>
    </w:p>
    <w:sect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DA</w:t>
    </w:r>
    <w:r>
      <w:rPr>
        <w:rFonts w:ascii="Arial" w:hAnsi="Arial" w:cs="Arial"/>
        <w:b/>
        <w:sz w:val="48"/>
      </w:rPr>
      <w:tab/>
    </w:r>
    <w:r>
      <w:rPr>
        <w:rFonts w:ascii="Arial" w:hAnsi="Arial" w:cs="Arial"/>
        <w:b/>
        <w:sz w:val="48"/>
      </w:rPr>
      <w:tab/>
    </w:r>
    <w:r>
      <w:tab/>
    </w:r>
    <w:r>
      <w:rPr>
        <w:rFonts w:ascii="Arial" w:hAnsi="Arial" w:cs="Arial"/>
        <w:b/>
        <w:sz w:val="48"/>
      </w:rPr>
      <w:t>DA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DA</w:t>
    </w:r>
    <w:r>
      <w:rPr>
        <w:rFonts w:ascii="Arial" w:hAnsi="Arial" w:cs="Arial"/>
        <w:b/>
        <w:sz w:val="48"/>
      </w:rPr>
      <w:tab/>
    </w:r>
    <w:r>
      <w:fldChar w:fldCharType="begin"/>
    </w:r>
    <w:r>
      <w:instrText xml:space="preserve"> PAGE  \* MERGEFORMAT </w:instrText>
    </w:r>
    <w:r>
      <w:fldChar w:fldCharType="separate"/>
    </w:r>
    <w:r>
      <w:rPr>
        <w:noProof/>
      </w:rPr>
      <w:t>9</w:t>
    </w:r>
    <w:r>
      <w:fldChar w:fldCharType="end"/>
    </w:r>
    <w:r>
      <w:tab/>
    </w:r>
    <w:r>
      <w:tab/>
    </w:r>
    <w:r>
      <w:rPr>
        <w:rFonts w:ascii="Arial" w:hAnsi="Arial" w:cs="Arial"/>
        <w:b/>
        <w:sz w:val="48"/>
      </w:rPr>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Rådets afgørelse 92/580/EØF af 13. november 1992 (EFT L 379 af 23.12.1992, s. 15).</w:t>
      </w:r>
    </w:p>
  </w:footnote>
  <w:footnote w:id="2">
    <w:p>
      <w:pPr>
        <w:pStyle w:val="FootnoteText"/>
      </w:pPr>
      <w:r>
        <w:rPr>
          <w:rStyle w:val="FootnoteReference"/>
        </w:rPr>
        <w:footnoteRef/>
      </w:r>
      <w:r>
        <w:tab/>
        <w:t>Rådets afgørelse 2019/1251 af 15. juli 2019 om den holdning, som på Den Europæiske Unions vegne skal indtages i Det Internationale Sukkerråd til forlængelsen af den internationale sukkeroverenskomst af 1992 (EUT L 195 af 23.7.2019, s. 18).</w:t>
      </w:r>
    </w:p>
  </w:footnote>
  <w:footnote w:id="3">
    <w:p>
      <w:pPr>
        <w:pStyle w:val="FootnoteText"/>
      </w:pPr>
      <w:r>
        <w:rPr>
          <w:rStyle w:val="FootnoteReference"/>
        </w:rPr>
        <w:footnoteRef/>
      </w:r>
      <w:r>
        <w:tab/>
        <w:t>Rådets afgørelse (EU) 2017/2242 af 30. november 2017 om bemyndigelse til at indlede forhandlinger om ændring af den internationale sukkeroverenskomst af 1992 (EUT L 322 af 7.12.2017, s. 29).</w:t>
      </w:r>
    </w:p>
  </w:footnote>
  <w:footnote w:id="4">
    <w:p>
      <w:pPr>
        <w:pStyle w:val="FootnoteText"/>
      </w:pPr>
      <w:r>
        <w:rPr>
          <w:rStyle w:val="FootnoteReference"/>
        </w:rPr>
        <w:footnoteRef/>
      </w:r>
      <w:r>
        <w:tab/>
        <w:t>Rådets afgørelse (EU) 2019/2136 af 5. december 2019 om bemyndigelse til at indlede forhandlinger om ændring af den internationale sukkeroverenskomst af 1992 (EUT L 324 af 13.12.2019, s. 3).</w:t>
      </w:r>
    </w:p>
  </w:footnote>
  <w:footnote w:id="5">
    <w:p>
      <w:pPr>
        <w:pStyle w:val="FootnoteText"/>
      </w:pPr>
      <w:r>
        <w:rPr>
          <w:rStyle w:val="FootnoteReference"/>
        </w:rPr>
        <w:footnoteRef/>
      </w:r>
      <w:r>
        <w:tab/>
        <w:t>Antallet af stemmer, der er bestemt i overensstemmelse med artikel 25, sammen med beløbet pr. stemme bruges til at beregne hvert medlems finansielle bidrag til det årlige ISO-budget.</w:t>
      </w:r>
    </w:p>
  </w:footnote>
  <w:footnote w:id="6">
    <w:p>
      <w:pPr>
        <w:pStyle w:val="FootnoteText"/>
      </w:pPr>
      <w:r>
        <w:rPr>
          <w:rStyle w:val="FootnoteReference"/>
          <w:lang w:val="en-IE"/>
        </w:rPr>
        <w:footnoteRef/>
      </w:r>
      <w:r>
        <w:tab/>
        <w:t>Kommissionen har udarbejdet et forslag til Rådets afgørelse om yderligere forlængelse af ISA indtil december 2023. Vedtagelsesproceduren for dette forslag er i gang.</w:t>
      </w:r>
    </w:p>
  </w:footnote>
  <w:footnote w:id="7">
    <w:p>
      <w:pPr>
        <w:pStyle w:val="FootnoteText"/>
      </w:pPr>
      <w:r>
        <w:rPr>
          <w:rStyle w:val="FootnoteReference"/>
        </w:rPr>
        <w:footnoteRef/>
      </w:r>
      <w:r>
        <w:tab/>
        <w:t>Domstolens dom af 7. oktober 2014 i sag C-399/12, Tyskland mod Rådet, ECLI:EU:C:2014:2258, præmis 61-64.</w:t>
      </w:r>
    </w:p>
  </w:footnote>
  <w:footnote w:id="8">
    <w:p>
      <w:pPr>
        <w:pStyle w:val="FootnoteText"/>
      </w:pPr>
      <w:r>
        <w:rPr>
          <w:rStyle w:val="FootnoteReference"/>
        </w:rPr>
        <w:t>1</w:t>
      </w:r>
      <w:r>
        <w:tab/>
        <w:t>Rådets afgørelse 92/580/EØF af 13. november 1992 om undertegnelse og indgåelse af den internationale sukkeroverenskomst af 1992 (EFT L 379 af 23.12.1992, s. 15).</w:t>
      </w:r>
    </w:p>
  </w:footnote>
  <w:footnote w:id="9">
    <w:p>
      <w:pPr>
        <w:pStyle w:val="FootnoteText"/>
      </w:pPr>
      <w:r>
        <w:rPr>
          <w:rStyle w:val="FootnoteReference"/>
        </w:rPr>
        <w:t>2</w:t>
      </w:r>
      <w:r>
        <w:tab/>
        <w:t>Rådets afgørelse (EU) 2017/2242 af 30. november 2017 om bemyndigelse til at indlede forhandlinger om ændring af den internationale sukkeroverenskomst af 1992 (EUT L 322 af 7.12.2017, s. 29).</w:t>
      </w:r>
    </w:p>
  </w:footnote>
  <w:footnote w:id="10">
    <w:p>
      <w:pPr>
        <w:pStyle w:val="FootnoteText"/>
      </w:pPr>
      <w:r>
        <w:rPr>
          <w:rStyle w:val="FootnoteReference"/>
        </w:rPr>
        <w:t>3</w:t>
      </w:r>
      <w:r>
        <w:tab/>
        <w:t>Rådets afgørelse (EU) 2019/2136 af 5. december 2019 om bemyndigelse til at indlede forhandlinger om ændring af den internationale sukkeroverenskomst af 1992 (EUT L 324 af 13.12.2019, s.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F305FA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98824F64"/>
    <w:lvl w:ilvl="0">
      <w:start w:val="1"/>
      <w:numFmt w:val="decimal"/>
      <w:pStyle w:val="ListNumber3"/>
      <w:lvlText w:val="%1."/>
      <w:lvlJc w:val="left"/>
      <w:pPr>
        <w:tabs>
          <w:tab w:val="num" w:pos="926"/>
        </w:tabs>
        <w:ind w:left="926" w:hanging="360"/>
      </w:pPr>
    </w:lvl>
  </w:abstractNum>
  <w:abstractNum w:abstractNumId="2">
    <w:nsid w:val="FFFFFF7F"/>
    <w:multiLevelType w:val="singleLevel"/>
    <w:tmpl w:val="EAEC058E"/>
    <w:lvl w:ilvl="0">
      <w:start w:val="1"/>
      <w:numFmt w:val="decimal"/>
      <w:pStyle w:val="ListNumber2"/>
      <w:lvlText w:val="%1."/>
      <w:lvlJc w:val="left"/>
      <w:pPr>
        <w:tabs>
          <w:tab w:val="num" w:pos="643"/>
        </w:tabs>
        <w:ind w:left="643" w:hanging="360"/>
      </w:pPr>
    </w:lvl>
  </w:abstractNum>
  <w:abstractNum w:abstractNumId="3">
    <w:nsid w:val="FFFFFF81"/>
    <w:multiLevelType w:val="singleLevel"/>
    <w:tmpl w:val="01DA57C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349237B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5D6ED27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C9E602B0"/>
    <w:lvl w:ilvl="0">
      <w:start w:val="1"/>
      <w:numFmt w:val="decimal"/>
      <w:pStyle w:val="ListNumber"/>
      <w:lvlText w:val="%1."/>
      <w:lvlJc w:val="left"/>
      <w:pPr>
        <w:tabs>
          <w:tab w:val="num" w:pos="360"/>
        </w:tabs>
        <w:ind w:left="360" w:hanging="360"/>
      </w:pPr>
    </w:lvl>
  </w:abstractNum>
  <w:abstractNum w:abstractNumId="7">
    <w:nsid w:val="FFFFFF89"/>
    <w:multiLevelType w:val="singleLevel"/>
    <w:tmpl w:val="DEC6DAB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
  </w:num>
  <w:num w:numId="2">
    <w:abstractNumId w:val="6"/>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num>
  <w:num w:numId="6">
    <w:abstractNumId w:val="7"/>
  </w:num>
  <w:num w:numId="7">
    <w:abstractNumId w:val="5"/>
  </w:num>
  <w:num w:numId="8">
    <w:abstractNumId w:val="4"/>
  </w:num>
  <w:num w:numId="9">
    <w:abstractNumId w:val="3"/>
  </w:num>
  <w:num w:numId="10">
    <w:abstractNumId w:val="2"/>
  </w:num>
  <w:num w:numId="11">
    <w:abstractNumId w:val="0"/>
  </w:num>
  <w:num w:numId="12">
    <w:abstractNumId w:val="22"/>
    <w:lvlOverride w:ilvl="0">
      <w:startOverride w:val="1"/>
    </w:lvlOverride>
  </w:num>
  <w:num w:numId="13">
    <w:abstractNumId w:val="19"/>
  </w:num>
  <w:num w:numId="14">
    <w:abstractNumId w:val="12"/>
  </w:num>
  <w:num w:numId="15">
    <w:abstractNumId w:val="21"/>
  </w:num>
  <w:num w:numId="16">
    <w:abstractNumId w:val="11"/>
  </w:num>
  <w:num w:numId="17">
    <w:abstractNumId w:val="13"/>
  </w:num>
  <w:num w:numId="18">
    <w:abstractNumId w:val="14"/>
  </w:num>
  <w:num w:numId="19">
    <w:abstractNumId w:val="9"/>
  </w:num>
  <w:num w:numId="20">
    <w:abstractNumId w:val="20"/>
  </w:num>
  <w:num w:numId="21">
    <w:abstractNumId w:val="8"/>
  </w:num>
  <w:num w:numId="22">
    <w:abstractNumId w:val="15"/>
  </w:num>
  <w:num w:numId="23">
    <w:abstractNumId w:val="17"/>
  </w:num>
  <w:num w:numId="24">
    <w:abstractNumId w:val="18"/>
  </w:num>
  <w:num w:numId="25">
    <w:abstractNumId w:val="10"/>
  </w:num>
  <w:num w:numId="26">
    <w:abstractNumId w:val="16"/>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2"/>
  <w:hideSpellingErrors/>
  <w:hideGrammaticalErrors/>
  <w:attachedTemplate r:id="rId1"/>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9-08 09:41:02"/>
    <w:docVar w:name="DQCResult_Distribution" w:val="0;1"/>
    <w:docVar w:name="DQCResult_DocumentContent" w:val="0;0"/>
    <w:docVar w:name="DQCResult_DocumentSize" w:val="0;0"/>
    <w:docVar w:name="DQCResult_DocumentVersions" w:val="0;0"/>
    <w:docVar w:name="DQCResult_InvalidFootnotes" w:val="0;3"/>
    <w:docVar w:name="DQCResult_LinkedStyles" w:val="0;0"/>
    <w:docVar w:name="DQCResult_ModifiedMargins" w:val="0;6"/>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5B0052DB-AE94-4076-AF8F-43EAEE19B769"/>
    <w:docVar w:name="LW_COVERPAGE_TYPE" w:val="1"/>
    <w:docVar w:name="LW_CROSSREFERENCE" w:val="{SWD(2021) 235 final}"/>
    <w:docVar w:name="LW_DocType" w:val="COM"/>
    <w:docVar w:name="LW_EMISSION" w:val="8.9.2021"/>
    <w:docVar w:name="LW_EMISSION_ISODATE" w:val="2021-09-08"/>
    <w:docVar w:name="LW_EMISSION_LOCATION" w:val="BRX"/>
    <w:docVar w:name="LW_EMISSION_PREFIX" w:val="Bruxelles, den "/>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DA"/>
    <w:docVar w:name="LW_LEVEL_OF_SENSITIVITY" w:val="Standard treatment"/>
    <w:docVar w:name="LW_NOM.INST" w:val="EUROPA-KOMMISSIONEN"/>
    <w:docVar w:name="LW_NOM.INST_JOINTDOC" w:val="&lt;EMPTY&gt;"/>
    <w:docVar w:name="LW_PART_NBR" w:val="1"/>
    <w:docVar w:name="LW_PART_NBR_TOTAL" w:val="1"/>
    <w:docVar w:name="LW_REF.II.NEW.CP" w:val="NLE"/>
    <w:docVar w:name="LW_REF.II.NEW.CP_NUMBER" w:val="0286"/>
    <w:docVar w:name="LW_REF.II.NEW.CP_YEAR" w:val="2021"/>
    <w:docVar w:name="LW_REF.INST.NEW" w:val="COM"/>
    <w:docVar w:name="LW_REF.INST.NEW_ADOPTED" w:val="final"/>
    <w:docVar w:name="LW_REF.INST.NEW_TEXT" w:val="(2021) 53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Forslag til"/>
    <w:docVar w:name="LW_SUPERTITRE" w:val="&lt;UNUSED&gt;"/>
    <w:docVar w:name="LW_TITRE.OBJ.CP" w:val="om den holdning, der skal indtages på Den Europæiske Unions vegne i Det Internationale Sukkerråd for så vidt angår ændring af den internationale sukkeroverenskomst af 1992"/>
    <w:docVar w:name="LW_TYPE.DOC.CP" w:val="RÅDETS AFGØRELSE"/>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da-DK"/>
    </w:rPr>
  </w:style>
  <w:style w:type="paragraph" w:styleId="Heading1">
    <w:name w:val="heading 1"/>
    <w:basedOn w:val="Normal"/>
    <w:next w:val="Text1"/>
    <w:link w:val="Heading1Char"/>
    <w:uiPriority w:val="9"/>
    <w:qFormat/>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ListNumber3">
    <w:name w:val="List Number 3"/>
    <w:basedOn w:val="Normal"/>
    <w:uiPriority w:val="99"/>
    <w:semiHidden/>
    <w:unhideWhenUsed/>
    <w:pPr>
      <w:numPr>
        <w:numId w:val="1"/>
      </w:numPr>
      <w:contextualSpacing/>
    </w:pPr>
  </w:style>
  <w:style w:type="paragraph" w:styleId="ListNumber">
    <w:name w:val="List Number"/>
    <w:basedOn w:val="Normal"/>
    <w:uiPriority w:val="99"/>
    <w:semiHidden/>
    <w:unhideWhenUsed/>
    <w:pPr>
      <w:numPr>
        <w:numId w:val="2"/>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6"/>
      </w:numPr>
      <w:contextualSpacing/>
    </w:pPr>
  </w:style>
  <w:style w:type="paragraph" w:styleId="ListBullet2">
    <w:name w:val="List Bullet 2"/>
    <w:basedOn w:val="Normal"/>
    <w:uiPriority w:val="99"/>
    <w:semiHidden/>
    <w:unhideWhenUsed/>
    <w:pPr>
      <w:numPr>
        <w:numId w:val="7"/>
      </w:numPr>
      <w:contextualSpacing/>
    </w:pPr>
  </w:style>
  <w:style w:type="paragraph" w:styleId="ListBullet3">
    <w:name w:val="List Bullet 3"/>
    <w:basedOn w:val="Normal"/>
    <w:uiPriority w:val="99"/>
    <w:semiHidden/>
    <w:unhideWhenUsed/>
    <w:pPr>
      <w:numPr>
        <w:numId w:val="8"/>
      </w:numPr>
      <w:contextualSpacing/>
    </w:pPr>
  </w:style>
  <w:style w:type="paragraph" w:styleId="ListBullet4">
    <w:name w:val="List Bullet 4"/>
    <w:basedOn w:val="Normal"/>
    <w:uiPriority w:val="99"/>
    <w:semiHidden/>
    <w:unhideWhenUsed/>
    <w:pPr>
      <w:numPr>
        <w:numId w:val="9"/>
      </w:numPr>
      <w:contextualSpacing/>
    </w:pPr>
  </w:style>
  <w:style w:type="paragraph" w:styleId="ListNumber2">
    <w:name w:val="List Number 2"/>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a-DK"/>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da-DK"/>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Fichefinanciretextetable">
    <w:name w:val="Fiche financière texte (table)"/>
    <w:basedOn w:val="Normal"/>
    <w:pPr>
      <w:spacing w:before="0" w:after="0"/>
      <w:jc w:val="left"/>
    </w:pPr>
    <w:rPr>
      <w:rFonts w:eastAsia="Times New Roman"/>
      <w:sz w:val="20"/>
      <w:szCs w:val="20"/>
      <w:lang w:eastAsia="en-GB"/>
    </w:rPr>
  </w:style>
  <w:style w:type="paragraph" w:customStyle="1" w:styleId="Fichefinanciretitretable">
    <w:name w:val="Fiche financière titre (table)"/>
    <w:basedOn w:val="Normal"/>
    <w:pPr>
      <w:jc w:val="center"/>
    </w:pPr>
    <w:rPr>
      <w:rFonts w:eastAsia="Times New Roman"/>
      <w:b/>
      <w:sz w:val="40"/>
      <w:szCs w:val="20"/>
      <w:lang w:eastAsia="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da-DK"/>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da-D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da-DK"/>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da-DK"/>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da-DK"/>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da-DK"/>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da-DK"/>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da-DK"/>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da-DK"/>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Tiret5">
    <w:name w:val="Tiret 5"/>
    <w:basedOn w:val="Point5"/>
    <w:pPr>
      <w:numPr>
        <w:numId w:val="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9"/>
      </w:numPr>
    </w:pPr>
  </w:style>
  <w:style w:type="paragraph" w:customStyle="1" w:styleId="NumPar2">
    <w:name w:val="NumPar 2"/>
    <w:basedOn w:val="Normal"/>
    <w:next w:val="Text1"/>
    <w:pPr>
      <w:numPr>
        <w:ilvl w:val="1"/>
        <w:numId w:val="19"/>
      </w:numPr>
    </w:pPr>
  </w:style>
  <w:style w:type="paragraph" w:customStyle="1" w:styleId="NumPar3">
    <w:name w:val="NumPar 3"/>
    <w:basedOn w:val="Normal"/>
    <w:next w:val="Text1"/>
    <w:pPr>
      <w:numPr>
        <w:ilvl w:val="2"/>
        <w:numId w:val="19"/>
      </w:numPr>
    </w:pPr>
  </w:style>
  <w:style w:type="paragraph" w:customStyle="1" w:styleId="NumPar4">
    <w:name w:val="NumPar 4"/>
    <w:basedOn w:val="Normal"/>
    <w:next w:val="Text1"/>
    <w:pPr>
      <w:numPr>
        <w:ilvl w:val="3"/>
        <w:numId w:val="19"/>
      </w:numPr>
    </w:pPr>
  </w:style>
  <w:style w:type="paragraph" w:customStyle="1" w:styleId="NumPar5">
    <w:name w:val="NumPar 5"/>
    <w:basedOn w:val="Normal"/>
    <w:next w:val="Text2"/>
    <w:pPr>
      <w:numPr>
        <w:ilvl w:val="4"/>
        <w:numId w:val="19"/>
      </w:numPr>
    </w:pPr>
  </w:style>
  <w:style w:type="paragraph" w:customStyle="1" w:styleId="NumPar6">
    <w:name w:val="NumPar 6"/>
    <w:basedOn w:val="Normal"/>
    <w:next w:val="Text2"/>
    <w:pPr>
      <w:numPr>
        <w:ilvl w:val="5"/>
        <w:numId w:val="19"/>
      </w:numPr>
    </w:pPr>
  </w:style>
  <w:style w:type="paragraph" w:customStyle="1" w:styleId="NumPar7">
    <w:name w:val="NumPar 7"/>
    <w:basedOn w:val="Normal"/>
    <w:next w:val="Text2"/>
    <w:pPr>
      <w:numPr>
        <w:ilvl w:val="6"/>
        <w:numId w:val="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1"/>
      </w:numPr>
    </w:pPr>
  </w:style>
  <w:style w:type="paragraph" w:customStyle="1" w:styleId="Point1number">
    <w:name w:val="Point 1 (number)"/>
    <w:basedOn w:val="Normal"/>
    <w:pPr>
      <w:numPr>
        <w:ilvl w:val="2"/>
        <w:numId w:val="21"/>
      </w:numPr>
    </w:pPr>
  </w:style>
  <w:style w:type="paragraph" w:customStyle="1" w:styleId="Point2number">
    <w:name w:val="Point 2 (number)"/>
    <w:basedOn w:val="Normal"/>
    <w:pPr>
      <w:numPr>
        <w:ilvl w:val="4"/>
        <w:numId w:val="21"/>
      </w:numPr>
    </w:pPr>
  </w:style>
  <w:style w:type="paragraph" w:customStyle="1" w:styleId="Point3number">
    <w:name w:val="Point 3 (number)"/>
    <w:basedOn w:val="Normal"/>
    <w:pPr>
      <w:numPr>
        <w:ilvl w:val="6"/>
        <w:numId w:val="21"/>
      </w:numPr>
    </w:pPr>
  </w:style>
  <w:style w:type="paragraph" w:customStyle="1" w:styleId="Point0letter">
    <w:name w:val="Point 0 (letter)"/>
    <w:basedOn w:val="Normal"/>
    <w:pPr>
      <w:numPr>
        <w:ilvl w:val="1"/>
        <w:numId w:val="21"/>
      </w:numPr>
    </w:pPr>
  </w:style>
  <w:style w:type="paragraph" w:customStyle="1" w:styleId="Point1letter">
    <w:name w:val="Point 1 (letter)"/>
    <w:basedOn w:val="Normal"/>
    <w:pPr>
      <w:numPr>
        <w:ilvl w:val="3"/>
        <w:numId w:val="21"/>
      </w:numPr>
    </w:pPr>
  </w:style>
  <w:style w:type="paragraph" w:customStyle="1" w:styleId="Point2letter">
    <w:name w:val="Point 2 (letter)"/>
    <w:basedOn w:val="Normal"/>
    <w:pPr>
      <w:numPr>
        <w:ilvl w:val="5"/>
        <w:numId w:val="21"/>
      </w:numPr>
    </w:pPr>
  </w:style>
  <w:style w:type="paragraph" w:customStyle="1" w:styleId="Point3letter">
    <w:name w:val="Point 3 (letter)"/>
    <w:basedOn w:val="Normal"/>
    <w:pPr>
      <w:numPr>
        <w:ilvl w:val="7"/>
        <w:numId w:val="21"/>
      </w:numPr>
    </w:pPr>
  </w:style>
  <w:style w:type="paragraph" w:customStyle="1" w:styleId="Point4letter">
    <w:name w:val="Point 4 (letter)"/>
    <w:basedOn w:val="Normal"/>
    <w:pPr>
      <w:numPr>
        <w:ilvl w:val="8"/>
        <w:numId w:val="21"/>
      </w:numPr>
    </w:pPr>
  </w:style>
  <w:style w:type="paragraph" w:customStyle="1" w:styleId="Bullet0">
    <w:name w:val="Bullet 0"/>
    <w:basedOn w:val="Normal"/>
    <w:pPr>
      <w:numPr>
        <w:numId w:val="22"/>
      </w:numPr>
    </w:pPr>
  </w:style>
  <w:style w:type="paragraph" w:customStyle="1" w:styleId="Bullet1">
    <w:name w:val="Bullet 1"/>
    <w:basedOn w:val="Normal"/>
    <w:pPr>
      <w:numPr>
        <w:numId w:val="23"/>
      </w:numPr>
    </w:pPr>
  </w:style>
  <w:style w:type="paragraph" w:customStyle="1" w:styleId="Bullet2">
    <w:name w:val="Bullet 2"/>
    <w:basedOn w:val="Normal"/>
    <w:pPr>
      <w:numPr>
        <w:numId w:val="24"/>
      </w:numPr>
    </w:pPr>
  </w:style>
  <w:style w:type="paragraph" w:customStyle="1" w:styleId="Bullet3">
    <w:name w:val="Bullet 3"/>
    <w:basedOn w:val="Normal"/>
    <w:pPr>
      <w:numPr>
        <w:numId w:val="25"/>
      </w:numPr>
    </w:pPr>
  </w:style>
  <w:style w:type="paragraph" w:customStyle="1" w:styleId="Bullet4">
    <w:name w:val="Bullet 4"/>
    <w:basedOn w:val="Normal"/>
    <w:pPr>
      <w:numPr>
        <w:numId w:val="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da-DK"/>
    </w:rPr>
  </w:style>
  <w:style w:type="paragraph" w:styleId="Heading1">
    <w:name w:val="heading 1"/>
    <w:basedOn w:val="Normal"/>
    <w:next w:val="Text1"/>
    <w:link w:val="Heading1Char"/>
    <w:uiPriority w:val="9"/>
    <w:qFormat/>
    <w:pPr>
      <w:keepNext/>
      <w:numPr>
        <w:numId w:val="2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ListNumber3">
    <w:name w:val="List Number 3"/>
    <w:basedOn w:val="Normal"/>
    <w:uiPriority w:val="99"/>
    <w:semiHidden/>
    <w:unhideWhenUsed/>
    <w:pPr>
      <w:numPr>
        <w:numId w:val="1"/>
      </w:numPr>
      <w:contextualSpacing/>
    </w:pPr>
  </w:style>
  <w:style w:type="paragraph" w:styleId="ListNumber">
    <w:name w:val="List Number"/>
    <w:basedOn w:val="Normal"/>
    <w:uiPriority w:val="99"/>
    <w:semiHidden/>
    <w:unhideWhenUsed/>
    <w:pPr>
      <w:numPr>
        <w:numId w:val="2"/>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6"/>
      </w:numPr>
      <w:contextualSpacing/>
    </w:pPr>
  </w:style>
  <w:style w:type="paragraph" w:styleId="ListBullet2">
    <w:name w:val="List Bullet 2"/>
    <w:basedOn w:val="Normal"/>
    <w:uiPriority w:val="99"/>
    <w:semiHidden/>
    <w:unhideWhenUsed/>
    <w:pPr>
      <w:numPr>
        <w:numId w:val="7"/>
      </w:numPr>
      <w:contextualSpacing/>
    </w:pPr>
  </w:style>
  <w:style w:type="paragraph" w:styleId="ListBullet3">
    <w:name w:val="List Bullet 3"/>
    <w:basedOn w:val="Normal"/>
    <w:uiPriority w:val="99"/>
    <w:semiHidden/>
    <w:unhideWhenUsed/>
    <w:pPr>
      <w:numPr>
        <w:numId w:val="8"/>
      </w:numPr>
      <w:contextualSpacing/>
    </w:pPr>
  </w:style>
  <w:style w:type="paragraph" w:styleId="ListBullet4">
    <w:name w:val="List Bullet 4"/>
    <w:basedOn w:val="Normal"/>
    <w:uiPriority w:val="99"/>
    <w:semiHidden/>
    <w:unhideWhenUsed/>
    <w:pPr>
      <w:numPr>
        <w:numId w:val="9"/>
      </w:numPr>
      <w:contextualSpacing/>
    </w:pPr>
  </w:style>
  <w:style w:type="paragraph" w:styleId="ListNumber2">
    <w:name w:val="List Number 2"/>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a-DK"/>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da-DK"/>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Fichefinanciretextetable">
    <w:name w:val="Fiche financière texte (table)"/>
    <w:basedOn w:val="Normal"/>
    <w:pPr>
      <w:spacing w:before="0" w:after="0"/>
      <w:jc w:val="left"/>
    </w:pPr>
    <w:rPr>
      <w:rFonts w:eastAsia="Times New Roman"/>
      <w:sz w:val="20"/>
      <w:szCs w:val="20"/>
      <w:lang w:eastAsia="en-GB"/>
    </w:rPr>
  </w:style>
  <w:style w:type="paragraph" w:customStyle="1" w:styleId="Fichefinanciretitretable">
    <w:name w:val="Fiche financière titre (table)"/>
    <w:basedOn w:val="Normal"/>
    <w:pPr>
      <w:jc w:val="center"/>
    </w:pPr>
    <w:rPr>
      <w:rFonts w:eastAsia="Times New Roman"/>
      <w:b/>
      <w:sz w:val="40"/>
      <w:szCs w:val="20"/>
      <w:lang w:eastAsia="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da-DK"/>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da-D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da-DK"/>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da-DK"/>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da-DK"/>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da-DK"/>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da-DK"/>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da-DK"/>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da-DK"/>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Tiret5">
    <w:name w:val="Tiret 5"/>
    <w:basedOn w:val="Point5"/>
    <w:pPr>
      <w:numPr>
        <w:numId w:val="1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9"/>
      </w:numPr>
    </w:pPr>
  </w:style>
  <w:style w:type="paragraph" w:customStyle="1" w:styleId="NumPar2">
    <w:name w:val="NumPar 2"/>
    <w:basedOn w:val="Normal"/>
    <w:next w:val="Text1"/>
    <w:pPr>
      <w:numPr>
        <w:ilvl w:val="1"/>
        <w:numId w:val="19"/>
      </w:numPr>
    </w:pPr>
  </w:style>
  <w:style w:type="paragraph" w:customStyle="1" w:styleId="NumPar3">
    <w:name w:val="NumPar 3"/>
    <w:basedOn w:val="Normal"/>
    <w:next w:val="Text1"/>
    <w:pPr>
      <w:numPr>
        <w:ilvl w:val="2"/>
        <w:numId w:val="19"/>
      </w:numPr>
    </w:pPr>
  </w:style>
  <w:style w:type="paragraph" w:customStyle="1" w:styleId="NumPar4">
    <w:name w:val="NumPar 4"/>
    <w:basedOn w:val="Normal"/>
    <w:next w:val="Text1"/>
    <w:pPr>
      <w:numPr>
        <w:ilvl w:val="3"/>
        <w:numId w:val="19"/>
      </w:numPr>
    </w:pPr>
  </w:style>
  <w:style w:type="paragraph" w:customStyle="1" w:styleId="NumPar5">
    <w:name w:val="NumPar 5"/>
    <w:basedOn w:val="Normal"/>
    <w:next w:val="Text2"/>
    <w:pPr>
      <w:numPr>
        <w:ilvl w:val="4"/>
        <w:numId w:val="19"/>
      </w:numPr>
    </w:pPr>
  </w:style>
  <w:style w:type="paragraph" w:customStyle="1" w:styleId="NumPar6">
    <w:name w:val="NumPar 6"/>
    <w:basedOn w:val="Normal"/>
    <w:next w:val="Text2"/>
    <w:pPr>
      <w:numPr>
        <w:ilvl w:val="5"/>
        <w:numId w:val="19"/>
      </w:numPr>
    </w:pPr>
  </w:style>
  <w:style w:type="paragraph" w:customStyle="1" w:styleId="NumPar7">
    <w:name w:val="NumPar 7"/>
    <w:basedOn w:val="Normal"/>
    <w:next w:val="Text2"/>
    <w:pPr>
      <w:numPr>
        <w:ilvl w:val="6"/>
        <w:numId w:val="1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1"/>
      </w:numPr>
    </w:pPr>
  </w:style>
  <w:style w:type="paragraph" w:customStyle="1" w:styleId="Point1number">
    <w:name w:val="Point 1 (number)"/>
    <w:basedOn w:val="Normal"/>
    <w:pPr>
      <w:numPr>
        <w:ilvl w:val="2"/>
        <w:numId w:val="21"/>
      </w:numPr>
    </w:pPr>
  </w:style>
  <w:style w:type="paragraph" w:customStyle="1" w:styleId="Point2number">
    <w:name w:val="Point 2 (number)"/>
    <w:basedOn w:val="Normal"/>
    <w:pPr>
      <w:numPr>
        <w:ilvl w:val="4"/>
        <w:numId w:val="21"/>
      </w:numPr>
    </w:pPr>
  </w:style>
  <w:style w:type="paragraph" w:customStyle="1" w:styleId="Point3number">
    <w:name w:val="Point 3 (number)"/>
    <w:basedOn w:val="Normal"/>
    <w:pPr>
      <w:numPr>
        <w:ilvl w:val="6"/>
        <w:numId w:val="21"/>
      </w:numPr>
    </w:pPr>
  </w:style>
  <w:style w:type="paragraph" w:customStyle="1" w:styleId="Point0letter">
    <w:name w:val="Point 0 (letter)"/>
    <w:basedOn w:val="Normal"/>
    <w:pPr>
      <w:numPr>
        <w:ilvl w:val="1"/>
        <w:numId w:val="21"/>
      </w:numPr>
    </w:pPr>
  </w:style>
  <w:style w:type="paragraph" w:customStyle="1" w:styleId="Point1letter">
    <w:name w:val="Point 1 (letter)"/>
    <w:basedOn w:val="Normal"/>
    <w:pPr>
      <w:numPr>
        <w:ilvl w:val="3"/>
        <w:numId w:val="21"/>
      </w:numPr>
    </w:pPr>
  </w:style>
  <w:style w:type="paragraph" w:customStyle="1" w:styleId="Point2letter">
    <w:name w:val="Point 2 (letter)"/>
    <w:basedOn w:val="Normal"/>
    <w:pPr>
      <w:numPr>
        <w:ilvl w:val="5"/>
        <w:numId w:val="21"/>
      </w:numPr>
    </w:pPr>
  </w:style>
  <w:style w:type="paragraph" w:customStyle="1" w:styleId="Point3letter">
    <w:name w:val="Point 3 (letter)"/>
    <w:basedOn w:val="Normal"/>
    <w:pPr>
      <w:numPr>
        <w:ilvl w:val="7"/>
        <w:numId w:val="21"/>
      </w:numPr>
    </w:pPr>
  </w:style>
  <w:style w:type="paragraph" w:customStyle="1" w:styleId="Point4letter">
    <w:name w:val="Point 4 (letter)"/>
    <w:basedOn w:val="Normal"/>
    <w:pPr>
      <w:numPr>
        <w:ilvl w:val="8"/>
        <w:numId w:val="21"/>
      </w:numPr>
    </w:pPr>
  </w:style>
  <w:style w:type="paragraph" w:customStyle="1" w:styleId="Bullet0">
    <w:name w:val="Bullet 0"/>
    <w:basedOn w:val="Normal"/>
    <w:pPr>
      <w:numPr>
        <w:numId w:val="22"/>
      </w:numPr>
    </w:pPr>
  </w:style>
  <w:style w:type="paragraph" w:customStyle="1" w:styleId="Bullet1">
    <w:name w:val="Bullet 1"/>
    <w:basedOn w:val="Normal"/>
    <w:pPr>
      <w:numPr>
        <w:numId w:val="23"/>
      </w:numPr>
    </w:pPr>
  </w:style>
  <w:style w:type="paragraph" w:customStyle="1" w:styleId="Bullet2">
    <w:name w:val="Bullet 2"/>
    <w:basedOn w:val="Normal"/>
    <w:pPr>
      <w:numPr>
        <w:numId w:val="24"/>
      </w:numPr>
    </w:pPr>
  </w:style>
  <w:style w:type="paragraph" w:customStyle="1" w:styleId="Bullet3">
    <w:name w:val="Bullet 3"/>
    <w:basedOn w:val="Normal"/>
    <w:pPr>
      <w:numPr>
        <w:numId w:val="25"/>
      </w:numPr>
    </w:pPr>
  </w:style>
  <w:style w:type="paragraph" w:customStyle="1" w:styleId="Bullet4">
    <w:name w:val="Bullet 4"/>
    <w:basedOn w:val="Normal"/>
    <w:pPr>
      <w:numPr>
        <w:numId w:val="2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925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D49B0B8-774A-41E2-9397-84CC5E93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11</Pages>
  <Words>3511</Words>
  <Characters>19768</Characters>
  <Application>Microsoft Office Word</Application>
  <DocSecurity>0</DocSecurity>
  <Lines>403</Lines>
  <Paragraphs>168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dcterms:created xsi:type="dcterms:W3CDTF">2021-09-07T10:06:00Z</dcterms:created>
  <dcterms:modified xsi:type="dcterms:W3CDTF">2021-09-08T07:41:00Z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20200226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DQCStatus">
    <vt:lpwstr>Green (DQC version 03)</vt:lpwstr>
  </property>
  <property name="OP_sanitized" fmtid="{D5CDD505-2E9C-101B-9397-08002B2CF9AE}" pid="11">
    <vt:lpwstr>True</vt:lpwstr>
  </property>
</Properties>
</file>