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2FD11492710649BCB2529ABA890015EA" style="width:450.75pt;height:396.75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1"/>
          <w:cols w:space="720"/>
          <w:docGrid w:linePitch="360"/>
        </w:sectPr>
      </w:pPr>
    </w:p>
    <w:p>
      <w:pPr>
        <w:pStyle w:val="Annexetitre"/>
        <w:spacing w:after="240"/>
        <w:rPr>
          <w:noProof/>
        </w:rPr>
      </w:pPr>
      <w:bookmarkStart w:id="0" w:name="_GoBack"/>
      <w:bookmarkEnd w:id="0"/>
      <w:r>
        <w:rPr>
          <w:noProof/>
        </w:rPr>
        <w:lastRenderedPageBreak/>
        <w:t xml:space="preserve">ANEXO XI </w:t>
      </w:r>
    </w:p>
    <w:p>
      <w:pPr>
        <w:jc w:val="center"/>
        <w:rPr>
          <w:noProof/>
        </w:rPr>
      </w:pPr>
      <w:r>
        <w:rPr>
          <w:noProof/>
        </w:rPr>
        <w:t>(Secção B do Anexo VIII do Acordo a que se refere o artigo 118.º do Acordo)</w:t>
      </w:r>
    </w:p>
    <w:p>
      <w:pPr>
        <w:jc w:val="center"/>
        <w:rPr>
          <w:noProof/>
        </w:rPr>
      </w:pPr>
      <w:r>
        <w:rPr>
          <w:noProof/>
        </w:rPr>
        <w:t xml:space="preserve">LISTA DE COMPROMISSOS EM MATÉRIA DE PRESTAÇÃO DE SERVIÇOS TRANSFRONTEIRAS </w:t>
      </w:r>
    </w:p>
    <w:p>
      <w:pPr>
        <w:spacing w:after="240"/>
        <w:jc w:val="center"/>
        <w:rPr>
          <w:noProof/>
        </w:rPr>
      </w:pPr>
      <w:r>
        <w:rPr>
          <w:noProof/>
        </w:rPr>
        <w:t>"SECÇÃO</w:t>
      </w:r>
      <w:r>
        <w:rPr>
          <w:noProof/>
          <w:sz w:val="22"/>
        </w:rPr>
        <w:t xml:space="preserve"> </w:t>
      </w:r>
      <w:r>
        <w:rPr>
          <w:noProof/>
        </w:rPr>
        <w:t>B</w:t>
      </w:r>
    </w:p>
    <w:p>
      <w:pPr>
        <w:spacing w:after="240"/>
        <w:jc w:val="center"/>
        <w:rPr>
          <w:noProof/>
        </w:rPr>
      </w:pPr>
      <w:r>
        <w:rPr>
          <w:noProof/>
        </w:rPr>
        <w:t>PARTE UE</w:t>
      </w:r>
    </w:p>
    <w:p>
      <w:pPr>
        <w:tabs>
          <w:tab w:val="left" w:pos="0"/>
        </w:tabs>
        <w:suppressAutoHyphens/>
        <w:spacing w:after="360" w:line="240" w:lineRule="atLeast"/>
        <w:rPr>
          <w:noProof/>
          <w:spacing w:val="-2"/>
        </w:rPr>
      </w:pPr>
      <w:r>
        <w:rPr>
          <w:noProof/>
        </w:rPr>
        <w:t>São utilizadas as seguintes abreviaturas:</w:t>
      </w:r>
    </w:p>
    <w:p>
      <w:pPr>
        <w:tabs>
          <w:tab w:val="left" w:pos="720"/>
        </w:tabs>
        <w:rPr>
          <w:noProof/>
          <w:spacing w:val="-2"/>
        </w:rPr>
      </w:pPr>
      <w:r>
        <w:rPr>
          <w:noProof/>
        </w:rPr>
        <w:t>AT</w:t>
      </w:r>
      <w:r>
        <w:rPr>
          <w:noProof/>
        </w:rPr>
        <w:tab/>
        <w:t>Áustria</w:t>
      </w:r>
    </w:p>
    <w:p>
      <w:pPr>
        <w:tabs>
          <w:tab w:val="left" w:pos="720"/>
        </w:tabs>
        <w:rPr>
          <w:noProof/>
          <w:spacing w:val="-2"/>
        </w:rPr>
      </w:pPr>
      <w:r>
        <w:rPr>
          <w:noProof/>
        </w:rPr>
        <w:t>BE</w:t>
      </w:r>
      <w:r>
        <w:rPr>
          <w:noProof/>
        </w:rPr>
        <w:tab/>
        <w:t>Bélgica</w:t>
      </w:r>
    </w:p>
    <w:p>
      <w:pPr>
        <w:tabs>
          <w:tab w:val="left" w:pos="720"/>
        </w:tabs>
        <w:rPr>
          <w:noProof/>
          <w:spacing w:val="-2"/>
        </w:rPr>
      </w:pPr>
      <w:r>
        <w:rPr>
          <w:noProof/>
        </w:rPr>
        <w:t>BG</w:t>
      </w:r>
      <w:r>
        <w:rPr>
          <w:noProof/>
        </w:rPr>
        <w:tab/>
        <w:t>Bulgária</w:t>
      </w:r>
    </w:p>
    <w:p>
      <w:pPr>
        <w:tabs>
          <w:tab w:val="left" w:pos="720"/>
        </w:tabs>
        <w:rPr>
          <w:noProof/>
          <w:spacing w:val="-2"/>
        </w:rPr>
      </w:pPr>
      <w:r>
        <w:rPr>
          <w:noProof/>
        </w:rPr>
        <w:t>CY</w:t>
      </w:r>
      <w:r>
        <w:rPr>
          <w:noProof/>
        </w:rPr>
        <w:tab/>
        <w:t>Chipre</w:t>
      </w:r>
    </w:p>
    <w:p>
      <w:pPr>
        <w:tabs>
          <w:tab w:val="left" w:pos="720"/>
        </w:tabs>
        <w:rPr>
          <w:noProof/>
          <w:spacing w:val="-2"/>
        </w:rPr>
      </w:pPr>
      <w:r>
        <w:rPr>
          <w:noProof/>
        </w:rPr>
        <w:t>CZ</w:t>
      </w:r>
      <w:r>
        <w:rPr>
          <w:noProof/>
        </w:rPr>
        <w:tab/>
        <w:t>República Checa</w:t>
      </w:r>
    </w:p>
    <w:p>
      <w:pPr>
        <w:tabs>
          <w:tab w:val="left" w:pos="720"/>
        </w:tabs>
        <w:rPr>
          <w:noProof/>
          <w:spacing w:val="-2"/>
        </w:rPr>
      </w:pPr>
      <w:r>
        <w:rPr>
          <w:noProof/>
        </w:rPr>
        <w:t>DE</w:t>
      </w:r>
      <w:r>
        <w:rPr>
          <w:noProof/>
        </w:rPr>
        <w:tab/>
        <w:t>Alemanha</w:t>
      </w:r>
    </w:p>
    <w:p>
      <w:pPr>
        <w:tabs>
          <w:tab w:val="left" w:pos="720"/>
        </w:tabs>
        <w:rPr>
          <w:noProof/>
          <w:spacing w:val="-2"/>
        </w:rPr>
      </w:pPr>
      <w:r>
        <w:rPr>
          <w:noProof/>
        </w:rPr>
        <w:t>DK</w:t>
      </w:r>
      <w:r>
        <w:rPr>
          <w:noProof/>
        </w:rPr>
        <w:tab/>
        <w:t>Dinamarca</w:t>
      </w:r>
    </w:p>
    <w:p>
      <w:pPr>
        <w:tabs>
          <w:tab w:val="left" w:pos="720"/>
        </w:tabs>
        <w:rPr>
          <w:noProof/>
          <w:spacing w:val="-2"/>
        </w:rPr>
      </w:pPr>
      <w:r>
        <w:rPr>
          <w:noProof/>
        </w:rPr>
        <w:t>ES</w:t>
      </w:r>
      <w:r>
        <w:rPr>
          <w:noProof/>
        </w:rPr>
        <w:tab/>
        <w:t>Espanha</w:t>
      </w:r>
    </w:p>
    <w:p>
      <w:pPr>
        <w:tabs>
          <w:tab w:val="left" w:pos="720"/>
        </w:tabs>
        <w:rPr>
          <w:noProof/>
          <w:spacing w:val="-2"/>
        </w:rPr>
      </w:pPr>
      <w:r>
        <w:rPr>
          <w:noProof/>
        </w:rPr>
        <w:t>EE</w:t>
      </w:r>
      <w:r>
        <w:rPr>
          <w:noProof/>
        </w:rPr>
        <w:tab/>
        <w:t>Estónia</w:t>
      </w:r>
    </w:p>
    <w:p>
      <w:pPr>
        <w:tabs>
          <w:tab w:val="left" w:pos="720"/>
        </w:tabs>
        <w:rPr>
          <w:noProof/>
          <w:spacing w:val="-2"/>
        </w:rPr>
      </w:pPr>
      <w:r>
        <w:rPr>
          <w:noProof/>
        </w:rPr>
        <w:t>EU</w:t>
      </w:r>
      <w:r>
        <w:rPr>
          <w:noProof/>
        </w:rPr>
        <w:tab/>
        <w:t>União Europeia, incluindo todos os seus Estados-Membros</w:t>
      </w:r>
    </w:p>
    <w:p>
      <w:pPr>
        <w:tabs>
          <w:tab w:val="left" w:pos="720"/>
        </w:tabs>
        <w:rPr>
          <w:noProof/>
          <w:spacing w:val="-2"/>
        </w:rPr>
      </w:pPr>
      <w:r>
        <w:rPr>
          <w:noProof/>
        </w:rPr>
        <w:t>FI</w:t>
      </w:r>
      <w:r>
        <w:rPr>
          <w:noProof/>
        </w:rPr>
        <w:tab/>
        <w:t>Finlândia</w:t>
      </w:r>
    </w:p>
    <w:p>
      <w:pPr>
        <w:tabs>
          <w:tab w:val="left" w:pos="720"/>
        </w:tabs>
        <w:rPr>
          <w:noProof/>
          <w:spacing w:val="-2"/>
        </w:rPr>
      </w:pPr>
      <w:r>
        <w:rPr>
          <w:noProof/>
        </w:rPr>
        <w:t>FR</w:t>
      </w:r>
      <w:r>
        <w:rPr>
          <w:noProof/>
        </w:rPr>
        <w:tab/>
        <w:t>França</w:t>
      </w:r>
    </w:p>
    <w:p>
      <w:pPr>
        <w:tabs>
          <w:tab w:val="left" w:pos="720"/>
        </w:tabs>
        <w:rPr>
          <w:noProof/>
          <w:spacing w:val="-2"/>
        </w:rPr>
      </w:pPr>
      <w:r>
        <w:rPr>
          <w:noProof/>
        </w:rPr>
        <w:t>EL</w:t>
      </w:r>
      <w:r>
        <w:rPr>
          <w:noProof/>
        </w:rPr>
        <w:tab/>
        <w:t>Grécia</w:t>
      </w:r>
    </w:p>
    <w:p>
      <w:pPr>
        <w:tabs>
          <w:tab w:val="left" w:pos="720"/>
        </w:tabs>
        <w:rPr>
          <w:noProof/>
          <w:spacing w:val="-2"/>
        </w:rPr>
      </w:pPr>
      <w:r>
        <w:rPr>
          <w:noProof/>
        </w:rPr>
        <w:t>HR</w:t>
      </w:r>
      <w:r>
        <w:rPr>
          <w:noProof/>
        </w:rPr>
        <w:tab/>
        <w:t>Croácia</w:t>
      </w:r>
    </w:p>
    <w:p>
      <w:pPr>
        <w:tabs>
          <w:tab w:val="left" w:pos="720"/>
        </w:tabs>
        <w:rPr>
          <w:noProof/>
          <w:spacing w:val="-2"/>
        </w:rPr>
      </w:pPr>
      <w:r>
        <w:rPr>
          <w:noProof/>
        </w:rPr>
        <w:t>HU</w:t>
      </w:r>
      <w:r>
        <w:rPr>
          <w:noProof/>
        </w:rPr>
        <w:tab/>
        <w:t>Hungria</w:t>
      </w:r>
    </w:p>
    <w:p>
      <w:pPr>
        <w:tabs>
          <w:tab w:val="left" w:pos="720"/>
        </w:tabs>
        <w:rPr>
          <w:noProof/>
          <w:spacing w:val="-2"/>
        </w:rPr>
      </w:pPr>
      <w:r>
        <w:rPr>
          <w:noProof/>
        </w:rPr>
        <w:t>IE</w:t>
      </w:r>
      <w:r>
        <w:rPr>
          <w:noProof/>
        </w:rPr>
        <w:tab/>
        <w:t>Irlanda</w:t>
      </w:r>
    </w:p>
    <w:p>
      <w:pPr>
        <w:tabs>
          <w:tab w:val="left" w:pos="720"/>
        </w:tabs>
        <w:rPr>
          <w:noProof/>
          <w:spacing w:val="-2"/>
        </w:rPr>
      </w:pPr>
      <w:r>
        <w:rPr>
          <w:noProof/>
        </w:rPr>
        <w:t>IT</w:t>
      </w:r>
      <w:r>
        <w:rPr>
          <w:noProof/>
        </w:rPr>
        <w:tab/>
        <w:t>Itália</w:t>
      </w:r>
    </w:p>
    <w:p>
      <w:pPr>
        <w:tabs>
          <w:tab w:val="left" w:pos="720"/>
        </w:tabs>
        <w:rPr>
          <w:noProof/>
          <w:spacing w:val="-2"/>
        </w:rPr>
      </w:pPr>
      <w:r>
        <w:rPr>
          <w:noProof/>
        </w:rPr>
        <w:t>LV</w:t>
      </w:r>
      <w:r>
        <w:rPr>
          <w:noProof/>
        </w:rPr>
        <w:tab/>
        <w:t>Letónia</w:t>
      </w:r>
    </w:p>
    <w:p>
      <w:pPr>
        <w:tabs>
          <w:tab w:val="left" w:pos="720"/>
        </w:tabs>
        <w:rPr>
          <w:noProof/>
          <w:spacing w:val="-2"/>
        </w:rPr>
      </w:pPr>
      <w:r>
        <w:rPr>
          <w:noProof/>
        </w:rPr>
        <w:t>LT</w:t>
      </w:r>
      <w:r>
        <w:rPr>
          <w:noProof/>
        </w:rPr>
        <w:tab/>
        <w:t>Lituânia</w:t>
      </w:r>
    </w:p>
    <w:p>
      <w:pPr>
        <w:tabs>
          <w:tab w:val="left" w:pos="720"/>
        </w:tabs>
        <w:rPr>
          <w:noProof/>
          <w:spacing w:val="-2"/>
        </w:rPr>
      </w:pPr>
      <w:r>
        <w:rPr>
          <w:noProof/>
        </w:rPr>
        <w:t>LU</w:t>
      </w:r>
      <w:r>
        <w:rPr>
          <w:noProof/>
        </w:rPr>
        <w:tab/>
        <w:t>Luxemburgo</w:t>
      </w:r>
    </w:p>
    <w:p>
      <w:pPr>
        <w:tabs>
          <w:tab w:val="left" w:pos="720"/>
        </w:tabs>
        <w:rPr>
          <w:noProof/>
          <w:spacing w:val="-2"/>
        </w:rPr>
      </w:pPr>
      <w:r>
        <w:rPr>
          <w:noProof/>
        </w:rPr>
        <w:t>MT</w:t>
      </w:r>
      <w:r>
        <w:rPr>
          <w:noProof/>
        </w:rPr>
        <w:tab/>
        <w:t>Malta</w:t>
      </w:r>
    </w:p>
    <w:p>
      <w:pPr>
        <w:tabs>
          <w:tab w:val="left" w:pos="720"/>
        </w:tabs>
        <w:rPr>
          <w:noProof/>
          <w:spacing w:val="-2"/>
        </w:rPr>
      </w:pPr>
      <w:r>
        <w:rPr>
          <w:noProof/>
        </w:rPr>
        <w:t>NL</w:t>
      </w:r>
      <w:r>
        <w:rPr>
          <w:noProof/>
        </w:rPr>
        <w:tab/>
        <w:t>Países Baixos</w:t>
      </w:r>
    </w:p>
    <w:p>
      <w:pPr>
        <w:tabs>
          <w:tab w:val="left" w:pos="720"/>
        </w:tabs>
        <w:rPr>
          <w:noProof/>
          <w:spacing w:val="-2"/>
        </w:rPr>
      </w:pPr>
      <w:r>
        <w:rPr>
          <w:noProof/>
        </w:rPr>
        <w:t>PL</w:t>
      </w:r>
      <w:r>
        <w:rPr>
          <w:noProof/>
        </w:rPr>
        <w:tab/>
        <w:t>Polónia</w:t>
      </w:r>
    </w:p>
    <w:p>
      <w:pPr>
        <w:tabs>
          <w:tab w:val="left" w:pos="720"/>
        </w:tabs>
        <w:rPr>
          <w:noProof/>
          <w:spacing w:val="-2"/>
        </w:rPr>
      </w:pPr>
      <w:r>
        <w:rPr>
          <w:noProof/>
        </w:rPr>
        <w:t>PT</w:t>
      </w:r>
      <w:r>
        <w:rPr>
          <w:noProof/>
        </w:rPr>
        <w:tab/>
        <w:t>Portugal</w:t>
      </w:r>
    </w:p>
    <w:p>
      <w:pPr>
        <w:tabs>
          <w:tab w:val="left" w:pos="720"/>
        </w:tabs>
        <w:rPr>
          <w:noProof/>
          <w:spacing w:val="-2"/>
        </w:rPr>
      </w:pPr>
      <w:r>
        <w:rPr>
          <w:noProof/>
        </w:rPr>
        <w:t>RO</w:t>
      </w:r>
      <w:r>
        <w:rPr>
          <w:noProof/>
        </w:rPr>
        <w:tab/>
        <w:t>Roménia</w:t>
      </w:r>
    </w:p>
    <w:p>
      <w:pPr>
        <w:tabs>
          <w:tab w:val="left" w:pos="720"/>
        </w:tabs>
        <w:rPr>
          <w:noProof/>
          <w:spacing w:val="-2"/>
        </w:rPr>
      </w:pPr>
      <w:r>
        <w:rPr>
          <w:noProof/>
        </w:rPr>
        <w:br w:type="page"/>
      </w:r>
      <w:r>
        <w:rPr>
          <w:noProof/>
        </w:rPr>
        <w:lastRenderedPageBreak/>
        <w:t>SK</w:t>
      </w:r>
      <w:r>
        <w:rPr>
          <w:noProof/>
        </w:rPr>
        <w:tab/>
        <w:t>República Eslovaca</w:t>
      </w:r>
    </w:p>
    <w:p>
      <w:pPr>
        <w:tabs>
          <w:tab w:val="left" w:pos="720"/>
        </w:tabs>
        <w:rPr>
          <w:noProof/>
          <w:spacing w:val="-2"/>
        </w:rPr>
      </w:pPr>
      <w:r>
        <w:rPr>
          <w:noProof/>
        </w:rPr>
        <w:t>SI</w:t>
      </w:r>
      <w:r>
        <w:rPr>
          <w:noProof/>
        </w:rPr>
        <w:tab/>
        <w:t>Eslovénia</w:t>
      </w:r>
    </w:p>
    <w:p>
      <w:pPr>
        <w:tabs>
          <w:tab w:val="left" w:pos="720"/>
        </w:tabs>
        <w:rPr>
          <w:noProof/>
          <w:spacing w:val="-2"/>
        </w:rPr>
      </w:pPr>
      <w:r>
        <w:rPr>
          <w:noProof/>
        </w:rPr>
        <w:t>SE</w:t>
      </w:r>
      <w:r>
        <w:rPr>
          <w:noProof/>
        </w:rPr>
        <w:tab/>
        <w:t>Suécia</w:t>
      </w:r>
    </w:p>
    <w:p>
      <w:pPr>
        <w:tabs>
          <w:tab w:val="left" w:pos="720"/>
        </w:tabs>
        <w:rPr>
          <w:noProof/>
          <w:spacing w:val="-2"/>
        </w:rPr>
      </w:pPr>
      <w:r>
        <w:rPr>
          <w:noProof/>
        </w:rPr>
        <w:t>UK</w:t>
      </w:r>
      <w:r>
        <w:rPr>
          <w:noProof/>
        </w:rPr>
        <w:tab/>
        <w:t>Reino Unido</w:t>
      </w:r>
    </w:p>
    <w:p>
      <w:pPr>
        <w:pStyle w:val="ManualNumPar1"/>
        <w:rPr>
          <w:noProof/>
        </w:rPr>
      </w:pPr>
      <w:r>
        <w:rPr>
          <w:noProof/>
        </w:rPr>
        <w:t>1.</w:t>
      </w:r>
      <w:r>
        <w:rPr>
          <w:noProof/>
        </w:rPr>
        <w:tab/>
        <w:t>A lista de compromissos a seguir apresentada indica os setores de serviços liberalizados nos termos do artigo 121.º do Acordo e, mediante reservas, as limitações em matéria de acesso ao mercado e de tratamento nacional aplicáveis aos serviços e prestadores de serviços dos Países Andinos signatários nesses setores. A lista é composta dos seguintes elementos:</w:t>
      </w:r>
    </w:p>
    <w:p>
      <w:pPr>
        <w:pStyle w:val="Point1"/>
        <w:rPr>
          <w:noProof/>
        </w:rPr>
      </w:pPr>
      <w:r>
        <w:rPr>
          <w:noProof/>
        </w:rPr>
        <w:t>a)</w:t>
      </w:r>
      <w:r>
        <w:rPr>
          <w:noProof/>
        </w:rPr>
        <w:tab/>
        <w:t>Uma primeira coluna que indica o setor ou subsetor em que o compromisso é assumido pela Parte e o âmbito de liberalização a que se aplicam as reservas; e</w:t>
      </w:r>
    </w:p>
    <w:p>
      <w:pPr>
        <w:pStyle w:val="Point1"/>
        <w:rPr>
          <w:noProof/>
        </w:rPr>
      </w:pPr>
      <w:r>
        <w:rPr>
          <w:noProof/>
        </w:rPr>
        <w:t>b)</w:t>
      </w:r>
      <w:r>
        <w:rPr>
          <w:noProof/>
        </w:rPr>
        <w:tab/>
        <w:t>Uma segunda coluna que descreve as reservas aplicáveis.</w:t>
      </w:r>
    </w:p>
    <w:p>
      <w:pPr>
        <w:pStyle w:val="Text1"/>
        <w:rPr>
          <w:noProof/>
        </w:rPr>
      </w:pPr>
      <w:r>
        <w:rPr>
          <w:noProof/>
        </w:rPr>
        <w:t>Quando a coluna referida na alínea b) incluir apenas reservas específicas de um Estado-Membro da União Europeia, os Estados-Membros da União Europeia nela não mencionados assumem os compromissos no setor em causa sem reservas</w:t>
      </w:r>
      <w:r>
        <w:rPr>
          <w:rStyle w:val="FootnoteReference"/>
          <w:noProof/>
        </w:rPr>
        <w:footnoteReference w:id="1"/>
      </w:r>
      <w:r>
        <w:rPr>
          <w:noProof/>
        </w:rPr>
        <w:t xml:space="preserve">. </w:t>
      </w:r>
    </w:p>
    <w:p>
      <w:pPr>
        <w:pStyle w:val="Text1"/>
        <w:rPr>
          <w:noProof/>
        </w:rPr>
      </w:pPr>
      <w:r>
        <w:rPr>
          <w:noProof/>
        </w:rPr>
        <w:t xml:space="preserve">A prestação de serviços transfronteiras em setores ou subsetores abrangidos pelo presente Acordo e não mencionados na lista </w:t>
      </w:r>
      <w:r>
        <w:rPr>
          <w:i/>
          <w:noProof/>
        </w:rPr>
        <w:t>infra</w:t>
      </w:r>
      <w:r>
        <w:rPr>
          <w:noProof/>
        </w:rPr>
        <w:t xml:space="preserve"> não é objeto de compromissos. </w:t>
      </w:r>
    </w:p>
    <w:p>
      <w:pPr>
        <w:pStyle w:val="ManualNumPar1"/>
        <w:rPr>
          <w:noProof/>
        </w:rPr>
      </w:pPr>
      <w:r>
        <w:rPr>
          <w:noProof/>
        </w:rPr>
        <w:t>2.</w:t>
      </w:r>
      <w:r>
        <w:rPr>
          <w:noProof/>
        </w:rPr>
        <w:tab/>
        <w:t>Ao identificar os setores e subsetores individuais:</w:t>
      </w:r>
    </w:p>
    <w:p>
      <w:pPr>
        <w:pStyle w:val="Point1"/>
        <w:rPr>
          <w:noProof/>
        </w:rPr>
      </w:pPr>
      <w:r>
        <w:rPr>
          <w:noProof/>
        </w:rPr>
        <w:t>a)</w:t>
      </w:r>
      <w:r>
        <w:rPr>
          <w:noProof/>
        </w:rPr>
        <w:tab/>
        <w:t>Por "CPC" entende-se a Classificação Central de Produtos, tal como estabelecida no Serviço de Estatística das Nações Unidas, Estudos Estatísticos, Série M, N.º 77</w:t>
      </w:r>
      <w:r>
        <w:rPr>
          <w:i/>
          <w:noProof/>
        </w:rPr>
        <w:t>, CPC prov</w:t>
      </w:r>
      <w:r>
        <w:rPr>
          <w:noProof/>
        </w:rPr>
        <w:t>, 1991; e</w:t>
      </w:r>
    </w:p>
    <w:p>
      <w:pPr>
        <w:pStyle w:val="Point1"/>
        <w:rPr>
          <w:noProof/>
        </w:rPr>
      </w:pPr>
      <w:r>
        <w:rPr>
          <w:noProof/>
        </w:rPr>
        <w:t>b)</w:t>
      </w:r>
      <w:r>
        <w:rPr>
          <w:noProof/>
        </w:rPr>
        <w:tab/>
        <w:t xml:space="preserve">Por "CPC ver. 1.0" entende-se a Classificação Central de Produtos, tal como estabelecida no Serviço de Estatística das Nações Unidas, Estudos Estatísticos, Série M, N.º 77, </w:t>
      </w:r>
      <w:r>
        <w:rPr>
          <w:i/>
          <w:noProof/>
        </w:rPr>
        <w:t>CPC ver 1.0</w:t>
      </w:r>
      <w:r>
        <w:rPr>
          <w:noProof/>
        </w:rPr>
        <w:t>, 1998.</w:t>
      </w:r>
    </w:p>
    <w:p>
      <w:pPr>
        <w:pStyle w:val="ManualNumPar1"/>
        <w:rPr>
          <w:noProof/>
        </w:rPr>
      </w:pPr>
      <w:r>
        <w:rPr>
          <w:noProof/>
        </w:rPr>
        <w:t>3.</w:t>
      </w:r>
      <w:r>
        <w:rPr>
          <w:noProof/>
        </w:rPr>
        <w:tab/>
        <w:t>A lista a seguir apresentada não inclui medidas referentes a requisitos e procedimentos de qualificação, normas técnicas e requisitos e procedimentos de licenciamento, quando não constituam uma limitação em matéria de acesso ao mercado ou de tratamento nacional na aceção dos artigos 119.º e 120.º do presente Acordo. Tais medidas (por exemplo, necessidade de obter uma licença, obrigações de serviço universal, necessidade de obter o reconhecimento de qualificações em setores regulados, necessidade de passar exames específicos, incluindo exames linguísticos), mesmo que não listadas, são aplicáveis em qualquer caso aos prestadores de serviços dos Países Andinos signatários.</w:t>
      </w:r>
    </w:p>
    <w:p>
      <w:pPr>
        <w:pStyle w:val="ManualNumPar1"/>
        <w:rPr>
          <w:noProof/>
        </w:rPr>
      </w:pPr>
      <w:r>
        <w:rPr>
          <w:noProof/>
        </w:rPr>
        <w:t>4.</w:t>
      </w:r>
      <w:r>
        <w:rPr>
          <w:noProof/>
        </w:rPr>
        <w:tab/>
        <w:t>A lista a seguir apresentada não prejudica a viabilidade do Modo 1 em determinados setores e subsetores de serviços nem a existência de monopólios públicos e direitos exclusivos tal como descritos na lista de compromissos em matéria de estabelecimento.</w:t>
      </w:r>
    </w:p>
    <w:p>
      <w:pPr>
        <w:pStyle w:val="ManualNumPar1"/>
        <w:rPr>
          <w:noProof/>
        </w:rPr>
      </w:pPr>
      <w:r>
        <w:rPr>
          <w:noProof/>
        </w:rPr>
        <w:t>5.</w:t>
      </w:r>
      <w:r>
        <w:rPr>
          <w:noProof/>
        </w:rPr>
        <w:tab/>
        <w:t xml:space="preserve">Nos termos do artigo 107.º, n.º 3, do presente Acordo, a lista </w:t>
      </w:r>
      <w:r>
        <w:rPr>
          <w:i/>
          <w:noProof/>
        </w:rPr>
        <w:t>infra</w:t>
      </w:r>
      <w:r>
        <w:rPr>
          <w:noProof/>
        </w:rPr>
        <w:t xml:space="preserve"> não inclui medidas referentes a subvenções concedidas pelas Partes.</w:t>
      </w:r>
    </w:p>
    <w:p>
      <w:pPr>
        <w:pStyle w:val="ManualNumPar1"/>
        <w:rPr>
          <w:noProof/>
        </w:rPr>
      </w:pPr>
      <w:r>
        <w:rPr>
          <w:noProof/>
        </w:rPr>
        <w:lastRenderedPageBreak/>
        <w:t>6.</w:t>
      </w:r>
      <w:r>
        <w:rPr>
          <w:noProof/>
        </w:rPr>
        <w:tab/>
        <w:t>Os direitos e obrigações resultantes da presente lista de compromissos não têm um efeito auto-executório, pelo que não conferem diretamente direitos a pessoas singulares ou a pessoas coletivas específicas.</w:t>
      </w:r>
    </w:p>
    <w:p>
      <w:pPr>
        <w:pStyle w:val="Text1"/>
        <w:rPr>
          <w:noProof/>
        </w:rPr>
        <w:sectPr>
          <w:footerReference w:type="default" r:id="rId16"/>
          <w:footerReference w:type="first" r:id="rId17"/>
          <w:pgSz w:w="11907" w:h="16839"/>
          <w:pgMar w:top="1134" w:right="1417" w:bottom="1134" w:left="1417" w:header="709" w:footer="709" w:gutter="0"/>
          <w:cols w:space="720"/>
          <w:docGrid w:linePitch="360"/>
        </w:sect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4"/>
        <w:gridCol w:w="6525"/>
      </w:tblGrid>
      <w:tr>
        <w:trPr>
          <w:tblHeader/>
          <w:jc w:val="center"/>
        </w:trPr>
        <w:tc>
          <w:tcPr>
            <w:tcW w:w="3114" w:type="dxa"/>
          </w:tcPr>
          <w:p>
            <w:pPr>
              <w:pageBreakBefore/>
              <w:jc w:val="center"/>
              <w:rPr>
                <w:noProof/>
                <w:sz w:val="20"/>
              </w:rPr>
            </w:pPr>
            <w:r>
              <w:rPr>
                <w:noProof/>
              </w:rPr>
              <w:lastRenderedPageBreak/>
              <w:br w:type="page"/>
            </w:r>
            <w:r>
              <w:rPr>
                <w:noProof/>
                <w:sz w:val="20"/>
              </w:rPr>
              <w:br w:type="page"/>
              <w:t>Setor ou subsetor</w:t>
            </w:r>
          </w:p>
        </w:tc>
        <w:tc>
          <w:tcPr>
            <w:tcW w:w="6525" w:type="dxa"/>
          </w:tcPr>
          <w:p>
            <w:pPr>
              <w:jc w:val="center"/>
              <w:rPr>
                <w:noProof/>
                <w:sz w:val="20"/>
              </w:rPr>
            </w:pPr>
            <w:r>
              <w:rPr>
                <w:noProof/>
                <w:sz w:val="20"/>
              </w:rPr>
              <w:t>Descrição das reservas</w:t>
            </w:r>
          </w:p>
        </w:tc>
      </w:tr>
      <w:tr>
        <w:trPr>
          <w:jc w:val="center"/>
        </w:trPr>
        <w:tc>
          <w:tcPr>
            <w:tcW w:w="3114" w:type="dxa"/>
          </w:tcPr>
          <w:p>
            <w:pPr>
              <w:jc w:val="center"/>
              <w:rPr>
                <w:noProof/>
                <w:sz w:val="20"/>
              </w:rPr>
            </w:pPr>
            <w:r>
              <w:rPr>
                <w:noProof/>
                <w:sz w:val="20"/>
              </w:rPr>
              <w:t>TODOS OS SETORES</w:t>
            </w:r>
          </w:p>
        </w:tc>
        <w:tc>
          <w:tcPr>
            <w:tcW w:w="6525" w:type="dxa"/>
          </w:tcPr>
          <w:p>
            <w:pPr>
              <w:jc w:val="center"/>
              <w:rPr>
                <w:noProof/>
                <w:spacing w:val="-2"/>
                <w:sz w:val="20"/>
              </w:rPr>
            </w:pPr>
            <w:r>
              <w:rPr>
                <w:noProof/>
                <w:sz w:val="20"/>
              </w:rPr>
              <w:t>Bens imóveis</w:t>
            </w:r>
          </w:p>
          <w:p>
            <w:pPr>
              <w:keepNext/>
              <w:keepLines/>
              <w:tabs>
                <w:tab w:val="left" w:pos="306"/>
              </w:tabs>
              <w:suppressAutoHyphens/>
              <w:jc w:val="left"/>
              <w:rPr>
                <w:noProof/>
                <w:spacing w:val="-2"/>
                <w:sz w:val="20"/>
              </w:rPr>
            </w:pPr>
            <w:r>
              <w:rPr>
                <w:noProof/>
                <w:sz w:val="20"/>
              </w:rPr>
              <w:t>Para os Modos 1 e 2</w:t>
            </w:r>
          </w:p>
          <w:p>
            <w:pPr>
              <w:jc w:val="left"/>
              <w:rPr>
                <w:noProof/>
                <w:spacing w:val="-2"/>
                <w:sz w:val="20"/>
              </w:rPr>
            </w:pPr>
            <w:r>
              <w:rPr>
                <w:noProof/>
                <w:sz w:val="20"/>
              </w:rPr>
              <w:t>AT, BG, CY, CZ, DK, EE, EL, FI, HU, IE, IT, LT, LV, MT, PL, RO, SI, SK: Limitações na aquisição de terrenos e bens imóveis por investidores estrangeiros</w:t>
            </w:r>
            <w:r>
              <w:rPr>
                <w:rStyle w:val="FootnoteReference"/>
                <w:noProof/>
                <w:sz w:val="20"/>
              </w:rPr>
              <w:footnoteReference w:id="2"/>
            </w:r>
            <w:r>
              <w:rPr>
                <w:noProof/>
                <w:sz w:val="20"/>
              </w:rPr>
              <w:t>.</w:t>
            </w:r>
          </w:p>
        </w:tc>
      </w:tr>
      <w:tr>
        <w:trPr>
          <w:jc w:val="center"/>
        </w:trPr>
        <w:tc>
          <w:tcPr>
            <w:tcW w:w="3114" w:type="dxa"/>
          </w:tcPr>
          <w:p>
            <w:pPr>
              <w:rPr>
                <w:noProof/>
                <w:sz w:val="20"/>
              </w:rPr>
            </w:pPr>
            <w:r>
              <w:rPr>
                <w:noProof/>
                <w:sz w:val="20"/>
              </w:rPr>
              <w:t>1. SERVIÇOS ÀS EMPRESAS</w:t>
            </w:r>
          </w:p>
        </w:tc>
        <w:tc>
          <w:tcPr>
            <w:tcW w:w="6525" w:type="dxa"/>
          </w:tcPr>
          <w:p>
            <w:pPr>
              <w:jc w:val="left"/>
              <w:rPr>
                <w:noProof/>
                <w:sz w:val="20"/>
              </w:rPr>
            </w:pPr>
          </w:p>
        </w:tc>
      </w:tr>
      <w:tr>
        <w:trPr>
          <w:jc w:val="center"/>
        </w:trPr>
        <w:tc>
          <w:tcPr>
            <w:tcW w:w="3114" w:type="dxa"/>
          </w:tcPr>
          <w:p>
            <w:pPr>
              <w:rPr>
                <w:noProof/>
                <w:sz w:val="20"/>
              </w:rPr>
            </w:pPr>
            <w:r>
              <w:rPr>
                <w:noProof/>
                <w:sz w:val="20"/>
              </w:rPr>
              <w:t>A. Serviços profissionais</w:t>
            </w:r>
          </w:p>
        </w:tc>
        <w:tc>
          <w:tcPr>
            <w:tcW w:w="6525" w:type="dxa"/>
          </w:tcPr>
          <w:p>
            <w:pPr>
              <w:jc w:val="left"/>
              <w:rPr>
                <w:noProof/>
                <w:sz w:val="20"/>
              </w:rPr>
            </w:pPr>
          </w:p>
        </w:tc>
      </w:tr>
      <w:tr>
        <w:trPr>
          <w:trHeight w:val="3933"/>
          <w:jc w:val="center"/>
        </w:trPr>
        <w:tc>
          <w:tcPr>
            <w:tcW w:w="3114" w:type="dxa"/>
          </w:tcPr>
          <w:p>
            <w:pPr>
              <w:jc w:val="left"/>
              <w:rPr>
                <w:noProof/>
                <w:sz w:val="20"/>
              </w:rPr>
            </w:pPr>
            <w:r>
              <w:rPr>
                <w:noProof/>
                <w:sz w:val="20"/>
              </w:rPr>
              <w:t xml:space="preserve">a) Serviços jurídicos </w:t>
            </w:r>
          </w:p>
          <w:p>
            <w:pPr>
              <w:jc w:val="left"/>
              <w:rPr>
                <w:noProof/>
                <w:sz w:val="20"/>
              </w:rPr>
            </w:pPr>
            <w:r>
              <w:rPr>
                <w:noProof/>
                <w:sz w:val="20"/>
              </w:rPr>
              <w:t>(CPC 861)</w:t>
            </w:r>
            <w:r>
              <w:rPr>
                <w:rStyle w:val="FootnoteReference"/>
                <w:noProof/>
                <w:sz w:val="20"/>
              </w:rPr>
              <w:footnoteReference w:id="3"/>
            </w:r>
          </w:p>
          <w:p>
            <w:pPr>
              <w:jc w:val="left"/>
              <w:rPr>
                <w:noProof/>
                <w:sz w:val="20"/>
              </w:rPr>
            </w:pPr>
            <w:r>
              <w:rPr>
                <w:noProof/>
                <w:sz w:val="20"/>
              </w:rPr>
              <w:t xml:space="preserve">excluindo serviços de assessoria jurídica e de documentação e certificação jurídicas prestados por juristas profissionais a quem estão cometidas funções públicas, como notários, </w:t>
            </w:r>
            <w:r>
              <w:rPr>
                <w:i/>
                <w:noProof/>
                <w:sz w:val="20"/>
              </w:rPr>
              <w:t>huissiers de justice</w:t>
            </w:r>
            <w:r>
              <w:rPr>
                <w:noProof/>
                <w:sz w:val="20"/>
              </w:rPr>
              <w:t xml:space="preserve"> ou outros </w:t>
            </w:r>
            <w:r>
              <w:rPr>
                <w:i/>
                <w:noProof/>
                <w:sz w:val="20"/>
              </w:rPr>
              <w:t>officiers publics et ministériels</w:t>
            </w:r>
          </w:p>
        </w:tc>
        <w:tc>
          <w:tcPr>
            <w:tcW w:w="6525" w:type="dxa"/>
          </w:tcPr>
          <w:p>
            <w:pPr>
              <w:keepNext/>
              <w:keepLines/>
              <w:tabs>
                <w:tab w:val="left" w:pos="306"/>
              </w:tabs>
              <w:suppressAutoHyphens/>
              <w:jc w:val="left"/>
              <w:rPr>
                <w:noProof/>
                <w:spacing w:val="-2"/>
                <w:sz w:val="20"/>
              </w:rPr>
            </w:pPr>
            <w:r>
              <w:rPr>
                <w:noProof/>
                <w:sz w:val="20"/>
              </w:rPr>
              <w:t>Para os Modos 1 e 2</w:t>
            </w:r>
          </w:p>
          <w:p>
            <w:pPr>
              <w:keepNext/>
              <w:keepLines/>
              <w:tabs>
                <w:tab w:val="left" w:pos="306"/>
              </w:tabs>
              <w:suppressAutoHyphens/>
              <w:jc w:val="left"/>
              <w:rPr>
                <w:noProof/>
                <w:spacing w:val="-2"/>
                <w:sz w:val="20"/>
              </w:rPr>
            </w:pPr>
            <w:r>
              <w:rPr>
                <w:noProof/>
                <w:sz w:val="20"/>
              </w:rPr>
              <w:t>AT, CY, ES, EL, LT, MT, SK: A plena admissão na Ordem dos Advogados, exigida para a prática do direito interno (da União Europeia e dos seus Estados-Membros), está sujeita à condição de nacionalidade.</w:t>
            </w:r>
          </w:p>
          <w:p>
            <w:pPr>
              <w:keepNext/>
              <w:keepLines/>
              <w:tabs>
                <w:tab w:val="left" w:pos="306"/>
              </w:tabs>
              <w:suppressAutoHyphens/>
              <w:jc w:val="left"/>
              <w:rPr>
                <w:noProof/>
                <w:sz w:val="20"/>
              </w:rPr>
            </w:pPr>
            <w:r>
              <w:rPr>
                <w:noProof/>
                <w:sz w:val="20"/>
              </w:rPr>
              <w:t>HR: Não consolidado no tocante à prática do direito croata.</w:t>
            </w:r>
          </w:p>
          <w:p>
            <w:pPr>
              <w:keepNext/>
              <w:keepLines/>
              <w:tabs>
                <w:tab w:val="left" w:pos="306"/>
              </w:tabs>
              <w:suppressAutoHyphens/>
              <w:jc w:val="left"/>
              <w:rPr>
                <w:noProof/>
                <w:spacing w:val="-2"/>
                <w:sz w:val="20"/>
              </w:rPr>
            </w:pPr>
            <w:r>
              <w:rPr>
                <w:noProof/>
                <w:sz w:val="20"/>
              </w:rPr>
              <w:t>BE, FI: A plena admissão na Ordem dos Advogados, exigida para os serviços de representação jurídica, está sujeita à condição de nacionalidade, associada a requisitos em matéria de residência. Na Bélgica, aplicam-se quotas para comparecer perante a "Cour de cassation" em processos não criminais.</w:t>
            </w:r>
          </w:p>
          <w:p>
            <w:pPr>
              <w:keepNext/>
              <w:keepLines/>
              <w:tabs>
                <w:tab w:val="left" w:pos="306"/>
              </w:tabs>
              <w:suppressAutoHyphens/>
              <w:jc w:val="left"/>
              <w:rPr>
                <w:noProof/>
                <w:spacing w:val="-2"/>
                <w:sz w:val="20"/>
              </w:rPr>
            </w:pPr>
            <w:r>
              <w:rPr>
                <w:noProof/>
                <w:sz w:val="20"/>
              </w:rPr>
              <w:t>BG: Os advogados estrangeiros apenas podem prestar serviços de representação jurídica a um nacional do seu país de origem e sujeito a reciprocidade e cooperação com um advogado búlgaro. Para serviços de mediação jurídica é exigida a residência permanente.</w:t>
            </w:r>
          </w:p>
          <w:p>
            <w:pPr>
              <w:keepNext/>
              <w:keepLines/>
              <w:tabs>
                <w:tab w:val="left" w:pos="306"/>
              </w:tabs>
              <w:suppressAutoHyphens/>
              <w:jc w:val="left"/>
              <w:rPr>
                <w:noProof/>
                <w:spacing w:val="-2"/>
                <w:sz w:val="20"/>
              </w:rPr>
            </w:pPr>
            <w:r>
              <w:rPr>
                <w:noProof/>
                <w:sz w:val="20"/>
              </w:rPr>
              <w:t xml:space="preserve">FR: O acesso de advogados à profissão de "avocat auprès de la Cour de Cassation" e "avocat auprès du Conseil d’Etat" está sujeito a quotas e à </w:t>
            </w:r>
            <w:r>
              <w:rPr>
                <w:noProof/>
                <w:sz w:val="20"/>
              </w:rPr>
              <w:lastRenderedPageBreak/>
              <w:t>condição de nacionalidade.</w:t>
            </w:r>
          </w:p>
          <w:p>
            <w:pPr>
              <w:keepNext/>
              <w:keepLines/>
              <w:tabs>
                <w:tab w:val="left" w:pos="306"/>
              </w:tabs>
              <w:suppressAutoHyphens/>
              <w:jc w:val="left"/>
              <w:rPr>
                <w:noProof/>
                <w:sz w:val="20"/>
              </w:rPr>
            </w:pPr>
            <w:r>
              <w:rPr>
                <w:noProof/>
                <w:sz w:val="20"/>
              </w:rPr>
              <w:t>HU: A plena admissão na Ordem dos Advogados está sujeita à condição de nacionalidade, associada a requisitos em matéria de residência. Para advogados estrangeiros, o âmbito das atividades jurídicas está limitado à prestação de consultoria jurídica.</w:t>
            </w:r>
          </w:p>
        </w:tc>
      </w:tr>
      <w:tr>
        <w:trPr>
          <w:trHeight w:val="1569"/>
          <w:jc w:val="center"/>
        </w:trPr>
        <w:tc>
          <w:tcPr>
            <w:tcW w:w="3114" w:type="dxa"/>
          </w:tcPr>
          <w:p>
            <w:pPr>
              <w:pageBreakBefore/>
              <w:rPr>
                <w:noProof/>
                <w:sz w:val="20"/>
              </w:rPr>
            </w:pPr>
          </w:p>
        </w:tc>
        <w:tc>
          <w:tcPr>
            <w:tcW w:w="6525" w:type="dxa"/>
          </w:tcPr>
          <w:p>
            <w:pPr>
              <w:jc w:val="left"/>
              <w:rPr>
                <w:noProof/>
                <w:spacing w:val="-2"/>
                <w:sz w:val="20"/>
              </w:rPr>
            </w:pPr>
            <w:r>
              <w:rPr>
                <w:noProof/>
                <w:sz w:val="20"/>
              </w:rPr>
              <w:t>LV: Requisito de nacionalidade para os advogados juramentados, para os quais está reservada a representação jurídica em processos criminais.</w:t>
            </w:r>
          </w:p>
          <w:p>
            <w:pPr>
              <w:jc w:val="left"/>
              <w:rPr>
                <w:noProof/>
                <w:sz w:val="20"/>
              </w:rPr>
            </w:pPr>
            <w:r>
              <w:rPr>
                <w:noProof/>
                <w:sz w:val="20"/>
              </w:rPr>
              <w:t>DK: O exercício de atividades de assessoria jurídica está limitado aos advogados titulares de licença na Dinamarca para essa prática, bem como a escritórios de advogados registados na Dinamarca. É exigido um exame jurídico dinamarquês para obter uma licença dinamarquesa.</w:t>
            </w:r>
          </w:p>
          <w:p>
            <w:pPr>
              <w:jc w:val="left"/>
              <w:rPr>
                <w:noProof/>
                <w:spacing w:val="-2"/>
                <w:sz w:val="20"/>
              </w:rPr>
            </w:pPr>
            <w:r>
              <w:rPr>
                <w:noProof/>
                <w:sz w:val="20"/>
              </w:rPr>
              <w:t>SE: A admissão na Ordem dos Advogados, necessária apenas para usar o título sueco "advokat", está sujeita ao requisito de residência.</w:t>
            </w:r>
          </w:p>
        </w:tc>
      </w:tr>
      <w:tr>
        <w:trPr>
          <w:jc w:val="center"/>
        </w:trPr>
        <w:tc>
          <w:tcPr>
            <w:tcW w:w="3114" w:type="dxa"/>
          </w:tcPr>
          <w:p>
            <w:pPr>
              <w:jc w:val="left"/>
              <w:rPr>
                <w:noProof/>
                <w:sz w:val="20"/>
              </w:rPr>
            </w:pPr>
            <w:r>
              <w:rPr>
                <w:noProof/>
                <w:sz w:val="20"/>
              </w:rPr>
              <w:t>b) 1. Serviços de contabilidade</w:t>
            </w:r>
          </w:p>
          <w:p>
            <w:pPr>
              <w:jc w:val="left"/>
              <w:rPr>
                <w:noProof/>
                <w:sz w:val="20"/>
              </w:rPr>
            </w:pPr>
            <w:r>
              <w:rPr>
                <w:noProof/>
                <w:sz w:val="20"/>
              </w:rPr>
              <w:t>(CPC 86212, exceto "serviços de auditoria", CPC 86213, CPC 86219 e CPC 86220)</w:t>
            </w:r>
          </w:p>
        </w:tc>
        <w:tc>
          <w:tcPr>
            <w:tcW w:w="6525" w:type="dxa"/>
          </w:tcPr>
          <w:p>
            <w:pPr>
              <w:keepNext/>
              <w:keepLines/>
              <w:tabs>
                <w:tab w:val="left" w:pos="306"/>
              </w:tabs>
              <w:suppressAutoHyphens/>
              <w:jc w:val="left"/>
              <w:rPr>
                <w:noProof/>
                <w:spacing w:val="-2"/>
                <w:sz w:val="20"/>
              </w:rPr>
            </w:pPr>
            <w:r>
              <w:rPr>
                <w:noProof/>
                <w:sz w:val="20"/>
              </w:rPr>
              <w:t>Para o Modo 1</w:t>
            </w:r>
          </w:p>
          <w:p>
            <w:pPr>
              <w:jc w:val="left"/>
              <w:rPr>
                <w:noProof/>
                <w:sz w:val="20"/>
              </w:rPr>
            </w:pPr>
            <w:r>
              <w:rPr>
                <w:noProof/>
                <w:sz w:val="20"/>
              </w:rPr>
              <w:t>FR, HU, IT, MT, RO, SI: Não consolidado</w:t>
            </w:r>
          </w:p>
          <w:p>
            <w:pPr>
              <w:jc w:val="left"/>
              <w:rPr>
                <w:noProof/>
                <w:sz w:val="20"/>
              </w:rPr>
            </w:pPr>
            <w:r>
              <w:rPr>
                <w:noProof/>
                <w:sz w:val="20"/>
              </w:rPr>
              <w:t>AT: Condição de nacionalidade para representação perante as autoridades competentes</w:t>
            </w:r>
          </w:p>
          <w:p>
            <w:pPr>
              <w:keepNext/>
              <w:keepLines/>
              <w:tabs>
                <w:tab w:val="left" w:pos="306"/>
              </w:tabs>
              <w:suppressAutoHyphens/>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b) 2. Serviços de auditoria</w:t>
            </w:r>
          </w:p>
          <w:p>
            <w:pPr>
              <w:jc w:val="left"/>
              <w:rPr>
                <w:noProof/>
                <w:sz w:val="20"/>
              </w:rPr>
            </w:pPr>
            <w:r>
              <w:rPr>
                <w:noProof/>
                <w:sz w:val="20"/>
              </w:rPr>
              <w:t>(CPC 86211 e 86212, exceto serviços de contabilidade)</w:t>
            </w:r>
          </w:p>
        </w:tc>
        <w:tc>
          <w:tcPr>
            <w:tcW w:w="6525" w:type="dxa"/>
          </w:tcPr>
          <w:p>
            <w:pPr>
              <w:keepNext/>
              <w:keepLines/>
              <w:tabs>
                <w:tab w:val="left" w:pos="306"/>
              </w:tabs>
              <w:suppressAutoHyphens/>
              <w:jc w:val="left"/>
              <w:rPr>
                <w:noProof/>
                <w:spacing w:val="-2"/>
                <w:sz w:val="20"/>
              </w:rPr>
            </w:pPr>
            <w:r>
              <w:rPr>
                <w:noProof/>
                <w:sz w:val="20"/>
              </w:rPr>
              <w:t>Para o Modo 1</w:t>
            </w:r>
          </w:p>
          <w:p>
            <w:pPr>
              <w:jc w:val="left"/>
              <w:rPr>
                <w:noProof/>
                <w:sz w:val="20"/>
              </w:rPr>
            </w:pPr>
            <w:r>
              <w:rPr>
                <w:noProof/>
                <w:sz w:val="20"/>
              </w:rPr>
              <w:t>BE, BG, CY, DE, ES, FI, FR, EL, HU, IE, IT, LU, MT, NL, PT, RO, SI, UK: Não consolidado</w:t>
            </w:r>
          </w:p>
          <w:p>
            <w:pPr>
              <w:tabs>
                <w:tab w:val="left" w:pos="0"/>
                <w:tab w:val="left" w:pos="786"/>
              </w:tabs>
              <w:suppressAutoHyphens/>
              <w:jc w:val="left"/>
              <w:rPr>
                <w:noProof/>
                <w:spacing w:val="-2"/>
                <w:sz w:val="20"/>
              </w:rPr>
            </w:pPr>
            <w:r>
              <w:rPr>
                <w:noProof/>
                <w:sz w:val="20"/>
              </w:rPr>
              <w:t>AT: Condição de nacionalidade para representação perante as autoridades competentes e para efetuar auditorias previstas na legislação austríaca específica (por exemplo, lei das sociedades anónimas, lei da bolsa, lei bancária, etc.).</w:t>
            </w:r>
          </w:p>
          <w:p>
            <w:pPr>
              <w:spacing w:before="60" w:after="60"/>
              <w:jc w:val="left"/>
              <w:rPr>
                <w:noProof/>
                <w:spacing w:val="-2"/>
                <w:sz w:val="20"/>
              </w:rPr>
            </w:pPr>
            <w:r>
              <w:rPr>
                <w:noProof/>
                <w:sz w:val="20"/>
              </w:rPr>
              <w:t>HR: As sociedades de auditoria estrangeiras podem prestar serviços de auditoria no território croata caso tenham estabelecido uma sucursal.</w:t>
            </w:r>
          </w:p>
          <w:p>
            <w:pPr>
              <w:jc w:val="left"/>
              <w:rPr>
                <w:noProof/>
                <w:sz w:val="20"/>
              </w:rPr>
            </w:pPr>
            <w:r>
              <w:rPr>
                <w:noProof/>
                <w:sz w:val="20"/>
              </w:rPr>
              <w:t>SE: Apenas os auditores aprovados na Suécia podem assegurar serviços de auditoria jurídica em certas entidades jurídicas, designadamente em todas as sociedades de responsabilidade limitada. São os únicos autorizados a deter ações ou a constituir parcerias em empresas que assegurem a execução de auditoria qualificada (para fins oficiais). Requisito de residência para a autorização.</w:t>
            </w:r>
          </w:p>
          <w:p>
            <w:pPr>
              <w:tabs>
                <w:tab w:val="left" w:pos="-108"/>
                <w:tab w:val="left" w:pos="453"/>
                <w:tab w:val="left" w:pos="1248"/>
                <w:tab w:val="left" w:pos="1645"/>
                <w:tab w:val="left" w:pos="2042"/>
                <w:tab w:val="left" w:pos="2439"/>
                <w:tab w:val="left" w:pos="2836"/>
                <w:tab w:val="left" w:pos="3234"/>
                <w:tab w:val="left" w:pos="3631"/>
                <w:tab w:val="left" w:pos="4028"/>
                <w:tab w:val="left" w:pos="4425"/>
                <w:tab w:val="left" w:pos="4822"/>
                <w:tab w:val="left" w:pos="5220"/>
                <w:tab w:val="left" w:pos="5617"/>
                <w:tab w:val="left" w:pos="6014"/>
                <w:tab w:val="left" w:pos="6411"/>
                <w:tab w:val="left" w:pos="6808"/>
                <w:tab w:val="left" w:pos="7206"/>
                <w:tab w:val="left" w:pos="7603"/>
                <w:tab w:val="left" w:pos="8000"/>
                <w:tab w:val="left" w:pos="8397"/>
                <w:tab w:val="left" w:pos="8794"/>
                <w:tab w:val="left" w:pos="9192"/>
                <w:tab w:val="left" w:pos="9589"/>
                <w:tab w:val="left" w:pos="9986"/>
                <w:tab w:val="left" w:pos="10383"/>
                <w:tab w:val="left" w:pos="10780"/>
                <w:tab w:val="left" w:pos="11178"/>
                <w:tab w:val="left" w:pos="11575"/>
                <w:tab w:val="left" w:pos="11972"/>
                <w:tab w:val="left" w:pos="12369"/>
                <w:tab w:val="left" w:pos="12766"/>
                <w:tab w:val="left" w:pos="13164"/>
                <w:tab w:val="left" w:pos="13561"/>
                <w:tab w:val="left" w:pos="13958"/>
                <w:tab w:val="left" w:pos="14355"/>
                <w:tab w:val="left" w:pos="14752"/>
                <w:tab w:val="left" w:pos="15150"/>
              </w:tabs>
              <w:suppressAutoHyphens/>
              <w:jc w:val="left"/>
              <w:rPr>
                <w:noProof/>
                <w:spacing w:val="-2"/>
                <w:sz w:val="20"/>
              </w:rPr>
            </w:pPr>
            <w:r>
              <w:rPr>
                <w:noProof/>
                <w:sz w:val="20"/>
              </w:rPr>
              <w:t>LT: O relatório do auditor deve ser preparado em colaboração com um auditor autorizado a exercer na Lituânia.</w:t>
            </w:r>
          </w:p>
          <w:p>
            <w:pPr>
              <w:keepNext/>
              <w:keepLines/>
              <w:tabs>
                <w:tab w:val="left" w:pos="306"/>
              </w:tabs>
              <w:suppressAutoHyphens/>
              <w:jc w:val="left"/>
              <w:rPr>
                <w:noProof/>
                <w:spacing w:val="-2"/>
                <w:sz w:val="20"/>
              </w:rPr>
            </w:pPr>
            <w:r>
              <w:rPr>
                <w:noProof/>
                <w:sz w:val="20"/>
              </w:rPr>
              <w:t>Para o Modo 2</w:t>
            </w:r>
          </w:p>
          <w:p>
            <w:pPr>
              <w:tabs>
                <w:tab w:val="left" w:pos="-108"/>
                <w:tab w:val="left" w:pos="453"/>
                <w:tab w:val="left" w:pos="1248"/>
                <w:tab w:val="left" w:pos="1645"/>
                <w:tab w:val="left" w:pos="2042"/>
                <w:tab w:val="left" w:pos="2439"/>
                <w:tab w:val="left" w:pos="2836"/>
                <w:tab w:val="left" w:pos="3234"/>
                <w:tab w:val="left" w:pos="3631"/>
                <w:tab w:val="left" w:pos="4028"/>
                <w:tab w:val="left" w:pos="4425"/>
                <w:tab w:val="left" w:pos="4822"/>
                <w:tab w:val="left" w:pos="5220"/>
                <w:tab w:val="left" w:pos="5617"/>
                <w:tab w:val="left" w:pos="6014"/>
                <w:tab w:val="left" w:pos="6411"/>
                <w:tab w:val="left" w:pos="6808"/>
                <w:tab w:val="left" w:pos="7206"/>
                <w:tab w:val="left" w:pos="7603"/>
                <w:tab w:val="left" w:pos="8000"/>
                <w:tab w:val="left" w:pos="8397"/>
                <w:tab w:val="left" w:pos="8794"/>
                <w:tab w:val="left" w:pos="9192"/>
                <w:tab w:val="left" w:pos="9589"/>
                <w:tab w:val="left" w:pos="9986"/>
                <w:tab w:val="left" w:pos="10383"/>
                <w:tab w:val="left" w:pos="10780"/>
                <w:tab w:val="left" w:pos="11178"/>
                <w:tab w:val="left" w:pos="11575"/>
                <w:tab w:val="left" w:pos="11972"/>
                <w:tab w:val="left" w:pos="12369"/>
                <w:tab w:val="left" w:pos="12766"/>
                <w:tab w:val="left" w:pos="13164"/>
                <w:tab w:val="left" w:pos="13561"/>
                <w:tab w:val="left" w:pos="13958"/>
                <w:tab w:val="left" w:pos="14355"/>
                <w:tab w:val="left" w:pos="14752"/>
                <w:tab w:val="left" w:pos="15150"/>
              </w:tabs>
              <w:suppressAutoHyphens/>
              <w:jc w:val="left"/>
              <w:rPr>
                <w:noProof/>
                <w:spacing w:val="-2"/>
                <w:sz w:val="20"/>
              </w:rPr>
            </w:pPr>
            <w:r>
              <w:rPr>
                <w:noProof/>
                <w:sz w:val="20"/>
              </w:rPr>
              <w:t>Nenhuma.</w:t>
            </w:r>
          </w:p>
        </w:tc>
      </w:tr>
      <w:tr>
        <w:trPr>
          <w:jc w:val="center"/>
        </w:trPr>
        <w:tc>
          <w:tcPr>
            <w:tcW w:w="3114" w:type="dxa"/>
          </w:tcPr>
          <w:p>
            <w:pPr>
              <w:pageBreakBefore/>
              <w:jc w:val="left"/>
              <w:rPr>
                <w:noProof/>
                <w:sz w:val="20"/>
              </w:rPr>
            </w:pPr>
            <w:r>
              <w:rPr>
                <w:noProof/>
                <w:sz w:val="20"/>
              </w:rPr>
              <w:lastRenderedPageBreak/>
              <w:t>c) Serviços de consultoria fiscal</w:t>
            </w:r>
          </w:p>
          <w:p>
            <w:pPr>
              <w:jc w:val="left"/>
              <w:rPr>
                <w:noProof/>
                <w:sz w:val="20"/>
              </w:rPr>
            </w:pPr>
            <w:r>
              <w:rPr>
                <w:noProof/>
                <w:sz w:val="20"/>
              </w:rPr>
              <w:t>(CPC 863)</w:t>
            </w:r>
            <w:r>
              <w:rPr>
                <w:rStyle w:val="FootnoteReference"/>
                <w:noProof/>
                <w:sz w:val="20"/>
              </w:rPr>
              <w:footnoteReference w:id="4"/>
            </w:r>
          </w:p>
        </w:tc>
        <w:tc>
          <w:tcPr>
            <w:tcW w:w="6525" w:type="dxa"/>
          </w:tcPr>
          <w:p>
            <w:pPr>
              <w:keepNext/>
              <w:keepLines/>
              <w:tabs>
                <w:tab w:val="left" w:pos="306"/>
              </w:tabs>
              <w:suppressAutoHyphens/>
              <w:jc w:val="left"/>
              <w:rPr>
                <w:noProof/>
                <w:spacing w:val="-2"/>
                <w:sz w:val="20"/>
              </w:rPr>
            </w:pPr>
            <w:r>
              <w:rPr>
                <w:noProof/>
                <w:sz w:val="20"/>
              </w:rPr>
              <w:t>Para o Modo 1</w:t>
            </w:r>
          </w:p>
          <w:p>
            <w:pPr>
              <w:jc w:val="left"/>
              <w:rPr>
                <w:noProof/>
                <w:sz w:val="20"/>
              </w:rPr>
            </w:pPr>
            <w:r>
              <w:rPr>
                <w:noProof/>
                <w:sz w:val="20"/>
              </w:rPr>
              <w:t>AT: Condição de nacionalidade para representação perante as autoridades competentes.</w:t>
            </w:r>
          </w:p>
          <w:p>
            <w:pPr>
              <w:jc w:val="left"/>
              <w:rPr>
                <w:noProof/>
                <w:spacing w:val="-2"/>
                <w:sz w:val="20"/>
              </w:rPr>
            </w:pPr>
            <w:r>
              <w:rPr>
                <w:noProof/>
                <w:sz w:val="20"/>
              </w:rPr>
              <w:t>CY: Os conselheiros fiscais devem ser devidamente autorizados pelo Ministério das Finanças. A autorização depende do exame das necessidades económicas. Os critérios aplicados são análogos aos referentes à concessão de autorização para investimentos estrangeiros (listados na secção horizontal), na medida em que se apliquem a este subsetor, tendo sempre em conta a situação do emprego no subsetor.</w:t>
            </w:r>
          </w:p>
          <w:p>
            <w:pPr>
              <w:jc w:val="left"/>
              <w:rPr>
                <w:noProof/>
                <w:sz w:val="20"/>
              </w:rPr>
            </w:pPr>
            <w:r>
              <w:rPr>
                <w:noProof/>
                <w:sz w:val="20"/>
              </w:rPr>
              <w:t>BG, MT, RO, SI: Não consolidado</w:t>
            </w:r>
          </w:p>
          <w:p>
            <w:pPr>
              <w:keepNext/>
              <w:keepLines/>
              <w:tabs>
                <w:tab w:val="left" w:pos="306"/>
              </w:tabs>
              <w:suppressAutoHyphens/>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d) Serviços de arquitetura</w:t>
            </w:r>
          </w:p>
          <w:p>
            <w:pPr>
              <w:jc w:val="left"/>
              <w:rPr>
                <w:noProof/>
                <w:sz w:val="20"/>
              </w:rPr>
            </w:pPr>
            <w:r>
              <w:rPr>
                <w:noProof/>
                <w:sz w:val="20"/>
              </w:rPr>
              <w:t>e</w:t>
            </w:r>
          </w:p>
          <w:p>
            <w:pPr>
              <w:jc w:val="left"/>
              <w:rPr>
                <w:noProof/>
                <w:sz w:val="20"/>
              </w:rPr>
            </w:pPr>
            <w:r>
              <w:rPr>
                <w:noProof/>
                <w:sz w:val="20"/>
              </w:rPr>
              <w:t>e) Serviços de planeamento urbano e arquitetura paisagística</w:t>
            </w:r>
          </w:p>
          <w:p>
            <w:pPr>
              <w:jc w:val="left"/>
              <w:rPr>
                <w:noProof/>
                <w:sz w:val="20"/>
              </w:rPr>
            </w:pPr>
            <w:r>
              <w:rPr>
                <w:noProof/>
                <w:sz w:val="20"/>
              </w:rPr>
              <w:t>(CPC 8671 e CPC 8674)</w:t>
            </w:r>
          </w:p>
        </w:tc>
        <w:tc>
          <w:tcPr>
            <w:tcW w:w="6525" w:type="dxa"/>
          </w:tcPr>
          <w:p>
            <w:pPr>
              <w:keepNext/>
              <w:keepLines/>
              <w:tabs>
                <w:tab w:val="left" w:pos="306"/>
              </w:tabs>
              <w:suppressAutoHyphens/>
              <w:jc w:val="left"/>
              <w:rPr>
                <w:noProof/>
                <w:spacing w:val="-2"/>
                <w:sz w:val="20"/>
              </w:rPr>
            </w:pPr>
            <w:r>
              <w:rPr>
                <w:noProof/>
                <w:sz w:val="20"/>
              </w:rPr>
              <w:t>Para o Modo 1</w:t>
            </w:r>
          </w:p>
          <w:p>
            <w:pPr>
              <w:jc w:val="left"/>
              <w:rPr>
                <w:noProof/>
                <w:spacing w:val="-2"/>
                <w:sz w:val="20"/>
              </w:rPr>
            </w:pPr>
            <w:r>
              <w:rPr>
                <w:noProof/>
                <w:sz w:val="20"/>
              </w:rPr>
              <w:t>AT: Não consolidado, exceto para serviços de planeamento.</w:t>
            </w:r>
          </w:p>
          <w:p>
            <w:pPr>
              <w:jc w:val="left"/>
              <w:rPr>
                <w:noProof/>
                <w:sz w:val="20"/>
              </w:rPr>
            </w:pPr>
            <w:r>
              <w:rPr>
                <w:noProof/>
                <w:sz w:val="20"/>
              </w:rPr>
              <w:t>BE, BG, CY, EL, IT, MT, PL, PT, SI: Não consolidado</w:t>
            </w:r>
          </w:p>
          <w:p>
            <w:pPr>
              <w:jc w:val="left"/>
              <w:rPr>
                <w:noProof/>
                <w:sz w:val="20"/>
              </w:rPr>
            </w:pPr>
            <w:r>
              <w:rPr>
                <w:noProof/>
                <w:sz w:val="20"/>
              </w:rPr>
              <w:t>DE: Aplicação das regras nacionais respeitantes a honorários e emolumentos para todos os serviços prestados a partir do estrangeiro.</w:t>
            </w:r>
          </w:p>
          <w:p>
            <w:pPr>
              <w:jc w:val="left"/>
              <w:rPr>
                <w:noProof/>
                <w:sz w:val="20"/>
              </w:rPr>
            </w:pPr>
            <w:r>
              <w:rPr>
                <w:noProof/>
                <w:sz w:val="20"/>
              </w:rPr>
              <w:t>HR: As pessoas singulares e coletivas podem prestar esses serviços mediante aprovação da Câmara de Arquitetos croata. Um desenho ou projeto elaborado no estrangeiro tem de ser reconhecido (validado) por uma pessoa singular ou coletiva autorizada na Croácia, no que respeita ao seu cumprimento da legislação croata. Não consolidado para planeamento urbano.</w:t>
            </w:r>
          </w:p>
          <w:p>
            <w:pPr>
              <w:jc w:val="left"/>
              <w:rPr>
                <w:noProof/>
                <w:sz w:val="20"/>
              </w:rPr>
            </w:pPr>
            <w:r>
              <w:rPr>
                <w:noProof/>
                <w:sz w:val="20"/>
              </w:rPr>
              <w:t>HU, RO: Não consolidado para serviços de arquitetura paisagística.</w:t>
            </w:r>
          </w:p>
          <w:p>
            <w:pPr>
              <w:keepNext/>
              <w:keepLines/>
              <w:tabs>
                <w:tab w:val="left" w:pos="306"/>
              </w:tabs>
              <w:suppressAutoHyphens/>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f) Serviços de engenharia; e</w:t>
            </w:r>
          </w:p>
          <w:p>
            <w:pPr>
              <w:jc w:val="left"/>
              <w:rPr>
                <w:noProof/>
                <w:sz w:val="20"/>
              </w:rPr>
            </w:pPr>
            <w:r>
              <w:rPr>
                <w:noProof/>
                <w:sz w:val="20"/>
              </w:rPr>
              <w:t>g) Serviços integrados de engenharia</w:t>
            </w:r>
          </w:p>
          <w:p>
            <w:pPr>
              <w:jc w:val="left"/>
              <w:rPr>
                <w:noProof/>
                <w:sz w:val="20"/>
              </w:rPr>
            </w:pPr>
            <w:r>
              <w:rPr>
                <w:noProof/>
                <w:sz w:val="20"/>
              </w:rPr>
              <w:t>(CPC 8672 e CPC 8673)</w:t>
            </w:r>
          </w:p>
        </w:tc>
        <w:tc>
          <w:tcPr>
            <w:tcW w:w="6525" w:type="dxa"/>
          </w:tcPr>
          <w:p>
            <w:pPr>
              <w:keepNext/>
              <w:keepLines/>
              <w:tabs>
                <w:tab w:val="left" w:pos="306"/>
              </w:tabs>
              <w:suppressAutoHyphens/>
              <w:jc w:val="left"/>
              <w:rPr>
                <w:noProof/>
                <w:spacing w:val="-2"/>
                <w:sz w:val="20"/>
              </w:rPr>
            </w:pPr>
            <w:r>
              <w:rPr>
                <w:noProof/>
                <w:sz w:val="20"/>
              </w:rPr>
              <w:t>Para o Modo 1</w:t>
            </w:r>
          </w:p>
          <w:p>
            <w:pPr>
              <w:jc w:val="left"/>
              <w:rPr>
                <w:noProof/>
                <w:spacing w:val="-2"/>
                <w:sz w:val="20"/>
              </w:rPr>
            </w:pPr>
            <w:r>
              <w:rPr>
                <w:noProof/>
                <w:sz w:val="20"/>
              </w:rPr>
              <w:t>AT, SI: Não consolidado, exceto para serviços de planeamento no sentido estrito.</w:t>
            </w:r>
          </w:p>
          <w:p>
            <w:pPr>
              <w:jc w:val="left"/>
              <w:rPr>
                <w:noProof/>
                <w:spacing w:val="-2"/>
                <w:sz w:val="20"/>
              </w:rPr>
            </w:pPr>
            <w:r>
              <w:rPr>
                <w:noProof/>
                <w:sz w:val="20"/>
              </w:rPr>
              <w:t>BG, CY, EL, IT, MT, PT: Não consolidado</w:t>
            </w:r>
          </w:p>
          <w:p>
            <w:pPr>
              <w:pStyle w:val="CommentText"/>
              <w:jc w:val="left"/>
              <w:rPr>
                <w:noProof/>
              </w:rPr>
            </w:pPr>
            <w:r>
              <w:rPr>
                <w:noProof/>
              </w:rPr>
              <w:t>HR: As pessoas singulares e coletivas podem prestar serviços de engenharia mediante aprovação da Câmara de Engenheiros croata. Um desenho ou projeto elaborado no estrangeiro tem de ser reconhecido (validado) por uma pessoa singular ou coletiva autorizada na Croácia, no que respeita ao seu cumprimento da legislação croata.</w:t>
            </w:r>
          </w:p>
          <w:p>
            <w:pPr>
              <w:keepNext/>
              <w:keepLines/>
              <w:tabs>
                <w:tab w:val="left" w:pos="306"/>
              </w:tabs>
              <w:suppressAutoHyphens/>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pageBreakBefore/>
              <w:jc w:val="left"/>
              <w:rPr>
                <w:noProof/>
                <w:sz w:val="20"/>
              </w:rPr>
            </w:pPr>
            <w:r>
              <w:rPr>
                <w:noProof/>
                <w:sz w:val="20"/>
              </w:rPr>
              <w:lastRenderedPageBreak/>
              <w:t>h) Serviços médicos (incluindo psicólogos) e dentários</w:t>
            </w:r>
          </w:p>
          <w:p>
            <w:pPr>
              <w:jc w:val="left"/>
              <w:rPr>
                <w:noProof/>
                <w:sz w:val="20"/>
              </w:rPr>
            </w:pPr>
            <w:r>
              <w:rPr>
                <w:noProof/>
                <w:sz w:val="20"/>
              </w:rPr>
              <w:t xml:space="preserve">(CPC 9312 e </w:t>
            </w:r>
          </w:p>
          <w:p>
            <w:pPr>
              <w:jc w:val="left"/>
              <w:rPr>
                <w:noProof/>
                <w:sz w:val="20"/>
              </w:rPr>
            </w:pPr>
            <w:r>
              <w:rPr>
                <w:noProof/>
                <w:sz w:val="20"/>
              </w:rPr>
              <w:t xml:space="preserve">(parte da CPC  85201) </w:t>
            </w:r>
          </w:p>
        </w:tc>
        <w:tc>
          <w:tcPr>
            <w:tcW w:w="6525" w:type="dxa"/>
          </w:tcPr>
          <w:p>
            <w:pPr>
              <w:keepNext/>
              <w:keepLines/>
              <w:tabs>
                <w:tab w:val="left" w:pos="306"/>
              </w:tabs>
              <w:suppressAutoHyphens/>
              <w:jc w:val="left"/>
              <w:rPr>
                <w:noProof/>
                <w:spacing w:val="-2"/>
                <w:sz w:val="20"/>
              </w:rPr>
            </w:pPr>
            <w:r>
              <w:rPr>
                <w:noProof/>
                <w:sz w:val="20"/>
              </w:rPr>
              <w:t>Para o Modo 1</w:t>
            </w:r>
          </w:p>
          <w:p>
            <w:pPr>
              <w:jc w:val="left"/>
              <w:rPr>
                <w:noProof/>
                <w:spacing w:val="-2"/>
                <w:sz w:val="20"/>
              </w:rPr>
            </w:pPr>
            <w:r>
              <w:rPr>
                <w:noProof/>
                <w:sz w:val="20"/>
              </w:rPr>
              <w:t xml:space="preserve">AT, BE, BG, CY, DE, DK, EE, ES, FI, FR, EL, IE, IT, LU, MT, NL, PT, RO, SK, UK: Não consolidado </w:t>
            </w:r>
          </w:p>
          <w:p>
            <w:pPr>
              <w:jc w:val="left"/>
              <w:rPr>
                <w:noProof/>
                <w:spacing w:val="-2"/>
                <w:sz w:val="20"/>
              </w:rPr>
            </w:pPr>
            <w:r>
              <w:rPr>
                <w:noProof/>
                <w:sz w:val="20"/>
              </w:rPr>
              <w:t>HR: Não consolidado, exceto para a telemedicina.</w:t>
            </w:r>
            <w:r>
              <w:rPr>
                <w:noProof/>
              </w:rPr>
              <w:br/>
            </w:r>
            <w:r>
              <w:rPr>
                <w:noProof/>
                <w:sz w:val="20"/>
              </w:rPr>
              <w:t>SI: Não consolidado para serviços de medicina social, sanitários, epidemiológicos, médico/ecológicos, aprovisionamento em sangue, preparações de sangue e transplantes e autópsia.</w:t>
            </w:r>
          </w:p>
          <w:p>
            <w:pPr>
              <w:keepNext/>
              <w:keepLines/>
              <w:tabs>
                <w:tab w:val="left" w:pos="306"/>
              </w:tabs>
              <w:suppressAutoHyphens/>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i) Serviços de veterinária</w:t>
            </w:r>
          </w:p>
          <w:p>
            <w:pPr>
              <w:jc w:val="left"/>
              <w:rPr>
                <w:noProof/>
                <w:sz w:val="20"/>
              </w:rPr>
            </w:pPr>
            <w:r>
              <w:rPr>
                <w:noProof/>
                <w:sz w:val="20"/>
              </w:rPr>
              <w:t>(CPC 932)</w:t>
            </w:r>
          </w:p>
        </w:tc>
        <w:tc>
          <w:tcPr>
            <w:tcW w:w="6525" w:type="dxa"/>
          </w:tcPr>
          <w:p>
            <w:pPr>
              <w:keepNext/>
              <w:keepLines/>
              <w:tabs>
                <w:tab w:val="left" w:pos="306"/>
              </w:tabs>
              <w:suppressAutoHyphens/>
              <w:jc w:val="left"/>
              <w:rPr>
                <w:noProof/>
                <w:spacing w:val="-2"/>
                <w:sz w:val="20"/>
              </w:rPr>
            </w:pPr>
            <w:r>
              <w:rPr>
                <w:noProof/>
                <w:sz w:val="20"/>
              </w:rPr>
              <w:t>Para o Modo 1</w:t>
            </w:r>
          </w:p>
          <w:p>
            <w:pPr>
              <w:jc w:val="left"/>
              <w:rPr>
                <w:noProof/>
                <w:spacing w:val="-2"/>
                <w:sz w:val="20"/>
              </w:rPr>
            </w:pPr>
            <w:r>
              <w:rPr>
                <w:noProof/>
                <w:sz w:val="20"/>
              </w:rPr>
              <w:t xml:space="preserve">AT, BE, BG, CY, CZ, DE, DK, EE, ES, FR, EL, HU, IE, IT, LV, LT, MT, NL, PT, RO, SI, SK: Não consolidado </w:t>
            </w:r>
          </w:p>
          <w:p>
            <w:pPr>
              <w:keepNext/>
              <w:keepLines/>
              <w:tabs>
                <w:tab w:val="left" w:pos="306"/>
              </w:tabs>
              <w:suppressAutoHyphens/>
              <w:jc w:val="left"/>
              <w:rPr>
                <w:noProof/>
                <w:sz w:val="20"/>
              </w:rPr>
            </w:pPr>
            <w:r>
              <w:rPr>
                <w:noProof/>
                <w:sz w:val="20"/>
              </w:rPr>
              <w:t>UK: Não consolidado, exceto para laboratórios veterinários e serviços técnicos prestados a cirurgiões veterinários, consultoria geral, orientação e informação, por exemplo, em matéria de nutrição, comportamento e cuidados com animais de estimação.</w:t>
            </w:r>
          </w:p>
          <w:p>
            <w:pPr>
              <w:keepNext/>
              <w:keepLines/>
              <w:tabs>
                <w:tab w:val="left" w:pos="306"/>
              </w:tabs>
              <w:suppressAutoHyphens/>
              <w:jc w:val="left"/>
              <w:rPr>
                <w:noProof/>
                <w:spacing w:val="-2"/>
                <w:sz w:val="20"/>
              </w:rPr>
            </w:pPr>
            <w:r>
              <w:rPr>
                <w:noProof/>
                <w:sz w:val="20"/>
              </w:rPr>
              <w:t>Para o Modo 2</w:t>
            </w:r>
          </w:p>
          <w:p>
            <w:pPr>
              <w:jc w:val="left"/>
              <w:rPr>
                <w:noProof/>
                <w:spacing w:val="-2"/>
                <w:sz w:val="20"/>
              </w:rPr>
            </w:pPr>
            <w:r>
              <w:rPr>
                <w:noProof/>
                <w:sz w:val="20"/>
              </w:rPr>
              <w:t>Nenhuma.</w:t>
            </w:r>
          </w:p>
        </w:tc>
      </w:tr>
      <w:tr>
        <w:trPr>
          <w:jc w:val="center"/>
        </w:trPr>
        <w:tc>
          <w:tcPr>
            <w:tcW w:w="3114" w:type="dxa"/>
          </w:tcPr>
          <w:p>
            <w:pPr>
              <w:rPr>
                <w:noProof/>
                <w:sz w:val="20"/>
              </w:rPr>
            </w:pPr>
            <w:r>
              <w:rPr>
                <w:noProof/>
                <w:sz w:val="20"/>
              </w:rPr>
              <w:t>j) 1. Serviços de parteiras</w:t>
            </w:r>
          </w:p>
          <w:p>
            <w:pPr>
              <w:rPr>
                <w:noProof/>
                <w:sz w:val="20"/>
              </w:rPr>
            </w:pPr>
            <w:r>
              <w:rPr>
                <w:noProof/>
                <w:sz w:val="20"/>
              </w:rPr>
              <w:t>(parte da CPC 93191)</w:t>
            </w:r>
          </w:p>
          <w:p>
            <w:pPr>
              <w:rPr>
                <w:noProof/>
                <w:sz w:val="20"/>
              </w:rPr>
            </w:pPr>
            <w:r>
              <w:rPr>
                <w:noProof/>
                <w:sz w:val="20"/>
              </w:rPr>
              <w:t>j) 2. Serviços prestados por enfermeiros, fisioterapeutas e pessoal paramédico</w:t>
            </w:r>
          </w:p>
          <w:p>
            <w:pPr>
              <w:rPr>
                <w:noProof/>
                <w:sz w:val="20"/>
              </w:rPr>
            </w:pPr>
            <w:r>
              <w:rPr>
                <w:noProof/>
                <w:sz w:val="20"/>
              </w:rPr>
              <w:t>(parte da CPC 93191)</w:t>
            </w:r>
          </w:p>
        </w:tc>
        <w:tc>
          <w:tcPr>
            <w:tcW w:w="6525" w:type="dxa"/>
          </w:tcPr>
          <w:p>
            <w:pPr>
              <w:keepNext/>
              <w:keepLines/>
              <w:tabs>
                <w:tab w:val="left" w:pos="306"/>
              </w:tabs>
              <w:suppressAutoHyphens/>
              <w:rPr>
                <w:noProof/>
                <w:spacing w:val="-2"/>
                <w:sz w:val="20"/>
              </w:rPr>
            </w:pPr>
            <w:r>
              <w:rPr>
                <w:noProof/>
                <w:sz w:val="20"/>
              </w:rPr>
              <w:t>Para o Modo 1</w:t>
            </w:r>
          </w:p>
          <w:p>
            <w:pPr>
              <w:rPr>
                <w:noProof/>
                <w:spacing w:val="-2"/>
                <w:sz w:val="20"/>
              </w:rPr>
            </w:pPr>
            <w:r>
              <w:rPr>
                <w:noProof/>
                <w:sz w:val="20"/>
              </w:rPr>
              <w:t>AT, BE, BG, CY, CZ, DE, DK, EE, ES, FR, EL, HU, IE, IT, LV, LT, LU, MT, NL, PT, RO, SI, SK, UK: Não consolidado</w:t>
            </w:r>
          </w:p>
          <w:p>
            <w:pPr>
              <w:keepNext/>
              <w:keepLines/>
              <w:tabs>
                <w:tab w:val="left" w:pos="306"/>
              </w:tabs>
              <w:suppressAutoHyphens/>
              <w:rPr>
                <w:noProof/>
                <w:spacing w:val="-2"/>
                <w:sz w:val="20"/>
              </w:rPr>
            </w:pPr>
            <w:r>
              <w:rPr>
                <w:noProof/>
                <w:sz w:val="20"/>
              </w:rPr>
              <w:t xml:space="preserve">FI, PL: Não consolidado, exceto para enfermeiros. </w:t>
            </w:r>
          </w:p>
          <w:p>
            <w:pPr>
              <w:rPr>
                <w:noProof/>
                <w:spacing w:val="-2"/>
                <w:sz w:val="20"/>
              </w:rPr>
            </w:pPr>
            <w:r>
              <w:rPr>
                <w:noProof/>
                <w:sz w:val="20"/>
              </w:rPr>
              <w:t>HR: Não consolidado, exceto para a telemedicina.</w:t>
            </w:r>
          </w:p>
          <w:p>
            <w:pPr>
              <w:keepNext/>
              <w:keepLines/>
              <w:tabs>
                <w:tab w:val="left" w:pos="306"/>
              </w:tabs>
              <w:suppressAutoHyphens/>
              <w:rPr>
                <w:noProof/>
                <w:spacing w:val="-2"/>
                <w:sz w:val="20"/>
              </w:rPr>
            </w:pPr>
            <w:r>
              <w:rPr>
                <w:noProof/>
                <w:sz w:val="20"/>
              </w:rPr>
              <w:t>Para o Modo 2</w:t>
            </w:r>
          </w:p>
          <w:p>
            <w:pPr>
              <w:rPr>
                <w:noProof/>
                <w:sz w:val="20"/>
              </w:rPr>
            </w:pPr>
            <w:r>
              <w:rPr>
                <w:noProof/>
                <w:sz w:val="20"/>
              </w:rPr>
              <w:t>Nenhuma.</w:t>
            </w:r>
          </w:p>
        </w:tc>
      </w:tr>
      <w:tr>
        <w:trPr>
          <w:jc w:val="center"/>
        </w:trPr>
        <w:tc>
          <w:tcPr>
            <w:tcW w:w="3114" w:type="dxa"/>
          </w:tcPr>
          <w:p>
            <w:pPr>
              <w:pageBreakBefore/>
              <w:jc w:val="left"/>
              <w:rPr>
                <w:noProof/>
                <w:sz w:val="20"/>
              </w:rPr>
            </w:pPr>
            <w:r>
              <w:rPr>
                <w:noProof/>
                <w:sz w:val="20"/>
              </w:rPr>
              <w:t xml:space="preserve">k) Venda a retalho de produtos farmacêuticos e venda a retalho de produtos médicos e ortopédicos </w:t>
            </w:r>
          </w:p>
          <w:p>
            <w:pPr>
              <w:jc w:val="left"/>
              <w:rPr>
                <w:noProof/>
                <w:sz w:val="20"/>
              </w:rPr>
            </w:pPr>
            <w:r>
              <w:rPr>
                <w:noProof/>
                <w:sz w:val="20"/>
              </w:rPr>
              <w:t>(CPC 63211)</w:t>
            </w:r>
          </w:p>
          <w:p>
            <w:pPr>
              <w:jc w:val="left"/>
              <w:rPr>
                <w:noProof/>
                <w:sz w:val="20"/>
              </w:rPr>
            </w:pPr>
            <w:r>
              <w:rPr>
                <w:noProof/>
                <w:sz w:val="20"/>
              </w:rPr>
              <w:t>e outros serviços prestados por farmacêuticos</w:t>
            </w:r>
            <w:r>
              <w:rPr>
                <w:rStyle w:val="FootnoteReference"/>
                <w:noProof/>
                <w:sz w:val="20"/>
              </w:rPr>
              <w:footnoteReference w:id="5"/>
            </w:r>
          </w:p>
        </w:tc>
        <w:tc>
          <w:tcPr>
            <w:tcW w:w="6525" w:type="dxa"/>
          </w:tcPr>
          <w:p>
            <w:pPr>
              <w:keepNext/>
              <w:keepLines/>
              <w:tabs>
                <w:tab w:val="left" w:pos="306"/>
              </w:tabs>
              <w:suppressAutoHyphens/>
              <w:jc w:val="left"/>
              <w:rPr>
                <w:noProof/>
                <w:spacing w:val="-2"/>
                <w:sz w:val="20"/>
              </w:rPr>
            </w:pPr>
            <w:r>
              <w:rPr>
                <w:noProof/>
                <w:sz w:val="20"/>
              </w:rPr>
              <w:t>Para o Modo 1</w:t>
            </w:r>
          </w:p>
          <w:p>
            <w:pPr>
              <w:jc w:val="left"/>
              <w:rPr>
                <w:noProof/>
                <w:spacing w:val="-2"/>
                <w:sz w:val="20"/>
              </w:rPr>
            </w:pPr>
            <w:r>
              <w:rPr>
                <w:noProof/>
                <w:sz w:val="20"/>
              </w:rPr>
              <w:t>AT, BE, BG, DE, CY, CZ (apenas para o Equador), DK, ES, FI, FR, EL, IE, IT, LU, MT, NL, PL, PT, RO, SK, SE, SI, UK: Não consolidado</w:t>
            </w:r>
          </w:p>
          <w:p>
            <w:pPr>
              <w:jc w:val="left"/>
              <w:rPr>
                <w:noProof/>
                <w:sz w:val="20"/>
              </w:rPr>
            </w:pPr>
            <w:r>
              <w:rPr>
                <w:noProof/>
                <w:sz w:val="20"/>
              </w:rPr>
              <w:t>CZ (apenas para a Colômbia e o Peru), LV, LT: Não consolidado, exceto para encomendas por correio.</w:t>
            </w:r>
          </w:p>
          <w:p>
            <w:pPr>
              <w:keepNext/>
              <w:keepLines/>
              <w:tabs>
                <w:tab w:val="left" w:pos="306"/>
              </w:tabs>
              <w:suppressAutoHyphens/>
              <w:jc w:val="left"/>
              <w:rPr>
                <w:noProof/>
                <w:sz w:val="20"/>
              </w:rPr>
            </w:pPr>
            <w:r>
              <w:rPr>
                <w:noProof/>
                <w:sz w:val="20"/>
              </w:rPr>
              <w:t>HU: Não consolidado, exceto para CPC 63211.</w:t>
            </w:r>
          </w:p>
          <w:p>
            <w:pPr>
              <w:keepNext/>
              <w:keepLines/>
              <w:tabs>
                <w:tab w:val="left" w:pos="306"/>
              </w:tabs>
              <w:suppressAutoHyphens/>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B. Serviços de informática e serviços conexos</w:t>
            </w:r>
          </w:p>
          <w:p>
            <w:pPr>
              <w:jc w:val="left"/>
              <w:rPr>
                <w:noProof/>
                <w:sz w:val="20"/>
              </w:rPr>
            </w:pPr>
            <w:r>
              <w:rPr>
                <w:noProof/>
                <w:sz w:val="20"/>
              </w:rPr>
              <w:t>(CPC 84)</w:t>
            </w:r>
          </w:p>
        </w:tc>
        <w:tc>
          <w:tcPr>
            <w:tcW w:w="6525" w:type="dxa"/>
          </w:tcPr>
          <w:p>
            <w:pPr>
              <w:keepNext/>
              <w:keepLines/>
              <w:tabs>
                <w:tab w:val="left" w:pos="306"/>
              </w:tabs>
              <w:suppressAutoHyphens/>
              <w:jc w:val="left"/>
              <w:rPr>
                <w:noProof/>
                <w:spacing w:val="-2"/>
                <w:sz w:val="20"/>
              </w:rPr>
            </w:pPr>
            <w:r>
              <w:rPr>
                <w:noProof/>
                <w:sz w:val="20"/>
              </w:rPr>
              <w:t>Para os Modos 1 e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C. Serviços de investigação e desenvolvimento</w:t>
            </w:r>
          </w:p>
        </w:tc>
        <w:tc>
          <w:tcPr>
            <w:tcW w:w="6525" w:type="dxa"/>
          </w:tcPr>
          <w:p>
            <w:pPr>
              <w:keepNext/>
              <w:keepLines/>
              <w:tabs>
                <w:tab w:val="left" w:pos="306"/>
              </w:tabs>
              <w:suppressAutoHyphens/>
              <w:jc w:val="left"/>
              <w:rPr>
                <w:noProof/>
                <w:sz w:val="20"/>
              </w:rPr>
            </w:pPr>
          </w:p>
        </w:tc>
      </w:tr>
      <w:tr>
        <w:trPr>
          <w:jc w:val="center"/>
        </w:trPr>
        <w:tc>
          <w:tcPr>
            <w:tcW w:w="3114" w:type="dxa"/>
          </w:tcPr>
          <w:p>
            <w:pPr>
              <w:jc w:val="left"/>
              <w:rPr>
                <w:noProof/>
                <w:sz w:val="20"/>
              </w:rPr>
            </w:pPr>
            <w:r>
              <w:rPr>
                <w:noProof/>
                <w:sz w:val="20"/>
              </w:rPr>
              <w:t>a) Serviços de investigação e desenvolvimento em ciências naturais</w:t>
            </w:r>
          </w:p>
          <w:p>
            <w:pPr>
              <w:jc w:val="left"/>
              <w:rPr>
                <w:noProof/>
                <w:sz w:val="20"/>
              </w:rPr>
            </w:pPr>
            <w:r>
              <w:rPr>
                <w:noProof/>
                <w:sz w:val="20"/>
              </w:rPr>
              <w:t>(CPC 851)</w:t>
            </w:r>
          </w:p>
          <w:p>
            <w:pPr>
              <w:jc w:val="left"/>
              <w:rPr>
                <w:noProof/>
                <w:sz w:val="20"/>
              </w:rPr>
            </w:pPr>
            <w:r>
              <w:rPr>
                <w:noProof/>
                <w:sz w:val="20"/>
              </w:rPr>
              <w:t>b) Serviços de investigação e desenvolvimento em ciências sociais e humanas</w:t>
            </w:r>
          </w:p>
          <w:p>
            <w:pPr>
              <w:jc w:val="left"/>
              <w:rPr>
                <w:noProof/>
                <w:sz w:val="20"/>
              </w:rPr>
            </w:pPr>
            <w:r>
              <w:rPr>
                <w:noProof/>
                <w:sz w:val="20"/>
              </w:rPr>
              <w:t>(CPC 852, excluindo serviços de psicologia)</w:t>
            </w:r>
            <w:r>
              <w:rPr>
                <w:rStyle w:val="FootnoteReference"/>
                <w:noProof/>
                <w:sz w:val="20"/>
              </w:rPr>
              <w:footnoteReference w:id="6"/>
            </w:r>
          </w:p>
          <w:p>
            <w:pPr>
              <w:jc w:val="left"/>
              <w:rPr>
                <w:noProof/>
                <w:sz w:val="20"/>
              </w:rPr>
            </w:pPr>
            <w:r>
              <w:rPr>
                <w:noProof/>
                <w:sz w:val="20"/>
              </w:rPr>
              <w:t>c) Serviços de investigação e desenvolvimento interdisciplinares</w:t>
            </w:r>
          </w:p>
          <w:p>
            <w:pPr>
              <w:jc w:val="left"/>
              <w:rPr>
                <w:noProof/>
                <w:sz w:val="20"/>
              </w:rPr>
            </w:pPr>
            <w:r>
              <w:rPr>
                <w:noProof/>
                <w:sz w:val="20"/>
              </w:rPr>
              <w:t>(CPC 853)</w:t>
            </w:r>
          </w:p>
        </w:tc>
        <w:tc>
          <w:tcPr>
            <w:tcW w:w="6525" w:type="dxa"/>
          </w:tcPr>
          <w:p>
            <w:pPr>
              <w:jc w:val="left"/>
              <w:rPr>
                <w:noProof/>
                <w:sz w:val="20"/>
              </w:rPr>
            </w:pPr>
            <w:r>
              <w:rPr>
                <w:noProof/>
                <w:sz w:val="20"/>
              </w:rPr>
              <w:t>Para a) e c):</w:t>
            </w:r>
          </w:p>
          <w:p>
            <w:pPr>
              <w:keepNext/>
              <w:keepLines/>
              <w:tabs>
                <w:tab w:val="left" w:pos="306"/>
              </w:tabs>
              <w:suppressAutoHyphens/>
              <w:jc w:val="left"/>
              <w:rPr>
                <w:noProof/>
                <w:spacing w:val="-2"/>
                <w:sz w:val="20"/>
              </w:rPr>
            </w:pPr>
            <w:r>
              <w:rPr>
                <w:noProof/>
                <w:sz w:val="20"/>
              </w:rPr>
              <w:t>Para os Modos 1 e 2</w:t>
            </w:r>
          </w:p>
          <w:p>
            <w:pPr>
              <w:jc w:val="left"/>
              <w:rPr>
                <w:noProof/>
                <w:sz w:val="20"/>
              </w:rPr>
            </w:pPr>
            <w:r>
              <w:rPr>
                <w:noProof/>
                <w:sz w:val="20"/>
              </w:rPr>
              <w:t>EU: Para serviços de investigação e desenvolvimento financiados por fundos públicos, os direitos e/ou autorizações exclusivos apenas podem ser concedidos a nacionais da União Europeia e a pessoas coletivas da União Europeia com sede na União Europeia.</w:t>
            </w:r>
          </w:p>
          <w:p>
            <w:pPr>
              <w:jc w:val="left"/>
              <w:rPr>
                <w:noProof/>
                <w:sz w:val="20"/>
              </w:rPr>
            </w:pPr>
            <w:r>
              <w:rPr>
                <w:noProof/>
                <w:sz w:val="20"/>
              </w:rPr>
              <w:t>Para b):</w:t>
            </w:r>
          </w:p>
          <w:p>
            <w:pPr>
              <w:jc w:val="left"/>
              <w:rPr>
                <w:noProof/>
                <w:sz w:val="20"/>
              </w:rPr>
            </w:pPr>
          </w:p>
          <w:p>
            <w:pPr>
              <w:keepNext/>
              <w:keepLines/>
              <w:tabs>
                <w:tab w:val="left" w:pos="306"/>
              </w:tabs>
              <w:suppressAutoHyphens/>
              <w:jc w:val="left"/>
              <w:rPr>
                <w:noProof/>
                <w:sz w:val="20"/>
              </w:rPr>
            </w:pPr>
            <w:r>
              <w:rPr>
                <w:noProof/>
                <w:sz w:val="20"/>
              </w:rPr>
              <w:t>Nenhuma.</w:t>
            </w:r>
          </w:p>
          <w:p>
            <w:pPr>
              <w:keepNext/>
              <w:keepLines/>
              <w:tabs>
                <w:tab w:val="left" w:pos="306"/>
              </w:tabs>
              <w:suppressAutoHyphens/>
              <w:jc w:val="left"/>
              <w:rPr>
                <w:noProof/>
                <w:sz w:val="20"/>
              </w:rPr>
            </w:pPr>
          </w:p>
          <w:p>
            <w:pPr>
              <w:jc w:val="left"/>
              <w:rPr>
                <w:noProof/>
                <w:sz w:val="20"/>
              </w:rPr>
            </w:pPr>
          </w:p>
          <w:p>
            <w:pPr>
              <w:jc w:val="left"/>
              <w:rPr>
                <w:noProof/>
                <w:sz w:val="20"/>
              </w:rPr>
            </w:pPr>
          </w:p>
        </w:tc>
      </w:tr>
      <w:tr>
        <w:trPr>
          <w:jc w:val="center"/>
        </w:trPr>
        <w:tc>
          <w:tcPr>
            <w:tcW w:w="3114" w:type="dxa"/>
          </w:tcPr>
          <w:p>
            <w:pPr>
              <w:pageBreakBefore/>
              <w:jc w:val="left"/>
              <w:rPr>
                <w:noProof/>
                <w:sz w:val="20"/>
              </w:rPr>
            </w:pPr>
            <w:r>
              <w:rPr>
                <w:noProof/>
                <w:sz w:val="20"/>
              </w:rPr>
              <w:t>D. Serviços imobiliários</w:t>
            </w:r>
            <w:r>
              <w:rPr>
                <w:rStyle w:val="FootnoteReference"/>
                <w:noProof/>
                <w:sz w:val="20"/>
              </w:rPr>
              <w:footnoteReference w:id="7"/>
            </w:r>
          </w:p>
        </w:tc>
        <w:tc>
          <w:tcPr>
            <w:tcW w:w="6525" w:type="dxa"/>
          </w:tcPr>
          <w:p>
            <w:pPr>
              <w:jc w:val="left"/>
              <w:rPr>
                <w:noProof/>
                <w:sz w:val="20"/>
              </w:rPr>
            </w:pPr>
          </w:p>
        </w:tc>
      </w:tr>
      <w:tr>
        <w:trPr>
          <w:jc w:val="center"/>
        </w:trPr>
        <w:tc>
          <w:tcPr>
            <w:tcW w:w="3114" w:type="dxa"/>
          </w:tcPr>
          <w:p>
            <w:pPr>
              <w:jc w:val="left"/>
              <w:rPr>
                <w:noProof/>
                <w:sz w:val="20"/>
              </w:rPr>
            </w:pPr>
            <w:r>
              <w:rPr>
                <w:noProof/>
                <w:sz w:val="20"/>
              </w:rPr>
              <w:t xml:space="preserve">a) Relacionados com bens imóveis próprios ou locados </w:t>
            </w:r>
          </w:p>
          <w:p>
            <w:pPr>
              <w:jc w:val="left"/>
              <w:rPr>
                <w:noProof/>
                <w:sz w:val="20"/>
              </w:rPr>
            </w:pPr>
            <w:r>
              <w:rPr>
                <w:noProof/>
                <w:sz w:val="20"/>
              </w:rPr>
              <w:t>(CPC 821)</w:t>
            </w:r>
          </w:p>
        </w:tc>
        <w:tc>
          <w:tcPr>
            <w:tcW w:w="6525" w:type="dxa"/>
          </w:tcPr>
          <w:p>
            <w:pPr>
              <w:keepNext/>
              <w:keepLines/>
              <w:tabs>
                <w:tab w:val="left" w:pos="306"/>
              </w:tabs>
              <w:suppressAutoHyphens/>
              <w:jc w:val="left"/>
              <w:rPr>
                <w:noProof/>
                <w:spacing w:val="-2"/>
                <w:sz w:val="20"/>
              </w:rPr>
            </w:pPr>
            <w:r>
              <w:rPr>
                <w:noProof/>
                <w:sz w:val="20"/>
              </w:rPr>
              <w:t>Para o Modo 1</w:t>
            </w:r>
          </w:p>
          <w:p>
            <w:pPr>
              <w:jc w:val="left"/>
              <w:rPr>
                <w:noProof/>
                <w:spacing w:val="-2"/>
                <w:sz w:val="20"/>
              </w:rPr>
            </w:pPr>
            <w:r>
              <w:rPr>
                <w:noProof/>
                <w:sz w:val="20"/>
              </w:rPr>
              <w:t>BG, CY, CZ, EE, HU, IE, LV, LT, MT, PL, RO, SK, SI: Não consolidado</w:t>
            </w:r>
          </w:p>
          <w:p>
            <w:pPr>
              <w:jc w:val="left"/>
              <w:rPr>
                <w:noProof/>
                <w:spacing w:val="-2"/>
                <w:sz w:val="20"/>
              </w:rPr>
            </w:pPr>
            <w:r>
              <w:rPr>
                <w:noProof/>
                <w:sz w:val="20"/>
              </w:rPr>
              <w:t xml:space="preserve">HR: Exigida presença comercial. </w:t>
            </w:r>
          </w:p>
          <w:p>
            <w:pPr>
              <w:keepNext/>
              <w:keepLines/>
              <w:tabs>
                <w:tab w:val="left" w:pos="306"/>
              </w:tabs>
              <w:suppressAutoHyphens/>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b) À comissão ou por contrato</w:t>
            </w:r>
          </w:p>
          <w:p>
            <w:pPr>
              <w:jc w:val="left"/>
              <w:rPr>
                <w:noProof/>
                <w:sz w:val="20"/>
              </w:rPr>
            </w:pPr>
            <w:r>
              <w:rPr>
                <w:noProof/>
                <w:sz w:val="20"/>
              </w:rPr>
              <w:t>(CPC 822)</w:t>
            </w:r>
          </w:p>
        </w:tc>
        <w:tc>
          <w:tcPr>
            <w:tcW w:w="6525" w:type="dxa"/>
          </w:tcPr>
          <w:p>
            <w:pPr>
              <w:keepNext/>
              <w:keepLines/>
              <w:tabs>
                <w:tab w:val="left" w:pos="306"/>
              </w:tabs>
              <w:suppressAutoHyphens/>
              <w:jc w:val="left"/>
              <w:rPr>
                <w:noProof/>
                <w:spacing w:val="-2"/>
                <w:sz w:val="20"/>
              </w:rPr>
            </w:pPr>
            <w:r>
              <w:rPr>
                <w:noProof/>
                <w:sz w:val="20"/>
              </w:rPr>
              <w:t>Para o Modo 1</w:t>
            </w:r>
          </w:p>
          <w:p>
            <w:pPr>
              <w:jc w:val="left"/>
              <w:rPr>
                <w:noProof/>
                <w:sz w:val="20"/>
              </w:rPr>
            </w:pPr>
            <w:r>
              <w:rPr>
                <w:noProof/>
                <w:sz w:val="20"/>
              </w:rPr>
              <w:t>BG, CY, CZ, EE, HU, IE, LV, LT, MT, PL, RO, SK, SI: Não consolidado</w:t>
            </w:r>
          </w:p>
          <w:p>
            <w:pPr>
              <w:jc w:val="left"/>
              <w:rPr>
                <w:noProof/>
                <w:spacing w:val="-2"/>
                <w:sz w:val="20"/>
              </w:rPr>
            </w:pPr>
            <w:r>
              <w:rPr>
                <w:noProof/>
                <w:sz w:val="20"/>
              </w:rPr>
              <w:t xml:space="preserve">HR: Exigida presença comercial. </w:t>
            </w:r>
          </w:p>
          <w:p>
            <w:pPr>
              <w:keepNext/>
              <w:keepLines/>
              <w:tabs>
                <w:tab w:val="left" w:pos="306"/>
              </w:tabs>
              <w:suppressAutoHyphens/>
              <w:jc w:val="left"/>
              <w:rPr>
                <w:noProof/>
                <w:spacing w:val="-2"/>
                <w:sz w:val="20"/>
              </w:rPr>
            </w:pPr>
            <w:r>
              <w:rPr>
                <w:noProof/>
                <w:sz w:val="20"/>
              </w:rPr>
              <w:t>Para o Modo 2</w:t>
            </w:r>
          </w:p>
          <w:p>
            <w:pPr>
              <w:keepNext/>
              <w:keepLines/>
              <w:tabs>
                <w:tab w:val="left" w:pos="306"/>
              </w:tabs>
              <w:suppressAutoHyphens/>
              <w:jc w:val="left"/>
              <w:rPr>
                <w:noProof/>
                <w:spacing w:val="-2"/>
                <w:sz w:val="20"/>
              </w:rPr>
            </w:pPr>
            <w:r>
              <w:rPr>
                <w:noProof/>
                <w:sz w:val="20"/>
              </w:rPr>
              <w:t>Nenhuma.</w:t>
            </w:r>
          </w:p>
        </w:tc>
      </w:tr>
      <w:tr>
        <w:trPr>
          <w:jc w:val="center"/>
        </w:trPr>
        <w:tc>
          <w:tcPr>
            <w:tcW w:w="3114" w:type="dxa"/>
          </w:tcPr>
          <w:p>
            <w:pPr>
              <w:jc w:val="left"/>
              <w:rPr>
                <w:noProof/>
                <w:sz w:val="20"/>
              </w:rPr>
            </w:pPr>
            <w:r>
              <w:rPr>
                <w:noProof/>
                <w:sz w:val="20"/>
              </w:rPr>
              <w:t>E. Serviços de aluguer/locação sem operadores</w:t>
            </w:r>
          </w:p>
        </w:tc>
        <w:tc>
          <w:tcPr>
            <w:tcW w:w="6525" w:type="dxa"/>
          </w:tcPr>
          <w:p>
            <w:pPr>
              <w:rPr>
                <w:noProof/>
                <w:sz w:val="20"/>
              </w:rPr>
            </w:pPr>
          </w:p>
        </w:tc>
      </w:tr>
      <w:tr>
        <w:trPr>
          <w:jc w:val="center"/>
        </w:trPr>
        <w:tc>
          <w:tcPr>
            <w:tcW w:w="3114" w:type="dxa"/>
          </w:tcPr>
          <w:p>
            <w:pPr>
              <w:jc w:val="left"/>
              <w:rPr>
                <w:noProof/>
                <w:sz w:val="20"/>
              </w:rPr>
            </w:pPr>
            <w:r>
              <w:rPr>
                <w:noProof/>
                <w:sz w:val="20"/>
              </w:rPr>
              <w:t>a) Relacionados com navios</w:t>
            </w:r>
          </w:p>
          <w:p>
            <w:pPr>
              <w:jc w:val="left"/>
              <w:rPr>
                <w:noProof/>
                <w:sz w:val="20"/>
              </w:rPr>
            </w:pPr>
            <w:r>
              <w:rPr>
                <w:noProof/>
                <w:sz w:val="20"/>
              </w:rPr>
              <w:t>(CPC 83103)</w:t>
            </w:r>
          </w:p>
        </w:tc>
        <w:tc>
          <w:tcPr>
            <w:tcW w:w="6525" w:type="dxa"/>
          </w:tcPr>
          <w:p>
            <w:pPr>
              <w:keepNext/>
              <w:keepLines/>
              <w:tabs>
                <w:tab w:val="left" w:pos="306"/>
              </w:tabs>
              <w:suppressAutoHyphens/>
              <w:jc w:val="left"/>
              <w:rPr>
                <w:noProof/>
                <w:spacing w:val="-2"/>
                <w:sz w:val="20"/>
              </w:rPr>
            </w:pPr>
            <w:r>
              <w:rPr>
                <w:noProof/>
                <w:sz w:val="20"/>
              </w:rPr>
              <w:t>Para o Modo 1</w:t>
            </w:r>
          </w:p>
          <w:p>
            <w:pPr>
              <w:jc w:val="left"/>
              <w:rPr>
                <w:noProof/>
                <w:spacing w:val="-2"/>
                <w:sz w:val="20"/>
              </w:rPr>
            </w:pPr>
            <w:r>
              <w:rPr>
                <w:noProof/>
                <w:sz w:val="20"/>
              </w:rPr>
              <w:t>BG, CY, DE, HU, MT, RO: Não consolidado</w:t>
            </w:r>
          </w:p>
          <w:p>
            <w:pPr>
              <w:keepNext/>
              <w:keepLines/>
              <w:tabs>
                <w:tab w:val="left" w:pos="306"/>
              </w:tabs>
              <w:suppressAutoHyphens/>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pageBreakBefore/>
              <w:jc w:val="left"/>
              <w:rPr>
                <w:noProof/>
                <w:sz w:val="20"/>
              </w:rPr>
            </w:pPr>
            <w:r>
              <w:rPr>
                <w:noProof/>
                <w:sz w:val="20"/>
              </w:rPr>
              <w:t>b) Relacionados com aeronaves</w:t>
            </w:r>
          </w:p>
          <w:p>
            <w:pPr>
              <w:jc w:val="left"/>
              <w:rPr>
                <w:noProof/>
                <w:sz w:val="20"/>
              </w:rPr>
            </w:pPr>
            <w:r>
              <w:rPr>
                <w:noProof/>
                <w:sz w:val="20"/>
              </w:rPr>
              <w:t>(CPC 83104)</w:t>
            </w:r>
          </w:p>
        </w:tc>
        <w:tc>
          <w:tcPr>
            <w:tcW w:w="6525" w:type="dxa"/>
          </w:tcPr>
          <w:p>
            <w:pPr>
              <w:jc w:val="left"/>
              <w:rPr>
                <w:noProof/>
                <w:spacing w:val="-2"/>
                <w:sz w:val="20"/>
              </w:rPr>
            </w:pPr>
            <w:r>
              <w:rPr>
                <w:noProof/>
                <w:sz w:val="20"/>
              </w:rPr>
              <w:t>Para os Modos 1 e 2:</w:t>
            </w:r>
          </w:p>
          <w:p>
            <w:pPr>
              <w:jc w:val="left"/>
              <w:rPr>
                <w:noProof/>
                <w:spacing w:val="-2"/>
                <w:sz w:val="20"/>
              </w:rPr>
            </w:pPr>
            <w:r>
              <w:rPr>
                <w:noProof/>
                <w:sz w:val="20"/>
              </w:rPr>
              <w:t>BG, CY, CZ, HU, LV, MT, PL, RO, SK: Não consolidado</w:t>
            </w:r>
          </w:p>
          <w:p>
            <w:pPr>
              <w:jc w:val="left"/>
              <w:rPr>
                <w:noProof/>
                <w:sz w:val="20"/>
              </w:rPr>
            </w:pPr>
            <w:r>
              <w:rPr>
                <w:noProof/>
                <w:sz w:val="20"/>
              </w:rPr>
              <w:t>EU: As aeronaves utilizadas pelas transportadoras aéreas da União Europeia devem estar registadas no Estado-Membro da União Europeia que concedeu a licença à transportadora ou em outra parte na União Europeia. Podem ser concedidas derrogações para contratos de locação de curto prazo ou em circunstâncias excecionais.</w:t>
            </w:r>
          </w:p>
        </w:tc>
      </w:tr>
      <w:tr>
        <w:trPr>
          <w:jc w:val="center"/>
        </w:trPr>
        <w:tc>
          <w:tcPr>
            <w:tcW w:w="3114" w:type="dxa"/>
          </w:tcPr>
          <w:p>
            <w:pPr>
              <w:jc w:val="left"/>
              <w:rPr>
                <w:noProof/>
                <w:sz w:val="20"/>
              </w:rPr>
            </w:pPr>
            <w:r>
              <w:rPr>
                <w:noProof/>
                <w:sz w:val="20"/>
              </w:rPr>
              <w:t xml:space="preserve">c) Relacionados com outro equipamento de transporte </w:t>
            </w:r>
          </w:p>
          <w:p>
            <w:pPr>
              <w:jc w:val="left"/>
              <w:rPr>
                <w:noProof/>
                <w:sz w:val="20"/>
              </w:rPr>
            </w:pPr>
            <w:r>
              <w:rPr>
                <w:noProof/>
                <w:sz w:val="20"/>
              </w:rPr>
              <w:t xml:space="preserve">(CPC 83101, CPC 83102 e CPC 83105) </w:t>
            </w:r>
          </w:p>
        </w:tc>
        <w:tc>
          <w:tcPr>
            <w:tcW w:w="6525" w:type="dxa"/>
          </w:tcPr>
          <w:p>
            <w:pPr>
              <w:keepNext/>
              <w:keepLines/>
              <w:tabs>
                <w:tab w:val="left" w:pos="306"/>
              </w:tabs>
              <w:suppressAutoHyphens/>
              <w:jc w:val="left"/>
              <w:rPr>
                <w:noProof/>
                <w:spacing w:val="-2"/>
                <w:sz w:val="20"/>
              </w:rPr>
            </w:pPr>
            <w:r>
              <w:rPr>
                <w:noProof/>
                <w:sz w:val="20"/>
              </w:rPr>
              <w:t>Para o Modo 1</w:t>
            </w:r>
          </w:p>
          <w:p>
            <w:pPr>
              <w:jc w:val="left"/>
              <w:rPr>
                <w:noProof/>
                <w:sz w:val="20"/>
              </w:rPr>
            </w:pPr>
            <w:r>
              <w:rPr>
                <w:noProof/>
                <w:sz w:val="20"/>
              </w:rPr>
              <w:t>BG, CY, HU, LV, MT, PL, RO, SI: Não consolidado.</w:t>
            </w:r>
          </w:p>
          <w:p>
            <w:pPr>
              <w:keepNext/>
              <w:keepLines/>
              <w:tabs>
                <w:tab w:val="left" w:pos="306"/>
              </w:tabs>
              <w:suppressAutoHyphens/>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d) Relacionados com outras máquinas e equipamento</w:t>
            </w:r>
          </w:p>
          <w:p>
            <w:pPr>
              <w:jc w:val="left"/>
              <w:rPr>
                <w:noProof/>
                <w:sz w:val="20"/>
              </w:rPr>
            </w:pPr>
            <w:r>
              <w:rPr>
                <w:noProof/>
                <w:sz w:val="20"/>
              </w:rPr>
              <w:t>(CPC 83106, CPC 83107, CPC 83108 e CPC 83109)</w:t>
            </w:r>
          </w:p>
        </w:tc>
        <w:tc>
          <w:tcPr>
            <w:tcW w:w="6525" w:type="dxa"/>
          </w:tcPr>
          <w:p>
            <w:pPr>
              <w:keepNext/>
              <w:keepLines/>
              <w:tabs>
                <w:tab w:val="left" w:pos="306"/>
              </w:tabs>
              <w:suppressAutoHyphens/>
              <w:jc w:val="left"/>
              <w:rPr>
                <w:noProof/>
                <w:spacing w:val="-2"/>
                <w:sz w:val="20"/>
              </w:rPr>
            </w:pPr>
            <w:r>
              <w:rPr>
                <w:noProof/>
                <w:sz w:val="20"/>
              </w:rPr>
              <w:t>Para o Modo 1</w:t>
            </w:r>
          </w:p>
          <w:p>
            <w:pPr>
              <w:keepNext/>
              <w:keepLines/>
              <w:tabs>
                <w:tab w:val="left" w:pos="306"/>
              </w:tabs>
              <w:suppressAutoHyphens/>
              <w:jc w:val="left"/>
              <w:rPr>
                <w:noProof/>
                <w:spacing w:val="-2"/>
                <w:sz w:val="20"/>
              </w:rPr>
            </w:pPr>
            <w:r>
              <w:rPr>
                <w:noProof/>
                <w:sz w:val="20"/>
              </w:rPr>
              <w:t xml:space="preserve">BG, CY, CZ, HU, MT, PL, RO, SK: Não consolidado </w:t>
            </w:r>
          </w:p>
          <w:p>
            <w:pPr>
              <w:keepNext/>
              <w:keepLines/>
              <w:tabs>
                <w:tab w:val="left" w:pos="306"/>
              </w:tabs>
              <w:suppressAutoHyphens/>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e) Relacionados com bens de uso pessoal e doméstico</w:t>
            </w:r>
          </w:p>
          <w:p>
            <w:pPr>
              <w:jc w:val="left"/>
              <w:rPr>
                <w:noProof/>
                <w:sz w:val="20"/>
              </w:rPr>
            </w:pPr>
            <w:r>
              <w:rPr>
                <w:noProof/>
                <w:sz w:val="20"/>
              </w:rPr>
              <w:t>(CPC 832)</w:t>
            </w:r>
          </w:p>
        </w:tc>
        <w:tc>
          <w:tcPr>
            <w:tcW w:w="6525" w:type="dxa"/>
          </w:tcPr>
          <w:p>
            <w:pPr>
              <w:keepNext/>
              <w:keepLines/>
              <w:tabs>
                <w:tab w:val="left" w:pos="306"/>
              </w:tabs>
              <w:suppressAutoHyphens/>
              <w:jc w:val="left"/>
              <w:rPr>
                <w:noProof/>
                <w:spacing w:val="-2"/>
                <w:sz w:val="20"/>
              </w:rPr>
            </w:pPr>
            <w:r>
              <w:rPr>
                <w:noProof/>
                <w:sz w:val="20"/>
              </w:rPr>
              <w:t>Para os Modos 1 e 2</w:t>
            </w:r>
          </w:p>
          <w:p>
            <w:pPr>
              <w:jc w:val="left"/>
              <w:rPr>
                <w:noProof/>
                <w:sz w:val="20"/>
              </w:rPr>
            </w:pPr>
            <w:r>
              <w:rPr>
                <w:noProof/>
                <w:sz w:val="20"/>
              </w:rPr>
              <w:t>AT, BE, BG, CY, CZ, DE, DK, ES, FI, FR, EL, HU, IE, IT, LU, MT, NL, PL, PT, RO, SI, SE, SK, UK: Não consolidado</w:t>
            </w:r>
          </w:p>
          <w:p>
            <w:pPr>
              <w:keepNext/>
              <w:keepLines/>
              <w:tabs>
                <w:tab w:val="left" w:pos="306"/>
              </w:tabs>
              <w:suppressAutoHyphens/>
              <w:jc w:val="left"/>
              <w:rPr>
                <w:noProof/>
                <w:sz w:val="20"/>
              </w:rPr>
            </w:pPr>
            <w:r>
              <w:rPr>
                <w:noProof/>
                <w:sz w:val="20"/>
              </w:rPr>
              <w:t>EE: Não consolidado, exceto para serviços de aluguer/locação relativos a cassetes vídeo pré-gravadas para utilização em equipamento doméstico.</w:t>
            </w:r>
          </w:p>
        </w:tc>
      </w:tr>
      <w:tr>
        <w:trPr>
          <w:jc w:val="center"/>
        </w:trPr>
        <w:tc>
          <w:tcPr>
            <w:tcW w:w="3114" w:type="dxa"/>
          </w:tcPr>
          <w:p>
            <w:pPr>
              <w:jc w:val="left"/>
              <w:rPr>
                <w:noProof/>
                <w:sz w:val="20"/>
              </w:rPr>
            </w:pPr>
            <w:r>
              <w:rPr>
                <w:noProof/>
                <w:sz w:val="20"/>
              </w:rPr>
              <w:t>f) Aluguer de equipamento de telecomunicações</w:t>
            </w:r>
          </w:p>
          <w:p>
            <w:pPr>
              <w:jc w:val="left"/>
              <w:rPr>
                <w:noProof/>
                <w:sz w:val="20"/>
              </w:rPr>
            </w:pPr>
            <w:r>
              <w:rPr>
                <w:noProof/>
                <w:sz w:val="20"/>
              </w:rPr>
              <w:t>(CPC 7541)</w:t>
            </w:r>
          </w:p>
        </w:tc>
        <w:tc>
          <w:tcPr>
            <w:tcW w:w="6525" w:type="dxa"/>
          </w:tcPr>
          <w:p>
            <w:pPr>
              <w:jc w:val="left"/>
              <w:rPr>
                <w:noProof/>
                <w:spacing w:val="-2"/>
                <w:sz w:val="20"/>
              </w:rPr>
            </w:pPr>
            <w:r>
              <w:rPr>
                <w:noProof/>
                <w:sz w:val="20"/>
              </w:rPr>
              <w:t>Para os Modos 1 e 2:</w:t>
            </w:r>
          </w:p>
          <w:p>
            <w:pPr>
              <w:jc w:val="left"/>
              <w:rPr>
                <w:noProof/>
                <w:sz w:val="20"/>
              </w:rPr>
            </w:pPr>
            <w:r>
              <w:rPr>
                <w:noProof/>
                <w:sz w:val="20"/>
              </w:rPr>
              <w:t>Nenhuma.</w:t>
            </w:r>
          </w:p>
          <w:p>
            <w:pPr>
              <w:jc w:val="left"/>
              <w:rPr>
                <w:noProof/>
                <w:sz w:val="20"/>
              </w:rPr>
            </w:pPr>
          </w:p>
        </w:tc>
      </w:tr>
      <w:tr>
        <w:trPr>
          <w:jc w:val="center"/>
        </w:trPr>
        <w:tc>
          <w:tcPr>
            <w:tcW w:w="3114" w:type="dxa"/>
          </w:tcPr>
          <w:p>
            <w:pPr>
              <w:jc w:val="left"/>
              <w:rPr>
                <w:noProof/>
                <w:sz w:val="20"/>
              </w:rPr>
            </w:pPr>
            <w:r>
              <w:rPr>
                <w:noProof/>
                <w:sz w:val="20"/>
              </w:rPr>
              <w:t xml:space="preserve">F. Outros serviços às empresas </w:t>
            </w:r>
          </w:p>
        </w:tc>
        <w:tc>
          <w:tcPr>
            <w:tcW w:w="6525" w:type="dxa"/>
          </w:tcPr>
          <w:p>
            <w:pPr>
              <w:jc w:val="left"/>
              <w:rPr>
                <w:noProof/>
                <w:sz w:val="20"/>
              </w:rPr>
            </w:pPr>
          </w:p>
        </w:tc>
      </w:tr>
      <w:tr>
        <w:trPr>
          <w:jc w:val="center"/>
        </w:trPr>
        <w:tc>
          <w:tcPr>
            <w:tcW w:w="3114" w:type="dxa"/>
          </w:tcPr>
          <w:p>
            <w:pPr>
              <w:jc w:val="left"/>
              <w:rPr>
                <w:noProof/>
                <w:sz w:val="20"/>
              </w:rPr>
            </w:pPr>
            <w:r>
              <w:rPr>
                <w:noProof/>
                <w:sz w:val="20"/>
              </w:rPr>
              <w:t>a) Publicidade</w:t>
            </w:r>
          </w:p>
          <w:p>
            <w:pPr>
              <w:jc w:val="left"/>
              <w:rPr>
                <w:noProof/>
                <w:sz w:val="20"/>
              </w:rPr>
            </w:pPr>
            <w:r>
              <w:rPr>
                <w:noProof/>
                <w:sz w:val="20"/>
              </w:rPr>
              <w:t>(CPC 871)</w:t>
            </w:r>
          </w:p>
        </w:tc>
        <w:tc>
          <w:tcPr>
            <w:tcW w:w="6525" w:type="dxa"/>
          </w:tcPr>
          <w:p>
            <w:pPr>
              <w:jc w:val="left"/>
              <w:rPr>
                <w:noProof/>
                <w:spacing w:val="-2"/>
                <w:sz w:val="20"/>
              </w:rPr>
            </w:pPr>
            <w:r>
              <w:rPr>
                <w:noProof/>
                <w:sz w:val="20"/>
              </w:rPr>
              <w:t>Para os Modos 1 e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b) Estudos de mercado e sondagens de opinião</w:t>
            </w:r>
          </w:p>
          <w:p>
            <w:pPr>
              <w:jc w:val="left"/>
              <w:rPr>
                <w:noProof/>
                <w:sz w:val="20"/>
              </w:rPr>
            </w:pPr>
            <w:r>
              <w:rPr>
                <w:noProof/>
                <w:sz w:val="20"/>
              </w:rPr>
              <w:t>(CPC 864)</w:t>
            </w:r>
          </w:p>
        </w:tc>
        <w:tc>
          <w:tcPr>
            <w:tcW w:w="6525" w:type="dxa"/>
          </w:tcPr>
          <w:p>
            <w:pPr>
              <w:jc w:val="left"/>
              <w:rPr>
                <w:noProof/>
                <w:spacing w:val="-2"/>
                <w:sz w:val="20"/>
              </w:rPr>
            </w:pPr>
            <w:r>
              <w:rPr>
                <w:noProof/>
                <w:sz w:val="20"/>
              </w:rPr>
              <w:t>Para os Modos 1 e 2:</w:t>
            </w:r>
          </w:p>
          <w:p>
            <w:pPr>
              <w:jc w:val="left"/>
              <w:rPr>
                <w:noProof/>
                <w:sz w:val="20"/>
              </w:rPr>
            </w:pPr>
            <w:r>
              <w:rPr>
                <w:noProof/>
                <w:sz w:val="20"/>
              </w:rPr>
              <w:t>Nenhuma.</w:t>
            </w:r>
          </w:p>
        </w:tc>
      </w:tr>
      <w:tr>
        <w:trPr>
          <w:jc w:val="center"/>
        </w:trPr>
        <w:tc>
          <w:tcPr>
            <w:tcW w:w="3114" w:type="dxa"/>
          </w:tcPr>
          <w:p>
            <w:pPr>
              <w:pageBreakBefore/>
              <w:jc w:val="left"/>
              <w:rPr>
                <w:noProof/>
                <w:sz w:val="20"/>
              </w:rPr>
            </w:pPr>
            <w:r>
              <w:rPr>
                <w:noProof/>
                <w:sz w:val="20"/>
              </w:rPr>
              <w:t>c) Serviços de consultoria de gestão</w:t>
            </w:r>
          </w:p>
          <w:p>
            <w:pPr>
              <w:jc w:val="left"/>
              <w:rPr>
                <w:noProof/>
                <w:sz w:val="20"/>
              </w:rPr>
            </w:pPr>
            <w:r>
              <w:rPr>
                <w:noProof/>
                <w:sz w:val="20"/>
              </w:rPr>
              <w:t>(CPC 865)</w:t>
            </w:r>
          </w:p>
        </w:tc>
        <w:tc>
          <w:tcPr>
            <w:tcW w:w="6525" w:type="dxa"/>
          </w:tcPr>
          <w:p>
            <w:pPr>
              <w:jc w:val="left"/>
              <w:rPr>
                <w:noProof/>
                <w:spacing w:val="-2"/>
                <w:sz w:val="20"/>
              </w:rPr>
            </w:pPr>
            <w:r>
              <w:rPr>
                <w:noProof/>
                <w:sz w:val="20"/>
              </w:rPr>
              <w:t>Para os Modos 1 e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d) Serviços relacionados com a consultoria de gestão</w:t>
            </w:r>
          </w:p>
          <w:p>
            <w:pPr>
              <w:jc w:val="left"/>
              <w:rPr>
                <w:noProof/>
                <w:sz w:val="20"/>
              </w:rPr>
            </w:pPr>
            <w:r>
              <w:rPr>
                <w:noProof/>
                <w:sz w:val="20"/>
              </w:rPr>
              <w:t>(CPC 866)</w:t>
            </w:r>
          </w:p>
        </w:tc>
        <w:tc>
          <w:tcPr>
            <w:tcW w:w="6525" w:type="dxa"/>
          </w:tcPr>
          <w:p>
            <w:pPr>
              <w:jc w:val="left"/>
              <w:rPr>
                <w:noProof/>
                <w:spacing w:val="-2"/>
                <w:sz w:val="20"/>
              </w:rPr>
            </w:pPr>
            <w:r>
              <w:rPr>
                <w:noProof/>
                <w:sz w:val="20"/>
              </w:rPr>
              <w:t>Para os Modos 1 e 2:</w:t>
            </w:r>
          </w:p>
          <w:p>
            <w:pPr>
              <w:jc w:val="left"/>
              <w:rPr>
                <w:noProof/>
                <w:sz w:val="20"/>
              </w:rPr>
            </w:pPr>
            <w:r>
              <w:rPr>
                <w:bCs/>
                <w:iCs/>
                <w:noProof/>
                <w:sz w:val="20"/>
              </w:rPr>
              <w:t xml:space="preserve">HU: </w:t>
            </w:r>
            <w:r>
              <w:rPr>
                <w:iCs/>
                <w:noProof/>
                <w:sz w:val="20"/>
              </w:rPr>
              <w:t>Não consolidado para serviços de arbitragem e conciliação (CPC 86602).</w:t>
            </w:r>
          </w:p>
        </w:tc>
      </w:tr>
      <w:tr>
        <w:trPr>
          <w:jc w:val="center"/>
        </w:trPr>
        <w:tc>
          <w:tcPr>
            <w:tcW w:w="3114" w:type="dxa"/>
          </w:tcPr>
          <w:p>
            <w:pPr>
              <w:jc w:val="left"/>
              <w:rPr>
                <w:noProof/>
                <w:sz w:val="20"/>
              </w:rPr>
            </w:pPr>
            <w:r>
              <w:rPr>
                <w:noProof/>
                <w:sz w:val="20"/>
              </w:rPr>
              <w:t>e) Serviços técnicos de ensaio e análise</w:t>
            </w:r>
          </w:p>
          <w:p>
            <w:pPr>
              <w:jc w:val="left"/>
              <w:rPr>
                <w:noProof/>
                <w:sz w:val="20"/>
              </w:rPr>
            </w:pPr>
            <w:r>
              <w:rPr>
                <w:noProof/>
                <w:sz w:val="20"/>
              </w:rPr>
              <w:t>(CPC 8676)</w:t>
            </w:r>
          </w:p>
        </w:tc>
        <w:tc>
          <w:tcPr>
            <w:tcW w:w="6525" w:type="dxa"/>
          </w:tcPr>
          <w:p>
            <w:pPr>
              <w:jc w:val="left"/>
              <w:rPr>
                <w:noProof/>
                <w:spacing w:val="-2"/>
                <w:sz w:val="20"/>
              </w:rPr>
            </w:pPr>
            <w:r>
              <w:rPr>
                <w:noProof/>
                <w:sz w:val="20"/>
              </w:rPr>
              <w:t>Para o Modo 1</w:t>
            </w:r>
          </w:p>
          <w:p>
            <w:pPr>
              <w:jc w:val="left"/>
              <w:rPr>
                <w:noProof/>
                <w:sz w:val="20"/>
              </w:rPr>
            </w:pPr>
            <w:r>
              <w:rPr>
                <w:noProof/>
                <w:sz w:val="20"/>
              </w:rPr>
              <w:t>IT: Não consolidado para a profissão de biólogo e de analista químico.</w:t>
            </w:r>
          </w:p>
          <w:p>
            <w:pPr>
              <w:jc w:val="left"/>
              <w:rPr>
                <w:noProof/>
                <w:sz w:val="20"/>
              </w:rPr>
            </w:pPr>
            <w:r>
              <w:rPr>
                <w:noProof/>
                <w:sz w:val="20"/>
              </w:rPr>
              <w:t>HR: Não consolidado para serviços relacionados com a emissão de certificados obrigatórios e documentos oficiais similares.</w:t>
            </w:r>
          </w:p>
          <w:p>
            <w:pPr>
              <w:jc w:val="left"/>
              <w:rPr>
                <w:noProof/>
                <w:sz w:val="20"/>
              </w:rPr>
            </w:pPr>
            <w:r>
              <w:rPr>
                <w:noProof/>
                <w:sz w:val="20"/>
              </w:rPr>
              <w:t>BG, CY, CZ, MT, PL, RO, SK, SE: Não consolidado</w:t>
            </w:r>
          </w:p>
          <w:p>
            <w:pPr>
              <w:keepNext/>
              <w:keepLines/>
              <w:tabs>
                <w:tab w:val="left" w:pos="306"/>
              </w:tabs>
              <w:suppressAutoHyphens/>
              <w:jc w:val="left"/>
              <w:rPr>
                <w:noProof/>
                <w:spacing w:val="-2"/>
                <w:sz w:val="20"/>
              </w:rPr>
            </w:pPr>
            <w:r>
              <w:rPr>
                <w:noProof/>
                <w:sz w:val="20"/>
              </w:rPr>
              <w:t>Para o Modo 2</w:t>
            </w:r>
          </w:p>
          <w:p>
            <w:pPr>
              <w:jc w:val="left"/>
              <w:rPr>
                <w:noProof/>
                <w:sz w:val="20"/>
              </w:rPr>
            </w:pPr>
            <w:r>
              <w:rPr>
                <w:noProof/>
                <w:sz w:val="20"/>
              </w:rPr>
              <w:t>BG, CY, CZ, MT, PL, RO, SK, SE: Não consolidado</w:t>
            </w:r>
          </w:p>
          <w:p>
            <w:pPr>
              <w:jc w:val="left"/>
              <w:rPr>
                <w:noProof/>
                <w:sz w:val="20"/>
              </w:rPr>
            </w:pPr>
            <w:r>
              <w:rPr>
                <w:noProof/>
                <w:sz w:val="20"/>
              </w:rPr>
              <w:t>HR: Não consolidado para serviços relacionados com a emissão de certificados obrigatórios e documentos oficiais similares.</w:t>
            </w:r>
          </w:p>
        </w:tc>
      </w:tr>
      <w:tr>
        <w:trPr>
          <w:jc w:val="center"/>
        </w:trPr>
        <w:tc>
          <w:tcPr>
            <w:tcW w:w="3114" w:type="dxa"/>
          </w:tcPr>
          <w:p>
            <w:pPr>
              <w:pageBreakBefore/>
              <w:jc w:val="left"/>
              <w:rPr>
                <w:noProof/>
                <w:sz w:val="20"/>
              </w:rPr>
            </w:pPr>
            <w:r>
              <w:rPr>
                <w:noProof/>
                <w:sz w:val="20"/>
              </w:rPr>
              <w:t>f) Serviços de assessoria e consultoria relacionados com a agricultura, caça e silvicultura</w:t>
            </w:r>
          </w:p>
          <w:p>
            <w:pPr>
              <w:jc w:val="left"/>
              <w:rPr>
                <w:noProof/>
                <w:sz w:val="20"/>
              </w:rPr>
            </w:pPr>
            <w:r>
              <w:rPr>
                <w:noProof/>
                <w:sz w:val="20"/>
              </w:rPr>
              <w:t>(parte da CPC 881)</w:t>
            </w:r>
          </w:p>
        </w:tc>
        <w:tc>
          <w:tcPr>
            <w:tcW w:w="6525" w:type="dxa"/>
          </w:tcPr>
          <w:p>
            <w:pPr>
              <w:jc w:val="left"/>
              <w:rPr>
                <w:noProof/>
                <w:spacing w:val="-2"/>
                <w:sz w:val="20"/>
              </w:rPr>
            </w:pPr>
            <w:r>
              <w:rPr>
                <w:noProof/>
                <w:sz w:val="20"/>
              </w:rPr>
              <w:t>Para o Modo 1</w:t>
            </w:r>
          </w:p>
          <w:p>
            <w:pPr>
              <w:jc w:val="left"/>
              <w:rPr>
                <w:noProof/>
                <w:sz w:val="20"/>
              </w:rPr>
            </w:pPr>
            <w:r>
              <w:rPr>
                <w:noProof/>
                <w:sz w:val="20"/>
              </w:rPr>
              <w:t>IT: Não consolidado para as atividades reservadas aos agrónomos e "periti agrari".</w:t>
            </w:r>
          </w:p>
          <w:p>
            <w:pPr>
              <w:jc w:val="left"/>
              <w:rPr>
                <w:noProof/>
                <w:sz w:val="20"/>
              </w:rPr>
            </w:pPr>
            <w:r>
              <w:rPr>
                <w:noProof/>
                <w:sz w:val="20"/>
              </w:rPr>
              <w:t>CY, EE, MT, RO, SI: Não consolidado.</w:t>
            </w:r>
          </w:p>
          <w:p>
            <w:pPr>
              <w:keepNext/>
              <w:keepLines/>
              <w:tabs>
                <w:tab w:val="left" w:pos="306"/>
              </w:tabs>
              <w:suppressAutoHyphens/>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g) Serviços de assessoria e consultoria relacionados com a pesca</w:t>
            </w:r>
          </w:p>
          <w:p>
            <w:pPr>
              <w:jc w:val="left"/>
              <w:rPr>
                <w:noProof/>
                <w:sz w:val="20"/>
              </w:rPr>
            </w:pPr>
            <w:r>
              <w:rPr>
                <w:noProof/>
                <w:sz w:val="20"/>
              </w:rPr>
              <w:t>(parte da CPC 882)</w:t>
            </w:r>
          </w:p>
        </w:tc>
        <w:tc>
          <w:tcPr>
            <w:tcW w:w="6525" w:type="dxa"/>
          </w:tcPr>
          <w:p>
            <w:pPr>
              <w:jc w:val="left"/>
              <w:rPr>
                <w:noProof/>
                <w:spacing w:val="-2"/>
                <w:sz w:val="20"/>
              </w:rPr>
            </w:pPr>
            <w:r>
              <w:rPr>
                <w:noProof/>
                <w:sz w:val="20"/>
              </w:rPr>
              <w:t>Para o Modo 1</w:t>
            </w:r>
          </w:p>
          <w:p>
            <w:pPr>
              <w:tabs>
                <w:tab w:val="left" w:pos="0"/>
                <w:tab w:val="left" w:pos="786"/>
              </w:tabs>
              <w:suppressAutoHyphens/>
              <w:jc w:val="left"/>
              <w:rPr>
                <w:noProof/>
                <w:sz w:val="20"/>
              </w:rPr>
            </w:pPr>
            <w:r>
              <w:rPr>
                <w:noProof/>
                <w:sz w:val="20"/>
              </w:rPr>
              <w:t>LV, MT, RO, SI:</w:t>
            </w:r>
          </w:p>
          <w:p>
            <w:pPr>
              <w:keepNext/>
              <w:keepLines/>
              <w:tabs>
                <w:tab w:val="left" w:pos="306"/>
              </w:tabs>
              <w:suppressAutoHyphens/>
              <w:jc w:val="left"/>
              <w:rPr>
                <w:noProof/>
                <w:spacing w:val="-2"/>
                <w:sz w:val="20"/>
              </w:rPr>
            </w:pPr>
            <w:r>
              <w:rPr>
                <w:noProof/>
                <w:sz w:val="20"/>
              </w:rPr>
              <w:t>Para o Modo 2</w:t>
            </w:r>
          </w:p>
          <w:p>
            <w:pPr>
              <w:tabs>
                <w:tab w:val="left" w:pos="0"/>
                <w:tab w:val="left" w:pos="786"/>
              </w:tabs>
              <w:suppressAutoHyphens/>
              <w:jc w:val="left"/>
              <w:rPr>
                <w:noProof/>
                <w:sz w:val="20"/>
              </w:rPr>
            </w:pPr>
            <w:r>
              <w:rPr>
                <w:noProof/>
                <w:sz w:val="20"/>
              </w:rPr>
              <w:t>Nenhuma.</w:t>
            </w:r>
          </w:p>
        </w:tc>
      </w:tr>
      <w:tr>
        <w:trPr>
          <w:jc w:val="center"/>
        </w:trPr>
        <w:tc>
          <w:tcPr>
            <w:tcW w:w="3114" w:type="dxa"/>
          </w:tcPr>
          <w:p>
            <w:pPr>
              <w:jc w:val="left"/>
              <w:rPr>
                <w:noProof/>
                <w:sz w:val="20"/>
              </w:rPr>
            </w:pPr>
            <w:r>
              <w:rPr>
                <w:noProof/>
                <w:sz w:val="20"/>
              </w:rPr>
              <w:t>h) Serviços de assessoria e consultoria relacionados com as indústrias transformadoras</w:t>
            </w:r>
          </w:p>
          <w:p>
            <w:pPr>
              <w:jc w:val="left"/>
              <w:rPr>
                <w:noProof/>
                <w:sz w:val="20"/>
              </w:rPr>
            </w:pPr>
            <w:r>
              <w:rPr>
                <w:noProof/>
                <w:sz w:val="20"/>
              </w:rPr>
              <w:t>(parte da CPC 884 e parte da CPC 885)</w:t>
            </w:r>
          </w:p>
        </w:tc>
        <w:tc>
          <w:tcPr>
            <w:tcW w:w="6525" w:type="dxa"/>
          </w:tcPr>
          <w:p>
            <w:pPr>
              <w:jc w:val="left"/>
              <w:rPr>
                <w:noProof/>
                <w:spacing w:val="-2"/>
                <w:sz w:val="20"/>
              </w:rPr>
            </w:pPr>
            <w:r>
              <w:rPr>
                <w:noProof/>
                <w:sz w:val="20"/>
              </w:rPr>
              <w:t>Para os Modos 1 e 2</w:t>
            </w:r>
          </w:p>
          <w:p>
            <w:pPr>
              <w:jc w:val="left"/>
              <w:rPr>
                <w:noProof/>
                <w:sz w:val="20"/>
              </w:rPr>
            </w:pPr>
            <w:r>
              <w:rPr>
                <w:noProof/>
                <w:sz w:val="20"/>
              </w:rPr>
              <w:t>Nenhuma.</w:t>
            </w:r>
          </w:p>
          <w:p>
            <w:pPr>
              <w:jc w:val="left"/>
              <w:rPr>
                <w:noProof/>
                <w:spacing w:val="-2"/>
                <w:sz w:val="20"/>
              </w:rPr>
            </w:pPr>
          </w:p>
        </w:tc>
      </w:tr>
      <w:tr>
        <w:trPr>
          <w:jc w:val="center"/>
        </w:trPr>
        <w:tc>
          <w:tcPr>
            <w:tcW w:w="3114" w:type="dxa"/>
          </w:tcPr>
          <w:p>
            <w:pPr>
              <w:jc w:val="left"/>
              <w:rPr>
                <w:noProof/>
                <w:sz w:val="20"/>
              </w:rPr>
            </w:pPr>
            <w:r>
              <w:rPr>
                <w:noProof/>
                <w:sz w:val="20"/>
              </w:rPr>
              <w:t xml:space="preserve">i) Serviços de colocação e de fornecimento de pessoal </w:t>
            </w:r>
          </w:p>
        </w:tc>
        <w:tc>
          <w:tcPr>
            <w:tcW w:w="6525" w:type="dxa"/>
          </w:tcPr>
          <w:p>
            <w:pPr>
              <w:jc w:val="left"/>
              <w:rPr>
                <w:noProof/>
                <w:spacing w:val="-2"/>
                <w:sz w:val="20"/>
              </w:rPr>
            </w:pPr>
          </w:p>
        </w:tc>
      </w:tr>
      <w:tr>
        <w:trPr>
          <w:jc w:val="center"/>
        </w:trPr>
        <w:tc>
          <w:tcPr>
            <w:tcW w:w="3114" w:type="dxa"/>
          </w:tcPr>
          <w:p>
            <w:pPr>
              <w:jc w:val="left"/>
              <w:rPr>
                <w:noProof/>
                <w:sz w:val="20"/>
              </w:rPr>
            </w:pPr>
            <w:r>
              <w:rPr>
                <w:noProof/>
                <w:sz w:val="20"/>
              </w:rPr>
              <w:t xml:space="preserve">i) 1. Recrutamento e seleção de quadros </w:t>
            </w:r>
          </w:p>
          <w:p>
            <w:pPr>
              <w:jc w:val="left"/>
              <w:rPr>
                <w:noProof/>
                <w:sz w:val="20"/>
              </w:rPr>
            </w:pPr>
            <w:r>
              <w:rPr>
                <w:noProof/>
                <w:sz w:val="20"/>
              </w:rPr>
              <w:t>(CPC 87201)</w:t>
            </w:r>
          </w:p>
        </w:tc>
        <w:tc>
          <w:tcPr>
            <w:tcW w:w="6525" w:type="dxa"/>
          </w:tcPr>
          <w:p>
            <w:pPr>
              <w:jc w:val="left"/>
              <w:rPr>
                <w:noProof/>
                <w:spacing w:val="-2"/>
                <w:sz w:val="20"/>
              </w:rPr>
            </w:pPr>
            <w:r>
              <w:rPr>
                <w:noProof/>
                <w:sz w:val="20"/>
              </w:rPr>
              <w:t>Para o Modo 1</w:t>
            </w:r>
          </w:p>
          <w:p>
            <w:pPr>
              <w:jc w:val="left"/>
              <w:rPr>
                <w:noProof/>
                <w:spacing w:val="-2"/>
                <w:sz w:val="20"/>
              </w:rPr>
            </w:pPr>
            <w:r>
              <w:rPr>
                <w:noProof/>
                <w:sz w:val="20"/>
              </w:rPr>
              <w:t>AT, BG, CY, CZ, DE, EE, ES, FI, HR, IE, LV, LT, MT, PL, PT, RO, SK, SI, SE: Não consolidado</w:t>
            </w:r>
          </w:p>
          <w:p>
            <w:pPr>
              <w:jc w:val="left"/>
              <w:rPr>
                <w:noProof/>
                <w:spacing w:val="-2"/>
                <w:sz w:val="20"/>
              </w:rPr>
            </w:pPr>
            <w:r>
              <w:rPr>
                <w:noProof/>
                <w:sz w:val="20"/>
              </w:rPr>
              <w:t>Para o Modo 2</w:t>
            </w:r>
          </w:p>
          <w:p>
            <w:pPr>
              <w:jc w:val="left"/>
              <w:rPr>
                <w:noProof/>
                <w:spacing w:val="-2"/>
                <w:sz w:val="20"/>
              </w:rPr>
            </w:pPr>
            <w:r>
              <w:rPr>
                <w:noProof/>
                <w:sz w:val="20"/>
              </w:rPr>
              <w:t>AT, BG, CY, CZ, DE, EE, ES, FI, HR, IE, LV, LT, MT, PL, PT, RO, SK, SI: Não consolidado</w:t>
            </w:r>
          </w:p>
        </w:tc>
      </w:tr>
      <w:tr>
        <w:trPr>
          <w:jc w:val="center"/>
        </w:trPr>
        <w:tc>
          <w:tcPr>
            <w:tcW w:w="3114" w:type="dxa"/>
          </w:tcPr>
          <w:p>
            <w:pPr>
              <w:jc w:val="left"/>
              <w:rPr>
                <w:noProof/>
                <w:sz w:val="20"/>
              </w:rPr>
            </w:pPr>
            <w:r>
              <w:rPr>
                <w:noProof/>
                <w:sz w:val="20"/>
              </w:rPr>
              <w:t>i) 1. Serviços de colocação de pessoal</w:t>
            </w:r>
          </w:p>
          <w:p>
            <w:pPr>
              <w:jc w:val="left"/>
              <w:rPr>
                <w:noProof/>
                <w:sz w:val="20"/>
              </w:rPr>
            </w:pPr>
            <w:r>
              <w:rPr>
                <w:noProof/>
                <w:sz w:val="20"/>
              </w:rPr>
              <w:t>(CPC 87202)</w:t>
            </w:r>
          </w:p>
        </w:tc>
        <w:tc>
          <w:tcPr>
            <w:tcW w:w="6525" w:type="dxa"/>
          </w:tcPr>
          <w:p>
            <w:pPr>
              <w:jc w:val="left"/>
              <w:rPr>
                <w:noProof/>
                <w:spacing w:val="-2"/>
                <w:sz w:val="20"/>
              </w:rPr>
            </w:pPr>
            <w:r>
              <w:rPr>
                <w:noProof/>
                <w:sz w:val="20"/>
              </w:rPr>
              <w:t>Para o Modo 1</w:t>
            </w:r>
          </w:p>
          <w:p>
            <w:pPr>
              <w:jc w:val="left"/>
              <w:rPr>
                <w:noProof/>
                <w:spacing w:val="-2"/>
                <w:sz w:val="20"/>
              </w:rPr>
            </w:pPr>
            <w:r>
              <w:rPr>
                <w:noProof/>
                <w:sz w:val="20"/>
              </w:rPr>
              <w:t xml:space="preserve">AT, BE, BG, CY, CZ, DE, DK, EE, ES, EL, FI, FR, HR, IE, IT, LU, LV, LT, MT, NL, PL, PT, RO, SI, SE, SK, UK: Não consolidado </w:t>
            </w:r>
          </w:p>
          <w:p>
            <w:pPr>
              <w:jc w:val="left"/>
              <w:rPr>
                <w:noProof/>
                <w:spacing w:val="-2"/>
                <w:sz w:val="20"/>
              </w:rPr>
            </w:pPr>
            <w:r>
              <w:rPr>
                <w:noProof/>
                <w:sz w:val="20"/>
              </w:rPr>
              <w:t>Para o Modo 2</w:t>
            </w:r>
          </w:p>
          <w:p>
            <w:pPr>
              <w:jc w:val="left"/>
              <w:rPr>
                <w:noProof/>
                <w:spacing w:val="-2"/>
                <w:sz w:val="20"/>
              </w:rPr>
            </w:pPr>
            <w:r>
              <w:rPr>
                <w:noProof/>
                <w:sz w:val="20"/>
              </w:rPr>
              <w:t>AT, BG, CY, CZ, DE, DK, EE, ES, EL, FI, FR, HR, IE, IT, LU, LV, LT, MT, NL, PL, PT, RO, SI, SK, UK: Não consolidado</w:t>
            </w:r>
          </w:p>
        </w:tc>
      </w:tr>
      <w:tr>
        <w:trPr>
          <w:jc w:val="center"/>
        </w:trPr>
        <w:tc>
          <w:tcPr>
            <w:tcW w:w="3114" w:type="dxa"/>
          </w:tcPr>
          <w:p>
            <w:pPr>
              <w:pageBreakBefore/>
              <w:jc w:val="left"/>
              <w:rPr>
                <w:noProof/>
                <w:sz w:val="20"/>
              </w:rPr>
            </w:pPr>
            <w:r>
              <w:rPr>
                <w:noProof/>
                <w:sz w:val="20"/>
              </w:rPr>
              <w:t>i) 3. Serviços de fornecimento de pessoal auxiliar de escritório</w:t>
            </w:r>
          </w:p>
          <w:p>
            <w:pPr>
              <w:jc w:val="left"/>
              <w:rPr>
                <w:noProof/>
                <w:sz w:val="20"/>
              </w:rPr>
            </w:pPr>
            <w:r>
              <w:rPr>
                <w:noProof/>
                <w:sz w:val="20"/>
              </w:rPr>
              <w:t>(CPC 87203)</w:t>
            </w:r>
          </w:p>
        </w:tc>
        <w:tc>
          <w:tcPr>
            <w:tcW w:w="6525" w:type="dxa"/>
          </w:tcPr>
          <w:p>
            <w:pPr>
              <w:jc w:val="left"/>
              <w:rPr>
                <w:noProof/>
                <w:spacing w:val="-2"/>
                <w:sz w:val="20"/>
              </w:rPr>
            </w:pPr>
            <w:r>
              <w:rPr>
                <w:noProof/>
                <w:sz w:val="20"/>
              </w:rPr>
              <w:t>Para o Modo 1</w:t>
            </w:r>
          </w:p>
          <w:p>
            <w:pPr>
              <w:jc w:val="left"/>
              <w:rPr>
                <w:noProof/>
                <w:spacing w:val="-2"/>
                <w:sz w:val="20"/>
              </w:rPr>
            </w:pPr>
            <w:r>
              <w:rPr>
                <w:noProof/>
                <w:sz w:val="20"/>
              </w:rPr>
              <w:t>AT, BG, CY, CZ, DE, EE, ES, FI, FR, HR, IT, IE, LV, LT, MT, NL, PL, PT, RO, SE, SK, SI: Não consolidado</w:t>
            </w:r>
          </w:p>
          <w:p>
            <w:pPr>
              <w:jc w:val="left"/>
              <w:rPr>
                <w:noProof/>
                <w:spacing w:val="-2"/>
                <w:sz w:val="20"/>
              </w:rPr>
            </w:pPr>
            <w:r>
              <w:rPr>
                <w:noProof/>
                <w:sz w:val="20"/>
              </w:rPr>
              <w:t>Para o Modo 2</w:t>
            </w:r>
          </w:p>
          <w:p>
            <w:pPr>
              <w:jc w:val="left"/>
              <w:rPr>
                <w:noProof/>
                <w:spacing w:val="-2"/>
                <w:sz w:val="20"/>
              </w:rPr>
            </w:pPr>
            <w:r>
              <w:rPr>
                <w:noProof/>
                <w:sz w:val="20"/>
              </w:rPr>
              <w:t>AT, BG, CY, CZ, DE, EE, ES, FI, FR, HR, IT, IE, LV, LT, MT, NL, PL, PT, RO, SK, SI: Não consolidado</w:t>
            </w:r>
          </w:p>
        </w:tc>
      </w:tr>
      <w:tr>
        <w:trPr>
          <w:jc w:val="center"/>
        </w:trPr>
        <w:tc>
          <w:tcPr>
            <w:tcW w:w="3114" w:type="dxa"/>
          </w:tcPr>
          <w:p>
            <w:pPr>
              <w:jc w:val="left"/>
              <w:rPr>
                <w:noProof/>
                <w:sz w:val="20"/>
              </w:rPr>
            </w:pPr>
            <w:r>
              <w:rPr>
                <w:noProof/>
                <w:sz w:val="20"/>
              </w:rPr>
              <w:t>j) 1. Serviços de investigação</w:t>
            </w:r>
          </w:p>
          <w:p>
            <w:pPr>
              <w:jc w:val="left"/>
              <w:rPr>
                <w:noProof/>
                <w:sz w:val="20"/>
              </w:rPr>
            </w:pPr>
            <w:r>
              <w:rPr>
                <w:noProof/>
                <w:sz w:val="20"/>
              </w:rPr>
              <w:t>(CPC 87301)</w:t>
            </w:r>
          </w:p>
        </w:tc>
        <w:tc>
          <w:tcPr>
            <w:tcW w:w="6525" w:type="dxa"/>
          </w:tcPr>
          <w:p>
            <w:pPr>
              <w:jc w:val="left"/>
              <w:rPr>
                <w:noProof/>
                <w:spacing w:val="-2"/>
                <w:sz w:val="20"/>
              </w:rPr>
            </w:pPr>
            <w:r>
              <w:rPr>
                <w:noProof/>
                <w:sz w:val="20"/>
              </w:rPr>
              <w:t>Para os Modos 1 e 2</w:t>
            </w:r>
          </w:p>
          <w:p>
            <w:pPr>
              <w:jc w:val="left"/>
              <w:rPr>
                <w:noProof/>
                <w:spacing w:val="-2"/>
                <w:sz w:val="20"/>
              </w:rPr>
            </w:pPr>
            <w:r>
              <w:rPr>
                <w:noProof/>
                <w:sz w:val="20"/>
              </w:rPr>
              <w:t xml:space="preserve">BE, BG, CY, CZ, DE, DK, ES, EE, FI, FR, EL, HR, HU, IE, IT, LV, LT, LU, MT, NL, PL, PT, RO, SK, SI, UK: Não consolidado </w:t>
            </w:r>
          </w:p>
        </w:tc>
      </w:tr>
      <w:tr>
        <w:trPr>
          <w:jc w:val="center"/>
        </w:trPr>
        <w:tc>
          <w:tcPr>
            <w:tcW w:w="3114" w:type="dxa"/>
          </w:tcPr>
          <w:p>
            <w:pPr>
              <w:jc w:val="left"/>
              <w:rPr>
                <w:noProof/>
                <w:sz w:val="20"/>
              </w:rPr>
            </w:pPr>
            <w:r>
              <w:rPr>
                <w:noProof/>
                <w:sz w:val="20"/>
              </w:rPr>
              <w:t xml:space="preserve">j) 2. Serviços de segurança </w:t>
            </w:r>
          </w:p>
          <w:p>
            <w:pPr>
              <w:jc w:val="left"/>
              <w:rPr>
                <w:noProof/>
                <w:sz w:val="20"/>
              </w:rPr>
            </w:pPr>
            <w:r>
              <w:rPr>
                <w:noProof/>
                <w:sz w:val="20"/>
              </w:rPr>
              <w:t>(CPC 87302, CPC 87303, CPC 87304 e CPC 87305)</w:t>
            </w:r>
          </w:p>
        </w:tc>
        <w:tc>
          <w:tcPr>
            <w:tcW w:w="6525" w:type="dxa"/>
          </w:tcPr>
          <w:p>
            <w:pPr>
              <w:jc w:val="left"/>
              <w:rPr>
                <w:noProof/>
                <w:sz w:val="20"/>
              </w:rPr>
            </w:pPr>
            <w:r>
              <w:rPr>
                <w:noProof/>
                <w:sz w:val="20"/>
              </w:rPr>
              <w:t>Para os Modos 1 e 2</w:t>
            </w:r>
          </w:p>
          <w:p>
            <w:pPr>
              <w:jc w:val="left"/>
              <w:rPr>
                <w:noProof/>
                <w:sz w:val="20"/>
              </w:rPr>
            </w:pPr>
            <w:r>
              <w:rPr>
                <w:noProof/>
                <w:sz w:val="20"/>
              </w:rPr>
              <w:t xml:space="preserve">HU: Não consolidado para CPC 87304, CPC 87305 </w:t>
            </w:r>
          </w:p>
          <w:p>
            <w:pPr>
              <w:jc w:val="left"/>
              <w:rPr>
                <w:noProof/>
                <w:sz w:val="20"/>
              </w:rPr>
            </w:pPr>
            <w:r>
              <w:rPr>
                <w:noProof/>
                <w:sz w:val="20"/>
              </w:rPr>
              <w:t xml:space="preserve">BE, BG, CY, CZ, ES, EE, FI, FR, HR, IT, LV, LT, MT, PT, PL, RO, SI, SK: Não consolidado </w:t>
            </w:r>
          </w:p>
        </w:tc>
      </w:tr>
      <w:tr>
        <w:trPr>
          <w:jc w:val="center"/>
        </w:trPr>
        <w:tc>
          <w:tcPr>
            <w:tcW w:w="3114" w:type="dxa"/>
          </w:tcPr>
          <w:p>
            <w:pPr>
              <w:jc w:val="left"/>
              <w:rPr>
                <w:noProof/>
                <w:sz w:val="20"/>
              </w:rPr>
            </w:pPr>
            <w:r>
              <w:rPr>
                <w:noProof/>
                <w:sz w:val="20"/>
              </w:rPr>
              <w:t>k) Serviços conexos de consultoria científica e técnica</w:t>
            </w:r>
          </w:p>
          <w:p>
            <w:pPr>
              <w:jc w:val="left"/>
              <w:rPr>
                <w:noProof/>
                <w:sz w:val="20"/>
              </w:rPr>
            </w:pPr>
            <w:r>
              <w:rPr>
                <w:noProof/>
                <w:sz w:val="20"/>
              </w:rPr>
              <w:t>(CPC 8675)</w:t>
            </w:r>
          </w:p>
        </w:tc>
        <w:tc>
          <w:tcPr>
            <w:tcW w:w="6525" w:type="dxa"/>
          </w:tcPr>
          <w:p>
            <w:pPr>
              <w:jc w:val="left"/>
              <w:rPr>
                <w:noProof/>
                <w:spacing w:val="-2"/>
                <w:sz w:val="20"/>
              </w:rPr>
            </w:pPr>
            <w:r>
              <w:rPr>
                <w:noProof/>
                <w:sz w:val="20"/>
              </w:rPr>
              <w:t>Para o Modo 1</w:t>
            </w:r>
          </w:p>
          <w:p>
            <w:pPr>
              <w:jc w:val="left"/>
              <w:rPr>
                <w:noProof/>
                <w:spacing w:val="-2"/>
                <w:sz w:val="20"/>
              </w:rPr>
            </w:pPr>
            <w:r>
              <w:rPr>
                <w:noProof/>
                <w:sz w:val="20"/>
              </w:rPr>
              <w:t>BE, BG, CY, DE, DK, ES, FR, EL, IE, IT, LU, MT, NL, PL, PT, RO, SI, UK: Não consolidado para serviços de exploração.</w:t>
            </w:r>
          </w:p>
          <w:p>
            <w:pPr>
              <w:jc w:val="left"/>
              <w:rPr>
                <w:noProof/>
                <w:spacing w:val="-2"/>
                <w:sz w:val="20"/>
                <w:u w:val="single"/>
              </w:rPr>
            </w:pPr>
            <w:r>
              <w:rPr>
                <w:noProof/>
                <w:sz w:val="20"/>
              </w:rPr>
              <w:t>HR: Serviços de consultoria geológica, geodésica e mineira de base, bem como serviços conexos de consultoria em matéria de proteção ambiental no território croata, só podem ser prestados juntamente com/ou através de pessoas coletivas nacionais.</w:t>
            </w:r>
          </w:p>
          <w:p>
            <w:pPr>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pacing w:val="-2"/>
                <w:sz w:val="20"/>
              </w:rPr>
            </w:pPr>
            <w:r>
              <w:rPr>
                <w:noProof/>
                <w:sz w:val="20"/>
              </w:rPr>
              <w:t>l) 1. Manutenção e reparação de embarcações</w:t>
            </w:r>
          </w:p>
          <w:p>
            <w:pPr>
              <w:jc w:val="left"/>
              <w:rPr>
                <w:noProof/>
                <w:sz w:val="20"/>
              </w:rPr>
            </w:pPr>
            <w:r>
              <w:rPr>
                <w:noProof/>
                <w:sz w:val="20"/>
              </w:rPr>
              <w:t>(parte da CPC 8868)</w:t>
            </w:r>
          </w:p>
        </w:tc>
        <w:tc>
          <w:tcPr>
            <w:tcW w:w="6525" w:type="dxa"/>
          </w:tcPr>
          <w:p>
            <w:pPr>
              <w:jc w:val="left"/>
              <w:rPr>
                <w:noProof/>
                <w:sz w:val="20"/>
              </w:rPr>
            </w:pPr>
            <w:r>
              <w:rPr>
                <w:noProof/>
                <w:sz w:val="20"/>
              </w:rPr>
              <w:t>Para o Modo 1</w:t>
            </w:r>
          </w:p>
          <w:p>
            <w:pPr>
              <w:jc w:val="left"/>
              <w:rPr>
                <w:noProof/>
                <w:sz w:val="20"/>
              </w:rPr>
            </w:pPr>
            <w:r>
              <w:rPr>
                <w:noProof/>
                <w:sz w:val="20"/>
              </w:rPr>
              <w:t>Para embarcações de transporte marítimo: BE, BG, CY, DE, DK, ES, FI, FR, EL, HR, IE, IT, LT, MT, NL, PL, PT, RO, SE, SI, UK: Não consolidado</w:t>
            </w:r>
          </w:p>
          <w:p>
            <w:pPr>
              <w:jc w:val="left"/>
              <w:rPr>
                <w:noProof/>
                <w:spacing w:val="-2"/>
                <w:sz w:val="20"/>
              </w:rPr>
            </w:pPr>
            <w:r>
              <w:rPr>
                <w:noProof/>
                <w:sz w:val="20"/>
              </w:rPr>
              <w:t>Para embarcações de transporte por vias interiores navegáveis: EU: Não consolidado</w:t>
            </w:r>
          </w:p>
          <w:p>
            <w:pPr>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suppressAutoHyphens/>
              <w:jc w:val="left"/>
              <w:rPr>
                <w:noProof/>
                <w:spacing w:val="-2"/>
                <w:sz w:val="20"/>
              </w:rPr>
            </w:pPr>
            <w:r>
              <w:rPr>
                <w:noProof/>
                <w:sz w:val="20"/>
              </w:rPr>
              <w:t xml:space="preserve">l) 2. Manutenção e reparação de equipamento de transporte ferroviário </w:t>
            </w:r>
          </w:p>
          <w:p>
            <w:pPr>
              <w:jc w:val="left"/>
              <w:rPr>
                <w:noProof/>
                <w:sz w:val="20"/>
              </w:rPr>
            </w:pPr>
            <w:r>
              <w:rPr>
                <w:noProof/>
                <w:sz w:val="20"/>
              </w:rPr>
              <w:t>(parte da CPC 8868)</w:t>
            </w:r>
          </w:p>
        </w:tc>
        <w:tc>
          <w:tcPr>
            <w:tcW w:w="6525" w:type="dxa"/>
          </w:tcPr>
          <w:p>
            <w:pPr>
              <w:jc w:val="left"/>
              <w:rPr>
                <w:noProof/>
                <w:sz w:val="20"/>
              </w:rPr>
            </w:pPr>
            <w:r>
              <w:rPr>
                <w:noProof/>
                <w:sz w:val="20"/>
              </w:rPr>
              <w:t>Para o Modo 1</w:t>
            </w:r>
          </w:p>
          <w:p>
            <w:pPr>
              <w:jc w:val="left"/>
              <w:rPr>
                <w:noProof/>
                <w:spacing w:val="-2"/>
                <w:sz w:val="20"/>
              </w:rPr>
            </w:pPr>
            <w:r>
              <w:rPr>
                <w:noProof/>
                <w:sz w:val="20"/>
              </w:rPr>
              <w:t xml:space="preserve">AT, BE, BG, DE, CY, CZ, DK, ES, FI, FR, EL, HR, IE, IT, LT, LV, LU, MT, NL, PL, PT, RO, SE, SI, SK, UK: Não consolidado </w:t>
            </w:r>
          </w:p>
          <w:p>
            <w:pPr>
              <w:jc w:val="left"/>
              <w:rPr>
                <w:noProof/>
                <w:spacing w:val="-2"/>
                <w:sz w:val="20"/>
              </w:rPr>
            </w:pPr>
            <w:r>
              <w:rPr>
                <w:noProof/>
                <w:sz w:val="20"/>
              </w:rPr>
              <w:t>Para o Modo 2</w:t>
            </w:r>
          </w:p>
          <w:p>
            <w:pPr>
              <w:keepNext/>
              <w:keepLines/>
              <w:tabs>
                <w:tab w:val="left" w:pos="306"/>
              </w:tabs>
              <w:suppressAutoHyphens/>
              <w:jc w:val="left"/>
              <w:rPr>
                <w:noProof/>
                <w:spacing w:val="-2"/>
                <w:sz w:val="20"/>
              </w:rPr>
            </w:pPr>
            <w:r>
              <w:rPr>
                <w:noProof/>
                <w:sz w:val="20"/>
              </w:rPr>
              <w:t>Nenhuma.</w:t>
            </w:r>
          </w:p>
        </w:tc>
      </w:tr>
      <w:tr>
        <w:trPr>
          <w:jc w:val="center"/>
        </w:trPr>
        <w:tc>
          <w:tcPr>
            <w:tcW w:w="3114" w:type="dxa"/>
          </w:tcPr>
          <w:p>
            <w:pPr>
              <w:pageBreakBefore/>
              <w:suppressAutoHyphens/>
              <w:jc w:val="left"/>
              <w:rPr>
                <w:noProof/>
                <w:spacing w:val="-2"/>
                <w:sz w:val="20"/>
              </w:rPr>
            </w:pPr>
            <w:r>
              <w:rPr>
                <w:noProof/>
                <w:sz w:val="20"/>
              </w:rPr>
              <w:t xml:space="preserve">l) 3. Manutenção e reparação de veículos automóveis, motociclos, motoneves e equipamento de transporte rodoviário </w:t>
            </w:r>
          </w:p>
          <w:p>
            <w:pPr>
              <w:jc w:val="left"/>
              <w:rPr>
                <w:noProof/>
                <w:sz w:val="20"/>
              </w:rPr>
            </w:pPr>
            <w:r>
              <w:rPr>
                <w:noProof/>
                <w:sz w:val="20"/>
              </w:rPr>
              <w:t>(CPC 6112, CPC 6122, parte da CPC 8867 e parte da CPC 8868)</w:t>
            </w:r>
          </w:p>
        </w:tc>
        <w:tc>
          <w:tcPr>
            <w:tcW w:w="6525" w:type="dxa"/>
          </w:tcPr>
          <w:p>
            <w:pPr>
              <w:jc w:val="left"/>
              <w:rPr>
                <w:noProof/>
                <w:spacing w:val="-2"/>
                <w:sz w:val="20"/>
              </w:rPr>
            </w:pPr>
            <w:r>
              <w:rPr>
                <w:noProof/>
                <w:sz w:val="20"/>
              </w:rPr>
              <w:t>Para os Modos 1 e 2</w:t>
            </w:r>
          </w:p>
          <w:p>
            <w:pPr>
              <w:jc w:val="left"/>
              <w:rPr>
                <w:noProof/>
                <w:spacing w:val="-2"/>
                <w:sz w:val="20"/>
              </w:rPr>
            </w:pPr>
            <w:r>
              <w:rPr>
                <w:noProof/>
                <w:sz w:val="20"/>
              </w:rPr>
              <w:t>Nenhuma.</w:t>
            </w:r>
          </w:p>
          <w:p>
            <w:pPr>
              <w:jc w:val="left"/>
              <w:rPr>
                <w:noProof/>
                <w:spacing w:val="-2"/>
                <w:sz w:val="20"/>
              </w:rPr>
            </w:pPr>
          </w:p>
        </w:tc>
      </w:tr>
      <w:tr>
        <w:trPr>
          <w:jc w:val="center"/>
        </w:trPr>
        <w:tc>
          <w:tcPr>
            <w:tcW w:w="3114" w:type="dxa"/>
          </w:tcPr>
          <w:p>
            <w:pPr>
              <w:suppressAutoHyphens/>
              <w:jc w:val="left"/>
              <w:rPr>
                <w:noProof/>
                <w:spacing w:val="-2"/>
                <w:sz w:val="20"/>
              </w:rPr>
            </w:pPr>
            <w:r>
              <w:rPr>
                <w:noProof/>
                <w:sz w:val="20"/>
              </w:rPr>
              <w:t xml:space="preserve">l) 4. Manutenção e reparação de aeronaves e suas partes </w:t>
            </w:r>
          </w:p>
          <w:p>
            <w:pPr>
              <w:jc w:val="left"/>
              <w:rPr>
                <w:noProof/>
                <w:sz w:val="20"/>
              </w:rPr>
            </w:pPr>
            <w:r>
              <w:rPr>
                <w:noProof/>
                <w:sz w:val="20"/>
              </w:rPr>
              <w:t>(parte da CPC 8868)</w:t>
            </w:r>
          </w:p>
        </w:tc>
        <w:tc>
          <w:tcPr>
            <w:tcW w:w="6525" w:type="dxa"/>
          </w:tcPr>
          <w:p>
            <w:pPr>
              <w:jc w:val="left"/>
              <w:rPr>
                <w:noProof/>
                <w:sz w:val="20"/>
              </w:rPr>
            </w:pPr>
            <w:r>
              <w:rPr>
                <w:noProof/>
                <w:sz w:val="20"/>
              </w:rPr>
              <w:t>Para o Modo 1</w:t>
            </w:r>
          </w:p>
          <w:p>
            <w:pPr>
              <w:jc w:val="left"/>
              <w:rPr>
                <w:noProof/>
                <w:spacing w:val="-2"/>
                <w:sz w:val="20"/>
              </w:rPr>
            </w:pPr>
            <w:r>
              <w:rPr>
                <w:noProof/>
                <w:sz w:val="20"/>
              </w:rPr>
              <w:t xml:space="preserve">BE, BG, CY, CZ, DE, DK, ES, FI, FR, EL, HR, IE, IT, LT, LU, MT, NL, PT, RO, SK, SI, SE, UK: Não consolidado </w:t>
            </w:r>
          </w:p>
          <w:p>
            <w:pPr>
              <w:jc w:val="left"/>
              <w:rPr>
                <w:noProof/>
                <w:spacing w:val="-2"/>
                <w:sz w:val="20"/>
              </w:rPr>
            </w:pPr>
            <w:r>
              <w:rPr>
                <w:noProof/>
                <w:sz w:val="20"/>
              </w:rPr>
              <w:t>Para o Modo 2</w:t>
            </w:r>
          </w:p>
          <w:p>
            <w:pPr>
              <w:keepNext/>
              <w:keepLines/>
              <w:tabs>
                <w:tab w:val="left" w:pos="306"/>
              </w:tabs>
              <w:suppressAutoHyphens/>
              <w:jc w:val="left"/>
              <w:rPr>
                <w:noProof/>
                <w:spacing w:val="-2"/>
                <w:sz w:val="20"/>
              </w:rPr>
            </w:pPr>
            <w:r>
              <w:rPr>
                <w:noProof/>
                <w:sz w:val="20"/>
              </w:rPr>
              <w:t>Nenhuma.</w:t>
            </w:r>
          </w:p>
        </w:tc>
      </w:tr>
      <w:tr>
        <w:trPr>
          <w:jc w:val="center"/>
        </w:trPr>
        <w:tc>
          <w:tcPr>
            <w:tcW w:w="3114" w:type="dxa"/>
          </w:tcPr>
          <w:p>
            <w:pPr>
              <w:jc w:val="left"/>
              <w:rPr>
                <w:noProof/>
                <w:spacing w:val="-2"/>
                <w:sz w:val="20"/>
              </w:rPr>
            </w:pPr>
            <w:r>
              <w:rPr>
                <w:noProof/>
                <w:sz w:val="20"/>
              </w:rPr>
              <w:t>l) 5. Serviços de manutenção e reparação de produtos metálicos, de máquinas (exceto de escritório), de equipamento (exceto de transporte e de escritório) e de bens de uso pessoal e doméstico</w:t>
            </w:r>
            <w:r>
              <w:rPr>
                <w:rStyle w:val="FootnoteReference"/>
                <w:noProof/>
                <w:sz w:val="20"/>
              </w:rPr>
              <w:footnoteReference w:id="8"/>
            </w:r>
          </w:p>
          <w:p>
            <w:pPr>
              <w:jc w:val="left"/>
              <w:rPr>
                <w:noProof/>
                <w:sz w:val="20"/>
              </w:rPr>
            </w:pPr>
            <w:r>
              <w:rPr>
                <w:noProof/>
                <w:sz w:val="20"/>
              </w:rPr>
              <w:t>(CPC 633, CPC 7545, CPC 8861, CPC 8862, CPC 8864, CPC 8865 e CPC 8866)</w:t>
            </w:r>
          </w:p>
        </w:tc>
        <w:tc>
          <w:tcPr>
            <w:tcW w:w="6525" w:type="dxa"/>
          </w:tcPr>
          <w:p>
            <w:pPr>
              <w:jc w:val="left"/>
              <w:rPr>
                <w:noProof/>
                <w:spacing w:val="-2"/>
                <w:sz w:val="20"/>
              </w:rPr>
            </w:pPr>
            <w:r>
              <w:rPr>
                <w:noProof/>
                <w:sz w:val="20"/>
              </w:rPr>
              <w:t>Para os Modos 1 e 2</w:t>
            </w:r>
          </w:p>
          <w:p>
            <w:pPr>
              <w:jc w:val="left"/>
              <w:rPr>
                <w:noProof/>
                <w:spacing w:val="-2"/>
                <w:sz w:val="20"/>
              </w:rPr>
            </w:pPr>
            <w:r>
              <w:rPr>
                <w:noProof/>
                <w:sz w:val="20"/>
              </w:rPr>
              <w:t>Nenhuma.</w:t>
            </w:r>
          </w:p>
          <w:p>
            <w:pPr>
              <w:keepNext/>
              <w:keepLines/>
              <w:tabs>
                <w:tab w:val="left" w:pos="306"/>
              </w:tabs>
              <w:suppressAutoHyphens/>
              <w:jc w:val="left"/>
              <w:rPr>
                <w:noProof/>
                <w:spacing w:val="-2"/>
                <w:sz w:val="20"/>
              </w:rPr>
            </w:pPr>
          </w:p>
        </w:tc>
      </w:tr>
      <w:tr>
        <w:trPr>
          <w:jc w:val="center"/>
        </w:trPr>
        <w:tc>
          <w:tcPr>
            <w:tcW w:w="3114" w:type="dxa"/>
          </w:tcPr>
          <w:p>
            <w:pPr>
              <w:jc w:val="left"/>
              <w:rPr>
                <w:noProof/>
                <w:sz w:val="20"/>
              </w:rPr>
            </w:pPr>
            <w:r>
              <w:rPr>
                <w:noProof/>
                <w:sz w:val="20"/>
              </w:rPr>
              <w:t>m) Serviços de limpeza de edifícios</w:t>
            </w:r>
          </w:p>
          <w:p>
            <w:pPr>
              <w:jc w:val="left"/>
              <w:rPr>
                <w:noProof/>
                <w:sz w:val="20"/>
              </w:rPr>
            </w:pPr>
            <w:r>
              <w:rPr>
                <w:noProof/>
                <w:sz w:val="20"/>
              </w:rPr>
              <w:t>(CPC 874)</w:t>
            </w:r>
          </w:p>
        </w:tc>
        <w:tc>
          <w:tcPr>
            <w:tcW w:w="6525" w:type="dxa"/>
          </w:tcPr>
          <w:p>
            <w:pPr>
              <w:jc w:val="left"/>
              <w:rPr>
                <w:noProof/>
                <w:spacing w:val="-2"/>
                <w:sz w:val="20"/>
              </w:rPr>
            </w:pPr>
            <w:r>
              <w:rPr>
                <w:noProof/>
                <w:sz w:val="20"/>
              </w:rPr>
              <w:t>Para o Modo 1</w:t>
            </w:r>
          </w:p>
          <w:p>
            <w:pPr>
              <w:jc w:val="left"/>
              <w:rPr>
                <w:noProof/>
                <w:spacing w:val="-2"/>
                <w:sz w:val="20"/>
              </w:rPr>
            </w:pPr>
            <w:r>
              <w:rPr>
                <w:noProof/>
                <w:sz w:val="20"/>
              </w:rPr>
              <w:t>AT, BE, BG, CY, CZ, DE, DK, ES, EE, FI, FR, EL, HR, IE, IT, LU, LV, MT, NL, PL, PT, RO, SI, SE, SK, UK: Não consolidado</w:t>
            </w:r>
          </w:p>
          <w:p>
            <w:pPr>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n) Serviços fotográficos</w:t>
            </w:r>
          </w:p>
          <w:p>
            <w:pPr>
              <w:jc w:val="left"/>
              <w:rPr>
                <w:noProof/>
                <w:sz w:val="20"/>
              </w:rPr>
            </w:pPr>
            <w:r>
              <w:rPr>
                <w:noProof/>
                <w:sz w:val="20"/>
              </w:rPr>
              <w:t>(CPC 875)</w:t>
            </w:r>
          </w:p>
        </w:tc>
        <w:tc>
          <w:tcPr>
            <w:tcW w:w="6525" w:type="dxa"/>
          </w:tcPr>
          <w:p>
            <w:pPr>
              <w:jc w:val="left"/>
              <w:rPr>
                <w:noProof/>
                <w:spacing w:val="-2"/>
                <w:sz w:val="20"/>
              </w:rPr>
            </w:pPr>
            <w:r>
              <w:rPr>
                <w:noProof/>
                <w:sz w:val="20"/>
              </w:rPr>
              <w:t>Para o Modo 1</w:t>
            </w:r>
          </w:p>
          <w:p>
            <w:pPr>
              <w:jc w:val="left"/>
              <w:rPr>
                <w:noProof/>
                <w:sz w:val="20"/>
              </w:rPr>
            </w:pPr>
            <w:r>
              <w:rPr>
                <w:noProof/>
                <w:sz w:val="20"/>
              </w:rPr>
              <w:t xml:space="preserve">CY, MT: Não consolidado </w:t>
            </w:r>
          </w:p>
          <w:p>
            <w:pPr>
              <w:jc w:val="left"/>
              <w:rPr>
                <w:noProof/>
                <w:sz w:val="20"/>
              </w:rPr>
            </w:pPr>
            <w:r>
              <w:rPr>
                <w:noProof/>
                <w:sz w:val="20"/>
              </w:rPr>
              <w:t>BG, EE, LV, LT, PL, SE, SI: Não consolidado para a prestação de serviços fotográficos aéreos.</w:t>
            </w:r>
          </w:p>
          <w:p>
            <w:pPr>
              <w:jc w:val="left"/>
              <w:rPr>
                <w:noProof/>
                <w:sz w:val="20"/>
              </w:rPr>
            </w:pPr>
            <w:r>
              <w:rPr>
                <w:noProof/>
                <w:sz w:val="20"/>
              </w:rPr>
              <w:t>HR, LV: Não consolidado para serviços fotográficos especializados (CPC 87504).</w:t>
            </w:r>
          </w:p>
          <w:p>
            <w:pPr>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pageBreakBefore/>
              <w:jc w:val="left"/>
              <w:rPr>
                <w:noProof/>
                <w:sz w:val="20"/>
              </w:rPr>
            </w:pPr>
            <w:r>
              <w:rPr>
                <w:noProof/>
                <w:sz w:val="20"/>
              </w:rPr>
              <w:t>o) Serviços de embalagem</w:t>
            </w:r>
          </w:p>
          <w:p>
            <w:pPr>
              <w:jc w:val="left"/>
              <w:rPr>
                <w:noProof/>
                <w:sz w:val="20"/>
              </w:rPr>
            </w:pPr>
            <w:r>
              <w:rPr>
                <w:noProof/>
                <w:sz w:val="20"/>
              </w:rPr>
              <w:t>(CPC 876)</w:t>
            </w:r>
          </w:p>
        </w:tc>
        <w:tc>
          <w:tcPr>
            <w:tcW w:w="6525" w:type="dxa"/>
          </w:tcPr>
          <w:p>
            <w:pPr>
              <w:jc w:val="left"/>
              <w:rPr>
                <w:noProof/>
                <w:spacing w:val="-2"/>
                <w:sz w:val="20"/>
              </w:rPr>
            </w:pPr>
            <w:r>
              <w:rPr>
                <w:noProof/>
                <w:sz w:val="20"/>
              </w:rPr>
              <w:t>Para os Modos 1 e 2</w:t>
            </w:r>
          </w:p>
          <w:p>
            <w:pPr>
              <w:jc w:val="left"/>
              <w:rPr>
                <w:noProof/>
                <w:spacing w:val="-2"/>
                <w:sz w:val="20"/>
              </w:rPr>
            </w:pPr>
            <w:r>
              <w:rPr>
                <w:noProof/>
                <w:sz w:val="20"/>
              </w:rPr>
              <w:t>Nenhuma.</w:t>
            </w:r>
          </w:p>
        </w:tc>
      </w:tr>
      <w:tr>
        <w:trPr>
          <w:jc w:val="center"/>
        </w:trPr>
        <w:tc>
          <w:tcPr>
            <w:tcW w:w="3114" w:type="dxa"/>
          </w:tcPr>
          <w:p>
            <w:pPr>
              <w:jc w:val="left"/>
              <w:rPr>
                <w:noProof/>
                <w:sz w:val="20"/>
              </w:rPr>
            </w:pPr>
            <w:r>
              <w:rPr>
                <w:noProof/>
                <w:sz w:val="20"/>
              </w:rPr>
              <w:t>p) Impressão e edição</w:t>
            </w:r>
          </w:p>
          <w:p>
            <w:pPr>
              <w:jc w:val="left"/>
              <w:rPr>
                <w:noProof/>
                <w:sz w:val="20"/>
              </w:rPr>
            </w:pPr>
            <w:r>
              <w:rPr>
                <w:noProof/>
                <w:sz w:val="20"/>
              </w:rPr>
              <w:t>(CPC 88442)</w:t>
            </w:r>
          </w:p>
        </w:tc>
        <w:tc>
          <w:tcPr>
            <w:tcW w:w="6525" w:type="dxa"/>
          </w:tcPr>
          <w:p>
            <w:pPr>
              <w:jc w:val="left"/>
              <w:rPr>
                <w:noProof/>
                <w:spacing w:val="-2"/>
                <w:sz w:val="20"/>
              </w:rPr>
            </w:pPr>
            <w:r>
              <w:rPr>
                <w:noProof/>
                <w:sz w:val="20"/>
              </w:rPr>
              <w:t>Para os Modos 1 e 2</w:t>
            </w:r>
          </w:p>
          <w:p>
            <w:pPr>
              <w:jc w:val="left"/>
              <w:rPr>
                <w:noProof/>
                <w:sz w:val="20"/>
              </w:rPr>
            </w:pPr>
            <w:r>
              <w:rPr>
                <w:noProof/>
                <w:sz w:val="20"/>
              </w:rPr>
              <w:t>Nenhuma, exceto:</w:t>
            </w:r>
          </w:p>
          <w:p>
            <w:pPr>
              <w:jc w:val="left"/>
              <w:rPr>
                <w:noProof/>
                <w:sz w:val="20"/>
              </w:rPr>
            </w:pPr>
            <w:r>
              <w:rPr>
                <w:noProof/>
                <w:sz w:val="20"/>
              </w:rPr>
              <w:t xml:space="preserve">SE (apenas para o Equador): Requisito de residência para editor e proprietário de editora e tipografia. </w:t>
            </w:r>
          </w:p>
        </w:tc>
      </w:tr>
      <w:tr>
        <w:trPr>
          <w:jc w:val="center"/>
        </w:trPr>
        <w:tc>
          <w:tcPr>
            <w:tcW w:w="3114" w:type="dxa"/>
          </w:tcPr>
          <w:p>
            <w:pPr>
              <w:jc w:val="left"/>
              <w:rPr>
                <w:noProof/>
                <w:sz w:val="20"/>
              </w:rPr>
            </w:pPr>
            <w:r>
              <w:rPr>
                <w:noProof/>
                <w:sz w:val="20"/>
              </w:rPr>
              <w:t>q) Serviços de organização de congressos</w:t>
            </w:r>
          </w:p>
          <w:p>
            <w:pPr>
              <w:jc w:val="left"/>
              <w:rPr>
                <w:noProof/>
                <w:sz w:val="20"/>
              </w:rPr>
            </w:pPr>
            <w:r>
              <w:rPr>
                <w:noProof/>
                <w:sz w:val="20"/>
              </w:rPr>
              <w:t>(parte da CPC 87909)</w:t>
            </w:r>
          </w:p>
        </w:tc>
        <w:tc>
          <w:tcPr>
            <w:tcW w:w="6525" w:type="dxa"/>
          </w:tcPr>
          <w:p>
            <w:pPr>
              <w:jc w:val="left"/>
              <w:rPr>
                <w:noProof/>
                <w:spacing w:val="-2"/>
                <w:sz w:val="20"/>
              </w:rPr>
            </w:pPr>
            <w:r>
              <w:rPr>
                <w:noProof/>
                <w:sz w:val="20"/>
              </w:rPr>
              <w:t>Para os Modos 1 e 2</w:t>
            </w:r>
          </w:p>
          <w:p>
            <w:pPr>
              <w:jc w:val="left"/>
              <w:rPr>
                <w:noProof/>
                <w:sz w:val="20"/>
              </w:rPr>
            </w:pPr>
            <w:r>
              <w:rPr>
                <w:noProof/>
                <w:sz w:val="20"/>
              </w:rPr>
              <w:t>Nenhuma.</w:t>
            </w:r>
          </w:p>
          <w:p>
            <w:pPr>
              <w:jc w:val="left"/>
              <w:rPr>
                <w:noProof/>
                <w:sz w:val="20"/>
              </w:rPr>
            </w:pPr>
          </w:p>
        </w:tc>
      </w:tr>
      <w:tr>
        <w:trPr>
          <w:jc w:val="center"/>
        </w:trPr>
        <w:tc>
          <w:tcPr>
            <w:tcW w:w="3114" w:type="dxa"/>
          </w:tcPr>
          <w:p>
            <w:pPr>
              <w:jc w:val="left"/>
              <w:rPr>
                <w:noProof/>
                <w:sz w:val="20"/>
              </w:rPr>
            </w:pPr>
            <w:r>
              <w:rPr>
                <w:noProof/>
                <w:sz w:val="20"/>
              </w:rPr>
              <w:t>r) 1. Serviços de tradução e interpretação</w:t>
            </w:r>
          </w:p>
          <w:p>
            <w:pPr>
              <w:jc w:val="left"/>
              <w:rPr>
                <w:noProof/>
                <w:sz w:val="20"/>
              </w:rPr>
            </w:pPr>
            <w:r>
              <w:rPr>
                <w:noProof/>
                <w:sz w:val="20"/>
              </w:rPr>
              <w:t>(CPC 87905)</w:t>
            </w:r>
          </w:p>
        </w:tc>
        <w:tc>
          <w:tcPr>
            <w:tcW w:w="6525" w:type="dxa"/>
          </w:tcPr>
          <w:p>
            <w:pPr>
              <w:jc w:val="left"/>
              <w:rPr>
                <w:noProof/>
                <w:spacing w:val="-2"/>
                <w:sz w:val="20"/>
              </w:rPr>
            </w:pPr>
            <w:r>
              <w:rPr>
                <w:noProof/>
                <w:sz w:val="20"/>
              </w:rPr>
              <w:t>Para o Modo 1</w:t>
            </w:r>
          </w:p>
          <w:p>
            <w:pPr>
              <w:jc w:val="left"/>
              <w:rPr>
                <w:noProof/>
                <w:sz w:val="20"/>
              </w:rPr>
            </w:pPr>
            <w:r>
              <w:rPr>
                <w:noProof/>
                <w:sz w:val="20"/>
              </w:rPr>
              <w:t>PL: Não consolidado para serviços de intérpretes ajuramentados.</w:t>
            </w:r>
          </w:p>
          <w:p>
            <w:pPr>
              <w:jc w:val="left"/>
              <w:rPr>
                <w:noProof/>
                <w:sz w:val="20"/>
              </w:rPr>
            </w:pPr>
            <w:r>
              <w:rPr>
                <w:noProof/>
                <w:sz w:val="20"/>
              </w:rPr>
              <w:t>HU, SK: Não consolidado para a tradução e interpretação oficiais.</w:t>
            </w:r>
          </w:p>
          <w:p>
            <w:pPr>
              <w:jc w:val="left"/>
              <w:rPr>
                <w:noProof/>
                <w:sz w:val="20"/>
              </w:rPr>
            </w:pPr>
            <w:r>
              <w:rPr>
                <w:noProof/>
                <w:sz w:val="20"/>
              </w:rPr>
              <w:t>HR: Não consolidado para documentos oficiais.</w:t>
            </w:r>
          </w:p>
          <w:p>
            <w:pPr>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 xml:space="preserve">r) 2. Serviços de </w:t>
            </w:r>
            <w:r>
              <w:rPr>
                <w:i/>
                <w:noProof/>
                <w:sz w:val="20"/>
              </w:rPr>
              <w:t>design</w:t>
            </w:r>
            <w:r>
              <w:rPr>
                <w:noProof/>
                <w:sz w:val="20"/>
              </w:rPr>
              <w:t xml:space="preserve"> de interiores e outros serviços de </w:t>
            </w:r>
            <w:r>
              <w:rPr>
                <w:i/>
                <w:noProof/>
                <w:sz w:val="20"/>
              </w:rPr>
              <w:t>design</w:t>
            </w:r>
            <w:r>
              <w:rPr>
                <w:noProof/>
                <w:sz w:val="20"/>
              </w:rPr>
              <w:t xml:space="preserve"> especializado</w:t>
            </w:r>
          </w:p>
          <w:p>
            <w:pPr>
              <w:jc w:val="left"/>
              <w:rPr>
                <w:noProof/>
                <w:sz w:val="20"/>
              </w:rPr>
            </w:pPr>
            <w:r>
              <w:rPr>
                <w:noProof/>
                <w:sz w:val="20"/>
              </w:rPr>
              <w:t>(CPC 87907)</w:t>
            </w:r>
          </w:p>
        </w:tc>
        <w:tc>
          <w:tcPr>
            <w:tcW w:w="6525" w:type="dxa"/>
          </w:tcPr>
          <w:p>
            <w:pPr>
              <w:jc w:val="left"/>
              <w:rPr>
                <w:noProof/>
                <w:spacing w:val="-2"/>
                <w:sz w:val="20"/>
              </w:rPr>
            </w:pPr>
            <w:r>
              <w:rPr>
                <w:noProof/>
                <w:sz w:val="20"/>
              </w:rPr>
              <w:t>Para o Modo 1</w:t>
            </w:r>
          </w:p>
          <w:p>
            <w:pPr>
              <w:jc w:val="left"/>
              <w:rPr>
                <w:noProof/>
                <w:sz w:val="20"/>
              </w:rPr>
            </w:pPr>
            <w:r>
              <w:rPr>
                <w:noProof/>
                <w:sz w:val="20"/>
              </w:rPr>
              <w:t xml:space="preserve">DE: Aplicação das regras nacionais respeitantes a honorários e emolumentos para todos os serviços prestados a partir do estrangeiro. </w:t>
            </w:r>
          </w:p>
          <w:p>
            <w:pPr>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r) 3. Serviços de agências de cobrança</w:t>
            </w:r>
          </w:p>
          <w:p>
            <w:pPr>
              <w:jc w:val="left"/>
              <w:rPr>
                <w:noProof/>
                <w:sz w:val="20"/>
              </w:rPr>
            </w:pPr>
            <w:r>
              <w:rPr>
                <w:noProof/>
                <w:sz w:val="20"/>
              </w:rPr>
              <w:t>(CPC 87902)</w:t>
            </w:r>
          </w:p>
        </w:tc>
        <w:tc>
          <w:tcPr>
            <w:tcW w:w="6525" w:type="dxa"/>
          </w:tcPr>
          <w:p>
            <w:pPr>
              <w:jc w:val="left"/>
              <w:rPr>
                <w:noProof/>
                <w:sz w:val="20"/>
              </w:rPr>
            </w:pPr>
            <w:r>
              <w:rPr>
                <w:noProof/>
                <w:sz w:val="20"/>
              </w:rPr>
              <w:t>Para os Modos 1 e 2</w:t>
            </w:r>
          </w:p>
          <w:p>
            <w:pPr>
              <w:jc w:val="left"/>
              <w:rPr>
                <w:noProof/>
                <w:spacing w:val="-2"/>
                <w:sz w:val="20"/>
              </w:rPr>
            </w:pPr>
            <w:r>
              <w:rPr>
                <w:noProof/>
                <w:sz w:val="20"/>
              </w:rPr>
              <w:t xml:space="preserve">BE, BG, CY, CZ, DE, DK, ES, EE, FI, FR, EL, HR, HU, IE, IT, LT, LU, MT, NL, PL, PT, RO, SK, SI, SE, UK: Não consolidado </w:t>
            </w:r>
          </w:p>
          <w:p>
            <w:pPr>
              <w:jc w:val="left"/>
              <w:rPr>
                <w:noProof/>
                <w:sz w:val="20"/>
              </w:rPr>
            </w:pPr>
          </w:p>
        </w:tc>
      </w:tr>
      <w:tr>
        <w:trPr>
          <w:jc w:val="center"/>
        </w:trPr>
        <w:tc>
          <w:tcPr>
            <w:tcW w:w="3114" w:type="dxa"/>
          </w:tcPr>
          <w:p>
            <w:pPr>
              <w:jc w:val="left"/>
              <w:rPr>
                <w:noProof/>
                <w:spacing w:val="-2"/>
                <w:sz w:val="20"/>
              </w:rPr>
            </w:pPr>
            <w:r>
              <w:rPr>
                <w:noProof/>
                <w:sz w:val="20"/>
              </w:rPr>
              <w:t>r) 4. Serviços de informação financeira sobre clientela</w:t>
            </w:r>
          </w:p>
          <w:p>
            <w:pPr>
              <w:jc w:val="left"/>
              <w:rPr>
                <w:noProof/>
                <w:sz w:val="20"/>
              </w:rPr>
            </w:pPr>
            <w:r>
              <w:rPr>
                <w:noProof/>
                <w:sz w:val="20"/>
              </w:rPr>
              <w:t>(CPC 87901)</w:t>
            </w:r>
          </w:p>
        </w:tc>
        <w:tc>
          <w:tcPr>
            <w:tcW w:w="6525" w:type="dxa"/>
          </w:tcPr>
          <w:p>
            <w:pPr>
              <w:jc w:val="left"/>
              <w:rPr>
                <w:noProof/>
                <w:sz w:val="20"/>
              </w:rPr>
            </w:pPr>
            <w:r>
              <w:rPr>
                <w:noProof/>
                <w:sz w:val="20"/>
              </w:rPr>
              <w:t>Para os Modos 1 e 2</w:t>
            </w:r>
          </w:p>
          <w:p>
            <w:pPr>
              <w:jc w:val="left"/>
              <w:rPr>
                <w:noProof/>
                <w:sz w:val="20"/>
              </w:rPr>
            </w:pPr>
            <w:r>
              <w:rPr>
                <w:noProof/>
                <w:sz w:val="20"/>
              </w:rPr>
              <w:t xml:space="preserve">BE, BG, CY, CZ, DE, DK, ES, EE, FI, FR, EL, HR, HU, IE, IT, LT, LU, MT, NL, PL, PT, RO, SK, SI, SE, UK: Não consolidado </w:t>
            </w:r>
          </w:p>
        </w:tc>
      </w:tr>
      <w:tr>
        <w:trPr>
          <w:jc w:val="center"/>
        </w:trPr>
        <w:tc>
          <w:tcPr>
            <w:tcW w:w="3114" w:type="dxa"/>
          </w:tcPr>
          <w:p>
            <w:pPr>
              <w:pageBreakBefore/>
              <w:jc w:val="left"/>
              <w:rPr>
                <w:noProof/>
                <w:spacing w:val="-2"/>
                <w:sz w:val="20"/>
              </w:rPr>
            </w:pPr>
            <w:r>
              <w:rPr>
                <w:noProof/>
                <w:sz w:val="20"/>
              </w:rPr>
              <w:t>r) 5. Serviços de reprodução de documentos</w:t>
            </w:r>
          </w:p>
          <w:p>
            <w:pPr>
              <w:jc w:val="left"/>
              <w:rPr>
                <w:noProof/>
                <w:sz w:val="20"/>
              </w:rPr>
            </w:pPr>
            <w:r>
              <w:rPr>
                <w:noProof/>
                <w:sz w:val="20"/>
              </w:rPr>
              <w:t>(CPC 87904)</w:t>
            </w:r>
            <w:r>
              <w:rPr>
                <w:rStyle w:val="FootnoteReference"/>
                <w:noProof/>
                <w:sz w:val="20"/>
              </w:rPr>
              <w:footnoteReference w:id="9"/>
            </w:r>
          </w:p>
        </w:tc>
        <w:tc>
          <w:tcPr>
            <w:tcW w:w="6525" w:type="dxa"/>
          </w:tcPr>
          <w:p>
            <w:pPr>
              <w:jc w:val="left"/>
              <w:rPr>
                <w:noProof/>
                <w:sz w:val="20"/>
              </w:rPr>
            </w:pPr>
            <w:r>
              <w:rPr>
                <w:noProof/>
                <w:sz w:val="20"/>
              </w:rPr>
              <w:t>Para o Modo 1</w:t>
            </w:r>
          </w:p>
          <w:p>
            <w:pPr>
              <w:jc w:val="left"/>
              <w:rPr>
                <w:noProof/>
                <w:spacing w:val="-2"/>
                <w:sz w:val="20"/>
              </w:rPr>
            </w:pPr>
            <w:r>
              <w:rPr>
                <w:noProof/>
                <w:sz w:val="20"/>
              </w:rPr>
              <w:t xml:space="preserve">AT, BE, BG, CY, CZ, DE, DK, ES, EE, FI, FR, EL, HR, HU, IE, IT, LT, LU, MT, NL, PL, PT, RO, SI, SE, SK, UK: Não consolidado </w:t>
            </w:r>
          </w:p>
          <w:p>
            <w:pPr>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pacing w:val="-2"/>
                <w:sz w:val="20"/>
              </w:rPr>
            </w:pPr>
            <w:r>
              <w:rPr>
                <w:noProof/>
                <w:sz w:val="20"/>
              </w:rPr>
              <w:t>r) 6. Serviços de consultoria de telecomunicações</w:t>
            </w:r>
          </w:p>
          <w:p>
            <w:pPr>
              <w:jc w:val="left"/>
              <w:rPr>
                <w:noProof/>
                <w:spacing w:val="-2"/>
                <w:sz w:val="20"/>
              </w:rPr>
            </w:pPr>
            <w:r>
              <w:rPr>
                <w:noProof/>
                <w:sz w:val="20"/>
              </w:rPr>
              <w:t>(CPC 7544)</w:t>
            </w:r>
          </w:p>
        </w:tc>
        <w:tc>
          <w:tcPr>
            <w:tcW w:w="6525" w:type="dxa"/>
          </w:tcPr>
          <w:p>
            <w:pPr>
              <w:jc w:val="left"/>
              <w:rPr>
                <w:noProof/>
                <w:spacing w:val="-2"/>
                <w:sz w:val="20"/>
              </w:rPr>
            </w:pPr>
            <w:r>
              <w:rPr>
                <w:noProof/>
                <w:sz w:val="20"/>
              </w:rPr>
              <w:t>Para os Modos 1 e 2</w:t>
            </w:r>
          </w:p>
          <w:p>
            <w:pPr>
              <w:jc w:val="left"/>
              <w:rPr>
                <w:noProof/>
                <w:sz w:val="20"/>
              </w:rPr>
            </w:pPr>
            <w:r>
              <w:rPr>
                <w:noProof/>
                <w:sz w:val="20"/>
              </w:rPr>
              <w:t>Nenhuma.</w:t>
            </w:r>
          </w:p>
          <w:p>
            <w:pPr>
              <w:jc w:val="left"/>
              <w:rPr>
                <w:noProof/>
                <w:sz w:val="20"/>
              </w:rPr>
            </w:pPr>
          </w:p>
        </w:tc>
      </w:tr>
      <w:tr>
        <w:trPr>
          <w:jc w:val="center"/>
        </w:trPr>
        <w:tc>
          <w:tcPr>
            <w:tcW w:w="3114" w:type="dxa"/>
          </w:tcPr>
          <w:p>
            <w:pPr>
              <w:jc w:val="left"/>
              <w:rPr>
                <w:noProof/>
                <w:spacing w:val="-2"/>
                <w:sz w:val="20"/>
              </w:rPr>
            </w:pPr>
            <w:r>
              <w:rPr>
                <w:noProof/>
                <w:sz w:val="20"/>
              </w:rPr>
              <w:t>r) 7. Serviços de atendimento de telefones</w:t>
            </w:r>
          </w:p>
          <w:p>
            <w:pPr>
              <w:jc w:val="left"/>
              <w:rPr>
                <w:noProof/>
                <w:spacing w:val="-2"/>
                <w:sz w:val="20"/>
              </w:rPr>
            </w:pPr>
            <w:r>
              <w:rPr>
                <w:noProof/>
                <w:sz w:val="20"/>
              </w:rPr>
              <w:t>(CPC 87903)</w:t>
            </w:r>
          </w:p>
        </w:tc>
        <w:tc>
          <w:tcPr>
            <w:tcW w:w="6525" w:type="dxa"/>
          </w:tcPr>
          <w:p>
            <w:pPr>
              <w:jc w:val="left"/>
              <w:rPr>
                <w:noProof/>
                <w:spacing w:val="-2"/>
                <w:sz w:val="20"/>
              </w:rPr>
            </w:pPr>
            <w:r>
              <w:rPr>
                <w:noProof/>
                <w:sz w:val="20"/>
              </w:rPr>
              <w:t>Para os Modos 1 e 2</w:t>
            </w:r>
          </w:p>
          <w:p>
            <w:pPr>
              <w:jc w:val="left"/>
              <w:rPr>
                <w:noProof/>
                <w:sz w:val="20"/>
              </w:rPr>
            </w:pPr>
            <w:r>
              <w:rPr>
                <w:noProof/>
                <w:sz w:val="20"/>
              </w:rPr>
              <w:t>Nenhuma.</w:t>
            </w:r>
          </w:p>
          <w:p>
            <w:pPr>
              <w:jc w:val="left"/>
              <w:rPr>
                <w:noProof/>
                <w:sz w:val="20"/>
              </w:rPr>
            </w:pPr>
          </w:p>
        </w:tc>
      </w:tr>
      <w:tr>
        <w:trPr>
          <w:jc w:val="center"/>
        </w:trPr>
        <w:tc>
          <w:tcPr>
            <w:tcW w:w="3114" w:type="dxa"/>
          </w:tcPr>
          <w:p>
            <w:pPr>
              <w:pageBreakBefore/>
              <w:jc w:val="left"/>
              <w:rPr>
                <w:noProof/>
                <w:sz w:val="20"/>
              </w:rPr>
            </w:pPr>
            <w:r>
              <w:rPr>
                <w:noProof/>
                <w:sz w:val="20"/>
              </w:rPr>
              <w:t>2. SERVIÇOS DE COMUNICAÇÃO</w:t>
            </w:r>
          </w:p>
        </w:tc>
        <w:tc>
          <w:tcPr>
            <w:tcW w:w="6525" w:type="dxa"/>
          </w:tcPr>
          <w:p>
            <w:pPr>
              <w:jc w:val="left"/>
              <w:rPr>
                <w:noProof/>
                <w:sz w:val="20"/>
              </w:rPr>
            </w:pPr>
          </w:p>
        </w:tc>
      </w:tr>
      <w:tr>
        <w:trPr>
          <w:trHeight w:val="4342"/>
          <w:jc w:val="center"/>
        </w:trPr>
        <w:tc>
          <w:tcPr>
            <w:tcW w:w="3114" w:type="dxa"/>
          </w:tcPr>
          <w:p>
            <w:pPr>
              <w:jc w:val="left"/>
              <w:rPr>
                <w:noProof/>
                <w:sz w:val="20"/>
              </w:rPr>
            </w:pPr>
            <w:r>
              <w:rPr>
                <w:noProof/>
                <w:sz w:val="20"/>
              </w:rPr>
              <w:t>A. Serviços postais e de correio rápido</w:t>
            </w:r>
          </w:p>
          <w:p>
            <w:pPr>
              <w:tabs>
                <w:tab w:val="left" w:pos="306"/>
                <w:tab w:val="left" w:pos="1248"/>
                <w:tab w:val="left" w:pos="1645"/>
                <w:tab w:val="left" w:pos="2042"/>
                <w:tab w:val="left" w:pos="2439"/>
                <w:tab w:val="left" w:pos="2836"/>
                <w:tab w:val="left" w:pos="3234"/>
                <w:tab w:val="left" w:pos="3631"/>
                <w:tab w:val="left" w:pos="4028"/>
                <w:tab w:val="left" w:pos="4425"/>
                <w:tab w:val="left" w:pos="4822"/>
                <w:tab w:val="left" w:pos="5220"/>
                <w:tab w:val="left" w:pos="5617"/>
                <w:tab w:val="left" w:pos="6014"/>
                <w:tab w:val="left" w:pos="6411"/>
                <w:tab w:val="left" w:pos="6808"/>
                <w:tab w:val="left" w:pos="7206"/>
                <w:tab w:val="left" w:pos="7603"/>
                <w:tab w:val="left" w:pos="8000"/>
                <w:tab w:val="left" w:pos="8397"/>
                <w:tab w:val="left" w:pos="8794"/>
                <w:tab w:val="left" w:pos="9192"/>
                <w:tab w:val="left" w:pos="9589"/>
                <w:tab w:val="left" w:pos="9986"/>
                <w:tab w:val="left" w:pos="10383"/>
                <w:tab w:val="left" w:pos="10780"/>
                <w:tab w:val="left" w:pos="11178"/>
                <w:tab w:val="left" w:pos="11575"/>
                <w:tab w:val="left" w:pos="11972"/>
                <w:tab w:val="left" w:pos="12369"/>
                <w:tab w:val="left" w:pos="12766"/>
                <w:tab w:val="left" w:pos="13164"/>
                <w:tab w:val="left" w:pos="13561"/>
                <w:tab w:val="left" w:pos="13958"/>
                <w:tab w:val="left" w:pos="14355"/>
                <w:tab w:val="left" w:pos="14752"/>
                <w:tab w:val="left" w:pos="15150"/>
              </w:tabs>
              <w:jc w:val="left"/>
              <w:rPr>
                <w:noProof/>
                <w:sz w:val="20"/>
              </w:rPr>
            </w:pPr>
            <w:r>
              <w:rPr>
                <w:noProof/>
                <w:sz w:val="20"/>
              </w:rPr>
              <w:t xml:space="preserve">(Serviços relacionados com o </w:t>
            </w:r>
            <w:r>
              <w:rPr>
                <w:rStyle w:val="FootnoteReference"/>
                <w:noProof/>
                <w:sz w:val="20"/>
              </w:rPr>
              <w:footnoteReference w:id="10"/>
            </w:r>
            <w:r>
              <w:rPr>
                <w:noProof/>
                <w:sz w:val="20"/>
              </w:rPr>
              <w:t>tratamento de produtos postais</w:t>
            </w:r>
            <w:r>
              <w:rPr>
                <w:rStyle w:val="FootnoteReference"/>
                <w:noProof/>
                <w:sz w:val="20"/>
              </w:rPr>
              <w:footnoteReference w:id="11"/>
            </w:r>
            <w:r>
              <w:rPr>
                <w:noProof/>
                <w:sz w:val="20"/>
              </w:rPr>
              <w:t xml:space="preserve"> de acordo com a seguinte lista de subsetores, para destinos nacionais ou estrangeiros: i) Serviços de tratamento de comunicações escritas com destinatário em todos os tipos de suportes físicos</w:t>
            </w:r>
            <w:r>
              <w:rPr>
                <w:rStyle w:val="FootnoteReference"/>
                <w:noProof/>
                <w:sz w:val="20"/>
              </w:rPr>
              <w:footnoteReference w:id="12"/>
            </w:r>
            <w:r>
              <w:rPr>
                <w:noProof/>
                <w:sz w:val="20"/>
              </w:rPr>
              <w:t>, incluindo serviço de correio híbrido e correio direto, ii) Tratamento de encomendas com destinatário</w:t>
            </w:r>
            <w:r>
              <w:rPr>
                <w:rStyle w:val="FootnoteReference"/>
                <w:noProof/>
                <w:sz w:val="20"/>
              </w:rPr>
              <w:footnoteReference w:id="13"/>
            </w:r>
            <w:r>
              <w:rPr>
                <w:noProof/>
                <w:sz w:val="20"/>
              </w:rPr>
              <w:t>, iii) Tratamento de produtos de imprensa com destinatário</w:t>
            </w:r>
            <w:r>
              <w:rPr>
                <w:rStyle w:val="FootnoteReference"/>
                <w:noProof/>
                <w:sz w:val="20"/>
              </w:rPr>
              <w:footnoteReference w:id="14"/>
            </w:r>
            <w:r>
              <w:rPr>
                <w:noProof/>
                <w:sz w:val="20"/>
              </w:rPr>
              <w:t>, iv) Tratamento dos produtos referidos em i) a iii) supra, sob a forma de correio registado ou segurado, v) Serviços de correio expresso</w:t>
            </w:r>
            <w:r>
              <w:rPr>
                <w:rStyle w:val="FootnoteReference"/>
                <w:noProof/>
                <w:sz w:val="20"/>
              </w:rPr>
              <w:footnoteReference w:id="15"/>
            </w:r>
            <w:r>
              <w:rPr>
                <w:noProof/>
                <w:sz w:val="20"/>
              </w:rPr>
              <w:t xml:space="preserve"> para os produtos referidos em i) a iii) supra, vi) Tratamento de produtos sem destinatário específico, vii) Intercâmbio de documentos</w:t>
            </w:r>
            <w:r>
              <w:rPr>
                <w:rStyle w:val="FootnoteReference"/>
                <w:noProof/>
                <w:sz w:val="20"/>
              </w:rPr>
              <w:footnoteReference w:id="16"/>
            </w:r>
            <w:r>
              <w:rPr>
                <w:noProof/>
                <w:sz w:val="20"/>
              </w:rPr>
              <w:t>.</w:t>
            </w:r>
          </w:p>
        </w:tc>
        <w:tc>
          <w:tcPr>
            <w:tcW w:w="6525" w:type="dxa"/>
          </w:tcPr>
          <w:p>
            <w:pPr>
              <w:jc w:val="left"/>
              <w:rPr>
                <w:noProof/>
                <w:spacing w:val="-2"/>
                <w:sz w:val="20"/>
              </w:rPr>
            </w:pPr>
            <w:r>
              <w:rPr>
                <w:noProof/>
                <w:sz w:val="20"/>
              </w:rPr>
              <w:t>Para os Modos 1 e 2</w:t>
            </w:r>
          </w:p>
          <w:p>
            <w:pPr>
              <w:jc w:val="left"/>
              <w:rPr>
                <w:noProof/>
                <w:sz w:val="20"/>
              </w:rPr>
            </w:pPr>
            <w:r>
              <w:rPr>
                <w:noProof/>
                <w:sz w:val="20"/>
              </w:rPr>
              <w:t>Nenhuma.</w:t>
            </w:r>
            <w:r>
              <w:rPr>
                <w:rStyle w:val="FootnoteReference"/>
                <w:noProof/>
                <w:sz w:val="20"/>
              </w:rPr>
              <w:footnoteReference w:id="17"/>
            </w:r>
          </w:p>
          <w:p>
            <w:pPr>
              <w:jc w:val="left"/>
              <w:rPr>
                <w:noProof/>
                <w:sz w:val="20"/>
              </w:rPr>
            </w:pPr>
          </w:p>
        </w:tc>
      </w:tr>
      <w:tr>
        <w:trPr>
          <w:trHeight w:val="3245"/>
          <w:jc w:val="center"/>
        </w:trPr>
        <w:tc>
          <w:tcPr>
            <w:tcW w:w="3114" w:type="dxa"/>
          </w:tcPr>
          <w:p>
            <w:pPr>
              <w:pageBreakBefore/>
              <w:tabs>
                <w:tab w:val="left" w:pos="306"/>
                <w:tab w:val="left" w:pos="1248"/>
                <w:tab w:val="left" w:pos="1645"/>
                <w:tab w:val="left" w:pos="2042"/>
                <w:tab w:val="left" w:pos="2439"/>
                <w:tab w:val="left" w:pos="2836"/>
                <w:tab w:val="left" w:pos="3234"/>
                <w:tab w:val="left" w:pos="3631"/>
                <w:tab w:val="left" w:pos="4028"/>
                <w:tab w:val="left" w:pos="4425"/>
                <w:tab w:val="left" w:pos="4822"/>
                <w:tab w:val="left" w:pos="5220"/>
                <w:tab w:val="left" w:pos="5617"/>
                <w:tab w:val="left" w:pos="6014"/>
                <w:tab w:val="left" w:pos="6411"/>
                <w:tab w:val="left" w:pos="6808"/>
                <w:tab w:val="left" w:pos="7206"/>
                <w:tab w:val="left" w:pos="7603"/>
                <w:tab w:val="left" w:pos="8000"/>
                <w:tab w:val="left" w:pos="8397"/>
                <w:tab w:val="left" w:pos="8794"/>
                <w:tab w:val="left" w:pos="9192"/>
                <w:tab w:val="left" w:pos="9589"/>
                <w:tab w:val="left" w:pos="9986"/>
                <w:tab w:val="left" w:pos="10383"/>
                <w:tab w:val="left" w:pos="10780"/>
                <w:tab w:val="left" w:pos="11178"/>
                <w:tab w:val="left" w:pos="11575"/>
                <w:tab w:val="left" w:pos="11972"/>
                <w:tab w:val="left" w:pos="12369"/>
                <w:tab w:val="left" w:pos="12766"/>
                <w:tab w:val="left" w:pos="13164"/>
                <w:tab w:val="left" w:pos="13561"/>
                <w:tab w:val="left" w:pos="13958"/>
                <w:tab w:val="left" w:pos="14355"/>
                <w:tab w:val="left" w:pos="14752"/>
                <w:tab w:val="left" w:pos="15150"/>
              </w:tabs>
              <w:jc w:val="left"/>
              <w:rPr>
                <w:noProof/>
                <w:sz w:val="20"/>
              </w:rPr>
            </w:pPr>
            <w:r>
              <w:rPr>
                <w:noProof/>
                <w:sz w:val="20"/>
              </w:rPr>
              <w:t>No entanto, os subsetores i), iv) e v) são excluídos se recaírem no âmbito dos serviços que podem ser reservados, nomeadamente: para a correspondência cujo preço é 2,5 vezes inferior à tarifa pública de base, desde que o peso seja inferior a 50 gramas</w:t>
            </w:r>
            <w:r>
              <w:rPr>
                <w:rStyle w:val="FootnoteReference"/>
                <w:noProof/>
                <w:sz w:val="20"/>
              </w:rPr>
              <w:footnoteReference w:id="18"/>
            </w:r>
            <w:r>
              <w:rPr>
                <w:noProof/>
                <w:sz w:val="20"/>
              </w:rPr>
              <w:t xml:space="preserve">, acrescido do serviço de registo de correio utilizado em caso de procedimentos judiciais ou administrativos.) </w:t>
            </w:r>
          </w:p>
          <w:p>
            <w:pPr>
              <w:tabs>
                <w:tab w:val="left" w:pos="306"/>
                <w:tab w:val="left" w:pos="1248"/>
                <w:tab w:val="left" w:pos="1645"/>
                <w:tab w:val="left" w:pos="2042"/>
                <w:tab w:val="left" w:pos="2439"/>
                <w:tab w:val="left" w:pos="2836"/>
                <w:tab w:val="left" w:pos="3234"/>
                <w:tab w:val="left" w:pos="3631"/>
                <w:tab w:val="left" w:pos="4028"/>
                <w:tab w:val="left" w:pos="4425"/>
                <w:tab w:val="left" w:pos="4822"/>
                <w:tab w:val="left" w:pos="5220"/>
                <w:tab w:val="left" w:pos="5617"/>
                <w:tab w:val="left" w:pos="6014"/>
                <w:tab w:val="left" w:pos="6411"/>
                <w:tab w:val="left" w:pos="6808"/>
                <w:tab w:val="left" w:pos="7206"/>
                <w:tab w:val="left" w:pos="7603"/>
                <w:tab w:val="left" w:pos="8000"/>
                <w:tab w:val="left" w:pos="8397"/>
                <w:tab w:val="left" w:pos="8794"/>
                <w:tab w:val="left" w:pos="9192"/>
                <w:tab w:val="left" w:pos="9589"/>
                <w:tab w:val="left" w:pos="9986"/>
                <w:tab w:val="left" w:pos="10383"/>
                <w:tab w:val="left" w:pos="10780"/>
                <w:tab w:val="left" w:pos="11178"/>
                <w:tab w:val="left" w:pos="11575"/>
                <w:tab w:val="left" w:pos="11972"/>
                <w:tab w:val="left" w:pos="12369"/>
                <w:tab w:val="left" w:pos="12766"/>
                <w:tab w:val="left" w:pos="13164"/>
                <w:tab w:val="left" w:pos="13561"/>
                <w:tab w:val="left" w:pos="13958"/>
                <w:tab w:val="left" w:pos="14355"/>
                <w:tab w:val="left" w:pos="14752"/>
                <w:tab w:val="left" w:pos="15150"/>
              </w:tabs>
              <w:jc w:val="left"/>
              <w:rPr>
                <w:noProof/>
                <w:sz w:val="20"/>
              </w:rPr>
            </w:pPr>
            <w:r>
              <w:rPr>
                <w:noProof/>
                <w:sz w:val="20"/>
              </w:rPr>
              <w:t>(parte da CPC 751, parte da CPC 71235</w:t>
            </w:r>
            <w:r>
              <w:rPr>
                <w:rStyle w:val="FootnoteReference"/>
                <w:noProof/>
                <w:sz w:val="20"/>
              </w:rPr>
              <w:footnoteReference w:id="19"/>
            </w:r>
            <w:r>
              <w:rPr>
                <w:noProof/>
                <w:sz w:val="20"/>
              </w:rPr>
              <w:t xml:space="preserve"> e parte da CPC 73210</w:t>
            </w:r>
            <w:r>
              <w:rPr>
                <w:rStyle w:val="FootnoteReference"/>
                <w:noProof/>
                <w:sz w:val="20"/>
              </w:rPr>
              <w:footnoteReference w:id="20"/>
            </w:r>
            <w:r>
              <w:rPr>
                <w:noProof/>
                <w:sz w:val="20"/>
              </w:rPr>
              <w:t>)</w:t>
            </w:r>
          </w:p>
        </w:tc>
        <w:tc>
          <w:tcPr>
            <w:tcW w:w="6525" w:type="dxa"/>
          </w:tcPr>
          <w:p>
            <w:pPr>
              <w:rPr>
                <w:noProof/>
                <w:spacing w:val="-2"/>
                <w:sz w:val="20"/>
              </w:rPr>
            </w:pPr>
          </w:p>
        </w:tc>
      </w:tr>
      <w:tr>
        <w:trPr>
          <w:jc w:val="center"/>
        </w:trPr>
        <w:tc>
          <w:tcPr>
            <w:tcW w:w="3114" w:type="dxa"/>
          </w:tcPr>
          <w:p>
            <w:pPr>
              <w:jc w:val="left"/>
              <w:rPr>
                <w:noProof/>
              </w:rPr>
            </w:pPr>
            <w:r>
              <w:rPr>
                <w:noProof/>
                <w:sz w:val="20"/>
              </w:rPr>
              <w:t>B. Serviços de telecomunicações</w:t>
            </w:r>
            <w:r>
              <w:rPr>
                <w:noProof/>
              </w:rPr>
              <w:t xml:space="preserve"> </w:t>
            </w:r>
          </w:p>
          <w:p>
            <w:pPr>
              <w:jc w:val="left"/>
              <w:rPr>
                <w:noProof/>
                <w:sz w:val="20"/>
              </w:rPr>
            </w:pPr>
            <w:r>
              <w:rPr>
                <w:noProof/>
                <w:sz w:val="20"/>
              </w:rPr>
              <w:t>Estes serviços não abrangem a atividade económica que consiste no fornecimento de conteúdos que requerem serviços de telecomunicações para o seu transporte</w:t>
            </w:r>
          </w:p>
        </w:tc>
        <w:tc>
          <w:tcPr>
            <w:tcW w:w="6525" w:type="dxa"/>
          </w:tcPr>
          <w:p>
            <w:pPr>
              <w:jc w:val="left"/>
              <w:rPr>
                <w:strike/>
                <w:noProof/>
                <w:sz w:val="20"/>
              </w:rPr>
            </w:pPr>
          </w:p>
        </w:tc>
      </w:tr>
      <w:tr>
        <w:trPr>
          <w:jc w:val="center"/>
        </w:trPr>
        <w:tc>
          <w:tcPr>
            <w:tcW w:w="3114" w:type="dxa"/>
          </w:tcPr>
          <w:p>
            <w:pPr>
              <w:jc w:val="left"/>
              <w:rPr>
                <w:noProof/>
                <w:sz w:val="20"/>
              </w:rPr>
            </w:pPr>
            <w:r>
              <w:rPr>
                <w:noProof/>
                <w:sz w:val="20"/>
              </w:rPr>
              <w:t>a) Todos os serviços de transmissão e receção de sinais por qualquer meio eletromagnético</w:t>
            </w:r>
            <w:r>
              <w:rPr>
                <w:rStyle w:val="FootnoteReference"/>
                <w:noProof/>
                <w:sz w:val="20"/>
              </w:rPr>
              <w:footnoteReference w:id="21"/>
            </w:r>
            <w:r>
              <w:rPr>
                <w:noProof/>
                <w:sz w:val="20"/>
              </w:rPr>
              <w:t>, excluindo radiodifusão</w:t>
            </w:r>
            <w:r>
              <w:rPr>
                <w:rStyle w:val="FootnoteReference"/>
                <w:noProof/>
                <w:sz w:val="20"/>
              </w:rPr>
              <w:footnoteReference w:id="22"/>
            </w:r>
            <w:r>
              <w:rPr>
                <w:noProof/>
                <w:sz w:val="20"/>
              </w:rPr>
              <w:t xml:space="preserve"> </w:t>
            </w:r>
          </w:p>
        </w:tc>
        <w:tc>
          <w:tcPr>
            <w:tcW w:w="6525" w:type="dxa"/>
          </w:tcPr>
          <w:p>
            <w:pPr>
              <w:jc w:val="left"/>
              <w:rPr>
                <w:noProof/>
                <w:spacing w:val="-2"/>
                <w:sz w:val="20"/>
              </w:rPr>
            </w:pPr>
            <w:r>
              <w:rPr>
                <w:noProof/>
                <w:sz w:val="20"/>
              </w:rPr>
              <w:t>Para os Modos 1 e 2</w:t>
            </w:r>
          </w:p>
          <w:p>
            <w:pPr>
              <w:jc w:val="left"/>
              <w:rPr>
                <w:noProof/>
                <w:sz w:val="20"/>
              </w:rPr>
            </w:pPr>
            <w:r>
              <w:rPr>
                <w:noProof/>
                <w:sz w:val="20"/>
              </w:rPr>
              <w:t>Nenhuma.</w:t>
            </w:r>
          </w:p>
          <w:p>
            <w:pPr>
              <w:jc w:val="left"/>
              <w:rPr>
                <w:noProof/>
                <w:sz w:val="20"/>
              </w:rPr>
            </w:pPr>
          </w:p>
        </w:tc>
      </w:tr>
      <w:tr>
        <w:trPr>
          <w:jc w:val="center"/>
        </w:trPr>
        <w:tc>
          <w:tcPr>
            <w:tcW w:w="3114" w:type="dxa"/>
          </w:tcPr>
          <w:p>
            <w:pPr>
              <w:pageBreakBefore/>
              <w:jc w:val="left"/>
              <w:rPr>
                <w:noProof/>
                <w:sz w:val="20"/>
              </w:rPr>
            </w:pPr>
            <w:r>
              <w:rPr>
                <w:noProof/>
                <w:sz w:val="20"/>
              </w:rPr>
              <w:t>b) Serviços de radiodifusão por satélite</w:t>
            </w:r>
            <w:r>
              <w:rPr>
                <w:rStyle w:val="FootnoteReference"/>
                <w:noProof/>
                <w:sz w:val="20"/>
              </w:rPr>
              <w:footnoteReference w:id="23"/>
            </w:r>
          </w:p>
        </w:tc>
        <w:tc>
          <w:tcPr>
            <w:tcW w:w="6525" w:type="dxa"/>
          </w:tcPr>
          <w:p>
            <w:pPr>
              <w:jc w:val="left"/>
              <w:rPr>
                <w:noProof/>
                <w:spacing w:val="-2"/>
                <w:sz w:val="20"/>
              </w:rPr>
            </w:pPr>
            <w:r>
              <w:rPr>
                <w:noProof/>
                <w:sz w:val="20"/>
              </w:rPr>
              <w:t>Para os Modos 1 e 2</w:t>
            </w:r>
          </w:p>
          <w:p>
            <w:pPr>
              <w:jc w:val="left"/>
              <w:rPr>
                <w:noProof/>
                <w:sz w:val="20"/>
              </w:rPr>
            </w:pPr>
            <w:r>
              <w:rPr>
                <w:noProof/>
                <w:sz w:val="20"/>
              </w:rPr>
              <w:t>EU: Nenhuma, exceto o facto de os prestadores de serviços neste setor poderem estar sujeitos a obrigações para salvaguardar objetivos de interesse geral relacionados com a transmissão de conteúdos através da sua rede em conformidade com o quadro normativo da União Europeia em matéria de comunicações eletrónicas.</w:t>
            </w:r>
          </w:p>
          <w:p>
            <w:pPr>
              <w:jc w:val="left"/>
              <w:rPr>
                <w:noProof/>
                <w:sz w:val="20"/>
              </w:rPr>
            </w:pPr>
            <w:r>
              <w:rPr>
                <w:noProof/>
                <w:sz w:val="20"/>
              </w:rPr>
              <w:t>BE: Não consolidado</w:t>
            </w:r>
          </w:p>
        </w:tc>
      </w:tr>
      <w:tr>
        <w:trPr>
          <w:jc w:val="center"/>
        </w:trPr>
        <w:tc>
          <w:tcPr>
            <w:tcW w:w="3114" w:type="dxa"/>
          </w:tcPr>
          <w:p>
            <w:pPr>
              <w:jc w:val="left"/>
              <w:rPr>
                <w:noProof/>
                <w:sz w:val="20"/>
              </w:rPr>
            </w:pPr>
            <w:r>
              <w:rPr>
                <w:noProof/>
                <w:sz w:val="20"/>
              </w:rPr>
              <w:t xml:space="preserve">3. SERVIÇOS DE CONSTRUÇÃO E SERVIÇOS DE ENGENHARIA CONEXOS (CPC 511, CPC 512, CPC 513, CPC 514, CPC 515, CPC 516, CPC 517 e CPC 518) </w:t>
            </w:r>
          </w:p>
        </w:tc>
        <w:tc>
          <w:tcPr>
            <w:tcW w:w="6525" w:type="dxa"/>
          </w:tcPr>
          <w:p>
            <w:pPr>
              <w:jc w:val="left"/>
              <w:rPr>
                <w:noProof/>
                <w:sz w:val="20"/>
              </w:rPr>
            </w:pPr>
            <w:r>
              <w:rPr>
                <w:noProof/>
                <w:sz w:val="20"/>
              </w:rPr>
              <w:t>Para o Modo 1</w:t>
            </w:r>
          </w:p>
          <w:p>
            <w:pPr>
              <w:jc w:val="left"/>
              <w:rPr>
                <w:noProof/>
                <w:spacing w:val="-2"/>
                <w:sz w:val="20"/>
              </w:rPr>
            </w:pPr>
            <w:r>
              <w:rPr>
                <w:noProof/>
                <w:sz w:val="20"/>
              </w:rPr>
              <w:t>CY, CZ, HU, LV, MT, SK: Não consolidado</w:t>
            </w:r>
          </w:p>
          <w:p>
            <w:pPr>
              <w:jc w:val="left"/>
              <w:rPr>
                <w:noProof/>
                <w:spacing w:val="-2"/>
                <w:sz w:val="20"/>
              </w:rPr>
            </w:pPr>
          </w:p>
          <w:p>
            <w:pPr>
              <w:jc w:val="left"/>
              <w:rPr>
                <w:noProof/>
                <w:spacing w:val="-2"/>
                <w:sz w:val="20"/>
              </w:rPr>
            </w:pPr>
            <w:r>
              <w:rPr>
                <w:noProof/>
                <w:sz w:val="20"/>
              </w:rPr>
              <w:t>Para o Modo 2</w:t>
            </w:r>
          </w:p>
          <w:p>
            <w:pPr>
              <w:jc w:val="left"/>
              <w:rPr>
                <w:noProof/>
                <w:sz w:val="20"/>
              </w:rPr>
            </w:pPr>
            <w:r>
              <w:rPr>
                <w:noProof/>
                <w:sz w:val="20"/>
              </w:rPr>
              <w:t>Nenhuma.</w:t>
            </w:r>
          </w:p>
        </w:tc>
      </w:tr>
      <w:tr>
        <w:trPr>
          <w:trHeight w:val="4943"/>
          <w:jc w:val="center"/>
        </w:trPr>
        <w:tc>
          <w:tcPr>
            <w:tcW w:w="3114" w:type="dxa"/>
          </w:tcPr>
          <w:p>
            <w:pPr>
              <w:jc w:val="left"/>
              <w:rPr>
                <w:noProof/>
                <w:sz w:val="20"/>
              </w:rPr>
            </w:pPr>
            <w:r>
              <w:rPr>
                <w:noProof/>
                <w:sz w:val="20"/>
              </w:rPr>
              <w:t>4. SERVIÇOS DE DISTRIBUIÇÃO</w:t>
            </w:r>
          </w:p>
          <w:p>
            <w:pPr>
              <w:jc w:val="left"/>
              <w:rPr>
                <w:noProof/>
                <w:sz w:val="20"/>
              </w:rPr>
            </w:pPr>
            <w:r>
              <w:rPr>
                <w:noProof/>
                <w:sz w:val="20"/>
              </w:rPr>
              <w:t>(excluindo a distribuição de armas, munições, explosivos e outro material de guerra)</w:t>
            </w:r>
          </w:p>
          <w:p>
            <w:pPr>
              <w:jc w:val="left"/>
              <w:rPr>
                <w:noProof/>
                <w:sz w:val="20"/>
              </w:rPr>
            </w:pPr>
            <w:r>
              <w:rPr>
                <w:noProof/>
                <w:sz w:val="20"/>
              </w:rPr>
              <w:t>A. Serviços de comissionistas</w:t>
            </w:r>
          </w:p>
          <w:p>
            <w:pPr>
              <w:jc w:val="left"/>
              <w:rPr>
                <w:noProof/>
                <w:sz w:val="20"/>
              </w:rPr>
            </w:pPr>
            <w:r>
              <w:rPr>
                <w:noProof/>
                <w:sz w:val="20"/>
              </w:rPr>
              <w:t>a) Serviços de comissionistas de veículos automóveis, motociclos e motoneves e suas partes e acessórios</w:t>
            </w:r>
          </w:p>
          <w:p>
            <w:pPr>
              <w:jc w:val="left"/>
              <w:rPr>
                <w:noProof/>
                <w:sz w:val="20"/>
              </w:rPr>
            </w:pPr>
            <w:r>
              <w:rPr>
                <w:noProof/>
                <w:sz w:val="20"/>
              </w:rPr>
              <w:t xml:space="preserve">(parte da CPC 61111, parte da CPC 6113 e parte da CPC 6121 ) </w:t>
            </w:r>
          </w:p>
          <w:p>
            <w:pPr>
              <w:jc w:val="left"/>
              <w:rPr>
                <w:noProof/>
                <w:sz w:val="20"/>
              </w:rPr>
            </w:pPr>
            <w:r>
              <w:rPr>
                <w:noProof/>
                <w:sz w:val="20"/>
              </w:rPr>
              <w:t>b) Outros serviços de comissionistas</w:t>
            </w:r>
          </w:p>
          <w:p>
            <w:pPr>
              <w:jc w:val="left"/>
              <w:rPr>
                <w:noProof/>
                <w:sz w:val="20"/>
              </w:rPr>
            </w:pPr>
            <w:r>
              <w:rPr>
                <w:noProof/>
                <w:sz w:val="20"/>
              </w:rPr>
              <w:t>(CPC 621)</w:t>
            </w:r>
          </w:p>
          <w:p>
            <w:pPr>
              <w:jc w:val="left"/>
              <w:rPr>
                <w:noProof/>
                <w:sz w:val="20"/>
              </w:rPr>
            </w:pPr>
            <w:r>
              <w:rPr>
                <w:noProof/>
                <w:sz w:val="20"/>
              </w:rPr>
              <w:t>B. Serviços de venda por grosso</w:t>
            </w:r>
          </w:p>
          <w:p>
            <w:pPr>
              <w:jc w:val="left"/>
              <w:rPr>
                <w:noProof/>
                <w:sz w:val="20"/>
              </w:rPr>
            </w:pPr>
            <w:r>
              <w:rPr>
                <w:noProof/>
                <w:sz w:val="20"/>
              </w:rPr>
              <w:t>a) Serviços de venda por grosso de veículos automóveis, motociclos e motoneves e suas partes e acessórios</w:t>
            </w:r>
          </w:p>
          <w:p>
            <w:pPr>
              <w:jc w:val="left"/>
              <w:rPr>
                <w:noProof/>
                <w:sz w:val="20"/>
              </w:rPr>
            </w:pPr>
            <w:r>
              <w:rPr>
                <w:noProof/>
                <w:sz w:val="20"/>
              </w:rPr>
              <w:t>(parte da CPC 61111, parte da CPC 6113 e parte da CPC 6121 )</w:t>
            </w:r>
          </w:p>
        </w:tc>
        <w:tc>
          <w:tcPr>
            <w:tcW w:w="6525" w:type="dxa"/>
          </w:tcPr>
          <w:p>
            <w:pPr>
              <w:autoSpaceDE w:val="0"/>
              <w:autoSpaceDN w:val="0"/>
              <w:adjustRightInd w:val="0"/>
              <w:jc w:val="left"/>
              <w:rPr>
                <w:noProof/>
                <w:sz w:val="20"/>
              </w:rPr>
            </w:pPr>
            <w:r>
              <w:rPr>
                <w:noProof/>
                <w:sz w:val="20"/>
              </w:rPr>
              <w:t>Para os Modos 1 e 2</w:t>
            </w:r>
          </w:p>
          <w:p>
            <w:pPr>
              <w:autoSpaceDE w:val="0"/>
              <w:autoSpaceDN w:val="0"/>
              <w:adjustRightInd w:val="0"/>
              <w:jc w:val="left"/>
              <w:rPr>
                <w:noProof/>
                <w:spacing w:val="-2"/>
                <w:sz w:val="20"/>
              </w:rPr>
            </w:pPr>
            <w:r>
              <w:rPr>
                <w:noProof/>
                <w:sz w:val="20"/>
              </w:rPr>
              <w:t>EU: Não consolidado para a distribuição de produtos químicos e metais (e pedras) preciosos.</w:t>
            </w:r>
          </w:p>
          <w:p>
            <w:pPr>
              <w:autoSpaceDE w:val="0"/>
              <w:autoSpaceDN w:val="0"/>
              <w:adjustRightInd w:val="0"/>
              <w:jc w:val="left"/>
              <w:rPr>
                <w:noProof/>
                <w:spacing w:val="-2"/>
                <w:sz w:val="20"/>
              </w:rPr>
            </w:pPr>
            <w:r>
              <w:rPr>
                <w:noProof/>
                <w:sz w:val="20"/>
              </w:rPr>
              <w:t>AT: Não consolidado para a distribuição de produtos de pirotecnia, artigos inflamáveis e dispositivos explosivos, bem como substâncias tóxicas.</w:t>
            </w:r>
          </w:p>
          <w:p>
            <w:pPr>
              <w:jc w:val="left"/>
              <w:rPr>
                <w:noProof/>
                <w:sz w:val="20"/>
              </w:rPr>
            </w:pPr>
            <w:r>
              <w:rPr>
                <w:noProof/>
                <w:sz w:val="20"/>
              </w:rPr>
              <w:t>AT, BG: Não consolidado para a distribuição de produtos para uso médico, tais como dispositivos médicos e cirúrgicos, substâncias médicas e objetos para uso médico.</w:t>
            </w:r>
          </w:p>
          <w:p>
            <w:pPr>
              <w:spacing w:before="60" w:after="60"/>
              <w:jc w:val="left"/>
              <w:rPr>
                <w:noProof/>
                <w:sz w:val="20"/>
              </w:rPr>
            </w:pPr>
            <w:r>
              <w:rPr>
                <w:noProof/>
                <w:sz w:val="20"/>
              </w:rPr>
              <w:t>HR: Não consolidado para produtos do tabaco.</w:t>
            </w:r>
          </w:p>
          <w:p>
            <w:pPr>
              <w:autoSpaceDE w:val="0"/>
              <w:autoSpaceDN w:val="0"/>
              <w:adjustRightInd w:val="0"/>
              <w:jc w:val="left"/>
              <w:rPr>
                <w:noProof/>
                <w:spacing w:val="-2"/>
                <w:sz w:val="20"/>
              </w:rPr>
            </w:pPr>
          </w:p>
          <w:p>
            <w:pPr>
              <w:autoSpaceDE w:val="0"/>
              <w:autoSpaceDN w:val="0"/>
              <w:adjustRightInd w:val="0"/>
              <w:jc w:val="left"/>
              <w:rPr>
                <w:noProof/>
                <w:spacing w:val="-2"/>
                <w:sz w:val="20"/>
              </w:rPr>
            </w:pPr>
            <w:r>
              <w:rPr>
                <w:noProof/>
                <w:sz w:val="20"/>
              </w:rPr>
              <w:t>Para o Modo 1</w:t>
            </w:r>
          </w:p>
          <w:p>
            <w:pPr>
              <w:jc w:val="left"/>
              <w:rPr>
                <w:noProof/>
                <w:spacing w:val="-2"/>
                <w:sz w:val="20"/>
              </w:rPr>
            </w:pPr>
            <w:r>
              <w:rPr>
                <w:noProof/>
                <w:sz w:val="20"/>
              </w:rPr>
              <w:t xml:space="preserve">AT, BG, PL, RO: Não consolidado para a distribuição de tabaco e produtos do tabaco. </w:t>
            </w:r>
          </w:p>
          <w:p>
            <w:pPr>
              <w:jc w:val="left"/>
              <w:rPr>
                <w:noProof/>
                <w:spacing w:val="-2"/>
                <w:sz w:val="20"/>
              </w:rPr>
            </w:pPr>
            <w:r>
              <w:rPr>
                <w:noProof/>
                <w:sz w:val="20"/>
              </w:rPr>
              <w:t>IT: Para serviços de venda por grosso, monopólio estatal do tabaco.</w:t>
            </w:r>
          </w:p>
          <w:p>
            <w:pPr>
              <w:jc w:val="left"/>
              <w:rPr>
                <w:noProof/>
                <w:spacing w:val="-2"/>
                <w:sz w:val="20"/>
              </w:rPr>
            </w:pPr>
            <w:r>
              <w:rPr>
                <w:noProof/>
                <w:sz w:val="20"/>
              </w:rPr>
              <w:t>BG, FI, PL, RO: Não consolidado para a distribuição de bebidas alcoólicas.</w:t>
            </w:r>
          </w:p>
          <w:p>
            <w:pPr>
              <w:jc w:val="left"/>
              <w:rPr>
                <w:noProof/>
                <w:spacing w:val="-2"/>
                <w:sz w:val="20"/>
              </w:rPr>
            </w:pPr>
            <w:r>
              <w:rPr>
                <w:noProof/>
                <w:sz w:val="20"/>
              </w:rPr>
              <w:t>SE: Não consolidado para a distribuição a retalho de bebidas alcoólicas.</w:t>
            </w:r>
          </w:p>
          <w:p>
            <w:pPr>
              <w:jc w:val="left"/>
              <w:rPr>
                <w:noProof/>
                <w:sz w:val="20"/>
              </w:rPr>
            </w:pPr>
            <w:r>
              <w:rPr>
                <w:noProof/>
                <w:sz w:val="20"/>
              </w:rPr>
              <w:t xml:space="preserve">AT, BG, CZ, FI, RO, SK, SI: Não consolidado para a distribuição de produtos farmacêuticos. </w:t>
            </w:r>
          </w:p>
          <w:p>
            <w:pPr>
              <w:autoSpaceDE w:val="0"/>
              <w:autoSpaceDN w:val="0"/>
              <w:adjustRightInd w:val="0"/>
              <w:jc w:val="left"/>
              <w:rPr>
                <w:noProof/>
                <w:spacing w:val="-2"/>
                <w:sz w:val="20"/>
              </w:rPr>
            </w:pPr>
            <w:r>
              <w:rPr>
                <w:noProof/>
                <w:sz w:val="20"/>
              </w:rPr>
              <w:t>BG, HU, PL: Não consolidado para serviços de corretagem de mercadorias.</w:t>
            </w:r>
          </w:p>
          <w:p>
            <w:pPr>
              <w:jc w:val="left"/>
              <w:rPr>
                <w:noProof/>
                <w:sz w:val="20"/>
              </w:rPr>
            </w:pPr>
            <w:r>
              <w:rPr>
                <w:noProof/>
                <w:sz w:val="20"/>
              </w:rPr>
              <w:t>FR: Para serviços de comissionistas, não consolidado para comerciantes e corretores que operam em 17 mercados de interesse nacional ligados a produtos alimentares frescos. Não consolidado para a venda por grosso de produtos farmacêuticos.</w:t>
            </w:r>
          </w:p>
          <w:p>
            <w:pPr>
              <w:jc w:val="left"/>
              <w:rPr>
                <w:noProof/>
                <w:sz w:val="20"/>
              </w:rPr>
            </w:pPr>
            <w:r>
              <w:rPr>
                <w:noProof/>
                <w:sz w:val="20"/>
              </w:rPr>
              <w:t>MT: Não consolidado para serviços de comissionistas.</w:t>
            </w:r>
          </w:p>
          <w:p>
            <w:pPr>
              <w:jc w:val="left"/>
              <w:rPr>
                <w:noProof/>
                <w:spacing w:val="-2"/>
                <w:sz w:val="20"/>
              </w:rPr>
            </w:pPr>
            <w:r>
              <w:rPr>
                <w:noProof/>
                <w:sz w:val="20"/>
              </w:rPr>
              <w:t>BE, BG, CY, CZ, DE, DK, ES, FR, EL, IE, IT, LU, MT, NL, PL, PT, SK, UK: Para serviços de comércio a retalho, não consolidado, exceto para encomendas por correio.</w:t>
            </w:r>
          </w:p>
        </w:tc>
      </w:tr>
      <w:tr>
        <w:trPr>
          <w:trHeight w:val="3568"/>
          <w:jc w:val="center"/>
        </w:trPr>
        <w:tc>
          <w:tcPr>
            <w:tcW w:w="3114" w:type="dxa"/>
          </w:tcPr>
          <w:p>
            <w:pPr>
              <w:pageBreakBefore/>
              <w:jc w:val="left"/>
              <w:rPr>
                <w:noProof/>
                <w:sz w:val="20"/>
              </w:rPr>
            </w:pPr>
            <w:r>
              <w:rPr>
                <w:noProof/>
                <w:sz w:val="20"/>
              </w:rPr>
              <w:t>b) Serviços de venda por grosso de equipamentos terminais de telecomunicações</w:t>
            </w:r>
          </w:p>
          <w:p>
            <w:pPr>
              <w:jc w:val="left"/>
              <w:rPr>
                <w:noProof/>
                <w:sz w:val="20"/>
              </w:rPr>
            </w:pPr>
            <w:r>
              <w:rPr>
                <w:noProof/>
                <w:sz w:val="20"/>
              </w:rPr>
              <w:t>(parte da CPC 7542)</w:t>
            </w:r>
          </w:p>
          <w:p>
            <w:pPr>
              <w:jc w:val="left"/>
              <w:rPr>
                <w:noProof/>
                <w:sz w:val="20"/>
              </w:rPr>
            </w:pPr>
            <w:r>
              <w:rPr>
                <w:noProof/>
                <w:sz w:val="20"/>
              </w:rPr>
              <w:t>c) Outros serviços de venda por grosso</w:t>
            </w:r>
          </w:p>
          <w:p>
            <w:pPr>
              <w:jc w:val="left"/>
              <w:rPr>
                <w:noProof/>
                <w:sz w:val="20"/>
              </w:rPr>
            </w:pPr>
            <w:r>
              <w:rPr>
                <w:noProof/>
                <w:sz w:val="20"/>
              </w:rPr>
              <w:t>(CPC 622, excluindo os serviços de venda por grosso de produtos energéticos</w:t>
            </w:r>
            <w:r>
              <w:rPr>
                <w:rStyle w:val="FootnoteReference"/>
                <w:noProof/>
                <w:sz w:val="20"/>
              </w:rPr>
              <w:footnoteReference w:id="24"/>
            </w:r>
            <w:r>
              <w:rPr>
                <w:noProof/>
                <w:sz w:val="20"/>
              </w:rPr>
              <w:t>)</w:t>
            </w:r>
          </w:p>
          <w:p>
            <w:pPr>
              <w:jc w:val="left"/>
              <w:rPr>
                <w:noProof/>
                <w:sz w:val="20"/>
              </w:rPr>
            </w:pPr>
            <w:r>
              <w:rPr>
                <w:noProof/>
                <w:sz w:val="20"/>
              </w:rPr>
              <w:t>C. Serviços de venda a retalho</w:t>
            </w:r>
            <w:r>
              <w:rPr>
                <w:rStyle w:val="FootnoteReference"/>
                <w:noProof/>
                <w:sz w:val="20"/>
              </w:rPr>
              <w:footnoteReference w:id="25"/>
            </w:r>
          </w:p>
          <w:p>
            <w:pPr>
              <w:jc w:val="left"/>
              <w:rPr>
                <w:noProof/>
                <w:sz w:val="20"/>
              </w:rPr>
            </w:pPr>
            <w:r>
              <w:rPr>
                <w:noProof/>
                <w:sz w:val="20"/>
              </w:rPr>
              <w:t xml:space="preserve">Serviços de venda a retalho de veículos automóveis, motociclos e motoneves e suas partes e acessórios </w:t>
            </w:r>
          </w:p>
          <w:p>
            <w:pPr>
              <w:jc w:val="left"/>
              <w:rPr>
                <w:noProof/>
                <w:sz w:val="20"/>
              </w:rPr>
            </w:pPr>
            <w:r>
              <w:rPr>
                <w:noProof/>
                <w:sz w:val="20"/>
              </w:rPr>
              <w:t>(CPC 61112, parte da CPC 6113 e parte da CPC 6121)</w:t>
            </w:r>
          </w:p>
          <w:p>
            <w:pPr>
              <w:jc w:val="left"/>
              <w:rPr>
                <w:noProof/>
                <w:sz w:val="20"/>
              </w:rPr>
            </w:pPr>
            <w:r>
              <w:rPr>
                <w:noProof/>
                <w:sz w:val="20"/>
              </w:rPr>
              <w:t>Serviços de venda a retalho de equipamentos terminais de telecomunicações</w:t>
            </w:r>
          </w:p>
          <w:p>
            <w:pPr>
              <w:jc w:val="left"/>
              <w:rPr>
                <w:noProof/>
                <w:sz w:val="20"/>
              </w:rPr>
            </w:pPr>
            <w:r>
              <w:rPr>
                <w:noProof/>
                <w:sz w:val="20"/>
              </w:rPr>
              <w:t>(parte da CPC 7542)</w:t>
            </w:r>
          </w:p>
          <w:p>
            <w:pPr>
              <w:jc w:val="left"/>
              <w:rPr>
                <w:noProof/>
                <w:sz w:val="20"/>
              </w:rPr>
            </w:pPr>
            <w:r>
              <w:rPr>
                <w:noProof/>
                <w:sz w:val="20"/>
              </w:rPr>
              <w:t xml:space="preserve">Serviços de venda a retalho de produtos alimentares </w:t>
            </w:r>
          </w:p>
          <w:p>
            <w:pPr>
              <w:jc w:val="left"/>
              <w:rPr>
                <w:noProof/>
                <w:sz w:val="20"/>
              </w:rPr>
            </w:pPr>
            <w:r>
              <w:rPr>
                <w:noProof/>
                <w:sz w:val="20"/>
              </w:rPr>
              <w:t>(CPC 631)</w:t>
            </w:r>
          </w:p>
          <w:p>
            <w:pPr>
              <w:jc w:val="left"/>
              <w:rPr>
                <w:noProof/>
                <w:sz w:val="20"/>
              </w:rPr>
            </w:pPr>
            <w:r>
              <w:rPr>
                <w:noProof/>
                <w:sz w:val="20"/>
              </w:rPr>
              <w:t>Serviços de venda a retalho de outros produtos (não energéticos), exceto vendas a retalho de produtos farmacêuticos, médicos e ortopédicos</w:t>
            </w:r>
            <w:r>
              <w:rPr>
                <w:rStyle w:val="FootnoteReference"/>
                <w:noProof/>
                <w:sz w:val="20"/>
              </w:rPr>
              <w:footnoteReference w:id="26"/>
            </w:r>
          </w:p>
          <w:p>
            <w:pPr>
              <w:jc w:val="left"/>
              <w:rPr>
                <w:noProof/>
                <w:sz w:val="20"/>
              </w:rPr>
            </w:pPr>
            <w:r>
              <w:rPr>
                <w:noProof/>
                <w:sz w:val="20"/>
              </w:rPr>
              <w:t>(CPC 632, excluindo CPC 63211 e 63297)</w:t>
            </w:r>
          </w:p>
          <w:p>
            <w:pPr>
              <w:jc w:val="left"/>
              <w:rPr>
                <w:noProof/>
                <w:sz w:val="20"/>
              </w:rPr>
            </w:pPr>
            <w:r>
              <w:rPr>
                <w:noProof/>
                <w:sz w:val="20"/>
              </w:rPr>
              <w:t xml:space="preserve">D. Franchising </w:t>
            </w:r>
          </w:p>
          <w:p>
            <w:pPr>
              <w:jc w:val="left"/>
              <w:rPr>
                <w:noProof/>
                <w:sz w:val="20"/>
              </w:rPr>
            </w:pPr>
            <w:r>
              <w:rPr>
                <w:noProof/>
                <w:sz w:val="20"/>
              </w:rPr>
              <w:t>(CPC 8929)</w:t>
            </w:r>
          </w:p>
        </w:tc>
        <w:tc>
          <w:tcPr>
            <w:tcW w:w="6525" w:type="dxa"/>
          </w:tcPr>
          <w:p>
            <w:pPr>
              <w:rPr>
                <w:noProof/>
                <w:sz w:val="20"/>
              </w:rPr>
            </w:pPr>
          </w:p>
        </w:tc>
      </w:tr>
      <w:tr>
        <w:trPr>
          <w:jc w:val="center"/>
        </w:trPr>
        <w:tc>
          <w:tcPr>
            <w:tcW w:w="3114" w:type="dxa"/>
          </w:tcPr>
          <w:p>
            <w:pPr>
              <w:pageBreakBefore/>
              <w:jc w:val="left"/>
              <w:rPr>
                <w:noProof/>
                <w:sz w:val="20"/>
              </w:rPr>
            </w:pPr>
            <w:r>
              <w:rPr>
                <w:noProof/>
                <w:sz w:val="20"/>
              </w:rPr>
              <w:t xml:space="preserve">5. SERVIÇOS DE EDUCAÇÃO (apenas serviços financiados pelo setor privado) </w:t>
            </w:r>
          </w:p>
        </w:tc>
        <w:tc>
          <w:tcPr>
            <w:tcW w:w="6525" w:type="dxa"/>
          </w:tcPr>
          <w:p>
            <w:pPr>
              <w:rPr>
                <w:noProof/>
                <w:sz w:val="20"/>
              </w:rPr>
            </w:pPr>
          </w:p>
        </w:tc>
      </w:tr>
      <w:tr>
        <w:trPr>
          <w:jc w:val="center"/>
        </w:trPr>
        <w:tc>
          <w:tcPr>
            <w:tcW w:w="3114" w:type="dxa"/>
          </w:tcPr>
          <w:p>
            <w:pPr>
              <w:jc w:val="left"/>
              <w:rPr>
                <w:noProof/>
                <w:sz w:val="20"/>
              </w:rPr>
            </w:pPr>
            <w:r>
              <w:rPr>
                <w:noProof/>
                <w:sz w:val="20"/>
              </w:rPr>
              <w:t xml:space="preserve">A. Serviços de ensino primário </w:t>
            </w:r>
          </w:p>
          <w:p>
            <w:pPr>
              <w:jc w:val="left"/>
              <w:rPr>
                <w:noProof/>
                <w:sz w:val="20"/>
              </w:rPr>
            </w:pPr>
            <w:r>
              <w:rPr>
                <w:noProof/>
                <w:sz w:val="20"/>
              </w:rPr>
              <w:t>(CPC 921)</w:t>
            </w:r>
          </w:p>
        </w:tc>
        <w:tc>
          <w:tcPr>
            <w:tcW w:w="6525" w:type="dxa"/>
          </w:tcPr>
          <w:p>
            <w:pPr>
              <w:jc w:val="left"/>
              <w:rPr>
                <w:noProof/>
                <w:sz w:val="20"/>
              </w:rPr>
            </w:pPr>
            <w:r>
              <w:rPr>
                <w:noProof/>
                <w:sz w:val="20"/>
              </w:rPr>
              <w:t>Para o Modo 1</w:t>
            </w:r>
          </w:p>
          <w:p>
            <w:pPr>
              <w:jc w:val="left"/>
              <w:rPr>
                <w:noProof/>
                <w:sz w:val="20"/>
              </w:rPr>
            </w:pPr>
            <w:r>
              <w:rPr>
                <w:noProof/>
                <w:sz w:val="20"/>
              </w:rPr>
              <w:t>BG, CY, FI, FR, HR, IT, MT, RO, SE, SI: Não consolidado</w:t>
            </w:r>
          </w:p>
          <w:p>
            <w:pPr>
              <w:jc w:val="left"/>
              <w:rPr>
                <w:noProof/>
                <w:spacing w:val="-2"/>
                <w:sz w:val="20"/>
              </w:rPr>
            </w:pPr>
            <w:r>
              <w:rPr>
                <w:noProof/>
                <w:sz w:val="20"/>
              </w:rPr>
              <w:t>Para o Modo 2</w:t>
            </w:r>
          </w:p>
          <w:p>
            <w:pPr>
              <w:jc w:val="left"/>
              <w:rPr>
                <w:noProof/>
                <w:sz w:val="20"/>
              </w:rPr>
            </w:pPr>
            <w:r>
              <w:rPr>
                <w:noProof/>
                <w:sz w:val="20"/>
              </w:rPr>
              <w:t>CY, FI, HR, MT, RO, SE, SI: Não consolidado</w:t>
            </w:r>
          </w:p>
        </w:tc>
      </w:tr>
      <w:tr>
        <w:trPr>
          <w:jc w:val="center"/>
        </w:trPr>
        <w:tc>
          <w:tcPr>
            <w:tcW w:w="3114" w:type="dxa"/>
          </w:tcPr>
          <w:p>
            <w:pPr>
              <w:jc w:val="left"/>
              <w:rPr>
                <w:noProof/>
                <w:sz w:val="20"/>
              </w:rPr>
            </w:pPr>
            <w:r>
              <w:rPr>
                <w:noProof/>
                <w:sz w:val="20"/>
              </w:rPr>
              <w:t>B. Serviços de ensino secundário</w:t>
            </w:r>
          </w:p>
          <w:p>
            <w:pPr>
              <w:jc w:val="left"/>
              <w:rPr>
                <w:noProof/>
                <w:sz w:val="20"/>
              </w:rPr>
            </w:pPr>
            <w:r>
              <w:rPr>
                <w:noProof/>
                <w:sz w:val="20"/>
              </w:rPr>
              <w:t>(CPC 922)</w:t>
            </w:r>
          </w:p>
        </w:tc>
        <w:tc>
          <w:tcPr>
            <w:tcW w:w="6525" w:type="dxa"/>
          </w:tcPr>
          <w:p>
            <w:pPr>
              <w:jc w:val="left"/>
              <w:rPr>
                <w:noProof/>
                <w:sz w:val="20"/>
              </w:rPr>
            </w:pPr>
            <w:r>
              <w:rPr>
                <w:noProof/>
                <w:sz w:val="20"/>
              </w:rPr>
              <w:t>Para o Modo 1</w:t>
            </w:r>
          </w:p>
          <w:p>
            <w:pPr>
              <w:jc w:val="left"/>
              <w:rPr>
                <w:noProof/>
                <w:spacing w:val="-2"/>
                <w:sz w:val="20"/>
              </w:rPr>
            </w:pPr>
            <w:r>
              <w:rPr>
                <w:noProof/>
                <w:sz w:val="20"/>
              </w:rPr>
              <w:t>BG, CY, FI, FR, HR, IT, MT, RO, SE: Não consolidado</w:t>
            </w:r>
          </w:p>
          <w:p>
            <w:pPr>
              <w:jc w:val="left"/>
              <w:rPr>
                <w:noProof/>
                <w:spacing w:val="-2"/>
                <w:sz w:val="20"/>
              </w:rPr>
            </w:pPr>
            <w:r>
              <w:rPr>
                <w:noProof/>
                <w:sz w:val="20"/>
              </w:rPr>
              <w:t>Para o Modo 2</w:t>
            </w:r>
          </w:p>
          <w:p>
            <w:pPr>
              <w:jc w:val="left"/>
              <w:rPr>
                <w:noProof/>
                <w:sz w:val="20"/>
              </w:rPr>
            </w:pPr>
            <w:r>
              <w:rPr>
                <w:noProof/>
                <w:sz w:val="20"/>
              </w:rPr>
              <w:t xml:space="preserve">CY, FI, MT, RO, SE: Não consolidado </w:t>
            </w:r>
          </w:p>
          <w:p>
            <w:pPr>
              <w:jc w:val="left"/>
              <w:rPr>
                <w:noProof/>
                <w:spacing w:val="-2"/>
                <w:sz w:val="20"/>
              </w:rPr>
            </w:pPr>
            <w:r>
              <w:rPr>
                <w:noProof/>
                <w:sz w:val="20"/>
              </w:rPr>
              <w:t>Para os Modos 1 e 2</w:t>
            </w:r>
          </w:p>
          <w:p>
            <w:pPr>
              <w:jc w:val="left"/>
              <w:rPr>
                <w:noProof/>
                <w:sz w:val="20"/>
              </w:rPr>
            </w:pPr>
            <w:r>
              <w:rPr>
                <w:noProof/>
                <w:sz w:val="20"/>
              </w:rPr>
              <w:t xml:space="preserve">LV: Não consolidado para a prestação de serviços de educação relacionados com serviços de ensino secundário de tipo técnico e profissional para estudantes com deficiência (CPC 9224). </w:t>
            </w:r>
          </w:p>
        </w:tc>
      </w:tr>
      <w:tr>
        <w:trPr>
          <w:jc w:val="center"/>
        </w:trPr>
        <w:tc>
          <w:tcPr>
            <w:tcW w:w="3114" w:type="dxa"/>
          </w:tcPr>
          <w:p>
            <w:pPr>
              <w:jc w:val="left"/>
              <w:rPr>
                <w:noProof/>
                <w:sz w:val="20"/>
              </w:rPr>
            </w:pPr>
            <w:r>
              <w:rPr>
                <w:noProof/>
                <w:sz w:val="20"/>
              </w:rPr>
              <w:t>C. Serviços de ensino superior</w:t>
            </w:r>
          </w:p>
          <w:p>
            <w:pPr>
              <w:jc w:val="left"/>
              <w:rPr>
                <w:noProof/>
                <w:sz w:val="20"/>
              </w:rPr>
            </w:pPr>
            <w:r>
              <w:rPr>
                <w:noProof/>
                <w:sz w:val="20"/>
              </w:rPr>
              <w:t>(CPC 923)</w:t>
            </w:r>
          </w:p>
        </w:tc>
        <w:tc>
          <w:tcPr>
            <w:tcW w:w="6525" w:type="dxa"/>
          </w:tcPr>
          <w:p>
            <w:pPr>
              <w:jc w:val="left"/>
              <w:rPr>
                <w:noProof/>
                <w:sz w:val="20"/>
              </w:rPr>
            </w:pPr>
            <w:r>
              <w:rPr>
                <w:noProof/>
                <w:sz w:val="20"/>
              </w:rPr>
              <w:t>Para o Modo 1</w:t>
            </w:r>
          </w:p>
          <w:p>
            <w:pPr>
              <w:jc w:val="left"/>
              <w:rPr>
                <w:noProof/>
                <w:sz w:val="20"/>
              </w:rPr>
            </w:pPr>
            <w:r>
              <w:rPr>
                <w:noProof/>
                <w:sz w:val="20"/>
              </w:rPr>
              <w:t>AT, BG, CY, FI, FR, IT, MT, RO, SE: Não consolidado</w:t>
            </w:r>
          </w:p>
          <w:p>
            <w:pPr>
              <w:jc w:val="left"/>
              <w:rPr>
                <w:noProof/>
                <w:spacing w:val="-2"/>
                <w:sz w:val="20"/>
              </w:rPr>
            </w:pPr>
            <w:r>
              <w:rPr>
                <w:noProof/>
                <w:sz w:val="20"/>
              </w:rPr>
              <w:t>Para o Modo 2</w:t>
            </w:r>
          </w:p>
          <w:p>
            <w:pPr>
              <w:jc w:val="left"/>
              <w:rPr>
                <w:noProof/>
                <w:spacing w:val="-2"/>
                <w:sz w:val="20"/>
              </w:rPr>
            </w:pPr>
            <w:r>
              <w:rPr>
                <w:noProof/>
                <w:sz w:val="20"/>
              </w:rPr>
              <w:t>AT, BG, CY, FI, MT, RO, SE: Não consolidado</w:t>
            </w:r>
          </w:p>
          <w:p>
            <w:pPr>
              <w:jc w:val="left"/>
              <w:rPr>
                <w:noProof/>
                <w:spacing w:val="-2"/>
                <w:sz w:val="20"/>
              </w:rPr>
            </w:pPr>
            <w:r>
              <w:rPr>
                <w:noProof/>
                <w:sz w:val="20"/>
              </w:rPr>
              <w:t>Para os Modos 1 e 2</w:t>
            </w:r>
          </w:p>
          <w:p>
            <w:pPr>
              <w:jc w:val="left"/>
              <w:rPr>
                <w:noProof/>
                <w:sz w:val="20"/>
              </w:rPr>
            </w:pPr>
            <w:r>
              <w:rPr>
                <w:noProof/>
                <w:sz w:val="20"/>
              </w:rPr>
              <w:t>CZ, SK: Não consolidado para serviços de ensino superior, exceto serviços de ensino técnico e profissional pós-secundário (CPC 92310).</w:t>
            </w:r>
          </w:p>
        </w:tc>
      </w:tr>
      <w:tr>
        <w:trPr>
          <w:jc w:val="center"/>
        </w:trPr>
        <w:tc>
          <w:tcPr>
            <w:tcW w:w="3114" w:type="dxa"/>
          </w:tcPr>
          <w:p>
            <w:pPr>
              <w:jc w:val="left"/>
              <w:rPr>
                <w:noProof/>
                <w:sz w:val="20"/>
              </w:rPr>
            </w:pPr>
            <w:r>
              <w:rPr>
                <w:noProof/>
                <w:sz w:val="20"/>
              </w:rPr>
              <w:t>D. Serviços de educação de adultos</w:t>
            </w:r>
          </w:p>
          <w:p>
            <w:pPr>
              <w:jc w:val="left"/>
              <w:rPr>
                <w:noProof/>
                <w:sz w:val="20"/>
              </w:rPr>
            </w:pPr>
            <w:r>
              <w:rPr>
                <w:noProof/>
                <w:sz w:val="20"/>
              </w:rPr>
              <w:t>(CPC 924)</w:t>
            </w:r>
          </w:p>
        </w:tc>
        <w:tc>
          <w:tcPr>
            <w:tcW w:w="6525" w:type="dxa"/>
          </w:tcPr>
          <w:p>
            <w:pPr>
              <w:jc w:val="left"/>
              <w:rPr>
                <w:noProof/>
                <w:sz w:val="20"/>
              </w:rPr>
            </w:pPr>
            <w:r>
              <w:rPr>
                <w:noProof/>
                <w:sz w:val="20"/>
              </w:rPr>
              <w:t>Para os Modos 1 e 2</w:t>
            </w:r>
          </w:p>
          <w:p>
            <w:pPr>
              <w:jc w:val="left"/>
              <w:rPr>
                <w:noProof/>
                <w:sz w:val="20"/>
              </w:rPr>
            </w:pPr>
            <w:r>
              <w:rPr>
                <w:noProof/>
                <w:sz w:val="20"/>
              </w:rPr>
              <w:t>AT: Não consolidado para serviços de educação de adultos por rádio ou televisão.</w:t>
            </w:r>
          </w:p>
          <w:p>
            <w:pPr>
              <w:jc w:val="left"/>
              <w:rPr>
                <w:noProof/>
                <w:sz w:val="20"/>
              </w:rPr>
            </w:pPr>
            <w:r>
              <w:rPr>
                <w:noProof/>
                <w:sz w:val="20"/>
              </w:rPr>
              <w:t>CY, FI, MT, RO, SE: Não consolidado</w:t>
            </w:r>
          </w:p>
        </w:tc>
      </w:tr>
      <w:tr>
        <w:trPr>
          <w:jc w:val="center"/>
        </w:trPr>
        <w:tc>
          <w:tcPr>
            <w:tcW w:w="3114" w:type="dxa"/>
          </w:tcPr>
          <w:p>
            <w:pPr>
              <w:jc w:val="left"/>
              <w:rPr>
                <w:noProof/>
                <w:sz w:val="20"/>
              </w:rPr>
            </w:pPr>
            <w:r>
              <w:rPr>
                <w:noProof/>
                <w:sz w:val="20"/>
              </w:rPr>
              <w:t>E. Outros serviços de educação</w:t>
            </w:r>
          </w:p>
          <w:p>
            <w:pPr>
              <w:jc w:val="left"/>
              <w:rPr>
                <w:noProof/>
                <w:sz w:val="20"/>
              </w:rPr>
            </w:pPr>
            <w:r>
              <w:rPr>
                <w:noProof/>
                <w:sz w:val="20"/>
              </w:rPr>
              <w:t>(CPC 929)</w:t>
            </w:r>
          </w:p>
        </w:tc>
        <w:tc>
          <w:tcPr>
            <w:tcW w:w="6525" w:type="dxa"/>
          </w:tcPr>
          <w:p>
            <w:pPr>
              <w:jc w:val="left"/>
              <w:rPr>
                <w:noProof/>
                <w:sz w:val="20"/>
              </w:rPr>
            </w:pPr>
            <w:r>
              <w:rPr>
                <w:noProof/>
                <w:sz w:val="20"/>
              </w:rPr>
              <w:t>Para os Modos 1 e 2</w:t>
            </w:r>
          </w:p>
          <w:p>
            <w:pPr>
              <w:jc w:val="left"/>
              <w:rPr>
                <w:noProof/>
                <w:sz w:val="20"/>
              </w:rPr>
            </w:pPr>
            <w:r>
              <w:rPr>
                <w:noProof/>
                <w:sz w:val="20"/>
              </w:rPr>
              <w:t>AT, BE, BG, CY, DE, DK, ES, EE, FI, FR, EL, HU, IE, IT, LV, LT, LU, MT, NL, PL, PT, RO, SI, SE, UK: Não consolidado</w:t>
            </w:r>
          </w:p>
          <w:p>
            <w:pPr>
              <w:jc w:val="left"/>
              <w:rPr>
                <w:noProof/>
                <w:sz w:val="20"/>
              </w:rPr>
            </w:pPr>
            <w:r>
              <w:rPr>
                <w:noProof/>
                <w:sz w:val="20"/>
              </w:rPr>
              <w:t>HR: Nenhuma para ensino por correspondência ou ensino por telecomunicação.</w:t>
            </w:r>
          </w:p>
        </w:tc>
      </w:tr>
      <w:tr>
        <w:trPr>
          <w:jc w:val="center"/>
        </w:trPr>
        <w:tc>
          <w:tcPr>
            <w:tcW w:w="3114" w:type="dxa"/>
          </w:tcPr>
          <w:p>
            <w:pPr>
              <w:pageBreakBefore/>
              <w:jc w:val="left"/>
              <w:rPr>
                <w:noProof/>
                <w:sz w:val="20"/>
              </w:rPr>
            </w:pPr>
            <w:r>
              <w:rPr>
                <w:noProof/>
                <w:sz w:val="20"/>
              </w:rPr>
              <w:t>6. SERVIÇOS AMBIENTAIS</w:t>
            </w:r>
          </w:p>
          <w:p>
            <w:pPr>
              <w:jc w:val="left"/>
              <w:rPr>
                <w:noProof/>
                <w:sz w:val="20"/>
              </w:rPr>
            </w:pPr>
            <w:r>
              <w:rPr>
                <w:noProof/>
                <w:sz w:val="20"/>
              </w:rPr>
              <w:t>A. Serviços de tratamento de águas residuais</w:t>
            </w:r>
          </w:p>
          <w:p>
            <w:pPr>
              <w:jc w:val="left"/>
              <w:rPr>
                <w:noProof/>
                <w:sz w:val="20"/>
              </w:rPr>
            </w:pPr>
            <w:r>
              <w:rPr>
                <w:noProof/>
                <w:sz w:val="20"/>
              </w:rPr>
              <w:t>(CPC 9401)</w:t>
            </w:r>
            <w:r>
              <w:rPr>
                <w:rStyle w:val="FootnoteReference"/>
                <w:noProof/>
                <w:sz w:val="20"/>
              </w:rPr>
              <w:footnoteReference w:id="27"/>
            </w:r>
          </w:p>
          <w:p>
            <w:pPr>
              <w:jc w:val="left"/>
              <w:rPr>
                <w:noProof/>
                <w:sz w:val="20"/>
              </w:rPr>
            </w:pPr>
            <w:r>
              <w:rPr>
                <w:noProof/>
                <w:sz w:val="20"/>
              </w:rPr>
              <w:t>B. Gestão de resíduos sólidos/perigosos, excluindo transporte transfronteiras de resíduos perigosos</w:t>
            </w:r>
          </w:p>
          <w:p>
            <w:pPr>
              <w:jc w:val="left"/>
              <w:rPr>
                <w:noProof/>
                <w:sz w:val="20"/>
              </w:rPr>
            </w:pPr>
            <w:r>
              <w:rPr>
                <w:noProof/>
                <w:sz w:val="20"/>
              </w:rPr>
              <w:t>a) Serviços de eliminação de resíduos</w:t>
            </w:r>
          </w:p>
          <w:p>
            <w:pPr>
              <w:tabs>
                <w:tab w:val="left" w:pos="1331"/>
              </w:tabs>
              <w:jc w:val="left"/>
              <w:rPr>
                <w:noProof/>
                <w:sz w:val="20"/>
              </w:rPr>
            </w:pPr>
            <w:r>
              <w:rPr>
                <w:noProof/>
                <w:sz w:val="20"/>
              </w:rPr>
              <w:t>(CPC 9402)</w:t>
            </w:r>
            <w:r>
              <w:rPr>
                <w:noProof/>
                <w:sz w:val="20"/>
              </w:rPr>
              <w:tab/>
            </w:r>
          </w:p>
          <w:p>
            <w:pPr>
              <w:jc w:val="left"/>
              <w:rPr>
                <w:noProof/>
                <w:spacing w:val="-2"/>
                <w:sz w:val="20"/>
              </w:rPr>
            </w:pPr>
            <w:r>
              <w:rPr>
                <w:noProof/>
                <w:sz w:val="20"/>
              </w:rPr>
              <w:t>b) Serviços de higiene pública e similares</w:t>
            </w:r>
          </w:p>
          <w:p>
            <w:pPr>
              <w:jc w:val="left"/>
              <w:rPr>
                <w:noProof/>
                <w:sz w:val="20"/>
              </w:rPr>
            </w:pPr>
            <w:r>
              <w:rPr>
                <w:noProof/>
                <w:sz w:val="20"/>
              </w:rPr>
              <w:t>(CPC 9403)</w:t>
            </w:r>
          </w:p>
          <w:p>
            <w:pPr>
              <w:jc w:val="left"/>
              <w:rPr>
                <w:noProof/>
                <w:sz w:val="20"/>
              </w:rPr>
            </w:pPr>
            <w:r>
              <w:rPr>
                <w:noProof/>
                <w:sz w:val="20"/>
              </w:rPr>
              <w:t>C. Proteção do ar e do clima</w:t>
            </w:r>
          </w:p>
          <w:p>
            <w:pPr>
              <w:jc w:val="left"/>
              <w:rPr>
                <w:noProof/>
                <w:sz w:val="20"/>
              </w:rPr>
            </w:pPr>
            <w:r>
              <w:rPr>
                <w:noProof/>
                <w:sz w:val="20"/>
              </w:rPr>
              <w:t>(CPC 9404)</w:t>
            </w:r>
            <w:r>
              <w:rPr>
                <w:rStyle w:val="FootnoteReference"/>
                <w:noProof/>
                <w:sz w:val="20"/>
              </w:rPr>
              <w:footnoteReference w:id="28"/>
            </w:r>
          </w:p>
          <w:p>
            <w:pPr>
              <w:jc w:val="left"/>
              <w:rPr>
                <w:noProof/>
                <w:sz w:val="20"/>
              </w:rPr>
            </w:pPr>
            <w:r>
              <w:rPr>
                <w:noProof/>
                <w:sz w:val="20"/>
              </w:rPr>
              <w:t>D. Serviços de remediação e limpeza do solo e águas</w:t>
            </w:r>
          </w:p>
          <w:p>
            <w:pPr>
              <w:jc w:val="left"/>
              <w:rPr>
                <w:noProof/>
                <w:sz w:val="20"/>
              </w:rPr>
            </w:pPr>
            <w:r>
              <w:rPr>
                <w:noProof/>
                <w:sz w:val="20"/>
              </w:rPr>
              <w:t>a) Tratamento e remediação do solo e águas contaminados/poluídos</w:t>
            </w:r>
          </w:p>
          <w:p>
            <w:pPr>
              <w:jc w:val="left"/>
              <w:rPr>
                <w:noProof/>
                <w:sz w:val="20"/>
              </w:rPr>
            </w:pPr>
            <w:r>
              <w:rPr>
                <w:noProof/>
                <w:sz w:val="20"/>
              </w:rPr>
              <w:t>(parte da CPC 94060)</w:t>
            </w:r>
            <w:r>
              <w:rPr>
                <w:rStyle w:val="FootnoteReference"/>
                <w:noProof/>
                <w:sz w:val="20"/>
              </w:rPr>
              <w:footnoteReference w:id="29"/>
            </w:r>
          </w:p>
          <w:p>
            <w:pPr>
              <w:jc w:val="left"/>
              <w:rPr>
                <w:noProof/>
                <w:sz w:val="20"/>
              </w:rPr>
            </w:pPr>
            <w:r>
              <w:rPr>
                <w:noProof/>
                <w:sz w:val="20"/>
              </w:rPr>
              <w:t>E. Redução do ruído e vibrações</w:t>
            </w:r>
          </w:p>
          <w:p>
            <w:pPr>
              <w:jc w:val="left"/>
              <w:rPr>
                <w:noProof/>
                <w:sz w:val="20"/>
              </w:rPr>
            </w:pPr>
            <w:r>
              <w:rPr>
                <w:noProof/>
                <w:sz w:val="20"/>
              </w:rPr>
              <w:t>(CPC 9405)</w:t>
            </w:r>
          </w:p>
          <w:p>
            <w:pPr>
              <w:jc w:val="left"/>
              <w:rPr>
                <w:noProof/>
                <w:sz w:val="20"/>
              </w:rPr>
            </w:pPr>
            <w:r>
              <w:rPr>
                <w:noProof/>
                <w:sz w:val="20"/>
              </w:rPr>
              <w:t xml:space="preserve">F. Proteção da biodiversidade e da paisagem </w:t>
            </w:r>
          </w:p>
          <w:p>
            <w:pPr>
              <w:jc w:val="left"/>
              <w:rPr>
                <w:caps/>
                <w:noProof/>
                <w:spacing w:val="-2"/>
                <w:sz w:val="20"/>
              </w:rPr>
            </w:pPr>
            <w:r>
              <w:rPr>
                <w:noProof/>
                <w:sz w:val="20"/>
              </w:rPr>
              <w:t xml:space="preserve">a) </w:t>
            </w:r>
            <w:r>
              <w:rPr>
                <w:caps/>
                <w:noProof/>
                <w:sz w:val="20"/>
              </w:rPr>
              <w:t>S</w:t>
            </w:r>
            <w:r>
              <w:rPr>
                <w:noProof/>
                <w:sz w:val="20"/>
              </w:rPr>
              <w:t>erviços de proteção natural e paisagística</w:t>
            </w:r>
          </w:p>
          <w:p>
            <w:pPr>
              <w:jc w:val="left"/>
              <w:rPr>
                <w:noProof/>
                <w:sz w:val="20"/>
              </w:rPr>
            </w:pPr>
            <w:r>
              <w:rPr>
                <w:noProof/>
                <w:sz w:val="20"/>
              </w:rPr>
              <w:t>(parte da CPC 9406)</w:t>
            </w:r>
          </w:p>
          <w:p>
            <w:pPr>
              <w:jc w:val="left"/>
              <w:rPr>
                <w:noProof/>
                <w:sz w:val="20"/>
              </w:rPr>
            </w:pPr>
            <w:r>
              <w:rPr>
                <w:noProof/>
                <w:sz w:val="20"/>
              </w:rPr>
              <w:t>G. Outros serviços ambientais e conexos</w:t>
            </w:r>
          </w:p>
          <w:p>
            <w:pPr>
              <w:jc w:val="left"/>
              <w:rPr>
                <w:noProof/>
                <w:sz w:val="20"/>
              </w:rPr>
            </w:pPr>
            <w:r>
              <w:rPr>
                <w:noProof/>
                <w:sz w:val="20"/>
              </w:rPr>
              <w:t>(CPC 94090)</w:t>
            </w:r>
          </w:p>
        </w:tc>
        <w:tc>
          <w:tcPr>
            <w:tcW w:w="6525" w:type="dxa"/>
          </w:tcPr>
          <w:p>
            <w:pPr>
              <w:jc w:val="left"/>
              <w:rPr>
                <w:noProof/>
                <w:sz w:val="20"/>
              </w:rPr>
            </w:pPr>
            <w:r>
              <w:rPr>
                <w:noProof/>
                <w:sz w:val="20"/>
              </w:rPr>
              <w:t xml:space="preserve">Para o Modo 1 </w:t>
            </w:r>
          </w:p>
          <w:p>
            <w:pPr>
              <w:jc w:val="left"/>
              <w:rPr>
                <w:noProof/>
                <w:sz w:val="20"/>
              </w:rPr>
            </w:pPr>
            <w:r>
              <w:rPr>
                <w:noProof/>
                <w:sz w:val="20"/>
              </w:rPr>
              <w:t>EU: Não consolidado, exceto para serviços de consultoria.</w:t>
            </w:r>
          </w:p>
          <w:p>
            <w:pPr>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pageBreakBefore/>
              <w:jc w:val="left"/>
              <w:rPr>
                <w:noProof/>
                <w:sz w:val="20"/>
              </w:rPr>
            </w:pPr>
            <w:r>
              <w:rPr>
                <w:noProof/>
                <w:sz w:val="20"/>
              </w:rPr>
              <w:t>7. SERVIÇOS FINANCEIROS</w:t>
            </w:r>
          </w:p>
        </w:tc>
        <w:tc>
          <w:tcPr>
            <w:tcW w:w="6525" w:type="dxa"/>
          </w:tcPr>
          <w:p>
            <w:pPr>
              <w:rPr>
                <w:noProof/>
                <w:sz w:val="20"/>
              </w:rPr>
            </w:pPr>
          </w:p>
        </w:tc>
      </w:tr>
      <w:tr>
        <w:trPr>
          <w:trHeight w:val="7629"/>
          <w:jc w:val="center"/>
        </w:trPr>
        <w:tc>
          <w:tcPr>
            <w:tcW w:w="3114" w:type="dxa"/>
          </w:tcPr>
          <w:p>
            <w:pPr>
              <w:jc w:val="left"/>
              <w:rPr>
                <w:noProof/>
                <w:sz w:val="20"/>
              </w:rPr>
            </w:pPr>
            <w:r>
              <w:rPr>
                <w:noProof/>
                <w:sz w:val="20"/>
              </w:rPr>
              <w:t>A. Serviços de seguros e serviços conexos</w:t>
            </w:r>
          </w:p>
          <w:p>
            <w:pPr>
              <w:jc w:val="left"/>
              <w:rPr>
                <w:noProof/>
                <w:sz w:val="20"/>
              </w:rPr>
            </w:pPr>
          </w:p>
        </w:tc>
        <w:tc>
          <w:tcPr>
            <w:tcW w:w="6525" w:type="dxa"/>
          </w:tcPr>
          <w:p>
            <w:pPr>
              <w:jc w:val="left"/>
              <w:rPr>
                <w:noProof/>
                <w:sz w:val="20"/>
              </w:rPr>
            </w:pPr>
            <w:r>
              <w:rPr>
                <w:noProof/>
                <w:sz w:val="20"/>
              </w:rPr>
              <w:t>Para os Modos 1 e 2</w:t>
            </w:r>
          </w:p>
          <w:p>
            <w:pPr>
              <w:jc w:val="left"/>
              <w:rPr>
                <w:noProof/>
                <w:sz w:val="20"/>
              </w:rPr>
            </w:pPr>
            <w:r>
              <w:rPr>
                <w:noProof/>
                <w:sz w:val="20"/>
              </w:rPr>
              <w:t>AT, BE, CZ, DE, DK, ES, FI, FR, EL, HU, IE, IT, LU, NL, PL, PT, RO, SK, SE, SI, UK: Não consolidado para serviços de seguros diretos, exceto para seguros de riscos relacionados com:</w:t>
            </w:r>
          </w:p>
          <w:p>
            <w:pPr>
              <w:ind w:left="567" w:hanging="567"/>
              <w:jc w:val="left"/>
              <w:rPr>
                <w:noProof/>
                <w:sz w:val="20"/>
              </w:rPr>
            </w:pPr>
            <w:r>
              <w:rPr>
                <w:noProof/>
                <w:sz w:val="20"/>
              </w:rPr>
              <w:t>(i)</w:t>
            </w:r>
            <w:r>
              <w:rPr>
                <w:noProof/>
                <w:sz w:val="20"/>
              </w:rPr>
              <w:tab/>
              <w:t xml:space="preserve">transporte marítimo, aviação comercial e lançamento e transporte espacial (incluindo satélites), devendo esse seguro cobrir um ou todos os seguintes elementos: as mercadorias objeto do transporte, o veículo que transporta essas mercadorias e a responsabilidade civil correspondente; e </w:t>
            </w:r>
          </w:p>
          <w:p>
            <w:pPr>
              <w:jc w:val="left"/>
              <w:rPr>
                <w:noProof/>
                <w:sz w:val="20"/>
              </w:rPr>
            </w:pPr>
            <w:r>
              <w:rPr>
                <w:noProof/>
                <w:sz w:val="20"/>
              </w:rPr>
              <w:t>ii)</w:t>
            </w:r>
            <w:r>
              <w:rPr>
                <w:noProof/>
                <w:sz w:val="20"/>
              </w:rPr>
              <w:tab/>
              <w:t>mercadorias em trânsito internacional.</w:t>
            </w:r>
          </w:p>
          <w:p>
            <w:pPr>
              <w:jc w:val="left"/>
              <w:rPr>
                <w:noProof/>
                <w:sz w:val="20"/>
              </w:rPr>
            </w:pPr>
            <w:r>
              <w:rPr>
                <w:noProof/>
                <w:sz w:val="20"/>
              </w:rPr>
              <w:t>AT: São proibidas as atividades de promoção e a intermediação em nome de uma filial não estabelecida na União Europeia ou de uma sucursal não estabelecida na Áustria (exceto em matéria de resseguro e de retrocessão). Os seguros obrigatórios de transporte aéreo, exceto para seguros de transporte aéreo comercial, só podem ser subscritos junto de uma filial estabelecida na União Europeia ou de uma sucursal estabelecida na Áustria. Se forem subscritos junto de uma filial não estabelecida na União Europeia ou de uma sucursal não estabelecida na Áustria, os contratos de seguro estão sujeitos a uma taxa de prémio de seguro mais elevada (exceto os contratos de resseguro e retrocessão). Podem ser concedidas derrogações a esta regra.</w:t>
            </w:r>
          </w:p>
          <w:p>
            <w:pPr>
              <w:jc w:val="left"/>
              <w:rPr>
                <w:noProof/>
                <w:sz w:val="20"/>
              </w:rPr>
            </w:pPr>
            <w:r>
              <w:rPr>
                <w:noProof/>
                <w:sz w:val="20"/>
              </w:rPr>
              <w:t>DK: O seguro obrigatório de transporte aéreo só pode ser subscrito por empresas estabelecidas na União Europeia. Nenhuma pessoa ou empresa (incluindo as companhias de seguros) pode, para fins comerciais, participar na execução de contratos de seguro direto para pessoas residentes na Dinamarca, navios dinamarqueses ou propriedades situadas na Dinamarca, excetuando as companhias de seguros autorizadas pela legislação dinamarquesa ou pelas autoridades dinamarquesas competentes.</w:t>
            </w:r>
          </w:p>
          <w:p>
            <w:pPr>
              <w:jc w:val="left"/>
              <w:rPr>
                <w:noProof/>
                <w:sz w:val="20"/>
              </w:rPr>
            </w:pPr>
            <w:r>
              <w:rPr>
                <w:noProof/>
                <w:sz w:val="20"/>
              </w:rPr>
              <w:t>DE: As apólices de seguro obrigatório de transporte aéreo só podem ser subscritas junto de uma filial estabelecida na União Europeia ou de uma sucursal estabelecida na Alemanha. Se uma companhia de seguros estrangeira tiver estabelecido uma sucursal na Alemanha, só pode celebrar contratos de seguro na Alemanha relacionados com o transporte internacional através dessa sucursal.</w:t>
            </w:r>
          </w:p>
          <w:p>
            <w:pPr>
              <w:jc w:val="left"/>
              <w:rPr>
                <w:noProof/>
                <w:sz w:val="20"/>
              </w:rPr>
            </w:pPr>
            <w:r>
              <w:rPr>
                <w:noProof/>
                <w:sz w:val="20"/>
              </w:rPr>
              <w:t>FR: O seguro de riscos relacionados com o transporte terrestre só pode ser efetuado por companhias de seguros estabelecidas na União Europeia.</w:t>
            </w:r>
          </w:p>
          <w:p>
            <w:pPr>
              <w:jc w:val="left"/>
              <w:rPr>
                <w:noProof/>
                <w:sz w:val="20"/>
              </w:rPr>
            </w:pPr>
            <w:r>
              <w:rPr>
                <w:noProof/>
                <w:sz w:val="20"/>
              </w:rPr>
              <w:t>PL: Não consolidado para resseguro e retrocessão, exceto para riscos relacionados com mercadorias no âmbito do comércio internacional.</w:t>
            </w:r>
          </w:p>
        </w:tc>
      </w:tr>
      <w:tr>
        <w:trPr>
          <w:trHeight w:val="9113"/>
          <w:jc w:val="center"/>
        </w:trPr>
        <w:tc>
          <w:tcPr>
            <w:tcW w:w="3114" w:type="dxa"/>
            <w:vMerge w:val="restart"/>
          </w:tcPr>
          <w:p>
            <w:pPr>
              <w:pageBreakBefore/>
              <w:rPr>
                <w:noProof/>
                <w:sz w:val="20"/>
              </w:rPr>
            </w:pPr>
          </w:p>
        </w:tc>
        <w:tc>
          <w:tcPr>
            <w:tcW w:w="6525" w:type="dxa"/>
          </w:tcPr>
          <w:p>
            <w:pPr>
              <w:jc w:val="left"/>
              <w:rPr>
                <w:noProof/>
                <w:sz w:val="20"/>
              </w:rPr>
            </w:pPr>
            <w:r>
              <w:rPr>
                <w:noProof/>
                <w:sz w:val="20"/>
              </w:rPr>
              <w:t>PT: O seguro de transporte aéreo e marítimo (mercadorias, aeronaves, cascos e responsabilidade civil) só pode ser subscrito junto de companhias estabelecidas na União Europeia; apenas pessoas singulares ou coletivas estabelecidas na União Europeia podem servir de intermediários nessas operações de seguros em Portugal.</w:t>
            </w:r>
          </w:p>
          <w:p>
            <w:pPr>
              <w:jc w:val="left"/>
              <w:rPr>
                <w:noProof/>
                <w:sz w:val="20"/>
              </w:rPr>
            </w:pPr>
            <w:r>
              <w:rPr>
                <w:noProof/>
                <w:sz w:val="20"/>
              </w:rPr>
              <w:t>RO: O resseguro no mercado internacional só é autorizado se o risco ressegurado não puder ser colocado no mercado nacional.</w:t>
            </w:r>
          </w:p>
          <w:p>
            <w:pPr>
              <w:jc w:val="left"/>
              <w:rPr>
                <w:noProof/>
                <w:sz w:val="20"/>
              </w:rPr>
            </w:pPr>
            <w:r>
              <w:rPr>
                <w:noProof/>
                <w:sz w:val="20"/>
              </w:rPr>
              <w:t>ES: Para serviços atuariais, requisito de residência e três anos de experiência relevante.</w:t>
            </w:r>
          </w:p>
          <w:p>
            <w:pPr>
              <w:jc w:val="left"/>
              <w:rPr>
                <w:noProof/>
                <w:sz w:val="20"/>
              </w:rPr>
            </w:pPr>
            <w:r>
              <w:rPr>
                <w:noProof/>
                <w:sz w:val="20"/>
              </w:rPr>
              <w:t>Para o Modo 1</w:t>
            </w:r>
          </w:p>
          <w:p>
            <w:pPr>
              <w:jc w:val="left"/>
              <w:rPr>
                <w:noProof/>
                <w:sz w:val="20"/>
              </w:rPr>
            </w:pPr>
            <w:r>
              <w:rPr>
                <w:noProof/>
                <w:sz w:val="20"/>
              </w:rPr>
              <w:t>AT, BE, CZ, DE, DK, ES, FI, FR, EL, HU, IE, IT, LU, NL, PT, RO, SK, SE, SI, UK: Não consolidado para serviços de seguros diretos, exceto para seguros de intermediação de riscos relacionados com:</w:t>
            </w:r>
          </w:p>
          <w:p>
            <w:pPr>
              <w:ind w:left="567" w:hanging="567"/>
              <w:jc w:val="left"/>
              <w:rPr>
                <w:noProof/>
                <w:sz w:val="20"/>
              </w:rPr>
            </w:pPr>
            <w:r>
              <w:rPr>
                <w:noProof/>
                <w:sz w:val="20"/>
              </w:rPr>
              <w:t>(i)</w:t>
            </w:r>
            <w:r>
              <w:rPr>
                <w:noProof/>
                <w:sz w:val="20"/>
              </w:rPr>
              <w:tab/>
              <w:t>transporte marítimo, aviação comercial e lançamento e transporte espacial (incluindo satélites), devendo esse seguro cobrir um ou todos os seguintes elementos: as mercadorias objeto do transporte, o veículo que transporta essas mercadorias e a responsabilidade civil correspondente; e</w:t>
            </w:r>
          </w:p>
          <w:p>
            <w:pPr>
              <w:ind w:left="567" w:hanging="567"/>
              <w:jc w:val="left"/>
              <w:rPr>
                <w:noProof/>
                <w:sz w:val="20"/>
              </w:rPr>
            </w:pPr>
            <w:r>
              <w:rPr>
                <w:noProof/>
                <w:sz w:val="20"/>
              </w:rPr>
              <w:t>ii)</w:t>
            </w:r>
            <w:r>
              <w:rPr>
                <w:noProof/>
                <w:sz w:val="20"/>
              </w:rPr>
              <w:tab/>
              <w:t>mercadorias em trânsito internacional.</w:t>
            </w:r>
          </w:p>
          <w:p>
            <w:pPr>
              <w:jc w:val="left"/>
              <w:rPr>
                <w:noProof/>
                <w:sz w:val="20"/>
              </w:rPr>
            </w:pPr>
            <w:r>
              <w:rPr>
                <w:noProof/>
                <w:sz w:val="20"/>
              </w:rPr>
              <w:t>BG: Não consolidado para seguros diretos, exceto para serviços prestados por prestadores estrangeiros a pessoas estrangeiras no território da República da Bulgária. O seguro de transporte de mercadorias, o seguro de veículos propriamente ditos e o seguro de responsabilidade civil contra riscos ocorridos na República da Bulgária não podem ser subscritos diretamente junto de companhias de seguros estrangeiras. Uma companhia de seguros estrangeira só pode celebrar contratos de seguros através de uma sucursal. Não consolidado para seguro de depósitos e regimes de compensação análogos, bem como para regimes de seguros obrigatórios.</w:t>
            </w:r>
          </w:p>
          <w:p>
            <w:pPr>
              <w:jc w:val="left"/>
              <w:rPr>
                <w:noProof/>
                <w:sz w:val="20"/>
              </w:rPr>
            </w:pPr>
            <w:r>
              <w:rPr>
                <w:noProof/>
                <w:sz w:val="20"/>
              </w:rPr>
              <w:t>CY, LV, MT: Não consolidado para serviços de seguros diretos, exceto para seguros de riscos relacionados com:</w:t>
            </w:r>
          </w:p>
          <w:p>
            <w:pPr>
              <w:ind w:left="567" w:hanging="567"/>
              <w:jc w:val="left"/>
              <w:rPr>
                <w:noProof/>
                <w:sz w:val="20"/>
              </w:rPr>
            </w:pPr>
            <w:r>
              <w:rPr>
                <w:noProof/>
                <w:sz w:val="20"/>
              </w:rPr>
              <w:t>(i)</w:t>
            </w:r>
            <w:r>
              <w:rPr>
                <w:noProof/>
                <w:sz w:val="20"/>
              </w:rPr>
              <w:tab/>
              <w:t xml:space="preserve">transporte marítimo, aviação comercial e lançamento e transporte espacial (incluindo satélites), devendo esse seguro cobrir um ou todos os seguintes elementos: as mercadorias objeto do transporte, o veículo que transporta essas mercadorias e a responsabilidade civil correspondente; e </w:t>
            </w:r>
          </w:p>
          <w:p>
            <w:pPr>
              <w:jc w:val="left"/>
              <w:rPr>
                <w:noProof/>
                <w:sz w:val="20"/>
              </w:rPr>
            </w:pPr>
            <w:r>
              <w:rPr>
                <w:noProof/>
                <w:sz w:val="20"/>
              </w:rPr>
              <w:t>ii)</w:t>
            </w:r>
            <w:r>
              <w:rPr>
                <w:noProof/>
                <w:sz w:val="20"/>
              </w:rPr>
              <w:tab/>
              <w:t>mercadorias em trânsito internacional.</w:t>
            </w:r>
          </w:p>
          <w:p>
            <w:pPr>
              <w:ind w:left="567" w:hanging="567"/>
              <w:jc w:val="left"/>
              <w:rPr>
                <w:noProof/>
                <w:sz w:val="20"/>
              </w:rPr>
            </w:pPr>
            <w:r>
              <w:rPr>
                <w:noProof/>
                <w:sz w:val="20"/>
              </w:rPr>
              <w:t>LT: Não consolidado para serviços de seguros diretos, exceto para seguros de riscos relacionados com:</w:t>
            </w:r>
          </w:p>
          <w:p>
            <w:pPr>
              <w:ind w:left="567" w:hanging="567"/>
              <w:jc w:val="left"/>
              <w:rPr>
                <w:noProof/>
                <w:sz w:val="20"/>
              </w:rPr>
            </w:pPr>
            <w:r>
              <w:rPr>
                <w:noProof/>
                <w:sz w:val="20"/>
              </w:rPr>
              <w:t>(i)</w:t>
            </w:r>
            <w:r>
              <w:rPr>
                <w:noProof/>
                <w:sz w:val="20"/>
              </w:rPr>
              <w:tab/>
              <w:t xml:space="preserve">transporte marítimo, aviação comercial e lançamento e transporte espacial (incluindo satélites), devendo esse seguro cobrir um ou todos os seguintes elementos: as mercadorias objeto do transporte, o veículo que transporta essas mercadorias e a responsabilidade civil correspondente; e </w:t>
            </w:r>
          </w:p>
          <w:p>
            <w:pPr>
              <w:ind w:left="567" w:hanging="567"/>
              <w:jc w:val="left"/>
              <w:rPr>
                <w:noProof/>
                <w:sz w:val="20"/>
              </w:rPr>
            </w:pPr>
            <w:r>
              <w:rPr>
                <w:noProof/>
                <w:sz w:val="20"/>
              </w:rPr>
              <w:t>ii)</w:t>
            </w:r>
            <w:r>
              <w:rPr>
                <w:noProof/>
                <w:sz w:val="20"/>
              </w:rPr>
              <w:tab/>
              <w:t>mercadorias em trânsito internacional, exceto relacionados com o transporte por terra quando o risco se situa na Lituânia.</w:t>
            </w:r>
          </w:p>
        </w:tc>
      </w:tr>
      <w:tr>
        <w:trPr>
          <w:trHeight w:val="7888"/>
          <w:jc w:val="center"/>
        </w:trPr>
        <w:tc>
          <w:tcPr>
            <w:tcW w:w="3114" w:type="dxa"/>
            <w:vMerge/>
          </w:tcPr>
          <w:p>
            <w:pPr>
              <w:pageBreakBefore/>
              <w:rPr>
                <w:noProof/>
                <w:sz w:val="20"/>
              </w:rPr>
            </w:pPr>
          </w:p>
        </w:tc>
        <w:tc>
          <w:tcPr>
            <w:tcW w:w="6525" w:type="dxa"/>
          </w:tcPr>
          <w:p>
            <w:pPr>
              <w:jc w:val="left"/>
              <w:rPr>
                <w:noProof/>
                <w:sz w:val="20"/>
              </w:rPr>
            </w:pPr>
            <w:r>
              <w:rPr>
                <w:noProof/>
                <w:sz w:val="20"/>
              </w:rPr>
              <w:t>BG, LV, LT, PL: Não consolidado para intermediação de seguros.</w:t>
            </w:r>
          </w:p>
          <w:p>
            <w:pPr>
              <w:jc w:val="left"/>
              <w:rPr>
                <w:noProof/>
                <w:sz w:val="20"/>
              </w:rPr>
            </w:pPr>
            <w:r>
              <w:rPr>
                <w:noProof/>
                <w:sz w:val="20"/>
              </w:rPr>
              <w:t>FI: Só as seguradoras que tenham a sede na União Europeia ou uma sucursal na Finlândia podem oferecer serviços de seguros diretos (incluindo cosseguros). A prestação de serviços de corretagem de seguros está subordinada à existência de um estabelecimento permanente na União Europeia.</w:t>
            </w:r>
          </w:p>
          <w:p>
            <w:pPr>
              <w:jc w:val="left"/>
              <w:rPr>
                <w:noProof/>
                <w:sz w:val="20"/>
              </w:rPr>
            </w:pPr>
            <w:r>
              <w:rPr>
                <w:noProof/>
                <w:sz w:val="20"/>
              </w:rPr>
              <w:t>HR: Não consolidado para serviços de seguros diretos e serviços de intermediação de seguros diretos, exceto</w:t>
            </w:r>
          </w:p>
          <w:p>
            <w:pPr>
              <w:jc w:val="left"/>
              <w:rPr>
                <w:noProof/>
                <w:sz w:val="20"/>
              </w:rPr>
            </w:pPr>
            <w:r>
              <w:rPr>
                <w:noProof/>
                <w:sz w:val="20"/>
              </w:rPr>
              <w:t>a) seguros de vida: para a prestação de seguros de vida a pessoas estrangeiras residentes na Croácia;</w:t>
            </w:r>
          </w:p>
          <w:p>
            <w:pPr>
              <w:jc w:val="left"/>
              <w:rPr>
                <w:noProof/>
                <w:sz w:val="20"/>
              </w:rPr>
            </w:pPr>
            <w:r>
              <w:rPr>
                <w:noProof/>
                <w:sz w:val="20"/>
              </w:rPr>
              <w:t>b) seguros não vida: para a prestação de seguros não vida a pessoas estrangeiras residentes na Croácia, que não responsabilidade civil automóvel</w:t>
            </w:r>
          </w:p>
          <w:p>
            <w:pPr>
              <w:jc w:val="left"/>
              <w:rPr>
                <w:noProof/>
                <w:sz w:val="20"/>
              </w:rPr>
            </w:pPr>
            <w:r>
              <w:rPr>
                <w:noProof/>
                <w:sz w:val="20"/>
              </w:rPr>
              <w:t xml:space="preserve">c) marinha, aviação, transporte. </w:t>
            </w:r>
          </w:p>
          <w:p>
            <w:pPr>
              <w:autoSpaceDE w:val="0"/>
              <w:autoSpaceDN w:val="0"/>
              <w:adjustRightInd w:val="0"/>
              <w:jc w:val="left"/>
              <w:rPr>
                <w:noProof/>
                <w:sz w:val="20"/>
              </w:rPr>
            </w:pPr>
            <w:r>
              <w:rPr>
                <w:noProof/>
                <w:sz w:val="20"/>
              </w:rPr>
              <w:t>HU: A prestação de serviços de seguros diretos no território da Hungria por companhias de seguros não estabelecidas na União Europeia só é permitida através de uma sucursal registada na Hungria.</w:t>
            </w:r>
          </w:p>
          <w:p>
            <w:pPr>
              <w:jc w:val="left"/>
              <w:rPr>
                <w:noProof/>
                <w:sz w:val="20"/>
              </w:rPr>
            </w:pPr>
            <w:r>
              <w:rPr>
                <w:noProof/>
                <w:sz w:val="20"/>
              </w:rPr>
              <w:t>IT: Não consolidado para a profissão atuarial. O seguro de transportes de mercadorias, o seguro de veículos e de responsabilidade civil contra riscos registados na Itália só podem ser subscritos junto de companhias de seguros estabelecidas na União Europeia. Esta reserva não se aplica aos transportes internacionais que assegurem importações para a Itália.</w:t>
            </w:r>
          </w:p>
          <w:p>
            <w:pPr>
              <w:jc w:val="left"/>
              <w:rPr>
                <w:noProof/>
                <w:sz w:val="20"/>
              </w:rPr>
            </w:pPr>
            <w:r>
              <w:rPr>
                <w:noProof/>
                <w:sz w:val="20"/>
              </w:rPr>
              <w:t>SE: A oferta de seguros diretos só é permitida através de uma companhia de seguros autorizada na Suécia, desde que o prestador de serviços estrangeiro e a companhia de seguros sueca pertençam ao mesmo grupo de empresas ou tenham celebrado entre si um acordo de cooperação.</w:t>
            </w:r>
          </w:p>
          <w:p>
            <w:pPr>
              <w:jc w:val="left"/>
              <w:rPr>
                <w:noProof/>
                <w:sz w:val="20"/>
              </w:rPr>
            </w:pPr>
          </w:p>
          <w:p>
            <w:pPr>
              <w:jc w:val="left"/>
              <w:rPr>
                <w:noProof/>
                <w:sz w:val="20"/>
              </w:rPr>
            </w:pPr>
            <w:r>
              <w:rPr>
                <w:noProof/>
                <w:sz w:val="20"/>
              </w:rPr>
              <w:t>Para o Modo 2</w:t>
            </w:r>
          </w:p>
          <w:p>
            <w:pPr>
              <w:jc w:val="left"/>
              <w:rPr>
                <w:noProof/>
                <w:sz w:val="20"/>
              </w:rPr>
            </w:pPr>
            <w:r>
              <w:rPr>
                <w:noProof/>
                <w:sz w:val="20"/>
              </w:rPr>
              <w:t>AT, BE, BG, CZ, CY, DE, DK, ES, FI, FR, EL, HU, IE, IT, LU, MT, NL, PL, PT, RO, SK, SE, SI, UK: Não consolidado para intermediação.</w:t>
            </w:r>
          </w:p>
          <w:p>
            <w:pPr>
              <w:jc w:val="left"/>
              <w:rPr>
                <w:noProof/>
                <w:sz w:val="20"/>
              </w:rPr>
            </w:pPr>
            <w:r>
              <w:rPr>
                <w:noProof/>
                <w:sz w:val="20"/>
              </w:rPr>
              <w:t>BG: Para seguros diretos, as pessoas singulares e as pessoas coletivas búlgaras, bem como os estrangeiros com atividade empresarial no território da República da Bulgária, só podem celebrar contratos de seguro relativamente à sua atividade na Bulgária com prestadores autorizados a exercer atividades de seguros na Bulgária. As indemnizações de seguro resultantes destes contratos são pagas na Bulgária. Não consolidado para seguro de depósitos e regimes de compensação análogos, bem como para regimes de seguros obrigatórios.</w:t>
            </w:r>
          </w:p>
          <w:p>
            <w:pPr>
              <w:jc w:val="left"/>
              <w:rPr>
                <w:noProof/>
                <w:sz w:val="20"/>
              </w:rPr>
            </w:pPr>
            <w:r>
              <w:rPr>
                <w:noProof/>
                <w:sz w:val="20"/>
              </w:rPr>
              <w:t>HR: Não consolidado para serviços de seguros diretos e serviços de intermediação de seguros diretos, exceto</w:t>
            </w:r>
          </w:p>
          <w:p>
            <w:pPr>
              <w:jc w:val="left"/>
              <w:rPr>
                <w:noProof/>
                <w:sz w:val="20"/>
              </w:rPr>
            </w:pPr>
            <w:r>
              <w:rPr>
                <w:noProof/>
                <w:sz w:val="20"/>
              </w:rPr>
              <w:t>a) seguros de vida: para a capacidade de pessoas estrangeiras residentes na Croácia obterem um seguro de vida;</w:t>
            </w:r>
          </w:p>
          <w:p>
            <w:pPr>
              <w:jc w:val="left"/>
              <w:rPr>
                <w:noProof/>
                <w:sz w:val="20"/>
              </w:rPr>
            </w:pPr>
            <w:r>
              <w:rPr>
                <w:noProof/>
                <w:sz w:val="20"/>
              </w:rPr>
              <w:t xml:space="preserve">b) seguros não vida: </w:t>
            </w:r>
          </w:p>
          <w:p>
            <w:pPr>
              <w:jc w:val="left"/>
              <w:rPr>
                <w:noProof/>
                <w:sz w:val="20"/>
              </w:rPr>
            </w:pPr>
            <w:r>
              <w:rPr>
                <w:noProof/>
                <w:sz w:val="20"/>
              </w:rPr>
              <w:tab/>
              <w:t xml:space="preserve">i) para a capacidade de pessoas estrangeiras residentes na Croácia obterem um seguro não vida, que não responsabilidade civil automóvel; </w:t>
            </w:r>
          </w:p>
          <w:p>
            <w:pPr>
              <w:jc w:val="left"/>
              <w:rPr>
                <w:noProof/>
                <w:sz w:val="20"/>
              </w:rPr>
            </w:pPr>
            <w:r>
              <w:rPr>
                <w:noProof/>
                <w:sz w:val="20"/>
              </w:rPr>
              <w:tab/>
              <w:t>(ii) - seguros contra riscos pessoais ou de propriedade não disponíveis na Croácia; - empresas que subscrevem seguros no estrangeiro, em ligação com obras de investimento no estrangeiro, incluindo o equipamento para essas obras; - para segurar o retorno de empréstimos estrangeiros (seguro de garantia); - seguros pessoais e de propriedade de empresas detidas a 100 % e empresas comuns que exercem uma atividade económica num país estrangeiro, se tal corresponder à regulamentação desse país ou for requerido para o seu registo; - navios em construção e reparação, se tal for estipulado pelo contrato celebrado com o cliente (comprador) estrangeiro;</w:t>
            </w:r>
          </w:p>
          <w:p>
            <w:pPr>
              <w:jc w:val="left"/>
              <w:rPr>
                <w:noProof/>
                <w:sz w:val="20"/>
              </w:rPr>
            </w:pPr>
            <w:r>
              <w:rPr>
                <w:noProof/>
                <w:sz w:val="20"/>
              </w:rPr>
              <w:t xml:space="preserve">c) marinha, aviação, transporte. </w:t>
            </w:r>
          </w:p>
          <w:p>
            <w:pPr>
              <w:jc w:val="left"/>
              <w:rPr>
                <w:noProof/>
                <w:sz w:val="20"/>
              </w:rPr>
            </w:pPr>
            <w:r>
              <w:rPr>
                <w:noProof/>
                <w:sz w:val="20"/>
              </w:rPr>
              <w:t>IT: O seguro de transportes de mercadorias, o seguro de veículos e de responsabilidade civil contra riscos registados na Itália só podem ser subscritos junto de companhias de seguros estabelecidas na União Europeia. Esta reserva não se aplica aos transportes internacionais que assegurem importações para a Itália.</w:t>
            </w:r>
          </w:p>
        </w:tc>
      </w:tr>
      <w:tr>
        <w:trPr>
          <w:trHeight w:val="8941"/>
          <w:jc w:val="center"/>
        </w:trPr>
        <w:tc>
          <w:tcPr>
            <w:tcW w:w="3114" w:type="dxa"/>
          </w:tcPr>
          <w:p>
            <w:pPr>
              <w:pageBreakBefore/>
              <w:jc w:val="left"/>
              <w:rPr>
                <w:noProof/>
                <w:sz w:val="20"/>
              </w:rPr>
            </w:pPr>
            <w:r>
              <w:rPr>
                <w:noProof/>
                <w:sz w:val="20"/>
              </w:rPr>
              <w:t>B. Serviços bancários e outros serviços financeiros (excluindo seguros)</w:t>
            </w:r>
          </w:p>
          <w:p>
            <w:pPr>
              <w:rPr>
                <w:noProof/>
                <w:sz w:val="20"/>
              </w:rPr>
            </w:pPr>
          </w:p>
        </w:tc>
        <w:tc>
          <w:tcPr>
            <w:tcW w:w="6525" w:type="dxa"/>
          </w:tcPr>
          <w:p>
            <w:pPr>
              <w:jc w:val="left"/>
              <w:rPr>
                <w:noProof/>
                <w:sz w:val="20"/>
              </w:rPr>
            </w:pPr>
            <w:r>
              <w:rPr>
                <w:noProof/>
                <w:sz w:val="20"/>
              </w:rPr>
              <w:t>Para o Modo 1</w:t>
            </w:r>
          </w:p>
          <w:p>
            <w:pPr>
              <w:jc w:val="left"/>
              <w:rPr>
                <w:noProof/>
                <w:sz w:val="20"/>
              </w:rPr>
            </w:pPr>
            <w:r>
              <w:rPr>
                <w:noProof/>
                <w:sz w:val="20"/>
              </w:rPr>
              <w:t>AT, BE, BG, CZ, DE, DK, ES, FI, FR, EL, HU, IE, IT, LU, NL, PL, PT, SK, SE, UK: Não consolidado, exceto para a prestação de informações financeiras e o processamento de dados financeiros, bem como para serviços de consultoria e outros serviços auxiliares excluindo intermediação.</w:t>
            </w:r>
          </w:p>
          <w:p>
            <w:pPr>
              <w:jc w:val="left"/>
              <w:rPr>
                <w:noProof/>
                <w:sz w:val="20"/>
              </w:rPr>
            </w:pPr>
            <w:r>
              <w:rPr>
                <w:noProof/>
                <w:sz w:val="20"/>
              </w:rPr>
              <w:t>BE: A prestação de serviços de consultoria em matéria de investimento está sujeita ao estabelecimento na Bélgica.</w:t>
            </w:r>
          </w:p>
          <w:p>
            <w:pPr>
              <w:jc w:val="left"/>
              <w:rPr>
                <w:noProof/>
                <w:sz w:val="20"/>
              </w:rPr>
            </w:pPr>
            <w:r>
              <w:rPr>
                <w:noProof/>
                <w:sz w:val="20"/>
              </w:rPr>
              <w:t>BG: Podem ser aplicáveis limitações e condições relativamente à utilização da rede de telecomunicações.</w:t>
            </w:r>
          </w:p>
          <w:p>
            <w:pPr>
              <w:jc w:val="left"/>
              <w:rPr>
                <w:noProof/>
                <w:sz w:val="20"/>
              </w:rPr>
            </w:pPr>
            <w:r>
              <w:rPr>
                <w:noProof/>
                <w:sz w:val="20"/>
              </w:rPr>
              <w:t>CY: Não consolidado, exceto para o comércio de valores mobiliários transferíveis, para a prestação de informações financeiras e o processamento de dados financeiros, bem como para serviços de consultoria e outros serviços auxiliares excluindo intermediação.</w:t>
            </w:r>
          </w:p>
          <w:p>
            <w:pPr>
              <w:jc w:val="left"/>
              <w:rPr>
                <w:noProof/>
                <w:sz w:val="20"/>
              </w:rPr>
            </w:pPr>
            <w:r>
              <w:rPr>
                <w:noProof/>
                <w:sz w:val="20"/>
              </w:rPr>
              <w:t>EE: Para a aceitação de depósitos, é necessária uma autorização da Autoridade de supervisão financeira da Estónia e a constituição de uma sociedade por ações, de uma filial ou de uma sucursal, em conformidade com a legislação da Estónia.</w:t>
            </w:r>
          </w:p>
          <w:p>
            <w:pPr>
              <w:pStyle w:val="Text1"/>
              <w:spacing w:before="0" w:after="0"/>
              <w:ind w:left="0"/>
              <w:jc w:val="left"/>
              <w:rPr>
                <w:noProof/>
                <w:sz w:val="20"/>
              </w:rPr>
            </w:pPr>
            <w:r>
              <w:rPr>
                <w:noProof/>
                <w:sz w:val="20"/>
              </w:rPr>
              <w:t>EE: É necessário o estabelecimento de uma empresa de gestão especializada para efetuar as atividades de gestão dos fundos de investimento, e só as empresas com sede social na União Europeia podem atuar como depositárias dos ativos dos fundos de investimento.</w:t>
            </w:r>
          </w:p>
          <w:p>
            <w:pPr>
              <w:pStyle w:val="NumPar1"/>
              <w:numPr>
                <w:ilvl w:val="0"/>
                <w:numId w:val="0"/>
              </w:numPr>
              <w:jc w:val="left"/>
              <w:rPr>
                <w:i/>
                <w:noProof/>
                <w:sz w:val="20"/>
              </w:rPr>
            </w:pPr>
            <w:r>
              <w:rPr>
                <w:noProof/>
                <w:sz w:val="20"/>
                <w:szCs w:val="20"/>
              </w:rPr>
              <w:t xml:space="preserve"> HR:</w:t>
            </w:r>
            <w:r>
              <w:rPr>
                <w:noProof/>
                <w:sz w:val="20"/>
              </w:rPr>
              <w:t xml:space="preserve"> Não consolidado, exceto para concessão de empréstimos, locação financeira, serviços de pagamento e de transferências monetárias, garantias e compromissos, corretagem monetária, prestação e transferência de informações financeiras e de serviços de consultoria, e outros serviços financeiros auxiliares, excluindo intermediação.</w:t>
            </w:r>
          </w:p>
          <w:p>
            <w:pPr>
              <w:pStyle w:val="Text1"/>
              <w:spacing w:before="0" w:after="0"/>
              <w:ind w:left="0"/>
              <w:jc w:val="left"/>
              <w:rPr>
                <w:noProof/>
                <w:sz w:val="20"/>
              </w:rPr>
            </w:pPr>
            <w:r>
              <w:rPr>
                <w:noProof/>
                <w:sz w:val="20"/>
              </w:rPr>
              <w:t>LT: É necessário o estabelecimento de uma empresa de gestão especializada para efetuar a gestão dos fundos de investimento e das sociedades de investimento e só as empresas com sede social na União Europeia podem atuar como depositárias dos ativos dos fundos de investimento.</w:t>
            </w:r>
          </w:p>
          <w:p>
            <w:pPr>
              <w:pStyle w:val="Text1"/>
              <w:spacing w:before="0" w:after="0"/>
              <w:ind w:left="0"/>
              <w:jc w:val="left"/>
              <w:rPr>
                <w:noProof/>
                <w:sz w:val="20"/>
              </w:rPr>
            </w:pPr>
            <w:r>
              <w:rPr>
                <w:noProof/>
                <w:sz w:val="20"/>
              </w:rPr>
              <w:t xml:space="preserve">IE: Para a prestação de serviços de investimento ou de consultoria sobre investimentos é necessário: </w:t>
            </w:r>
          </w:p>
          <w:p>
            <w:pPr>
              <w:pStyle w:val="Text1"/>
              <w:spacing w:before="0" w:after="0"/>
              <w:ind w:left="567" w:hanging="567"/>
              <w:jc w:val="left"/>
              <w:rPr>
                <w:noProof/>
                <w:sz w:val="20"/>
                <w:szCs w:val="20"/>
              </w:rPr>
            </w:pPr>
            <w:r>
              <w:rPr>
                <w:noProof/>
                <w:sz w:val="20"/>
                <w:szCs w:val="20"/>
              </w:rPr>
              <w:t>I)</w:t>
            </w:r>
            <w:r>
              <w:rPr>
                <w:noProof/>
                <w:sz w:val="20"/>
                <w:szCs w:val="20"/>
              </w:rPr>
              <w:tab/>
              <w:t xml:space="preserve">obter uma autorização na Irlanda, sendo neste caso exigida a constituição em sociedade ou parceria ou sociedade unipessoal, e sempre com estabelecimento principal/registo na Irlanda (a autorização poderá ser dispensada em certos casos, por exemplo, se o prestador de serviços de um país terceiro não tiver presença comercial na Irlanda e se o serviço não for prestado a particulares), ou </w:t>
            </w:r>
          </w:p>
          <w:p>
            <w:pPr>
              <w:pStyle w:val="Text1"/>
              <w:spacing w:before="0" w:after="0"/>
              <w:ind w:left="567" w:hanging="567"/>
              <w:jc w:val="left"/>
              <w:rPr>
                <w:noProof/>
                <w:sz w:val="20"/>
                <w:szCs w:val="20"/>
              </w:rPr>
            </w:pPr>
            <w:r>
              <w:rPr>
                <w:noProof/>
                <w:sz w:val="20"/>
                <w:szCs w:val="20"/>
              </w:rPr>
              <w:t>II)</w:t>
            </w:r>
            <w:r>
              <w:rPr>
                <w:noProof/>
                <w:sz w:val="20"/>
                <w:szCs w:val="20"/>
              </w:rPr>
              <w:tab/>
            </w:r>
            <w:r>
              <w:rPr>
                <w:noProof/>
                <w:sz w:val="20"/>
              </w:rPr>
              <w:t>uma autorização de outro Estado-Membro da União Europeia em conformidade com a Diretiva da União Europeia relativa à prestação de serviços de investimento.</w:t>
            </w:r>
          </w:p>
          <w:p>
            <w:pPr>
              <w:jc w:val="left"/>
              <w:rPr>
                <w:noProof/>
                <w:sz w:val="20"/>
              </w:rPr>
            </w:pPr>
            <w:r>
              <w:rPr>
                <w:noProof/>
                <w:sz w:val="20"/>
              </w:rPr>
              <w:t>IT: Não consolidado para "promotori di servizi finanziari" (promotores de serviços financeiros).</w:t>
            </w:r>
          </w:p>
          <w:p>
            <w:pPr>
              <w:jc w:val="left"/>
              <w:rPr>
                <w:noProof/>
                <w:sz w:val="20"/>
              </w:rPr>
            </w:pPr>
            <w:r>
              <w:rPr>
                <w:noProof/>
                <w:sz w:val="20"/>
              </w:rPr>
              <w:t>LV: Não consolidado, exceto para a participação nas emissões de qualquer tipo de valores mobiliários, para a prestação de informações financeiras e o processamento de dados financeiros, bem como para serviços de consultoria e outros serviços auxiliares excluindo intermediação.</w:t>
            </w:r>
          </w:p>
          <w:p>
            <w:pPr>
              <w:jc w:val="left"/>
              <w:rPr>
                <w:noProof/>
                <w:sz w:val="20"/>
              </w:rPr>
            </w:pPr>
            <w:r>
              <w:rPr>
                <w:noProof/>
                <w:sz w:val="20"/>
              </w:rPr>
              <w:t>LT: É requerida a presença comercial para a gestão de fundos de pensão.</w:t>
            </w:r>
          </w:p>
          <w:p>
            <w:pPr>
              <w:jc w:val="left"/>
              <w:rPr>
                <w:noProof/>
                <w:sz w:val="20"/>
              </w:rPr>
            </w:pPr>
            <w:r>
              <w:rPr>
                <w:noProof/>
                <w:sz w:val="20"/>
              </w:rPr>
              <w:t xml:space="preserve">MT: Não consolidado, exceto para a aceitação de depósitos, para a concessão de empréstimos de qualquer tipo, para a prestação de informações financeiras e o processamento de dados financeiros, bem como para serviços de consultoria e outros serviços auxiliares excluindo intermediação. </w:t>
            </w:r>
          </w:p>
        </w:tc>
      </w:tr>
      <w:tr>
        <w:trPr>
          <w:trHeight w:val="4492"/>
          <w:jc w:val="center"/>
        </w:trPr>
        <w:tc>
          <w:tcPr>
            <w:tcW w:w="3114" w:type="dxa"/>
          </w:tcPr>
          <w:p>
            <w:pPr>
              <w:pageBreakBefore/>
              <w:rPr>
                <w:noProof/>
                <w:sz w:val="20"/>
              </w:rPr>
            </w:pPr>
          </w:p>
        </w:tc>
        <w:tc>
          <w:tcPr>
            <w:tcW w:w="6525" w:type="dxa"/>
          </w:tcPr>
          <w:p>
            <w:pPr>
              <w:jc w:val="left"/>
              <w:rPr>
                <w:noProof/>
                <w:sz w:val="20"/>
              </w:rPr>
            </w:pPr>
            <w:r>
              <w:rPr>
                <w:noProof/>
                <w:sz w:val="20"/>
              </w:rPr>
              <w:t>PL: Para a prestação e transferência de informações financeiras, processamento de dados financeiros e software conexo: É exigida a utilização da rede pública de telecomunicações ou da rede de outro operador autorizado, em caso de prestação transfronteiriça destes serviços.</w:t>
            </w:r>
          </w:p>
          <w:p>
            <w:pPr>
              <w:jc w:val="left"/>
              <w:rPr>
                <w:noProof/>
                <w:sz w:val="20"/>
              </w:rPr>
            </w:pPr>
            <w:r>
              <w:rPr>
                <w:noProof/>
                <w:sz w:val="20"/>
              </w:rPr>
              <w:t>RO: Não consolidado para a locação financeira, para o comércio de instrumentos do mercado monetário, operações cambiais, produtos derivados, instrumentos de taxa de câmbio e de taxa de juro, valores mobiliários transferíveis e outros instrumentos e ativos financeiros transacionáveis, para a participação na emissão de qualquer tipo de títulos, para a gestão de ativos e serviços de liquidação e de compensação de ativos financeiros. Serviços de pagamentos e transferências monetárias são permitidos apenas através de um banco residente.</w:t>
            </w:r>
          </w:p>
          <w:p>
            <w:pPr>
              <w:jc w:val="left"/>
              <w:rPr>
                <w:noProof/>
                <w:sz w:val="20"/>
              </w:rPr>
            </w:pPr>
            <w:r>
              <w:rPr>
                <w:noProof/>
                <w:sz w:val="20"/>
              </w:rPr>
              <w:t xml:space="preserve">SI: </w:t>
            </w:r>
          </w:p>
          <w:p>
            <w:pPr>
              <w:ind w:left="567" w:hanging="567"/>
              <w:jc w:val="left"/>
              <w:rPr>
                <w:noProof/>
                <w:sz w:val="20"/>
              </w:rPr>
            </w:pPr>
            <w:r>
              <w:rPr>
                <w:noProof/>
                <w:sz w:val="20"/>
              </w:rPr>
              <w:t>(1)</w:t>
            </w:r>
            <w:r>
              <w:rPr>
                <w:noProof/>
                <w:sz w:val="20"/>
              </w:rPr>
              <w:tab/>
              <w:t>Participação em emissões de obrigações do Tesouro, gestão de fundos de pensões: Não consolidado</w:t>
            </w:r>
          </w:p>
          <w:p>
            <w:pPr>
              <w:ind w:left="567" w:hanging="567"/>
              <w:jc w:val="left"/>
              <w:rPr>
                <w:noProof/>
                <w:sz w:val="20"/>
              </w:rPr>
            </w:pPr>
            <w:r>
              <w:rPr>
                <w:noProof/>
                <w:sz w:val="20"/>
              </w:rPr>
              <w:t>(2)</w:t>
            </w:r>
            <w:r>
              <w:rPr>
                <w:noProof/>
                <w:sz w:val="20"/>
              </w:rPr>
              <w:tab/>
              <w:t xml:space="preserve">Todos os subsetores, exceto prestação e transferência de informações financeiras, no que respeita à aceitação de créditos (empréstimos de qualquer tipo) e à aceitação de garantias e de cauções de instituições de crédito estrangeiras por parte de entidades jurídicas nacionais e de empresários em nome individual e aos serviços de consultoria e outros serviços financeiros auxiliares; Não consolidado </w:t>
            </w:r>
          </w:p>
          <w:p>
            <w:pPr>
              <w:jc w:val="left"/>
              <w:rPr>
                <w:noProof/>
                <w:sz w:val="20"/>
              </w:rPr>
            </w:pPr>
            <w:r>
              <w:rPr>
                <w:noProof/>
                <w:sz w:val="20"/>
              </w:rPr>
              <w:t>Os membros da Bolsa de Valores da Eslovénia devem estar constituídos em sociedade na República da Eslovénia ou ser sucursais de sociedades de investimento ou bancos estrangeiros.</w:t>
            </w:r>
          </w:p>
          <w:p>
            <w:pPr>
              <w:jc w:val="left"/>
              <w:rPr>
                <w:noProof/>
                <w:sz w:val="20"/>
              </w:rPr>
            </w:pPr>
            <w:r>
              <w:rPr>
                <w:noProof/>
                <w:sz w:val="20"/>
              </w:rPr>
              <w:t>Para o Modo 2</w:t>
            </w:r>
          </w:p>
          <w:p>
            <w:pPr>
              <w:jc w:val="left"/>
              <w:rPr>
                <w:noProof/>
                <w:sz w:val="20"/>
              </w:rPr>
            </w:pPr>
            <w:r>
              <w:rPr>
                <w:noProof/>
                <w:sz w:val="20"/>
              </w:rPr>
              <w:t>BG: Podem ser aplicáveis limitações e condições relativamente à utilização da rede de telecomunicações.</w:t>
            </w:r>
          </w:p>
          <w:p>
            <w:pPr>
              <w:jc w:val="left"/>
              <w:rPr>
                <w:noProof/>
                <w:sz w:val="20"/>
              </w:rPr>
            </w:pPr>
            <w:r>
              <w:rPr>
                <w:noProof/>
                <w:sz w:val="20"/>
              </w:rPr>
              <w:t xml:space="preserve">PL: Para a prestação e transferência de informações financeiras, processamento de dados financeiros e software conexo: Requisito de utilização da rede pública de telecomunicações ou da rede de outro operador autorizado. </w:t>
            </w:r>
          </w:p>
        </w:tc>
      </w:tr>
      <w:tr>
        <w:trPr>
          <w:jc w:val="center"/>
        </w:trPr>
        <w:tc>
          <w:tcPr>
            <w:tcW w:w="3114" w:type="dxa"/>
          </w:tcPr>
          <w:p>
            <w:pPr>
              <w:jc w:val="left"/>
              <w:rPr>
                <w:noProof/>
                <w:sz w:val="20"/>
              </w:rPr>
            </w:pPr>
            <w:r>
              <w:rPr>
                <w:noProof/>
                <w:sz w:val="20"/>
              </w:rPr>
              <w:t xml:space="preserve">8. SERVIÇOS DE SAÚDE E SERVIÇOS SOCIAIS </w:t>
            </w:r>
          </w:p>
          <w:p>
            <w:pPr>
              <w:jc w:val="left"/>
              <w:rPr>
                <w:noProof/>
                <w:sz w:val="20"/>
              </w:rPr>
            </w:pPr>
            <w:r>
              <w:rPr>
                <w:noProof/>
                <w:sz w:val="20"/>
              </w:rPr>
              <w:t>(apenas serviços financiados pelo setor privado)</w:t>
            </w:r>
          </w:p>
        </w:tc>
        <w:tc>
          <w:tcPr>
            <w:tcW w:w="6525" w:type="dxa"/>
          </w:tcPr>
          <w:p>
            <w:pPr>
              <w:jc w:val="left"/>
              <w:rPr>
                <w:noProof/>
                <w:sz w:val="20"/>
              </w:rPr>
            </w:pPr>
          </w:p>
        </w:tc>
      </w:tr>
      <w:tr>
        <w:trPr>
          <w:trHeight w:val="2605"/>
          <w:jc w:val="center"/>
        </w:trPr>
        <w:tc>
          <w:tcPr>
            <w:tcW w:w="3114" w:type="dxa"/>
          </w:tcPr>
          <w:p>
            <w:pPr>
              <w:pageBreakBefore/>
              <w:jc w:val="left"/>
              <w:rPr>
                <w:noProof/>
                <w:sz w:val="20"/>
              </w:rPr>
            </w:pPr>
            <w:r>
              <w:rPr>
                <w:noProof/>
                <w:sz w:val="20"/>
              </w:rPr>
              <w:t>A. Serviços hospitalares</w:t>
            </w:r>
          </w:p>
          <w:p>
            <w:pPr>
              <w:jc w:val="left"/>
              <w:rPr>
                <w:noProof/>
                <w:sz w:val="20"/>
              </w:rPr>
            </w:pPr>
            <w:r>
              <w:rPr>
                <w:noProof/>
                <w:sz w:val="20"/>
              </w:rPr>
              <w:t>(CPC 9311)</w:t>
            </w:r>
          </w:p>
          <w:p>
            <w:pPr>
              <w:jc w:val="left"/>
              <w:rPr>
                <w:noProof/>
                <w:sz w:val="20"/>
              </w:rPr>
            </w:pPr>
            <w:r>
              <w:rPr>
                <w:noProof/>
                <w:sz w:val="20"/>
              </w:rPr>
              <w:t>C. Serviços de saúde com alojamento que não serviços hospitalares</w:t>
            </w:r>
          </w:p>
          <w:p>
            <w:pPr>
              <w:jc w:val="left"/>
              <w:rPr>
                <w:noProof/>
                <w:sz w:val="20"/>
              </w:rPr>
            </w:pPr>
            <w:r>
              <w:rPr>
                <w:noProof/>
                <w:sz w:val="20"/>
              </w:rPr>
              <w:t>(CPC 93193)</w:t>
            </w:r>
          </w:p>
        </w:tc>
        <w:tc>
          <w:tcPr>
            <w:tcW w:w="6525" w:type="dxa"/>
          </w:tcPr>
          <w:p>
            <w:pPr>
              <w:jc w:val="left"/>
              <w:rPr>
                <w:noProof/>
                <w:sz w:val="20"/>
              </w:rPr>
            </w:pPr>
            <w:r>
              <w:rPr>
                <w:noProof/>
                <w:sz w:val="20"/>
              </w:rPr>
              <w:t>Para o Modo 1</w:t>
            </w:r>
          </w:p>
          <w:p>
            <w:pPr>
              <w:jc w:val="left"/>
              <w:rPr>
                <w:noProof/>
                <w:spacing w:val="-2"/>
                <w:sz w:val="20"/>
              </w:rPr>
            </w:pPr>
            <w:r>
              <w:rPr>
                <w:noProof/>
                <w:sz w:val="20"/>
              </w:rPr>
              <w:t>AT, BE, BG, DE, CY, CZ, DK, ES, EE, FI, FR, EL, HR, IE, IT, LV, LT, MT, LU, NL, PL, PT, RO, SI, SE, SK, UK: Não consolidado</w:t>
            </w:r>
          </w:p>
          <w:p>
            <w:pPr>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D. Serviços sociais</w:t>
            </w:r>
          </w:p>
          <w:p>
            <w:pPr>
              <w:jc w:val="left"/>
              <w:rPr>
                <w:noProof/>
                <w:sz w:val="20"/>
              </w:rPr>
            </w:pPr>
            <w:r>
              <w:rPr>
                <w:noProof/>
                <w:sz w:val="20"/>
              </w:rPr>
              <w:t>(CPC 933)</w:t>
            </w:r>
          </w:p>
        </w:tc>
        <w:tc>
          <w:tcPr>
            <w:tcW w:w="6525" w:type="dxa"/>
          </w:tcPr>
          <w:p>
            <w:pPr>
              <w:jc w:val="left"/>
              <w:rPr>
                <w:noProof/>
                <w:sz w:val="20"/>
              </w:rPr>
            </w:pPr>
            <w:r>
              <w:rPr>
                <w:noProof/>
                <w:sz w:val="20"/>
              </w:rPr>
              <w:t>Para o Modo 1</w:t>
            </w:r>
          </w:p>
          <w:p>
            <w:pPr>
              <w:jc w:val="left"/>
              <w:rPr>
                <w:noProof/>
                <w:spacing w:val="-2"/>
                <w:sz w:val="20"/>
              </w:rPr>
            </w:pPr>
            <w:r>
              <w:rPr>
                <w:noProof/>
                <w:sz w:val="20"/>
              </w:rPr>
              <w:t>AT, BE, BG, CY, CZ, DE, DK, EE, ES, EL, FI, FR, HR, HU, IE, IT, LU, MT, NL, PL, PT, RO, SE, SI, SK, UK: Não consolidado</w:t>
            </w:r>
          </w:p>
          <w:p>
            <w:pPr>
              <w:jc w:val="left"/>
              <w:rPr>
                <w:noProof/>
                <w:spacing w:val="-2"/>
                <w:sz w:val="20"/>
              </w:rPr>
            </w:pPr>
            <w:r>
              <w:rPr>
                <w:noProof/>
                <w:sz w:val="20"/>
              </w:rPr>
              <w:t>Para o Modo 2</w:t>
            </w:r>
          </w:p>
          <w:p>
            <w:pPr>
              <w:jc w:val="left"/>
              <w:rPr>
                <w:noProof/>
                <w:sz w:val="20"/>
              </w:rPr>
            </w:pPr>
            <w:r>
              <w:rPr>
                <w:noProof/>
                <w:sz w:val="20"/>
              </w:rPr>
              <w:t>BE: Não consolidado para serviços sociais que não instituições de convalescença e repouso e lares de idosos.</w:t>
            </w:r>
          </w:p>
        </w:tc>
      </w:tr>
      <w:tr>
        <w:trPr>
          <w:jc w:val="center"/>
        </w:trPr>
        <w:tc>
          <w:tcPr>
            <w:tcW w:w="3114" w:type="dxa"/>
          </w:tcPr>
          <w:p>
            <w:pPr>
              <w:jc w:val="left"/>
              <w:rPr>
                <w:noProof/>
                <w:sz w:val="20"/>
              </w:rPr>
            </w:pPr>
            <w:r>
              <w:rPr>
                <w:noProof/>
                <w:sz w:val="20"/>
              </w:rPr>
              <w:t>9. SERVIÇOS RELACIONADOS COM O TURISMO E VIAGENS</w:t>
            </w:r>
          </w:p>
        </w:tc>
        <w:tc>
          <w:tcPr>
            <w:tcW w:w="6525" w:type="dxa"/>
          </w:tcPr>
          <w:p>
            <w:pPr>
              <w:jc w:val="left"/>
              <w:rPr>
                <w:noProof/>
                <w:sz w:val="20"/>
              </w:rPr>
            </w:pPr>
          </w:p>
        </w:tc>
      </w:tr>
      <w:tr>
        <w:trPr>
          <w:jc w:val="center"/>
        </w:trPr>
        <w:tc>
          <w:tcPr>
            <w:tcW w:w="3114" w:type="dxa"/>
          </w:tcPr>
          <w:p>
            <w:pPr>
              <w:jc w:val="left"/>
              <w:rPr>
                <w:noProof/>
                <w:sz w:val="20"/>
              </w:rPr>
            </w:pPr>
            <w:r>
              <w:rPr>
                <w:noProof/>
                <w:sz w:val="20"/>
              </w:rPr>
              <w:t>A. Hotéis, restaurantes e fornecimento de refeições (</w:t>
            </w:r>
            <w:r>
              <w:rPr>
                <w:i/>
                <w:noProof/>
                <w:sz w:val="20"/>
              </w:rPr>
              <w:t>catering</w:t>
            </w:r>
            <w:r>
              <w:rPr>
                <w:noProof/>
                <w:sz w:val="20"/>
              </w:rPr>
              <w:t xml:space="preserve">) </w:t>
            </w:r>
          </w:p>
          <w:p>
            <w:pPr>
              <w:jc w:val="left"/>
              <w:rPr>
                <w:noProof/>
                <w:sz w:val="20"/>
              </w:rPr>
            </w:pPr>
            <w:r>
              <w:rPr>
                <w:noProof/>
                <w:sz w:val="20"/>
              </w:rPr>
              <w:t>(CPC 641, CPC 642 e CPC 643)</w:t>
            </w:r>
          </w:p>
          <w:p>
            <w:pPr>
              <w:jc w:val="left"/>
              <w:rPr>
                <w:noProof/>
                <w:sz w:val="20"/>
              </w:rPr>
            </w:pPr>
            <w:r>
              <w:rPr>
                <w:noProof/>
                <w:sz w:val="20"/>
              </w:rPr>
              <w:t>excluindo fornecimento de refeições (</w:t>
            </w:r>
            <w:r>
              <w:rPr>
                <w:i/>
                <w:noProof/>
                <w:sz w:val="20"/>
              </w:rPr>
              <w:t>catering</w:t>
            </w:r>
            <w:r>
              <w:rPr>
                <w:noProof/>
                <w:sz w:val="20"/>
              </w:rPr>
              <w:t>) nos serviços de transporte aéreo</w:t>
            </w:r>
            <w:r>
              <w:rPr>
                <w:rStyle w:val="FootnoteReference"/>
                <w:noProof/>
                <w:sz w:val="20"/>
              </w:rPr>
              <w:footnoteReference w:id="30"/>
            </w:r>
          </w:p>
        </w:tc>
        <w:tc>
          <w:tcPr>
            <w:tcW w:w="6525" w:type="dxa"/>
          </w:tcPr>
          <w:p>
            <w:pPr>
              <w:jc w:val="left"/>
              <w:rPr>
                <w:noProof/>
                <w:sz w:val="20"/>
              </w:rPr>
            </w:pPr>
            <w:r>
              <w:rPr>
                <w:noProof/>
                <w:sz w:val="20"/>
              </w:rPr>
              <w:t>Para o Modo 1</w:t>
            </w:r>
          </w:p>
          <w:p>
            <w:pPr>
              <w:jc w:val="left"/>
              <w:rPr>
                <w:noProof/>
                <w:sz w:val="20"/>
              </w:rPr>
            </w:pPr>
            <w:r>
              <w:rPr>
                <w:noProof/>
                <w:sz w:val="20"/>
              </w:rPr>
              <w:t>AT, BE, BG, CY, CZ, DE, DK, ES, FR, EL, IE, IT, LV, LT, LU, MT, NL, PL, PT, RO, SK, SI, SE, UK: Não consolidado, exceto para fornecimento de refeições (</w:t>
            </w:r>
            <w:r>
              <w:rPr>
                <w:i/>
                <w:noProof/>
                <w:sz w:val="20"/>
              </w:rPr>
              <w:t>catering</w:t>
            </w:r>
            <w:r>
              <w:rPr>
                <w:noProof/>
                <w:sz w:val="20"/>
              </w:rPr>
              <w:t>).</w:t>
            </w:r>
          </w:p>
          <w:p>
            <w:pPr>
              <w:jc w:val="left"/>
              <w:rPr>
                <w:noProof/>
                <w:sz w:val="20"/>
              </w:rPr>
            </w:pPr>
            <w:r>
              <w:rPr>
                <w:noProof/>
                <w:sz w:val="20"/>
              </w:rPr>
              <w:t>HR: Não consolidado</w:t>
            </w:r>
          </w:p>
          <w:p>
            <w:pPr>
              <w:jc w:val="left"/>
              <w:rPr>
                <w:noProof/>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 xml:space="preserve">B. Serviços de agências de viagem e de operadores turísticos </w:t>
            </w:r>
          </w:p>
          <w:p>
            <w:pPr>
              <w:jc w:val="left"/>
              <w:rPr>
                <w:noProof/>
                <w:sz w:val="20"/>
              </w:rPr>
            </w:pPr>
            <w:r>
              <w:rPr>
                <w:noProof/>
                <w:sz w:val="20"/>
              </w:rPr>
              <w:t>(incluindo organizadores de viagens)</w:t>
            </w:r>
          </w:p>
          <w:p>
            <w:pPr>
              <w:jc w:val="left"/>
              <w:rPr>
                <w:noProof/>
                <w:sz w:val="20"/>
              </w:rPr>
            </w:pPr>
            <w:r>
              <w:rPr>
                <w:noProof/>
                <w:sz w:val="20"/>
              </w:rPr>
              <w:t>(CPC 7471)</w:t>
            </w:r>
          </w:p>
        </w:tc>
        <w:tc>
          <w:tcPr>
            <w:tcW w:w="6525" w:type="dxa"/>
          </w:tcPr>
          <w:p>
            <w:pPr>
              <w:jc w:val="left"/>
              <w:rPr>
                <w:noProof/>
                <w:sz w:val="20"/>
              </w:rPr>
            </w:pPr>
            <w:r>
              <w:rPr>
                <w:noProof/>
                <w:sz w:val="20"/>
              </w:rPr>
              <w:t xml:space="preserve">Para o Modo 1 </w:t>
            </w:r>
          </w:p>
          <w:p>
            <w:pPr>
              <w:jc w:val="left"/>
              <w:rPr>
                <w:noProof/>
                <w:sz w:val="20"/>
              </w:rPr>
            </w:pPr>
            <w:r>
              <w:rPr>
                <w:noProof/>
                <w:sz w:val="20"/>
              </w:rPr>
              <w:t>BG, CY, HU, MT, SK: Não consolidado</w:t>
            </w:r>
          </w:p>
          <w:p>
            <w:pPr>
              <w:jc w:val="left"/>
              <w:rPr>
                <w:noProof/>
                <w:spacing w:val="-2"/>
                <w:sz w:val="20"/>
              </w:rPr>
            </w:pPr>
            <w:r>
              <w:rPr>
                <w:noProof/>
                <w:sz w:val="20"/>
              </w:rPr>
              <w:t>Para o Modo 2</w:t>
            </w:r>
          </w:p>
          <w:p>
            <w:pPr>
              <w:jc w:val="left"/>
              <w:rPr>
                <w:noProof/>
                <w:sz w:val="20"/>
              </w:rPr>
            </w:pPr>
            <w:r>
              <w:rPr>
                <w:noProof/>
                <w:sz w:val="20"/>
              </w:rPr>
              <w:t>Nenhuma.</w:t>
            </w:r>
          </w:p>
          <w:p>
            <w:pPr>
              <w:jc w:val="left"/>
              <w:rPr>
                <w:noProof/>
                <w:sz w:val="20"/>
              </w:rPr>
            </w:pPr>
          </w:p>
        </w:tc>
      </w:tr>
      <w:tr>
        <w:trPr>
          <w:jc w:val="center"/>
        </w:trPr>
        <w:tc>
          <w:tcPr>
            <w:tcW w:w="3114" w:type="dxa"/>
          </w:tcPr>
          <w:p>
            <w:pPr>
              <w:jc w:val="left"/>
              <w:rPr>
                <w:noProof/>
                <w:sz w:val="20"/>
              </w:rPr>
            </w:pPr>
            <w:r>
              <w:rPr>
                <w:noProof/>
                <w:sz w:val="20"/>
              </w:rPr>
              <w:t>C. Serviços de guias turísticos</w:t>
            </w:r>
          </w:p>
          <w:p>
            <w:pPr>
              <w:jc w:val="left"/>
              <w:rPr>
                <w:noProof/>
                <w:sz w:val="20"/>
              </w:rPr>
            </w:pPr>
            <w:r>
              <w:rPr>
                <w:noProof/>
                <w:sz w:val="20"/>
              </w:rPr>
              <w:t>(CPC 7472)</w:t>
            </w:r>
          </w:p>
        </w:tc>
        <w:tc>
          <w:tcPr>
            <w:tcW w:w="6525" w:type="dxa"/>
          </w:tcPr>
          <w:p>
            <w:pPr>
              <w:jc w:val="left"/>
              <w:rPr>
                <w:noProof/>
                <w:sz w:val="20"/>
              </w:rPr>
            </w:pPr>
            <w:r>
              <w:rPr>
                <w:noProof/>
                <w:sz w:val="20"/>
              </w:rPr>
              <w:t>Para o Modo 1</w:t>
            </w:r>
          </w:p>
          <w:p>
            <w:pPr>
              <w:jc w:val="left"/>
              <w:rPr>
                <w:noProof/>
                <w:sz w:val="20"/>
              </w:rPr>
            </w:pPr>
            <w:r>
              <w:rPr>
                <w:noProof/>
                <w:sz w:val="20"/>
              </w:rPr>
              <w:t>BG, CY, CZ, HU, IT, LT, MT, PL, SK, SI: Não consolidado.</w:t>
            </w:r>
          </w:p>
          <w:p>
            <w:pPr>
              <w:jc w:val="left"/>
              <w:rPr>
                <w:noProof/>
                <w:spacing w:val="-2"/>
                <w:sz w:val="20"/>
              </w:rPr>
            </w:pPr>
            <w:r>
              <w:rPr>
                <w:noProof/>
                <w:sz w:val="20"/>
              </w:rPr>
              <w:t>Para o Modo 2</w:t>
            </w:r>
          </w:p>
          <w:p>
            <w:pPr>
              <w:jc w:val="left"/>
              <w:rPr>
                <w:noProof/>
                <w:sz w:val="20"/>
              </w:rPr>
            </w:pPr>
            <w:r>
              <w:rPr>
                <w:noProof/>
                <w:sz w:val="20"/>
              </w:rPr>
              <w:t>Nenhuma.</w:t>
            </w:r>
          </w:p>
        </w:tc>
      </w:tr>
      <w:tr>
        <w:trPr>
          <w:jc w:val="center"/>
        </w:trPr>
        <w:tc>
          <w:tcPr>
            <w:tcW w:w="3114" w:type="dxa"/>
          </w:tcPr>
          <w:p>
            <w:pPr>
              <w:pageBreakBefore/>
              <w:jc w:val="left"/>
              <w:rPr>
                <w:noProof/>
                <w:sz w:val="20"/>
              </w:rPr>
            </w:pPr>
            <w:r>
              <w:rPr>
                <w:noProof/>
                <w:sz w:val="20"/>
              </w:rPr>
              <w:t>10. SERVIÇOS RECREATIVOS, CULTURAIS E DESPORTIVOS (exceto serviços audiovisuais)</w:t>
            </w:r>
          </w:p>
        </w:tc>
        <w:tc>
          <w:tcPr>
            <w:tcW w:w="6525" w:type="dxa"/>
          </w:tcPr>
          <w:p>
            <w:pPr>
              <w:rPr>
                <w:noProof/>
                <w:sz w:val="20"/>
              </w:rPr>
            </w:pPr>
          </w:p>
        </w:tc>
      </w:tr>
      <w:tr>
        <w:trPr>
          <w:jc w:val="center"/>
        </w:trPr>
        <w:tc>
          <w:tcPr>
            <w:tcW w:w="3114" w:type="dxa"/>
          </w:tcPr>
          <w:p>
            <w:pPr>
              <w:jc w:val="left"/>
              <w:rPr>
                <w:noProof/>
                <w:sz w:val="20"/>
              </w:rPr>
            </w:pPr>
            <w:r>
              <w:rPr>
                <w:noProof/>
                <w:sz w:val="20"/>
              </w:rPr>
              <w:t xml:space="preserve">A. Serviços de entretenimento (incluindo serviços de teatro, conjuntos musicais, circos e discotecas) </w:t>
            </w:r>
          </w:p>
          <w:p>
            <w:pPr>
              <w:jc w:val="left"/>
              <w:rPr>
                <w:noProof/>
                <w:sz w:val="20"/>
              </w:rPr>
            </w:pPr>
            <w:r>
              <w:rPr>
                <w:noProof/>
                <w:sz w:val="20"/>
              </w:rPr>
              <w:t>(CPC 9619)</w:t>
            </w:r>
          </w:p>
        </w:tc>
        <w:tc>
          <w:tcPr>
            <w:tcW w:w="6525" w:type="dxa"/>
          </w:tcPr>
          <w:p>
            <w:pPr>
              <w:rPr>
                <w:noProof/>
                <w:sz w:val="20"/>
              </w:rPr>
            </w:pPr>
            <w:r>
              <w:rPr>
                <w:noProof/>
                <w:sz w:val="20"/>
              </w:rPr>
              <w:t>Para o Modo 1</w:t>
            </w:r>
          </w:p>
          <w:p>
            <w:pPr>
              <w:rPr>
                <w:noProof/>
                <w:sz w:val="20"/>
              </w:rPr>
            </w:pPr>
            <w:r>
              <w:rPr>
                <w:noProof/>
                <w:sz w:val="20"/>
              </w:rPr>
              <w:t>BE, BG, CY, CZ, DE, DK, ES, EE, FI, FR, EL, HR, HU, IE, IT, LV, LT, LU, MT, NL, PL, PT, RO, SK, SI, UK: Não consolidado</w:t>
            </w:r>
          </w:p>
          <w:p>
            <w:pPr>
              <w:rPr>
                <w:noProof/>
                <w:spacing w:val="-2"/>
                <w:sz w:val="20"/>
              </w:rPr>
            </w:pPr>
            <w:r>
              <w:rPr>
                <w:noProof/>
                <w:sz w:val="20"/>
              </w:rPr>
              <w:t>Para o Modo 2</w:t>
            </w:r>
          </w:p>
          <w:p>
            <w:pPr>
              <w:rPr>
                <w:noProof/>
                <w:spacing w:val="-2"/>
                <w:sz w:val="20"/>
              </w:rPr>
            </w:pPr>
            <w:r>
              <w:rPr>
                <w:noProof/>
                <w:sz w:val="20"/>
              </w:rPr>
              <w:t>CY, CZ, FI, HR, MT, PL, RO, SK, SI: Não consolidado</w:t>
            </w:r>
          </w:p>
          <w:p>
            <w:pPr>
              <w:rPr>
                <w:noProof/>
                <w:sz w:val="20"/>
              </w:rPr>
            </w:pPr>
            <w:r>
              <w:rPr>
                <w:noProof/>
                <w:sz w:val="20"/>
              </w:rPr>
              <w:t>BG: Não consolidado, exceto para serviços de entretenimento prestados por produtores teatrais, grupos de cantores, conjuntos musicais e orquestras (CPC 96191); serviços prestados por autores, compositores, escultores, atores e outros artistas individuais (CPC 96192); serviços auxiliares de teatro (CPC 96193).</w:t>
            </w:r>
          </w:p>
          <w:p>
            <w:pPr>
              <w:rPr>
                <w:noProof/>
                <w:sz w:val="20"/>
              </w:rPr>
            </w:pPr>
            <w:r>
              <w:rPr>
                <w:noProof/>
                <w:sz w:val="20"/>
              </w:rPr>
              <w:t>EE: Não consolidado para outros serviços de entretenimento (CPC 96199), exceto para serviços de teatro e cinema.</w:t>
            </w:r>
          </w:p>
          <w:p>
            <w:pPr>
              <w:rPr>
                <w:noProof/>
                <w:sz w:val="20"/>
              </w:rPr>
            </w:pPr>
            <w:r>
              <w:rPr>
                <w:noProof/>
                <w:sz w:val="20"/>
              </w:rPr>
              <w:t>LT, LV: Não consolidado, exceto para serviços de exploração de estabelecimentos de teatro e cinema (parte da CPC 96199).</w:t>
            </w:r>
          </w:p>
        </w:tc>
      </w:tr>
      <w:tr>
        <w:trPr>
          <w:jc w:val="center"/>
        </w:trPr>
        <w:tc>
          <w:tcPr>
            <w:tcW w:w="3114" w:type="dxa"/>
          </w:tcPr>
          <w:p>
            <w:pPr>
              <w:jc w:val="left"/>
              <w:rPr>
                <w:noProof/>
                <w:sz w:val="20"/>
              </w:rPr>
            </w:pPr>
            <w:r>
              <w:rPr>
                <w:noProof/>
                <w:sz w:val="20"/>
              </w:rPr>
              <w:t xml:space="preserve">B. Serviços de agências noticiosas </w:t>
            </w:r>
          </w:p>
          <w:p>
            <w:pPr>
              <w:jc w:val="left"/>
              <w:rPr>
                <w:noProof/>
                <w:sz w:val="20"/>
              </w:rPr>
            </w:pPr>
            <w:r>
              <w:rPr>
                <w:noProof/>
                <w:sz w:val="20"/>
              </w:rPr>
              <w:t>(CPC 962)</w:t>
            </w:r>
          </w:p>
        </w:tc>
        <w:tc>
          <w:tcPr>
            <w:tcW w:w="6525" w:type="dxa"/>
          </w:tcPr>
          <w:p>
            <w:pPr>
              <w:rPr>
                <w:noProof/>
                <w:sz w:val="20"/>
              </w:rPr>
            </w:pPr>
            <w:r>
              <w:rPr>
                <w:noProof/>
                <w:sz w:val="20"/>
              </w:rPr>
              <w:t>Para os Modos 1 e 2</w:t>
            </w:r>
          </w:p>
          <w:p>
            <w:pPr>
              <w:rPr>
                <w:noProof/>
                <w:sz w:val="20"/>
              </w:rPr>
            </w:pPr>
            <w:r>
              <w:rPr>
                <w:noProof/>
                <w:sz w:val="20"/>
              </w:rPr>
              <w:t>Nenhuma.</w:t>
            </w:r>
          </w:p>
        </w:tc>
      </w:tr>
      <w:tr>
        <w:trPr>
          <w:jc w:val="center"/>
        </w:trPr>
        <w:tc>
          <w:tcPr>
            <w:tcW w:w="3114" w:type="dxa"/>
          </w:tcPr>
          <w:p>
            <w:pPr>
              <w:jc w:val="left"/>
              <w:rPr>
                <w:noProof/>
                <w:sz w:val="20"/>
              </w:rPr>
            </w:pPr>
            <w:r>
              <w:rPr>
                <w:noProof/>
                <w:sz w:val="20"/>
              </w:rPr>
              <w:t xml:space="preserve">C. Serviços de bibliotecas, arquivos e museus e outros serviços culturais </w:t>
            </w:r>
          </w:p>
          <w:p>
            <w:pPr>
              <w:jc w:val="left"/>
              <w:rPr>
                <w:noProof/>
                <w:sz w:val="20"/>
              </w:rPr>
            </w:pPr>
            <w:r>
              <w:rPr>
                <w:noProof/>
                <w:sz w:val="20"/>
              </w:rPr>
              <w:t>(CPC 963)</w:t>
            </w:r>
          </w:p>
        </w:tc>
        <w:tc>
          <w:tcPr>
            <w:tcW w:w="6525" w:type="dxa"/>
          </w:tcPr>
          <w:p>
            <w:pPr>
              <w:rPr>
                <w:noProof/>
                <w:sz w:val="20"/>
              </w:rPr>
            </w:pPr>
            <w:r>
              <w:rPr>
                <w:noProof/>
                <w:sz w:val="20"/>
              </w:rPr>
              <w:t>Para o Modo 1</w:t>
            </w:r>
          </w:p>
          <w:p>
            <w:pPr>
              <w:rPr>
                <w:noProof/>
                <w:sz w:val="20"/>
              </w:rPr>
            </w:pPr>
            <w:r>
              <w:rPr>
                <w:noProof/>
                <w:sz w:val="20"/>
              </w:rPr>
              <w:t>BE, BG, CY, CZ, DE, DK, ES, EE, FI, FR, EL, HR, HU, IE, IT, LT, LV, LU, MT, NL, PL, PT, RO, SK, SI, SE, UK: Não consolidado</w:t>
            </w:r>
          </w:p>
          <w:p>
            <w:pPr>
              <w:rPr>
                <w:noProof/>
                <w:spacing w:val="-2"/>
                <w:sz w:val="20"/>
              </w:rPr>
            </w:pPr>
            <w:r>
              <w:rPr>
                <w:noProof/>
                <w:sz w:val="20"/>
              </w:rPr>
              <w:t>Para o Modo 2</w:t>
            </w:r>
          </w:p>
          <w:p>
            <w:pPr>
              <w:rPr>
                <w:noProof/>
                <w:sz w:val="20"/>
              </w:rPr>
            </w:pPr>
            <w:r>
              <w:rPr>
                <w:noProof/>
                <w:sz w:val="20"/>
              </w:rPr>
              <w:t>BE, BG, CY, CZ, DE, DK, ES, FI, FR, EL, HR, HU, IE, IT, LT, LV, LU, MT, NL, PL, PT, RO, SK, SI, SE, UK: Não consolidado</w:t>
            </w:r>
          </w:p>
        </w:tc>
      </w:tr>
      <w:tr>
        <w:trPr>
          <w:jc w:val="center"/>
        </w:trPr>
        <w:tc>
          <w:tcPr>
            <w:tcW w:w="3114" w:type="dxa"/>
          </w:tcPr>
          <w:p>
            <w:pPr>
              <w:jc w:val="left"/>
              <w:rPr>
                <w:noProof/>
                <w:sz w:val="20"/>
              </w:rPr>
            </w:pPr>
            <w:r>
              <w:rPr>
                <w:noProof/>
                <w:sz w:val="20"/>
              </w:rPr>
              <w:t>D. Serviços desportivos</w:t>
            </w:r>
          </w:p>
          <w:p>
            <w:pPr>
              <w:jc w:val="left"/>
              <w:rPr>
                <w:noProof/>
                <w:sz w:val="20"/>
              </w:rPr>
            </w:pPr>
            <w:r>
              <w:rPr>
                <w:noProof/>
                <w:sz w:val="20"/>
              </w:rPr>
              <w:t>(CPC 9641)</w:t>
            </w:r>
          </w:p>
          <w:p>
            <w:pPr>
              <w:jc w:val="left"/>
              <w:rPr>
                <w:noProof/>
                <w:sz w:val="20"/>
              </w:rPr>
            </w:pPr>
          </w:p>
        </w:tc>
        <w:tc>
          <w:tcPr>
            <w:tcW w:w="6525" w:type="dxa"/>
          </w:tcPr>
          <w:p>
            <w:pPr>
              <w:rPr>
                <w:noProof/>
                <w:sz w:val="20"/>
              </w:rPr>
            </w:pPr>
            <w:r>
              <w:rPr>
                <w:noProof/>
                <w:sz w:val="20"/>
              </w:rPr>
              <w:t>Para os Modos 1 e 2</w:t>
            </w:r>
          </w:p>
          <w:p>
            <w:pPr>
              <w:rPr>
                <w:noProof/>
                <w:sz w:val="20"/>
              </w:rPr>
            </w:pPr>
            <w:r>
              <w:rPr>
                <w:noProof/>
                <w:sz w:val="20"/>
              </w:rPr>
              <w:t>AT: Não consolidado para serviços de escolas de esqui e serviços de guias de montanha.</w:t>
            </w:r>
          </w:p>
          <w:p>
            <w:pPr>
              <w:rPr>
                <w:noProof/>
                <w:spacing w:val="-2"/>
                <w:sz w:val="20"/>
              </w:rPr>
            </w:pPr>
            <w:r>
              <w:rPr>
                <w:noProof/>
                <w:sz w:val="20"/>
              </w:rPr>
              <w:t>BG, CZ, HR, LV, MT, PL, RO, SK: Não consolidado</w:t>
            </w:r>
          </w:p>
          <w:p>
            <w:pPr>
              <w:rPr>
                <w:noProof/>
                <w:spacing w:val="-2"/>
                <w:sz w:val="20"/>
              </w:rPr>
            </w:pPr>
            <w:r>
              <w:rPr>
                <w:noProof/>
                <w:sz w:val="20"/>
              </w:rPr>
              <w:t>Para o Modo 1</w:t>
            </w:r>
          </w:p>
          <w:p>
            <w:pPr>
              <w:rPr>
                <w:noProof/>
                <w:sz w:val="20"/>
              </w:rPr>
            </w:pPr>
            <w:r>
              <w:rPr>
                <w:noProof/>
                <w:sz w:val="20"/>
              </w:rPr>
              <w:t>CY, EE: Não consolidado</w:t>
            </w:r>
          </w:p>
        </w:tc>
      </w:tr>
      <w:tr>
        <w:trPr>
          <w:jc w:val="center"/>
        </w:trPr>
        <w:tc>
          <w:tcPr>
            <w:tcW w:w="3114" w:type="dxa"/>
          </w:tcPr>
          <w:p>
            <w:pPr>
              <w:jc w:val="left"/>
              <w:rPr>
                <w:noProof/>
                <w:sz w:val="20"/>
              </w:rPr>
            </w:pPr>
            <w:r>
              <w:rPr>
                <w:noProof/>
                <w:sz w:val="20"/>
              </w:rPr>
              <w:t xml:space="preserve">E. Serviços de parques recreativos e praias </w:t>
            </w:r>
          </w:p>
          <w:p>
            <w:pPr>
              <w:jc w:val="left"/>
              <w:rPr>
                <w:noProof/>
                <w:sz w:val="20"/>
              </w:rPr>
            </w:pPr>
            <w:r>
              <w:rPr>
                <w:noProof/>
                <w:sz w:val="20"/>
              </w:rPr>
              <w:t>(CPC 96491)</w:t>
            </w:r>
          </w:p>
        </w:tc>
        <w:tc>
          <w:tcPr>
            <w:tcW w:w="6525" w:type="dxa"/>
          </w:tcPr>
          <w:p>
            <w:pPr>
              <w:rPr>
                <w:noProof/>
                <w:sz w:val="20"/>
              </w:rPr>
            </w:pPr>
            <w:r>
              <w:rPr>
                <w:noProof/>
                <w:sz w:val="20"/>
              </w:rPr>
              <w:t>Para os Modos 1 e 2</w:t>
            </w:r>
          </w:p>
          <w:p>
            <w:pPr>
              <w:rPr>
                <w:noProof/>
                <w:sz w:val="20"/>
              </w:rPr>
            </w:pPr>
            <w:r>
              <w:rPr>
                <w:noProof/>
                <w:sz w:val="20"/>
              </w:rPr>
              <w:t>Nenhuma.</w:t>
            </w:r>
          </w:p>
        </w:tc>
      </w:tr>
      <w:tr>
        <w:trPr>
          <w:jc w:val="center"/>
        </w:trPr>
        <w:tc>
          <w:tcPr>
            <w:tcW w:w="3114" w:type="dxa"/>
          </w:tcPr>
          <w:p>
            <w:pPr>
              <w:pageBreakBefore/>
              <w:jc w:val="left"/>
              <w:rPr>
                <w:noProof/>
                <w:sz w:val="20"/>
              </w:rPr>
            </w:pPr>
            <w:r>
              <w:rPr>
                <w:noProof/>
                <w:szCs w:val="24"/>
              </w:rPr>
              <w:t>11. SERVIÇOS DE TRANSPORTE</w:t>
            </w:r>
          </w:p>
        </w:tc>
        <w:tc>
          <w:tcPr>
            <w:tcW w:w="6525" w:type="dxa"/>
          </w:tcPr>
          <w:p>
            <w:pPr>
              <w:rPr>
                <w:noProof/>
                <w:sz w:val="20"/>
              </w:rPr>
            </w:pPr>
          </w:p>
        </w:tc>
      </w:tr>
      <w:tr>
        <w:trPr>
          <w:trHeight w:val="2755"/>
          <w:jc w:val="center"/>
        </w:trPr>
        <w:tc>
          <w:tcPr>
            <w:tcW w:w="3114" w:type="dxa"/>
          </w:tcPr>
          <w:p>
            <w:pPr>
              <w:jc w:val="left"/>
              <w:rPr>
                <w:noProof/>
                <w:sz w:val="20"/>
              </w:rPr>
            </w:pPr>
            <w:r>
              <w:rPr>
                <w:noProof/>
                <w:sz w:val="20"/>
              </w:rPr>
              <w:t>A. Transporte marítimo</w:t>
            </w:r>
          </w:p>
          <w:p>
            <w:pPr>
              <w:jc w:val="left"/>
              <w:rPr>
                <w:noProof/>
                <w:sz w:val="20"/>
              </w:rPr>
            </w:pPr>
            <w:r>
              <w:rPr>
                <w:noProof/>
                <w:sz w:val="20"/>
              </w:rPr>
              <w:t xml:space="preserve">a) Transporte internacional de passageiros </w:t>
            </w:r>
          </w:p>
          <w:p>
            <w:pPr>
              <w:jc w:val="left"/>
              <w:rPr>
                <w:noProof/>
                <w:sz w:val="20"/>
              </w:rPr>
            </w:pPr>
            <w:r>
              <w:rPr>
                <w:noProof/>
                <w:sz w:val="20"/>
              </w:rPr>
              <w:t xml:space="preserve">(CPC 7211 menos transporte nacional de cabotagem) </w:t>
            </w:r>
          </w:p>
          <w:p>
            <w:pPr>
              <w:jc w:val="left"/>
              <w:rPr>
                <w:noProof/>
                <w:sz w:val="20"/>
              </w:rPr>
            </w:pPr>
            <w:r>
              <w:rPr>
                <w:noProof/>
                <w:sz w:val="20"/>
              </w:rPr>
              <w:t>b) Transporte internacional de carga</w:t>
            </w:r>
          </w:p>
          <w:p>
            <w:pPr>
              <w:jc w:val="left"/>
              <w:rPr>
                <w:noProof/>
                <w:sz w:val="20"/>
              </w:rPr>
            </w:pPr>
            <w:r>
              <w:rPr>
                <w:noProof/>
                <w:sz w:val="20"/>
              </w:rPr>
              <w:t>(CPC 7212 menos transporte nacional de cabotagem)</w:t>
            </w:r>
            <w:r>
              <w:rPr>
                <w:rStyle w:val="FootnoteReference"/>
                <w:noProof/>
                <w:sz w:val="20"/>
              </w:rPr>
              <w:footnoteReference w:id="31"/>
            </w:r>
          </w:p>
        </w:tc>
        <w:tc>
          <w:tcPr>
            <w:tcW w:w="6525" w:type="dxa"/>
          </w:tcPr>
          <w:p>
            <w:pPr>
              <w:jc w:val="left"/>
              <w:rPr>
                <w:noProof/>
                <w:sz w:val="20"/>
              </w:rPr>
            </w:pPr>
            <w:r>
              <w:rPr>
                <w:noProof/>
                <w:sz w:val="20"/>
              </w:rPr>
              <w:t>Para os Modos 1 e 2</w:t>
            </w:r>
          </w:p>
          <w:p>
            <w:pPr>
              <w:jc w:val="left"/>
              <w:rPr>
                <w:noProof/>
                <w:sz w:val="20"/>
              </w:rPr>
            </w:pPr>
            <w:r>
              <w:rPr>
                <w:bCs/>
                <w:noProof/>
                <w:sz w:val="20"/>
              </w:rPr>
              <w:t xml:space="preserve">BG, CY, DE, EE, ES, FR, FI, EL, IT, LT, LV, MT, PL, PT, RO, SI e SE: Serviços de </w:t>
            </w:r>
            <w:r>
              <w:rPr>
                <w:bCs/>
                <w:i/>
                <w:noProof/>
                <w:sz w:val="20"/>
              </w:rPr>
              <w:t>feedering</w:t>
            </w:r>
            <w:r>
              <w:rPr>
                <w:bCs/>
                <w:noProof/>
                <w:sz w:val="20"/>
              </w:rPr>
              <w:t xml:space="preserve"> mediante autorização.</w:t>
            </w:r>
          </w:p>
        </w:tc>
      </w:tr>
      <w:tr>
        <w:trPr>
          <w:trHeight w:val="2275"/>
          <w:jc w:val="center"/>
        </w:trPr>
        <w:tc>
          <w:tcPr>
            <w:tcW w:w="3114" w:type="dxa"/>
          </w:tcPr>
          <w:p>
            <w:pPr>
              <w:suppressAutoHyphens/>
              <w:jc w:val="left"/>
              <w:rPr>
                <w:noProof/>
                <w:spacing w:val="-2"/>
                <w:sz w:val="20"/>
              </w:rPr>
            </w:pPr>
            <w:r>
              <w:rPr>
                <w:noProof/>
                <w:sz w:val="20"/>
              </w:rPr>
              <w:t xml:space="preserve">B. Transporte por vias interiores navegáveis </w:t>
            </w:r>
          </w:p>
          <w:p>
            <w:pPr>
              <w:suppressAutoHyphens/>
              <w:jc w:val="left"/>
              <w:rPr>
                <w:noProof/>
                <w:sz w:val="20"/>
              </w:rPr>
            </w:pPr>
            <w:r>
              <w:rPr>
                <w:noProof/>
                <w:sz w:val="20"/>
              </w:rPr>
              <w:t>a) Transporte de passageiros</w:t>
            </w:r>
          </w:p>
          <w:p>
            <w:pPr>
              <w:suppressAutoHyphens/>
              <w:jc w:val="left"/>
              <w:rPr>
                <w:noProof/>
                <w:spacing w:val="-2"/>
                <w:sz w:val="20"/>
              </w:rPr>
            </w:pPr>
            <w:r>
              <w:rPr>
                <w:noProof/>
                <w:sz w:val="20"/>
              </w:rPr>
              <w:t xml:space="preserve">(CPC 7221) </w:t>
            </w:r>
          </w:p>
          <w:p>
            <w:pPr>
              <w:suppressAutoHyphens/>
              <w:jc w:val="left"/>
              <w:rPr>
                <w:noProof/>
                <w:spacing w:val="-2"/>
                <w:sz w:val="20"/>
              </w:rPr>
            </w:pPr>
            <w:r>
              <w:rPr>
                <w:noProof/>
                <w:sz w:val="20"/>
              </w:rPr>
              <w:t>b) Transporte de carga</w:t>
            </w:r>
          </w:p>
          <w:p>
            <w:pPr>
              <w:suppressAutoHyphens/>
              <w:jc w:val="left"/>
              <w:rPr>
                <w:noProof/>
                <w:spacing w:val="-2"/>
                <w:sz w:val="20"/>
              </w:rPr>
            </w:pPr>
            <w:r>
              <w:rPr>
                <w:noProof/>
                <w:sz w:val="20"/>
              </w:rPr>
              <w:t>(CPC 7222)</w:t>
            </w:r>
          </w:p>
        </w:tc>
        <w:tc>
          <w:tcPr>
            <w:tcW w:w="6525" w:type="dxa"/>
          </w:tcPr>
          <w:p>
            <w:pPr>
              <w:jc w:val="left"/>
              <w:rPr>
                <w:noProof/>
                <w:sz w:val="20"/>
              </w:rPr>
            </w:pPr>
            <w:r>
              <w:rPr>
                <w:noProof/>
                <w:sz w:val="20"/>
              </w:rPr>
              <w:t>Para os Modos 1 e 2</w:t>
            </w:r>
          </w:p>
          <w:p>
            <w:pPr>
              <w:jc w:val="left"/>
              <w:rPr>
                <w:noProof/>
                <w:sz w:val="20"/>
              </w:rPr>
            </w:pPr>
            <w:r>
              <w:rPr>
                <w:noProof/>
                <w:sz w:val="20"/>
              </w:rPr>
              <w:t>EU: As medidas baseadas em acordos existentes ou futuros sobre o acesso às vias interiores navegáveis (incluindo os acordos sobre a ligação Reno, Meno, Danúbio) reservam alguns dos direitos de tráfego a operadores baseados nos países correspondentes e que cumpram o requisito de nacionalidade no que respeita à propriedade. Regulamentos de aplicação da Convenção de Mannheim para a Navegação no Reno.</w:t>
            </w:r>
          </w:p>
          <w:p>
            <w:pPr>
              <w:jc w:val="left"/>
              <w:rPr>
                <w:noProof/>
                <w:sz w:val="20"/>
              </w:rPr>
            </w:pPr>
            <w:r>
              <w:rPr>
                <w:noProof/>
                <w:sz w:val="20"/>
              </w:rPr>
              <w:t>AT: Condição de nacionalidade para constituir uma companhia de navegação por pessoas singulares. No caso de estabelecimento de uma pessoa coletiva, condição de nacionalidade para a maioria dos diretores executivos, o conselho de administração e o conselho de fiscalização. É exigida uma sociedade registada ou o estabelecimento estável na Áustria. Além disso, a maioria das ações da empresa deve ser detida por nacionais da União Europeia.</w:t>
            </w:r>
          </w:p>
          <w:p>
            <w:pPr>
              <w:jc w:val="left"/>
              <w:rPr>
                <w:rFonts w:ascii="CG Times (PCL6)" w:hAnsi="CG Times (PCL6)"/>
                <w:noProof/>
                <w:sz w:val="20"/>
              </w:rPr>
            </w:pPr>
            <w:r>
              <w:rPr>
                <w:noProof/>
                <w:sz w:val="20"/>
              </w:rPr>
              <w:t>BG, CY, CZ, EE, FI, HR, HU, LT, MT, RO, SE, SI, SK: Não consolidado</w:t>
            </w:r>
          </w:p>
        </w:tc>
      </w:tr>
      <w:tr>
        <w:trPr>
          <w:trHeight w:val="1705"/>
          <w:jc w:val="center"/>
        </w:trPr>
        <w:tc>
          <w:tcPr>
            <w:tcW w:w="3114" w:type="dxa"/>
          </w:tcPr>
          <w:p>
            <w:pPr>
              <w:jc w:val="left"/>
              <w:rPr>
                <w:noProof/>
                <w:spacing w:val="-2"/>
                <w:sz w:val="20"/>
              </w:rPr>
            </w:pPr>
            <w:r>
              <w:rPr>
                <w:noProof/>
                <w:sz w:val="20"/>
              </w:rPr>
              <w:t xml:space="preserve">C. Transporte ferroviário </w:t>
            </w:r>
          </w:p>
          <w:p>
            <w:pPr>
              <w:jc w:val="left"/>
              <w:rPr>
                <w:noProof/>
                <w:spacing w:val="-2"/>
                <w:sz w:val="20"/>
              </w:rPr>
            </w:pPr>
            <w:r>
              <w:rPr>
                <w:noProof/>
                <w:sz w:val="20"/>
              </w:rPr>
              <w:t>a) Transporte de passageiros</w:t>
            </w:r>
          </w:p>
          <w:p>
            <w:pPr>
              <w:jc w:val="left"/>
              <w:rPr>
                <w:noProof/>
                <w:spacing w:val="-2"/>
                <w:sz w:val="20"/>
              </w:rPr>
            </w:pPr>
            <w:r>
              <w:rPr>
                <w:noProof/>
                <w:sz w:val="20"/>
              </w:rPr>
              <w:t>(CPC 7111)</w:t>
            </w:r>
          </w:p>
          <w:p>
            <w:pPr>
              <w:jc w:val="left"/>
              <w:rPr>
                <w:noProof/>
                <w:spacing w:val="-2"/>
                <w:sz w:val="20"/>
              </w:rPr>
            </w:pPr>
            <w:r>
              <w:rPr>
                <w:noProof/>
                <w:sz w:val="20"/>
              </w:rPr>
              <w:t>b) Transporte de carga</w:t>
            </w:r>
          </w:p>
          <w:p>
            <w:pPr>
              <w:jc w:val="left"/>
              <w:rPr>
                <w:noProof/>
                <w:spacing w:val="-2"/>
                <w:sz w:val="20"/>
              </w:rPr>
            </w:pPr>
            <w:r>
              <w:rPr>
                <w:noProof/>
                <w:sz w:val="20"/>
              </w:rPr>
              <w:t>(CPC 7112)</w:t>
            </w:r>
          </w:p>
        </w:tc>
        <w:tc>
          <w:tcPr>
            <w:tcW w:w="6525" w:type="dxa"/>
          </w:tcPr>
          <w:p>
            <w:pPr>
              <w:jc w:val="left"/>
              <w:rPr>
                <w:noProof/>
                <w:sz w:val="20"/>
              </w:rPr>
            </w:pPr>
            <w:r>
              <w:rPr>
                <w:noProof/>
                <w:sz w:val="20"/>
              </w:rPr>
              <w:t>Para o Modo 1</w:t>
            </w:r>
          </w:p>
          <w:p>
            <w:pPr>
              <w:jc w:val="left"/>
              <w:rPr>
                <w:noProof/>
                <w:spacing w:val="-2"/>
                <w:sz w:val="20"/>
              </w:rPr>
            </w:pPr>
            <w:r>
              <w:rPr>
                <w:noProof/>
                <w:sz w:val="20"/>
              </w:rPr>
              <w:t>EU: Não consolidado</w:t>
            </w:r>
          </w:p>
          <w:p>
            <w:pPr>
              <w:jc w:val="left"/>
              <w:rPr>
                <w:noProof/>
                <w:spacing w:val="-2"/>
                <w:sz w:val="20"/>
              </w:rPr>
            </w:pPr>
            <w:r>
              <w:rPr>
                <w:noProof/>
                <w:sz w:val="20"/>
              </w:rPr>
              <w:t>Para o Modo 2</w:t>
            </w:r>
          </w:p>
          <w:p>
            <w:pPr>
              <w:jc w:val="left"/>
              <w:rPr>
                <w:noProof/>
                <w:sz w:val="20"/>
              </w:rPr>
            </w:pPr>
            <w:r>
              <w:rPr>
                <w:noProof/>
                <w:sz w:val="20"/>
              </w:rPr>
              <w:t>Nenhuma.</w:t>
            </w:r>
          </w:p>
        </w:tc>
      </w:tr>
      <w:tr>
        <w:trPr>
          <w:trHeight w:val="2140"/>
          <w:jc w:val="center"/>
        </w:trPr>
        <w:tc>
          <w:tcPr>
            <w:tcW w:w="3114" w:type="dxa"/>
          </w:tcPr>
          <w:p>
            <w:pPr>
              <w:pageBreakBefore/>
              <w:jc w:val="left"/>
              <w:rPr>
                <w:noProof/>
                <w:spacing w:val="-2"/>
                <w:sz w:val="20"/>
              </w:rPr>
            </w:pPr>
            <w:r>
              <w:rPr>
                <w:noProof/>
                <w:sz w:val="20"/>
              </w:rPr>
              <w:t xml:space="preserve">D. Transporte rodoviário </w:t>
            </w:r>
          </w:p>
          <w:p>
            <w:pPr>
              <w:suppressAutoHyphens/>
              <w:jc w:val="left"/>
              <w:rPr>
                <w:noProof/>
                <w:spacing w:val="-2"/>
                <w:sz w:val="20"/>
              </w:rPr>
            </w:pPr>
            <w:r>
              <w:rPr>
                <w:noProof/>
                <w:sz w:val="20"/>
              </w:rPr>
              <w:t>a) Transporte de passageiros</w:t>
            </w:r>
          </w:p>
          <w:p>
            <w:pPr>
              <w:suppressAutoHyphens/>
              <w:jc w:val="left"/>
              <w:rPr>
                <w:noProof/>
                <w:spacing w:val="-2"/>
                <w:sz w:val="20"/>
              </w:rPr>
            </w:pPr>
            <w:r>
              <w:rPr>
                <w:noProof/>
                <w:sz w:val="20"/>
              </w:rPr>
              <w:t xml:space="preserve">(CPC 7121 e CPC 7122) </w:t>
            </w:r>
          </w:p>
          <w:p>
            <w:pPr>
              <w:suppressAutoHyphens/>
              <w:jc w:val="left"/>
              <w:rPr>
                <w:noProof/>
                <w:spacing w:val="-2"/>
                <w:sz w:val="20"/>
              </w:rPr>
            </w:pPr>
            <w:r>
              <w:rPr>
                <w:noProof/>
                <w:sz w:val="20"/>
              </w:rPr>
              <w:t>b) Transporte de carga</w:t>
            </w:r>
          </w:p>
          <w:p>
            <w:pPr>
              <w:suppressAutoHyphens/>
              <w:jc w:val="left"/>
              <w:rPr>
                <w:noProof/>
                <w:spacing w:val="-2"/>
                <w:sz w:val="20"/>
              </w:rPr>
            </w:pPr>
            <w:r>
              <w:rPr>
                <w:noProof/>
                <w:sz w:val="20"/>
              </w:rPr>
              <w:t>(CPC 7123, excluindo transporte de correio por conta própria</w:t>
            </w:r>
            <w:r>
              <w:rPr>
                <w:rStyle w:val="FootnoteReference"/>
                <w:noProof/>
                <w:sz w:val="20"/>
              </w:rPr>
              <w:footnoteReference w:id="32"/>
            </w:r>
            <w:r>
              <w:rPr>
                <w:noProof/>
                <w:sz w:val="20"/>
              </w:rPr>
              <w:t>)</w:t>
            </w:r>
          </w:p>
        </w:tc>
        <w:tc>
          <w:tcPr>
            <w:tcW w:w="6525" w:type="dxa"/>
          </w:tcPr>
          <w:p>
            <w:pPr>
              <w:jc w:val="left"/>
              <w:rPr>
                <w:noProof/>
                <w:sz w:val="20"/>
              </w:rPr>
            </w:pPr>
            <w:r>
              <w:rPr>
                <w:noProof/>
                <w:sz w:val="20"/>
              </w:rPr>
              <w:t>Para o Modo 1</w:t>
            </w:r>
          </w:p>
          <w:p>
            <w:pPr>
              <w:jc w:val="left"/>
              <w:rPr>
                <w:noProof/>
                <w:sz w:val="20"/>
              </w:rPr>
            </w:pPr>
            <w:r>
              <w:rPr>
                <w:noProof/>
                <w:sz w:val="20"/>
              </w:rPr>
              <w:t>EU: Não consolidado</w:t>
            </w:r>
          </w:p>
          <w:p>
            <w:pPr>
              <w:jc w:val="left"/>
              <w:rPr>
                <w:noProof/>
                <w:spacing w:val="-2"/>
                <w:sz w:val="20"/>
              </w:rPr>
            </w:pPr>
            <w:r>
              <w:rPr>
                <w:noProof/>
                <w:sz w:val="20"/>
              </w:rPr>
              <w:t>Para o Modo 2</w:t>
            </w:r>
          </w:p>
          <w:p>
            <w:pPr>
              <w:jc w:val="left"/>
              <w:rPr>
                <w:noProof/>
                <w:sz w:val="20"/>
              </w:rPr>
            </w:pPr>
            <w:r>
              <w:rPr>
                <w:noProof/>
                <w:sz w:val="20"/>
              </w:rPr>
              <w:t xml:space="preserve">Nenhuma. </w:t>
            </w:r>
          </w:p>
        </w:tc>
      </w:tr>
      <w:tr>
        <w:trPr>
          <w:jc w:val="center"/>
        </w:trPr>
        <w:tc>
          <w:tcPr>
            <w:tcW w:w="3114" w:type="dxa"/>
          </w:tcPr>
          <w:p>
            <w:pPr>
              <w:suppressAutoHyphens/>
              <w:jc w:val="left"/>
              <w:rPr>
                <w:noProof/>
                <w:spacing w:val="-2"/>
                <w:sz w:val="20"/>
              </w:rPr>
            </w:pPr>
            <w:r>
              <w:rPr>
                <w:noProof/>
                <w:sz w:val="20"/>
              </w:rPr>
              <w:t>E. Transporte de produtos por condutas (</w:t>
            </w:r>
            <w:r>
              <w:rPr>
                <w:i/>
                <w:noProof/>
                <w:sz w:val="20"/>
              </w:rPr>
              <w:t>pipelines</w:t>
            </w:r>
            <w:r>
              <w:rPr>
                <w:noProof/>
                <w:sz w:val="20"/>
              </w:rPr>
              <w:t>), exceto combustíveis</w:t>
            </w:r>
            <w:r>
              <w:rPr>
                <w:rStyle w:val="FootnoteReference"/>
                <w:noProof/>
                <w:sz w:val="20"/>
              </w:rPr>
              <w:footnoteReference w:id="33"/>
            </w:r>
          </w:p>
          <w:p>
            <w:pPr>
              <w:suppressAutoHyphens/>
              <w:jc w:val="left"/>
              <w:rPr>
                <w:noProof/>
                <w:spacing w:val="-2"/>
                <w:sz w:val="20"/>
              </w:rPr>
            </w:pPr>
            <w:r>
              <w:rPr>
                <w:noProof/>
                <w:sz w:val="20"/>
              </w:rPr>
              <w:t>(CPC 7139)</w:t>
            </w:r>
          </w:p>
        </w:tc>
        <w:tc>
          <w:tcPr>
            <w:tcW w:w="6525" w:type="dxa"/>
          </w:tcPr>
          <w:p>
            <w:pPr>
              <w:jc w:val="left"/>
              <w:rPr>
                <w:noProof/>
                <w:sz w:val="20"/>
              </w:rPr>
            </w:pPr>
            <w:r>
              <w:rPr>
                <w:noProof/>
                <w:sz w:val="20"/>
              </w:rPr>
              <w:t>Para o Modo 1:</w:t>
            </w:r>
          </w:p>
          <w:p>
            <w:pPr>
              <w:jc w:val="left"/>
              <w:rPr>
                <w:noProof/>
                <w:sz w:val="20"/>
              </w:rPr>
            </w:pPr>
            <w:r>
              <w:rPr>
                <w:noProof/>
                <w:sz w:val="20"/>
              </w:rPr>
              <w:t>EU: Não consolidado</w:t>
            </w:r>
          </w:p>
          <w:p>
            <w:pPr>
              <w:jc w:val="left"/>
              <w:rPr>
                <w:noProof/>
                <w:sz w:val="20"/>
              </w:rPr>
            </w:pPr>
            <w:r>
              <w:rPr>
                <w:noProof/>
                <w:sz w:val="20"/>
              </w:rPr>
              <w:t>Para o Modo 2:</w:t>
            </w:r>
          </w:p>
          <w:p>
            <w:pPr>
              <w:jc w:val="left"/>
              <w:rPr>
                <w:noProof/>
                <w:sz w:val="20"/>
              </w:rPr>
            </w:pPr>
            <w:r>
              <w:rPr>
                <w:noProof/>
                <w:sz w:val="20"/>
              </w:rPr>
              <w:t>AT, BE, BG, CY, CZ, DE, DK, ES, EE, FI, FR, EL, IE, IT, LV, LU, MT, NL, PL, PT, RO, SK, SI, SE, UK: Não consolidado</w:t>
            </w:r>
          </w:p>
        </w:tc>
      </w:tr>
      <w:tr>
        <w:trPr>
          <w:jc w:val="center"/>
        </w:trPr>
        <w:tc>
          <w:tcPr>
            <w:tcW w:w="3114" w:type="dxa"/>
          </w:tcPr>
          <w:p>
            <w:pPr>
              <w:jc w:val="left"/>
              <w:rPr>
                <w:noProof/>
                <w:sz w:val="20"/>
              </w:rPr>
            </w:pPr>
            <w:r>
              <w:rPr>
                <w:noProof/>
                <w:sz w:val="20"/>
              </w:rPr>
              <w:t>12. SERVIÇOS AUXILIARES DE TRANSPORTE</w:t>
            </w:r>
            <w:r>
              <w:rPr>
                <w:rStyle w:val="FootnoteReference"/>
                <w:noProof/>
                <w:sz w:val="20"/>
              </w:rPr>
              <w:footnoteReference w:id="34"/>
            </w:r>
          </w:p>
        </w:tc>
        <w:tc>
          <w:tcPr>
            <w:tcW w:w="6525" w:type="dxa"/>
          </w:tcPr>
          <w:p>
            <w:pPr>
              <w:jc w:val="left"/>
              <w:rPr>
                <w:noProof/>
                <w:sz w:val="20"/>
              </w:rPr>
            </w:pPr>
          </w:p>
        </w:tc>
      </w:tr>
      <w:tr>
        <w:trPr>
          <w:jc w:val="center"/>
        </w:trPr>
        <w:tc>
          <w:tcPr>
            <w:tcW w:w="3114" w:type="dxa"/>
          </w:tcPr>
          <w:p>
            <w:pPr>
              <w:jc w:val="left"/>
              <w:rPr>
                <w:noProof/>
                <w:sz w:val="20"/>
              </w:rPr>
            </w:pPr>
            <w:r>
              <w:rPr>
                <w:noProof/>
                <w:sz w:val="20"/>
              </w:rPr>
              <w:t>A. Serviços auxiliares do transporte marítimo</w:t>
            </w:r>
          </w:p>
          <w:p>
            <w:pPr>
              <w:jc w:val="left"/>
              <w:rPr>
                <w:noProof/>
                <w:sz w:val="20"/>
              </w:rPr>
            </w:pPr>
            <w:r>
              <w:rPr>
                <w:noProof/>
                <w:sz w:val="20"/>
              </w:rPr>
              <w:t>a) Serviços de carga/descarga marítima</w:t>
            </w:r>
          </w:p>
          <w:p>
            <w:pPr>
              <w:jc w:val="left"/>
              <w:rPr>
                <w:noProof/>
                <w:sz w:val="20"/>
              </w:rPr>
            </w:pPr>
            <w:r>
              <w:rPr>
                <w:noProof/>
                <w:sz w:val="20"/>
              </w:rPr>
              <w:t>b) Serviços de entreposto e armazenagem</w:t>
            </w:r>
          </w:p>
          <w:p>
            <w:pPr>
              <w:jc w:val="left"/>
              <w:rPr>
                <w:noProof/>
                <w:sz w:val="20"/>
              </w:rPr>
            </w:pPr>
            <w:r>
              <w:rPr>
                <w:noProof/>
                <w:sz w:val="20"/>
              </w:rPr>
              <w:t xml:space="preserve">(parte da CPC 742) </w:t>
            </w:r>
          </w:p>
          <w:p>
            <w:pPr>
              <w:jc w:val="left"/>
              <w:rPr>
                <w:noProof/>
                <w:sz w:val="20"/>
              </w:rPr>
            </w:pPr>
            <w:r>
              <w:rPr>
                <w:noProof/>
                <w:sz w:val="20"/>
              </w:rPr>
              <w:t>c) Serviços de desalfandegamento</w:t>
            </w:r>
          </w:p>
          <w:p>
            <w:pPr>
              <w:jc w:val="left"/>
              <w:rPr>
                <w:noProof/>
                <w:sz w:val="20"/>
              </w:rPr>
            </w:pPr>
            <w:r>
              <w:rPr>
                <w:noProof/>
                <w:sz w:val="20"/>
              </w:rPr>
              <w:t>d) Serviços de contentores e de depósito</w:t>
            </w:r>
          </w:p>
          <w:p>
            <w:pPr>
              <w:jc w:val="left"/>
              <w:rPr>
                <w:noProof/>
                <w:sz w:val="20"/>
              </w:rPr>
            </w:pPr>
            <w:r>
              <w:rPr>
                <w:noProof/>
                <w:sz w:val="20"/>
              </w:rPr>
              <w:t xml:space="preserve">e) Serviços de agência marítima </w:t>
            </w:r>
          </w:p>
          <w:p>
            <w:pPr>
              <w:jc w:val="left"/>
              <w:rPr>
                <w:noProof/>
                <w:sz w:val="20"/>
              </w:rPr>
            </w:pPr>
            <w:r>
              <w:rPr>
                <w:noProof/>
                <w:sz w:val="20"/>
              </w:rPr>
              <w:t>f) Serviços de trânsito de frete marítimo</w:t>
            </w:r>
          </w:p>
          <w:p>
            <w:pPr>
              <w:jc w:val="left"/>
              <w:rPr>
                <w:noProof/>
              </w:rPr>
            </w:pPr>
            <w:r>
              <w:rPr>
                <w:noProof/>
                <w:sz w:val="20"/>
              </w:rPr>
              <w:t>g) Aluguer de embarcações com tripulação</w:t>
            </w:r>
          </w:p>
          <w:p>
            <w:pPr>
              <w:jc w:val="left"/>
              <w:rPr>
                <w:noProof/>
                <w:sz w:val="20"/>
              </w:rPr>
            </w:pPr>
            <w:r>
              <w:rPr>
                <w:noProof/>
                <w:sz w:val="20"/>
              </w:rPr>
              <w:t>(CPC 7213)</w:t>
            </w:r>
          </w:p>
          <w:p>
            <w:pPr>
              <w:jc w:val="left"/>
              <w:rPr>
                <w:noProof/>
                <w:spacing w:val="-2"/>
                <w:sz w:val="20"/>
              </w:rPr>
            </w:pPr>
            <w:r>
              <w:rPr>
                <w:noProof/>
                <w:sz w:val="20"/>
              </w:rPr>
              <w:t xml:space="preserve">h) Serviços de reboque e tração </w:t>
            </w:r>
          </w:p>
          <w:p>
            <w:pPr>
              <w:jc w:val="left"/>
              <w:rPr>
                <w:noProof/>
                <w:sz w:val="20"/>
              </w:rPr>
            </w:pPr>
            <w:r>
              <w:rPr>
                <w:noProof/>
                <w:sz w:val="20"/>
              </w:rPr>
              <w:t>(CPC 7214)</w:t>
            </w:r>
          </w:p>
          <w:p>
            <w:pPr>
              <w:jc w:val="left"/>
              <w:rPr>
                <w:noProof/>
                <w:sz w:val="20"/>
              </w:rPr>
            </w:pPr>
            <w:r>
              <w:rPr>
                <w:noProof/>
                <w:sz w:val="20"/>
              </w:rPr>
              <w:t xml:space="preserve">i) Serviços auxiliares do transporte marítimo </w:t>
            </w:r>
          </w:p>
          <w:p>
            <w:pPr>
              <w:jc w:val="left"/>
              <w:rPr>
                <w:noProof/>
                <w:sz w:val="20"/>
              </w:rPr>
            </w:pPr>
            <w:r>
              <w:rPr>
                <w:noProof/>
                <w:sz w:val="20"/>
              </w:rPr>
              <w:t>(parte da CPC 745)</w:t>
            </w:r>
          </w:p>
          <w:p>
            <w:pPr>
              <w:jc w:val="left"/>
              <w:rPr>
                <w:noProof/>
                <w:sz w:val="20"/>
              </w:rPr>
            </w:pPr>
            <w:r>
              <w:rPr>
                <w:noProof/>
                <w:sz w:val="20"/>
              </w:rPr>
              <w:t xml:space="preserve">g) Outros serviços de apoio e auxiliares </w:t>
            </w:r>
          </w:p>
          <w:p>
            <w:pPr>
              <w:jc w:val="left"/>
              <w:rPr>
                <w:noProof/>
              </w:rPr>
            </w:pPr>
            <w:r>
              <w:rPr>
                <w:noProof/>
                <w:sz w:val="20"/>
              </w:rPr>
              <w:t>(parte da CPC 749)</w:t>
            </w:r>
          </w:p>
        </w:tc>
        <w:tc>
          <w:tcPr>
            <w:tcW w:w="6525" w:type="dxa"/>
          </w:tcPr>
          <w:p>
            <w:pPr>
              <w:jc w:val="left"/>
              <w:rPr>
                <w:noProof/>
                <w:sz w:val="20"/>
              </w:rPr>
            </w:pPr>
            <w:r>
              <w:rPr>
                <w:noProof/>
                <w:sz w:val="20"/>
              </w:rPr>
              <w:t>Para o Modo 1:</w:t>
            </w:r>
          </w:p>
          <w:p>
            <w:pPr>
              <w:jc w:val="left"/>
              <w:rPr>
                <w:noProof/>
                <w:sz w:val="20"/>
              </w:rPr>
            </w:pPr>
            <w:r>
              <w:rPr>
                <w:noProof/>
                <w:sz w:val="20"/>
              </w:rPr>
              <w:t>EU: Não consolidado para serviços de carga/descarga marítima, serviços de entreposto e armazenagem, serviços de desalfandegamento, serviços de contentores e de depósito, serviços de reboque e tração e serviços de apoio ao transporte marítimo.</w:t>
            </w:r>
          </w:p>
          <w:p>
            <w:pPr>
              <w:jc w:val="left"/>
              <w:rPr>
                <w:noProof/>
                <w:sz w:val="20"/>
              </w:rPr>
            </w:pPr>
            <w:r>
              <w:rPr>
                <w:noProof/>
                <w:sz w:val="20"/>
              </w:rPr>
              <w:t>AT, BG, CY, CZ, DE, EE, HU, LT, MT, PL, RO, SK, SI, SE: Não consolidado para aluguer de embarcações com tripulação.</w:t>
            </w:r>
          </w:p>
          <w:p>
            <w:pPr>
              <w:spacing w:before="60" w:after="60"/>
              <w:jc w:val="left"/>
              <w:rPr>
                <w:noProof/>
                <w:sz w:val="20"/>
              </w:rPr>
            </w:pPr>
            <w:r>
              <w:rPr>
                <w:noProof/>
                <w:sz w:val="20"/>
              </w:rPr>
              <w:t>HR: Não consolidado, exceto para</w:t>
            </w:r>
            <w:r>
              <w:rPr>
                <w:noProof/>
                <w:sz w:val="20"/>
                <w:u w:val="single"/>
              </w:rPr>
              <w:t xml:space="preserve"> </w:t>
            </w:r>
            <w:r>
              <w:rPr>
                <w:noProof/>
                <w:sz w:val="20"/>
              </w:rPr>
              <w:t>f) Serviços de agências de transporte de carga.</w:t>
            </w:r>
          </w:p>
          <w:p>
            <w:pPr>
              <w:jc w:val="left"/>
              <w:rPr>
                <w:noProof/>
                <w:sz w:val="20"/>
              </w:rPr>
            </w:pPr>
          </w:p>
          <w:p>
            <w:pPr>
              <w:jc w:val="left"/>
              <w:rPr>
                <w:noProof/>
                <w:sz w:val="20"/>
              </w:rPr>
            </w:pPr>
            <w:r>
              <w:rPr>
                <w:noProof/>
                <w:sz w:val="20"/>
              </w:rPr>
              <w:t>Para o Modo 2:</w:t>
            </w:r>
          </w:p>
          <w:p>
            <w:pPr>
              <w:jc w:val="left"/>
              <w:rPr>
                <w:noProof/>
                <w:sz w:val="20"/>
              </w:rPr>
            </w:pPr>
            <w:r>
              <w:rPr>
                <w:noProof/>
                <w:sz w:val="20"/>
              </w:rPr>
              <w:t>Nenhuma.</w:t>
            </w:r>
          </w:p>
        </w:tc>
      </w:tr>
      <w:tr>
        <w:trPr>
          <w:jc w:val="center"/>
        </w:trPr>
        <w:tc>
          <w:tcPr>
            <w:tcW w:w="3114" w:type="dxa"/>
          </w:tcPr>
          <w:p>
            <w:pPr>
              <w:pageBreakBefore/>
              <w:jc w:val="left"/>
              <w:rPr>
                <w:noProof/>
                <w:spacing w:val="-2"/>
                <w:sz w:val="20"/>
              </w:rPr>
            </w:pPr>
            <w:r>
              <w:rPr>
                <w:noProof/>
                <w:sz w:val="20"/>
              </w:rPr>
              <w:t>B. Serviços auxiliares do transporte por vias interiores navegáveis</w:t>
            </w:r>
          </w:p>
          <w:p>
            <w:pPr>
              <w:jc w:val="left"/>
              <w:rPr>
                <w:noProof/>
                <w:sz w:val="20"/>
              </w:rPr>
            </w:pPr>
            <w:r>
              <w:rPr>
                <w:noProof/>
                <w:sz w:val="20"/>
              </w:rPr>
              <w:t>a) Serviços de carga e descarga</w:t>
            </w:r>
          </w:p>
          <w:p>
            <w:pPr>
              <w:jc w:val="left"/>
              <w:rPr>
                <w:noProof/>
                <w:sz w:val="20"/>
              </w:rPr>
            </w:pPr>
            <w:r>
              <w:rPr>
                <w:noProof/>
                <w:sz w:val="20"/>
              </w:rPr>
              <w:t>(parte da CPC 741)</w:t>
            </w:r>
          </w:p>
          <w:p>
            <w:pPr>
              <w:jc w:val="left"/>
              <w:rPr>
                <w:noProof/>
                <w:sz w:val="20"/>
              </w:rPr>
            </w:pPr>
            <w:r>
              <w:rPr>
                <w:noProof/>
                <w:sz w:val="20"/>
              </w:rPr>
              <w:t>b) Serviços de entreposto e armazenagem</w:t>
            </w:r>
          </w:p>
          <w:p>
            <w:pPr>
              <w:jc w:val="left"/>
              <w:rPr>
                <w:noProof/>
                <w:sz w:val="20"/>
              </w:rPr>
            </w:pPr>
            <w:r>
              <w:rPr>
                <w:noProof/>
                <w:sz w:val="20"/>
              </w:rPr>
              <w:t>(parte da CPC 742)</w:t>
            </w:r>
          </w:p>
          <w:p>
            <w:pPr>
              <w:jc w:val="left"/>
              <w:rPr>
                <w:noProof/>
                <w:sz w:val="20"/>
              </w:rPr>
            </w:pPr>
            <w:r>
              <w:rPr>
                <w:noProof/>
                <w:sz w:val="20"/>
              </w:rPr>
              <w:t xml:space="preserve">c) Serviços de agências de transporte de carga </w:t>
            </w:r>
          </w:p>
          <w:p>
            <w:pPr>
              <w:jc w:val="left"/>
              <w:rPr>
                <w:noProof/>
                <w:sz w:val="20"/>
              </w:rPr>
            </w:pPr>
            <w:r>
              <w:rPr>
                <w:noProof/>
                <w:sz w:val="20"/>
              </w:rPr>
              <w:t>(parte da CPC 748)</w:t>
            </w:r>
          </w:p>
          <w:p>
            <w:pPr>
              <w:jc w:val="left"/>
              <w:rPr>
                <w:noProof/>
                <w:sz w:val="20"/>
              </w:rPr>
            </w:pPr>
            <w:r>
              <w:rPr>
                <w:noProof/>
                <w:sz w:val="20"/>
              </w:rPr>
              <w:t>d) Aluguer de embarcações com tripulação</w:t>
            </w:r>
          </w:p>
          <w:p>
            <w:pPr>
              <w:jc w:val="left"/>
              <w:rPr>
                <w:noProof/>
                <w:sz w:val="20"/>
              </w:rPr>
            </w:pPr>
            <w:r>
              <w:rPr>
                <w:noProof/>
                <w:sz w:val="20"/>
              </w:rPr>
              <w:t>(CPC 7223)</w:t>
            </w:r>
          </w:p>
          <w:p>
            <w:pPr>
              <w:jc w:val="left"/>
              <w:rPr>
                <w:noProof/>
                <w:sz w:val="20"/>
              </w:rPr>
            </w:pPr>
            <w:r>
              <w:rPr>
                <w:noProof/>
                <w:sz w:val="20"/>
              </w:rPr>
              <w:t xml:space="preserve">e) Serviços de reboque e tração </w:t>
            </w:r>
          </w:p>
          <w:p>
            <w:pPr>
              <w:jc w:val="left"/>
              <w:rPr>
                <w:noProof/>
                <w:spacing w:val="-2"/>
                <w:sz w:val="20"/>
              </w:rPr>
            </w:pPr>
            <w:r>
              <w:rPr>
                <w:noProof/>
                <w:sz w:val="20"/>
              </w:rPr>
              <w:t>(CPC 7224)</w:t>
            </w:r>
          </w:p>
          <w:p>
            <w:pPr>
              <w:suppressAutoHyphens/>
              <w:jc w:val="left"/>
              <w:rPr>
                <w:noProof/>
                <w:spacing w:val="-2"/>
                <w:sz w:val="20"/>
              </w:rPr>
            </w:pPr>
            <w:r>
              <w:rPr>
                <w:noProof/>
                <w:sz w:val="20"/>
              </w:rPr>
              <w:t>f) Serviços de apoio ao transporte por vias interiores navegáveis</w:t>
            </w:r>
          </w:p>
          <w:p>
            <w:pPr>
              <w:jc w:val="left"/>
              <w:rPr>
                <w:noProof/>
                <w:spacing w:val="-2"/>
                <w:sz w:val="20"/>
              </w:rPr>
            </w:pPr>
            <w:r>
              <w:rPr>
                <w:noProof/>
                <w:sz w:val="20"/>
              </w:rPr>
              <w:t>(parte da CPC 745)</w:t>
            </w:r>
          </w:p>
          <w:p>
            <w:pPr>
              <w:jc w:val="left"/>
              <w:rPr>
                <w:rFonts w:ascii="CG Times (PCL6)" w:hAnsi="CG Times (PCL6)"/>
                <w:noProof/>
                <w:sz w:val="20"/>
              </w:rPr>
            </w:pPr>
            <w:r>
              <w:rPr>
                <w:noProof/>
                <w:sz w:val="20"/>
              </w:rPr>
              <w:t xml:space="preserve">g) Outros serviços de apoio e auxiliares </w:t>
            </w:r>
          </w:p>
          <w:p>
            <w:pPr>
              <w:jc w:val="left"/>
              <w:rPr>
                <w:rFonts w:ascii="CG Times (PCL6)" w:hAnsi="CG Times (PCL6)"/>
                <w:noProof/>
                <w:sz w:val="20"/>
              </w:rPr>
            </w:pPr>
            <w:r>
              <w:rPr>
                <w:noProof/>
                <w:sz w:val="20"/>
              </w:rPr>
              <w:t>(parte da CPC 749)</w:t>
            </w:r>
          </w:p>
        </w:tc>
        <w:tc>
          <w:tcPr>
            <w:tcW w:w="6525" w:type="dxa"/>
          </w:tcPr>
          <w:p>
            <w:pPr>
              <w:jc w:val="left"/>
              <w:rPr>
                <w:noProof/>
                <w:sz w:val="20"/>
              </w:rPr>
            </w:pPr>
            <w:r>
              <w:rPr>
                <w:noProof/>
                <w:sz w:val="20"/>
              </w:rPr>
              <w:t>Para o Modo 1</w:t>
            </w:r>
          </w:p>
          <w:p>
            <w:pPr>
              <w:jc w:val="left"/>
              <w:rPr>
                <w:noProof/>
                <w:sz w:val="20"/>
              </w:rPr>
            </w:pPr>
            <w:r>
              <w:rPr>
                <w:noProof/>
                <w:sz w:val="20"/>
              </w:rPr>
              <w:t>EU: As medidas baseadas em acordos existentes ou futuros sobre o acesso às vias navegáveis interiores (incluindo os acordos sobre a ligação Reno, Meno, Danúbio) reservam alguns dos direitos de tráfego a operadores baseados nos países correspondentes e que cumpram o requisito de nacionalidade no que respeita à propriedade. Regulamentos de aplicação da Convenção de Mannheim para a Navegação no Reno.</w:t>
            </w:r>
          </w:p>
          <w:p>
            <w:pPr>
              <w:jc w:val="left"/>
              <w:rPr>
                <w:noProof/>
                <w:sz w:val="20"/>
              </w:rPr>
            </w:pPr>
            <w:r>
              <w:rPr>
                <w:noProof/>
                <w:sz w:val="20"/>
              </w:rPr>
              <w:t>EU: Não consolidado para serviços de carga e descarga marítima, serviços de entreposto e armazenagem, serviços de reboque e tração e serviços de apoio ao transporte por vias interiores navegáveis.</w:t>
            </w:r>
          </w:p>
          <w:p>
            <w:pPr>
              <w:jc w:val="left"/>
              <w:rPr>
                <w:noProof/>
                <w:sz w:val="20"/>
              </w:rPr>
            </w:pPr>
            <w:r>
              <w:rPr>
                <w:noProof/>
                <w:sz w:val="20"/>
              </w:rPr>
              <w:t>AT, BG, CY, CZ, DE, EE, FI, HU, LV, LT, MT, RO, SK, SI, SE: Não consolidado para aluguer de embarcações com tripulação.</w:t>
            </w:r>
          </w:p>
          <w:p>
            <w:pPr>
              <w:jc w:val="left"/>
              <w:rPr>
                <w:noProof/>
                <w:sz w:val="20"/>
              </w:rPr>
            </w:pPr>
            <w:r>
              <w:rPr>
                <w:noProof/>
                <w:sz w:val="20"/>
              </w:rPr>
              <w:t>HR: Não consolidado</w:t>
            </w:r>
          </w:p>
          <w:p>
            <w:pPr>
              <w:jc w:val="left"/>
              <w:rPr>
                <w:noProof/>
                <w:sz w:val="20"/>
              </w:rPr>
            </w:pPr>
          </w:p>
          <w:p>
            <w:pPr>
              <w:jc w:val="left"/>
              <w:rPr>
                <w:noProof/>
                <w:sz w:val="20"/>
              </w:rPr>
            </w:pPr>
            <w:r>
              <w:rPr>
                <w:noProof/>
                <w:sz w:val="20"/>
              </w:rPr>
              <w:t>Para o Modo 2:</w:t>
            </w:r>
          </w:p>
          <w:p>
            <w:pPr>
              <w:jc w:val="left"/>
              <w:rPr>
                <w:noProof/>
                <w:spacing w:val="-2"/>
                <w:sz w:val="20"/>
              </w:rPr>
            </w:pPr>
            <w:r>
              <w:rPr>
                <w:noProof/>
                <w:sz w:val="20"/>
              </w:rPr>
              <w:t>Nenhuma.</w:t>
            </w:r>
          </w:p>
        </w:tc>
      </w:tr>
      <w:tr>
        <w:trPr>
          <w:trHeight w:val="951"/>
          <w:jc w:val="center"/>
        </w:trPr>
        <w:tc>
          <w:tcPr>
            <w:tcW w:w="3114" w:type="dxa"/>
          </w:tcPr>
          <w:p>
            <w:pPr>
              <w:jc w:val="left"/>
              <w:rPr>
                <w:noProof/>
                <w:sz w:val="20"/>
              </w:rPr>
            </w:pPr>
            <w:r>
              <w:rPr>
                <w:noProof/>
                <w:sz w:val="20"/>
              </w:rPr>
              <w:t>C. Serviços auxiliares do transporte ferroviário</w:t>
            </w:r>
          </w:p>
          <w:p>
            <w:pPr>
              <w:jc w:val="left"/>
              <w:rPr>
                <w:noProof/>
                <w:sz w:val="20"/>
              </w:rPr>
            </w:pPr>
            <w:r>
              <w:rPr>
                <w:noProof/>
                <w:sz w:val="20"/>
              </w:rPr>
              <w:t>a) Serviços de carga e descarga</w:t>
            </w:r>
          </w:p>
          <w:p>
            <w:pPr>
              <w:jc w:val="left"/>
              <w:rPr>
                <w:noProof/>
                <w:sz w:val="20"/>
              </w:rPr>
            </w:pPr>
            <w:r>
              <w:rPr>
                <w:noProof/>
                <w:sz w:val="20"/>
              </w:rPr>
              <w:t>(parte da CPC 741)</w:t>
            </w:r>
          </w:p>
          <w:p>
            <w:pPr>
              <w:jc w:val="left"/>
              <w:rPr>
                <w:noProof/>
                <w:sz w:val="20"/>
              </w:rPr>
            </w:pPr>
            <w:r>
              <w:rPr>
                <w:noProof/>
                <w:sz w:val="20"/>
              </w:rPr>
              <w:t>b) Serviços de entreposto e armazenagem</w:t>
            </w:r>
          </w:p>
          <w:p>
            <w:pPr>
              <w:jc w:val="left"/>
              <w:rPr>
                <w:noProof/>
                <w:sz w:val="20"/>
              </w:rPr>
            </w:pPr>
            <w:r>
              <w:rPr>
                <w:noProof/>
                <w:sz w:val="20"/>
              </w:rPr>
              <w:t>(parte da CPC 742)</w:t>
            </w:r>
          </w:p>
          <w:p>
            <w:pPr>
              <w:jc w:val="left"/>
              <w:rPr>
                <w:noProof/>
                <w:sz w:val="20"/>
              </w:rPr>
            </w:pPr>
            <w:r>
              <w:rPr>
                <w:noProof/>
                <w:sz w:val="20"/>
              </w:rPr>
              <w:t xml:space="preserve">c) Serviços de agências de transporte de carga </w:t>
            </w:r>
          </w:p>
          <w:p>
            <w:pPr>
              <w:jc w:val="left"/>
              <w:rPr>
                <w:rFonts w:ascii="CG Times (PCL6)" w:hAnsi="CG Times (PCL6)"/>
                <w:noProof/>
                <w:sz w:val="20"/>
              </w:rPr>
            </w:pPr>
            <w:r>
              <w:rPr>
                <w:noProof/>
                <w:sz w:val="20"/>
              </w:rPr>
              <w:t>(parte da CPC 748)</w:t>
            </w:r>
          </w:p>
          <w:p>
            <w:pPr>
              <w:jc w:val="left"/>
              <w:rPr>
                <w:noProof/>
                <w:sz w:val="20"/>
              </w:rPr>
            </w:pPr>
            <w:r>
              <w:rPr>
                <w:noProof/>
                <w:sz w:val="20"/>
              </w:rPr>
              <w:t xml:space="preserve">d) Serviços de reboque e tração </w:t>
            </w:r>
          </w:p>
          <w:p>
            <w:pPr>
              <w:suppressAutoHyphens/>
              <w:jc w:val="left"/>
              <w:rPr>
                <w:noProof/>
                <w:spacing w:val="-2"/>
                <w:sz w:val="20"/>
              </w:rPr>
            </w:pPr>
            <w:r>
              <w:rPr>
                <w:noProof/>
                <w:sz w:val="20"/>
              </w:rPr>
              <w:t>(CPC 7113)</w:t>
            </w:r>
          </w:p>
          <w:p>
            <w:pPr>
              <w:jc w:val="left"/>
              <w:rPr>
                <w:noProof/>
                <w:sz w:val="20"/>
              </w:rPr>
            </w:pPr>
            <w:r>
              <w:rPr>
                <w:noProof/>
                <w:sz w:val="20"/>
              </w:rPr>
              <w:t xml:space="preserve">e) Serviços de apoio aos serviços de transporte ferroviário </w:t>
            </w:r>
          </w:p>
          <w:p>
            <w:pPr>
              <w:suppressAutoHyphens/>
              <w:jc w:val="left"/>
              <w:rPr>
                <w:noProof/>
                <w:spacing w:val="-2"/>
                <w:sz w:val="20"/>
              </w:rPr>
            </w:pPr>
            <w:r>
              <w:rPr>
                <w:noProof/>
                <w:sz w:val="20"/>
              </w:rPr>
              <w:t>(CPC 743)</w:t>
            </w:r>
          </w:p>
          <w:p>
            <w:pPr>
              <w:jc w:val="left"/>
              <w:rPr>
                <w:rFonts w:ascii="CG Times (PCL6)" w:hAnsi="CG Times (PCL6)"/>
                <w:noProof/>
                <w:sz w:val="20"/>
              </w:rPr>
            </w:pPr>
            <w:r>
              <w:rPr>
                <w:noProof/>
                <w:sz w:val="20"/>
              </w:rPr>
              <w:t xml:space="preserve">f) Outros serviços de apoio e auxiliares </w:t>
            </w:r>
          </w:p>
          <w:p>
            <w:pPr>
              <w:suppressAutoHyphens/>
              <w:jc w:val="left"/>
              <w:rPr>
                <w:noProof/>
                <w:sz w:val="20"/>
              </w:rPr>
            </w:pPr>
            <w:r>
              <w:rPr>
                <w:noProof/>
                <w:sz w:val="20"/>
              </w:rPr>
              <w:t>(parte da CPC 749)</w:t>
            </w:r>
          </w:p>
        </w:tc>
        <w:tc>
          <w:tcPr>
            <w:tcW w:w="6525" w:type="dxa"/>
          </w:tcPr>
          <w:p>
            <w:pPr>
              <w:jc w:val="left"/>
              <w:rPr>
                <w:noProof/>
                <w:sz w:val="20"/>
              </w:rPr>
            </w:pPr>
            <w:r>
              <w:rPr>
                <w:noProof/>
                <w:sz w:val="20"/>
              </w:rPr>
              <w:t>Para o Modo 1</w:t>
            </w:r>
          </w:p>
          <w:p>
            <w:pPr>
              <w:jc w:val="left"/>
              <w:rPr>
                <w:noProof/>
                <w:sz w:val="20"/>
              </w:rPr>
            </w:pPr>
            <w:r>
              <w:rPr>
                <w:noProof/>
                <w:sz w:val="20"/>
              </w:rPr>
              <w:t>EU: Não consolidado para serviços de reboque e tração</w:t>
            </w:r>
          </w:p>
          <w:p>
            <w:pPr>
              <w:spacing w:before="60" w:after="60"/>
              <w:jc w:val="left"/>
              <w:rPr>
                <w:noProof/>
                <w:sz w:val="20"/>
              </w:rPr>
            </w:pPr>
            <w:r>
              <w:rPr>
                <w:noProof/>
                <w:sz w:val="20"/>
              </w:rPr>
              <w:t>HR: Não consolidado, exceto para c) Serviços de agências de transporte de carga.</w:t>
            </w:r>
          </w:p>
          <w:p>
            <w:pPr>
              <w:jc w:val="left"/>
              <w:rPr>
                <w:noProof/>
                <w:sz w:val="20"/>
              </w:rPr>
            </w:pPr>
          </w:p>
          <w:p>
            <w:pPr>
              <w:jc w:val="left"/>
              <w:rPr>
                <w:noProof/>
                <w:sz w:val="20"/>
              </w:rPr>
            </w:pPr>
            <w:r>
              <w:rPr>
                <w:noProof/>
                <w:sz w:val="20"/>
              </w:rPr>
              <w:t>Para o Modo 2</w:t>
            </w:r>
          </w:p>
          <w:p>
            <w:pPr>
              <w:jc w:val="left"/>
              <w:rPr>
                <w:noProof/>
                <w:sz w:val="20"/>
              </w:rPr>
            </w:pPr>
            <w:r>
              <w:rPr>
                <w:noProof/>
                <w:sz w:val="20"/>
              </w:rPr>
              <w:t>Nenhuma.</w:t>
            </w:r>
          </w:p>
          <w:p>
            <w:pPr>
              <w:jc w:val="left"/>
              <w:rPr>
                <w:noProof/>
                <w:sz w:val="20"/>
              </w:rPr>
            </w:pPr>
          </w:p>
        </w:tc>
      </w:tr>
      <w:tr>
        <w:trPr>
          <w:trHeight w:val="951"/>
          <w:jc w:val="center"/>
        </w:trPr>
        <w:tc>
          <w:tcPr>
            <w:tcW w:w="3114" w:type="dxa"/>
          </w:tcPr>
          <w:p>
            <w:pPr>
              <w:pageBreakBefore/>
              <w:jc w:val="left"/>
              <w:rPr>
                <w:noProof/>
                <w:sz w:val="20"/>
              </w:rPr>
            </w:pPr>
            <w:r>
              <w:rPr>
                <w:noProof/>
                <w:sz w:val="20"/>
              </w:rPr>
              <w:t>D. Serviços auxiliares do transporte rodoviário</w:t>
            </w:r>
          </w:p>
          <w:p>
            <w:pPr>
              <w:jc w:val="left"/>
              <w:rPr>
                <w:noProof/>
                <w:sz w:val="20"/>
              </w:rPr>
            </w:pPr>
            <w:r>
              <w:rPr>
                <w:noProof/>
                <w:sz w:val="20"/>
              </w:rPr>
              <w:t>a) Serviços de carga e descarga</w:t>
            </w:r>
          </w:p>
          <w:p>
            <w:pPr>
              <w:jc w:val="left"/>
              <w:rPr>
                <w:noProof/>
                <w:sz w:val="20"/>
              </w:rPr>
            </w:pPr>
            <w:r>
              <w:rPr>
                <w:noProof/>
                <w:sz w:val="20"/>
              </w:rPr>
              <w:t>(parte da CPC 741)</w:t>
            </w:r>
          </w:p>
          <w:p>
            <w:pPr>
              <w:jc w:val="left"/>
              <w:rPr>
                <w:noProof/>
                <w:sz w:val="20"/>
              </w:rPr>
            </w:pPr>
            <w:r>
              <w:rPr>
                <w:noProof/>
                <w:sz w:val="20"/>
              </w:rPr>
              <w:t>b) Serviços de entreposto e armazenagem</w:t>
            </w:r>
          </w:p>
          <w:p>
            <w:pPr>
              <w:jc w:val="left"/>
              <w:rPr>
                <w:noProof/>
                <w:sz w:val="20"/>
              </w:rPr>
            </w:pPr>
            <w:r>
              <w:rPr>
                <w:noProof/>
                <w:sz w:val="20"/>
              </w:rPr>
              <w:t>(parte da CPC 742)</w:t>
            </w:r>
          </w:p>
          <w:p>
            <w:pPr>
              <w:jc w:val="left"/>
              <w:rPr>
                <w:noProof/>
                <w:sz w:val="20"/>
              </w:rPr>
            </w:pPr>
            <w:r>
              <w:rPr>
                <w:noProof/>
                <w:sz w:val="20"/>
              </w:rPr>
              <w:t xml:space="preserve">c) Serviços de agências de transporte de carga </w:t>
            </w:r>
          </w:p>
          <w:p>
            <w:pPr>
              <w:jc w:val="left"/>
              <w:rPr>
                <w:noProof/>
                <w:sz w:val="20"/>
              </w:rPr>
            </w:pPr>
            <w:r>
              <w:rPr>
                <w:noProof/>
                <w:sz w:val="20"/>
              </w:rPr>
              <w:t>(parte da CPC 748)</w:t>
            </w:r>
          </w:p>
          <w:p>
            <w:pPr>
              <w:jc w:val="left"/>
              <w:rPr>
                <w:noProof/>
                <w:sz w:val="20"/>
              </w:rPr>
            </w:pPr>
            <w:r>
              <w:rPr>
                <w:noProof/>
                <w:sz w:val="20"/>
              </w:rPr>
              <w:t>d) Aluguer de veículos rodoviários comerciais com condutor</w:t>
            </w:r>
          </w:p>
          <w:p>
            <w:pPr>
              <w:jc w:val="left"/>
              <w:rPr>
                <w:noProof/>
                <w:spacing w:val="-2"/>
                <w:sz w:val="20"/>
              </w:rPr>
            </w:pPr>
            <w:r>
              <w:rPr>
                <w:noProof/>
                <w:sz w:val="20"/>
              </w:rPr>
              <w:t>(CPC 7124)</w:t>
            </w:r>
          </w:p>
          <w:p>
            <w:pPr>
              <w:tabs>
                <w:tab w:val="left" w:pos="-1440"/>
              </w:tabs>
              <w:jc w:val="left"/>
              <w:rPr>
                <w:noProof/>
                <w:spacing w:val="-2"/>
                <w:sz w:val="20"/>
              </w:rPr>
            </w:pPr>
            <w:r>
              <w:rPr>
                <w:noProof/>
                <w:sz w:val="20"/>
              </w:rPr>
              <w:t xml:space="preserve">e) Serviços de apoio ao transporte rodoviário </w:t>
            </w:r>
          </w:p>
          <w:p>
            <w:pPr>
              <w:jc w:val="left"/>
              <w:rPr>
                <w:noProof/>
                <w:spacing w:val="-2"/>
                <w:sz w:val="20"/>
              </w:rPr>
            </w:pPr>
            <w:r>
              <w:rPr>
                <w:noProof/>
                <w:sz w:val="20"/>
              </w:rPr>
              <w:t>(CPC 744)</w:t>
            </w:r>
          </w:p>
          <w:p>
            <w:pPr>
              <w:suppressAutoHyphens/>
              <w:jc w:val="left"/>
              <w:rPr>
                <w:noProof/>
                <w:spacing w:val="-2"/>
                <w:sz w:val="20"/>
              </w:rPr>
            </w:pPr>
            <w:r>
              <w:rPr>
                <w:noProof/>
                <w:sz w:val="20"/>
              </w:rPr>
              <w:t>f) Outros serviços de apoio e auxiliares</w:t>
            </w:r>
          </w:p>
          <w:p>
            <w:pPr>
              <w:jc w:val="left"/>
              <w:rPr>
                <w:noProof/>
                <w:sz w:val="20"/>
              </w:rPr>
            </w:pPr>
            <w:r>
              <w:rPr>
                <w:noProof/>
                <w:sz w:val="20"/>
              </w:rPr>
              <w:t>(parte da CPC 749)</w:t>
            </w:r>
          </w:p>
        </w:tc>
        <w:tc>
          <w:tcPr>
            <w:tcW w:w="6525" w:type="dxa"/>
          </w:tcPr>
          <w:p>
            <w:pPr>
              <w:jc w:val="left"/>
              <w:rPr>
                <w:noProof/>
                <w:sz w:val="20"/>
              </w:rPr>
            </w:pPr>
            <w:r>
              <w:rPr>
                <w:noProof/>
                <w:sz w:val="20"/>
              </w:rPr>
              <w:t>Para o Modo 1</w:t>
            </w:r>
          </w:p>
          <w:p>
            <w:pPr>
              <w:jc w:val="left"/>
              <w:rPr>
                <w:noProof/>
                <w:sz w:val="20"/>
              </w:rPr>
            </w:pPr>
            <w:r>
              <w:rPr>
                <w:noProof/>
                <w:sz w:val="20"/>
              </w:rPr>
              <w:t>AT, BG, CY, CZ, EE, HU, LV, LT, MT, PL, RO, SK, SI, SE: Não consolidado para aluguer de veículos rodoviários comerciais com condutor</w:t>
            </w:r>
          </w:p>
          <w:p>
            <w:pPr>
              <w:jc w:val="left"/>
              <w:rPr>
                <w:noProof/>
                <w:sz w:val="20"/>
                <w:u w:val="single"/>
              </w:rPr>
            </w:pPr>
            <w:r>
              <w:rPr>
                <w:noProof/>
                <w:sz w:val="20"/>
              </w:rPr>
              <w:t>HR: Não consolidado, exceto para c) Serviços de agências de transporte de carga e f) Serviços de apoio ao transporte rodoviário que estão sujeitos a autorização.</w:t>
            </w:r>
            <w:r>
              <w:rPr>
                <w:noProof/>
                <w:sz w:val="20"/>
                <w:u w:val="single"/>
              </w:rPr>
              <w:t xml:space="preserve"> </w:t>
            </w:r>
          </w:p>
          <w:p>
            <w:pPr>
              <w:jc w:val="left"/>
              <w:rPr>
                <w:noProof/>
                <w:sz w:val="20"/>
              </w:rPr>
            </w:pPr>
          </w:p>
          <w:p>
            <w:pPr>
              <w:jc w:val="left"/>
              <w:rPr>
                <w:noProof/>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E. Serviços auxiliares dos serviços de transporte aéreo</w:t>
            </w:r>
          </w:p>
        </w:tc>
        <w:tc>
          <w:tcPr>
            <w:tcW w:w="6525" w:type="dxa"/>
          </w:tcPr>
          <w:p>
            <w:pPr>
              <w:rPr>
                <w:noProof/>
                <w:spacing w:val="-2"/>
                <w:sz w:val="20"/>
              </w:rPr>
            </w:pPr>
          </w:p>
        </w:tc>
      </w:tr>
      <w:tr>
        <w:trPr>
          <w:jc w:val="center"/>
        </w:trPr>
        <w:tc>
          <w:tcPr>
            <w:tcW w:w="3114" w:type="dxa"/>
          </w:tcPr>
          <w:p>
            <w:pPr>
              <w:jc w:val="left"/>
              <w:rPr>
                <w:rFonts w:ascii="CG Times (PCL6)" w:hAnsi="CG Times (PCL6)"/>
                <w:noProof/>
                <w:sz w:val="20"/>
              </w:rPr>
            </w:pPr>
            <w:r>
              <w:rPr>
                <w:noProof/>
                <w:sz w:val="20"/>
              </w:rPr>
              <w:t xml:space="preserve">a) Serviços de assistência em escala (incluindo </w:t>
            </w:r>
            <w:r>
              <w:rPr>
                <w:i/>
                <w:noProof/>
                <w:sz w:val="20"/>
              </w:rPr>
              <w:t>catering</w:t>
            </w:r>
            <w:r>
              <w:rPr>
                <w:noProof/>
                <w:sz w:val="20"/>
              </w:rPr>
              <w:t>)</w:t>
            </w:r>
          </w:p>
        </w:tc>
        <w:tc>
          <w:tcPr>
            <w:tcW w:w="6525" w:type="dxa"/>
          </w:tcPr>
          <w:p>
            <w:pPr>
              <w:rPr>
                <w:noProof/>
                <w:sz w:val="20"/>
              </w:rPr>
            </w:pPr>
            <w:r>
              <w:rPr>
                <w:noProof/>
                <w:sz w:val="20"/>
              </w:rPr>
              <w:t>Para os Modos 1 e 2</w:t>
            </w:r>
          </w:p>
          <w:p>
            <w:pPr>
              <w:rPr>
                <w:noProof/>
                <w:sz w:val="20"/>
              </w:rPr>
            </w:pPr>
            <w:r>
              <w:rPr>
                <w:noProof/>
                <w:sz w:val="20"/>
              </w:rPr>
              <w:t>EU: Não consolidado, exceto para fornecimento de refeições (</w:t>
            </w:r>
            <w:r>
              <w:rPr>
                <w:i/>
                <w:noProof/>
                <w:sz w:val="20"/>
              </w:rPr>
              <w:t>catering</w:t>
            </w:r>
            <w:r>
              <w:rPr>
                <w:noProof/>
                <w:sz w:val="20"/>
              </w:rPr>
              <w:t>)</w:t>
            </w:r>
          </w:p>
        </w:tc>
      </w:tr>
      <w:tr>
        <w:trPr>
          <w:jc w:val="center"/>
        </w:trPr>
        <w:tc>
          <w:tcPr>
            <w:tcW w:w="3114" w:type="dxa"/>
          </w:tcPr>
          <w:p>
            <w:pPr>
              <w:jc w:val="left"/>
              <w:rPr>
                <w:noProof/>
                <w:sz w:val="20"/>
              </w:rPr>
            </w:pPr>
            <w:r>
              <w:rPr>
                <w:noProof/>
                <w:sz w:val="20"/>
              </w:rPr>
              <w:t>b) Serviços de entreposto e armazenagem</w:t>
            </w:r>
          </w:p>
          <w:p>
            <w:pPr>
              <w:jc w:val="left"/>
              <w:rPr>
                <w:noProof/>
                <w:sz w:val="20"/>
              </w:rPr>
            </w:pPr>
            <w:r>
              <w:rPr>
                <w:noProof/>
                <w:sz w:val="20"/>
              </w:rPr>
              <w:t>(parte da CPC 742)</w:t>
            </w:r>
          </w:p>
        </w:tc>
        <w:tc>
          <w:tcPr>
            <w:tcW w:w="6525" w:type="dxa"/>
          </w:tcPr>
          <w:p>
            <w:pPr>
              <w:rPr>
                <w:noProof/>
                <w:sz w:val="20"/>
              </w:rPr>
            </w:pPr>
            <w:r>
              <w:rPr>
                <w:noProof/>
                <w:sz w:val="20"/>
              </w:rPr>
              <w:t>Para os Modos 1 e 2</w:t>
            </w:r>
          </w:p>
          <w:p>
            <w:pPr>
              <w:rPr>
                <w:noProof/>
                <w:sz w:val="20"/>
              </w:rPr>
            </w:pPr>
            <w:r>
              <w:rPr>
                <w:noProof/>
                <w:sz w:val="20"/>
              </w:rPr>
              <w:t>Nenhuma.</w:t>
            </w:r>
          </w:p>
        </w:tc>
      </w:tr>
      <w:tr>
        <w:trPr>
          <w:jc w:val="center"/>
        </w:trPr>
        <w:tc>
          <w:tcPr>
            <w:tcW w:w="3114" w:type="dxa"/>
          </w:tcPr>
          <w:p>
            <w:pPr>
              <w:jc w:val="left"/>
              <w:rPr>
                <w:noProof/>
                <w:sz w:val="20"/>
              </w:rPr>
            </w:pPr>
            <w:r>
              <w:rPr>
                <w:noProof/>
                <w:sz w:val="20"/>
              </w:rPr>
              <w:t xml:space="preserve">c) Serviços de agências de transporte de carga </w:t>
            </w:r>
          </w:p>
          <w:p>
            <w:pPr>
              <w:jc w:val="left"/>
              <w:rPr>
                <w:noProof/>
                <w:sz w:val="20"/>
              </w:rPr>
            </w:pPr>
            <w:r>
              <w:rPr>
                <w:noProof/>
                <w:sz w:val="20"/>
              </w:rPr>
              <w:t>(parte da CPC 748)</w:t>
            </w:r>
          </w:p>
        </w:tc>
        <w:tc>
          <w:tcPr>
            <w:tcW w:w="6525" w:type="dxa"/>
          </w:tcPr>
          <w:p>
            <w:pPr>
              <w:rPr>
                <w:noProof/>
                <w:sz w:val="20"/>
              </w:rPr>
            </w:pPr>
            <w:r>
              <w:rPr>
                <w:noProof/>
                <w:sz w:val="20"/>
              </w:rPr>
              <w:t>Para os Modos 1 e 2</w:t>
            </w:r>
          </w:p>
          <w:p>
            <w:pPr>
              <w:rPr>
                <w:noProof/>
                <w:sz w:val="20"/>
              </w:rPr>
            </w:pPr>
            <w:r>
              <w:rPr>
                <w:noProof/>
                <w:sz w:val="20"/>
              </w:rPr>
              <w:t>Nenhuma.</w:t>
            </w:r>
          </w:p>
        </w:tc>
      </w:tr>
      <w:tr>
        <w:trPr>
          <w:jc w:val="center"/>
        </w:trPr>
        <w:tc>
          <w:tcPr>
            <w:tcW w:w="3114" w:type="dxa"/>
          </w:tcPr>
          <w:p>
            <w:pPr>
              <w:tabs>
                <w:tab w:val="left" w:pos="453"/>
                <w:tab w:val="left" w:pos="850"/>
                <w:tab w:val="left" w:pos="1248"/>
                <w:tab w:val="left" w:pos="1645"/>
                <w:tab w:val="left" w:pos="2042"/>
                <w:tab w:val="left" w:pos="2439"/>
                <w:tab w:val="left" w:pos="2836"/>
                <w:tab w:val="left" w:pos="3234"/>
                <w:tab w:val="left" w:pos="3631"/>
                <w:tab w:val="left" w:pos="4028"/>
                <w:tab w:val="left" w:pos="4425"/>
                <w:tab w:val="left" w:pos="4822"/>
                <w:tab w:val="left" w:pos="5220"/>
                <w:tab w:val="left" w:pos="5617"/>
                <w:tab w:val="left" w:pos="6014"/>
                <w:tab w:val="left" w:pos="6411"/>
                <w:tab w:val="left" w:pos="6808"/>
                <w:tab w:val="left" w:pos="7206"/>
                <w:tab w:val="left" w:pos="7603"/>
                <w:tab w:val="left" w:pos="8000"/>
                <w:tab w:val="left" w:pos="8397"/>
                <w:tab w:val="left" w:pos="8794"/>
                <w:tab w:val="left" w:pos="9192"/>
                <w:tab w:val="left" w:pos="9589"/>
                <w:tab w:val="left" w:pos="9986"/>
                <w:tab w:val="left" w:pos="10383"/>
                <w:tab w:val="left" w:pos="10780"/>
                <w:tab w:val="left" w:pos="11178"/>
                <w:tab w:val="left" w:pos="11575"/>
                <w:tab w:val="left" w:pos="11972"/>
                <w:tab w:val="left" w:pos="12369"/>
                <w:tab w:val="left" w:pos="12766"/>
                <w:tab w:val="left" w:pos="13164"/>
                <w:tab w:val="left" w:pos="13561"/>
                <w:tab w:val="left" w:pos="13958"/>
                <w:tab w:val="left" w:pos="14355"/>
                <w:tab w:val="left" w:pos="14752"/>
                <w:tab w:val="left" w:pos="15150"/>
              </w:tabs>
              <w:suppressAutoHyphens/>
              <w:ind w:left="453" w:hanging="453"/>
              <w:jc w:val="left"/>
              <w:rPr>
                <w:noProof/>
                <w:spacing w:val="-2"/>
                <w:sz w:val="20"/>
              </w:rPr>
            </w:pPr>
            <w:r>
              <w:rPr>
                <w:noProof/>
                <w:sz w:val="20"/>
              </w:rPr>
              <w:t>d) Aluguer de aeronaves com tripulação</w:t>
            </w:r>
          </w:p>
          <w:p>
            <w:pPr>
              <w:jc w:val="left"/>
              <w:rPr>
                <w:noProof/>
                <w:sz w:val="20"/>
              </w:rPr>
            </w:pPr>
            <w:r>
              <w:rPr>
                <w:noProof/>
                <w:sz w:val="20"/>
              </w:rPr>
              <w:t>(CPC 734)</w:t>
            </w:r>
          </w:p>
        </w:tc>
        <w:tc>
          <w:tcPr>
            <w:tcW w:w="6525" w:type="dxa"/>
          </w:tcPr>
          <w:p>
            <w:pPr>
              <w:rPr>
                <w:noProof/>
                <w:sz w:val="20"/>
              </w:rPr>
            </w:pPr>
            <w:r>
              <w:rPr>
                <w:noProof/>
                <w:sz w:val="20"/>
              </w:rPr>
              <w:t>Para os Modos 1 e 2</w:t>
            </w:r>
          </w:p>
          <w:p>
            <w:pPr>
              <w:rPr>
                <w:noProof/>
                <w:sz w:val="20"/>
              </w:rPr>
            </w:pPr>
            <w:r>
              <w:rPr>
                <w:noProof/>
                <w:sz w:val="20"/>
              </w:rPr>
              <w:t xml:space="preserve">EU: As aeronaves utilizadas pelas transportadoras aéreas da União Europeia devem estar registadas no Estado-Membro da União Europeia que concedeu a licença à transportadora ou em outra parte na União Europeia. Podem ser concedidas derrogações para contratos de locação de curto prazo ou em circunstâncias excecionais. </w:t>
            </w:r>
          </w:p>
        </w:tc>
      </w:tr>
      <w:tr>
        <w:trPr>
          <w:jc w:val="center"/>
        </w:trPr>
        <w:tc>
          <w:tcPr>
            <w:tcW w:w="3114" w:type="dxa"/>
          </w:tcPr>
          <w:p>
            <w:pPr>
              <w:jc w:val="left"/>
              <w:rPr>
                <w:noProof/>
                <w:spacing w:val="-2"/>
                <w:sz w:val="20"/>
              </w:rPr>
            </w:pPr>
            <w:r>
              <w:rPr>
                <w:noProof/>
                <w:sz w:val="20"/>
              </w:rPr>
              <w:t>e) Vendas e comercialização</w:t>
            </w:r>
          </w:p>
          <w:p>
            <w:pPr>
              <w:suppressAutoHyphens/>
              <w:jc w:val="left"/>
              <w:rPr>
                <w:noProof/>
                <w:spacing w:val="-2"/>
                <w:sz w:val="20"/>
              </w:rPr>
            </w:pPr>
            <w:r>
              <w:rPr>
                <w:noProof/>
                <w:sz w:val="20"/>
              </w:rPr>
              <w:t>f) Sistemas informatizados de reserva</w:t>
            </w:r>
          </w:p>
        </w:tc>
        <w:tc>
          <w:tcPr>
            <w:tcW w:w="6525" w:type="dxa"/>
          </w:tcPr>
          <w:p>
            <w:pPr>
              <w:rPr>
                <w:noProof/>
                <w:spacing w:val="-2"/>
                <w:sz w:val="20"/>
              </w:rPr>
            </w:pPr>
            <w:r>
              <w:rPr>
                <w:noProof/>
                <w:sz w:val="20"/>
              </w:rPr>
              <w:t>Para os Modos 1 e 2</w:t>
            </w:r>
          </w:p>
          <w:p>
            <w:pPr>
              <w:rPr>
                <w:noProof/>
                <w:sz w:val="20"/>
              </w:rPr>
            </w:pPr>
            <w:r>
              <w:rPr>
                <w:noProof/>
                <w:sz w:val="20"/>
              </w:rPr>
              <w:t>EU: Obrigações específicas para prestadores de serviços que operam sistemas informatizados de reserva na posse ou controlados por transportadoras aéreas.</w:t>
            </w:r>
          </w:p>
        </w:tc>
      </w:tr>
      <w:tr>
        <w:trPr>
          <w:jc w:val="center"/>
        </w:trPr>
        <w:tc>
          <w:tcPr>
            <w:tcW w:w="3114" w:type="dxa"/>
          </w:tcPr>
          <w:p>
            <w:pPr>
              <w:pageBreakBefore/>
              <w:jc w:val="left"/>
              <w:rPr>
                <w:noProof/>
                <w:sz w:val="20"/>
              </w:rPr>
            </w:pPr>
            <w:r>
              <w:rPr>
                <w:noProof/>
                <w:sz w:val="20"/>
              </w:rPr>
              <w:t>g) Gestão de aeroportos</w:t>
            </w:r>
          </w:p>
        </w:tc>
        <w:tc>
          <w:tcPr>
            <w:tcW w:w="6525" w:type="dxa"/>
          </w:tcPr>
          <w:p>
            <w:pPr>
              <w:jc w:val="left"/>
              <w:rPr>
                <w:noProof/>
                <w:sz w:val="20"/>
              </w:rPr>
            </w:pPr>
            <w:r>
              <w:rPr>
                <w:noProof/>
                <w:sz w:val="20"/>
              </w:rPr>
              <w:t>Para o Modo 1</w:t>
            </w:r>
          </w:p>
          <w:p>
            <w:pPr>
              <w:jc w:val="left"/>
              <w:rPr>
                <w:noProof/>
                <w:sz w:val="20"/>
              </w:rPr>
            </w:pPr>
            <w:r>
              <w:rPr>
                <w:noProof/>
                <w:sz w:val="20"/>
              </w:rPr>
              <w:t>EU: Não consolidado</w:t>
            </w:r>
          </w:p>
          <w:p>
            <w:pPr>
              <w:jc w:val="left"/>
              <w:rPr>
                <w:noProof/>
                <w:sz w:val="20"/>
              </w:rPr>
            </w:pPr>
            <w:r>
              <w:rPr>
                <w:noProof/>
                <w:sz w:val="20"/>
              </w:rPr>
              <w:t>Para o Modo 2</w:t>
            </w:r>
          </w:p>
          <w:p>
            <w:pPr>
              <w:jc w:val="left"/>
              <w:rPr>
                <w:noProof/>
              </w:rPr>
            </w:pPr>
            <w:r>
              <w:rPr>
                <w:noProof/>
                <w:sz w:val="20"/>
              </w:rPr>
              <w:t>Nenhuma.</w:t>
            </w:r>
          </w:p>
        </w:tc>
      </w:tr>
      <w:tr>
        <w:trPr>
          <w:trHeight w:val="1900"/>
          <w:jc w:val="center"/>
        </w:trPr>
        <w:tc>
          <w:tcPr>
            <w:tcW w:w="3114" w:type="dxa"/>
          </w:tcPr>
          <w:p>
            <w:pPr>
              <w:jc w:val="left"/>
              <w:rPr>
                <w:noProof/>
                <w:spacing w:val="-2"/>
                <w:sz w:val="20"/>
              </w:rPr>
            </w:pPr>
            <w:r>
              <w:rPr>
                <w:noProof/>
                <w:sz w:val="20"/>
              </w:rPr>
              <w:t>F. Serviços auxiliares do transporte de produtos por condutas (</w:t>
            </w:r>
            <w:r>
              <w:rPr>
                <w:i/>
                <w:noProof/>
                <w:sz w:val="20"/>
              </w:rPr>
              <w:t>pipelines</w:t>
            </w:r>
            <w:r>
              <w:rPr>
                <w:noProof/>
                <w:sz w:val="20"/>
              </w:rPr>
              <w:t>), exceto combustíveis</w:t>
            </w:r>
            <w:r>
              <w:rPr>
                <w:rStyle w:val="FootnoteReference"/>
                <w:noProof/>
                <w:sz w:val="20"/>
              </w:rPr>
              <w:footnoteReference w:id="35"/>
            </w:r>
          </w:p>
          <w:p>
            <w:pPr>
              <w:jc w:val="left"/>
              <w:rPr>
                <w:noProof/>
                <w:spacing w:val="-2"/>
                <w:sz w:val="20"/>
              </w:rPr>
            </w:pPr>
            <w:r>
              <w:rPr>
                <w:noProof/>
                <w:sz w:val="20"/>
              </w:rPr>
              <w:t>a) Serviços de entreposto e armazenagem de produtos transportados por condutas (</w:t>
            </w:r>
            <w:r>
              <w:rPr>
                <w:i/>
                <w:noProof/>
                <w:sz w:val="20"/>
              </w:rPr>
              <w:t>pipelines</w:t>
            </w:r>
            <w:r>
              <w:rPr>
                <w:noProof/>
                <w:sz w:val="20"/>
              </w:rPr>
              <w:t xml:space="preserve">), exceto combustíveis </w:t>
            </w:r>
          </w:p>
          <w:p>
            <w:pPr>
              <w:jc w:val="left"/>
              <w:rPr>
                <w:noProof/>
                <w:spacing w:val="-2"/>
                <w:sz w:val="20"/>
              </w:rPr>
            </w:pPr>
            <w:r>
              <w:rPr>
                <w:noProof/>
                <w:sz w:val="20"/>
              </w:rPr>
              <w:t>(parte da CPC 742)</w:t>
            </w:r>
          </w:p>
        </w:tc>
        <w:tc>
          <w:tcPr>
            <w:tcW w:w="6525" w:type="dxa"/>
          </w:tcPr>
          <w:p>
            <w:pPr>
              <w:jc w:val="left"/>
              <w:rPr>
                <w:noProof/>
                <w:sz w:val="20"/>
              </w:rPr>
            </w:pPr>
            <w:r>
              <w:rPr>
                <w:noProof/>
                <w:sz w:val="20"/>
              </w:rPr>
              <w:t>Para o Modo 1:</w:t>
            </w:r>
          </w:p>
          <w:p>
            <w:pPr>
              <w:jc w:val="left"/>
              <w:rPr>
                <w:noProof/>
                <w:sz w:val="20"/>
              </w:rPr>
            </w:pPr>
            <w:r>
              <w:rPr>
                <w:noProof/>
                <w:sz w:val="20"/>
              </w:rPr>
              <w:t>AT, BE, BG, CY, CZ, DE, DK, ES, FI, FR, EL, HR, IE, IT, LT, LU, MT, NL, PL, PT, RO, SK, SI, SE, UK: Não consolidado</w:t>
            </w:r>
          </w:p>
          <w:p>
            <w:pPr>
              <w:jc w:val="left"/>
              <w:rPr>
                <w:noProof/>
                <w:sz w:val="20"/>
              </w:rPr>
            </w:pPr>
            <w:r>
              <w:rPr>
                <w:noProof/>
                <w:sz w:val="20"/>
              </w:rPr>
              <w:t>Para o Modo 2</w:t>
            </w:r>
          </w:p>
          <w:p>
            <w:pPr>
              <w:jc w:val="left"/>
              <w:rPr>
                <w:rFonts w:ascii="CG Times (PCL6)" w:hAnsi="CG Times (PCL6)"/>
                <w:noProof/>
              </w:rPr>
            </w:pPr>
            <w:r>
              <w:rPr>
                <w:noProof/>
                <w:sz w:val="20"/>
              </w:rPr>
              <w:t>Nenhuma.</w:t>
            </w:r>
          </w:p>
        </w:tc>
      </w:tr>
      <w:tr>
        <w:trPr>
          <w:jc w:val="center"/>
        </w:trPr>
        <w:tc>
          <w:tcPr>
            <w:tcW w:w="3114" w:type="dxa"/>
          </w:tcPr>
          <w:p>
            <w:pPr>
              <w:jc w:val="left"/>
              <w:rPr>
                <w:noProof/>
                <w:sz w:val="20"/>
              </w:rPr>
            </w:pPr>
            <w:r>
              <w:rPr>
                <w:noProof/>
                <w:sz w:val="20"/>
              </w:rPr>
              <w:t>13. SERVIÇOS ENERGÉTICOS</w:t>
            </w:r>
          </w:p>
        </w:tc>
        <w:tc>
          <w:tcPr>
            <w:tcW w:w="6525" w:type="dxa"/>
          </w:tcPr>
          <w:p>
            <w:pPr>
              <w:jc w:val="left"/>
              <w:rPr>
                <w:noProof/>
                <w:spacing w:val="-2"/>
                <w:sz w:val="20"/>
              </w:rPr>
            </w:pPr>
          </w:p>
        </w:tc>
      </w:tr>
      <w:tr>
        <w:trPr>
          <w:jc w:val="center"/>
        </w:trPr>
        <w:tc>
          <w:tcPr>
            <w:tcW w:w="3114" w:type="dxa"/>
          </w:tcPr>
          <w:p>
            <w:pPr>
              <w:jc w:val="left"/>
              <w:rPr>
                <w:noProof/>
                <w:sz w:val="20"/>
              </w:rPr>
            </w:pPr>
            <w:r>
              <w:rPr>
                <w:noProof/>
                <w:sz w:val="20"/>
              </w:rPr>
              <w:t>A. Serviços relacionados com a mineração</w:t>
            </w:r>
          </w:p>
          <w:p>
            <w:pPr>
              <w:jc w:val="left"/>
              <w:rPr>
                <w:noProof/>
                <w:sz w:val="20"/>
              </w:rPr>
            </w:pPr>
            <w:r>
              <w:rPr>
                <w:noProof/>
                <w:sz w:val="20"/>
              </w:rPr>
              <w:t>(CPC 883)</w:t>
            </w:r>
            <w:r>
              <w:rPr>
                <w:rStyle w:val="FootnoteReference"/>
                <w:noProof/>
                <w:sz w:val="20"/>
              </w:rPr>
              <w:footnoteReference w:id="36"/>
            </w:r>
            <w:r>
              <w:rPr>
                <w:noProof/>
                <w:sz w:val="20"/>
              </w:rPr>
              <w:t xml:space="preserve"> </w:t>
            </w:r>
          </w:p>
        </w:tc>
        <w:tc>
          <w:tcPr>
            <w:tcW w:w="6525" w:type="dxa"/>
          </w:tcPr>
          <w:p>
            <w:pPr>
              <w:jc w:val="left"/>
              <w:rPr>
                <w:noProof/>
                <w:spacing w:val="-2"/>
                <w:sz w:val="20"/>
              </w:rPr>
            </w:pPr>
            <w:r>
              <w:rPr>
                <w:noProof/>
                <w:sz w:val="20"/>
              </w:rPr>
              <w:t>Para os Modos 1 e 2</w:t>
            </w:r>
          </w:p>
          <w:p>
            <w:pPr>
              <w:jc w:val="left"/>
              <w:rPr>
                <w:noProof/>
                <w:spacing w:val="-2"/>
                <w:sz w:val="20"/>
              </w:rPr>
            </w:pPr>
            <w:r>
              <w:rPr>
                <w:noProof/>
                <w:sz w:val="20"/>
              </w:rPr>
              <w:t>Nenhuma.</w:t>
            </w:r>
          </w:p>
        </w:tc>
      </w:tr>
      <w:tr>
        <w:trPr>
          <w:jc w:val="center"/>
        </w:trPr>
        <w:tc>
          <w:tcPr>
            <w:tcW w:w="3114" w:type="dxa"/>
          </w:tcPr>
          <w:p>
            <w:pPr>
              <w:suppressAutoHyphens/>
              <w:jc w:val="left"/>
              <w:rPr>
                <w:noProof/>
                <w:spacing w:val="-2"/>
                <w:sz w:val="20"/>
              </w:rPr>
            </w:pPr>
            <w:r>
              <w:rPr>
                <w:noProof/>
                <w:sz w:val="20"/>
              </w:rPr>
              <w:t>B. Transporte de combustíveis por condutas (</w:t>
            </w:r>
            <w:r>
              <w:rPr>
                <w:i/>
                <w:noProof/>
                <w:sz w:val="20"/>
              </w:rPr>
              <w:t>pipelines</w:t>
            </w:r>
            <w:r>
              <w:rPr>
                <w:noProof/>
                <w:sz w:val="20"/>
              </w:rPr>
              <w:t>)</w:t>
            </w:r>
          </w:p>
          <w:p>
            <w:pPr>
              <w:jc w:val="left"/>
              <w:rPr>
                <w:noProof/>
                <w:sz w:val="20"/>
              </w:rPr>
            </w:pPr>
            <w:r>
              <w:rPr>
                <w:noProof/>
                <w:sz w:val="20"/>
              </w:rPr>
              <w:t>(CPC 7131)</w:t>
            </w:r>
          </w:p>
        </w:tc>
        <w:tc>
          <w:tcPr>
            <w:tcW w:w="6525" w:type="dxa"/>
          </w:tcPr>
          <w:p>
            <w:pPr>
              <w:jc w:val="left"/>
              <w:rPr>
                <w:noProof/>
                <w:sz w:val="20"/>
              </w:rPr>
            </w:pPr>
            <w:r>
              <w:rPr>
                <w:noProof/>
                <w:sz w:val="20"/>
              </w:rPr>
              <w:t>Para o Modo 1:</w:t>
            </w:r>
          </w:p>
          <w:p>
            <w:pPr>
              <w:jc w:val="left"/>
              <w:rPr>
                <w:noProof/>
                <w:sz w:val="20"/>
              </w:rPr>
            </w:pPr>
            <w:r>
              <w:rPr>
                <w:noProof/>
                <w:sz w:val="20"/>
              </w:rPr>
              <w:t>EU: Não consolidado</w:t>
            </w:r>
          </w:p>
          <w:p>
            <w:pPr>
              <w:jc w:val="left"/>
              <w:rPr>
                <w:noProof/>
                <w:sz w:val="20"/>
              </w:rPr>
            </w:pPr>
            <w:r>
              <w:rPr>
                <w:noProof/>
                <w:sz w:val="20"/>
              </w:rPr>
              <w:t>Para o Modo 2:</w:t>
            </w:r>
          </w:p>
          <w:p>
            <w:pPr>
              <w:jc w:val="left"/>
              <w:rPr>
                <w:noProof/>
                <w:spacing w:val="-2"/>
                <w:sz w:val="20"/>
              </w:rPr>
            </w:pPr>
            <w:r>
              <w:rPr>
                <w:noProof/>
                <w:sz w:val="20"/>
              </w:rPr>
              <w:t>AT, BE, BG, CY, CZ, DE, DK, ES, EE, FI, FR, EL, IE, IT, LV, LU, MT, NL, PL, PT, RO, SK, SI, SE, UK: Não consolidado</w:t>
            </w:r>
          </w:p>
        </w:tc>
      </w:tr>
      <w:tr>
        <w:trPr>
          <w:jc w:val="center"/>
        </w:trPr>
        <w:tc>
          <w:tcPr>
            <w:tcW w:w="3114" w:type="dxa"/>
          </w:tcPr>
          <w:p>
            <w:pPr>
              <w:jc w:val="left"/>
              <w:rPr>
                <w:noProof/>
                <w:sz w:val="20"/>
              </w:rPr>
            </w:pPr>
            <w:r>
              <w:rPr>
                <w:noProof/>
                <w:sz w:val="20"/>
              </w:rPr>
              <w:t>C. Serviços de entreposto e armazenagem de combustíveis transportados por condutas (</w:t>
            </w:r>
            <w:r>
              <w:rPr>
                <w:i/>
                <w:noProof/>
                <w:sz w:val="20"/>
              </w:rPr>
              <w:t>pipelines</w:t>
            </w:r>
            <w:r>
              <w:rPr>
                <w:noProof/>
                <w:sz w:val="20"/>
              </w:rPr>
              <w:t>)</w:t>
            </w:r>
          </w:p>
          <w:p>
            <w:pPr>
              <w:jc w:val="left"/>
              <w:rPr>
                <w:noProof/>
                <w:sz w:val="20"/>
              </w:rPr>
            </w:pPr>
            <w:r>
              <w:rPr>
                <w:noProof/>
                <w:sz w:val="20"/>
              </w:rPr>
              <w:t>(parte da CPC 742)</w:t>
            </w:r>
          </w:p>
        </w:tc>
        <w:tc>
          <w:tcPr>
            <w:tcW w:w="6525" w:type="dxa"/>
          </w:tcPr>
          <w:p>
            <w:pPr>
              <w:jc w:val="left"/>
              <w:rPr>
                <w:noProof/>
                <w:sz w:val="20"/>
              </w:rPr>
            </w:pPr>
            <w:r>
              <w:rPr>
                <w:noProof/>
                <w:sz w:val="20"/>
              </w:rPr>
              <w:t>Para o Modo 1:</w:t>
            </w:r>
          </w:p>
          <w:p>
            <w:pPr>
              <w:jc w:val="left"/>
              <w:rPr>
                <w:noProof/>
                <w:sz w:val="20"/>
              </w:rPr>
            </w:pPr>
            <w:r>
              <w:rPr>
                <w:noProof/>
                <w:sz w:val="20"/>
              </w:rPr>
              <w:t>AT, BE, BG, CY, CZ, DE, DK, ES, FI, FR, EL, HR, IE, IT, LT, LU, MT, NL, PL, PT, RO, SK, SI, SE, UK: Não consolidado</w:t>
            </w:r>
          </w:p>
          <w:p>
            <w:pPr>
              <w:jc w:val="left"/>
              <w:rPr>
                <w:noProof/>
                <w:sz w:val="20"/>
              </w:rPr>
            </w:pPr>
            <w:r>
              <w:rPr>
                <w:noProof/>
                <w:sz w:val="20"/>
              </w:rPr>
              <w:t>Para o Modo 2</w:t>
            </w:r>
          </w:p>
          <w:p>
            <w:pPr>
              <w:jc w:val="left"/>
              <w:rPr>
                <w:noProof/>
                <w:sz w:val="20"/>
              </w:rPr>
            </w:pPr>
            <w:r>
              <w:rPr>
                <w:noProof/>
                <w:sz w:val="20"/>
              </w:rPr>
              <w:t>Nenhuma.</w:t>
            </w:r>
          </w:p>
        </w:tc>
      </w:tr>
      <w:tr>
        <w:trPr>
          <w:jc w:val="center"/>
        </w:trPr>
        <w:tc>
          <w:tcPr>
            <w:tcW w:w="3114" w:type="dxa"/>
          </w:tcPr>
          <w:p>
            <w:pPr>
              <w:pageBreakBefore/>
              <w:suppressAutoHyphens/>
              <w:jc w:val="left"/>
              <w:rPr>
                <w:noProof/>
                <w:sz w:val="20"/>
              </w:rPr>
            </w:pPr>
            <w:r>
              <w:rPr>
                <w:noProof/>
                <w:sz w:val="20"/>
              </w:rPr>
              <w:t>D. Venda por grosso de combustíveis sólidos, líquidos, gasosos e produtos derivados</w:t>
            </w:r>
          </w:p>
          <w:p>
            <w:pPr>
              <w:suppressAutoHyphens/>
              <w:jc w:val="left"/>
              <w:rPr>
                <w:noProof/>
                <w:sz w:val="20"/>
              </w:rPr>
            </w:pPr>
            <w:r>
              <w:rPr>
                <w:noProof/>
                <w:sz w:val="20"/>
              </w:rPr>
              <w:t>(CPC 62271)</w:t>
            </w:r>
          </w:p>
          <w:p>
            <w:pPr>
              <w:suppressAutoHyphens/>
              <w:jc w:val="left"/>
              <w:rPr>
                <w:noProof/>
                <w:spacing w:val="-2"/>
                <w:sz w:val="20"/>
              </w:rPr>
            </w:pPr>
            <w:r>
              <w:rPr>
                <w:noProof/>
                <w:sz w:val="20"/>
              </w:rPr>
              <w:t>e serviços de venda por grosso de eletricidade, vapor e água quente</w:t>
            </w:r>
          </w:p>
        </w:tc>
        <w:tc>
          <w:tcPr>
            <w:tcW w:w="6525" w:type="dxa"/>
          </w:tcPr>
          <w:p>
            <w:pPr>
              <w:jc w:val="left"/>
              <w:rPr>
                <w:noProof/>
                <w:sz w:val="20"/>
              </w:rPr>
            </w:pPr>
            <w:r>
              <w:rPr>
                <w:noProof/>
                <w:sz w:val="20"/>
              </w:rPr>
              <w:t>Para o Modo 1:</w:t>
            </w:r>
          </w:p>
          <w:p>
            <w:pPr>
              <w:jc w:val="left"/>
              <w:rPr>
                <w:noProof/>
                <w:sz w:val="20"/>
              </w:rPr>
            </w:pPr>
            <w:r>
              <w:rPr>
                <w:noProof/>
                <w:sz w:val="20"/>
              </w:rPr>
              <w:t>EU: Não consolidado para serviços de venda por grosso de eletricidade, vapor e água quente.</w:t>
            </w:r>
          </w:p>
          <w:p>
            <w:pPr>
              <w:jc w:val="left"/>
              <w:rPr>
                <w:noProof/>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z w:val="20"/>
              </w:rPr>
            </w:pPr>
            <w:r>
              <w:rPr>
                <w:noProof/>
                <w:sz w:val="20"/>
              </w:rPr>
              <w:t>E. Serviços de venda a retalho de carburantes</w:t>
            </w:r>
          </w:p>
          <w:p>
            <w:pPr>
              <w:jc w:val="left"/>
              <w:rPr>
                <w:noProof/>
                <w:sz w:val="20"/>
              </w:rPr>
            </w:pPr>
            <w:r>
              <w:rPr>
                <w:noProof/>
                <w:sz w:val="20"/>
              </w:rPr>
              <w:t>(CPC 613)</w:t>
            </w:r>
          </w:p>
        </w:tc>
        <w:tc>
          <w:tcPr>
            <w:tcW w:w="6525" w:type="dxa"/>
          </w:tcPr>
          <w:p>
            <w:pPr>
              <w:jc w:val="left"/>
              <w:rPr>
                <w:noProof/>
                <w:sz w:val="20"/>
              </w:rPr>
            </w:pPr>
            <w:r>
              <w:rPr>
                <w:noProof/>
                <w:sz w:val="20"/>
              </w:rPr>
              <w:t>Para o Modo 1:</w:t>
            </w:r>
          </w:p>
          <w:p>
            <w:pPr>
              <w:jc w:val="left"/>
              <w:rPr>
                <w:noProof/>
                <w:sz w:val="20"/>
              </w:rPr>
            </w:pPr>
            <w:r>
              <w:rPr>
                <w:noProof/>
                <w:sz w:val="20"/>
              </w:rPr>
              <w:t>EU: Não consolidado</w:t>
            </w:r>
          </w:p>
          <w:p>
            <w:pPr>
              <w:jc w:val="left"/>
              <w:rPr>
                <w:noProof/>
                <w:sz w:val="20"/>
              </w:rPr>
            </w:pPr>
            <w:r>
              <w:rPr>
                <w:noProof/>
                <w:sz w:val="20"/>
              </w:rPr>
              <w:t>Para o Modo 2</w:t>
            </w:r>
          </w:p>
          <w:p>
            <w:pPr>
              <w:jc w:val="left"/>
              <w:rPr>
                <w:noProof/>
                <w:sz w:val="20"/>
              </w:rPr>
            </w:pPr>
            <w:r>
              <w:rPr>
                <w:noProof/>
                <w:sz w:val="20"/>
              </w:rPr>
              <w:t>Nenhuma.</w:t>
            </w:r>
          </w:p>
        </w:tc>
      </w:tr>
      <w:tr>
        <w:trPr>
          <w:jc w:val="center"/>
        </w:trPr>
        <w:tc>
          <w:tcPr>
            <w:tcW w:w="3114" w:type="dxa"/>
          </w:tcPr>
          <w:p>
            <w:pPr>
              <w:suppressAutoHyphens/>
              <w:jc w:val="left"/>
              <w:rPr>
                <w:noProof/>
                <w:sz w:val="20"/>
              </w:rPr>
            </w:pPr>
            <w:r>
              <w:rPr>
                <w:noProof/>
                <w:sz w:val="20"/>
              </w:rPr>
              <w:t>F. Venda a retalho de fuelóleo, gás engarrafado, carvão e lenha</w:t>
            </w:r>
          </w:p>
          <w:p>
            <w:pPr>
              <w:jc w:val="left"/>
              <w:rPr>
                <w:noProof/>
                <w:sz w:val="20"/>
              </w:rPr>
            </w:pPr>
            <w:r>
              <w:rPr>
                <w:noProof/>
                <w:sz w:val="20"/>
              </w:rPr>
              <w:t>(CPC 63297)</w:t>
            </w:r>
          </w:p>
          <w:p>
            <w:pPr>
              <w:jc w:val="left"/>
              <w:rPr>
                <w:noProof/>
                <w:sz w:val="20"/>
              </w:rPr>
            </w:pPr>
            <w:r>
              <w:rPr>
                <w:noProof/>
                <w:sz w:val="20"/>
              </w:rPr>
              <w:t>e serviços de venda a retalho de eletricidade, gás (não engarrafado), vapor e água quente</w:t>
            </w:r>
          </w:p>
        </w:tc>
        <w:tc>
          <w:tcPr>
            <w:tcW w:w="6525" w:type="dxa"/>
          </w:tcPr>
          <w:p>
            <w:pPr>
              <w:jc w:val="left"/>
              <w:rPr>
                <w:noProof/>
                <w:sz w:val="20"/>
              </w:rPr>
            </w:pPr>
            <w:r>
              <w:rPr>
                <w:noProof/>
                <w:sz w:val="20"/>
              </w:rPr>
              <w:t>Para o Modo 1:</w:t>
            </w:r>
          </w:p>
          <w:p>
            <w:pPr>
              <w:jc w:val="left"/>
              <w:rPr>
                <w:noProof/>
                <w:sz w:val="20"/>
              </w:rPr>
            </w:pPr>
            <w:r>
              <w:rPr>
                <w:noProof/>
                <w:sz w:val="20"/>
              </w:rPr>
              <w:t>EU: Não consolidado para serviços de venda a retalho de eletricidade, gás (não engarrafado), vapor e água quente.</w:t>
            </w:r>
          </w:p>
          <w:p>
            <w:pPr>
              <w:jc w:val="left"/>
              <w:rPr>
                <w:noProof/>
                <w:sz w:val="20"/>
              </w:rPr>
            </w:pPr>
            <w:r>
              <w:rPr>
                <w:noProof/>
                <w:sz w:val="20"/>
              </w:rPr>
              <w:t>BE, BG, CY, CZ, DE, DK, ES, FR, EL, IE, IT, LU, MT, NL, PL, PT, SK, UK: Não consolidado para vendas a retalho de fuelóleo, gás engarrafado, carvão e lenha, exceto para encomendas por correio, sempre que: nenhuma</w:t>
            </w:r>
          </w:p>
          <w:p>
            <w:pPr>
              <w:jc w:val="left"/>
              <w:rPr>
                <w:noProof/>
                <w:sz w:val="20"/>
              </w:rPr>
            </w:pPr>
            <w:r>
              <w:rPr>
                <w:noProof/>
                <w:sz w:val="20"/>
              </w:rPr>
              <w:t>Para o Modo 2</w:t>
            </w:r>
          </w:p>
          <w:p>
            <w:pPr>
              <w:jc w:val="left"/>
              <w:rPr>
                <w:noProof/>
                <w:sz w:val="20"/>
              </w:rPr>
            </w:pPr>
            <w:r>
              <w:rPr>
                <w:noProof/>
                <w:sz w:val="20"/>
              </w:rPr>
              <w:t>Nenhuma.</w:t>
            </w:r>
          </w:p>
        </w:tc>
      </w:tr>
      <w:tr>
        <w:trPr>
          <w:jc w:val="center"/>
        </w:trPr>
        <w:tc>
          <w:tcPr>
            <w:tcW w:w="3114" w:type="dxa"/>
          </w:tcPr>
          <w:p>
            <w:pPr>
              <w:tabs>
                <w:tab w:val="left" w:pos="1155"/>
                <w:tab w:val="left" w:pos="1440"/>
                <w:tab w:val="left" w:pos="1495"/>
                <w:tab w:val="left" w:pos="1834"/>
                <w:tab w:val="left" w:pos="2174"/>
                <w:tab w:val="left" w:pos="2514"/>
                <w:tab w:val="left" w:pos="2853"/>
                <w:tab w:val="left" w:pos="3193"/>
                <w:tab w:val="left" w:pos="3532"/>
                <w:tab w:val="left" w:pos="3872"/>
                <w:tab w:val="left" w:pos="4212"/>
                <w:tab w:val="left" w:pos="4551"/>
                <w:tab w:val="left" w:pos="4891"/>
                <w:tab w:val="left" w:pos="5230"/>
                <w:tab w:val="left" w:pos="5570"/>
                <w:tab w:val="left" w:pos="5910"/>
                <w:tab w:val="left" w:pos="6249"/>
                <w:tab w:val="left" w:pos="6589"/>
                <w:tab w:val="left" w:pos="6928"/>
                <w:tab w:val="left" w:pos="7268"/>
                <w:tab w:val="left" w:pos="7608"/>
                <w:tab w:val="left" w:pos="7947"/>
                <w:tab w:val="left" w:pos="8287"/>
                <w:tab w:val="left" w:pos="8626"/>
                <w:tab w:val="left" w:pos="8966"/>
                <w:tab w:val="left" w:pos="9306"/>
                <w:tab w:val="left" w:pos="9645"/>
                <w:tab w:val="left" w:pos="9985"/>
                <w:tab w:val="left" w:pos="10324"/>
                <w:tab w:val="left" w:pos="10664"/>
                <w:tab w:val="left" w:pos="11004"/>
                <w:tab w:val="left" w:pos="11343"/>
                <w:tab w:val="left" w:pos="11683"/>
                <w:tab w:val="left" w:pos="12022"/>
                <w:tab w:val="left" w:pos="12362"/>
                <w:tab w:val="left" w:pos="12702"/>
                <w:tab w:val="left" w:pos="13041"/>
                <w:tab w:val="left" w:pos="13381"/>
                <w:tab w:val="left" w:pos="13720"/>
              </w:tabs>
              <w:suppressAutoHyphens/>
              <w:jc w:val="left"/>
              <w:rPr>
                <w:noProof/>
                <w:spacing w:val="-2"/>
                <w:sz w:val="20"/>
              </w:rPr>
            </w:pPr>
            <w:r>
              <w:rPr>
                <w:noProof/>
                <w:sz w:val="20"/>
              </w:rPr>
              <w:t>G. Serviços relacionados com a distribuição de energia</w:t>
            </w:r>
          </w:p>
          <w:p>
            <w:pPr>
              <w:jc w:val="left"/>
              <w:rPr>
                <w:noProof/>
                <w:sz w:val="20"/>
              </w:rPr>
            </w:pPr>
            <w:r>
              <w:rPr>
                <w:noProof/>
                <w:sz w:val="20"/>
              </w:rPr>
              <w:t>(CPC 887)</w:t>
            </w:r>
          </w:p>
        </w:tc>
        <w:tc>
          <w:tcPr>
            <w:tcW w:w="6525" w:type="dxa"/>
          </w:tcPr>
          <w:p>
            <w:pPr>
              <w:jc w:val="left"/>
              <w:rPr>
                <w:noProof/>
                <w:sz w:val="20"/>
              </w:rPr>
            </w:pPr>
            <w:r>
              <w:rPr>
                <w:noProof/>
                <w:sz w:val="20"/>
              </w:rPr>
              <w:t>Para o Modo 1:</w:t>
            </w:r>
          </w:p>
          <w:p>
            <w:pPr>
              <w:jc w:val="left"/>
              <w:rPr>
                <w:noProof/>
                <w:sz w:val="20"/>
              </w:rPr>
            </w:pPr>
            <w:r>
              <w:rPr>
                <w:noProof/>
                <w:sz w:val="20"/>
              </w:rPr>
              <w:t>EU: Não consolidado, exceto para serviços de consultoria, sempre que: nenhuma.</w:t>
            </w:r>
          </w:p>
          <w:p>
            <w:pPr>
              <w:jc w:val="left"/>
              <w:rPr>
                <w:noProof/>
                <w:sz w:val="20"/>
              </w:rPr>
            </w:pPr>
            <w:r>
              <w:rPr>
                <w:noProof/>
                <w:sz w:val="20"/>
              </w:rPr>
              <w:t>Para o Modo 2</w:t>
            </w:r>
          </w:p>
          <w:p>
            <w:pPr>
              <w:jc w:val="left"/>
              <w:rPr>
                <w:noProof/>
                <w:spacing w:val="-2"/>
                <w:sz w:val="20"/>
              </w:rPr>
            </w:pPr>
            <w:r>
              <w:rPr>
                <w:noProof/>
                <w:sz w:val="20"/>
              </w:rPr>
              <w:t>Nenhuma.</w:t>
            </w:r>
          </w:p>
        </w:tc>
      </w:tr>
      <w:tr>
        <w:trPr>
          <w:jc w:val="center"/>
        </w:trPr>
        <w:tc>
          <w:tcPr>
            <w:tcW w:w="3114" w:type="dxa"/>
          </w:tcPr>
          <w:p>
            <w:pPr>
              <w:jc w:val="left"/>
              <w:rPr>
                <w:noProof/>
                <w:spacing w:val="-2"/>
                <w:sz w:val="20"/>
              </w:rPr>
            </w:pPr>
            <w:r>
              <w:rPr>
                <w:noProof/>
                <w:sz w:val="20"/>
              </w:rPr>
              <w:t>14. OUTROS SERVIÇOS NÃO INCLUÍDOS EM OUTRA PARTE</w:t>
            </w:r>
          </w:p>
        </w:tc>
        <w:tc>
          <w:tcPr>
            <w:tcW w:w="6525" w:type="dxa"/>
          </w:tcPr>
          <w:p>
            <w:pPr>
              <w:jc w:val="left"/>
              <w:rPr>
                <w:noProof/>
                <w:spacing w:val="-2"/>
                <w:sz w:val="20"/>
              </w:rPr>
            </w:pPr>
          </w:p>
        </w:tc>
      </w:tr>
      <w:tr>
        <w:trPr>
          <w:jc w:val="center"/>
        </w:trPr>
        <w:tc>
          <w:tcPr>
            <w:tcW w:w="3114" w:type="dxa"/>
          </w:tcPr>
          <w:p>
            <w:pPr>
              <w:jc w:val="left"/>
              <w:rPr>
                <w:noProof/>
                <w:sz w:val="20"/>
              </w:rPr>
            </w:pPr>
            <w:r>
              <w:rPr>
                <w:noProof/>
                <w:sz w:val="20"/>
              </w:rPr>
              <w:t>a) Serviços de lavandaria, limpeza e tinturaria</w:t>
            </w:r>
          </w:p>
          <w:p>
            <w:pPr>
              <w:jc w:val="left"/>
              <w:rPr>
                <w:noProof/>
                <w:sz w:val="20"/>
              </w:rPr>
            </w:pPr>
            <w:r>
              <w:rPr>
                <w:noProof/>
                <w:sz w:val="20"/>
              </w:rPr>
              <w:t>(CPC 9701)</w:t>
            </w:r>
          </w:p>
        </w:tc>
        <w:tc>
          <w:tcPr>
            <w:tcW w:w="6525" w:type="dxa"/>
          </w:tcPr>
          <w:p>
            <w:pPr>
              <w:jc w:val="left"/>
              <w:rPr>
                <w:noProof/>
                <w:sz w:val="20"/>
              </w:rPr>
            </w:pPr>
            <w:r>
              <w:rPr>
                <w:noProof/>
                <w:sz w:val="20"/>
              </w:rPr>
              <w:t>Para o Modo 1:</w:t>
            </w:r>
          </w:p>
          <w:p>
            <w:pPr>
              <w:jc w:val="left"/>
              <w:rPr>
                <w:noProof/>
                <w:sz w:val="20"/>
              </w:rPr>
            </w:pPr>
            <w:r>
              <w:rPr>
                <w:noProof/>
                <w:sz w:val="20"/>
              </w:rPr>
              <w:t>EU: Não consolidado</w:t>
            </w:r>
          </w:p>
          <w:p>
            <w:pPr>
              <w:jc w:val="left"/>
              <w:rPr>
                <w:noProof/>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pacing w:val="-2"/>
                <w:sz w:val="20"/>
              </w:rPr>
            </w:pPr>
            <w:r>
              <w:rPr>
                <w:noProof/>
                <w:sz w:val="20"/>
              </w:rPr>
              <w:t>b) Serviços de cabeleireiro</w:t>
            </w:r>
            <w:r>
              <w:rPr>
                <w:noProof/>
              </w:rPr>
              <w:br/>
            </w:r>
            <w:r>
              <w:rPr>
                <w:noProof/>
                <w:sz w:val="20"/>
              </w:rPr>
              <w:t>(CPC 97021)</w:t>
            </w:r>
          </w:p>
        </w:tc>
        <w:tc>
          <w:tcPr>
            <w:tcW w:w="6525" w:type="dxa"/>
          </w:tcPr>
          <w:p>
            <w:pPr>
              <w:jc w:val="left"/>
              <w:rPr>
                <w:noProof/>
                <w:sz w:val="20"/>
              </w:rPr>
            </w:pPr>
            <w:r>
              <w:rPr>
                <w:noProof/>
                <w:sz w:val="20"/>
              </w:rPr>
              <w:t>Para o Modo 1:</w:t>
            </w:r>
          </w:p>
          <w:p>
            <w:pPr>
              <w:jc w:val="left"/>
              <w:rPr>
                <w:noProof/>
                <w:sz w:val="20"/>
              </w:rPr>
            </w:pPr>
            <w:r>
              <w:rPr>
                <w:noProof/>
                <w:sz w:val="20"/>
              </w:rPr>
              <w:t>EU: Não consolidado</w:t>
            </w:r>
          </w:p>
          <w:p>
            <w:pPr>
              <w:jc w:val="left"/>
              <w:rPr>
                <w:noProof/>
                <w:sz w:val="20"/>
              </w:rPr>
            </w:pPr>
            <w:r>
              <w:rPr>
                <w:noProof/>
                <w:sz w:val="20"/>
              </w:rPr>
              <w:t>Para o Modo 2</w:t>
            </w:r>
          </w:p>
          <w:p>
            <w:pPr>
              <w:jc w:val="left"/>
              <w:rPr>
                <w:noProof/>
                <w:sz w:val="20"/>
              </w:rPr>
            </w:pPr>
            <w:r>
              <w:rPr>
                <w:noProof/>
                <w:sz w:val="20"/>
              </w:rPr>
              <w:t>Nenhuma.</w:t>
            </w:r>
          </w:p>
        </w:tc>
      </w:tr>
      <w:tr>
        <w:trPr>
          <w:jc w:val="center"/>
        </w:trPr>
        <w:tc>
          <w:tcPr>
            <w:tcW w:w="3114" w:type="dxa"/>
          </w:tcPr>
          <w:p>
            <w:pPr>
              <w:pageBreakBefore/>
              <w:jc w:val="left"/>
              <w:rPr>
                <w:noProof/>
                <w:spacing w:val="-2"/>
                <w:sz w:val="20"/>
              </w:rPr>
            </w:pPr>
            <w:r>
              <w:rPr>
                <w:noProof/>
                <w:sz w:val="20"/>
              </w:rPr>
              <w:t xml:space="preserve">c) Serviços de cosmética, manicura e pedicura </w:t>
            </w:r>
          </w:p>
          <w:p>
            <w:pPr>
              <w:jc w:val="left"/>
              <w:rPr>
                <w:noProof/>
                <w:sz w:val="20"/>
              </w:rPr>
            </w:pPr>
            <w:r>
              <w:rPr>
                <w:noProof/>
                <w:sz w:val="20"/>
              </w:rPr>
              <w:t>(CPC 97022)</w:t>
            </w:r>
          </w:p>
        </w:tc>
        <w:tc>
          <w:tcPr>
            <w:tcW w:w="6525" w:type="dxa"/>
          </w:tcPr>
          <w:p>
            <w:pPr>
              <w:rPr>
                <w:noProof/>
                <w:sz w:val="20"/>
              </w:rPr>
            </w:pPr>
            <w:r>
              <w:rPr>
                <w:noProof/>
                <w:sz w:val="20"/>
              </w:rPr>
              <w:t>Para o Modo 1:</w:t>
            </w:r>
          </w:p>
          <w:p>
            <w:pPr>
              <w:rPr>
                <w:noProof/>
                <w:sz w:val="20"/>
              </w:rPr>
            </w:pPr>
            <w:r>
              <w:rPr>
                <w:noProof/>
                <w:sz w:val="20"/>
              </w:rPr>
              <w:t>EU: Não consolidado</w:t>
            </w:r>
          </w:p>
          <w:p>
            <w:pPr>
              <w:rPr>
                <w:noProof/>
                <w:sz w:val="20"/>
              </w:rPr>
            </w:pPr>
            <w:r>
              <w:rPr>
                <w:noProof/>
                <w:sz w:val="20"/>
              </w:rPr>
              <w:t>Para o Modo 2</w:t>
            </w:r>
          </w:p>
          <w:p>
            <w:pPr>
              <w:rPr>
                <w:noProof/>
                <w:sz w:val="20"/>
              </w:rPr>
            </w:pPr>
            <w:r>
              <w:rPr>
                <w:noProof/>
                <w:sz w:val="20"/>
              </w:rPr>
              <w:t>Nenhuma.</w:t>
            </w:r>
          </w:p>
        </w:tc>
      </w:tr>
      <w:tr>
        <w:trPr>
          <w:jc w:val="center"/>
        </w:trPr>
        <w:tc>
          <w:tcPr>
            <w:tcW w:w="3114" w:type="dxa"/>
          </w:tcPr>
          <w:p>
            <w:pPr>
              <w:jc w:val="left"/>
              <w:rPr>
                <w:noProof/>
                <w:spacing w:val="-2"/>
                <w:sz w:val="20"/>
              </w:rPr>
            </w:pPr>
            <w:r>
              <w:rPr>
                <w:noProof/>
                <w:sz w:val="20"/>
              </w:rPr>
              <w:t xml:space="preserve">d) Outros serviços de institutos de beleza, n.e. </w:t>
            </w:r>
          </w:p>
          <w:p>
            <w:pPr>
              <w:jc w:val="left"/>
              <w:rPr>
                <w:noProof/>
                <w:spacing w:val="-2"/>
                <w:sz w:val="20"/>
              </w:rPr>
            </w:pPr>
            <w:r>
              <w:rPr>
                <w:noProof/>
                <w:sz w:val="20"/>
              </w:rPr>
              <w:t>(CPC 97029)</w:t>
            </w:r>
          </w:p>
        </w:tc>
        <w:tc>
          <w:tcPr>
            <w:tcW w:w="6525" w:type="dxa"/>
          </w:tcPr>
          <w:p>
            <w:pPr>
              <w:jc w:val="left"/>
              <w:rPr>
                <w:noProof/>
                <w:sz w:val="20"/>
              </w:rPr>
            </w:pPr>
            <w:r>
              <w:rPr>
                <w:noProof/>
                <w:sz w:val="20"/>
              </w:rPr>
              <w:t>Para o Modo 1:</w:t>
            </w:r>
          </w:p>
          <w:p>
            <w:pPr>
              <w:jc w:val="left"/>
              <w:rPr>
                <w:noProof/>
                <w:sz w:val="20"/>
              </w:rPr>
            </w:pPr>
            <w:r>
              <w:rPr>
                <w:noProof/>
                <w:sz w:val="20"/>
              </w:rPr>
              <w:t>EU: Não consolidado</w:t>
            </w:r>
          </w:p>
          <w:p>
            <w:pPr>
              <w:jc w:val="left"/>
              <w:rPr>
                <w:noProof/>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pacing w:val="-2"/>
                <w:sz w:val="20"/>
              </w:rPr>
            </w:pPr>
            <w:r>
              <w:rPr>
                <w:noProof/>
                <w:sz w:val="20"/>
              </w:rPr>
              <w:t>e) Serviços de termalismo e de massagens não terapêuticas, na medida em que sejam prestados como serviços de bem-estar físico e de relaxação e não para fins médicos ou de reabilitação</w:t>
            </w:r>
            <w:r>
              <w:rPr>
                <w:rStyle w:val="FootnoteReference"/>
                <w:noProof/>
                <w:sz w:val="20"/>
              </w:rPr>
              <w:footnoteReference w:id="37"/>
            </w:r>
          </w:p>
          <w:p>
            <w:pPr>
              <w:jc w:val="left"/>
              <w:rPr>
                <w:noProof/>
                <w:spacing w:val="-2"/>
                <w:sz w:val="20"/>
              </w:rPr>
            </w:pPr>
            <w:r>
              <w:rPr>
                <w:noProof/>
                <w:sz w:val="20"/>
              </w:rPr>
              <w:t>(CPC ver. 1.0 97230)</w:t>
            </w:r>
          </w:p>
        </w:tc>
        <w:tc>
          <w:tcPr>
            <w:tcW w:w="6525" w:type="dxa"/>
          </w:tcPr>
          <w:p>
            <w:pPr>
              <w:jc w:val="left"/>
              <w:rPr>
                <w:noProof/>
                <w:sz w:val="20"/>
              </w:rPr>
            </w:pPr>
            <w:r>
              <w:rPr>
                <w:noProof/>
                <w:sz w:val="20"/>
              </w:rPr>
              <w:t>Para o Modo 1:</w:t>
            </w:r>
          </w:p>
          <w:p>
            <w:pPr>
              <w:jc w:val="left"/>
              <w:rPr>
                <w:noProof/>
                <w:sz w:val="20"/>
              </w:rPr>
            </w:pPr>
            <w:r>
              <w:rPr>
                <w:noProof/>
                <w:sz w:val="20"/>
              </w:rPr>
              <w:t>EU: Não consolidado</w:t>
            </w:r>
          </w:p>
          <w:p>
            <w:pPr>
              <w:jc w:val="left"/>
              <w:rPr>
                <w:noProof/>
                <w:sz w:val="20"/>
              </w:rPr>
            </w:pPr>
            <w:r>
              <w:rPr>
                <w:noProof/>
                <w:sz w:val="20"/>
              </w:rPr>
              <w:t>Para o Modo 2</w:t>
            </w:r>
          </w:p>
          <w:p>
            <w:pPr>
              <w:jc w:val="left"/>
              <w:rPr>
                <w:noProof/>
                <w:sz w:val="20"/>
              </w:rPr>
            </w:pPr>
            <w:r>
              <w:rPr>
                <w:noProof/>
                <w:sz w:val="20"/>
              </w:rPr>
              <w:t>Nenhuma.</w:t>
            </w:r>
          </w:p>
        </w:tc>
      </w:tr>
      <w:tr>
        <w:trPr>
          <w:jc w:val="center"/>
        </w:trPr>
        <w:tc>
          <w:tcPr>
            <w:tcW w:w="3114" w:type="dxa"/>
          </w:tcPr>
          <w:p>
            <w:pPr>
              <w:jc w:val="left"/>
              <w:rPr>
                <w:noProof/>
                <w:spacing w:val="-2"/>
                <w:sz w:val="20"/>
              </w:rPr>
            </w:pPr>
            <w:r>
              <w:rPr>
                <w:noProof/>
                <w:sz w:val="20"/>
              </w:rPr>
              <w:t>g) Serviços de conexão de telecomunicações (CPC 7543)</w:t>
            </w:r>
          </w:p>
        </w:tc>
        <w:tc>
          <w:tcPr>
            <w:tcW w:w="6525" w:type="dxa"/>
          </w:tcPr>
          <w:p>
            <w:pPr>
              <w:jc w:val="left"/>
              <w:rPr>
                <w:noProof/>
                <w:spacing w:val="-2"/>
                <w:sz w:val="20"/>
              </w:rPr>
            </w:pPr>
            <w:r>
              <w:rPr>
                <w:noProof/>
                <w:sz w:val="20"/>
              </w:rPr>
              <w:t>Para os Modos 1 e 2</w:t>
            </w:r>
          </w:p>
          <w:p>
            <w:pPr>
              <w:jc w:val="left"/>
              <w:rPr>
                <w:noProof/>
                <w:spacing w:val="-2"/>
                <w:sz w:val="20"/>
              </w:rPr>
            </w:pPr>
            <w:r>
              <w:rPr>
                <w:noProof/>
                <w:sz w:val="20"/>
              </w:rPr>
              <w:t>Nenhuma.</w:t>
            </w:r>
          </w:p>
        </w:tc>
      </w:tr>
    </w:tbl>
    <w:p>
      <w:pPr>
        <w:jc w:val="left"/>
        <w:rPr>
          <w:noProof/>
        </w:rPr>
      </w:pPr>
      <w:r>
        <w:rPr>
          <w:b/>
          <w:bCs/>
          <w:noProof/>
        </w:rPr>
        <w:t>"</w:t>
      </w:r>
    </w:p>
    <w:sectPr>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PCL6)">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PT</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PT</w:t>
    </w:r>
    <w:r>
      <w:rPr>
        <w:rFonts w:ascii="Arial" w:hAnsi="Arial" w:cs="Arial"/>
        <w:b/>
        <w:sz w:val="48"/>
      </w:rPr>
      <w:tab/>
    </w:r>
    <w:r>
      <w:fldChar w:fldCharType="begin"/>
    </w:r>
    <w:r>
      <w:instrText xml:space="preserve"> PAGE  \* MERGEFORMAT </w:instrText>
    </w:r>
    <w:r>
      <w:fldChar w:fldCharType="separate"/>
    </w:r>
    <w:r>
      <w:rPr>
        <w:noProof/>
      </w:rPr>
      <w:t>42</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PT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r>
      <w:r>
        <w:rPr>
          <w:bCs/>
        </w:rPr>
        <w:t>A ausência de reservas específicas de um Estado-Membro da União Europeia num determinado setor não prejudica as reservas horizontais ou as reservas setoriais a nível da UE eventualmente aplicáveis.</w:t>
      </w:r>
    </w:p>
  </w:footnote>
  <w:footnote w:id="2">
    <w:p>
      <w:pPr>
        <w:pStyle w:val="FootnoteText"/>
      </w:pPr>
      <w:r>
        <w:rPr>
          <w:rStyle w:val="FootnoteReference"/>
        </w:rPr>
        <w:footnoteRef/>
      </w:r>
      <w:r>
        <w:tab/>
        <w:t>No que respeita aos setores de serviços, estas limitações não vão além das limitações refletidas nos compromissos do GATS em vigor.</w:t>
      </w:r>
    </w:p>
  </w:footnote>
  <w:footnote w:id="3">
    <w:p>
      <w:pPr>
        <w:pStyle w:val="FootnoteText"/>
      </w:pPr>
      <w:r>
        <w:rPr>
          <w:rStyle w:val="FootnoteReference"/>
        </w:rPr>
        <w:footnoteRef/>
      </w:r>
      <w:r>
        <w:tab/>
        <w:t>Inclui os serviços de assessoria jurídica, representação jurídica, arbitragem e conciliação/mediação jurídica, bem como serviços de certificação e documentação jurídica. A prestação de serviços jurídicos só é autorizada no que respeita ao direito internacional público, direito da União Europeia e direito de qualquer jurisdição se o prestador de serviços ou o seu pessoal estiverem qualificados para exercer como advogados e, tal como a prestação de outros serviços, está sujeita aos requisitos e procedimentos de licenciamento aplicáveis nos Estados-Membros da União Europeia. Para advogados que prestam serviços jurídicos em matéria de direito internacional público e direito estrangeiro, estes requisitos podem revestir, nomeadamente, a forma de cumprimento dos códigos deontológicos locais, utilização do título do país de origem (a não ser que tenha sido reconhecido equivalente a um título do país de acolhimento), requisitos de seguros, simples registo na Ordem dos Advogados do país de acolhimento ou admissão simplificada na Ordem dos Advogados do país de acolhimento através de um teste de aptidão e de um domicílio legal ou profissional no país de acolhimento. Os serviços jurídicos no que respeita ao direito da União Europeia são, em princípio, efetuados por, ou através de, um advogado inteiramente qualificado e admitido na Ordem dos Advogados de um Estado-Membro que atua em nome próprio, e os serviços jurídicos no que respeita ao direito de um Estado-Membro da União Europeia são, em princípio, prestados por, ou através de, um advogado plenamente qualificado e admitido na Ordem dos Advogados desse Estado-Membro que atua em nome próprio. A plena admissão na Ordem dos Advogados do Estado-Membro da União Europeia em causa pode, por conseguinte, ser necessária para a representação perante os tribunais e outras autoridades competentes na União Europeia, uma vez que implica a prática do direito da UE e do direito processual nacional. Contudo, em alguns Estados-Membros da União Europeia, os advogados estrangeiros não admitidos plenamente na Ordem dos Advogados são autorizados a representar em processos civis uma parte que seja nacional ou pertença aos Estados em que o advogado tem direito a exercer.</w:t>
      </w:r>
    </w:p>
  </w:footnote>
  <w:footnote w:id="4">
    <w:p>
      <w:pPr>
        <w:pStyle w:val="FootnoteText"/>
      </w:pPr>
      <w:r>
        <w:rPr>
          <w:rStyle w:val="FootnoteReference"/>
        </w:rPr>
        <w:footnoteRef/>
      </w:r>
      <w:r>
        <w:tab/>
        <w:t>Não inclui os serviços de assessoria jurídica e de representação jurídica em matéria fiscal que figuram no ponto 1.A.a). Serviços jurídicos.</w:t>
      </w:r>
    </w:p>
  </w:footnote>
  <w:footnote w:id="5">
    <w:p>
      <w:pPr>
        <w:pStyle w:val="FootnoteText"/>
      </w:pPr>
      <w:r>
        <w:rPr>
          <w:rStyle w:val="FootnoteReference"/>
        </w:rPr>
        <w:footnoteRef/>
      </w:r>
      <w:r>
        <w:tab/>
        <w:t xml:space="preserve">O fornecimento de produtos farmacêuticos ao público em geral, tal como a prestação de outros serviços, está sujeito aos requisitos e procedimentos em matéria de licenciamento e qualificação aplicáveis nos Estados-Membros da União Europeia. Em geral, esta atividade está reservada aos farmacêuticos. Em alguns Estados-Membros da União Europeia, apenas o fornecimento de medicamentos prescritos está reservado aos farmacêuticos. </w:t>
      </w:r>
    </w:p>
  </w:footnote>
  <w:footnote w:id="6">
    <w:p>
      <w:pPr>
        <w:pStyle w:val="FootnoteText"/>
      </w:pPr>
      <w:r>
        <w:rPr>
          <w:rStyle w:val="FootnoteReference"/>
        </w:rPr>
        <w:footnoteRef/>
      </w:r>
      <w:r>
        <w:tab/>
        <w:t>Parte da CPC 85201 que figura no ponto 1.A.h). Serviços médicos e dentários.</w:t>
      </w:r>
    </w:p>
  </w:footnote>
  <w:footnote w:id="7">
    <w:p>
      <w:pPr>
        <w:pStyle w:val="FootnoteText"/>
      </w:pPr>
      <w:r>
        <w:rPr>
          <w:rStyle w:val="FootnoteReference"/>
        </w:rPr>
        <w:footnoteRef/>
      </w:r>
      <w:r>
        <w:tab/>
        <w:t>O serviço em causa corresponde ao exercício da profissão de agente imobiliário e não afeta eventuais direitos e/ou restrições aplicáveis à aquisição de bens imóveis por pessoas singulares ou coletivas.</w:t>
      </w:r>
    </w:p>
  </w:footnote>
  <w:footnote w:id="8">
    <w:p>
      <w:pPr>
        <w:pStyle w:val="FootnoteText"/>
      </w:pPr>
      <w:r>
        <w:rPr>
          <w:rStyle w:val="FootnoteReference"/>
        </w:rPr>
        <w:footnoteRef/>
      </w:r>
      <w:r>
        <w:tab/>
        <w:t>Os serviços de manutenção e reparação de equipamento de transporte (CPC 6112, 6122, 8867 e CPC 8868) figuram nos pontos l.F. l) 1 a 1.F.l) 4.</w:t>
      </w:r>
      <w:r>
        <w:tab/>
      </w:r>
      <w:r>
        <w:br/>
        <w:t>Os serviços de manutenção e reparação de máquinas e equipamento de escritório incluindo computadores (CPC 845) figuram no ponto 1.B. SERVIÇOS INFORMÁTICOS.</w:t>
      </w:r>
    </w:p>
  </w:footnote>
  <w:footnote w:id="9">
    <w:p>
      <w:pPr>
        <w:pStyle w:val="FootnoteText"/>
      </w:pPr>
      <w:r>
        <w:rPr>
          <w:rStyle w:val="FootnoteReference"/>
        </w:rPr>
        <w:footnoteRef/>
      </w:r>
      <w:r>
        <w:tab/>
        <w:t>Não inclui serviços de impressão, que são cobertos pela CPC 88442 e figuram no ponto 1.F p).</w:t>
      </w:r>
    </w:p>
  </w:footnote>
  <w:footnote w:id="10">
    <w:p>
      <w:pPr>
        <w:pStyle w:val="FootnoteText"/>
      </w:pPr>
      <w:r>
        <w:rPr>
          <w:rStyle w:val="FootnoteReference"/>
        </w:rPr>
        <w:footnoteRef/>
      </w:r>
      <w:r>
        <w:tab/>
        <w:t>Por "tratamento" deve entender-se o tratamento, classificação, transporte e entrega.</w:t>
      </w:r>
    </w:p>
  </w:footnote>
  <w:footnote w:id="11">
    <w:p>
      <w:pPr>
        <w:pStyle w:val="FootnoteText"/>
      </w:pPr>
      <w:r>
        <w:rPr>
          <w:rStyle w:val="FootnoteReference"/>
        </w:rPr>
        <w:footnoteRef/>
      </w:r>
      <w:r>
        <w:tab/>
        <w:t>Por "produto postal" entende-se os produtos tratados por todo o tipo de operadores comerciais, quer públicos quer privados.</w:t>
      </w:r>
    </w:p>
  </w:footnote>
  <w:footnote w:id="12">
    <w:p>
      <w:pPr>
        <w:pStyle w:val="FootnoteText"/>
      </w:pPr>
      <w:r>
        <w:rPr>
          <w:rStyle w:val="FootnoteReference"/>
        </w:rPr>
        <w:footnoteRef/>
      </w:r>
      <w:r>
        <w:tab/>
        <w:t>Por exemplo, cartas, postais, etc.</w:t>
      </w:r>
    </w:p>
  </w:footnote>
  <w:footnote w:id="13">
    <w:p>
      <w:pPr>
        <w:pStyle w:val="FootnoteText"/>
      </w:pPr>
      <w:r>
        <w:rPr>
          <w:rStyle w:val="FootnoteReference"/>
        </w:rPr>
        <w:footnoteRef/>
      </w:r>
      <w:r>
        <w:tab/>
        <w:t>Estão incluídos os livros e os catálogos.</w:t>
      </w:r>
    </w:p>
  </w:footnote>
  <w:footnote w:id="14">
    <w:p>
      <w:pPr>
        <w:pStyle w:val="FootnoteText"/>
      </w:pPr>
      <w:r>
        <w:rPr>
          <w:rStyle w:val="FootnoteReference"/>
        </w:rPr>
        <w:footnoteRef/>
      </w:r>
      <w:r>
        <w:tab/>
        <w:t>Revistas, jornais e outros periódicos.</w:t>
      </w:r>
    </w:p>
  </w:footnote>
  <w:footnote w:id="15">
    <w:p>
      <w:pPr>
        <w:pStyle w:val="FootnoteText"/>
      </w:pPr>
      <w:r>
        <w:rPr>
          <w:rStyle w:val="FootnoteReference"/>
        </w:rPr>
        <w:footnoteRef/>
      </w:r>
      <w:r>
        <w:tab/>
        <w:t>Os serviços de correio expresso podem incluir, além da rapidez e fiabilidade, elementos de valor acrescentado tais como a recolha na origem, entrega em mãos ao destinatário, serviços de localização do envio, possibilidade de alteração do destino e do destinatário na fase de trânsito e confirmação da receção no destino.</w:t>
      </w:r>
    </w:p>
  </w:footnote>
  <w:footnote w:id="16">
    <w:p>
      <w:pPr>
        <w:pStyle w:val="FootnoteText"/>
      </w:pPr>
      <w:r>
        <w:rPr>
          <w:rStyle w:val="FootnoteReference"/>
        </w:rPr>
        <w:footnoteRef/>
      </w:r>
      <w:r>
        <w:tab/>
        <w:t>Disponibilização de meios, incluindo a oferta de instalações temporárias, bem como transporte por uma parte terceira, que permitam a auto-entrega através do intercâmbio mútuo de produtos postais entre utilizadores que tenham uma assinatura deste serviço. Por "produtos postais" entende-se os produtos tratados por qualquer tipo de operadores comerciais, quer públicos quer privados.</w:t>
      </w:r>
    </w:p>
  </w:footnote>
  <w:footnote w:id="17">
    <w:p>
      <w:pPr>
        <w:pStyle w:val="FootnoteText"/>
      </w:pPr>
      <w:r>
        <w:rPr>
          <w:rStyle w:val="FootnoteReference"/>
        </w:rPr>
        <w:footnoteRef/>
      </w:r>
      <w:r>
        <w:tab/>
        <w:t>Para os subsetores i) a iv), podem ser requeridas licenças individuais que impõem obrigações específicas de serviço universal e/ou uma contribuição financeira para um fundo de compensação.</w:t>
      </w:r>
    </w:p>
  </w:footnote>
  <w:footnote w:id="18">
    <w:p>
      <w:pPr>
        <w:pStyle w:val="FootnoteText"/>
      </w:pPr>
      <w:r>
        <w:rPr>
          <w:rStyle w:val="FootnoteReference"/>
        </w:rPr>
        <w:footnoteRef/>
      </w:r>
      <w:r>
        <w:tab/>
        <w:t>"Tipos de correspondência": uma comunicação escrita num suporte físico de qualquer natureza a transportar e entregar no endereço indicado pelo remetente no próprio envio ou na sua embalagem. Livros, catálogos, jornais e periódicos não são considerados produtos de correspondência.</w:t>
      </w:r>
    </w:p>
  </w:footnote>
  <w:footnote w:id="19">
    <w:p>
      <w:pPr>
        <w:pStyle w:val="FootnoteText"/>
      </w:pPr>
      <w:r>
        <w:rPr>
          <w:rStyle w:val="FootnoteReference"/>
        </w:rPr>
        <w:footnoteRef/>
      </w:r>
      <w:r>
        <w:tab/>
        <w:t>Transporte de correio por conta própria por qualquer modo terrestre.</w:t>
      </w:r>
    </w:p>
  </w:footnote>
  <w:footnote w:id="20">
    <w:p>
      <w:pPr>
        <w:pStyle w:val="FootnoteText"/>
      </w:pPr>
      <w:r>
        <w:rPr>
          <w:rStyle w:val="FootnoteReference"/>
        </w:rPr>
        <w:footnoteRef/>
      </w:r>
      <w:r>
        <w:tab/>
        <w:t>Transporte de correio por conta própria por via aérea.</w:t>
      </w:r>
    </w:p>
  </w:footnote>
  <w:footnote w:id="21">
    <w:p>
      <w:pPr>
        <w:pStyle w:val="FootnoteText"/>
      </w:pPr>
      <w:r>
        <w:rPr>
          <w:rStyle w:val="FootnoteReference"/>
        </w:rPr>
        <w:footnoteRef/>
      </w:r>
      <w:r>
        <w:tab/>
        <w:t>Estes serviços não incluem a informação em linha e/ou o processamento de dados (incluindo processamento de transações) (parte da CPC 843) que figuram no ponto 1.B. Serviços informáticos.</w:t>
      </w:r>
    </w:p>
  </w:footnote>
  <w:footnote w:id="22">
    <w:p>
      <w:pPr>
        <w:pStyle w:val="FootnoteText"/>
      </w:pPr>
      <w:r>
        <w:rPr>
          <w:rStyle w:val="FootnoteReference"/>
          <w:bCs/>
        </w:rPr>
        <w:footnoteRef/>
      </w:r>
      <w:r>
        <w:rPr>
          <w:bCs/>
        </w:rPr>
        <w:tab/>
        <w:t>A radiodifusão é definida como a cadeia de transmissão ininterrupta necessária para distribuir ao público em geral sinais de programas televisivos ou radiofónicos, mas não abrange as ligações de contribuição entre os operadores.</w:t>
      </w:r>
    </w:p>
  </w:footnote>
  <w:footnote w:id="23">
    <w:p>
      <w:pPr>
        <w:pStyle w:val="FootnoteText"/>
      </w:pPr>
      <w:r>
        <w:rPr>
          <w:rStyle w:val="FootnoteReference"/>
        </w:rPr>
        <w:footnoteRef/>
      </w:r>
      <w:r>
        <w:tab/>
        <w:t>Estes serviços abrangem o serviço de telecomunicações que consiste na transmissão e receção de emissões de rádio e televisão por satélite (a cadeia de transmissão ininterrupta via satélite requerida para a distribuição de sinais de programas de rádio e televisão ao público em geral). Cobre a venda da utilização de serviços por satélite, mas não inclui a venda de pacotes de programas de televisão a agregados familiares.</w:t>
      </w:r>
    </w:p>
  </w:footnote>
  <w:footnote w:id="24">
    <w:p>
      <w:pPr>
        <w:pStyle w:val="FootnoteText"/>
      </w:pPr>
      <w:r>
        <w:rPr>
          <w:rStyle w:val="FootnoteReference"/>
        </w:rPr>
        <w:footnoteRef/>
      </w:r>
      <w:r>
        <w:tab/>
        <w:t>Estes serviços, que incluem a CPC 62271, figuram em SERVIÇOS ENERGÉTICOS no ponto 18.D.</w:t>
      </w:r>
    </w:p>
  </w:footnote>
  <w:footnote w:id="25">
    <w:p>
      <w:pPr>
        <w:pStyle w:val="FootnoteText"/>
      </w:pPr>
      <w:r>
        <w:rPr>
          <w:rStyle w:val="FootnoteReference"/>
        </w:rPr>
        <w:footnoteRef/>
      </w:r>
      <w:r>
        <w:tab/>
        <w:t>Não inclui os serviços de manutenção e reparação que figuram em SERVIÇOS ÀS EMPRESAS nos pontos 1.B e 1.F.l). Não inclui os serviços de venda a retalho de produtos energéticos que figuram em SERVIÇOS ENERGÉTICOS nos pontos 13.E e 13.F.</w:t>
      </w:r>
    </w:p>
  </w:footnote>
  <w:footnote w:id="26">
    <w:p>
      <w:pPr>
        <w:pStyle w:val="FootnoteText"/>
      </w:pPr>
      <w:r>
        <w:rPr>
          <w:rStyle w:val="FootnoteReference"/>
        </w:rPr>
        <w:footnoteRef/>
      </w:r>
      <w:r>
        <w:tab/>
        <w:t>As vendas a retalho de produtos farmacêuticos, médicos e ortopédicos figuram em SERVIÇOS PROFISSIONAIS no ponto 1.A.k).</w:t>
      </w:r>
    </w:p>
  </w:footnote>
  <w:footnote w:id="27">
    <w:p>
      <w:pPr>
        <w:pStyle w:val="FootnoteText"/>
      </w:pPr>
      <w:r>
        <w:rPr>
          <w:rStyle w:val="FootnoteReference"/>
        </w:rPr>
        <w:footnoteRef/>
      </w:r>
      <w:r>
        <w:tab/>
        <w:t>Corresponde a serviços de esgotos.</w:t>
      </w:r>
    </w:p>
  </w:footnote>
  <w:footnote w:id="28">
    <w:p>
      <w:pPr>
        <w:pStyle w:val="FootnoteText"/>
      </w:pPr>
      <w:r>
        <w:rPr>
          <w:rStyle w:val="FootnoteReference"/>
        </w:rPr>
        <w:footnoteRef/>
      </w:r>
      <w:r>
        <w:tab/>
        <w:t>Corresponde a serviços de limpeza de gases de escape.</w:t>
      </w:r>
    </w:p>
  </w:footnote>
  <w:footnote w:id="29">
    <w:p>
      <w:pPr>
        <w:pStyle w:val="FootnoteText"/>
      </w:pPr>
      <w:r>
        <w:rPr>
          <w:rStyle w:val="FootnoteReference"/>
        </w:rPr>
        <w:footnoteRef/>
      </w:r>
      <w:r>
        <w:tab/>
        <w:t>Corresponde a partes dos Serviços de proteção natural e paisagística.</w:t>
      </w:r>
    </w:p>
  </w:footnote>
  <w:footnote w:id="30">
    <w:p>
      <w:pPr>
        <w:pStyle w:val="FootnoteText"/>
      </w:pPr>
      <w:r>
        <w:rPr>
          <w:rStyle w:val="FootnoteReference"/>
        </w:rPr>
        <w:footnoteRef/>
      </w:r>
      <w:r>
        <w:tab/>
        <w:t>O fornecimento de refeições (</w:t>
      </w:r>
      <w:r>
        <w:rPr>
          <w:i/>
        </w:rPr>
        <w:t>catering</w:t>
      </w:r>
      <w:r>
        <w:t>) nos serviços de transporte aéreo figura em SERVIÇOS AUXILIARES DOS SERVIÇOS DE TRANSPORTE no ponto 12.D.a). Serviços de assistência em escala.</w:t>
      </w:r>
    </w:p>
  </w:footnote>
  <w:footnote w:id="31">
    <w:p>
      <w:pPr>
        <w:pStyle w:val="FootnoteText"/>
      </w:pPr>
      <w:r>
        <w:rPr>
          <w:rStyle w:val="FootnoteReference"/>
        </w:rPr>
        <w:footnoteRef/>
      </w:r>
      <w:r>
        <w:tab/>
        <w:t xml:space="preserve">Inclui os serviços de </w:t>
      </w:r>
      <w:r>
        <w:rPr>
          <w:i/>
        </w:rPr>
        <w:t>feedering</w:t>
      </w:r>
      <w:r>
        <w:t xml:space="preserve"> e a deslocação de equipamento por prestadores de serviços de transporte marítimo internacional entre portos situados no mesmo Estado quando não está envolvida qualquer receita.</w:t>
      </w:r>
    </w:p>
  </w:footnote>
  <w:footnote w:id="32">
    <w:p>
      <w:pPr>
        <w:pStyle w:val="FootnoteText"/>
      </w:pPr>
      <w:r>
        <w:rPr>
          <w:rStyle w:val="FootnoteReference"/>
        </w:rPr>
        <w:footnoteRef/>
      </w:r>
      <w:r>
        <w:tab/>
        <w:t xml:space="preserve">Parte da CPC 71235 que figura em SERVIÇOS DE COMUNICAÇÃO no ponto 2.A. Serviços postais e de correio rápido. </w:t>
      </w:r>
    </w:p>
  </w:footnote>
  <w:footnote w:id="33">
    <w:p>
      <w:pPr>
        <w:pStyle w:val="FootnoteText"/>
      </w:pPr>
      <w:r>
        <w:rPr>
          <w:rStyle w:val="FootnoteReference"/>
        </w:rPr>
        <w:footnoteRef/>
      </w:r>
      <w:r>
        <w:tab/>
        <w:t>O transporte de combustíveis por condutas (</w:t>
      </w:r>
      <w:r>
        <w:rPr>
          <w:i/>
        </w:rPr>
        <w:t>pipelines</w:t>
      </w:r>
      <w:r>
        <w:t>) figura em SERVIÇOS ENERGÉTICOS no ponto 13.B.</w:t>
      </w:r>
    </w:p>
  </w:footnote>
  <w:footnote w:id="34">
    <w:p>
      <w:pPr>
        <w:pStyle w:val="FootnoteText"/>
      </w:pPr>
      <w:r>
        <w:rPr>
          <w:rStyle w:val="FootnoteReference"/>
        </w:rPr>
        <w:footnoteRef/>
      </w:r>
      <w:r>
        <w:tab/>
        <w:t xml:space="preserve">Não inclui os serviços de manutenção e reparação de equipamento de transporte que figuram em SERVIÇOS ÀS EMPRESAS nos pontos 1.F.l) 1 a 1.F.l) 4. </w:t>
      </w:r>
    </w:p>
  </w:footnote>
  <w:footnote w:id="35">
    <w:p>
      <w:pPr>
        <w:pStyle w:val="FootnoteText"/>
      </w:pPr>
      <w:r>
        <w:rPr>
          <w:rStyle w:val="FootnoteReference"/>
        </w:rPr>
        <w:footnoteRef/>
      </w:r>
      <w:r>
        <w:tab/>
        <w:t>Os serviços auxiliares de transporte de combustíveis por condutas (</w:t>
      </w:r>
      <w:r>
        <w:rPr>
          <w:i/>
        </w:rPr>
        <w:t>pipelines</w:t>
      </w:r>
      <w:r>
        <w:t>) figuram em SERVIÇOS ENERGÉTICOS no ponto 13.C.</w:t>
      </w:r>
    </w:p>
  </w:footnote>
  <w:footnote w:id="36">
    <w:p>
      <w:pPr>
        <w:pStyle w:val="FootnoteText"/>
      </w:pPr>
      <w:r>
        <w:rPr>
          <w:rStyle w:val="FootnoteReference"/>
        </w:rPr>
        <w:footnoteRef/>
      </w:r>
      <w:r>
        <w:tab/>
        <w:t>Inclui os seguintes serviços prestados à comissão ou por contrato: serviços de assessoria e consultoria relacionados com a mineração, nomeadamente preparação do terreno, instalação de uma plataforma de perfuração em terra, perfuração, serviços relacionados com coroas de perfuração, serviços de revestimento e tubagem de poços, fornecimento e engenharia de fluidos de perfuração (</w:t>
      </w:r>
      <w:r>
        <w:rPr>
          <w:i/>
        </w:rPr>
        <w:t>mud</w:t>
      </w:r>
      <w:r>
        <w:t xml:space="preserve">), controlo de sólidos, pescagem e operações especiais de perfuração descendente, geologia de poços e controlo de perfuração, carotagem, ensaio do poço, serviços de </w:t>
      </w:r>
      <w:r>
        <w:rPr>
          <w:i/>
        </w:rPr>
        <w:t>wireline</w:t>
      </w:r>
      <w:r>
        <w:t>, fornecimento e operação de fluidos de completação (salmouras), fornecimento e instalação de dispositivos de completação, cimentação (bombeamento sob pressão), serviços de estimulação (fraturação, acidificação e bombeamento sob pressão), serviços de recondicionamento e reparação de poços, serviços de obturação e abandono de poços.</w:t>
      </w:r>
      <w:r>
        <w:tab/>
      </w:r>
      <w:r>
        <w:br/>
        <w:t>Não inclui o acesso direto ou a exploração de recursos naturais.</w:t>
      </w:r>
      <w:r>
        <w:tab/>
      </w:r>
      <w:r>
        <w:br/>
        <w:t xml:space="preserve">Não inclui a preparação do estaleiro para a mineração de recursos que não petróleo e gás (CPC 5115) que figuram no ponto 3; SERVIÇOS DE CONSTRUÇÃO. </w:t>
      </w:r>
    </w:p>
  </w:footnote>
  <w:footnote w:id="37">
    <w:p>
      <w:pPr>
        <w:pStyle w:val="FootnoteText"/>
      </w:pPr>
      <w:r>
        <w:rPr>
          <w:rStyle w:val="FootnoteReference"/>
        </w:rPr>
        <w:footnoteRef/>
      </w:r>
      <w:r>
        <w:tab/>
        <w:t>Os serviços de massagens terapêuticas e de curas termais figuram no ponto 1.A.h) Serviços médicos, 1.A.j) 2 Serviços prestados por enfermeiros, fisioterapeutas e pessoal paramédico e serviços de saúde (8.A e 8 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A46231A"/>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4AD2A732"/>
    <w:lvl w:ilvl="0">
      <w:start w:val="1"/>
      <w:numFmt w:val="decimal"/>
      <w:pStyle w:val="ListNumber3"/>
      <w:lvlText w:val="%1."/>
      <w:lvlJc w:val="left"/>
      <w:pPr>
        <w:tabs>
          <w:tab w:val="num" w:pos="926"/>
        </w:tabs>
        <w:ind w:left="926" w:hanging="360"/>
      </w:pPr>
    </w:lvl>
  </w:abstractNum>
  <w:abstractNum w:abstractNumId="2">
    <w:nsid w:val="FFFFFF7F"/>
    <w:multiLevelType w:val="singleLevel"/>
    <w:tmpl w:val="24449D62"/>
    <w:lvl w:ilvl="0">
      <w:start w:val="1"/>
      <w:numFmt w:val="decimal"/>
      <w:pStyle w:val="ListNumber2"/>
      <w:lvlText w:val="%1."/>
      <w:lvlJc w:val="left"/>
      <w:pPr>
        <w:tabs>
          <w:tab w:val="num" w:pos="643"/>
        </w:tabs>
        <w:ind w:left="643" w:hanging="360"/>
      </w:pPr>
    </w:lvl>
  </w:abstractNum>
  <w:abstractNum w:abstractNumId="3">
    <w:nsid w:val="FFFFFF81"/>
    <w:multiLevelType w:val="singleLevel"/>
    <w:tmpl w:val="8820A2E8"/>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1FA967E"/>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AE6CD13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6C20A154"/>
    <w:lvl w:ilvl="0">
      <w:start w:val="1"/>
      <w:numFmt w:val="decimal"/>
      <w:pStyle w:val="ListNumber"/>
      <w:lvlText w:val="%1."/>
      <w:lvlJc w:val="left"/>
      <w:pPr>
        <w:tabs>
          <w:tab w:val="num" w:pos="360"/>
        </w:tabs>
        <w:ind w:left="360" w:hanging="360"/>
      </w:pPr>
    </w:lvl>
  </w:abstractNum>
  <w:abstractNum w:abstractNumId="7">
    <w:nsid w:val="FFFFFF89"/>
    <w:multiLevelType w:val="singleLevel"/>
    <w:tmpl w:val="BE80B354"/>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8"/>
  </w:num>
  <w:num w:numId="10">
    <w:abstractNumId w:val="12"/>
  </w:num>
  <w:num w:numId="11">
    <w:abstractNumId w:val="20"/>
  </w:num>
  <w:num w:numId="12">
    <w:abstractNumId w:val="11"/>
  </w:num>
  <w:num w:numId="13">
    <w:abstractNumId w:val="13"/>
  </w:num>
  <w:num w:numId="14">
    <w:abstractNumId w:val="9"/>
  </w:num>
  <w:num w:numId="15">
    <w:abstractNumId w:val="19"/>
  </w:num>
  <w:num w:numId="16">
    <w:abstractNumId w:val="8"/>
  </w:num>
  <w:num w:numId="17">
    <w:abstractNumId w:val="14"/>
  </w:num>
  <w:num w:numId="18">
    <w:abstractNumId w:val="16"/>
  </w:num>
  <w:num w:numId="19">
    <w:abstractNumId w:val="17"/>
  </w:num>
  <w:num w:numId="20">
    <w:abstractNumId w:val="10"/>
  </w:num>
  <w:num w:numId="21">
    <w:abstractNumId w:val="15"/>
  </w:num>
  <w:num w:numId="22">
    <w:abstractNumId w:val="21"/>
  </w:num>
  <w:num w:numId="23">
    <w:abstractNumId w:val="18"/>
  </w:num>
  <w:num w:numId="24">
    <w:abstractNumId w:val="12"/>
  </w:num>
  <w:num w:numId="25">
    <w:abstractNumId w:val="20"/>
  </w:num>
  <w:num w:numId="26">
    <w:abstractNumId w:val="11"/>
  </w:num>
  <w:num w:numId="27">
    <w:abstractNumId w:val="13"/>
  </w:num>
  <w:num w:numId="28">
    <w:abstractNumId w:val="9"/>
  </w:num>
  <w:num w:numId="29">
    <w:abstractNumId w:val="19"/>
  </w:num>
  <w:num w:numId="30">
    <w:abstractNumId w:val="8"/>
  </w:num>
  <w:num w:numId="31">
    <w:abstractNumId w:val="14"/>
  </w:num>
  <w:num w:numId="32">
    <w:abstractNumId w:val="16"/>
  </w:num>
  <w:num w:numId="33">
    <w:abstractNumId w:val="17"/>
  </w:num>
  <w:num w:numId="34">
    <w:abstractNumId w:val="10"/>
  </w:num>
  <w:num w:numId="35">
    <w:abstractNumId w:val="15"/>
  </w:num>
  <w:num w:numId="36">
    <w:abstractNumId w:val="21"/>
  </w:num>
  <w:num w:numId="37">
    <w:abstractNumId w:val="18"/>
  </w:num>
  <w:num w:numId="38">
    <w:abstractNumId w:val="12"/>
  </w:num>
  <w:num w:numId="39">
    <w:abstractNumId w:val="20"/>
  </w:num>
  <w:num w:numId="40">
    <w:abstractNumId w:val="11"/>
  </w:num>
  <w:num w:numId="41">
    <w:abstractNumId w:val="13"/>
  </w:num>
  <w:num w:numId="42">
    <w:abstractNumId w:val="9"/>
  </w:num>
  <w:num w:numId="43">
    <w:abstractNumId w:val="19"/>
  </w:num>
  <w:num w:numId="44">
    <w:abstractNumId w:val="8"/>
  </w:num>
  <w:num w:numId="45">
    <w:abstractNumId w:val="14"/>
  </w:num>
  <w:num w:numId="46">
    <w:abstractNumId w:val="16"/>
  </w:num>
  <w:num w:numId="47">
    <w:abstractNumId w:val="17"/>
  </w:num>
  <w:num w:numId="48">
    <w:abstractNumId w:val="10"/>
  </w:num>
  <w:num w:numId="49">
    <w:abstractNumId w:val="15"/>
  </w:num>
  <w:num w:numId="50">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40"/>
  <w:hideSpellingErrors/>
  <w:hideGrammaticalErrors/>
  <w:attachedTemplate r:id="rId1"/>
  <w:revisionView w:markup="0"/>
  <w:doNotTrackMoves/>
  <w:defaultTabStop w:val="720"/>
  <w:hyphenationZone w:val="425"/>
  <w:characterSpacingControl w:val="doNotCompress"/>
  <w:hdrShapeDefaults>
    <o:shapedefaults v:ext="edit" spidmax="3276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
  <w:docVars>
    <w:docVar w:name="COVERPAGE_EXISTS" w:val="True"/>
    <w:docVar w:name="DQCDateTime" w:val="2016-03-23 17:02:04"/>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2"/>
    <w:docVar w:name="DQCResult_UnknownFonts" w:val="0;0"/>
    <w:docVar w:name="DQCResult_UnknownStyles" w:val="0;0"/>
    <w:docVar w:name="DQCStatus" w:val="Green"/>
    <w:docVar w:name="DQCVersion" w:val="3"/>
    <w:docVar w:name="DQCWithWarnings" w:val="0"/>
    <w:docVar w:name="LW_ACCOMPAGNANT" w:val="da"/>
    <w:docVar w:name="LW_ACCOMPAGNANT.CP" w:val="da"/>
    <w:docVar w:name="LW_ANNEX_NBR_FIRST" w:val="10"/>
    <w:docVar w:name="LW_ANNEX_NBR_LAST" w:val="10"/>
    <w:docVar w:name="LW_CONFIDENCE" w:val=" "/>
    <w:docVar w:name="LW_CONST_RESTREINT_UE" w:val="RESTREINT UE"/>
    <w:docVar w:name="LW_CORRIGENDUM" w:val="&lt;UNUSED&gt;"/>
    <w:docVar w:name="LW_COVERPAGE_GUID" w:val="2FD11492710649BCB2529ABA890015EA"/>
    <w:docVar w:name="LW_CROSSREFERENCE" w:val="&lt;UNUSED&gt;"/>
    <w:docVar w:name="LW_DocType" w:val="ANNEX"/>
    <w:docVar w:name="LW_EMISSION" w:val="4.4.2016"/>
    <w:docVar w:name="LW_EMISSION_ISODATE" w:val="2016-04-04"/>
    <w:docVar w:name="LW_EMISSION_LOCATION" w:val="BRX"/>
    <w:docVar w:name="LW_EMISSION_PREFIX" w:val="Bruxelas, "/>
    <w:docVar w:name="LW_EMISSION_SUFFIX" w:val=" "/>
    <w:docVar w:name="LW_ID_DOCSTRUCTURE" w:val="COM/ANNEX"/>
    <w:docVar w:name="LW_ID_DOCTYPE" w:val="SG-017"/>
    <w:docVar w:name="LW_LANGUE" w:val="PT"/>
    <w:docVar w:name="LW_MARKING" w:val="&lt;UNUSED&gt;"/>
    <w:docVar w:name="LW_NOM.INST" w:val="COMISSÃO EUROPEIA"/>
    <w:docVar w:name="LW_NOM.INST_JOINTDOC" w:val="&lt;EMPTY&gt;"/>
    <w:docVar w:name="LW_OBJETACTEPRINCIPAL" w:val="relativa à assinatura, em nome da União Europeia, e à aplicação provisória do Protocolo de Adesão ao Acordo Comercial entre a União Europeia e os seus Estados-Membros, por um lado, e a Colômbia e o Peru, por outro, para ter em conta a adesão do Equador"/>
    <w:docVar w:name="LW_OBJETACTEPRINCIPAL.CP" w:val="relativa à assinatura, em nome da União Europeia, e à aplicação provisória do Protocolo de Adesão ao Acordo Comercial entre a União Europeia e os seus Estados-Membros, por um lado, e a Colômbia e o Peru, por outro, para ter em conta a adesão do Equador"/>
    <w:docVar w:name="LW_PART_NBR" w:val="1"/>
    <w:docVar w:name="LW_PART_NBR_TOTAL" w:val="1"/>
    <w:docVar w:name="LW_REF.INST.NEW" w:val="COM"/>
    <w:docVar w:name="LW_REF.INST.NEW_ADOPTED" w:val="final"/>
    <w:docVar w:name="LW_REF.INST.NEW_TEXT" w:val="(2016) 173"/>
    <w:docVar w:name="LW_REF.INTERNE" w:val="&lt;UNUSED&gt;"/>
    <w:docVar w:name="LW_SUPERTITRE" w:val="&lt;UNUSED&gt;"/>
    <w:docVar w:name="LW_TITRE.OBJ.CP" w:val="&lt;UNUSED&gt;"/>
    <w:docVar w:name="LW_TYPE.DOC" w:val="ANEXO"/>
    <w:docVar w:name="LW_TYPE.DOC.CP" w:val="ANEXO"/>
    <w:docVar w:name="LW_TYPEACTEPRINCIPAL" w:val="Proposta de Decisão do Conselho "/>
    <w:docVar w:name="LW_TYPEACTEPRINCIPAL.CP" w:val="Proposta de Decisão do Conselho "/>
  </w:docVar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sz w:val="24"/>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000FF"/>
      <w:u w:val="single"/>
    </w:rPr>
  </w:style>
  <w:style w:type="character" w:styleId="FollowedHyperlink">
    <w:name w:val="FollowedHyperlink"/>
    <w:uiPriority w:val="99"/>
    <w:semiHidden/>
    <w:unhideWhenUsed/>
    <w:rPr>
      <w:color w:val="800080"/>
      <w:u w:val="single"/>
    </w:rPr>
  </w:style>
  <w:style w:type="paragraph" w:customStyle="1" w:styleId="font5">
    <w:name w:val="font5"/>
    <w:basedOn w:val="Normal"/>
    <w:pPr>
      <w:spacing w:before="100" w:beforeAutospacing="1" w:after="100" w:afterAutospacing="1"/>
      <w:jc w:val="left"/>
    </w:pPr>
    <w:rPr>
      <w:rFonts w:ascii="Arial" w:eastAsia="Times New Roman" w:hAnsi="Arial" w:cs="Arial"/>
      <w:b/>
      <w:bCs/>
      <w:sz w:val="20"/>
      <w:szCs w:val="20"/>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rPr>
  </w:style>
  <w:style w:type="paragraph" w:customStyle="1" w:styleId="xl66">
    <w:name w:val="xl66"/>
    <w:basedOn w:val="Normal"/>
    <w:pPr>
      <w:pBdr>
        <w:top w:val="single" w:sz="4" w:space="0" w:color="000000"/>
        <w:left w:val="single" w:sz="4" w:space="0" w:color="000000"/>
      </w:pBdr>
      <w:spacing w:before="100" w:beforeAutospacing="1" w:after="100" w:afterAutospacing="1"/>
      <w:jc w:val="right"/>
    </w:pPr>
    <w:rPr>
      <w:rFonts w:ascii="Arial" w:eastAsia="Times New Roman" w:hAnsi="Arial" w:cs="Arial"/>
      <w:sz w:val="20"/>
      <w:szCs w:val="20"/>
    </w:rPr>
  </w:style>
  <w:style w:type="paragraph" w:customStyle="1" w:styleId="xl67">
    <w:name w:val="xl67"/>
    <w:basedOn w:val="Normal"/>
    <w:pPr>
      <w:spacing w:before="100" w:beforeAutospacing="1" w:after="100" w:afterAutospacing="1"/>
      <w:jc w:val="left"/>
    </w:pPr>
    <w:rPr>
      <w:rFonts w:eastAsia="Times New Roman"/>
      <w:szCs w:val="24"/>
    </w:rPr>
  </w:style>
  <w:style w:type="paragraph" w:customStyle="1" w:styleId="xl68">
    <w:name w:val="xl68"/>
    <w:basedOn w:val="Normal"/>
    <w:pPr>
      <w:spacing w:before="100" w:beforeAutospacing="1" w:after="100" w:afterAutospacing="1"/>
      <w:jc w:val="center"/>
      <w:textAlignment w:val="center"/>
    </w:pPr>
    <w:rPr>
      <w:rFonts w:eastAsia="Times New Roman"/>
      <w:szCs w:val="24"/>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Cs w:val="24"/>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Cs w:val="24"/>
    </w:rPr>
  </w:style>
  <w:style w:type="paragraph" w:customStyle="1" w:styleId="xl80">
    <w:name w:val="xl80"/>
    <w:basedOn w:val="Normal"/>
    <w:pPr>
      <w:pBdr>
        <w:left w:val="single" w:sz="4" w:space="0" w:color="000000"/>
      </w:pBdr>
      <w:spacing w:before="100" w:beforeAutospacing="1" w:after="100" w:afterAutospacing="1"/>
      <w:jc w:val="right"/>
    </w:pPr>
    <w:rPr>
      <w:rFonts w:ascii="Arial" w:eastAsia="Times New Roman" w:hAnsi="Arial" w:cs="Arial"/>
      <w:sz w:val="20"/>
      <w:szCs w:val="20"/>
    </w:rPr>
  </w:style>
  <w:style w:type="paragraph" w:styleId="Caption">
    <w:name w:val="caption"/>
    <w:basedOn w:val="Normal"/>
    <w:next w:val="Normal"/>
    <w:uiPriority w:val="35"/>
    <w:semiHidden/>
    <w:unhideWhenUsed/>
    <w:qFormat/>
    <w:rPr>
      <w:b/>
      <w:bCs/>
      <w:sz w:val="20"/>
      <w:szCs w:val="20"/>
    </w:rPr>
  </w:style>
  <w:style w:type="paragraph" w:styleId="TableofFigures">
    <w:name w:val="table of figures"/>
    <w:basedOn w:val="Normal"/>
    <w:next w:val="Normal"/>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link w:val="CommentText"/>
    <w:uiPriority w:val="99"/>
    <w:rPr>
      <w:rFonts w:ascii="Times New Roman" w:hAnsi="Times New Roman"/>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hAnsi="Times New Roman"/>
      <w:b/>
      <w:bCs/>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NormalWeb">
    <w:name w:val="Normal (Web)"/>
    <w:basedOn w:val="Normal"/>
    <w:uiPriority w:val="99"/>
    <w:unhideWhenUsed/>
    <w:pPr>
      <w:spacing w:before="100" w:beforeAutospacing="1" w:after="100" w:afterAutospacing="1"/>
      <w:jc w:val="left"/>
    </w:pPr>
    <w:rPr>
      <w:rFonts w:ascii="Calibri" w:eastAsia="Times New Roman" w:hAnsi="Calibri" w:cs="Calibri"/>
      <w:sz w:val="22"/>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535"/>
        <w:tab w:val="right" w:pos="9071"/>
      </w:tabs>
      <w:spacing w:before="0"/>
    </w:pPr>
    <w:rPr>
      <w:lang w:eastAsia="en-US"/>
    </w:rPr>
  </w:style>
  <w:style w:type="character" w:customStyle="1" w:styleId="HeaderChar">
    <w:name w:val="Header Char"/>
    <w:link w:val="Header"/>
    <w:uiPriority w:val="99"/>
    <w:rPr>
      <w:rFonts w:ascii="Times New Roman" w:hAnsi="Times New Roman"/>
      <w:sz w:val="24"/>
      <w:lang w:eastAsia="en-US"/>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7"/>
      </w:numPr>
    </w:pPr>
  </w:style>
  <w:style w:type="paragraph" w:customStyle="1" w:styleId="Tiret1">
    <w:name w:val="Tiret 1"/>
    <w:basedOn w:val="Point1"/>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14" Type="http://schemas.openxmlformats.org/officeDocument/2006/relationships/header" Target="header3.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B5AB3-54C6-4A1F-9926-B3C5F0294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2</TotalTime>
  <Pages>42</Pages>
  <Words>8925</Words>
  <Characters>44982</Characters>
  <Application>Microsoft Office Word</Application>
  <DocSecurity>0</DocSecurity>
  <Lines>1551</Lines>
  <Paragraphs>1036</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52871</CharactersWithSpaces>
  <SharedDoc>false</SharedDoc>
  <HLinks>
    <vt:vector size="30" baseType="variant">
      <vt:variant>
        <vt:i4>7733358</vt:i4>
      </vt:variant>
      <vt:variant>
        <vt:i4>12</vt:i4>
      </vt:variant>
      <vt:variant>
        <vt:i4>0</vt:i4>
      </vt:variant>
      <vt:variant>
        <vt:i4>5</vt:i4>
      </vt:variant>
      <vt:variant>
        <vt:lpwstr>http://unstats.un.org/unsd/cr/registry/regcs.asp?Cl=9&amp;Lg=1&amp;Co=96193</vt:lpwstr>
      </vt:variant>
      <vt:variant>
        <vt:lpwstr/>
      </vt:variant>
      <vt:variant>
        <vt:i4>7733358</vt:i4>
      </vt:variant>
      <vt:variant>
        <vt:i4>9</vt:i4>
      </vt:variant>
      <vt:variant>
        <vt:i4>0</vt:i4>
      </vt:variant>
      <vt:variant>
        <vt:i4>5</vt:i4>
      </vt:variant>
      <vt:variant>
        <vt:lpwstr>http://unstats.un.org/unsd/cr/registry/regcs.asp?Cl=9&amp;Lg=1&amp;Co=96193</vt:lpwstr>
      </vt:variant>
      <vt:variant>
        <vt:lpwstr/>
      </vt:variant>
      <vt:variant>
        <vt:i4>7733358</vt:i4>
      </vt:variant>
      <vt:variant>
        <vt:i4>6</vt:i4>
      </vt:variant>
      <vt:variant>
        <vt:i4>0</vt:i4>
      </vt:variant>
      <vt:variant>
        <vt:i4>5</vt:i4>
      </vt:variant>
      <vt:variant>
        <vt:lpwstr>http://unstats.un.org/unsd/cr/registry/regcs.asp?Cl=9&amp;Lg=1&amp;Co=96193</vt:lpwstr>
      </vt:variant>
      <vt:variant>
        <vt:lpwstr/>
      </vt:variant>
      <vt:variant>
        <vt:i4>7733358</vt:i4>
      </vt:variant>
      <vt:variant>
        <vt:i4>3</vt:i4>
      </vt:variant>
      <vt:variant>
        <vt:i4>0</vt:i4>
      </vt:variant>
      <vt:variant>
        <vt:i4>5</vt:i4>
      </vt:variant>
      <vt:variant>
        <vt:lpwstr>http://unstats.un.org/unsd/cr/registry/regcs.asp?Cl=9&amp;Lg=1&amp;Co=96192</vt:lpwstr>
      </vt:variant>
      <vt:variant>
        <vt:lpwstr/>
      </vt:variant>
      <vt:variant>
        <vt:i4>7733358</vt:i4>
      </vt:variant>
      <vt:variant>
        <vt:i4>0</vt:i4>
      </vt:variant>
      <vt:variant>
        <vt:i4>0</vt:i4>
      </vt:variant>
      <vt:variant>
        <vt:i4>5</vt:i4>
      </vt:variant>
      <vt:variant>
        <vt:lpwstr>http://unstats.un.org/unsd/cr/registry/regcs.asp?Cl=9&amp;Lg=1&amp;Co=96191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7</cp:revision>
  <cp:lastPrinted>2015-02-16T09:32:00Z</cp:lastPrinted>
  <dcterms:created xsi:type="dcterms:W3CDTF">2016-03-15T08:31:00Z</dcterms:created>
  <dcterms:modified xsi:type="dcterms:W3CDTF">2016-03-23T16:02:00Z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5.8.4, Build 20141001</vt:lpwstr>
  </property>
  <property fmtid="{D5CDD505-2E9C-101B-9397-08002B2CF9AE}" pid="7" name="First annex">
    <vt:lpwstr>10</vt:lpwstr>
  </property>
  <property fmtid="{D5CDD505-2E9C-101B-9397-08002B2CF9AE}" pid="8" name="Last annex">
    <vt:lpwstr>10</vt:lpwstr>
  </property>
  <property fmtid="{D5CDD505-2E9C-101B-9397-08002B2CF9AE}" pid="9" name="Part">
    <vt:lpwstr>1</vt:lpwstr>
  </property>
  <property fmtid="{D5CDD505-2E9C-101B-9397-08002B2CF9AE}" pid="10" name="Total parts">
    <vt:lpwstr>1</vt:lpwstr>
  </property>
  <property fmtid="{D5CDD505-2E9C-101B-9397-08002B2CF9AE}" pid="11" name="LWTemplateID">
    <vt:lpwstr>SG-017</vt:lpwstr>
  </property>
  <property fmtid="{D5CDD505-2E9C-101B-9397-08002B2CF9AE}" pid="12" name="DQCStatus">
    <vt:lpwstr>Green (DQC version 03)</vt:lpwstr>
  </property>
  <property name="OP_sanitized" fmtid="{D5CDD505-2E9C-101B-9397-08002B2CF9AE}" pid="13">
    <vt:lpwstr>True</vt:lpwstr>
  </property>
</Properties>
</file>