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9CF23EDBBAD643C192F05CD80D265EFF" style="width:450.55pt;height:411.2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Annexetitre"/>
        <w:rPr>
          <w:noProof/>
        </w:rPr>
      </w:pPr>
      <w:bookmarkStart w:id="0" w:name="_GoBack"/>
      <w:bookmarkEnd w:id="0"/>
      <w:r>
        <w:rPr>
          <w:noProof/>
        </w:rPr>
        <w:lastRenderedPageBreak/>
        <w:t>DODATEK</w:t>
      </w:r>
    </w:p>
    <w:p>
      <w:pPr>
        <w:rPr>
          <w:noProof/>
          <w:u w:val="single"/>
        </w:rPr>
      </w:pPr>
      <w:r>
        <w:rPr>
          <w:noProof/>
          <w:u w:val="single"/>
        </w:rPr>
        <w:t>Kar zadeva postopek pogajanj:</w:t>
      </w:r>
    </w:p>
    <w:p>
      <w:pPr>
        <w:pStyle w:val="NumPar1"/>
        <w:numPr>
          <w:ilvl w:val="0"/>
          <w:numId w:val="1"/>
        </w:numPr>
        <w:rPr>
          <w:noProof/>
        </w:rPr>
      </w:pPr>
      <w:r>
        <w:rPr>
          <w:noProof/>
        </w:rPr>
        <w:t xml:space="preserve">Unija si prizadeva zagotoviti, da postopek pogajanj o konvenciji omogoča vsem zainteresiranim državam in mednarodnim organizacijam, da učinkovito sodelujejo pri pogajanjih in doseganju soglasja. </w:t>
      </w:r>
    </w:p>
    <w:p>
      <w:pPr>
        <w:pStyle w:val="NumPar1"/>
        <w:rPr>
          <w:noProof/>
        </w:rPr>
      </w:pPr>
      <w:r>
        <w:rPr>
          <w:noProof/>
        </w:rPr>
        <w:t xml:space="preserve">Unijo ves čas pogajanj zastopa Komisija. V skladu z načeloma lojalnega sodelovanja in enotnega zunanjega zastopanja, kot sta določeni v Pogodbah, se Unija in njene države članice, ki sodelujejo v pogajanjih, ves čas pogajanj v celoti usklajujejo in ustrezno ukrepajo. </w:t>
      </w:r>
    </w:p>
    <w:p>
      <w:pPr>
        <w:pStyle w:val="NumPar1"/>
        <w:rPr>
          <w:noProof/>
        </w:rPr>
      </w:pPr>
      <w:r>
        <w:rPr>
          <w:noProof/>
        </w:rPr>
        <w:t>Pogajanja potekajo pod okriljem Komisije Združenih narodov za mednarodno trgovinsko pravo (UNCITRAL). V primeru glasovanja države članice, ki so članice UNCITRAL, uveljavljajo svoje glasovalne pravice v skladu s temi smernicami in predhodno dogovorjenimi stališči EU.</w:t>
      </w:r>
    </w:p>
    <w:p>
      <w:pPr>
        <w:pStyle w:val="NumPar1"/>
        <w:rPr>
          <w:noProof/>
        </w:rPr>
      </w:pPr>
      <w:r>
        <w:rPr>
          <w:noProof/>
        </w:rPr>
        <w:t xml:space="preserve">Unija si prizadeva zagotoviti, da pogajanja potekajo na pregleden način, med drugim tudi prek zvočnih in/ali spletnih vsebin, kadar je to mogoče, in da imajo predstavniki organizacij civilne družbe možnost sodelovati v razpravah kot akreditirani opazovalci. </w:t>
      </w:r>
    </w:p>
    <w:p>
      <w:pPr>
        <w:rPr>
          <w:noProof/>
          <w:u w:val="single"/>
        </w:rPr>
      </w:pPr>
      <w:r>
        <w:rPr>
          <w:noProof/>
          <w:u w:val="single"/>
        </w:rPr>
        <w:t>Kar zadeva vsebino pogajanj:</w:t>
      </w:r>
    </w:p>
    <w:p>
      <w:pPr>
        <w:pStyle w:val="NumPar1"/>
        <w:rPr>
          <w:noProof/>
        </w:rPr>
      </w:pPr>
      <w:r>
        <w:rPr>
          <w:noProof/>
        </w:rPr>
        <w:t xml:space="preserve">Konvencija bi morala omogočati Uniji, da predloži spore, ki izhajajo iz sporazumov, katerih je ali bo pogodbenica, pristojnemu večstranskemu sodišču. Zato bi Unija morala imeti možnost, da postane pogodbenica konvencije, določbe konvencije pa bi morale biti oblikovane na način, ki omogoča njihovo učinkovito uporabo s strani Evropske unije. </w:t>
      </w:r>
    </w:p>
    <w:p>
      <w:pPr>
        <w:pStyle w:val="NumPar1"/>
        <w:rPr>
          <w:noProof/>
        </w:rPr>
      </w:pPr>
      <w:r>
        <w:rPr>
          <w:noProof/>
        </w:rPr>
        <w:t>Konvencija bi morala tudi državam članicam Unije in tretjim državam omogočati, da predložijo spore, ki izhajajo iz sporazumov, katerih so ali bodo pogodbenice, pristojnemu večstranskemu sodišču</w:t>
      </w:r>
      <w:r>
        <w:rPr>
          <w:rStyle w:val="FootnoteReference"/>
          <w:noProof/>
        </w:rPr>
        <w:footnoteReference w:id="1"/>
      </w:r>
      <w:r>
        <w:rPr>
          <w:noProof/>
        </w:rPr>
        <w:t xml:space="preserve">. </w:t>
      </w:r>
    </w:p>
    <w:p>
      <w:pPr>
        <w:pStyle w:val="NumPar1"/>
        <w:rPr>
          <w:noProof/>
        </w:rPr>
      </w:pPr>
      <w:r>
        <w:rPr>
          <w:noProof/>
        </w:rPr>
        <w:t xml:space="preserve">Osnovni mehanizem konvencije bi moral biti, da postane večstransko sodišče pristojno za dvostranski sporazum, kadar se obe pogodbenici sporazuma strinjata, da bosta predložili spore, ki izhajajo iz sporazuma, pristojnemu večstranskemu sodišču. V primeru večstranskih sporazumov bi morala konvencija omogočati dvema ali več pogodbenicam takega sporazuma, da se strinjajo, da bodo predložile spore, ki izhajajo iz večstranskega sporazuma, pristojnemu večstranskemu sodišču. </w:t>
      </w:r>
    </w:p>
    <w:p>
      <w:pPr>
        <w:pStyle w:val="NumPar1"/>
        <w:rPr>
          <w:noProof/>
        </w:rPr>
      </w:pPr>
      <w:r>
        <w:rPr>
          <w:noProof/>
        </w:rPr>
        <w:t xml:space="preserve">Večstransko sodišče bi moralo biti sestavljeno iz sodišča prve stopnje in pritožbenega sodišča. Slednje bi moralo biti pristojno za pregled odločitev, ki jih izda prvostopenjsko sodišče, zaradi napak pri uporabi prava ali očitnih napak pri presoji dejstev. Pritožbeno sodišče bi moralo biti pooblaščeno, da vrne primere prvostopenjskemu sodišču za zaključek postopka glede na svoje ugotovitve. </w:t>
      </w:r>
    </w:p>
    <w:p>
      <w:pPr>
        <w:pStyle w:val="NumPar1"/>
        <w:rPr>
          <w:noProof/>
        </w:rPr>
      </w:pPr>
      <w:r>
        <w:rPr>
          <w:noProof/>
        </w:rPr>
        <w:t xml:space="preserve">Zagotoviti bi bilo treba neodvisnost sodišča. Za člane sodišča (tako prvostopenjskega kot tudi pritožbenega) bi morale veljati stroge zahteve glede kvalifikacij in nepristranskosti. Konvencija bi morala določati pravila o etiki in mehanizme za </w:t>
      </w:r>
      <w:r>
        <w:rPr>
          <w:noProof/>
        </w:rPr>
        <w:lastRenderedPageBreak/>
        <w:t xml:space="preserve">ugovor. Člani sodišča bi morali prejemati stalno plačilo. Imenovati bi jih bilo treba za določeno, dolgo in nepodaljšljivo obdobje, poleg tega pa bi morali imeti zajamčen mandat in vsa potrebna jamstva za neodvisno delovanje. Imenovati bi jih bilo treba na podlagi objektivnega in preglednega postopka. </w:t>
      </w:r>
    </w:p>
    <w:p>
      <w:pPr>
        <w:pStyle w:val="NumPar1"/>
        <w:rPr>
          <w:noProof/>
        </w:rPr>
      </w:pPr>
      <w:r>
        <w:rPr>
          <w:noProof/>
        </w:rPr>
        <w:t>Konvencija bi morala vključevati potrebno prožnost za prilagajanje razvijajočemu se članstvu in morebitnemu razvoju glede narave sporazumov, za katere bi lahko bilo pristojno sodišče. Konvencija ne bi smela izključevati možnosti sodišča, da se zanese na podporo sekretariata obstoječe mednarodne organizacije in da se v poznejši fazi vključi v strukturo take organizacije.</w:t>
      </w:r>
    </w:p>
    <w:p>
      <w:pPr>
        <w:pStyle w:val="NumPar1"/>
        <w:rPr>
          <w:noProof/>
        </w:rPr>
      </w:pPr>
      <w:r>
        <w:rPr>
          <w:noProof/>
        </w:rPr>
        <w:t>Postopki pred večstranskim sodiščem bi morali potekati na pregleden način, vključno z možnostjo posredovanja tretjih strani, in sicer z uporabo pravil in standardov, določenih v okviru pravil UNCITRAL o preglednosti pri arbitražnem reševanju sporov med vlagatelji in državo na podlagi sporazumov, ali na podoben način.</w:t>
      </w:r>
    </w:p>
    <w:p>
      <w:pPr>
        <w:pStyle w:val="NumPar1"/>
        <w:rPr>
          <w:noProof/>
        </w:rPr>
      </w:pPr>
      <w:r>
        <w:rPr>
          <w:noProof/>
        </w:rPr>
        <w:t xml:space="preserve">Za odločitve večstranskega sodišča bi se moral uporabljati sistem učinkovitega izvrševanja na mednarodni ravni. </w:t>
      </w:r>
    </w:p>
    <w:p>
      <w:pPr>
        <w:pStyle w:val="NumPar1"/>
        <w:rPr>
          <w:noProof/>
        </w:rPr>
      </w:pPr>
      <w:r>
        <w:rPr>
          <w:noProof/>
        </w:rPr>
        <w:t>Eden od ciljev pogajanj bi moralo biti stroškovno učinkovito delovanje večstranskega sodišča, da se zagotovi njegova dostopnost za mala in srednja podjetja ter fizične osebe. Fiksne stroške sodišča, vključno s stroški plačila njegovih članov ter stroški upravne podpore in podpore sekretariata, bi načeloma morale kriti pogodbenice konvencije o ustanovitvi večstranskega sodišča. Razdelitev teh stroškov med pogodbenice bi morala biti pravična, pri čemer se lahko upoštevajo dejavniki, kot so stopnja razvoja pogodbenic, število sporazumov na pogodbenico, zadevni obseg njihovih mednarodnih naložbenih tokov ali stanje njihovih mednarodnih naložb.</w:t>
      </w:r>
    </w:p>
    <w:p>
      <w:pPr>
        <w:pStyle w:val="NumPar1"/>
        <w:rPr>
          <w:noProof/>
        </w:rPr>
      </w:pPr>
      <w:r>
        <w:rPr>
          <w:noProof/>
        </w:rPr>
        <w:t xml:space="preserve">Unija bi si morala prizadevati za razpoložljivost podpore, da se zagotovi, da lahko države v razvoju in najmanj razvite države učinkovito delujejo v okviru sistema za reševanje naložbenih sporov. Taka pobuda je lahko del procesa ustanovitve večstranskega sodišča za naložbe ali pa se izvaja ločeno. </w:t>
      </w:r>
    </w:p>
    <w:p>
      <w:pPr>
        <w:pStyle w:val="NumPar1"/>
        <w:rPr>
          <w:noProof/>
        </w:rPr>
      </w:pPr>
      <w:r>
        <w:rPr>
          <w:noProof/>
        </w:rPr>
        <w:t xml:space="preserve">Vsaka zainteresirana država in organizacija za regionalno gospodarsko povezovanje, ki je pogodbenica sporazuma o naložbah, bi morala imeti možnost podpisati konvencijo o ustanovitvi večstranskega sodišča in pristopiti k njej. Konvencija bi morala začeti veljati takoj, ko je deponirano minimalno število listin o ratifikaciji. </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SL</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SL</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Spori, ki izhajajo iz dvostranskih pogodb o naložbah med državami članicami (dvostranske pogodbe o naložbah znotraj EU), ter spori med vlagateljem iz ene države članice in drugo državo članico na podlagi Pogodbe o energetski listini so zunaj področja uporabe tega sklepa.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D50C66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A60665C"/>
    <w:lvl w:ilvl="0">
      <w:start w:val="1"/>
      <w:numFmt w:val="decimal"/>
      <w:pStyle w:val="ListNumber3"/>
      <w:lvlText w:val="%1."/>
      <w:lvlJc w:val="left"/>
      <w:pPr>
        <w:tabs>
          <w:tab w:val="num" w:pos="926"/>
        </w:tabs>
        <w:ind w:left="926" w:hanging="360"/>
      </w:pPr>
    </w:lvl>
  </w:abstractNum>
  <w:abstractNum w:abstractNumId="2">
    <w:nsid w:val="FFFFFF7F"/>
    <w:multiLevelType w:val="singleLevel"/>
    <w:tmpl w:val="FA7889C4"/>
    <w:lvl w:ilvl="0">
      <w:start w:val="1"/>
      <w:numFmt w:val="decimal"/>
      <w:pStyle w:val="ListNumber2"/>
      <w:lvlText w:val="%1."/>
      <w:lvlJc w:val="left"/>
      <w:pPr>
        <w:tabs>
          <w:tab w:val="num" w:pos="643"/>
        </w:tabs>
        <w:ind w:left="643" w:hanging="360"/>
      </w:pPr>
    </w:lvl>
  </w:abstractNum>
  <w:abstractNum w:abstractNumId="3">
    <w:nsid w:val="FFFFFF81"/>
    <w:multiLevelType w:val="singleLevel"/>
    <w:tmpl w:val="52B66AA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41C132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5476BEE0"/>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1BA85DC4"/>
    <w:lvl w:ilvl="0">
      <w:start w:val="1"/>
      <w:numFmt w:val="decimal"/>
      <w:pStyle w:val="ListNumber"/>
      <w:lvlText w:val="%1."/>
      <w:lvlJc w:val="left"/>
      <w:pPr>
        <w:tabs>
          <w:tab w:val="num" w:pos="360"/>
        </w:tabs>
        <w:ind w:left="360" w:hanging="360"/>
      </w:pPr>
    </w:lvl>
  </w:abstractNum>
  <w:abstractNum w:abstractNumId="7">
    <w:nsid w:val="FFFFFF89"/>
    <w:multiLevelType w:val="singleLevel"/>
    <w:tmpl w:val="74DC8F8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70"/>
  <w:hideSpellingErrors/>
  <w:hideGrammaticalErrors/>
  <w:attachedTemplate r:id="rId1"/>
  <w:revisionView w:markup="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7-09-20 10:10:36"/>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FigNum" w:val="1"/>
    <w:docVar w:name="LW_ACCOMPAGNANT" w:val="k"/>
    <w:docVar w:name="LW_ACCOMPAGNANT.CP" w:val="k"/>
    <w:docVar w:name="LW_ANNEX_NBR_FIRST" w:val="1"/>
    <w:docVar w:name="LW_ANNEX_NBR_LAST" w:val="1"/>
    <w:docVar w:name="LW_CONFIDENCE" w:val=" "/>
    <w:docVar w:name="LW_CONST_RESTREINT_UE" w:val="RESTREINT UE"/>
    <w:docVar w:name="LW_CORRIGENDUM" w:val="&lt;UNUSED&gt;"/>
    <w:docVar w:name="LW_COVERPAGE_GUID" w:val="9CF23EDBBAD643C192F05CD80D265EFF"/>
    <w:docVar w:name="LW_CROSSREFERENCE" w:val="{SWD(2017) 302 final}_x000b_{SWD(2017) 303 final}"/>
    <w:docVar w:name="LW_DocType" w:val="ANNEX"/>
    <w:docVar w:name="LW_EMISSION" w:val="13.9.2017"/>
    <w:docVar w:name="LW_EMISSION_ISODATE" w:val="2017-09-13"/>
    <w:docVar w:name="LW_EMISSION_LOCATION" w:val="BRX"/>
    <w:docVar w:name="LW_EMISSION_PREFIX" w:val="Bruselj, "/>
    <w:docVar w:name="LW_EMISSION_SUFFIX" w:val=" "/>
    <w:docVar w:name="LW_ID_DOCSTRUCTURE" w:val="COM/ANNEX"/>
    <w:docVar w:name="LW_ID_DOCTYPE" w:val="SG-017"/>
    <w:docVar w:name="LW_LANGUE" w:val="SL"/>
    <w:docVar w:name="LW_MARKING" w:val="&lt;UNUSED&gt;"/>
    <w:docVar w:name="LW_NOM.INST" w:val="EVROPSKA KOMISIJA"/>
    <w:docVar w:name="LW_NOM.INST_JOINTDOC" w:val="&lt;EMPTY&gt;"/>
    <w:docVar w:name="LW_OBJETACTEPRINCIPAL" w:val="o odobritvi za\u269?etka pogajanj o konvenciji o ustanovitvi ve\u269?stranskega sodi\u353?\u269?a za re\u353?evanje nalo\u382?benih sporov"/>
    <w:docVar w:name="LW_OBJETACTEPRINCIPAL.CP" w:val="o odobritvi za\u269?etka pogajanj o konvenciji o ustanovitvi ve\u269?stranskega sodi\u353?\u269?a za re\u353?evanje nalo\u382?benih sporov"/>
    <w:docVar w:name="LW_PART_NBR" w:val="1"/>
    <w:docVar w:name="LW_PART_NBR_TOTAL" w:val="1"/>
    <w:docVar w:name="LW_REF.INST.NEW" w:val="COM"/>
    <w:docVar w:name="LW_REF.INST.NEW_ADOPTED" w:val="final"/>
    <w:docVar w:name="LW_REF.INST.NEW_TEXT" w:val="(2017) 493"/>
    <w:docVar w:name="LW_REF.INTERNE" w:val="&lt;UNUSED&gt;"/>
    <w:docVar w:name="LW_SUPERTITRE" w:val="&lt;UNUSED&gt;"/>
    <w:docVar w:name="LW_TITRE.OBJ.CP" w:val="&lt;UNUSED&gt;"/>
    <w:docVar w:name="LW_TYPE.DOC" w:val="PRILOGA"/>
    <w:docVar w:name="LW_TYPE.DOC.CP" w:val="PRILOGA"/>
    <w:docVar w:name="LW_TYPEACTEPRINCIPAL" w:val="priporo\u269?ilu za sklep Sveta"/>
    <w:docVar w:name="LW_TYPEACTEPRINCIPAL.CP" w:val="priporo\u269?ilu za sklep Svet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sl-SI"/>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sl-SI"/>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l-SI"/>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sl-SI"/>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sl-SI"/>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l-SI"/>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57997-BE21-419B-ACED-B6694BD45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0</TotalTime>
  <Pages>3</Pages>
  <Words>706</Words>
  <Characters>4393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8</cp:revision>
  <dcterms:created xsi:type="dcterms:W3CDTF">2017-09-19T11:38:00Z</dcterms:created>
  <dcterms:modified xsi:type="dcterms:W3CDTF">2017-09-20T08:10:00Z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First annex">
    <vt:lpwstr>1</vt:lpwstr>
  </property>
  <property fmtid="{D5CDD505-2E9C-101B-9397-08002B2CF9AE}" pid="8" name="Last annex">
    <vt:lpwstr>1</vt:lpwstr>
  </property>
  <property fmtid="{D5CDD505-2E9C-101B-9397-08002B2CF9AE}" pid="9" name="Part">
    <vt:lpwstr>1</vt:lpwstr>
  </property>
  <property fmtid="{D5CDD505-2E9C-101B-9397-08002B2CF9AE}" pid="10" name="Total parts">
    <vt:lpwstr>1</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