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alt="C3C37393CA0B4158AEFE9971C5751E0F" style="width:450.7pt;height:365.6pt">
            <v:imagedata r:id="rId8" o:title=""/>
          </v:shape>
        </w:pict>
      </w:r>
    </w:p>
    <w:p>
      <w:pPr>
        <w:rPr>
          <w:noProof/>
        </w:rPr>
        <w:sectPr>
          <w:footerReference w:type="default" r:id="rId9"/>
          <w:pgSz w:w="11907" w:h="16839"/>
          <w:pgMar w:top="1134" w:right="1417" w:bottom="1134" w:left="1417" w:header="709" w:footer="709" w:gutter="0"/>
          <w:pgNumType w:start="1"/>
          <w:cols w:space="720"/>
          <w:docGrid w:linePitch="360"/>
        </w:sectPr>
      </w:pPr>
    </w:p>
    <w:p>
      <w:pPr>
        <w:pStyle w:val="Exposdesmotifstitre"/>
        <w:rPr>
          <w:noProof/>
        </w:rPr>
      </w:pPr>
      <w:bookmarkStart w:id="0" w:name="_GoBack"/>
      <w:bookmarkEnd w:id="0"/>
      <w:r>
        <w:rPr>
          <w:noProof/>
        </w:rPr>
        <w:lastRenderedPageBreak/>
        <w:t>OBRAZLOŽITVENI MEMORANDUM</w:t>
      </w:r>
    </w:p>
    <w:p>
      <w:pPr>
        <w:pStyle w:val="ManualHeading1"/>
        <w:rPr>
          <w:noProof/>
        </w:rPr>
      </w:pPr>
      <w:r>
        <w:rPr>
          <w:noProof/>
        </w:rPr>
        <w:t>1.</w:t>
      </w:r>
      <w:r>
        <w:rPr>
          <w:noProof/>
        </w:rPr>
        <w:tab/>
        <w:t>OZADJE PREDLOGA</w:t>
      </w:r>
    </w:p>
    <w:p>
      <w:pPr>
        <w:pStyle w:val="ManualHeading2"/>
        <w:rPr>
          <w:rFonts w:eastAsia="Arial Unicode MS"/>
          <w:noProof/>
        </w:rPr>
      </w:pPr>
      <w:r>
        <w:rPr>
          <w:noProof/>
          <w:color w:val="000000"/>
          <w:u w:color="000000"/>
          <w:bdr w:val="nil"/>
        </w:rPr>
        <w:t>•</w:t>
      </w:r>
      <w:r>
        <w:rPr>
          <w:noProof/>
        </w:rPr>
        <w:tab/>
        <w:t>Razlogi za predlog in njegovi cilji</w:t>
      </w:r>
    </w:p>
    <w:p>
      <w:pPr>
        <w:pBdr>
          <w:top w:val="nil"/>
          <w:left w:val="nil"/>
          <w:bottom w:val="nil"/>
          <w:right w:val="nil"/>
          <w:between w:val="nil"/>
          <w:bar w:val="nil"/>
        </w:pBdr>
        <w:spacing w:before="0" w:after="240"/>
        <w:rPr>
          <w:noProof/>
        </w:rPr>
      </w:pPr>
      <w:r>
        <w:rPr>
          <w:noProof/>
        </w:rPr>
        <w:t>V zadnjih letih je vključitev reševanja sporov med vlagatelji in državo v trgovinske sporazume in sporazume o naložbah pod vse ostrejšim javnim nadzorom in vzbuja vedno več pomislekov. Ugotovljene so bile številne težave, ki izhajajo iz reševanja sporov med vlagatelji in državo, ki temelji na načelih arbitraže. Med te težave spadajo omejena legitimnost, doslednost in preglednost reševanja sporov med vlagatelji in državo ali njihovo pomanjkanje ter pomanjkanje možnosti pregleda.</w:t>
      </w:r>
    </w:p>
    <w:p>
      <w:pPr>
        <w:pBdr>
          <w:top w:val="nil"/>
          <w:left w:val="nil"/>
          <w:bottom w:val="nil"/>
          <w:right w:val="nil"/>
          <w:between w:val="nil"/>
          <w:bar w:val="nil"/>
        </w:pBdr>
        <w:spacing w:before="0" w:after="240"/>
        <w:rPr>
          <w:noProof/>
        </w:rPr>
      </w:pPr>
      <w:r>
        <w:rPr>
          <w:noProof/>
        </w:rPr>
        <w:t>Za odpravo teh omejitev si Unija že od leta 2015 prizadeva institucionalizirati sistem za reševanje naložbenih sporov v trgovinskih sporazumih EU in sporazumih EU o naložbah z vključitvijo sistema sodišča za naložbe. Vendar je sistem sodišča za naložbe dvostranski, zato ne more v celoti obravnavati navedenih težav. Poleg tega vključitev sistema sodišča za naložbe v sporazume Unije pomeni večjo upravno zapletenost in proračunske posledice.</w:t>
      </w:r>
    </w:p>
    <w:p>
      <w:pPr>
        <w:pBdr>
          <w:top w:val="nil"/>
          <w:left w:val="nil"/>
          <w:bottom w:val="nil"/>
          <w:right w:val="nil"/>
          <w:between w:val="nil"/>
          <w:bar w:val="nil"/>
        </w:pBdr>
        <w:spacing w:before="0" w:after="240"/>
        <w:rPr>
          <w:noProof/>
        </w:rPr>
      </w:pPr>
      <w:r>
        <w:rPr>
          <w:noProof/>
        </w:rPr>
        <w:t>Cilj pobude za večstransko sodišče za naložbe je vzpostaviti okvir za reševanje mednarodnih naložbenih sporov</w:t>
      </w:r>
      <w:r>
        <w:rPr>
          <w:rStyle w:val="FootnoteReference"/>
          <w:noProof/>
        </w:rPr>
        <w:footnoteReference w:id="1"/>
      </w:r>
      <w:r>
        <w:rPr>
          <w:noProof/>
        </w:rPr>
        <w:t xml:space="preserve">, ki je stalen, neodvisen in legitimen, predvidljiv v smislu dosledne sodne prakse, omogoča pritožbo zoper odločitve, je stroškovno učinkovit, zagotavlja pregledne in učinkovite postopke ter omogoča posredovanje tretjih strani (med drugim na primer zainteresiranih okoljskih ali delavskih organizacij). Neodvisnost sodišča bi bilo treba zagotoviti s strogimi zahtevami glede etike in nepristranskosti, neobnovljivimi imenovanji, zaposlovanjem razsodnikov za polni delovni čas in neodvisnimi mehanizmi za imenovanje. </w:t>
      </w:r>
    </w:p>
    <w:p>
      <w:pPr>
        <w:pBdr>
          <w:top w:val="nil"/>
          <w:left w:val="nil"/>
          <w:bottom w:val="nil"/>
          <w:right w:val="nil"/>
          <w:between w:val="nil"/>
          <w:bar w:val="nil"/>
        </w:pBdr>
        <w:spacing w:before="0" w:after="240"/>
        <w:rPr>
          <w:noProof/>
        </w:rPr>
      </w:pPr>
      <w:r>
        <w:rPr>
          <w:noProof/>
        </w:rPr>
        <w:t>Ta pobuda bo obravnavala zgolj postopkovna vprašanja. Zadeve, kot so uporabno pravo ali standardi razlage, vključno z zagotavljanjem skladnosti z drugimi mednarodnimi obveznostmi (na primer iz konvencij Mednarodne organizacije dela in Združenih narodov), bodo obravnavane v okviru osnovnih sporazumov o naložbah, ki jih bo uporabljalo večstransko sodišče za naložbe.</w:t>
      </w:r>
    </w:p>
    <w:p>
      <w:pPr>
        <w:pBdr>
          <w:top w:val="nil"/>
          <w:left w:val="nil"/>
          <w:bottom w:val="nil"/>
          <w:right w:val="nil"/>
          <w:between w:val="nil"/>
          <w:bar w:val="nil"/>
        </w:pBdr>
        <w:spacing w:before="0" w:after="240"/>
        <w:rPr>
          <w:noProof/>
        </w:rPr>
      </w:pPr>
      <w:r>
        <w:rPr>
          <w:noProof/>
        </w:rPr>
        <w:t>Cilj te pobude je uskladiti politiko Unije glede reševanja naložbenih sporov in njen pristop na drugih področjih mednarodnega upravljanja in reševanja mednarodnih sporov, ki daje prednost večstranskim rešitvam. Ta pobuda ni del programa ustreznosti in uspešnosti predpisov Komisije.</w:t>
      </w:r>
    </w:p>
    <w:p>
      <w:pPr>
        <w:pStyle w:val="ManualHeading2"/>
        <w:rPr>
          <w:rFonts w:eastAsia="Arial Unicode MS"/>
          <w:noProof/>
          <w:u w:color="000000"/>
          <w:bdr w:val="nil"/>
        </w:rPr>
      </w:pPr>
      <w:r>
        <w:rPr>
          <w:noProof/>
        </w:rPr>
        <w:t>•</w:t>
      </w:r>
      <w:r>
        <w:rPr>
          <w:noProof/>
        </w:rPr>
        <w:tab/>
        <w:t>Skladnost z veljavnimi predpisi s področja zadevne politike</w:t>
      </w:r>
    </w:p>
    <w:p>
      <w:pPr>
        <w:pBdr>
          <w:top w:val="nil"/>
          <w:left w:val="nil"/>
          <w:bottom w:val="nil"/>
          <w:right w:val="nil"/>
          <w:between w:val="nil"/>
          <w:bar w:val="nil"/>
        </w:pBdr>
        <w:spacing w:before="0" w:after="240"/>
        <w:rPr>
          <w:noProof/>
        </w:rPr>
      </w:pPr>
      <w:r>
        <w:rPr>
          <w:noProof/>
        </w:rPr>
        <w:t>Komisija je v svojem dokumentu za razpravo iz maja 2015 z naslovom „Investment in TTIP and beyond – the path for reform – Enhancing the right to regulate and moving from current ad hoc arbitration towards an Investment Court“</w:t>
      </w:r>
      <w:r>
        <w:rPr>
          <w:rStyle w:val="FootnoteReference"/>
          <w:noProof/>
        </w:rPr>
        <w:footnoteReference w:id="2"/>
      </w:r>
      <w:r>
        <w:rPr>
          <w:noProof/>
        </w:rPr>
        <w:t xml:space="preserve"> (Naložbe v okviru TTIP in druge naložbe – na poti reform – Krepitev pravice do zakonodajnega urejanja in prehod od sedanjih ad hoc arbitraž k sodišču za naložbe) predlagala dvostopenjski pristop k reformi tradicionalnega </w:t>
      </w:r>
      <w:r>
        <w:rPr>
          <w:noProof/>
        </w:rPr>
        <w:lastRenderedPageBreak/>
        <w:t>sistema za reševanje sporov med vlagatelji in državo. Prvi korak je bila vključitev institucionaliziranega sodnega sistema za reševanje naložbenih sporov v prihodnje trgovinske sporazume Unije in sporazume Unije o naložbah (tj. sistema sodišča za naložbe). Pri drugem koraku pa naj bi si Unija prizadevala za ustanovitev večstranskega sodišča za naložbe. Cilj tega večstranskega sodišča bi bil nadomestiti vse dvostranske sisteme sodišča za naložbe iz trgovinskih sporazumov Unije in sporazumov Unije o naložbah ter Uniji, njenim državam članicam in partnerskim državam omogočiti, da v svojih obstoječih sporazumih o naložbah nadomestijo določbe o reševanju sporov med vlagatelji in državo z dostopom do večstranskega sodišča za naložbe.</w:t>
      </w:r>
    </w:p>
    <w:p>
      <w:pPr>
        <w:pStyle w:val="ManualHeading2"/>
        <w:rPr>
          <w:rFonts w:eastAsia="Arial Unicode MS"/>
          <w:noProof/>
        </w:rPr>
      </w:pPr>
      <w:r>
        <w:rPr>
          <w:noProof/>
        </w:rPr>
        <w:t>•</w:t>
      </w:r>
      <w:r>
        <w:rPr>
          <w:noProof/>
        </w:rPr>
        <w:tab/>
        <w:t>Skladnost z drugimi politikami Unije</w:t>
      </w:r>
    </w:p>
    <w:p>
      <w:pPr>
        <w:pBdr>
          <w:top w:val="nil"/>
          <w:left w:val="nil"/>
          <w:bottom w:val="nil"/>
          <w:right w:val="nil"/>
          <w:between w:val="nil"/>
          <w:bar w:val="nil"/>
        </w:pBdr>
        <w:spacing w:before="0" w:after="240"/>
        <w:rPr>
          <w:rFonts w:eastAsia="Arial Unicode MS"/>
          <w:noProof/>
        </w:rPr>
      </w:pPr>
      <w:r>
        <w:rPr>
          <w:noProof/>
        </w:rPr>
        <w:t>To priporočilo je v skladu s sporočilom Komisije z naslovom „Trgovina za vse“</w:t>
      </w:r>
      <w:r>
        <w:rPr>
          <w:rStyle w:val="FootnoteReference"/>
          <w:noProof/>
        </w:rPr>
        <w:footnoteReference w:id="3"/>
      </w:r>
      <w:r>
        <w:rPr>
          <w:noProof/>
        </w:rPr>
        <w:t xml:space="preserve"> iz oktobra 2015, v katerem je navedeno, da bo Komisija vzporedno s svojimi dvostranskimi prizadevanji „sodelovala s partnerji, da bi dosegla soglasje za polnopravno stalno mednarodno sodišče za naložbe“.</w:t>
      </w:r>
    </w:p>
    <w:p>
      <w:pPr>
        <w:pBdr>
          <w:top w:val="nil"/>
          <w:left w:val="nil"/>
          <w:bottom w:val="nil"/>
          <w:right w:val="nil"/>
          <w:between w:val="nil"/>
          <w:bar w:val="nil"/>
        </w:pBdr>
        <w:spacing w:before="0" w:after="240"/>
        <w:rPr>
          <w:rFonts w:eastAsia="Arial Unicode MS"/>
          <w:noProof/>
        </w:rPr>
      </w:pPr>
      <w:r>
        <w:rPr>
          <w:noProof/>
        </w:rPr>
        <w:t>Komisija je ob objavi predlaganega besedila EU o zaščiti naložb in reševanju sporov o naložbah v okviru čezatlantskega partnerstva za trgovino in naložbe (TTIP) 12. novembra 2015 dejansko izjavila, da si bo „skupaj z drugimi državami prizadevala za ustanovitev stalnega mednarodnega sodišča za naložbe. [...] S tem bi se zastareli mehanizem reševanja sporov med vlagatelji in državo nadomestil s sodobnim, učinkovitim, preglednim in nepristranskim sistemom za reševanje mednarodnih naložbenih sporov.</w:t>
      </w:r>
      <w:r>
        <w:rPr>
          <w:rStyle w:val="FootnoteReference"/>
          <w:noProof/>
        </w:rPr>
        <w:footnoteReference w:id="4"/>
      </w:r>
      <w:r>
        <w:rPr>
          <w:noProof/>
        </w:rPr>
        <w:t>“</w:t>
      </w:r>
    </w:p>
    <w:p>
      <w:pPr>
        <w:pBdr>
          <w:top w:val="nil"/>
          <w:left w:val="nil"/>
          <w:bottom w:val="nil"/>
          <w:right w:val="nil"/>
          <w:between w:val="nil"/>
          <w:bar w:val="nil"/>
        </w:pBdr>
        <w:spacing w:before="0" w:after="240"/>
        <w:rPr>
          <w:rFonts w:eastAsia="Arial Unicode MS"/>
          <w:noProof/>
        </w:rPr>
      </w:pPr>
      <w:r>
        <w:rPr>
          <w:noProof/>
        </w:rPr>
        <w:t>Priporočilo je v skladu tudi z razmislekom Komisije o izkoriščanju globalizacije iz maja 2017</w:t>
      </w:r>
      <w:r>
        <w:rPr>
          <w:rStyle w:val="FootnoteReference"/>
          <w:noProof/>
        </w:rPr>
        <w:footnoteReference w:id="5"/>
      </w:r>
      <w:r>
        <w:rPr>
          <w:noProof/>
        </w:rPr>
        <w:t xml:space="preserve">, ki se izrecno sklicuje na to pobudo, saj je navedeno, da mednarodnih naložbenih „[s]porov ne bi smeli več reševati arbitri v okviru t. i. ureditev za reševanje sporov med vlagateljem in državo. Zato je Komisija predlagala ustanovitev večstranskega sodišča za naložbe, s katerim bi se vzpostavil pošten in pregleden mehanizem [...].“ </w:t>
      </w:r>
    </w:p>
    <w:p>
      <w:pPr>
        <w:pBdr>
          <w:top w:val="nil"/>
          <w:left w:val="nil"/>
          <w:bottom w:val="nil"/>
          <w:right w:val="nil"/>
          <w:between w:val="nil"/>
          <w:bar w:val="nil"/>
        </w:pBdr>
        <w:spacing w:before="0" w:after="240"/>
        <w:rPr>
          <w:rFonts w:eastAsia="Arial Unicode MS"/>
          <w:noProof/>
        </w:rPr>
      </w:pPr>
      <w:r>
        <w:rPr>
          <w:noProof/>
        </w:rPr>
        <w:t>Poleg tega je Svet ob sprejetju sklepa o odobritvi podpisa celovitega gospodarskega in trgovinskega sporazuma (CETA) izjavil, da „Svet podpira prizadevanja Evropske komisije za vzpostavitev večstranskega sodišča za naložbe, ki bo nadomestil dvostranski sistem, ki bo uveden na podlagi celovitega gospodarskega in trgovinskega sporazuma, ko bo ta sprejet, in v skladu s postopkom, predvidenim v celovitem gospodarskem in trgovinskem sporazumu“</w:t>
      </w:r>
      <w:r>
        <w:rPr>
          <w:rStyle w:val="FootnoteReference"/>
          <w:noProof/>
        </w:rPr>
        <w:footnoteReference w:id="6"/>
      </w:r>
      <w:r>
        <w:rPr>
          <w:noProof/>
        </w:rPr>
        <w:t>.</w:t>
      </w:r>
    </w:p>
    <w:p>
      <w:pPr>
        <w:pStyle w:val="ManualHeading1"/>
        <w:rPr>
          <w:noProof/>
        </w:rPr>
      </w:pPr>
      <w:r>
        <w:rPr>
          <w:noProof/>
        </w:rPr>
        <w:t>2.</w:t>
      </w:r>
      <w:r>
        <w:rPr>
          <w:noProof/>
        </w:rPr>
        <w:tab/>
        <w:t>PRAVNA PODLAGA, SUBSIDIARNOST IN SORAZMERNOST</w:t>
      </w:r>
    </w:p>
    <w:p>
      <w:pPr>
        <w:pStyle w:val="ManualHeading2"/>
        <w:rPr>
          <w:rFonts w:eastAsia="Arial Unicode MS"/>
          <w:noProof/>
          <w:u w:color="000000"/>
          <w:bdr w:val="nil"/>
        </w:rPr>
      </w:pPr>
      <w:r>
        <w:rPr>
          <w:noProof/>
        </w:rPr>
        <w:t>•</w:t>
      </w:r>
      <w:r>
        <w:rPr>
          <w:noProof/>
        </w:rPr>
        <w:tab/>
        <w:t>Pravna podlaga</w:t>
      </w:r>
    </w:p>
    <w:p>
      <w:pPr>
        <w:pBdr>
          <w:top w:val="nil"/>
          <w:left w:val="nil"/>
          <w:bottom w:val="nil"/>
          <w:right w:val="nil"/>
          <w:between w:val="nil"/>
          <w:bar w:val="nil"/>
        </w:pBdr>
        <w:spacing w:before="0" w:after="240"/>
        <w:rPr>
          <w:rFonts w:eastAsia="Arial Unicode MS"/>
          <w:noProof/>
        </w:rPr>
      </w:pPr>
      <w:r>
        <w:rPr>
          <w:noProof/>
        </w:rPr>
        <w:t>Člen 218(3) Pogodbe o delovanju Evropske unije (PDEU) določa, da Komisija predloži priporočila Svetu, ki sprejme sklep o odobritvi začetka pogajanj in imenovanju pogajalca Unije. V skladu s členom 218(4) PDEU lahko Svet pogajalcu da smernice.</w:t>
      </w:r>
    </w:p>
    <w:p>
      <w:pPr>
        <w:pStyle w:val="ManualHeading2"/>
        <w:rPr>
          <w:rFonts w:eastAsia="Arial Unicode MS"/>
          <w:noProof/>
          <w:u w:color="000000"/>
          <w:bdr w:val="nil"/>
        </w:rPr>
      </w:pPr>
      <w:r>
        <w:rPr>
          <w:noProof/>
        </w:rPr>
        <w:lastRenderedPageBreak/>
        <w:t>•</w:t>
      </w:r>
      <w:r>
        <w:rPr>
          <w:noProof/>
        </w:rPr>
        <w:tab/>
        <w:t xml:space="preserve">Subsidiarnost (za neizključno pristojnost) </w:t>
      </w:r>
    </w:p>
    <w:p>
      <w:pPr>
        <w:pBdr>
          <w:top w:val="nil"/>
          <w:left w:val="nil"/>
          <w:bottom w:val="nil"/>
          <w:right w:val="nil"/>
          <w:between w:val="nil"/>
          <w:bar w:val="nil"/>
        </w:pBdr>
        <w:spacing w:before="0" w:after="240"/>
        <w:rPr>
          <w:noProof/>
        </w:rPr>
      </w:pPr>
      <w:r>
        <w:rPr>
          <w:noProof/>
        </w:rPr>
        <w:t xml:space="preserve">V skladu s členom 5(3) Pogodbe o Evropski uniji (PEU) se načelo subsidiarnosti ne uporablja na področjih v izključni pristojnosti EU. </w:t>
      </w:r>
    </w:p>
    <w:p>
      <w:pPr>
        <w:pBdr>
          <w:top w:val="nil"/>
          <w:left w:val="nil"/>
          <w:bottom w:val="nil"/>
          <w:right w:val="nil"/>
          <w:between w:val="nil"/>
          <w:bar w:val="nil"/>
        </w:pBdr>
        <w:spacing w:before="0" w:after="240"/>
        <w:rPr>
          <w:noProof/>
        </w:rPr>
      </w:pPr>
      <w:r>
        <w:rPr>
          <w:noProof/>
        </w:rPr>
        <w:t>Unija ima glede zaščite naložb deloma izključno in deloma deljeno pristojnost.</w:t>
      </w:r>
    </w:p>
    <w:p>
      <w:pPr>
        <w:pBdr>
          <w:top w:val="nil"/>
          <w:left w:val="nil"/>
          <w:bottom w:val="nil"/>
          <w:right w:val="nil"/>
          <w:between w:val="nil"/>
          <w:bar w:val="nil"/>
        </w:pBdr>
        <w:spacing w:before="0" w:after="240"/>
        <w:rPr>
          <w:noProof/>
        </w:rPr>
      </w:pPr>
      <w:r>
        <w:rPr>
          <w:noProof/>
        </w:rPr>
        <w:t xml:space="preserve">Člen 3 PDEU določa, da ima Unija izključno pristojnost na področju skupne trgovinske politike. V skladu s členom 207 PDEU so neposredne tuje naložbe, vključno z možnostjo pogajanja o mednarodnih sporazumih o neposrednih tujih naložbah in njihovega sklepanja, del skupne trgovinske politike Unije. </w:t>
      </w:r>
    </w:p>
    <w:p>
      <w:pPr>
        <w:pBdr>
          <w:top w:val="nil"/>
          <w:left w:val="nil"/>
          <w:bottom w:val="nil"/>
          <w:right w:val="nil"/>
          <w:between w:val="nil"/>
          <w:bar w:val="nil"/>
        </w:pBdr>
        <w:spacing w:before="0" w:after="240"/>
        <w:rPr>
          <w:noProof/>
        </w:rPr>
      </w:pPr>
      <w:r>
        <w:rPr>
          <w:noProof/>
        </w:rPr>
        <w:t>Sodišče je v svojem Mnenju 2/15 o sporazumu o prosti trgovini med EU in Singapurjem potrdilo, da je Unija v skladu s členom 207 PDEU izključno pristojna za vsebinske standarde zaščite, ki so običajno vključeni v sporazume o naložbah, če se ti standardi uporabljajo za neposredne tuje naložbe</w:t>
      </w:r>
      <w:r>
        <w:rPr>
          <w:rStyle w:val="FootnoteReference"/>
          <w:noProof/>
        </w:rPr>
        <w:footnoteReference w:id="7"/>
      </w:r>
      <w:r>
        <w:rPr>
          <w:noProof/>
        </w:rPr>
        <w:t>. V istem mnenju je tudi pojasnilo, da imajo v primeru posrednih naložb Unija in države članice deljeno pristojnost za navedene vsebinske standarde.</w:t>
      </w:r>
    </w:p>
    <w:p>
      <w:pPr>
        <w:pBdr>
          <w:top w:val="nil"/>
          <w:left w:val="nil"/>
          <w:bottom w:val="nil"/>
          <w:right w:val="nil"/>
          <w:between w:val="nil"/>
          <w:bar w:val="nil"/>
        </w:pBdr>
        <w:spacing w:before="0" w:after="240"/>
        <w:rPr>
          <w:noProof/>
        </w:rPr>
      </w:pPr>
      <w:r>
        <w:rPr>
          <w:noProof/>
        </w:rPr>
        <w:t xml:space="preserve">Poleg tega je Sodišče v istem mnenju nadalje pojasnilo, da imajo Unija in države članice deljeno pristojnost za reševanje sporov med vlagatelji in državo (v zvezi z neposrednimi tujimi naložbami in posrednimi naložbami), če morajo države članice v nekaterih sporih delovati kot tožena stranka. </w:t>
      </w:r>
    </w:p>
    <w:p>
      <w:pPr>
        <w:pBdr>
          <w:top w:val="nil"/>
          <w:left w:val="nil"/>
          <w:bottom w:val="nil"/>
          <w:right w:val="nil"/>
          <w:between w:val="nil"/>
          <w:bar w:val="nil"/>
        </w:pBdr>
        <w:spacing w:before="0" w:after="240"/>
        <w:rPr>
          <w:noProof/>
        </w:rPr>
      </w:pPr>
      <w:r>
        <w:rPr>
          <w:noProof/>
        </w:rPr>
        <w:t xml:space="preserve">Unija je skupaj z državami članicami pogodbenica sporazumov, ki določajo tradicionalno reševanje sporov med vlagatelji in državo (Pogodba o energetski listini) ali sistem sodišča za naložbe (celoviti gospodarski in trgovinski sporazum med EU in Kanado – CETA), in se zanjo lahko določi, da je v sporih na podlagi teh sporazumov tožena stranka. Poleg tega se Komisija pogaja o več drugih sporazumih o prosti trgovini in samostojnih sporazumih o naložbah, ki vključujejo sistem sodišča za naložbe. Predvideva se, da bo Unija tožena stranka vsaj v nekaterih sporih na podlagi teh sporazumov. </w:t>
      </w:r>
    </w:p>
    <w:p>
      <w:pPr>
        <w:pBdr>
          <w:top w:val="nil"/>
          <w:left w:val="nil"/>
          <w:bottom w:val="nil"/>
          <w:right w:val="nil"/>
          <w:between w:val="nil"/>
          <w:bar w:val="nil"/>
        </w:pBdr>
        <w:spacing w:before="0" w:after="240"/>
        <w:rPr>
          <w:noProof/>
        </w:rPr>
      </w:pPr>
      <w:r>
        <w:rPr>
          <w:noProof/>
        </w:rPr>
        <w:t>Sodelovanje Unije pri predvideni konvenciji je torej potrebno, da bi na področje njene uporabe spadali tudi spori na podlagi navedenih sporazumov, v katerih bo Unija tožena stranka.</w:t>
      </w:r>
    </w:p>
    <w:p>
      <w:pPr>
        <w:pBdr>
          <w:top w:val="nil"/>
          <w:left w:val="nil"/>
          <w:bottom w:val="nil"/>
          <w:right w:val="nil"/>
          <w:between w:val="nil"/>
          <w:bar w:val="nil"/>
        </w:pBdr>
        <w:spacing w:before="0" w:after="240"/>
        <w:rPr>
          <w:noProof/>
        </w:rPr>
      </w:pPr>
      <w:r>
        <w:rPr>
          <w:noProof/>
        </w:rPr>
        <w:t>Obstoječi sporazumi, ki vključujejo reševanje sporov med vlagatelji in državo ali sistem sodišča za naložbe ter katerih pogodbenica je Unija (Pogodba o energetski listini in CETA), določajo, da so v nekaterih primerih tožena stranka države članice. Predvideni sporazumi, ki vključujejo sistem sodišča za naložbe, bi prav tako lahko določali, da so v nekaterih sporih tožena stranka države članice. Poleg tega je Unija v skladu z Uredbo (EU) št. 1219/2012</w:t>
      </w:r>
      <w:r>
        <w:rPr>
          <w:rStyle w:val="FootnoteReference"/>
          <w:noProof/>
        </w:rPr>
        <w:footnoteReference w:id="8"/>
      </w:r>
      <w:r>
        <w:rPr>
          <w:noProof/>
        </w:rPr>
        <w:t xml:space="preserve"> pooblastila države članice, da ohranijo ali sklenejo skoraj 1 400 dvostranskih pogodb o naložbah, ki vključujejo tradicionalno reševanje sporov med vlagatelji in državo. Zato bi večstransko reformo reševanja naložbenih sporov, predvideno s to pobudo, poleg Unije morale podpreti tudi države članice. </w:t>
      </w:r>
    </w:p>
    <w:p>
      <w:pPr>
        <w:pStyle w:val="ManualHeading2"/>
        <w:rPr>
          <w:rFonts w:eastAsia="Arial Unicode MS"/>
          <w:noProof/>
          <w:u w:color="000000"/>
          <w:bdr w:val="nil"/>
        </w:rPr>
      </w:pPr>
      <w:r>
        <w:rPr>
          <w:noProof/>
        </w:rPr>
        <w:lastRenderedPageBreak/>
        <w:t>•</w:t>
      </w:r>
      <w:r>
        <w:rPr>
          <w:noProof/>
        </w:rPr>
        <w:tab/>
        <w:t>Sorazmernost</w:t>
      </w:r>
    </w:p>
    <w:p>
      <w:pPr>
        <w:pBdr>
          <w:top w:val="nil"/>
          <w:left w:val="nil"/>
          <w:bottom w:val="nil"/>
          <w:right w:val="nil"/>
          <w:between w:val="nil"/>
          <w:bar w:val="nil"/>
        </w:pBdr>
        <w:spacing w:before="0" w:after="240"/>
        <w:rPr>
          <w:noProof/>
        </w:rPr>
      </w:pPr>
      <w:r>
        <w:rPr>
          <w:noProof/>
        </w:rPr>
        <w:t xml:space="preserve">To priporočilo za sklep Sveta o odobritvi začetka pogajanj o konvenciji o ustanovitvi večstranskega sodišča za reševanje naložbenih sporov ne presega tistega, kar je potrebno za doseganje zadevnih ciljev politike. </w:t>
      </w:r>
    </w:p>
    <w:p>
      <w:pPr>
        <w:pBdr>
          <w:top w:val="nil"/>
          <w:left w:val="nil"/>
          <w:bottom w:val="nil"/>
          <w:right w:val="nil"/>
          <w:between w:val="nil"/>
          <w:bar w:val="nil"/>
        </w:pBdr>
        <w:spacing w:before="0" w:after="240"/>
        <w:rPr>
          <w:noProof/>
        </w:rPr>
      </w:pPr>
      <w:r>
        <w:rPr>
          <w:noProof/>
        </w:rPr>
        <w:t xml:space="preserve">V skladu z načelom sorazmernosti so se upoštevale vse razumne možnosti politike, da bi se ocenila verjetna učinkovitost takega ukrepanja na področju politike. Te možnosti so podrobno opisane v poročilu o oceni učinka. </w:t>
      </w:r>
    </w:p>
    <w:p>
      <w:pPr>
        <w:pStyle w:val="ManualHeading2"/>
        <w:rPr>
          <w:rFonts w:eastAsia="Arial Unicode MS"/>
          <w:noProof/>
          <w:u w:color="000000"/>
          <w:bdr w:val="nil"/>
        </w:rPr>
      </w:pPr>
      <w:r>
        <w:rPr>
          <w:noProof/>
        </w:rPr>
        <w:t>•</w:t>
      </w:r>
      <w:r>
        <w:rPr>
          <w:noProof/>
        </w:rPr>
        <w:tab/>
        <w:t>Izbira instrumenta</w:t>
      </w:r>
    </w:p>
    <w:p>
      <w:pPr>
        <w:pBdr>
          <w:top w:val="nil"/>
          <w:left w:val="nil"/>
          <w:bottom w:val="nil"/>
          <w:right w:val="nil"/>
          <w:between w:val="nil"/>
          <w:bar w:val="nil"/>
        </w:pBdr>
        <w:spacing w:before="0" w:after="240"/>
        <w:rPr>
          <w:noProof/>
        </w:rPr>
      </w:pPr>
      <w:r>
        <w:rPr>
          <w:noProof/>
        </w:rPr>
        <w:t xml:space="preserve">Priporočilo Komisije za sklep Sveta o odobritvi začetka pogajanj v skladu s členom 218(3) PDEU, ki določa, da Komisija predloži priporočila Svetu, ki sprejme sklep o odobritvi začetka pogajanj. </w:t>
      </w:r>
    </w:p>
    <w:p>
      <w:pPr>
        <w:pStyle w:val="ManualHeading1"/>
        <w:rPr>
          <w:noProof/>
        </w:rPr>
      </w:pPr>
      <w:r>
        <w:rPr>
          <w:noProof/>
        </w:rPr>
        <w:t>3.</w:t>
      </w:r>
      <w:r>
        <w:rPr>
          <w:noProof/>
        </w:rPr>
        <w:tab/>
        <w:t>REZULTATI NAKNADNIH OCEN, POSVETOVANJ Z ZAINTERESIRANIMI STRANMI IN OCEN UČINKA</w:t>
      </w:r>
    </w:p>
    <w:p>
      <w:pPr>
        <w:pStyle w:val="ManualHeading2"/>
        <w:rPr>
          <w:rFonts w:eastAsia="Arial Unicode MS"/>
          <w:noProof/>
          <w:u w:color="000000"/>
          <w:bdr w:val="nil"/>
        </w:rPr>
      </w:pPr>
      <w:r>
        <w:rPr>
          <w:noProof/>
        </w:rPr>
        <w:t>•</w:t>
      </w:r>
      <w:r>
        <w:rPr>
          <w:noProof/>
        </w:rPr>
        <w:tab/>
        <w:t>Naknadne ocene/preverjanja ustreznosti obstoječe zakonodaje</w:t>
      </w:r>
    </w:p>
    <w:p>
      <w:pPr>
        <w:pBdr>
          <w:top w:val="nil"/>
          <w:left w:val="nil"/>
          <w:bottom w:val="nil"/>
          <w:right w:val="nil"/>
          <w:between w:val="nil"/>
          <w:bar w:val="nil"/>
        </w:pBdr>
        <w:spacing w:before="0" w:after="240"/>
        <w:rPr>
          <w:noProof/>
        </w:rPr>
      </w:pPr>
      <w:r>
        <w:rPr>
          <w:noProof/>
        </w:rPr>
        <w:t>Pregled reševanja sporov med vlagatelji in državo se redno izvaja v okviru Pogodbe o energetski listini, pri kateri Unija in države članice kot pogodbenice dejavno sodelujejo. Čeprav posodobitev zaščite naložb, vključno z reševanjem sporov, ostaja prednostna naloga Unije v okviru pregleda Pogodbe o energetski listini, je najprimernejša oblika reforme reševanja naložbenih sporov večstranska reforma iz te pobude.</w:t>
      </w:r>
    </w:p>
    <w:p>
      <w:pPr>
        <w:pBdr>
          <w:top w:val="nil"/>
          <w:left w:val="nil"/>
          <w:bottom w:val="nil"/>
          <w:right w:val="nil"/>
          <w:between w:val="nil"/>
          <w:bar w:val="nil"/>
        </w:pBdr>
        <w:spacing w:before="0" w:after="240"/>
        <w:rPr>
          <w:noProof/>
        </w:rPr>
      </w:pPr>
      <w:r>
        <w:rPr>
          <w:noProof/>
        </w:rPr>
        <w:t>Glede na to, da je bil sistem sodišča za naložbe uveden šele nedavno, v zvezi z njim še ni bila izvedena nobena ocena.</w:t>
      </w:r>
    </w:p>
    <w:p>
      <w:pPr>
        <w:pStyle w:val="ManualHeading2"/>
        <w:rPr>
          <w:rFonts w:eastAsia="Arial Unicode MS"/>
          <w:noProof/>
          <w:u w:color="000000"/>
          <w:bdr w:val="nil"/>
        </w:rPr>
      </w:pPr>
      <w:r>
        <w:rPr>
          <w:noProof/>
        </w:rPr>
        <w:t>•</w:t>
      </w:r>
      <w:r>
        <w:rPr>
          <w:noProof/>
        </w:rPr>
        <w:tab/>
        <w:t>Posvetovanja z zainteresiranimi stranmi</w:t>
      </w:r>
    </w:p>
    <w:p>
      <w:pPr>
        <w:pBdr>
          <w:top w:val="nil"/>
          <w:left w:val="nil"/>
          <w:bottom w:val="nil"/>
          <w:right w:val="nil"/>
          <w:between w:val="nil"/>
          <w:bar w:val="nil"/>
        </w:pBdr>
        <w:spacing w:before="0" w:after="240"/>
        <w:rPr>
          <w:noProof/>
        </w:rPr>
      </w:pPr>
      <w:r>
        <w:rPr>
          <w:noProof/>
        </w:rPr>
        <w:t xml:space="preserve">Komisija je skozi celoten postopek ocene učinka dejavno sodelovala z zainteresiranimi stranmi in opravila obsežno posvetovanje. </w:t>
      </w:r>
    </w:p>
    <w:p>
      <w:pPr>
        <w:pBdr>
          <w:top w:val="nil"/>
          <w:left w:val="nil"/>
          <w:bottom w:val="nil"/>
          <w:right w:val="nil"/>
          <w:between w:val="nil"/>
          <w:bar w:val="nil"/>
        </w:pBdr>
        <w:spacing w:before="0" w:after="240"/>
        <w:rPr>
          <w:noProof/>
        </w:rPr>
      </w:pPr>
      <w:r>
        <w:rPr>
          <w:noProof/>
        </w:rPr>
        <w:t xml:space="preserve">Komisija je med 21. decembrom 2016 in 15. marcem 2017 opravila javno spletno posvetovanje, ki je bilo objavljeno na spletnem mestu GD za trgovino in opravljeno prek orodja „EU survey“ (tj. spletnega orodja Komisije za izvedbo javnih posvetovanj). Zainteresirane strani so bile pozvane, da odgovorijo na vprašanja, med drugim tudi o težavah in možnostih politike, ki so na voljo, tehničnih vidikih teh možnosti in morebitnih učinkih. Posvetovanje je pokazalo na splošno široko podporo za večstransko reformo reševanja naložbenih sporov, kot je opisana v tej pobudi, vendar še vedno ostajajo odprta vprašanja, zlasti v zvezi s tehničnimi vidiki reforme. </w:t>
      </w:r>
    </w:p>
    <w:p>
      <w:pPr>
        <w:pBdr>
          <w:top w:val="nil"/>
          <w:left w:val="nil"/>
          <w:bottom w:val="nil"/>
          <w:right w:val="nil"/>
          <w:between w:val="nil"/>
          <w:bar w:val="nil"/>
        </w:pBdr>
        <w:spacing w:before="0" w:after="240"/>
        <w:rPr>
          <w:noProof/>
        </w:rPr>
      </w:pPr>
      <w:r>
        <w:rPr>
          <w:noProof/>
        </w:rPr>
        <w:t xml:space="preserve">Posamezni odzivi v okviru javnega posvetovanja so bili objavljeni na spletnem mestu za posvetovanje. Zbirno poročilo o spletnem javnem posvetovanju in vseh drugih dejavnostih, ki jih je Komisija izvedla v okviru posvetovanja z zainteresiranimi stranmi, je priloženo poročilu o oceni učinka. </w:t>
      </w:r>
    </w:p>
    <w:p>
      <w:pPr>
        <w:pStyle w:val="ManualHeading2"/>
        <w:rPr>
          <w:rFonts w:eastAsia="Arial Unicode MS"/>
          <w:noProof/>
          <w:u w:color="000000"/>
          <w:bdr w:val="nil"/>
        </w:rPr>
      </w:pPr>
      <w:r>
        <w:rPr>
          <w:noProof/>
        </w:rPr>
        <w:lastRenderedPageBreak/>
        <w:t>•</w:t>
      </w:r>
      <w:r>
        <w:rPr>
          <w:noProof/>
        </w:rPr>
        <w:tab/>
        <w:t>Ocena učinka</w:t>
      </w:r>
    </w:p>
    <w:p>
      <w:pPr>
        <w:pBdr>
          <w:top w:val="nil"/>
          <w:left w:val="nil"/>
          <w:bottom w:val="nil"/>
          <w:right w:val="nil"/>
          <w:between w:val="nil"/>
          <w:bar w:val="nil"/>
        </w:pBdr>
        <w:spacing w:before="0" w:after="240"/>
        <w:rPr>
          <w:noProof/>
        </w:rPr>
      </w:pPr>
      <w:r>
        <w:rPr>
          <w:noProof/>
        </w:rPr>
        <w:t>Izvedena je bila ocena učinka večstranske reforme reševanja naložbenih sporov, vključno z morebitno ustanovitvijo večstranskega sodišča za naložbe. Poročilo o oceni učinka in njen povzetek ter pozitivno mnenje Odbora za regulativni nadzor so priloženi temu priporočilu.</w:t>
      </w:r>
    </w:p>
    <w:p>
      <w:pPr>
        <w:pBdr>
          <w:top w:val="nil"/>
          <w:left w:val="nil"/>
          <w:bottom w:val="nil"/>
          <w:right w:val="nil"/>
          <w:between w:val="nil"/>
          <w:bar w:val="nil"/>
        </w:pBdr>
        <w:spacing w:before="0" w:after="240"/>
        <w:rPr>
          <w:noProof/>
        </w:rPr>
      </w:pPr>
      <w:r>
        <w:rPr>
          <w:noProof/>
        </w:rPr>
        <w:t>Ker pobuda za večstransko sodišče za naložbe obravnava zgolj postopkovna pravila (tj. reševanje sporov) in ne pravil materialnega prava (ki so vključena v osnovne sporazume o naložbah), se zaradi nje ne pričakujejo nobeni znatni okoljski ali socialni učinki.</w:t>
      </w:r>
    </w:p>
    <w:p>
      <w:pPr>
        <w:pStyle w:val="ManualHeading2"/>
        <w:rPr>
          <w:rFonts w:eastAsia="Arial Unicode MS"/>
          <w:noProof/>
          <w:u w:color="000000"/>
          <w:bdr w:val="nil"/>
        </w:rPr>
      </w:pPr>
      <w:r>
        <w:rPr>
          <w:noProof/>
        </w:rPr>
        <w:t>•</w:t>
      </w:r>
      <w:r>
        <w:rPr>
          <w:noProof/>
        </w:rPr>
        <w:tab/>
        <w:t>Ustreznost in poenostavitev ureditve</w:t>
      </w:r>
    </w:p>
    <w:p>
      <w:pPr>
        <w:pBdr>
          <w:top w:val="nil"/>
          <w:left w:val="nil"/>
          <w:bottom w:val="nil"/>
          <w:right w:val="nil"/>
          <w:between w:val="nil"/>
          <w:bar w:val="nil"/>
        </w:pBdr>
        <w:spacing w:before="0" w:after="240"/>
        <w:rPr>
          <w:noProof/>
        </w:rPr>
      </w:pPr>
      <w:r>
        <w:rPr>
          <w:noProof/>
        </w:rPr>
        <w:t xml:space="preserve">Večstransko sodišče za naložbe bo zmanjšalo upravno breme v zvezi z reševanjem naložbenih sporov, in sicer s centralizacijo vseh sporov na podlagi enotnega sklopa postopkovnih pravil. Zagotovilo bo dostop vlagateljev do legitimnega, neodvisnega in učinkovitega sistema za reševanje mednarodnih naložbenih sporov ne glede na velikost in/ali prihodek vlagateljev. MSP bodo lahko izkoristila dodatno pomoč, da bi se upošteval njihov nižji prihodek. Sodni postopki naj bi bili krajši in zato cenejši za vlagatelje v primerjavi s tradicionalnim nereformiranim sistemom. Poleg tega bosta večja predvidljivost in doslednost razlage materialnopravnih določb o naložbah prispevali k manjšemu številu sporov. </w:t>
      </w:r>
    </w:p>
    <w:p>
      <w:pPr>
        <w:pStyle w:val="ManualHeading2"/>
        <w:rPr>
          <w:rFonts w:eastAsia="Arial Unicode MS"/>
          <w:noProof/>
          <w:u w:color="000000"/>
          <w:bdr w:val="nil"/>
        </w:rPr>
      </w:pPr>
      <w:r>
        <w:rPr>
          <w:noProof/>
        </w:rPr>
        <w:t>•</w:t>
      </w:r>
      <w:r>
        <w:rPr>
          <w:noProof/>
        </w:rPr>
        <w:tab/>
        <w:t>Temeljne pravice</w:t>
      </w:r>
    </w:p>
    <w:p>
      <w:pPr>
        <w:pBdr>
          <w:top w:val="nil"/>
          <w:left w:val="nil"/>
          <w:bottom w:val="nil"/>
          <w:right w:val="nil"/>
          <w:between w:val="nil"/>
          <w:bar w:val="nil"/>
        </w:pBdr>
        <w:spacing w:before="0" w:after="240"/>
        <w:rPr>
          <w:noProof/>
        </w:rPr>
      </w:pPr>
      <w:r>
        <w:rPr>
          <w:noProof/>
        </w:rPr>
        <w:t>Unijo v skladu s členom 21(1) PEU vodijo načela demokracije, pravne države, človekovih pravic in temeljnih svoboščin, ki so povezana s to pobudo, vključno zlasti s členom 47 Listine EU o temeljnih pravicah.</w:t>
      </w:r>
    </w:p>
    <w:p>
      <w:pPr>
        <w:pBdr>
          <w:top w:val="nil"/>
          <w:left w:val="nil"/>
          <w:bottom w:val="nil"/>
          <w:right w:val="nil"/>
          <w:between w:val="nil"/>
          <w:bar w:val="nil"/>
        </w:pBdr>
        <w:spacing w:before="0" w:after="240"/>
        <w:rPr>
          <w:noProof/>
        </w:rPr>
      </w:pPr>
      <w:r>
        <w:rPr>
          <w:noProof/>
        </w:rPr>
        <w:t xml:space="preserve">Ukrepanje Unije na večstranski ravni ne more ogroziti ravni varstva temeljnih pravic v njej. Z večstranskim sodiščem za naložbe naj bi se ustvarilo dodatno pravno sredstvo po mednarodnem pravu za zagotovitev izpolnjevanja obveznosti držav na podlagi mednarodnih sporazumov. Zato ne posega v obstoječe pravice tujih vlagateljev po notranjem pravu Unije in zakonih držav članic ali v pravna sredstva za uveljavljanje takih pravic po notranjem pravu. </w:t>
      </w:r>
    </w:p>
    <w:p>
      <w:pPr>
        <w:pStyle w:val="ManualHeading1"/>
        <w:rPr>
          <w:noProof/>
        </w:rPr>
      </w:pPr>
      <w:r>
        <w:rPr>
          <w:noProof/>
        </w:rPr>
        <w:t>4.</w:t>
      </w:r>
      <w:r>
        <w:rPr>
          <w:noProof/>
        </w:rPr>
        <w:tab/>
        <w:t>PRORAČUNSKE POSLEDICE</w:t>
      </w:r>
    </w:p>
    <w:p>
      <w:pPr>
        <w:pBdr>
          <w:top w:val="nil"/>
          <w:left w:val="nil"/>
          <w:bottom w:val="nil"/>
          <w:right w:val="nil"/>
          <w:between w:val="nil"/>
          <w:bar w:val="nil"/>
        </w:pBdr>
        <w:spacing w:before="0" w:after="240"/>
        <w:rPr>
          <w:noProof/>
        </w:rPr>
      </w:pPr>
      <w:r>
        <w:rPr>
          <w:noProof/>
        </w:rPr>
        <w:t>Natančnih finančnih posledic te pobude na tej stopnji ni mogoče določiti, saj se je treba o ključnih elementih večstranskega sodišča za naložbe še pogajati. Pobuda se šteje za cenejšo možnost kot alternativa, tj. ohranitev sistema sodišča za naložbe v sporazumih, o katerih so se pogajanja že zaključila ali še potekajo, in obstoječega sistema. Na podlagi številnih predpostavk je bilo izvedenih več izračunov, ki so vključeni v poročilo o oceni učinka.</w:t>
      </w:r>
    </w:p>
    <w:p>
      <w:pPr>
        <w:pStyle w:val="ManualHeading1"/>
        <w:rPr>
          <w:noProof/>
        </w:rPr>
      </w:pPr>
      <w:r>
        <w:rPr>
          <w:noProof/>
        </w:rPr>
        <w:t>5.</w:t>
      </w:r>
      <w:r>
        <w:rPr>
          <w:noProof/>
        </w:rPr>
        <w:tab/>
        <w:t>DRUGI ELEMENTI</w:t>
      </w:r>
    </w:p>
    <w:p>
      <w:pPr>
        <w:pStyle w:val="ManualHeading2"/>
        <w:rPr>
          <w:rFonts w:eastAsia="Arial Unicode MS"/>
          <w:noProof/>
          <w:u w:color="000000"/>
          <w:bdr w:val="nil"/>
        </w:rPr>
      </w:pPr>
      <w:r>
        <w:rPr>
          <w:noProof/>
        </w:rPr>
        <w:t>•</w:t>
      </w:r>
      <w:r>
        <w:rPr>
          <w:noProof/>
        </w:rPr>
        <w:tab/>
        <w:t>Načrti za izvedbo ter ureditev spremljanja, ocenjevanja in poročanja</w:t>
      </w:r>
    </w:p>
    <w:p>
      <w:pPr>
        <w:pBdr>
          <w:top w:val="nil"/>
          <w:left w:val="nil"/>
          <w:bottom w:val="nil"/>
          <w:right w:val="nil"/>
          <w:between w:val="nil"/>
          <w:bar w:val="nil"/>
        </w:pBdr>
        <w:spacing w:before="0" w:after="240"/>
        <w:rPr>
          <w:noProof/>
        </w:rPr>
      </w:pPr>
      <w:r>
        <w:rPr>
          <w:noProof/>
        </w:rPr>
        <w:t>Ko bo večstransko sodišče začelo delovati, ga bo Komisija redno spremljala. Prav tako bo redno revidirala finančne prispevke Unije k stroškom sodišča. Delovanje večstranskega sodišča za naložbe se bo ocenilo, ko bo to delovalo dovolj dolgo, da bodo na voljo ustrezni podatki. Priloženo poročilo o oceni učinka vsebuje nadaljnje podrobne informacije o predvidenem spremljanju in ocenjevanju.</w:t>
      </w:r>
    </w:p>
    <w:p>
      <w:pPr>
        <w:pStyle w:val="ManualHeading2"/>
        <w:rPr>
          <w:rFonts w:eastAsia="Arial Unicode MS"/>
          <w:noProof/>
          <w:u w:color="000000"/>
          <w:bdr w:val="nil"/>
        </w:rPr>
      </w:pPr>
      <w:r>
        <w:rPr>
          <w:noProof/>
        </w:rPr>
        <w:lastRenderedPageBreak/>
        <w:t>•</w:t>
      </w:r>
      <w:r>
        <w:rPr>
          <w:noProof/>
        </w:rPr>
        <w:tab/>
        <w:t>Postopkovni vidiki</w:t>
      </w:r>
    </w:p>
    <w:p>
      <w:pPr>
        <w:pBdr>
          <w:top w:val="nil"/>
          <w:left w:val="nil"/>
          <w:bottom w:val="nil"/>
          <w:right w:val="nil"/>
          <w:between w:val="nil"/>
          <w:bar w:val="nil"/>
        </w:pBdr>
        <w:spacing w:before="0" w:after="240"/>
        <w:rPr>
          <w:noProof/>
        </w:rPr>
      </w:pPr>
      <w:r>
        <w:rPr>
          <w:noProof/>
        </w:rPr>
        <w:t>Komisija pozdravlja dejstvo, da člani Sveta Evropske unije v skladu s svojimi institucionalnimi praksami vedno bolj sodelujejo s svojimi parlamenti v zgodnji fazi naložbenih pogajanj. Člane Sveta Evropske unije spodbuja, da ravnajo enako v zvezi s tem priporočilom za sklep Sveta, ob ustreznem upoštevanju Sklepa Sveta 2013/488/EU o varnostnih predpisih za varovanje tajnih podatkov EU</w:t>
      </w:r>
      <w:r>
        <w:rPr>
          <w:rStyle w:val="FootnoteReference"/>
          <w:noProof/>
        </w:rPr>
        <w:footnoteReference w:id="9"/>
      </w:r>
      <w:r>
        <w:rPr>
          <w:noProof/>
        </w:rPr>
        <w:t>.</w:t>
      </w:r>
    </w:p>
    <w:p>
      <w:pPr>
        <w:spacing w:after="240"/>
        <w:rPr>
          <w:noProof/>
          <w:szCs w:val="24"/>
        </w:rPr>
      </w:pPr>
      <w:r>
        <w:rPr>
          <w:noProof/>
        </w:rPr>
        <w:t xml:space="preserve">Komisija objavi to priporočilo in njegov dodatek takoj po njunem sprejetju. </w:t>
      </w:r>
    </w:p>
    <w:p>
      <w:pPr>
        <w:spacing w:before="0" w:after="240"/>
        <w:rPr>
          <w:noProof/>
        </w:rPr>
      </w:pPr>
      <w:r>
        <w:rPr>
          <w:noProof/>
        </w:rPr>
        <w:t>Komisija priporoča, da se pogajalske smernice objavijo takoj po njihovem sprejetju.</w:t>
      </w:r>
    </w:p>
    <w:p>
      <w:pPr>
        <w:spacing w:before="0" w:after="240"/>
        <w:rPr>
          <w:noProof/>
        </w:rPr>
        <w:sectPr>
          <w:footerReference w:type="default" r:id="rId10"/>
          <w:footerReference w:type="first" r:id="rId11"/>
          <w:pgSz w:w="11907" w:h="16839"/>
          <w:pgMar w:top="1134" w:right="1417" w:bottom="1134" w:left="1417" w:header="709" w:footer="709" w:gutter="0"/>
          <w:cols w:space="708"/>
          <w:docGrid w:linePitch="360"/>
        </w:sectPr>
      </w:pPr>
    </w:p>
    <w:p>
      <w:pPr>
        <w:pStyle w:val="Statut"/>
        <w:rPr>
          <w:noProof/>
        </w:rPr>
      </w:pPr>
      <w:r>
        <w:rPr>
          <w:noProof/>
        </w:rPr>
        <w:lastRenderedPageBreak/>
        <w:t>Priporočilo</w:t>
      </w:r>
    </w:p>
    <w:p>
      <w:pPr>
        <w:pStyle w:val="Typedudocument"/>
        <w:rPr>
          <w:noProof/>
        </w:rPr>
      </w:pPr>
      <w:r>
        <w:rPr>
          <w:noProof/>
        </w:rPr>
        <w:t>SKLEP SVETA</w:t>
      </w:r>
    </w:p>
    <w:p>
      <w:pPr>
        <w:pStyle w:val="Titreobjet"/>
        <w:rPr>
          <w:noProof/>
        </w:rPr>
      </w:pPr>
      <w:r>
        <w:rPr>
          <w:noProof/>
        </w:rPr>
        <w:t>o odobritvi začetka pogajanj o konvenciji o ustanovitvi večstranskega sodišča za reševanje naložbenih sporov</w:t>
      </w:r>
    </w:p>
    <w:p>
      <w:pPr>
        <w:pStyle w:val="Institutionquiagit"/>
        <w:rPr>
          <w:noProof/>
        </w:rPr>
      </w:pPr>
      <w:r>
        <w:rPr>
          <w:noProof/>
        </w:rPr>
        <w:t>SVET EVROPSKE UNIJE JE –</w:t>
      </w:r>
    </w:p>
    <w:p>
      <w:pPr>
        <w:rPr>
          <w:noProof/>
        </w:rPr>
      </w:pPr>
      <w:r>
        <w:rPr>
          <w:noProof/>
        </w:rPr>
        <w:t>ob upoštevanju Pogodbe o delovanju Evropske unije ter zlasti člena 218(3) in (4) Pogodbe,</w:t>
      </w:r>
    </w:p>
    <w:p>
      <w:pPr>
        <w:rPr>
          <w:noProof/>
        </w:rPr>
      </w:pPr>
      <w:r>
        <w:rPr>
          <w:noProof/>
        </w:rPr>
        <w:t>ob upoštevanju priporočila Evropske komisije,</w:t>
      </w:r>
    </w:p>
    <w:p>
      <w:pPr>
        <w:rPr>
          <w:noProof/>
        </w:rPr>
      </w:pPr>
      <w:r>
        <w:rPr>
          <w:noProof/>
        </w:rPr>
        <w:t>KER bi bilo treba začeti pogajanja z namenom sklenitve konvencije med Evropsko unijo in njenimi državami članicami ter drugimi zainteresiranimi državami o ustanovitvi večstranskega sodišča za reševanje naložbenih sporov –</w:t>
      </w:r>
    </w:p>
    <w:p>
      <w:pPr>
        <w:pStyle w:val="Formuledadoption"/>
        <w:rPr>
          <w:noProof/>
        </w:rPr>
      </w:pPr>
      <w:r>
        <w:rPr>
          <w:noProof/>
        </w:rPr>
        <w:t xml:space="preserve">SPREJEL NASLEDNJI SKLEP: </w:t>
      </w:r>
    </w:p>
    <w:p>
      <w:pPr>
        <w:pStyle w:val="Titrearticle"/>
        <w:rPr>
          <w:noProof/>
        </w:rPr>
      </w:pPr>
      <w:r>
        <w:rPr>
          <w:noProof/>
        </w:rPr>
        <w:t>Člen 1</w:t>
      </w:r>
    </w:p>
    <w:p>
      <w:pPr>
        <w:rPr>
          <w:noProof/>
        </w:rPr>
      </w:pPr>
      <w:bookmarkStart w:id="1" w:name="_CopyToNewDocument_"/>
      <w:bookmarkEnd w:id="1"/>
      <w:r>
        <w:rPr>
          <w:noProof/>
        </w:rPr>
        <w:t>Komisija je pooblaščena, da v imenu Unije začne pogajanja o konvenciji o ustanovitvi večstranskega sodišča za reševanje naložbenih sporov.</w:t>
      </w:r>
    </w:p>
    <w:p>
      <w:pPr>
        <w:jc w:val="center"/>
        <w:rPr>
          <w:noProof/>
        </w:rPr>
      </w:pPr>
      <w:r>
        <w:rPr>
          <w:noProof/>
        </w:rPr>
        <w:t>Člen 2</w:t>
      </w:r>
    </w:p>
    <w:p>
      <w:pPr>
        <w:rPr>
          <w:noProof/>
        </w:rPr>
      </w:pPr>
      <w:r>
        <w:rPr>
          <w:noProof/>
        </w:rPr>
        <w:t>Pogajanja potekajo v skladu s pogajalskimi smernicami iz Priloge k temu sklepu.</w:t>
      </w:r>
    </w:p>
    <w:p>
      <w:pPr>
        <w:jc w:val="center"/>
        <w:rPr>
          <w:noProof/>
        </w:rPr>
      </w:pPr>
      <w:r>
        <w:rPr>
          <w:noProof/>
        </w:rPr>
        <w:t>Člen 3</w:t>
      </w:r>
    </w:p>
    <w:p>
      <w:pPr>
        <w:rPr>
          <w:noProof/>
        </w:rPr>
      </w:pPr>
      <w:r>
        <w:rPr>
          <w:noProof/>
        </w:rPr>
        <w:t>Ta sklep in njegov dodatek se objavita takoj po njunem sprejetju.</w:t>
      </w:r>
    </w:p>
    <w:p>
      <w:pPr>
        <w:jc w:val="center"/>
        <w:rPr>
          <w:noProof/>
        </w:rPr>
      </w:pPr>
      <w:r>
        <w:rPr>
          <w:noProof/>
        </w:rPr>
        <w:t>Člen 4</w:t>
      </w:r>
    </w:p>
    <w:p>
      <w:pPr>
        <w:rPr>
          <w:noProof/>
        </w:rPr>
      </w:pPr>
      <w:r>
        <w:rPr>
          <w:noProof/>
        </w:rPr>
        <w:t>Ta sklep je naslovljen na Komisijo.</w:t>
      </w:r>
    </w:p>
    <w:p>
      <w:pPr>
        <w:pStyle w:val="Fait"/>
        <w:rPr>
          <w:noProof/>
        </w:rPr>
      </w:pPr>
      <w:r>
        <w:rPr>
          <w:noProof/>
        </w:rPr>
        <w:t>V Bruslju,</w:t>
      </w:r>
    </w:p>
    <w:p>
      <w:pPr>
        <w:pStyle w:val="Institutionquisigne"/>
        <w:rPr>
          <w:noProof/>
        </w:rPr>
      </w:pPr>
      <w:r>
        <w:rPr>
          <w:noProof/>
        </w:rPr>
        <w:tab/>
        <w:t>Za Svet</w:t>
      </w:r>
    </w:p>
    <w:p>
      <w:pPr>
        <w:pStyle w:val="Personnequisigne"/>
        <w:rPr>
          <w:noProof/>
        </w:rPr>
      </w:pPr>
      <w:r>
        <w:rPr>
          <w:noProof/>
        </w:rPr>
        <w:tab/>
        <w:t>Predsednik</w:t>
      </w:r>
    </w:p>
    <w:sect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SL</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SL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SL</w:t>
    </w:r>
    <w:r>
      <w:rPr>
        <w:rFonts w:ascii="Arial" w:hAnsi="Arial" w:cs="Arial"/>
        <w:b/>
        <w:sz w:val="48"/>
      </w:rPr>
      <w:tab/>
    </w:r>
    <w:r>
      <w:fldChar w:fldCharType="begin"/>
    </w:r>
    <w:r>
      <w:instrText xml:space="preserve"> PAGE  \* MERGEFORMAT </w:instrText>
    </w:r>
    <w:r>
      <w:fldChar w:fldCharType="separate"/>
    </w:r>
    <w:r>
      <w:rPr>
        <w:noProof/>
      </w:rPr>
      <w:t>8</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SL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t>Spori, ki izhajajo iz dvostranskih pogodb o naložbah med državami članicami (dvostranske pogodbe o naložbah znotraj EU), ter spori med vlagateljem iz ene države članice in drugo državo članico na podlagi Pogodbe o energetski listini so zunaj področja uporabe te pobude. Komisija meni, da so tovrstne pogodbe v nasprotju s pravom Unije.</w:t>
      </w:r>
    </w:p>
  </w:footnote>
  <w:footnote w:id="2">
    <w:p>
      <w:pPr>
        <w:pStyle w:val="FootnoteText"/>
      </w:pPr>
      <w:r>
        <w:rPr>
          <w:rStyle w:val="FootnoteReference"/>
        </w:rPr>
        <w:footnoteRef/>
      </w:r>
      <w:r>
        <w:tab/>
        <w:t>Na voljo na</w:t>
      </w:r>
      <w:hyperlink r:id="rId1">
        <w:r>
          <w:rPr>
            <w:rStyle w:val="Hyperlink"/>
          </w:rPr>
          <w:t>http://trade.ec.europa.eu/doclib/docs/2015/may/tradoc_153408.PDF</w:t>
        </w:r>
      </w:hyperlink>
      <w:r>
        <w:t xml:space="preserve">. </w:t>
      </w:r>
    </w:p>
  </w:footnote>
  <w:footnote w:id="3">
    <w:p>
      <w:pPr>
        <w:pStyle w:val="FootnoteText"/>
      </w:pPr>
      <w:r>
        <w:rPr>
          <w:rStyle w:val="FootnoteReference"/>
        </w:rPr>
        <w:footnoteRef/>
      </w:r>
      <w:r>
        <w:tab/>
        <w:t xml:space="preserve">Na voljo na </w:t>
      </w:r>
      <w:hyperlink r:id="rId2">
        <w:r>
          <w:rPr>
            <w:rStyle w:val="Hyperlink"/>
          </w:rPr>
          <w:t>http://trade.ec.europa.eu/doclib/docs/2016/january/tradoc_154143.pdf</w:t>
        </w:r>
      </w:hyperlink>
      <w:r>
        <w:t xml:space="preserve">. </w:t>
      </w:r>
    </w:p>
  </w:footnote>
  <w:footnote w:id="4">
    <w:p>
      <w:pPr>
        <w:pStyle w:val="FootnoteText"/>
      </w:pPr>
      <w:r>
        <w:rPr>
          <w:rStyle w:val="FootnoteReference"/>
        </w:rPr>
        <w:footnoteRef/>
      </w:r>
      <w:r>
        <w:tab/>
        <w:t xml:space="preserve">Glej </w:t>
      </w:r>
      <w:hyperlink r:id="rId3">
        <w:r>
          <w:rPr>
            <w:rStyle w:val="Hyperlink"/>
          </w:rPr>
          <w:t>http://europa.eu/rapid/press-release_IP-15-6059_en.htm</w:t>
        </w:r>
      </w:hyperlink>
      <w:r>
        <w:t>.</w:t>
      </w:r>
    </w:p>
  </w:footnote>
  <w:footnote w:id="5">
    <w:p>
      <w:pPr>
        <w:pStyle w:val="FootnoteText"/>
      </w:pPr>
      <w:r>
        <w:rPr>
          <w:rStyle w:val="FootnoteReference"/>
        </w:rPr>
        <w:footnoteRef/>
      </w:r>
      <w:r>
        <w:tab/>
        <w:t xml:space="preserve">Na voljo na </w:t>
      </w:r>
      <w:hyperlink r:id="rId4">
        <w:r>
          <w:rPr>
            <w:rStyle w:val="Hyperlink"/>
          </w:rPr>
          <w:t>https://ec.europa.eu/commission/sites/beta-political/files/reflection-paper-globalisation_sl.pdf</w:t>
        </w:r>
      </w:hyperlink>
      <w:r>
        <w:t xml:space="preserve">. </w:t>
      </w:r>
    </w:p>
  </w:footnote>
  <w:footnote w:id="6">
    <w:p>
      <w:pPr>
        <w:pStyle w:val="FootnoteText"/>
        <w:rPr>
          <w:color w:val="0000FF"/>
        </w:rPr>
      </w:pPr>
      <w:r>
        <w:rPr>
          <w:rStyle w:val="FootnoteReference"/>
        </w:rPr>
        <w:footnoteRef/>
      </w:r>
      <w:r>
        <w:tab/>
        <w:t>Izjava 36 od izjav ob sprejetju sklepa Sveta o odobritvi podpisa CETA. Bruselj, 27. oktober 2016.</w:t>
      </w:r>
    </w:p>
  </w:footnote>
  <w:footnote w:id="7">
    <w:p>
      <w:pPr>
        <w:pStyle w:val="FootnoteText"/>
        <w:rPr>
          <w:color w:val="0000FF"/>
        </w:rPr>
      </w:pPr>
      <w:r>
        <w:rPr>
          <w:rStyle w:val="FootnoteReference"/>
        </w:rPr>
        <w:footnoteRef/>
      </w:r>
      <w:r>
        <w:tab/>
        <w:t>Mnenje Sodišča Evropske unije z dne 16. maja 2017 v zadevi C-2/15, EU:C:2017:376, v skladu s členom 218(11) PDEU o pristojnosti Evropske unije za sklenitev sporazuma o prosti trgovini s Singapurjem.</w:t>
      </w:r>
    </w:p>
  </w:footnote>
  <w:footnote w:id="8">
    <w:p>
      <w:pPr>
        <w:pStyle w:val="FootnoteText"/>
      </w:pPr>
      <w:r>
        <w:rPr>
          <w:rStyle w:val="FootnoteReference"/>
        </w:rPr>
        <w:footnoteRef/>
      </w:r>
      <w:r>
        <w:tab/>
        <w:t>Uredba (EU) št. 1219/2012 Evropskega parlamenta in Sveta z dne 12. decembra 2012 o prehodnih dogovorih za dvostranske sporazume o naložbah med državami članicami in tretjimi državami (UL L 351, 20.12.2012, str. 40).</w:t>
      </w:r>
    </w:p>
  </w:footnote>
  <w:footnote w:id="9">
    <w:p>
      <w:pPr>
        <w:pStyle w:val="FootnoteText"/>
      </w:pPr>
      <w:r>
        <w:rPr>
          <w:rStyle w:val="FootnoteReference"/>
        </w:rPr>
        <w:footnoteRef/>
      </w:r>
      <w:r>
        <w:tab/>
      </w:r>
      <w:hyperlink r:id="rId5">
        <w:r>
          <w:rPr>
            <w:rStyle w:val="Hyperlink"/>
          </w:rPr>
          <w:t>http://eur-lex.europa.eu/legal-content/EN-SL/TXT/?uri=CELEX:32013D0488&amp;from=EN</w:t>
        </w:r>
        <w:r>
          <w:rPr>
            <w:rStyle w:val="Hyperlink"/>
            <w:color w:val="auto"/>
            <w:u w:val="none"/>
          </w:rPr>
          <w:t>.</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E62EFAB0"/>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25BC0F50"/>
    <w:lvl w:ilvl="0">
      <w:start w:val="1"/>
      <w:numFmt w:val="decimal"/>
      <w:pStyle w:val="ListNumber3"/>
      <w:lvlText w:val="%1."/>
      <w:lvlJc w:val="left"/>
      <w:pPr>
        <w:tabs>
          <w:tab w:val="num" w:pos="926"/>
        </w:tabs>
        <w:ind w:left="926" w:hanging="360"/>
      </w:pPr>
    </w:lvl>
  </w:abstractNum>
  <w:abstractNum w:abstractNumId="2">
    <w:nsid w:val="FFFFFF7F"/>
    <w:multiLevelType w:val="singleLevel"/>
    <w:tmpl w:val="6596BEB6"/>
    <w:lvl w:ilvl="0">
      <w:start w:val="1"/>
      <w:numFmt w:val="decimal"/>
      <w:pStyle w:val="ListNumber2"/>
      <w:lvlText w:val="%1."/>
      <w:lvlJc w:val="left"/>
      <w:pPr>
        <w:tabs>
          <w:tab w:val="num" w:pos="643"/>
        </w:tabs>
        <w:ind w:left="643" w:hanging="360"/>
      </w:pPr>
    </w:lvl>
  </w:abstractNum>
  <w:abstractNum w:abstractNumId="3">
    <w:nsid w:val="FFFFFF81"/>
    <w:multiLevelType w:val="singleLevel"/>
    <w:tmpl w:val="6F00EFA4"/>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9F5AB03A"/>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C308AB68"/>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172C5CE6"/>
    <w:lvl w:ilvl="0">
      <w:start w:val="1"/>
      <w:numFmt w:val="decimal"/>
      <w:pStyle w:val="ListNumber"/>
      <w:lvlText w:val="%1."/>
      <w:lvlJc w:val="left"/>
      <w:pPr>
        <w:tabs>
          <w:tab w:val="num" w:pos="360"/>
        </w:tabs>
        <w:ind w:left="360" w:hanging="360"/>
      </w:pPr>
    </w:lvl>
  </w:abstractNum>
  <w:abstractNum w:abstractNumId="7">
    <w:nsid w:val="FFFFFF89"/>
    <w:multiLevelType w:val="singleLevel"/>
    <w:tmpl w:val="8590515C"/>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0"/>
  </w:num>
  <w:num w:numId="2">
    <w:abstractNumId w:val="7"/>
  </w:num>
  <w:num w:numId="3">
    <w:abstractNumId w:val="5"/>
  </w:num>
  <w:num w:numId="4">
    <w:abstractNumId w:val="4"/>
  </w:num>
  <w:num w:numId="5">
    <w:abstractNumId w:val="3"/>
  </w:num>
  <w:num w:numId="6">
    <w:abstractNumId w:val="6"/>
  </w:num>
  <w:num w:numId="7">
    <w:abstractNumId w:val="2"/>
  </w:num>
  <w:num w:numId="8">
    <w:abstractNumId w:val="1"/>
  </w:num>
  <w:num w:numId="9">
    <w:abstractNumId w:val="18"/>
  </w:num>
  <w:num w:numId="10">
    <w:abstractNumId w:val="12"/>
  </w:num>
  <w:num w:numId="11">
    <w:abstractNumId w:val="20"/>
  </w:num>
  <w:num w:numId="12">
    <w:abstractNumId w:val="11"/>
  </w:num>
  <w:num w:numId="13">
    <w:abstractNumId w:val="13"/>
  </w:num>
  <w:num w:numId="14">
    <w:abstractNumId w:val="9"/>
  </w:num>
  <w:num w:numId="15">
    <w:abstractNumId w:val="19"/>
  </w:num>
  <w:num w:numId="16">
    <w:abstractNumId w:val="8"/>
  </w:num>
  <w:num w:numId="17">
    <w:abstractNumId w:val="14"/>
  </w:num>
  <w:num w:numId="18">
    <w:abstractNumId w:val="16"/>
  </w:num>
  <w:num w:numId="19">
    <w:abstractNumId w:val="17"/>
  </w:num>
  <w:num w:numId="20">
    <w:abstractNumId w:val="10"/>
  </w:num>
  <w:num w:numId="21">
    <w:abstractNumId w:val="15"/>
  </w:num>
  <w:num w:numId="22">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hideSpellingErrors/>
  <w:hideGrammaticalErrors/>
  <w:attachedTemplate r:id="rId1"/>
  <w:revisionView w:markup="0"/>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QCDateTime" w:val="2017-09-20 10:08:51"/>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0"/>
    <w:docVar w:name="DQCResult_UnknownFonts" w:val="0;0"/>
    <w:docVar w:name="DQCResult_UnknownStyles" w:val="0;0"/>
    <w:docVar w:name="DQCStatus" w:val="Green"/>
    <w:docVar w:name="DQCVersion" w:val="3"/>
    <w:docVar w:name="DQCWithWarnings" w:val="0"/>
    <w:docVar w:name="LW_CONFIDENCE" w:val=" "/>
    <w:docVar w:name="LW_CONST_RESTREINT_UE" w:val="RESTREINT UE"/>
    <w:docVar w:name="LW_CORRIGENDUM" w:val="&lt;UNUSED&gt;"/>
    <w:docVar w:name="LW_COVERPAGE_GUID" w:val="C3C37393CA0B4158AEFE9971C5751E0F"/>
    <w:docVar w:name="LW_CROSSREFERENCE" w:val="{SWD(2017) 302 final}_x000b_{SWD(2017) 303 final}"/>
    <w:docVar w:name="LW_DocType" w:val="COM"/>
    <w:docVar w:name="LW_EMISSION" w:val="13.9.2017"/>
    <w:docVar w:name="LW_EMISSION_ISODATE" w:val="2017-09-13"/>
    <w:docVar w:name="LW_EMISSION_LOCATION" w:val="BRX"/>
    <w:docVar w:name="LW_EMISSION_PREFIX" w:val="Bruselj, "/>
    <w:docVar w:name="LW_EMISSION_SUFFIX" w:val=" "/>
    <w:docVar w:name="LW_ID_DOCMODEL" w:val="SG-001"/>
    <w:docVar w:name="LW_ID_DOCSIGNATURE" w:val="SG-001"/>
    <w:docVar w:name="LW_ID_DOCSTRUCTURE" w:val="COM/PL/ORG"/>
    <w:docVar w:name="LW_ID_DOCTYPE" w:val="SG-001"/>
    <w:docVar w:name="LW_ID_STATUT" w:val="SG-001"/>
    <w:docVar w:name="LW_INTERETEEE.CP" w:val="&lt;UNUSED&gt;"/>
    <w:docVar w:name="LW_LANGUE" w:val="SL"/>
    <w:docVar w:name="LW_MARKING" w:val="&lt;UNUSED&gt;"/>
    <w:docVar w:name="LW_NOM.INST" w:val="EVROPSKA KOMISIJA"/>
    <w:docVar w:name="LW_NOM.INST_JOINTDOC" w:val="&lt;EMPTY&gt;"/>
    <w:docVar w:name="LW_PART_NBR" w:val="1"/>
    <w:docVar w:name="LW_PART_NBR_TOTAL" w:val="1"/>
    <w:docVar w:name="LW_REF.II.NEW.CP" w:val="&lt;UNUSED&gt;"/>
    <w:docVar w:name="LW_REF.II.NEW.CP_NUMBER" w:val="&lt;UNUSED&gt;"/>
    <w:docVar w:name="LW_REF.II.NEW.CP_YEAR" w:val="2017"/>
    <w:docVar w:name="LW_REF.INST.NEW" w:val="COM"/>
    <w:docVar w:name="LW_REF.INST.NEW_ADOPTED" w:val="final"/>
    <w:docVar w:name="LW_REF.INST.NEW_TEXT" w:val="(2017) 493"/>
    <w:docVar w:name="LW_REF.INTERNE" w:val="&lt;UNUSED&gt;"/>
    <w:docVar w:name="LW_SOUS.TITRE.OBJ.CP" w:val="&lt;UNUSED&gt;"/>
    <w:docVar w:name="LW_STATUT.CP" w:val="Priporo\u269?ilo"/>
    <w:docVar w:name="LW_SUPERTITRE" w:val="&lt;UNUSED&gt;"/>
    <w:docVar w:name="LW_TITRE.OBJ.CP" w:val="o odobritvi za\u269?etka pogajanj o konvenciji o ustanovitvi ve\u269?stranskega sodi\u353?\u269?a za re\u353?evanje nalo\u382?benih sporov"/>
    <w:docVar w:name="LW_TYPE.DOC.CP" w:val="SKLEP SVETA"/>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sl-SI" w:bidi="sl-SI"/>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1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5"/>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themeColor="hyperlink"/>
      <w:u w:val="single"/>
    </w:rPr>
  </w:style>
  <w:style w:type="paragraph" w:styleId="ListNumber4">
    <w:name w:val="List Number 4"/>
    <w:basedOn w:val="Normal"/>
    <w:uiPriority w:val="99"/>
    <w:semiHidden/>
    <w:unhideWhenUsed/>
    <w:pPr>
      <w:numPr>
        <w:numId w:val="1"/>
      </w:numPr>
      <w:contextualSpacing/>
    </w:p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sl-SI"/>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2"/>
      </w:numPr>
      <w:contextualSpacing/>
    </w:p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3">
    <w:name w:val="List Number 3"/>
    <w:basedOn w:val="Normal"/>
    <w:uiPriority w:val="99"/>
    <w:semiHidden/>
    <w:unhideWhenUsed/>
    <w:pPr>
      <w:numPr>
        <w:numId w:val="8"/>
      </w:numPr>
      <w:contextualSpacing/>
    </w:p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9"/>
      </w:numPr>
    </w:pPr>
  </w:style>
  <w:style w:type="paragraph" w:customStyle="1" w:styleId="Tiret1">
    <w:name w:val="Tiret 1"/>
    <w:basedOn w:val="Point1"/>
    <w:pPr>
      <w:numPr>
        <w:numId w:val="10"/>
      </w:numPr>
    </w:pPr>
  </w:style>
  <w:style w:type="paragraph" w:customStyle="1" w:styleId="Tiret2">
    <w:name w:val="Tiret 2"/>
    <w:basedOn w:val="Point2"/>
    <w:pPr>
      <w:numPr>
        <w:numId w:val="11"/>
      </w:numPr>
    </w:pPr>
  </w:style>
  <w:style w:type="paragraph" w:customStyle="1" w:styleId="Tiret3">
    <w:name w:val="Tiret 3"/>
    <w:basedOn w:val="Point3"/>
    <w:pPr>
      <w:numPr>
        <w:numId w:val="12"/>
      </w:numPr>
    </w:pPr>
  </w:style>
  <w:style w:type="paragraph" w:customStyle="1" w:styleId="Tiret4">
    <w:name w:val="Tiret 4"/>
    <w:basedOn w:val="Point4"/>
    <w:pPr>
      <w:numPr>
        <w:numId w:val="1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4"/>
      </w:numPr>
    </w:pPr>
  </w:style>
  <w:style w:type="paragraph" w:customStyle="1" w:styleId="NumPar2">
    <w:name w:val="NumPar 2"/>
    <w:basedOn w:val="Normal"/>
    <w:next w:val="Text1"/>
    <w:pPr>
      <w:numPr>
        <w:ilvl w:val="1"/>
        <w:numId w:val="14"/>
      </w:numPr>
    </w:pPr>
  </w:style>
  <w:style w:type="paragraph" w:customStyle="1" w:styleId="NumPar3">
    <w:name w:val="NumPar 3"/>
    <w:basedOn w:val="Normal"/>
    <w:next w:val="Text1"/>
    <w:pPr>
      <w:numPr>
        <w:ilvl w:val="2"/>
        <w:numId w:val="14"/>
      </w:numPr>
    </w:pPr>
  </w:style>
  <w:style w:type="paragraph" w:customStyle="1" w:styleId="NumPar4">
    <w:name w:val="NumPar 4"/>
    <w:basedOn w:val="Normal"/>
    <w:next w:val="Text1"/>
    <w:pPr>
      <w:numPr>
        <w:ilvl w:val="3"/>
        <w:numId w:val="1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6"/>
      </w:numPr>
    </w:pPr>
  </w:style>
  <w:style w:type="paragraph" w:customStyle="1" w:styleId="Point1number">
    <w:name w:val="Point 1 (number)"/>
    <w:basedOn w:val="Normal"/>
    <w:pPr>
      <w:numPr>
        <w:ilvl w:val="2"/>
        <w:numId w:val="16"/>
      </w:numPr>
    </w:pPr>
  </w:style>
  <w:style w:type="paragraph" w:customStyle="1" w:styleId="Point2number">
    <w:name w:val="Point 2 (number)"/>
    <w:basedOn w:val="Normal"/>
    <w:pPr>
      <w:numPr>
        <w:ilvl w:val="4"/>
        <w:numId w:val="16"/>
      </w:numPr>
    </w:pPr>
  </w:style>
  <w:style w:type="paragraph" w:customStyle="1" w:styleId="Point3number">
    <w:name w:val="Point 3 (number)"/>
    <w:basedOn w:val="Normal"/>
    <w:pPr>
      <w:numPr>
        <w:ilvl w:val="6"/>
        <w:numId w:val="16"/>
      </w:numPr>
    </w:pPr>
  </w:style>
  <w:style w:type="paragraph" w:customStyle="1" w:styleId="Point0letter">
    <w:name w:val="Point 0 (letter)"/>
    <w:basedOn w:val="Normal"/>
    <w:pPr>
      <w:numPr>
        <w:ilvl w:val="1"/>
        <w:numId w:val="16"/>
      </w:numPr>
    </w:pPr>
  </w:style>
  <w:style w:type="paragraph" w:customStyle="1" w:styleId="Point1letter">
    <w:name w:val="Point 1 (letter)"/>
    <w:basedOn w:val="Normal"/>
    <w:pPr>
      <w:numPr>
        <w:ilvl w:val="3"/>
        <w:numId w:val="16"/>
      </w:numPr>
    </w:pPr>
  </w:style>
  <w:style w:type="paragraph" w:customStyle="1" w:styleId="Point2letter">
    <w:name w:val="Point 2 (letter)"/>
    <w:basedOn w:val="Normal"/>
    <w:pPr>
      <w:numPr>
        <w:ilvl w:val="5"/>
        <w:numId w:val="16"/>
      </w:numPr>
    </w:pPr>
  </w:style>
  <w:style w:type="paragraph" w:customStyle="1" w:styleId="Point3letter">
    <w:name w:val="Point 3 (letter)"/>
    <w:basedOn w:val="Normal"/>
    <w:pPr>
      <w:numPr>
        <w:ilvl w:val="7"/>
        <w:numId w:val="16"/>
      </w:numPr>
    </w:pPr>
  </w:style>
  <w:style w:type="paragraph" w:customStyle="1" w:styleId="Point4letter">
    <w:name w:val="Point 4 (letter)"/>
    <w:basedOn w:val="Normal"/>
    <w:pPr>
      <w:numPr>
        <w:ilvl w:val="8"/>
        <w:numId w:val="16"/>
      </w:numPr>
    </w:pPr>
  </w:style>
  <w:style w:type="paragraph" w:customStyle="1" w:styleId="Bullet0">
    <w:name w:val="Bullet 0"/>
    <w:basedOn w:val="Normal"/>
    <w:pPr>
      <w:numPr>
        <w:numId w:val="17"/>
      </w:numPr>
    </w:pPr>
  </w:style>
  <w:style w:type="paragraph" w:customStyle="1" w:styleId="Bullet1">
    <w:name w:val="Bullet 1"/>
    <w:basedOn w:val="Normal"/>
    <w:pPr>
      <w:numPr>
        <w:numId w:val="18"/>
      </w:numPr>
    </w:pPr>
  </w:style>
  <w:style w:type="paragraph" w:customStyle="1" w:styleId="Bullet2">
    <w:name w:val="Bullet 2"/>
    <w:basedOn w:val="Normal"/>
    <w:pPr>
      <w:numPr>
        <w:numId w:val="19"/>
      </w:numPr>
    </w:pPr>
  </w:style>
  <w:style w:type="paragraph" w:customStyle="1" w:styleId="Bullet3">
    <w:name w:val="Bullet 3"/>
    <w:basedOn w:val="Normal"/>
    <w:pPr>
      <w:numPr>
        <w:numId w:val="20"/>
      </w:numPr>
    </w:pPr>
  </w:style>
  <w:style w:type="paragraph" w:customStyle="1" w:styleId="Bullet4">
    <w:name w:val="Bullet 4"/>
    <w:basedOn w:val="Normal"/>
    <w:pPr>
      <w:numPr>
        <w:numId w:val="21"/>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sl-SI" w:bidi="sl-SI"/>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1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5"/>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themeColor="hyperlink"/>
      <w:u w:val="single"/>
    </w:rPr>
  </w:style>
  <w:style w:type="paragraph" w:styleId="ListNumber4">
    <w:name w:val="List Number 4"/>
    <w:basedOn w:val="Normal"/>
    <w:uiPriority w:val="99"/>
    <w:semiHidden/>
    <w:unhideWhenUsed/>
    <w:pPr>
      <w:numPr>
        <w:numId w:val="1"/>
      </w:numPr>
      <w:contextualSpacing/>
    </w:p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sl-SI"/>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2"/>
      </w:numPr>
      <w:contextualSpacing/>
    </w:p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3">
    <w:name w:val="List Number 3"/>
    <w:basedOn w:val="Normal"/>
    <w:uiPriority w:val="99"/>
    <w:semiHidden/>
    <w:unhideWhenUsed/>
    <w:pPr>
      <w:numPr>
        <w:numId w:val="8"/>
      </w:numPr>
      <w:contextualSpacing/>
    </w:p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9"/>
      </w:numPr>
    </w:pPr>
  </w:style>
  <w:style w:type="paragraph" w:customStyle="1" w:styleId="Tiret1">
    <w:name w:val="Tiret 1"/>
    <w:basedOn w:val="Point1"/>
    <w:pPr>
      <w:numPr>
        <w:numId w:val="10"/>
      </w:numPr>
    </w:pPr>
  </w:style>
  <w:style w:type="paragraph" w:customStyle="1" w:styleId="Tiret2">
    <w:name w:val="Tiret 2"/>
    <w:basedOn w:val="Point2"/>
    <w:pPr>
      <w:numPr>
        <w:numId w:val="11"/>
      </w:numPr>
    </w:pPr>
  </w:style>
  <w:style w:type="paragraph" w:customStyle="1" w:styleId="Tiret3">
    <w:name w:val="Tiret 3"/>
    <w:basedOn w:val="Point3"/>
    <w:pPr>
      <w:numPr>
        <w:numId w:val="12"/>
      </w:numPr>
    </w:pPr>
  </w:style>
  <w:style w:type="paragraph" w:customStyle="1" w:styleId="Tiret4">
    <w:name w:val="Tiret 4"/>
    <w:basedOn w:val="Point4"/>
    <w:pPr>
      <w:numPr>
        <w:numId w:val="1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4"/>
      </w:numPr>
    </w:pPr>
  </w:style>
  <w:style w:type="paragraph" w:customStyle="1" w:styleId="NumPar2">
    <w:name w:val="NumPar 2"/>
    <w:basedOn w:val="Normal"/>
    <w:next w:val="Text1"/>
    <w:pPr>
      <w:numPr>
        <w:ilvl w:val="1"/>
        <w:numId w:val="14"/>
      </w:numPr>
    </w:pPr>
  </w:style>
  <w:style w:type="paragraph" w:customStyle="1" w:styleId="NumPar3">
    <w:name w:val="NumPar 3"/>
    <w:basedOn w:val="Normal"/>
    <w:next w:val="Text1"/>
    <w:pPr>
      <w:numPr>
        <w:ilvl w:val="2"/>
        <w:numId w:val="14"/>
      </w:numPr>
    </w:pPr>
  </w:style>
  <w:style w:type="paragraph" w:customStyle="1" w:styleId="NumPar4">
    <w:name w:val="NumPar 4"/>
    <w:basedOn w:val="Normal"/>
    <w:next w:val="Text1"/>
    <w:pPr>
      <w:numPr>
        <w:ilvl w:val="3"/>
        <w:numId w:val="1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6"/>
      </w:numPr>
    </w:pPr>
  </w:style>
  <w:style w:type="paragraph" w:customStyle="1" w:styleId="Point1number">
    <w:name w:val="Point 1 (number)"/>
    <w:basedOn w:val="Normal"/>
    <w:pPr>
      <w:numPr>
        <w:ilvl w:val="2"/>
        <w:numId w:val="16"/>
      </w:numPr>
    </w:pPr>
  </w:style>
  <w:style w:type="paragraph" w:customStyle="1" w:styleId="Point2number">
    <w:name w:val="Point 2 (number)"/>
    <w:basedOn w:val="Normal"/>
    <w:pPr>
      <w:numPr>
        <w:ilvl w:val="4"/>
        <w:numId w:val="16"/>
      </w:numPr>
    </w:pPr>
  </w:style>
  <w:style w:type="paragraph" w:customStyle="1" w:styleId="Point3number">
    <w:name w:val="Point 3 (number)"/>
    <w:basedOn w:val="Normal"/>
    <w:pPr>
      <w:numPr>
        <w:ilvl w:val="6"/>
        <w:numId w:val="16"/>
      </w:numPr>
    </w:pPr>
  </w:style>
  <w:style w:type="paragraph" w:customStyle="1" w:styleId="Point0letter">
    <w:name w:val="Point 0 (letter)"/>
    <w:basedOn w:val="Normal"/>
    <w:pPr>
      <w:numPr>
        <w:ilvl w:val="1"/>
        <w:numId w:val="16"/>
      </w:numPr>
    </w:pPr>
  </w:style>
  <w:style w:type="paragraph" w:customStyle="1" w:styleId="Point1letter">
    <w:name w:val="Point 1 (letter)"/>
    <w:basedOn w:val="Normal"/>
    <w:pPr>
      <w:numPr>
        <w:ilvl w:val="3"/>
        <w:numId w:val="16"/>
      </w:numPr>
    </w:pPr>
  </w:style>
  <w:style w:type="paragraph" w:customStyle="1" w:styleId="Point2letter">
    <w:name w:val="Point 2 (letter)"/>
    <w:basedOn w:val="Normal"/>
    <w:pPr>
      <w:numPr>
        <w:ilvl w:val="5"/>
        <w:numId w:val="16"/>
      </w:numPr>
    </w:pPr>
  </w:style>
  <w:style w:type="paragraph" w:customStyle="1" w:styleId="Point3letter">
    <w:name w:val="Point 3 (letter)"/>
    <w:basedOn w:val="Normal"/>
    <w:pPr>
      <w:numPr>
        <w:ilvl w:val="7"/>
        <w:numId w:val="16"/>
      </w:numPr>
    </w:pPr>
  </w:style>
  <w:style w:type="paragraph" w:customStyle="1" w:styleId="Point4letter">
    <w:name w:val="Point 4 (letter)"/>
    <w:basedOn w:val="Normal"/>
    <w:pPr>
      <w:numPr>
        <w:ilvl w:val="8"/>
        <w:numId w:val="16"/>
      </w:numPr>
    </w:pPr>
  </w:style>
  <w:style w:type="paragraph" w:customStyle="1" w:styleId="Bullet0">
    <w:name w:val="Bullet 0"/>
    <w:basedOn w:val="Normal"/>
    <w:pPr>
      <w:numPr>
        <w:numId w:val="17"/>
      </w:numPr>
    </w:pPr>
  </w:style>
  <w:style w:type="paragraph" w:customStyle="1" w:styleId="Bullet1">
    <w:name w:val="Bullet 1"/>
    <w:basedOn w:val="Normal"/>
    <w:pPr>
      <w:numPr>
        <w:numId w:val="18"/>
      </w:numPr>
    </w:pPr>
  </w:style>
  <w:style w:type="paragraph" w:customStyle="1" w:styleId="Bullet2">
    <w:name w:val="Bullet 2"/>
    <w:basedOn w:val="Normal"/>
    <w:pPr>
      <w:numPr>
        <w:numId w:val="19"/>
      </w:numPr>
    </w:pPr>
  </w:style>
  <w:style w:type="paragraph" w:customStyle="1" w:styleId="Bullet3">
    <w:name w:val="Bullet 3"/>
    <w:basedOn w:val="Normal"/>
    <w:pPr>
      <w:numPr>
        <w:numId w:val="20"/>
      </w:numPr>
    </w:pPr>
  </w:style>
  <w:style w:type="paragraph" w:customStyle="1" w:styleId="Bullet4">
    <w:name w:val="Bullet 4"/>
    <w:basedOn w:val="Normal"/>
    <w:pPr>
      <w:numPr>
        <w:numId w:val="21"/>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europa.eu/rapid/press-release_IP-15-6059_en.htm" TargetMode="External"/><Relationship Id="rId2" Type="http://schemas.openxmlformats.org/officeDocument/2006/relationships/hyperlink" Target="http://trade.ec.europa.eu/doclib/docs/2016/january/tradoc_154143.pdf" TargetMode="External"/><Relationship Id="rId1" Type="http://schemas.openxmlformats.org/officeDocument/2006/relationships/hyperlink" Target="http://trade.ec.europa.eu/doclib/docs/2015/may/tradoc_153408.PDF" TargetMode="External"/><Relationship Id="rId5" Type="http://schemas.openxmlformats.org/officeDocument/2006/relationships/hyperlink" Target="http://eur-lex.europa.eu/legal-content/EN-SL/TXT/?uri=CELEX:32013D0488&amp;from=EN" TargetMode="External"/><Relationship Id="rId4" Type="http://schemas.openxmlformats.org/officeDocument/2006/relationships/hyperlink" Target="https://ec.europa.eu/commission/sites/beta-political/files/reflection-paper-globalisation_sl.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COM.dotm</Template>
  <TotalTime>0</TotalTime>
  <Pages>8</Pages>
  <Words>2186</Words>
  <Characters>13054</Characters>
  <Application>Microsoft Office Word</Application>
  <DocSecurity>0</DocSecurity>
  <Lines>217</Lines>
  <Paragraphs>88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18</cp:revision>
  <dcterms:created xsi:type="dcterms:W3CDTF">2017-09-19T12:24:00Z</dcterms:created>
  <dcterms:modified xsi:type="dcterms:W3CDTF">2017-09-20T08:08:00Z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Classification">
    <vt:lpwstr> </vt:lpwstr>
  </property>
  <property fmtid="{D5CDD505-2E9C-101B-9397-08002B2CF9AE}" pid="4" name="Version">
    <vt:lpwstr>5.8.86.0</vt:lpwstr>
  </property>
  <property fmtid="{D5CDD505-2E9C-101B-9397-08002B2CF9AE}" pid="5" name="Last edited using">
    <vt:lpwstr>LW 5.8.4, Build 20150407</vt:lpwstr>
  </property>
  <property fmtid="{D5CDD505-2E9C-101B-9397-08002B2CF9AE}" pid="6" name="Created using">
    <vt:lpwstr>LW 5.8.4, Build 20150407</vt:lpwstr>
  </property>
  <property fmtid="{D5CDD505-2E9C-101B-9397-08002B2CF9AE}" pid="7" name="Part">
    <vt:lpwstr>1</vt:lpwstr>
  </property>
  <property fmtid="{D5CDD505-2E9C-101B-9397-08002B2CF9AE}" pid="8" name="Total parts">
    <vt:lpwstr>1</vt:lpwstr>
  </property>
  <property fmtid="{D5CDD505-2E9C-101B-9397-08002B2CF9AE}" pid="9" name="LWTemplateID">
    <vt:lpwstr>SG-001</vt:lpwstr>
  </property>
  <property fmtid="{D5CDD505-2E9C-101B-9397-08002B2CF9AE}" pid="10" name="DQCStatus">
    <vt:lpwstr>Green (DQC version 03)</vt:lpwstr>
  </property>
  <property name="OP_sanitized" fmtid="{D5CDD505-2E9C-101B-9397-08002B2CF9AE}" pid="11">
    <vt:lpwstr>True</vt:lpwstr>
  </property>
</Properties>
</file>