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alt="B5E88AA1-AAD9-4DF3-B1A3-F47E17097852" style="width:455.15pt;height:442.65pt">
            <v:imagedata r:id="rId9" o:title=""/>
          </v:shape>
        </w:pict>
      </w:r>
    </w:p>
    <w:p>
      <w:pPr>
        <w:pStyle w:val="Pagedecouverture"/>
        <w:rPr>
          <w:noProof/>
        </w:rPr>
        <w:sectPr>
          <w:headerReference w:type="even" r:id="rId10"/>
          <w:headerReference w:type="default" r:id="rId11"/>
          <w:footerReference w:type="even" r:id="rId12"/>
          <w:footerReference w:type="default" r:id="rId13"/>
          <w:headerReference w:type="first" r:id="rId14"/>
          <w:footerReference w:type="first" r:id="rId15"/>
          <w:pgSz w:w="11907" w:h="16839"/>
          <w:pgMar w:top="1134" w:right="1417" w:bottom="1134" w:left="1417" w:header="709" w:footer="709" w:gutter="0"/>
          <w:pgNumType w:start="0"/>
          <w:cols w:space="720"/>
          <w:docGrid w:linePitch="360"/>
        </w:sectPr>
      </w:pPr>
    </w:p>
    <w:p>
      <w:pPr>
        <w:pStyle w:val="Annexetitre"/>
        <w:rPr>
          <w:noProof/>
        </w:rPr>
      </w:pPr>
      <w:bookmarkStart w:id="0" w:name="_GoBack"/>
      <w:bookmarkEnd w:id="0"/>
      <w:r>
        <w:rPr>
          <w:noProof/>
        </w:rPr>
        <w:lastRenderedPageBreak/>
        <w:t>ΠΑΡΑΡΤΗΜΑ</w:t>
      </w:r>
    </w:p>
    <w:p>
      <w:pPr>
        <w:rPr>
          <w:noProof/>
        </w:rPr>
      </w:pPr>
    </w:p>
    <w:p>
      <w:pPr>
        <w:spacing w:before="360" w:after="0"/>
        <w:jc w:val="center"/>
        <w:rPr>
          <w:b/>
          <w:noProof/>
          <w:szCs w:val="24"/>
        </w:rPr>
      </w:pPr>
      <w:r>
        <w:rPr>
          <w:b/>
          <w:noProof/>
          <w:szCs w:val="24"/>
        </w:rPr>
        <w:t>ΑΠΟΦΑΣΗ ΤΗΣ ΜΕΙΚΤΗΣ ΕΠΙΤΡΟΠΗΣ ΤΟΥ ΕΟΧ</w:t>
      </w:r>
    </w:p>
    <w:p>
      <w:pPr>
        <w:spacing w:after="0"/>
        <w:jc w:val="center"/>
        <w:rPr>
          <w:b/>
          <w:noProof/>
          <w:color w:val="0000FF"/>
          <w:szCs w:val="24"/>
        </w:rPr>
      </w:pPr>
      <w:r>
        <w:rPr>
          <w:b/>
          <w:noProof/>
          <w:szCs w:val="24"/>
        </w:rPr>
        <w:t xml:space="preserve">αριθ. </w:t>
      </w:r>
      <w:r>
        <w:rPr>
          <w:noProof/>
        </w:rPr>
        <w:t>[…]</w:t>
      </w:r>
    </w:p>
    <w:p>
      <w:pPr>
        <w:spacing w:before="360" w:after="0"/>
        <w:jc w:val="center"/>
        <w:rPr>
          <w:b/>
          <w:noProof/>
          <w:color w:val="0000FF"/>
          <w:szCs w:val="24"/>
        </w:rPr>
      </w:pPr>
      <w:r>
        <w:rPr>
          <w:b/>
          <w:noProof/>
          <w:color w:val="000000" w:themeColor="text1"/>
          <w:szCs w:val="24"/>
        </w:rPr>
        <w:t xml:space="preserve">της </w:t>
      </w:r>
      <w:r>
        <w:rPr>
          <w:noProof/>
        </w:rPr>
        <w:t>[…]</w:t>
      </w:r>
    </w:p>
    <w:p>
      <w:pPr>
        <w:spacing w:before="360" w:after="360"/>
        <w:jc w:val="center"/>
        <w:rPr>
          <w:b/>
          <w:noProof/>
          <w:color w:val="000000" w:themeColor="text1"/>
          <w:szCs w:val="24"/>
        </w:rPr>
      </w:pPr>
      <w:r>
        <w:rPr>
          <w:b/>
          <w:noProof/>
          <w:color w:val="000000" w:themeColor="text1"/>
          <w:szCs w:val="24"/>
        </w:rPr>
        <w:t>για την τροποποίηση του πρωτοκόλλου 31 της συμφωνίας ΕΟΧ σχετικά με τη συνεργασία σε ειδικούς τομείς εκτός του πλαισίου των τεσσάρων ελευθεριών</w:t>
      </w:r>
    </w:p>
    <w:p>
      <w:pPr>
        <w:spacing w:before="600"/>
        <w:rPr>
          <w:noProof/>
          <w:color w:val="000000" w:themeColor="text1"/>
          <w:szCs w:val="24"/>
        </w:rPr>
      </w:pPr>
      <w:r>
        <w:rPr>
          <w:noProof/>
          <w:color w:val="000000" w:themeColor="text1"/>
          <w:szCs w:val="24"/>
        </w:rPr>
        <w:t>Η ΜΕΙΚΤΗ ΕΠΙΤΡΟΠΗ ΤΟΥ ΕΟΧ,</w:t>
      </w:r>
    </w:p>
    <w:p>
      <w:pPr>
        <w:rPr>
          <w:noProof/>
          <w:color w:val="000000" w:themeColor="text1"/>
          <w:szCs w:val="24"/>
        </w:rPr>
      </w:pPr>
      <w:r>
        <w:rPr>
          <w:noProof/>
          <w:color w:val="000000" w:themeColor="text1"/>
          <w:szCs w:val="24"/>
        </w:rPr>
        <w:t>Έχοντας υπόψη τη συμφωνία για τον Ευρωπαϊκό Οικονομικό Χώρο (στο εξής: συμφωνία ΕΟΧ), και ιδίως τα άρθρα 86 και 98,</w:t>
      </w:r>
    </w:p>
    <w:p>
      <w:pPr>
        <w:jc w:val="left"/>
        <w:rPr>
          <w:rFonts w:eastAsia="Calibri"/>
          <w:noProof/>
          <w:color w:val="000000"/>
          <w:szCs w:val="24"/>
        </w:rPr>
      </w:pPr>
      <w:r>
        <w:rPr>
          <w:noProof/>
          <w:color w:val="000000"/>
          <w:szCs w:val="24"/>
        </w:rPr>
        <w:t>Εκτιμώντας τα ακόλουθα:</w:t>
      </w:r>
    </w:p>
    <w:p>
      <w:pPr>
        <w:pStyle w:val="Considrant"/>
        <w:numPr>
          <w:ilvl w:val="0"/>
          <w:numId w:val="9"/>
        </w:numPr>
        <w:rPr>
          <w:noProof/>
        </w:rPr>
      </w:pPr>
      <w:bookmarkStart w:id="1" w:name="_Hlk51922725"/>
      <w:r>
        <w:rPr>
          <w:noProof/>
        </w:rPr>
        <w:t xml:space="preserve">Είναι σκόπιμο να επεκταθεί η συνεργασία των συμβαλλόμενων μερών της συμφωνίας ΕΟΧ για να συμπεριλάβει τον </w:t>
      </w:r>
      <w:bookmarkStart w:id="2" w:name="_Hlk74043964"/>
      <w:bookmarkStart w:id="3" w:name="_Hlk74044039"/>
      <w:r>
        <w:rPr>
          <w:noProof/>
        </w:rPr>
        <w:t>κανονισμό (ΕΕ) 2021/888</w:t>
      </w:r>
      <w:bookmarkEnd w:id="2"/>
      <w:r>
        <w:rPr>
          <w:noProof/>
        </w:rPr>
        <w:t xml:space="preserve"> του Ευρωπαϊκού Κοινοβουλίου και του Συμβουλίου, της 20ής Μαΐου 2021, για τη θέσπιση του Προγράμματος για το Ευρωπαϊκό Σώμα Αλληλεγγύης και για την κατάργηση των κανονισμών (EΕ) 2018/1475 και (EΕ) αριθ. 375/2014</w:t>
      </w:r>
      <w:bookmarkEnd w:id="3"/>
      <w:r>
        <w:rPr>
          <w:rStyle w:val="FootnoteReference"/>
          <w:noProof/>
        </w:rPr>
        <w:footnoteReference w:id="1"/>
      </w:r>
      <w:r>
        <w:rPr>
          <w:noProof/>
        </w:rPr>
        <w:t>.</w:t>
      </w:r>
    </w:p>
    <w:p>
      <w:pPr>
        <w:pStyle w:val="Considrant"/>
        <w:rPr>
          <w:noProof/>
        </w:rPr>
      </w:pPr>
      <w:r>
        <w:rPr>
          <w:noProof/>
        </w:rPr>
        <w:t>Είναι σκόπιμο η συμμετοχή των κρατών της ΕΖΕΣ στις δραστηριότητες που απορρέουν από τον κανονισμό (ΕΕ) 2021/888 να αρχίσει από την 1η Ιανουαρίου 2021, ανεξαρτήτως του πότε η παρούσα απόφαση θα εκδοθεί ή του αν κοινοποιηθεί η τήρηση των συνταγματικών απαιτήσεων που ενδεχομένως συνδέονται με την παρούσα απόφαση μετά τις 10 Ιουλίου 2021.</w:t>
      </w:r>
      <w:r>
        <w:rPr>
          <w:noProof/>
          <w:sz w:val="19"/>
          <w:szCs w:val="19"/>
        </w:rPr>
        <w:t xml:space="preserve"> </w:t>
      </w:r>
    </w:p>
    <w:p>
      <w:pPr>
        <w:pStyle w:val="Considrant"/>
        <w:rPr>
          <w:noProof/>
        </w:rPr>
      </w:pPr>
      <w:r>
        <w:rPr>
          <w:noProof/>
        </w:rPr>
        <w:t>Οι οντότητες που είναι εγκατεστημένες στα κράτη της ΕΖΕΣ θα πρέπει να έχουν το δικαίωμα να συμμετάσχουν σε δραστηριότητες που αρχίζουν πριν από την έναρξη ισχύος της παρούσας απόφασης. Οι δαπάνες για τις δραστηριότητες αυτές, των οποίων η υλοποίηση αρχίζει μετά την 1η Ιανουαρίου 2021, μπορεί να θεωρηθούν επιλέξιμες υπό τους ίδιους όρους με εκείνους που ισχύουν για τις δαπάνες με τις οποίες επιβαρύνονται οι οντότητες που είναι εγκατεστημένες στα κράτη μέλη της ΕΕ, υπό την προϋπόθεση ότι η παρούσα απόφαση θα τεθεί σε ισχύ πριν από το τέλος της σχετικής δράσης.</w:t>
      </w:r>
    </w:p>
    <w:p>
      <w:pPr>
        <w:pStyle w:val="Considrant"/>
        <w:rPr>
          <w:noProof/>
        </w:rPr>
      </w:pPr>
      <w:r>
        <w:rPr>
          <w:noProof/>
        </w:rPr>
        <w:t>Οι όροι συμμετοχής των κρατών της ΕΖΕΣ και των οικείων θεσμικών οργάνων, επιχειρήσεων, οργανισμών και υπηκόων σε προγράμματα της Ευρωπαϊκής Ένωσης καθορίζονται στη συμφωνία ΕΟΧ, και ιδίως στο άρθρο 81.</w:t>
      </w:r>
    </w:p>
    <w:bookmarkEnd w:id="1"/>
    <w:p>
      <w:pPr>
        <w:pStyle w:val="Considrant"/>
        <w:rPr>
          <w:noProof/>
          <w:color w:val="000000"/>
        </w:rPr>
      </w:pPr>
      <w:r>
        <w:rPr>
          <w:noProof/>
        </w:rPr>
        <w:t>Ως εκ τούτου, το πρωτόκολλο 31 της συμφωνίας ΕΟΧ θα πρέπει να τροποποιηθεί αναλόγως, ώστε να καταστεί δυνατή η επέκταση της εν λόγω συνεργασίας από την 1η Ιανουαρίου 2021,</w:t>
      </w:r>
    </w:p>
    <w:p>
      <w:pPr>
        <w:keepNext/>
        <w:tabs>
          <w:tab w:val="left" w:pos="709"/>
        </w:tabs>
        <w:rPr>
          <w:rFonts w:eastAsia="Calibri"/>
          <w:noProof/>
          <w:color w:val="000000"/>
          <w:szCs w:val="24"/>
        </w:rPr>
      </w:pPr>
      <w:r>
        <w:rPr>
          <w:noProof/>
          <w:color w:val="000000"/>
          <w:szCs w:val="24"/>
        </w:rPr>
        <w:t>ΕΞΕΔΩΣΕ ΤΗΝ ΠΑΡΟΥΣΑ ΑΠΟΦΑΣΗ:</w:t>
      </w:r>
    </w:p>
    <w:p>
      <w:pPr>
        <w:pStyle w:val="Titrearticle"/>
        <w:rPr>
          <w:noProof/>
        </w:rPr>
      </w:pPr>
      <w:r>
        <w:rPr>
          <w:noProof/>
        </w:rPr>
        <w:t>Άρθρο 1</w:t>
      </w:r>
    </w:p>
    <w:p>
      <w:pPr>
        <w:rPr>
          <w:noProof/>
        </w:rPr>
      </w:pPr>
      <w:r>
        <w:rPr>
          <w:noProof/>
        </w:rPr>
        <w:t>Το άρθρο 4 του πρωτοκόλλου 31 της συμφωνίας ΕΟΧ τροποποιείται ως εξής:</w:t>
      </w:r>
    </w:p>
    <w:p>
      <w:pPr>
        <w:pStyle w:val="Point0"/>
        <w:rPr>
          <w:noProof/>
        </w:rPr>
      </w:pPr>
      <w:r>
        <w:rPr>
          <w:noProof/>
        </w:rPr>
        <w:t>1.</w:t>
      </w:r>
      <w:r>
        <w:rPr>
          <w:noProof/>
        </w:rPr>
        <w:tab/>
        <w:t>Μετά την παράγραφο 2ιζ παρεμβάλλεται η ακόλουθη παράγραφος:</w:t>
      </w:r>
    </w:p>
    <w:p>
      <w:pPr>
        <w:pStyle w:val="Point1"/>
        <w:rPr>
          <w:noProof/>
        </w:rPr>
      </w:pPr>
      <w:r>
        <w:rPr>
          <w:noProof/>
        </w:rPr>
        <w:t>«2ιη.</w:t>
      </w:r>
      <w:r>
        <w:rPr>
          <w:noProof/>
        </w:rPr>
        <w:tab/>
        <w:t>Τα κράτη της ΕΖΕΣ συμμετέχουν, από 1ης Ιανουαρίου 2021, στο ακόλουθο ευρωπαϊκό πρόγραμμα:</w:t>
      </w:r>
    </w:p>
    <w:p>
      <w:pPr>
        <w:pStyle w:val="Point2"/>
        <w:rPr>
          <w:noProof/>
        </w:rPr>
      </w:pPr>
      <w:r>
        <w:rPr>
          <w:noProof/>
        </w:rPr>
        <w:t>-</w:t>
      </w:r>
      <w:r>
        <w:rPr>
          <w:noProof/>
        </w:rPr>
        <w:tab/>
      </w:r>
      <w:r>
        <w:rPr>
          <w:b/>
          <w:bCs/>
          <w:noProof/>
        </w:rPr>
        <w:t>32021 R 0888</w:t>
      </w:r>
      <w:r>
        <w:rPr>
          <w:noProof/>
        </w:rPr>
        <w:t>: Κανονισμός (ΕΕ) 2021/888 του Ευρωπαϊκού Κοινοβουλίου και του Συμβουλίου, της 20ής Μαΐου 2021, για τη θέσπιση του Προγράμματος για το Ευρωπαϊκό Σώμα Αλληλεγγύης και για την κατάργηση των κανονισμών (EΕ) 2018/1475 και (EΕ) αριθ. 375/2014 (ΕΕ L 202 της 8.6.2021, σ. 32).</w:t>
      </w:r>
    </w:p>
    <w:p>
      <w:pPr>
        <w:pStyle w:val="Point1"/>
        <w:rPr>
          <w:noProof/>
        </w:rPr>
      </w:pPr>
      <w:r>
        <w:rPr>
          <w:noProof/>
        </w:rPr>
        <w:tab/>
        <w:t>Οι δαπάνες για τις δραστηριότητες των οποίων η υλοποίηση αρχίζει μετά την 1η Ιανουαρίου 2021 μπορεί να θεωρηθούν επιλέξιμες από την ημερομηνία έναρξης της δράσης που καθορίζεται στη σχετική συμφωνία επιχορήγησης ή στην απόφαση επιχορήγησης, υπό τους όρους που προβλέπονται σε αυτήν, εφόσον η απόφαση της Μεικτής Επιτροπής του ΕΟΧ αριθ. ΧΧ/2021 της xx 2021 [παρούσα απόφαση] τεθεί σε ισχύ πριν από το τέλος της δράσης.</w:t>
      </w:r>
    </w:p>
    <w:p>
      <w:pPr>
        <w:pStyle w:val="Point1"/>
        <w:rPr>
          <w:noProof/>
        </w:rPr>
      </w:pPr>
      <w:r>
        <w:rPr>
          <w:noProof/>
        </w:rPr>
        <w:tab/>
        <w:t>Η Νορβηγία απαλλάσσεται από την υποχρέωση συμμετοχής και χρηματοδοτικής συνεισφοράς στο παρόν πρόγραμμα.» .</w:t>
      </w:r>
    </w:p>
    <w:p>
      <w:pPr>
        <w:pStyle w:val="Point0"/>
        <w:rPr>
          <w:noProof/>
        </w:rPr>
      </w:pPr>
      <w:r>
        <w:rPr>
          <w:noProof/>
        </w:rPr>
        <w:t>2.</w:t>
      </w:r>
      <w:r>
        <w:rPr>
          <w:noProof/>
        </w:rPr>
        <w:tab/>
        <w:t>Το κείμενο της παραγράφου 3 αντικαθίσταται από το ακόλουθο κείμενο:</w:t>
      </w:r>
    </w:p>
    <w:p>
      <w:pPr>
        <w:pStyle w:val="Point0"/>
        <w:ind w:firstLine="0"/>
        <w:rPr>
          <w:noProof/>
        </w:rPr>
      </w:pPr>
      <w:r>
        <w:rPr>
          <w:noProof/>
        </w:rPr>
        <w:t>Τα κράτη της ΕΖΕΣ καταβάλλουν χρηματοδοτική συνεισφορά σύμφωνα με το άρθρο 82 παράγραφος 1) στοιχείο α) της συμφωνίας για τα προγράμματα και τις δράσεις που αναφέρονται στις παραγράφους 1, 2, 2α, 2β, 2γ, 2δ, 2ε, 2στ, 2ζ, 2η, 2θ, 2ι, 2ια, 2ιβ, 2ιγ, 2ιδ, 2ιε, 2ιστ, 2ιζ και 2ιη.»</w:t>
      </w:r>
    </w:p>
    <w:p>
      <w:pPr>
        <w:pStyle w:val="Titrearticle"/>
        <w:rPr>
          <w:noProof/>
        </w:rPr>
      </w:pPr>
      <w:r>
        <w:rPr>
          <w:noProof/>
        </w:rPr>
        <w:t>Άρθρο 2</w:t>
      </w:r>
    </w:p>
    <w:p>
      <w:pPr>
        <w:tabs>
          <w:tab w:val="left" w:pos="709"/>
        </w:tabs>
        <w:rPr>
          <w:rFonts w:eastAsia="Calibri"/>
          <w:noProof/>
          <w:color w:val="000000"/>
          <w:szCs w:val="24"/>
        </w:rPr>
      </w:pPr>
      <w:r>
        <w:rPr>
          <w:noProof/>
          <w:color w:val="000000"/>
          <w:szCs w:val="24"/>
        </w:rPr>
        <w:t>Η παρούσα απόφαση αρχίζει να ισχύει την επομένη της τελευταίας κοινοποίησης δυνάμει του άρθρου 103 παράγραφος 1 της συμφωνίας ΕΟΧ</w:t>
      </w:r>
      <w:r>
        <w:rPr>
          <w:rFonts w:eastAsia="Calibri"/>
          <w:b/>
          <w:noProof/>
          <w:color w:val="000000"/>
          <w:szCs w:val="24"/>
          <w:vertAlign w:val="superscript"/>
        </w:rPr>
        <w:footnoteReference w:customMarkFollows="1" w:id="2"/>
        <w:sym w:font="Symbol" w:char="F02A"/>
      </w:r>
      <w:r>
        <w:rPr>
          <w:noProof/>
          <w:color w:val="000000"/>
          <w:szCs w:val="24"/>
        </w:rPr>
        <w:t>.</w:t>
      </w:r>
    </w:p>
    <w:p>
      <w:pPr>
        <w:tabs>
          <w:tab w:val="left" w:pos="709"/>
        </w:tabs>
        <w:rPr>
          <w:rFonts w:eastAsia="Calibri"/>
          <w:noProof/>
          <w:color w:val="000000"/>
          <w:szCs w:val="24"/>
        </w:rPr>
      </w:pPr>
      <w:r>
        <w:rPr>
          <w:noProof/>
          <w:color w:val="000000"/>
          <w:szCs w:val="24"/>
        </w:rPr>
        <w:t>Εφαρμόζεται από την 1η Ιανουαρίου 2021.</w:t>
      </w:r>
    </w:p>
    <w:p>
      <w:pPr>
        <w:pStyle w:val="Titrearticle"/>
        <w:rPr>
          <w:noProof/>
        </w:rPr>
      </w:pPr>
      <w:r>
        <w:rPr>
          <w:noProof/>
        </w:rPr>
        <w:t>Άρθρο 3</w:t>
      </w:r>
    </w:p>
    <w:p>
      <w:pPr>
        <w:tabs>
          <w:tab w:val="left" w:pos="709"/>
        </w:tabs>
        <w:rPr>
          <w:rFonts w:eastAsia="Calibri"/>
          <w:noProof/>
          <w:color w:val="000000"/>
          <w:szCs w:val="24"/>
        </w:rPr>
      </w:pPr>
      <w:r>
        <w:rPr>
          <w:noProof/>
          <w:color w:val="000000"/>
          <w:szCs w:val="24"/>
        </w:rPr>
        <w:t xml:space="preserve">Η παρούσα απόφαση δημοσιεύεται στο τμήμα ΕΟΧ και στο συμπλήρωμα ΕΟΧ της </w:t>
      </w:r>
      <w:r>
        <w:rPr>
          <w:i/>
          <w:noProof/>
          <w:color w:val="000000"/>
          <w:szCs w:val="24"/>
        </w:rPr>
        <w:t>Επίσημης Εφημερίδας της Ευρωπαϊκής Ένωσης</w:t>
      </w:r>
      <w:r>
        <w:rPr>
          <w:noProof/>
          <w:color w:val="000000"/>
          <w:szCs w:val="24"/>
        </w:rPr>
        <w:t>.</w:t>
      </w:r>
    </w:p>
    <w:p>
      <w:pPr>
        <w:spacing w:before="0" w:after="200" w:line="276" w:lineRule="auto"/>
        <w:jc w:val="left"/>
        <w:rPr>
          <w:rFonts w:eastAsia="Calibri"/>
          <w:noProof/>
          <w:szCs w:val="24"/>
        </w:rPr>
      </w:pPr>
      <w:r>
        <w:rPr>
          <w:noProof/>
        </w:rPr>
        <w:t>Βρυξέλλες, […].</w:t>
      </w:r>
    </w:p>
    <w:p>
      <w:pPr>
        <w:tabs>
          <w:tab w:val="left" w:pos="4253"/>
        </w:tabs>
        <w:spacing w:before="720" w:after="0"/>
        <w:jc w:val="left"/>
        <w:rPr>
          <w:rFonts w:eastAsia="Calibri"/>
          <w:i/>
          <w:noProof/>
          <w:szCs w:val="24"/>
        </w:rPr>
      </w:pPr>
      <w:r>
        <w:rPr>
          <w:noProof/>
        </w:rPr>
        <w:tab/>
      </w:r>
      <w:r>
        <w:rPr>
          <w:i/>
          <w:noProof/>
          <w:szCs w:val="24"/>
        </w:rPr>
        <w:t>Για τη Μεικτή Επιτροπή του ΕΟΧ</w:t>
      </w:r>
    </w:p>
    <w:p>
      <w:pPr>
        <w:tabs>
          <w:tab w:val="left" w:pos="4253"/>
        </w:tabs>
        <w:spacing w:before="0" w:after="0"/>
        <w:jc w:val="left"/>
        <w:rPr>
          <w:rFonts w:eastAsia="Calibri"/>
          <w:i/>
          <w:noProof/>
          <w:szCs w:val="24"/>
        </w:rPr>
      </w:pPr>
      <w:r>
        <w:rPr>
          <w:noProof/>
        </w:rPr>
        <w:tab/>
      </w:r>
      <w:r>
        <w:rPr>
          <w:i/>
          <w:noProof/>
          <w:szCs w:val="24"/>
        </w:rPr>
        <w:t>Ο/Η Πρόεδρος</w:t>
      </w:r>
    </w:p>
    <w:p>
      <w:pPr>
        <w:rPr>
          <w:noProof/>
        </w:rPr>
      </w:pPr>
      <w:r>
        <w:rPr>
          <w:noProof/>
        </w:rPr>
        <w:tab/>
      </w:r>
      <w:r>
        <w:rPr>
          <w:noProof/>
        </w:rPr>
        <w:tab/>
      </w:r>
      <w:r>
        <w:rPr>
          <w:noProof/>
        </w:rPr>
        <w:tab/>
      </w:r>
      <w:r>
        <w:rPr>
          <w:noProof/>
        </w:rPr>
        <w:tab/>
      </w:r>
      <w:r>
        <w:rPr>
          <w:noProof/>
        </w:rPr>
        <w:tab/>
      </w:r>
      <w:r>
        <w:rPr>
          <w:noProof/>
        </w:rPr>
        <w:tab/>
        <w:t>[…]</w:t>
      </w:r>
    </w:p>
    <w:p>
      <w:pPr>
        <w:tabs>
          <w:tab w:val="left" w:pos="4253"/>
        </w:tabs>
        <w:spacing w:before="0" w:after="200" w:line="276" w:lineRule="auto"/>
        <w:contextualSpacing/>
        <w:jc w:val="left"/>
        <w:rPr>
          <w:rFonts w:eastAsia="Calibri"/>
          <w:i/>
          <w:noProof/>
          <w:szCs w:val="24"/>
        </w:rPr>
      </w:pPr>
      <w:r>
        <w:rPr>
          <w:noProof/>
        </w:rPr>
        <w:tab/>
      </w:r>
    </w:p>
    <w:p>
      <w:pPr>
        <w:tabs>
          <w:tab w:val="left" w:pos="4253"/>
        </w:tabs>
        <w:spacing w:before="0" w:after="200" w:line="276" w:lineRule="auto"/>
        <w:contextualSpacing/>
        <w:jc w:val="left"/>
        <w:rPr>
          <w:rFonts w:eastAsia="Calibri"/>
          <w:i/>
          <w:noProof/>
          <w:szCs w:val="24"/>
        </w:rPr>
      </w:pPr>
    </w:p>
    <w:p>
      <w:pPr>
        <w:tabs>
          <w:tab w:val="left" w:pos="4253"/>
        </w:tabs>
        <w:spacing w:before="0" w:after="200" w:line="276" w:lineRule="auto"/>
        <w:contextualSpacing/>
        <w:jc w:val="left"/>
        <w:rPr>
          <w:rFonts w:eastAsia="Calibri"/>
          <w:i/>
          <w:noProof/>
          <w:szCs w:val="24"/>
        </w:rPr>
      </w:pPr>
      <w:r>
        <w:rPr>
          <w:noProof/>
        </w:rPr>
        <w:tab/>
      </w:r>
      <w:r>
        <w:rPr>
          <w:i/>
          <w:noProof/>
          <w:szCs w:val="24"/>
        </w:rPr>
        <w:t>Οι Γραμματείς</w:t>
      </w:r>
    </w:p>
    <w:p>
      <w:pPr>
        <w:tabs>
          <w:tab w:val="left" w:pos="4253"/>
        </w:tabs>
        <w:spacing w:before="0" w:after="200" w:line="276" w:lineRule="auto"/>
        <w:contextualSpacing/>
        <w:jc w:val="left"/>
        <w:rPr>
          <w:rFonts w:eastAsia="Calibri"/>
          <w:i/>
          <w:noProof/>
          <w:szCs w:val="24"/>
        </w:rPr>
      </w:pPr>
      <w:r>
        <w:rPr>
          <w:noProof/>
        </w:rPr>
        <w:tab/>
      </w:r>
      <w:r>
        <w:rPr>
          <w:i/>
          <w:noProof/>
          <w:szCs w:val="24"/>
        </w:rPr>
        <w:t>της Μεικτής Επιτροπής του ΕΟΧ</w:t>
      </w:r>
    </w:p>
    <w:p>
      <w:pPr>
        <w:rPr>
          <w:noProof/>
        </w:rPr>
      </w:pPr>
      <w:r>
        <w:rPr>
          <w:noProof/>
        </w:rPr>
        <w:tab/>
      </w:r>
      <w:r>
        <w:rPr>
          <w:noProof/>
        </w:rPr>
        <w:tab/>
      </w:r>
      <w:r>
        <w:rPr>
          <w:noProof/>
        </w:rPr>
        <w:tab/>
      </w:r>
      <w:r>
        <w:rPr>
          <w:noProof/>
        </w:rPr>
        <w:tab/>
      </w:r>
      <w:r>
        <w:rPr>
          <w:noProof/>
        </w:rPr>
        <w:tab/>
      </w:r>
      <w:r>
        <w:rPr>
          <w:noProof/>
        </w:rPr>
        <w:tab/>
        <w:t>[…]</w:t>
      </w:r>
    </w:p>
    <w:sectPr>
      <w:footerReference w:type="default" r:id="rId16"/>
      <w:footerReference w:type="first" r:id="rId17"/>
      <w:pgSz w:w="11907" w:h="16839"/>
      <w:pgMar w:top="1134" w:right="1417" w:bottom="1134" w:left="1417"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before="0" w:after="0"/>
      </w:pPr>
      <w:r>
        <w:separator/>
      </w:r>
    </w:p>
  </w:endnote>
  <w:endnote w:type="continuationSeparator" w:id="0">
    <w:p>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EL</w:t>
    </w:r>
    <w:r>
      <w:rPr>
        <w:rFonts w:ascii="Arial" w:hAnsi="Arial" w:cs="Arial"/>
        <w:b/>
        <w:sz w:val="48"/>
      </w:rPr>
      <w:tab/>
    </w:r>
    <w:r>
      <w:rPr>
        <w:rFonts w:ascii="Arial" w:hAnsi="Arial" w:cs="Arial"/>
        <w:b/>
        <w:sz w:val="48"/>
      </w:rPr>
      <w:tab/>
    </w:r>
    <w:r>
      <w:tab/>
    </w:r>
    <w:r>
      <w:rPr>
        <w:rFonts w:ascii="Arial" w:hAnsi="Arial" w:cs="Arial"/>
        <w:b/>
        <w:sz w:val="48"/>
      </w:rPr>
      <w:t>EL</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EL</w:t>
    </w:r>
    <w:r>
      <w:rPr>
        <w:rFonts w:ascii="Arial" w:hAnsi="Arial" w:cs="Arial"/>
        <w:b/>
        <w:sz w:val="48"/>
      </w:rPr>
      <w:tab/>
    </w:r>
    <w:r>
      <w:fldChar w:fldCharType="begin"/>
    </w:r>
    <w:r>
      <w:instrText xml:space="preserve"> PAGE  \* MERGEFORMAT </w:instrText>
    </w:r>
    <w:r>
      <w:fldChar w:fldCharType="separate"/>
    </w:r>
    <w:r>
      <w:rPr>
        <w:noProof/>
      </w:rPr>
      <w:t>1</w:t>
    </w:r>
    <w:r>
      <w:fldChar w:fldCharType="end"/>
    </w:r>
    <w:r>
      <w:tab/>
    </w:r>
    <w:r>
      <w:tab/>
    </w:r>
    <w:r>
      <w:rPr>
        <w:rFonts w:ascii="Arial" w:hAnsi="Arial" w:cs="Arial"/>
        <w:b/>
        <w:sz w:val="48"/>
      </w:rPr>
      <w:t>EL</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before="0" w:after="0"/>
      </w:pPr>
      <w:r>
        <w:separator/>
      </w:r>
    </w:p>
  </w:footnote>
  <w:footnote w:type="continuationSeparator" w:id="0">
    <w:p>
      <w:pPr>
        <w:spacing w:before="0" w:after="0"/>
      </w:pPr>
      <w:r>
        <w:continuationSeparator/>
      </w:r>
    </w:p>
  </w:footnote>
  <w:footnote w:id="1">
    <w:p>
      <w:pPr>
        <w:pStyle w:val="FootnoteText"/>
      </w:pPr>
      <w:r>
        <w:rPr>
          <w:rStyle w:val="FootnoteReference"/>
        </w:rPr>
        <w:footnoteRef/>
      </w:r>
      <w:r>
        <w:tab/>
      </w:r>
      <w:bookmarkStart w:id="4" w:name="_Hlk74044069"/>
      <w:r>
        <w:t>ΕΕ L 202 της 8.6.2021, σ. 32</w:t>
      </w:r>
      <w:bookmarkEnd w:id="4"/>
      <w:r>
        <w:t>.</w:t>
      </w:r>
    </w:p>
  </w:footnote>
  <w:footnote w:id="2">
    <w:p>
      <w:pPr>
        <w:pStyle w:val="FootnoteText"/>
      </w:pPr>
      <w:r>
        <w:rPr>
          <w:rStyle w:val="FootnoteReference"/>
        </w:rPr>
        <w:sym w:font="Symbol" w:char="F02A"/>
      </w:r>
      <w:r>
        <w:tab/>
        <w:t>[Δεν έχουν αναφερθεί συνταγματικές απαιτήσεις.] [Έχουν αναφερθεί συνταγματικές απαιτήσεις.]</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D2C67E92"/>
    <w:lvl w:ilvl="0">
      <w:start w:val="1"/>
      <w:numFmt w:val="decimal"/>
      <w:pStyle w:val="ListNumber4"/>
      <w:lvlText w:val="%1."/>
      <w:lvlJc w:val="left"/>
      <w:pPr>
        <w:tabs>
          <w:tab w:val="num" w:pos="1209"/>
        </w:tabs>
        <w:ind w:left="1209" w:hanging="360"/>
      </w:pPr>
    </w:lvl>
  </w:abstractNum>
  <w:abstractNum w:abstractNumId="1">
    <w:nsid w:val="FFFFFF7E"/>
    <w:multiLevelType w:val="singleLevel"/>
    <w:tmpl w:val="BA480AF6"/>
    <w:lvl w:ilvl="0">
      <w:start w:val="1"/>
      <w:numFmt w:val="decimal"/>
      <w:pStyle w:val="ListNumber3"/>
      <w:lvlText w:val="%1."/>
      <w:lvlJc w:val="left"/>
      <w:pPr>
        <w:tabs>
          <w:tab w:val="num" w:pos="926"/>
        </w:tabs>
        <w:ind w:left="926" w:hanging="360"/>
      </w:pPr>
    </w:lvl>
  </w:abstractNum>
  <w:abstractNum w:abstractNumId="2">
    <w:nsid w:val="FFFFFF7F"/>
    <w:multiLevelType w:val="singleLevel"/>
    <w:tmpl w:val="BE6015F4"/>
    <w:lvl w:ilvl="0">
      <w:start w:val="1"/>
      <w:numFmt w:val="decimal"/>
      <w:pStyle w:val="ListNumber2"/>
      <w:lvlText w:val="%1."/>
      <w:lvlJc w:val="left"/>
      <w:pPr>
        <w:tabs>
          <w:tab w:val="num" w:pos="643"/>
        </w:tabs>
        <w:ind w:left="643" w:hanging="360"/>
      </w:pPr>
    </w:lvl>
  </w:abstractNum>
  <w:abstractNum w:abstractNumId="3">
    <w:nsid w:val="FFFFFF81"/>
    <w:multiLevelType w:val="singleLevel"/>
    <w:tmpl w:val="D416FF66"/>
    <w:lvl w:ilvl="0">
      <w:start w:val="1"/>
      <w:numFmt w:val="bullet"/>
      <w:pStyle w:val="ListBullet4"/>
      <w:lvlText w:val=""/>
      <w:lvlJc w:val="left"/>
      <w:pPr>
        <w:tabs>
          <w:tab w:val="num" w:pos="1209"/>
        </w:tabs>
        <w:ind w:left="1209" w:hanging="360"/>
      </w:pPr>
      <w:rPr>
        <w:rFonts w:ascii="Symbol" w:hAnsi="Symbol" w:hint="default"/>
      </w:rPr>
    </w:lvl>
  </w:abstractNum>
  <w:abstractNum w:abstractNumId="4">
    <w:nsid w:val="FFFFFF82"/>
    <w:multiLevelType w:val="singleLevel"/>
    <w:tmpl w:val="B790C6D6"/>
    <w:lvl w:ilvl="0">
      <w:start w:val="1"/>
      <w:numFmt w:val="bullet"/>
      <w:pStyle w:val="ListBullet3"/>
      <w:lvlText w:val=""/>
      <w:lvlJc w:val="left"/>
      <w:pPr>
        <w:tabs>
          <w:tab w:val="num" w:pos="926"/>
        </w:tabs>
        <w:ind w:left="926" w:hanging="360"/>
      </w:pPr>
      <w:rPr>
        <w:rFonts w:ascii="Symbol" w:hAnsi="Symbol" w:hint="default"/>
      </w:rPr>
    </w:lvl>
  </w:abstractNum>
  <w:abstractNum w:abstractNumId="5">
    <w:nsid w:val="FFFFFF83"/>
    <w:multiLevelType w:val="singleLevel"/>
    <w:tmpl w:val="210ACC06"/>
    <w:lvl w:ilvl="0">
      <w:start w:val="1"/>
      <w:numFmt w:val="bullet"/>
      <w:pStyle w:val="ListBullet2"/>
      <w:lvlText w:val=""/>
      <w:lvlJc w:val="left"/>
      <w:pPr>
        <w:tabs>
          <w:tab w:val="num" w:pos="643"/>
        </w:tabs>
        <w:ind w:left="643" w:hanging="360"/>
      </w:pPr>
      <w:rPr>
        <w:rFonts w:ascii="Symbol" w:hAnsi="Symbol" w:hint="default"/>
      </w:rPr>
    </w:lvl>
  </w:abstractNum>
  <w:abstractNum w:abstractNumId="6">
    <w:nsid w:val="FFFFFF88"/>
    <w:multiLevelType w:val="singleLevel"/>
    <w:tmpl w:val="C5DAE752"/>
    <w:lvl w:ilvl="0">
      <w:start w:val="1"/>
      <w:numFmt w:val="decimal"/>
      <w:pStyle w:val="ListNumber"/>
      <w:lvlText w:val="%1."/>
      <w:lvlJc w:val="left"/>
      <w:pPr>
        <w:tabs>
          <w:tab w:val="num" w:pos="360"/>
        </w:tabs>
        <w:ind w:left="360" w:hanging="360"/>
      </w:pPr>
    </w:lvl>
  </w:abstractNum>
  <w:abstractNum w:abstractNumId="7">
    <w:nsid w:val="FFFFFF89"/>
    <w:multiLevelType w:val="singleLevel"/>
    <w:tmpl w:val="0EDA0AE0"/>
    <w:lvl w:ilvl="0">
      <w:start w:val="1"/>
      <w:numFmt w:val="bullet"/>
      <w:pStyle w:val="ListBullet"/>
      <w:lvlText w:val=""/>
      <w:lvlJc w:val="left"/>
      <w:pPr>
        <w:tabs>
          <w:tab w:val="num" w:pos="360"/>
        </w:tabs>
        <w:ind w:left="360" w:hanging="360"/>
      </w:pPr>
      <w:rPr>
        <w:rFonts w:ascii="Symbol" w:hAnsi="Symbol" w:hint="default"/>
      </w:rPr>
    </w:lvl>
  </w:abstractNum>
  <w:abstractNum w:abstractNumId="8">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9">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decimal"/>
      <w:pStyle w:val="NumPar5"/>
      <w:lvlText w:val="%1.%2.%3.%4.%5."/>
      <w:lvlJc w:val="left"/>
      <w:pPr>
        <w:tabs>
          <w:tab w:val="num" w:pos="1417"/>
        </w:tabs>
        <w:ind w:left="1417" w:hanging="1417"/>
      </w:pPr>
    </w:lvl>
    <w:lvl w:ilvl="5">
      <w:start w:val="1"/>
      <w:numFmt w:val="decimal"/>
      <w:pStyle w:val="NumPar6"/>
      <w:lvlText w:val="%1.%2.%3.%4.%5.%6."/>
      <w:lvlJc w:val="left"/>
      <w:pPr>
        <w:tabs>
          <w:tab w:val="num" w:pos="1417"/>
        </w:tabs>
        <w:ind w:left="1417" w:hanging="1417"/>
      </w:pPr>
    </w:lvl>
    <w:lvl w:ilvl="6">
      <w:start w:val="1"/>
      <w:numFmt w:val="decimal"/>
      <w:pStyle w:val="NumPar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1">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2">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3">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4">
    <w:nsid w:val="42FC077D"/>
    <w:multiLevelType w:val="singleLevel"/>
    <w:tmpl w:val="4128FD03"/>
    <w:name w:val="Tiret 5"/>
    <w:lvl w:ilvl="0">
      <w:start w:val="1"/>
      <w:numFmt w:val="bullet"/>
      <w:lvlRestart w:val="0"/>
      <w:pStyle w:val="Tiret5"/>
      <w:lvlText w:val="–"/>
      <w:lvlJc w:val="left"/>
      <w:pPr>
        <w:tabs>
          <w:tab w:val="num" w:pos="3685"/>
        </w:tabs>
        <w:ind w:left="3685" w:hanging="567"/>
      </w:pPr>
    </w:lvl>
  </w:abstractNum>
  <w:abstractNum w:abstractNumId="15">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6">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7">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8">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9">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decimal"/>
      <w:pStyle w:val="Heading5"/>
      <w:lvlText w:val="%1.%2.%3.%4.%5."/>
      <w:lvlJc w:val="left"/>
      <w:pPr>
        <w:tabs>
          <w:tab w:val="num" w:pos="1417"/>
        </w:tabs>
        <w:ind w:left="1417" w:hanging="1417"/>
      </w:pPr>
    </w:lvl>
    <w:lvl w:ilvl="5">
      <w:start w:val="1"/>
      <w:numFmt w:val="decimal"/>
      <w:pStyle w:val="Heading6"/>
      <w:lvlText w:val="%1.%2.%3.%4.%5.%6."/>
      <w:lvlJc w:val="left"/>
      <w:pPr>
        <w:tabs>
          <w:tab w:val="num" w:pos="1417"/>
        </w:tabs>
        <w:ind w:left="1417" w:hanging="1417"/>
      </w:pPr>
    </w:lvl>
    <w:lvl w:ilvl="6">
      <w:start w:val="1"/>
      <w:numFmt w:val="decimal"/>
      <w:pStyle w:val="Heading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2">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7"/>
  </w:num>
  <w:num w:numId="2">
    <w:abstractNumId w:val="5"/>
  </w:num>
  <w:num w:numId="3">
    <w:abstractNumId w:val="4"/>
  </w:num>
  <w:num w:numId="4">
    <w:abstractNumId w:val="3"/>
  </w:num>
  <w:num w:numId="5">
    <w:abstractNumId w:val="6"/>
  </w:num>
  <w:num w:numId="6">
    <w:abstractNumId w:val="2"/>
  </w:num>
  <w:num w:numId="7">
    <w:abstractNumId w:val="1"/>
  </w:num>
  <w:num w:numId="8">
    <w:abstractNumId w:val="0"/>
  </w:num>
  <w:num w:numId="9">
    <w:abstractNumId w:val="22"/>
    <w:lvlOverride w:ilvl="0">
      <w:startOverride w:val="1"/>
    </w:lvlOverride>
  </w:num>
  <w:num w:numId="10">
    <w:abstractNumId w:val="19"/>
  </w:num>
  <w:num w:numId="11">
    <w:abstractNumId w:val="12"/>
  </w:num>
  <w:num w:numId="12">
    <w:abstractNumId w:val="21"/>
  </w:num>
  <w:num w:numId="13">
    <w:abstractNumId w:val="11"/>
  </w:num>
  <w:num w:numId="14">
    <w:abstractNumId w:val="13"/>
  </w:num>
  <w:num w:numId="15">
    <w:abstractNumId w:val="9"/>
  </w:num>
  <w:num w:numId="16">
    <w:abstractNumId w:val="20"/>
  </w:num>
  <w:num w:numId="17">
    <w:abstractNumId w:val="8"/>
  </w:num>
  <w:num w:numId="18">
    <w:abstractNumId w:val="15"/>
  </w:num>
  <w:num w:numId="19">
    <w:abstractNumId w:val="17"/>
  </w:num>
  <w:num w:numId="20">
    <w:abstractNumId w:val="18"/>
  </w:num>
  <w:num w:numId="21">
    <w:abstractNumId w:val="10"/>
  </w:num>
  <w:num w:numId="22">
    <w:abstractNumId w:val="16"/>
  </w:num>
  <w:num w:numId="23">
    <w:abstractNumId w:val="22"/>
  </w:num>
  <w:num w:numId="24">
    <w:abstractNumId w:val="19"/>
  </w:num>
  <w:num w:numId="25">
    <w:abstractNumId w:val="12"/>
  </w:num>
  <w:num w:numId="26">
    <w:abstractNumId w:val="21"/>
  </w:num>
  <w:num w:numId="27">
    <w:abstractNumId w:val="11"/>
  </w:num>
  <w:num w:numId="28">
    <w:abstractNumId w:val="13"/>
  </w:num>
  <w:num w:numId="29">
    <w:abstractNumId w:val="14"/>
  </w:num>
  <w:num w:numId="30">
    <w:abstractNumId w:val="9"/>
  </w:num>
  <w:num w:numId="31">
    <w:abstractNumId w:val="20"/>
  </w:num>
  <w:num w:numId="32">
    <w:abstractNumId w:val="8"/>
  </w:num>
  <w:num w:numId="33">
    <w:abstractNumId w:val="15"/>
  </w:num>
  <w:num w:numId="34">
    <w:abstractNumId w:val="17"/>
  </w:num>
  <w:num w:numId="35">
    <w:abstractNumId w:val="18"/>
  </w:num>
  <w:num w:numId="36">
    <w:abstractNumId w:val="10"/>
  </w:num>
  <w:num w:numId="37">
    <w:abstractNumId w:val="16"/>
  </w:num>
  <w:num w:numId="38">
    <w:abstractNumId w:val="2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0"/>
  <w:hideSpellingErrors/>
  <w:hideGrammaticalErrors/>
  <w:attachedTemplate r:id="rId1"/>
  <w:defaultTabStop w:val="720"/>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R_RefLast" w:val="0"/>
    <w:docVar w:name="DQCDateTime" w:val="2021-08-04 11:27:20"/>
    <w:docVar w:name="DQCResult_Distribution" w:val="0;0"/>
    <w:docVar w:name="DQCResult_DocumentContent" w:val="0;0"/>
    <w:docVar w:name="DQCResult_DocumentSize" w:val="0;0"/>
    <w:docVar w:name="DQCResult_DocumentVersions" w:val="0;0"/>
    <w:docVar w:name="DQCResult_InvalidFootnotes" w:val="0;1"/>
    <w:docVar w:name="DQCResult_LinkedStyles" w:val="0;0"/>
    <w:docVar w:name="DQCResult_ModifiedMargins" w:val="0;1"/>
    <w:docVar w:name="DQCResult_ModifiedMarkers" w:val="0;0"/>
    <w:docVar w:name="DQCResult_ModifiedNumbering" w:val="0;0"/>
    <w:docVar w:name="DQCResult_Objects" w:val="0;0"/>
    <w:docVar w:name="DQCResult_Sections" w:val="0;0"/>
    <w:docVar w:name="DQCResult_StructureCheck" w:val="0;0"/>
    <w:docVar w:name="DQCResult_SuperfluousWhitespace" w:val="0;4"/>
    <w:docVar w:name="DQCResult_UnknownFonts" w:val="0;0"/>
    <w:docVar w:name="DQCResult_UnknownStyles" w:val="0;0"/>
    <w:docVar w:name="DQCStatus" w:val="Green"/>
    <w:docVar w:name="DQCVersion" w:val="3"/>
    <w:docVar w:name="DQCWithWarnings" w:val="0"/>
    <w:docVar w:name="LW_ACCOMPAGNANT" w:val="\u964?\u951?\u962?"/>
    <w:docVar w:name="LW_ACCOMPAGNANT.CP" w:val="\u964?\u951?\u962?"/>
    <w:docVar w:name="LW_ANNEX_NBR_FIRST" w:val="1"/>
    <w:docVar w:name="LW_ANNEX_NBR_LAST" w:val="1"/>
    <w:docVar w:name="LW_ANNEX_UNIQUE" w:val="1"/>
    <w:docVar w:name="LW_CORRIGENDUM" w:val="&lt;UNUSED&gt;"/>
    <w:docVar w:name="LW_COVERPAGE_EXISTS" w:val="True"/>
    <w:docVar w:name="LW_COVERPAGE_GUID" w:val="B5E88AA1-AAD9-4DF3-B1A3-F47E17097852"/>
    <w:docVar w:name="LW_COVERPAGE_TYPE" w:val="1"/>
    <w:docVar w:name="LW_CROSSREFERENCE" w:val="&lt;UNUSED&gt;"/>
    <w:docVar w:name="LW_DocType" w:val="ANNEX"/>
    <w:docVar w:name="LW_EMISSION" w:val="11.8.2021"/>
    <w:docVar w:name="LW_EMISSION_ISODATE" w:val="2021-08-11"/>
    <w:docVar w:name="LW_EMISSION_LOCATION" w:val="BRX"/>
    <w:docVar w:name="LW_EMISSION_PREFIX" w:val="Βρυξέλλες, "/>
    <w:docVar w:name="LW_EMISSION_SUFFIX" w:val=" "/>
    <w:docVar w:name="LW_ID_DOCSTRUCTURE" w:val="COM/ANNEX"/>
    <w:docVar w:name="LW_ID_DOCTYPE" w:val="SG-017"/>
    <w:docVar w:name="LW_LANGUE" w:val="EL"/>
    <w:docVar w:name="LW_LEVEL_OF_SENSITIVITY" w:val="Standard treatment"/>
    <w:docVar w:name="LW_NOM.INST" w:val="\u917?\u933?\u929?\u937?\u928?\u913?\u938?\u922?\u919? \u917?\u928?\u921?\u932?\u929?\u927?\u928?\u919?"/>
    <w:docVar w:name="LW_NOM.INST_JOINTDOC" w:val="&lt;EMPTY&gt;"/>
    <w:docVar w:name="LW_OBJETACTEPRINCIPAL" w:val="&lt;FMT:Font=Calibri Greek&gt;\u947?\u953?\u945? \u964?\u951? \u952?\u941?\u963?\u951? \u960?\u959?\u965? \u960?\u961?\u941?\u960?\u949?\u953? \u957?\u945? \u955?\u951?\u966?\u952?\u949?\u943?, \u949?\u958? \u959?\u957?\u972?\u956?\u945?\u964?\u959?\u962? \u964?\u951?\u962? \u917?\u965?\u961?\u969?\u960?\u945?\u970?\u954?\u942?\u962? \u904?\u957?\u969?\u963?\u951?\u962?, \u963?\u964?\u951? \u924?\u949?\u953?\u954?\u964?\u942? \u917?\u960?\u953?\u964?\u961?\u959?\u960?\u942? \u964?\u959?\u965? \u917?\u927?\u935? \u972?\u963?\u959?\u957? \u945?\u966?\u959?\u961?\u940? \u964?\u951?\u957? \u964?\u961?\u959?\u960?\u959?\u960?\u959?\u943?\u951?\u963?\u951? \u964?\u959?\u965? \u960?\u961?\u969?\u964?\u959?\u954?\u972?\u955?\u955?\u959?\u965? 31 \u964?\u951?\u962? \u963?\u965?\u956?\u966?\u969?\u957?\u943?\u945?\u962? \u917?\u927?\u935? \u963?\u967?\u949?\u964?\u953?\u954?\u940? \u956?\u949? \u964?\u951? \u963?\u965?\u957?\u949?\u961?\u947?\u945?\u963?\u943?\u945? \u963?\u949? \u949?\u953?\u948?\u953?\u954?\u959?\u973?\u962? \u964?\u959?\u956?\u949?\u943?\u962? \u949?\u954?\u964?\u972?\u962? \u964?\u959?\u965? \u960?\u955?\u945?\u953?\u963?\u943?\u959?\u965? \u964?\u969?\u957? \u964?\u949?\u963?\u963?\u940?\u961?\u969?\u957? \u949?\u955?\u949?\u965?\u952?\u949?\u961?\u953?\u974?\u957?&lt;/FMT&gt;_x000d__x000d__x000d__x000d__x000b__x000d__x000d__x000d__x000b_(\u928?\u961?\u972?\u947?\u961?\u945?\u956?\u956?\u945? \u964?\u959?\u965? \u917?\u965?\u961?\u969?\u960?\u945?\u970?\u954?\u959?\u973? \u931?\u974?\u956?\u945?\u964?\u959?\u962? \u913?\u955?\u955?\u951?\u955?\u949?\u947?\u947?\u973?\u951?\u962?)"/>
    <w:docVar w:name="LW_OBJETACTEPRINCIPAL.CP" w:val="&lt;FMT:Font=Calibri Greek&gt;\u947?\u953?\u945? \u964?\u951? \u952?\u941?\u963?\u951? \u960?\u959?\u965? \u960?\u961?\u941?\u960?\u949?\u953? \u957?\u945? \u955?\u951?\u966?\u952?\u949?\u943?, \u949?\u958? \u959?\u957?\u972?\u956?\u945?\u964?\u959?\u962? \u964?\u951?\u962? \u917?\u965?\u961?\u969?\u960?\u945?\u970?\u954?\u942?\u962? \u904?\u957?\u969?\u963?\u951?\u962?, \u963?\u964?\u951? \u924?\u949?\u953?\u954?\u964?\u942? \u917?\u960?\u953?\u964?\u961?\u959?\u960?\u942? \u964?\u959?\u965? \u917?\u927?\u935? \u972?\u963?\u959?\u957? \u945?\u966?\u959?\u961?\u940? \u964?\u951?\u957? \u964?\u961?\u959?\u960?\u959?\u960?\u959?\u943?\u951?\u963?\u951? \u964?\u959?\u965? \u960?\u961?\u969?\u964?\u959?\u954?\u972?\u955?\u955?\u959?\u965? 31 \u964?\u951?\u962? \u963?\u965?\u956?\u966?\u969?\u957?\u943?\u945?\u962? \u917?\u927?\u935? \u963?\u967?\u949?\u964?\u953?\u954?\u940? \u956?\u949? \u964?\u951? \u963?\u965?\u957?\u949?\u961?\u947?\u945?\u963?\u943?\u945? \u963?\u949? \u949?\u953?\u948?\u953?\u954?\u959?\u973?\u962? \u964?\u959?\u956?\u949?\u943?\u962? \u949?\u954?\u964?\u972?\u962? \u964?\u959?\u965? \u960?\u955?\u945?\u953?\u963?\u943?\u959?\u965? \u964?\u969?\u957? \u964?\u949?\u963?\u963?\u940?\u961?\u969?\u957? \u949?\u955?\u949?\u965?\u952?\u949?\u961?\u953?\u974?\u957?&lt;/FMT&gt;_x000d__x000d__x000d__x000d__x000b__x000d__x000d__x000d__x000b_(\u928?\u961?\u972?\u947?\u961?\u945?\u956?\u956?\u945? \u964?\u959?\u965? \u917?\u965?\u961?\u969?\u960?\u945?\u970?\u954?\u959?\u973? \u931?\u974?\u956?\u945?\u964?\u959?\u962? \u913?\u955?\u955?\u951?\u955?\u949?\u947?\u947?\u973?\u951?\u962?)"/>
    <w:docVar w:name="LW_PART_NBR" w:val="1"/>
    <w:docVar w:name="LW_PART_NBR_TOTAL" w:val="1"/>
    <w:docVar w:name="LW_REF.INST.NEW" w:val="COM"/>
    <w:docVar w:name="LW_REF.INST.NEW_ADOPTED" w:val="final"/>
    <w:docVar w:name="LW_REF.INST.NEW_TEXT" w:val="(2021) 466"/>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UPERTITRE" w:val="&lt;UNUSED&gt;"/>
    <w:docVar w:name="LW_TYPE.DOC" w:val="\u928?\u913?\u929?\u913?\u929?\u932?\u919?\u924?\u913?"/>
    <w:docVar w:name="LW_TYPE.DOC.CP" w:val="\u928?\u913?\u929?\u913?\u929?\u932?\u919?\u924?\u913?"/>
    <w:docVar w:name="LW_TYPEACTEPRINCIPAL" w:val="\u928?\u961?\u972?\u964?\u945?\u963?\u951?\u962? \u947?\u953?\u945? \u913?\u928?\u927?\u934?\u913?\u931?\u919? \u932?\u927?\u933? \u931?\u933?\u924?\u914?\u927?\u933?\u923?\u921?\u927?\u933?"/>
    <w:docVar w:name="LW_TYPEACTEPRINCIPAL.CP" w:val="\u928?\u961?\u972?\u964?\u945?\u963?\u951?\u962? \u947?\u953?\u945? \u913?\u928?\u927?\u934?\u913?\u931?\u919? \u932?\u927?\u933? \u931?\u933?\u924?\u914?\u927?\u933?\u923?\u921?\u927?\u933?"/>
    <w:docVar w:name="LwApiVersions" w:val="LW4CoDe 1.23.0.0; LW 8.0, Build 20210114"/>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lang w:val="el-GR"/>
    </w:rPr>
  </w:style>
  <w:style w:type="paragraph" w:styleId="Heading1">
    <w:name w:val="heading 1"/>
    <w:basedOn w:val="Normal"/>
    <w:next w:val="Text1"/>
    <w:link w:val="Heading1Char"/>
    <w:uiPriority w:val="9"/>
    <w:qFormat/>
    <w:pPr>
      <w:keepNext/>
      <w:numPr>
        <w:numId w:val="31"/>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31"/>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31"/>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31"/>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31"/>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31"/>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31"/>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semiHidden/>
    <w:unhideWhenUsed/>
    <w:pPr>
      <w:numPr>
        <w:numId w:val="1"/>
      </w:numPr>
      <w:contextualSpacing/>
    </w:pPr>
  </w:style>
  <w:style w:type="paragraph" w:styleId="ListBullet2">
    <w:name w:val="List Bullet 2"/>
    <w:basedOn w:val="Normal"/>
    <w:uiPriority w:val="99"/>
    <w:semiHidden/>
    <w:unhideWhenUsed/>
    <w:pPr>
      <w:numPr>
        <w:numId w:val="2"/>
      </w:numPr>
      <w:contextualSpacing/>
    </w:pPr>
  </w:style>
  <w:style w:type="paragraph" w:styleId="ListBullet3">
    <w:name w:val="List Bullet 3"/>
    <w:basedOn w:val="Normal"/>
    <w:uiPriority w:val="99"/>
    <w:semiHidden/>
    <w:unhideWhenUsed/>
    <w:pPr>
      <w:numPr>
        <w:numId w:val="3"/>
      </w:numPr>
      <w:contextualSpacing/>
    </w:pPr>
  </w:style>
  <w:style w:type="paragraph" w:styleId="ListBullet4">
    <w:name w:val="List Bullet 4"/>
    <w:basedOn w:val="Normal"/>
    <w:uiPriority w:val="99"/>
    <w:semiHidden/>
    <w:unhideWhenUsed/>
    <w:pPr>
      <w:numPr>
        <w:numId w:val="4"/>
      </w:numPr>
      <w:contextualSpacing/>
    </w:pPr>
  </w:style>
  <w:style w:type="paragraph" w:styleId="ListParagraph">
    <w:name w:val="List Paragraph"/>
    <w:basedOn w:val="Normal"/>
    <w:uiPriority w:val="34"/>
    <w:qFormat/>
    <w:pPr>
      <w:spacing w:before="0" w:after="200" w:line="276" w:lineRule="auto"/>
      <w:ind w:left="720"/>
      <w:contextualSpacing/>
      <w:jc w:val="left"/>
    </w:pPr>
    <w:rPr>
      <w:rFonts w:cstheme="minorBidi"/>
      <w:szCs w:val="20"/>
    </w:rPr>
  </w:style>
  <w:style w:type="paragraph" w:customStyle="1" w:styleId="Articleheading">
    <w:name w:val="Article heading"/>
    <w:basedOn w:val="Normal"/>
    <w:link w:val="ArticleheadingChar"/>
    <w:qFormat/>
    <w:pPr>
      <w:keepNext/>
      <w:tabs>
        <w:tab w:val="left" w:pos="709"/>
      </w:tabs>
      <w:spacing w:before="360"/>
      <w:jc w:val="center"/>
    </w:pPr>
    <w:rPr>
      <w:i/>
      <w:color w:val="000000" w:themeColor="text1"/>
      <w:szCs w:val="24"/>
    </w:rPr>
  </w:style>
  <w:style w:type="paragraph" w:customStyle="1" w:styleId="Articletext">
    <w:name w:val="Article text"/>
    <w:basedOn w:val="Articleheading"/>
    <w:link w:val="ArticletextChar"/>
    <w:qFormat/>
    <w:pPr>
      <w:keepNext w:val="0"/>
      <w:spacing w:before="120"/>
      <w:jc w:val="both"/>
    </w:pPr>
    <w:rPr>
      <w:i w:val="0"/>
    </w:rPr>
  </w:style>
  <w:style w:type="character" w:customStyle="1" w:styleId="ArticleheadingChar">
    <w:name w:val="Article heading Char"/>
    <w:basedOn w:val="DefaultParagraphFont"/>
    <w:link w:val="Articleheading"/>
    <w:rPr>
      <w:rFonts w:ascii="Times New Roman" w:hAnsi="Times New Roman" w:cs="Times New Roman"/>
      <w:i/>
      <w:color w:val="000000" w:themeColor="text1"/>
      <w:sz w:val="24"/>
      <w:szCs w:val="24"/>
    </w:rPr>
  </w:style>
  <w:style w:type="character" w:customStyle="1" w:styleId="ArticletextChar">
    <w:name w:val="Article text Char"/>
    <w:basedOn w:val="ArticleheadingChar"/>
    <w:link w:val="Articletext"/>
    <w:rPr>
      <w:rFonts w:ascii="Times New Roman" w:hAnsi="Times New Roman" w:cs="Times New Roman"/>
      <w:i w:val="0"/>
      <w:color w:val="000000" w:themeColor="text1"/>
      <w:sz w:val="24"/>
      <w:szCs w:val="24"/>
    </w:rPr>
  </w:style>
  <w:style w:type="character" w:customStyle="1" w:styleId="Point1Char">
    <w:name w:val="Point 1 Char"/>
    <w:basedOn w:val="ArticletextChar"/>
    <w:rPr>
      <w:rFonts w:ascii="Times New Roman" w:hAnsi="Times New Roman" w:cs="Times New Roman"/>
      <w:i w:val="0"/>
      <w:color w:val="000000" w:themeColor="text1"/>
      <w:sz w:val="24"/>
      <w:szCs w:val="24"/>
      <w:lang w:val="el-GR"/>
    </w:rPr>
  </w:style>
  <w:style w:type="paragraph" w:customStyle="1" w:styleId="Point4b">
    <w:name w:val="Point 4b"/>
    <w:basedOn w:val="Point4"/>
    <w:qFormat/>
    <w:pPr>
      <w:tabs>
        <w:tab w:val="left" w:pos="1453"/>
      </w:tabs>
      <w:ind w:left="2552" w:firstLine="0"/>
      <w:jc w:val="left"/>
    </w:pPr>
    <w:rPr>
      <w:rFonts w:cstheme="minorBidi"/>
      <w:szCs w:val="20"/>
    </w:rPr>
  </w:style>
  <w:style w:type="paragraph" w:styleId="Caption">
    <w:name w:val="caption"/>
    <w:basedOn w:val="Normal"/>
    <w:next w:val="Normal"/>
    <w:uiPriority w:val="35"/>
    <w:semiHidden/>
    <w:unhideWhenUsed/>
    <w:qFormat/>
    <w:pPr>
      <w:spacing w:before="0" w:after="200"/>
    </w:pPr>
    <w:rPr>
      <w:i/>
      <w:iCs/>
      <w:color w:val="1F497D" w:themeColor="text2"/>
      <w:sz w:val="18"/>
      <w:szCs w:val="18"/>
    </w:rPr>
  </w:style>
  <w:style w:type="paragraph" w:styleId="TableofFigures">
    <w:name w:val="table of figures"/>
    <w:basedOn w:val="Normal"/>
    <w:next w:val="Normal"/>
    <w:uiPriority w:val="99"/>
    <w:semiHidden/>
    <w:unhideWhenUsed/>
    <w:pPr>
      <w:spacing w:after="0"/>
    </w:pPr>
  </w:style>
  <w:style w:type="paragraph" w:styleId="ListNumber">
    <w:name w:val="List Number"/>
    <w:basedOn w:val="Normal"/>
    <w:uiPriority w:val="99"/>
    <w:semiHidden/>
    <w:unhideWhenUsed/>
    <w:pPr>
      <w:numPr>
        <w:numId w:val="5"/>
      </w:numPr>
      <w:contextualSpacing/>
    </w:pPr>
  </w:style>
  <w:style w:type="paragraph" w:styleId="ListNumber2">
    <w:name w:val="List Number 2"/>
    <w:basedOn w:val="Normal"/>
    <w:uiPriority w:val="99"/>
    <w:semiHidden/>
    <w:unhideWhenUsed/>
    <w:pPr>
      <w:numPr>
        <w:numId w:val="6"/>
      </w:numPr>
      <w:contextualSpacing/>
    </w:pPr>
  </w:style>
  <w:style w:type="paragraph" w:styleId="ListNumber3">
    <w:name w:val="List Number 3"/>
    <w:basedOn w:val="Normal"/>
    <w:uiPriority w:val="99"/>
    <w:semiHidden/>
    <w:unhideWhenUsed/>
    <w:pPr>
      <w:numPr>
        <w:numId w:val="7"/>
      </w:numPr>
      <w:contextualSpacing/>
    </w:pPr>
  </w:style>
  <w:style w:type="paragraph" w:styleId="ListNumber4">
    <w:name w:val="List Number 4"/>
    <w:basedOn w:val="Normal"/>
    <w:uiPriority w:val="99"/>
    <w:semiHidden/>
    <w:unhideWhenUsed/>
    <w:pPr>
      <w:numPr>
        <w:numId w:val="8"/>
      </w:numPr>
      <w:contextualSpacing/>
    </w:p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hAnsi="Times New Roman" w:cs="Times New Roman"/>
      <w:sz w:val="20"/>
      <w:szCs w:val="20"/>
      <w:lang w:val="el-GR"/>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el-GR"/>
    </w:rPr>
  </w:style>
  <w:style w:type="paragraph" w:styleId="BalloonText">
    <w:name w:val="Balloon Text"/>
    <w:basedOn w:val="Normal"/>
    <w:link w:val="BalloonTextChar"/>
    <w:uiPriority w:val="99"/>
    <w:semiHidden/>
    <w:unhideWhenUsed/>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lang w:val="el-GR"/>
    </w:rPr>
  </w:style>
  <w:style w:type="character" w:styleId="Hyperlink">
    <w:name w:val="Hyperlink"/>
    <w:basedOn w:val="DefaultParagraphFont"/>
    <w:uiPriority w:val="99"/>
    <w:unhideWhenUsed/>
    <w:rPr>
      <w:color w:val="0000FF" w:themeColor="hyperlink"/>
      <w:u w:val="single"/>
    </w:rPr>
  </w:style>
  <w:style w:type="character" w:customStyle="1" w:styleId="Point0Char">
    <w:name w:val="Point 0 Char"/>
    <w:basedOn w:val="Point1Char"/>
    <w:rPr>
      <w:rFonts w:ascii="Times New Roman" w:hAnsi="Times New Roman" w:cs="Times New Roman"/>
      <w:i w:val="0"/>
      <w:color w:val="000000" w:themeColor="text1"/>
      <w:sz w:val="24"/>
      <w:szCs w:val="24"/>
      <w:lang w:val="el-GR"/>
    </w:rPr>
  </w:style>
  <w:style w:type="character" w:customStyle="1" w:styleId="Point2Char">
    <w:name w:val="Point 2 Char"/>
    <w:basedOn w:val="DefaultParagraphFont"/>
    <w:rPr>
      <w:rFonts w:ascii="Times New Roman" w:hAnsi="Times New Roman" w:cs="Times New Roman"/>
      <w:sz w:val="24"/>
      <w:lang w:val="el-GR"/>
    </w:rPr>
  </w:style>
  <w:style w:type="paragraph" w:styleId="Header">
    <w:name w:val="header"/>
    <w:basedOn w:val="Normal"/>
    <w:link w:val="HeaderChar"/>
    <w:uiPriority w:val="99"/>
    <w:unhideWhenUsed/>
    <w:pPr>
      <w:tabs>
        <w:tab w:val="center" w:pos="4535"/>
        <w:tab w:val="right" w:pos="9071"/>
      </w:tabs>
      <w:spacing w:before="0"/>
    </w:pPr>
  </w:style>
  <w:style w:type="character" w:customStyle="1" w:styleId="HeaderChar">
    <w:name w:val="Header Char"/>
    <w:basedOn w:val="DefaultParagraphFont"/>
    <w:link w:val="Header"/>
    <w:uiPriority w:val="99"/>
    <w:rPr>
      <w:rFonts w:ascii="Times New Roman" w:hAnsi="Times New Roman" w:cs="Times New Roman"/>
      <w:sz w:val="24"/>
      <w:lang w:val="el-GR"/>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lang w:val="el-GR"/>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shd w:val="clear" w:color="auto" w:fill="auto"/>
      <w:lang w:val="en-GB"/>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shd w:val="clear" w:color="auto" w:fill="auto"/>
      <w:lang w:val="en-GB"/>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pPr>
      <w:spacing w:before="0"/>
      <w:jc w:val="right"/>
    </w:pPr>
    <w:rPr>
      <w:sz w:val="28"/>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24"/>
      </w:numPr>
    </w:pPr>
  </w:style>
  <w:style w:type="paragraph" w:customStyle="1" w:styleId="Tiret1">
    <w:name w:val="Tiret 1"/>
    <w:basedOn w:val="Point1"/>
    <w:pPr>
      <w:numPr>
        <w:numId w:val="25"/>
      </w:numPr>
    </w:pPr>
  </w:style>
  <w:style w:type="paragraph" w:customStyle="1" w:styleId="Tiret2">
    <w:name w:val="Tiret 2"/>
    <w:basedOn w:val="Point2"/>
    <w:pPr>
      <w:numPr>
        <w:numId w:val="26"/>
      </w:numPr>
    </w:pPr>
  </w:style>
  <w:style w:type="paragraph" w:customStyle="1" w:styleId="Tiret3">
    <w:name w:val="Tiret 3"/>
    <w:basedOn w:val="Point3"/>
    <w:pPr>
      <w:numPr>
        <w:numId w:val="27"/>
      </w:numPr>
    </w:pPr>
  </w:style>
  <w:style w:type="paragraph" w:customStyle="1" w:styleId="Tiret4">
    <w:name w:val="Tiret 4"/>
    <w:basedOn w:val="Point4"/>
    <w:pPr>
      <w:numPr>
        <w:numId w:val="28"/>
      </w:numPr>
    </w:pPr>
  </w:style>
  <w:style w:type="paragraph" w:customStyle="1" w:styleId="Tiret5">
    <w:name w:val="Tiret 5"/>
    <w:basedOn w:val="Point5"/>
    <w:pPr>
      <w:numPr>
        <w:numId w:val="29"/>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30"/>
      </w:numPr>
    </w:pPr>
  </w:style>
  <w:style w:type="paragraph" w:customStyle="1" w:styleId="NumPar2">
    <w:name w:val="NumPar 2"/>
    <w:basedOn w:val="Normal"/>
    <w:next w:val="Text1"/>
    <w:pPr>
      <w:numPr>
        <w:ilvl w:val="1"/>
        <w:numId w:val="30"/>
      </w:numPr>
    </w:pPr>
  </w:style>
  <w:style w:type="paragraph" w:customStyle="1" w:styleId="NumPar3">
    <w:name w:val="NumPar 3"/>
    <w:basedOn w:val="Normal"/>
    <w:next w:val="Text1"/>
    <w:pPr>
      <w:numPr>
        <w:ilvl w:val="2"/>
        <w:numId w:val="30"/>
      </w:numPr>
    </w:pPr>
  </w:style>
  <w:style w:type="paragraph" w:customStyle="1" w:styleId="NumPar4">
    <w:name w:val="NumPar 4"/>
    <w:basedOn w:val="Normal"/>
    <w:next w:val="Text1"/>
    <w:pPr>
      <w:numPr>
        <w:ilvl w:val="3"/>
        <w:numId w:val="30"/>
      </w:numPr>
    </w:pPr>
  </w:style>
  <w:style w:type="paragraph" w:customStyle="1" w:styleId="NumPar5">
    <w:name w:val="NumPar 5"/>
    <w:basedOn w:val="Normal"/>
    <w:next w:val="Text2"/>
    <w:pPr>
      <w:numPr>
        <w:ilvl w:val="4"/>
        <w:numId w:val="30"/>
      </w:numPr>
    </w:pPr>
  </w:style>
  <w:style w:type="paragraph" w:customStyle="1" w:styleId="NumPar6">
    <w:name w:val="NumPar 6"/>
    <w:basedOn w:val="Normal"/>
    <w:next w:val="Text2"/>
    <w:pPr>
      <w:numPr>
        <w:ilvl w:val="5"/>
        <w:numId w:val="30"/>
      </w:numPr>
    </w:pPr>
  </w:style>
  <w:style w:type="paragraph" w:customStyle="1" w:styleId="NumPar7">
    <w:name w:val="NumPar 7"/>
    <w:basedOn w:val="Normal"/>
    <w:next w:val="Text2"/>
    <w:pPr>
      <w:numPr>
        <w:ilvl w:val="6"/>
        <w:numId w:val="30"/>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32"/>
      </w:numPr>
    </w:pPr>
  </w:style>
  <w:style w:type="paragraph" w:customStyle="1" w:styleId="Point1number">
    <w:name w:val="Point 1 (number)"/>
    <w:basedOn w:val="Normal"/>
    <w:pPr>
      <w:numPr>
        <w:ilvl w:val="2"/>
        <w:numId w:val="32"/>
      </w:numPr>
    </w:pPr>
  </w:style>
  <w:style w:type="paragraph" w:customStyle="1" w:styleId="Point2number">
    <w:name w:val="Point 2 (number)"/>
    <w:basedOn w:val="Normal"/>
    <w:pPr>
      <w:numPr>
        <w:ilvl w:val="4"/>
        <w:numId w:val="32"/>
      </w:numPr>
    </w:pPr>
  </w:style>
  <w:style w:type="paragraph" w:customStyle="1" w:styleId="Point3number">
    <w:name w:val="Point 3 (number)"/>
    <w:basedOn w:val="Normal"/>
    <w:pPr>
      <w:numPr>
        <w:ilvl w:val="6"/>
        <w:numId w:val="32"/>
      </w:numPr>
    </w:pPr>
  </w:style>
  <w:style w:type="paragraph" w:customStyle="1" w:styleId="Point0letter">
    <w:name w:val="Point 0 (letter)"/>
    <w:basedOn w:val="Normal"/>
    <w:pPr>
      <w:numPr>
        <w:ilvl w:val="1"/>
        <w:numId w:val="32"/>
      </w:numPr>
    </w:pPr>
  </w:style>
  <w:style w:type="paragraph" w:customStyle="1" w:styleId="Point1letter">
    <w:name w:val="Point 1 (letter)"/>
    <w:basedOn w:val="Normal"/>
    <w:pPr>
      <w:numPr>
        <w:ilvl w:val="3"/>
        <w:numId w:val="32"/>
      </w:numPr>
    </w:pPr>
  </w:style>
  <w:style w:type="paragraph" w:customStyle="1" w:styleId="Point2letter">
    <w:name w:val="Point 2 (letter)"/>
    <w:basedOn w:val="Normal"/>
    <w:pPr>
      <w:numPr>
        <w:ilvl w:val="5"/>
        <w:numId w:val="32"/>
      </w:numPr>
    </w:pPr>
  </w:style>
  <w:style w:type="paragraph" w:customStyle="1" w:styleId="Point3letter">
    <w:name w:val="Point 3 (letter)"/>
    <w:basedOn w:val="Normal"/>
    <w:pPr>
      <w:numPr>
        <w:ilvl w:val="7"/>
        <w:numId w:val="32"/>
      </w:numPr>
    </w:pPr>
  </w:style>
  <w:style w:type="paragraph" w:customStyle="1" w:styleId="Point4letter">
    <w:name w:val="Point 4 (letter)"/>
    <w:basedOn w:val="Normal"/>
    <w:pPr>
      <w:numPr>
        <w:ilvl w:val="8"/>
        <w:numId w:val="32"/>
      </w:numPr>
    </w:pPr>
  </w:style>
  <w:style w:type="paragraph" w:customStyle="1" w:styleId="Bullet0">
    <w:name w:val="Bullet 0"/>
    <w:basedOn w:val="Normal"/>
    <w:pPr>
      <w:numPr>
        <w:numId w:val="33"/>
      </w:numPr>
    </w:pPr>
  </w:style>
  <w:style w:type="paragraph" w:customStyle="1" w:styleId="Bullet1">
    <w:name w:val="Bullet 1"/>
    <w:basedOn w:val="Normal"/>
    <w:pPr>
      <w:numPr>
        <w:numId w:val="34"/>
      </w:numPr>
    </w:pPr>
  </w:style>
  <w:style w:type="paragraph" w:customStyle="1" w:styleId="Bullet2">
    <w:name w:val="Bullet 2"/>
    <w:basedOn w:val="Normal"/>
    <w:pPr>
      <w:numPr>
        <w:numId w:val="35"/>
      </w:numPr>
    </w:pPr>
  </w:style>
  <w:style w:type="paragraph" w:customStyle="1" w:styleId="Bullet3">
    <w:name w:val="Bullet 3"/>
    <w:basedOn w:val="Normal"/>
    <w:pPr>
      <w:numPr>
        <w:numId w:val="36"/>
      </w:numPr>
    </w:pPr>
  </w:style>
  <w:style w:type="paragraph" w:customStyle="1" w:styleId="Bullet4">
    <w:name w:val="Bullet 4"/>
    <w:basedOn w:val="Normal"/>
    <w:pPr>
      <w:numPr>
        <w:numId w:val="37"/>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38"/>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IntrtEEE"/>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0" w:after="240"/>
      <w:jc w:val="center"/>
    </w:pPr>
  </w:style>
  <w:style w:type="paragraph" w:customStyle="1" w:styleId="Titrearticle">
    <w:name w:val="Titre article"/>
    <w:basedOn w:val="Normal"/>
    <w:next w:val="Normal"/>
    <w:pPr>
      <w:keepNext/>
      <w:spacing w:before="360"/>
      <w:jc w:val="center"/>
    </w:pPr>
    <w:rPr>
      <w:i/>
    </w:rPr>
  </w:style>
  <w:style w:type="paragraph" w:customStyle="1" w:styleId="Typedudocument">
    <w:name w:val="Type du document"/>
    <w:basedOn w:val="Normal"/>
    <w:next w:val="Accompagnant"/>
    <w:pPr>
      <w:spacing w:before="360" w:after="18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IntrtEEE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ypedudocumentPagedecouverture">
    <w:name w:val="Type du document (Page de couverture)"/>
    <w:basedOn w:val="Typedudocument"/>
    <w:next w:val="Accompagnan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180" w:after="240"/>
      <w:jc w:val="center"/>
    </w:pPr>
    <w:rPr>
      <w:b/>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lang w:val="el-GR"/>
    </w:rPr>
  </w:style>
  <w:style w:type="paragraph" w:styleId="Heading1">
    <w:name w:val="heading 1"/>
    <w:basedOn w:val="Normal"/>
    <w:next w:val="Text1"/>
    <w:link w:val="Heading1Char"/>
    <w:uiPriority w:val="9"/>
    <w:qFormat/>
    <w:pPr>
      <w:keepNext/>
      <w:numPr>
        <w:numId w:val="31"/>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31"/>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31"/>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31"/>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31"/>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31"/>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31"/>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semiHidden/>
    <w:unhideWhenUsed/>
    <w:pPr>
      <w:numPr>
        <w:numId w:val="1"/>
      </w:numPr>
      <w:contextualSpacing/>
    </w:pPr>
  </w:style>
  <w:style w:type="paragraph" w:styleId="ListBullet2">
    <w:name w:val="List Bullet 2"/>
    <w:basedOn w:val="Normal"/>
    <w:uiPriority w:val="99"/>
    <w:semiHidden/>
    <w:unhideWhenUsed/>
    <w:pPr>
      <w:numPr>
        <w:numId w:val="2"/>
      </w:numPr>
      <w:contextualSpacing/>
    </w:pPr>
  </w:style>
  <w:style w:type="paragraph" w:styleId="ListBullet3">
    <w:name w:val="List Bullet 3"/>
    <w:basedOn w:val="Normal"/>
    <w:uiPriority w:val="99"/>
    <w:semiHidden/>
    <w:unhideWhenUsed/>
    <w:pPr>
      <w:numPr>
        <w:numId w:val="3"/>
      </w:numPr>
      <w:contextualSpacing/>
    </w:pPr>
  </w:style>
  <w:style w:type="paragraph" w:styleId="ListBullet4">
    <w:name w:val="List Bullet 4"/>
    <w:basedOn w:val="Normal"/>
    <w:uiPriority w:val="99"/>
    <w:semiHidden/>
    <w:unhideWhenUsed/>
    <w:pPr>
      <w:numPr>
        <w:numId w:val="4"/>
      </w:numPr>
      <w:contextualSpacing/>
    </w:pPr>
  </w:style>
  <w:style w:type="paragraph" w:styleId="ListParagraph">
    <w:name w:val="List Paragraph"/>
    <w:basedOn w:val="Normal"/>
    <w:uiPriority w:val="34"/>
    <w:qFormat/>
    <w:pPr>
      <w:spacing w:before="0" w:after="200" w:line="276" w:lineRule="auto"/>
      <w:ind w:left="720"/>
      <w:contextualSpacing/>
      <w:jc w:val="left"/>
    </w:pPr>
    <w:rPr>
      <w:rFonts w:cstheme="minorBidi"/>
      <w:szCs w:val="20"/>
    </w:rPr>
  </w:style>
  <w:style w:type="paragraph" w:customStyle="1" w:styleId="Articleheading">
    <w:name w:val="Article heading"/>
    <w:basedOn w:val="Normal"/>
    <w:link w:val="ArticleheadingChar"/>
    <w:qFormat/>
    <w:pPr>
      <w:keepNext/>
      <w:tabs>
        <w:tab w:val="left" w:pos="709"/>
      </w:tabs>
      <w:spacing w:before="360"/>
      <w:jc w:val="center"/>
    </w:pPr>
    <w:rPr>
      <w:i/>
      <w:color w:val="000000" w:themeColor="text1"/>
      <w:szCs w:val="24"/>
    </w:rPr>
  </w:style>
  <w:style w:type="paragraph" w:customStyle="1" w:styleId="Articletext">
    <w:name w:val="Article text"/>
    <w:basedOn w:val="Articleheading"/>
    <w:link w:val="ArticletextChar"/>
    <w:qFormat/>
    <w:pPr>
      <w:keepNext w:val="0"/>
      <w:spacing w:before="120"/>
      <w:jc w:val="both"/>
    </w:pPr>
    <w:rPr>
      <w:i w:val="0"/>
    </w:rPr>
  </w:style>
  <w:style w:type="character" w:customStyle="1" w:styleId="ArticleheadingChar">
    <w:name w:val="Article heading Char"/>
    <w:basedOn w:val="DefaultParagraphFont"/>
    <w:link w:val="Articleheading"/>
    <w:rPr>
      <w:rFonts w:ascii="Times New Roman" w:hAnsi="Times New Roman" w:cs="Times New Roman"/>
      <w:i/>
      <w:color w:val="000000" w:themeColor="text1"/>
      <w:sz w:val="24"/>
      <w:szCs w:val="24"/>
    </w:rPr>
  </w:style>
  <w:style w:type="character" w:customStyle="1" w:styleId="ArticletextChar">
    <w:name w:val="Article text Char"/>
    <w:basedOn w:val="ArticleheadingChar"/>
    <w:link w:val="Articletext"/>
    <w:rPr>
      <w:rFonts w:ascii="Times New Roman" w:hAnsi="Times New Roman" w:cs="Times New Roman"/>
      <w:i w:val="0"/>
      <w:color w:val="000000" w:themeColor="text1"/>
      <w:sz w:val="24"/>
      <w:szCs w:val="24"/>
    </w:rPr>
  </w:style>
  <w:style w:type="character" w:customStyle="1" w:styleId="Point1Char">
    <w:name w:val="Point 1 Char"/>
    <w:basedOn w:val="ArticletextChar"/>
    <w:rPr>
      <w:rFonts w:ascii="Times New Roman" w:hAnsi="Times New Roman" w:cs="Times New Roman"/>
      <w:i w:val="0"/>
      <w:color w:val="000000" w:themeColor="text1"/>
      <w:sz w:val="24"/>
      <w:szCs w:val="24"/>
      <w:lang w:val="el-GR"/>
    </w:rPr>
  </w:style>
  <w:style w:type="paragraph" w:customStyle="1" w:styleId="Point4b">
    <w:name w:val="Point 4b"/>
    <w:basedOn w:val="Point4"/>
    <w:qFormat/>
    <w:pPr>
      <w:tabs>
        <w:tab w:val="left" w:pos="1453"/>
      </w:tabs>
      <w:ind w:left="2552" w:firstLine="0"/>
      <w:jc w:val="left"/>
    </w:pPr>
    <w:rPr>
      <w:rFonts w:cstheme="minorBidi"/>
      <w:szCs w:val="20"/>
    </w:rPr>
  </w:style>
  <w:style w:type="paragraph" w:styleId="Caption">
    <w:name w:val="caption"/>
    <w:basedOn w:val="Normal"/>
    <w:next w:val="Normal"/>
    <w:uiPriority w:val="35"/>
    <w:semiHidden/>
    <w:unhideWhenUsed/>
    <w:qFormat/>
    <w:pPr>
      <w:spacing w:before="0" w:after="200"/>
    </w:pPr>
    <w:rPr>
      <w:i/>
      <w:iCs/>
      <w:color w:val="1F497D" w:themeColor="text2"/>
      <w:sz w:val="18"/>
      <w:szCs w:val="18"/>
    </w:rPr>
  </w:style>
  <w:style w:type="paragraph" w:styleId="TableofFigures">
    <w:name w:val="table of figures"/>
    <w:basedOn w:val="Normal"/>
    <w:next w:val="Normal"/>
    <w:uiPriority w:val="99"/>
    <w:semiHidden/>
    <w:unhideWhenUsed/>
    <w:pPr>
      <w:spacing w:after="0"/>
    </w:pPr>
  </w:style>
  <w:style w:type="paragraph" w:styleId="ListNumber">
    <w:name w:val="List Number"/>
    <w:basedOn w:val="Normal"/>
    <w:uiPriority w:val="99"/>
    <w:semiHidden/>
    <w:unhideWhenUsed/>
    <w:pPr>
      <w:numPr>
        <w:numId w:val="5"/>
      </w:numPr>
      <w:contextualSpacing/>
    </w:pPr>
  </w:style>
  <w:style w:type="paragraph" w:styleId="ListNumber2">
    <w:name w:val="List Number 2"/>
    <w:basedOn w:val="Normal"/>
    <w:uiPriority w:val="99"/>
    <w:semiHidden/>
    <w:unhideWhenUsed/>
    <w:pPr>
      <w:numPr>
        <w:numId w:val="6"/>
      </w:numPr>
      <w:contextualSpacing/>
    </w:pPr>
  </w:style>
  <w:style w:type="paragraph" w:styleId="ListNumber3">
    <w:name w:val="List Number 3"/>
    <w:basedOn w:val="Normal"/>
    <w:uiPriority w:val="99"/>
    <w:semiHidden/>
    <w:unhideWhenUsed/>
    <w:pPr>
      <w:numPr>
        <w:numId w:val="7"/>
      </w:numPr>
      <w:contextualSpacing/>
    </w:pPr>
  </w:style>
  <w:style w:type="paragraph" w:styleId="ListNumber4">
    <w:name w:val="List Number 4"/>
    <w:basedOn w:val="Normal"/>
    <w:uiPriority w:val="99"/>
    <w:semiHidden/>
    <w:unhideWhenUsed/>
    <w:pPr>
      <w:numPr>
        <w:numId w:val="8"/>
      </w:numPr>
      <w:contextualSpacing/>
    </w:p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hAnsi="Times New Roman" w:cs="Times New Roman"/>
      <w:sz w:val="20"/>
      <w:szCs w:val="20"/>
      <w:lang w:val="el-GR"/>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el-GR"/>
    </w:rPr>
  </w:style>
  <w:style w:type="paragraph" w:styleId="BalloonText">
    <w:name w:val="Balloon Text"/>
    <w:basedOn w:val="Normal"/>
    <w:link w:val="BalloonTextChar"/>
    <w:uiPriority w:val="99"/>
    <w:semiHidden/>
    <w:unhideWhenUsed/>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lang w:val="el-GR"/>
    </w:rPr>
  </w:style>
  <w:style w:type="character" w:styleId="Hyperlink">
    <w:name w:val="Hyperlink"/>
    <w:basedOn w:val="DefaultParagraphFont"/>
    <w:uiPriority w:val="99"/>
    <w:unhideWhenUsed/>
    <w:rPr>
      <w:color w:val="0000FF" w:themeColor="hyperlink"/>
      <w:u w:val="single"/>
    </w:rPr>
  </w:style>
  <w:style w:type="character" w:customStyle="1" w:styleId="Point0Char">
    <w:name w:val="Point 0 Char"/>
    <w:basedOn w:val="Point1Char"/>
    <w:rPr>
      <w:rFonts w:ascii="Times New Roman" w:hAnsi="Times New Roman" w:cs="Times New Roman"/>
      <w:i w:val="0"/>
      <w:color w:val="000000" w:themeColor="text1"/>
      <w:sz w:val="24"/>
      <w:szCs w:val="24"/>
      <w:lang w:val="el-GR"/>
    </w:rPr>
  </w:style>
  <w:style w:type="character" w:customStyle="1" w:styleId="Point2Char">
    <w:name w:val="Point 2 Char"/>
    <w:basedOn w:val="DefaultParagraphFont"/>
    <w:rPr>
      <w:rFonts w:ascii="Times New Roman" w:hAnsi="Times New Roman" w:cs="Times New Roman"/>
      <w:sz w:val="24"/>
      <w:lang w:val="el-GR"/>
    </w:rPr>
  </w:style>
  <w:style w:type="paragraph" w:styleId="Header">
    <w:name w:val="header"/>
    <w:basedOn w:val="Normal"/>
    <w:link w:val="HeaderChar"/>
    <w:uiPriority w:val="99"/>
    <w:unhideWhenUsed/>
    <w:pPr>
      <w:tabs>
        <w:tab w:val="center" w:pos="4535"/>
        <w:tab w:val="right" w:pos="9071"/>
      </w:tabs>
      <w:spacing w:before="0"/>
    </w:pPr>
  </w:style>
  <w:style w:type="character" w:customStyle="1" w:styleId="HeaderChar">
    <w:name w:val="Header Char"/>
    <w:basedOn w:val="DefaultParagraphFont"/>
    <w:link w:val="Header"/>
    <w:uiPriority w:val="99"/>
    <w:rPr>
      <w:rFonts w:ascii="Times New Roman" w:hAnsi="Times New Roman" w:cs="Times New Roman"/>
      <w:sz w:val="24"/>
      <w:lang w:val="el-GR"/>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lang w:val="el-GR"/>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shd w:val="clear" w:color="auto" w:fill="auto"/>
      <w:lang w:val="en-GB"/>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shd w:val="clear" w:color="auto" w:fill="auto"/>
      <w:lang w:val="en-GB"/>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pPr>
      <w:spacing w:before="0"/>
      <w:jc w:val="right"/>
    </w:pPr>
    <w:rPr>
      <w:sz w:val="28"/>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24"/>
      </w:numPr>
    </w:pPr>
  </w:style>
  <w:style w:type="paragraph" w:customStyle="1" w:styleId="Tiret1">
    <w:name w:val="Tiret 1"/>
    <w:basedOn w:val="Point1"/>
    <w:pPr>
      <w:numPr>
        <w:numId w:val="25"/>
      </w:numPr>
    </w:pPr>
  </w:style>
  <w:style w:type="paragraph" w:customStyle="1" w:styleId="Tiret2">
    <w:name w:val="Tiret 2"/>
    <w:basedOn w:val="Point2"/>
    <w:pPr>
      <w:numPr>
        <w:numId w:val="26"/>
      </w:numPr>
    </w:pPr>
  </w:style>
  <w:style w:type="paragraph" w:customStyle="1" w:styleId="Tiret3">
    <w:name w:val="Tiret 3"/>
    <w:basedOn w:val="Point3"/>
    <w:pPr>
      <w:numPr>
        <w:numId w:val="27"/>
      </w:numPr>
    </w:pPr>
  </w:style>
  <w:style w:type="paragraph" w:customStyle="1" w:styleId="Tiret4">
    <w:name w:val="Tiret 4"/>
    <w:basedOn w:val="Point4"/>
    <w:pPr>
      <w:numPr>
        <w:numId w:val="28"/>
      </w:numPr>
    </w:pPr>
  </w:style>
  <w:style w:type="paragraph" w:customStyle="1" w:styleId="Tiret5">
    <w:name w:val="Tiret 5"/>
    <w:basedOn w:val="Point5"/>
    <w:pPr>
      <w:numPr>
        <w:numId w:val="29"/>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30"/>
      </w:numPr>
    </w:pPr>
  </w:style>
  <w:style w:type="paragraph" w:customStyle="1" w:styleId="NumPar2">
    <w:name w:val="NumPar 2"/>
    <w:basedOn w:val="Normal"/>
    <w:next w:val="Text1"/>
    <w:pPr>
      <w:numPr>
        <w:ilvl w:val="1"/>
        <w:numId w:val="30"/>
      </w:numPr>
    </w:pPr>
  </w:style>
  <w:style w:type="paragraph" w:customStyle="1" w:styleId="NumPar3">
    <w:name w:val="NumPar 3"/>
    <w:basedOn w:val="Normal"/>
    <w:next w:val="Text1"/>
    <w:pPr>
      <w:numPr>
        <w:ilvl w:val="2"/>
        <w:numId w:val="30"/>
      </w:numPr>
    </w:pPr>
  </w:style>
  <w:style w:type="paragraph" w:customStyle="1" w:styleId="NumPar4">
    <w:name w:val="NumPar 4"/>
    <w:basedOn w:val="Normal"/>
    <w:next w:val="Text1"/>
    <w:pPr>
      <w:numPr>
        <w:ilvl w:val="3"/>
        <w:numId w:val="30"/>
      </w:numPr>
    </w:pPr>
  </w:style>
  <w:style w:type="paragraph" w:customStyle="1" w:styleId="NumPar5">
    <w:name w:val="NumPar 5"/>
    <w:basedOn w:val="Normal"/>
    <w:next w:val="Text2"/>
    <w:pPr>
      <w:numPr>
        <w:ilvl w:val="4"/>
        <w:numId w:val="30"/>
      </w:numPr>
    </w:pPr>
  </w:style>
  <w:style w:type="paragraph" w:customStyle="1" w:styleId="NumPar6">
    <w:name w:val="NumPar 6"/>
    <w:basedOn w:val="Normal"/>
    <w:next w:val="Text2"/>
    <w:pPr>
      <w:numPr>
        <w:ilvl w:val="5"/>
        <w:numId w:val="30"/>
      </w:numPr>
    </w:pPr>
  </w:style>
  <w:style w:type="paragraph" w:customStyle="1" w:styleId="NumPar7">
    <w:name w:val="NumPar 7"/>
    <w:basedOn w:val="Normal"/>
    <w:next w:val="Text2"/>
    <w:pPr>
      <w:numPr>
        <w:ilvl w:val="6"/>
        <w:numId w:val="30"/>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32"/>
      </w:numPr>
    </w:pPr>
  </w:style>
  <w:style w:type="paragraph" w:customStyle="1" w:styleId="Point1number">
    <w:name w:val="Point 1 (number)"/>
    <w:basedOn w:val="Normal"/>
    <w:pPr>
      <w:numPr>
        <w:ilvl w:val="2"/>
        <w:numId w:val="32"/>
      </w:numPr>
    </w:pPr>
  </w:style>
  <w:style w:type="paragraph" w:customStyle="1" w:styleId="Point2number">
    <w:name w:val="Point 2 (number)"/>
    <w:basedOn w:val="Normal"/>
    <w:pPr>
      <w:numPr>
        <w:ilvl w:val="4"/>
        <w:numId w:val="32"/>
      </w:numPr>
    </w:pPr>
  </w:style>
  <w:style w:type="paragraph" w:customStyle="1" w:styleId="Point3number">
    <w:name w:val="Point 3 (number)"/>
    <w:basedOn w:val="Normal"/>
    <w:pPr>
      <w:numPr>
        <w:ilvl w:val="6"/>
        <w:numId w:val="32"/>
      </w:numPr>
    </w:pPr>
  </w:style>
  <w:style w:type="paragraph" w:customStyle="1" w:styleId="Point0letter">
    <w:name w:val="Point 0 (letter)"/>
    <w:basedOn w:val="Normal"/>
    <w:pPr>
      <w:numPr>
        <w:ilvl w:val="1"/>
        <w:numId w:val="32"/>
      </w:numPr>
    </w:pPr>
  </w:style>
  <w:style w:type="paragraph" w:customStyle="1" w:styleId="Point1letter">
    <w:name w:val="Point 1 (letter)"/>
    <w:basedOn w:val="Normal"/>
    <w:pPr>
      <w:numPr>
        <w:ilvl w:val="3"/>
        <w:numId w:val="32"/>
      </w:numPr>
    </w:pPr>
  </w:style>
  <w:style w:type="paragraph" w:customStyle="1" w:styleId="Point2letter">
    <w:name w:val="Point 2 (letter)"/>
    <w:basedOn w:val="Normal"/>
    <w:pPr>
      <w:numPr>
        <w:ilvl w:val="5"/>
        <w:numId w:val="32"/>
      </w:numPr>
    </w:pPr>
  </w:style>
  <w:style w:type="paragraph" w:customStyle="1" w:styleId="Point3letter">
    <w:name w:val="Point 3 (letter)"/>
    <w:basedOn w:val="Normal"/>
    <w:pPr>
      <w:numPr>
        <w:ilvl w:val="7"/>
        <w:numId w:val="32"/>
      </w:numPr>
    </w:pPr>
  </w:style>
  <w:style w:type="paragraph" w:customStyle="1" w:styleId="Point4letter">
    <w:name w:val="Point 4 (letter)"/>
    <w:basedOn w:val="Normal"/>
    <w:pPr>
      <w:numPr>
        <w:ilvl w:val="8"/>
        <w:numId w:val="32"/>
      </w:numPr>
    </w:pPr>
  </w:style>
  <w:style w:type="paragraph" w:customStyle="1" w:styleId="Bullet0">
    <w:name w:val="Bullet 0"/>
    <w:basedOn w:val="Normal"/>
    <w:pPr>
      <w:numPr>
        <w:numId w:val="33"/>
      </w:numPr>
    </w:pPr>
  </w:style>
  <w:style w:type="paragraph" w:customStyle="1" w:styleId="Bullet1">
    <w:name w:val="Bullet 1"/>
    <w:basedOn w:val="Normal"/>
    <w:pPr>
      <w:numPr>
        <w:numId w:val="34"/>
      </w:numPr>
    </w:pPr>
  </w:style>
  <w:style w:type="paragraph" w:customStyle="1" w:styleId="Bullet2">
    <w:name w:val="Bullet 2"/>
    <w:basedOn w:val="Normal"/>
    <w:pPr>
      <w:numPr>
        <w:numId w:val="35"/>
      </w:numPr>
    </w:pPr>
  </w:style>
  <w:style w:type="paragraph" w:customStyle="1" w:styleId="Bullet3">
    <w:name w:val="Bullet 3"/>
    <w:basedOn w:val="Normal"/>
    <w:pPr>
      <w:numPr>
        <w:numId w:val="36"/>
      </w:numPr>
    </w:pPr>
  </w:style>
  <w:style w:type="paragraph" w:customStyle="1" w:styleId="Bullet4">
    <w:name w:val="Bullet 4"/>
    <w:basedOn w:val="Normal"/>
    <w:pPr>
      <w:numPr>
        <w:numId w:val="37"/>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38"/>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IntrtEEE"/>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0" w:after="240"/>
      <w:jc w:val="center"/>
    </w:pPr>
  </w:style>
  <w:style w:type="paragraph" w:customStyle="1" w:styleId="Titrearticle">
    <w:name w:val="Titre article"/>
    <w:basedOn w:val="Normal"/>
    <w:next w:val="Normal"/>
    <w:pPr>
      <w:keepNext/>
      <w:spacing w:before="360"/>
      <w:jc w:val="center"/>
    </w:pPr>
    <w:rPr>
      <w:i/>
    </w:rPr>
  </w:style>
  <w:style w:type="paragraph" w:customStyle="1" w:styleId="Typedudocument">
    <w:name w:val="Type du document"/>
    <w:basedOn w:val="Normal"/>
    <w:next w:val="Accompagnant"/>
    <w:pPr>
      <w:spacing w:before="360" w:after="18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IntrtEEE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ypedudocumentPagedecouverture">
    <w:name w:val="Type du document (Page de couverture)"/>
    <w:basedOn w:val="Typedudocument"/>
    <w:next w:val="Accompagnan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180" w:after="240"/>
      <w:jc w:val="center"/>
    </w:pPr>
    <w:rPr>
      <w:b/>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ANNEX.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8C3892-6749-4DA1-9106-D1677E654D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ANNEX.dotm</Template>
  <TotalTime>1</TotalTime>
  <Pages>4</Pages>
  <Words>576</Words>
  <Characters>3287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16</cp:revision>
  <dcterms:created xsi:type="dcterms:W3CDTF">2021-07-23T12:36:00Z</dcterms:created>
  <dcterms:modified xsi:type="dcterms:W3CDTF">2021-08-04T09:27:00Z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COM/ANNEX</vt:lpwstr>
  </property>
  <property fmtid="{D5CDD505-2E9C-101B-9397-08002B2CF9AE}" pid="3" name="Version">
    <vt:lpwstr>7.0.8.0</vt:lpwstr>
  </property>
  <property fmtid="{D5CDD505-2E9C-101B-9397-08002B2CF9AE}" pid="4" name="Last edited using">
    <vt:lpwstr>LW 7.0.1, Build 20200226</vt:lpwstr>
  </property>
  <property fmtid="{D5CDD505-2E9C-101B-9397-08002B2CF9AE}" pid="5" name="Created using">
    <vt:lpwstr>LW 7.0, Build 20190717</vt:lpwstr>
  </property>
  <property fmtid="{D5CDD505-2E9C-101B-9397-08002B2CF9AE}" pid="6" name="First annex">
    <vt:lpwstr>1</vt:lpwstr>
  </property>
  <property fmtid="{D5CDD505-2E9C-101B-9397-08002B2CF9AE}" pid="7" name="Last annex">
    <vt:lpwstr>1</vt:lpwstr>
  </property>
  <property fmtid="{D5CDD505-2E9C-101B-9397-08002B2CF9AE}" pid="8" name="Unique annex">
    <vt:lpwstr>1</vt:lpwstr>
  </property>
  <property fmtid="{D5CDD505-2E9C-101B-9397-08002B2CF9AE}" pid="9" name="Part">
    <vt:lpwstr>1</vt:lpwstr>
  </property>
  <property fmtid="{D5CDD505-2E9C-101B-9397-08002B2CF9AE}" pid="10" name="Total parts">
    <vt:lpwstr>1</vt:lpwstr>
  </property>
  <property fmtid="{D5CDD505-2E9C-101B-9397-08002B2CF9AE}" pid="11" name="Level of sensitivity">
    <vt:lpwstr>Standard treatment</vt:lpwstr>
  </property>
  <property fmtid="{D5CDD505-2E9C-101B-9397-08002B2CF9AE}" pid="12" name="LWTemplateID">
    <vt:lpwstr>SG-017</vt:lpwstr>
  </property>
  <property fmtid="{D5CDD505-2E9C-101B-9397-08002B2CF9AE}" pid="13" name="DQCStatus">
    <vt:lpwstr>Green (DQC version 03)</vt:lpwstr>
  </property>
  <property name="OP_sanitized" fmtid="{D5CDD505-2E9C-101B-9397-08002B2CF9AE}" pid="14">
    <vt:lpwstr>True</vt:lpwstr>
  </property>
</Properties>
</file>