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8339F905-E630-457E-B183-5F7758083B8B" style="width:454.25pt;height:429.05pt">
            <v:imagedata r:id="rId9" o:title=""/>
          </v:shape>
        </w:pict>
      </w:r>
    </w:p>
    <w:p>
      <w:pPr>
        <w:pStyle w:val="Pagedecouverture"/>
        <w:rPr>
          <w:noProof/>
        </w:rPr>
        <w:sectPr>
          <w:headerReference w:type="even" r:id="rId10"/>
          <w:headerReference w:type="default" r:id="rId11"/>
          <w:footerReference w:type="even" r:id="rId12"/>
          <w:footerReference w:type="default" r:id="rId13"/>
          <w:headerReference w:type="first" r:id="rId14"/>
          <w:footerReference w:type="first" r:id="rId15"/>
          <w:pgSz w:w="11907" w:h="16839"/>
          <w:pgMar w:top="1134" w:right="1417" w:bottom="1134" w:left="1417" w:header="709" w:footer="709" w:gutter="0"/>
          <w:pgNumType w:start="0"/>
          <w:cols w:space="720"/>
          <w:docGrid w:linePitch="360"/>
        </w:sectPr>
      </w:pPr>
    </w:p>
    <w:p>
      <w:pPr>
        <w:pStyle w:val="Annexetitre"/>
        <w:rPr>
          <w:noProof/>
        </w:rPr>
      </w:pPr>
      <w:bookmarkStart w:id="0" w:name="_GoBack"/>
      <w:bookmarkEnd w:id="0"/>
      <w:r>
        <w:rPr>
          <w:noProof/>
        </w:rPr>
        <w:lastRenderedPageBreak/>
        <w:t>ALLEGATO</w:t>
      </w:r>
    </w:p>
    <w:p>
      <w:pPr>
        <w:rPr>
          <w:noProof/>
        </w:rPr>
      </w:pPr>
    </w:p>
    <w:p>
      <w:pPr>
        <w:spacing w:before="360" w:after="0"/>
        <w:jc w:val="center"/>
        <w:rPr>
          <w:b/>
          <w:noProof/>
          <w:szCs w:val="24"/>
        </w:rPr>
      </w:pPr>
      <w:r>
        <w:rPr>
          <w:b/>
          <w:noProof/>
          <w:szCs w:val="24"/>
        </w:rPr>
        <w:t>DECISIONE DEL COMITATO MISTO SEE</w:t>
      </w:r>
    </w:p>
    <w:p>
      <w:pPr>
        <w:spacing w:after="0"/>
        <w:jc w:val="center"/>
        <w:rPr>
          <w:b/>
          <w:noProof/>
          <w:color w:val="0000FF"/>
          <w:szCs w:val="24"/>
        </w:rPr>
      </w:pPr>
      <w:r>
        <w:rPr>
          <w:b/>
          <w:noProof/>
          <w:szCs w:val="24"/>
        </w:rPr>
        <w:t>n. […]</w:t>
      </w:r>
    </w:p>
    <w:p>
      <w:pPr>
        <w:spacing w:before="360" w:after="0"/>
        <w:jc w:val="center"/>
        <w:rPr>
          <w:b/>
          <w:noProof/>
          <w:color w:val="0000FF"/>
          <w:szCs w:val="24"/>
        </w:rPr>
      </w:pPr>
      <w:r>
        <w:rPr>
          <w:b/>
          <w:noProof/>
          <w:color w:val="000000" w:themeColor="text1"/>
          <w:szCs w:val="24"/>
        </w:rPr>
        <w:t xml:space="preserve">del </w:t>
      </w:r>
      <w:r>
        <w:rPr>
          <w:b/>
          <w:noProof/>
        </w:rPr>
        <w:t>[…]</w:t>
      </w:r>
    </w:p>
    <w:p>
      <w:pPr>
        <w:spacing w:before="360" w:after="360"/>
        <w:jc w:val="center"/>
        <w:rPr>
          <w:b/>
          <w:noProof/>
          <w:color w:val="000000" w:themeColor="text1"/>
          <w:szCs w:val="24"/>
        </w:rPr>
      </w:pPr>
      <w:r>
        <w:rPr>
          <w:b/>
          <w:noProof/>
          <w:color w:val="000000" w:themeColor="text1"/>
          <w:szCs w:val="24"/>
        </w:rPr>
        <w:t>che modifica il protocollo 31 dell'accordo SEE sulla cooperazione in settori specifici al di fuori delle quattro libertà</w:t>
      </w:r>
    </w:p>
    <w:p>
      <w:pPr>
        <w:spacing w:before="600"/>
        <w:rPr>
          <w:noProof/>
          <w:color w:val="000000" w:themeColor="text1"/>
          <w:szCs w:val="24"/>
        </w:rPr>
      </w:pPr>
      <w:r>
        <w:rPr>
          <w:noProof/>
          <w:color w:val="000000" w:themeColor="text1"/>
          <w:szCs w:val="24"/>
        </w:rPr>
        <w:t>IL COMITATO MISTO SEE,</w:t>
      </w:r>
    </w:p>
    <w:p>
      <w:pPr>
        <w:rPr>
          <w:noProof/>
          <w:color w:val="000000" w:themeColor="text1"/>
          <w:szCs w:val="24"/>
        </w:rPr>
      </w:pPr>
      <w:r>
        <w:rPr>
          <w:noProof/>
          <w:color w:val="000000" w:themeColor="text1"/>
          <w:szCs w:val="24"/>
        </w:rPr>
        <w:t>visto l'accordo sullo Spazio economico europeo ("accordo SEE"), in particolare gli articoli 86 e 98,</w:t>
      </w:r>
    </w:p>
    <w:p>
      <w:pPr>
        <w:jc w:val="left"/>
        <w:rPr>
          <w:rFonts w:eastAsia="Calibri"/>
          <w:noProof/>
          <w:color w:val="000000"/>
          <w:szCs w:val="24"/>
        </w:rPr>
      </w:pPr>
      <w:r>
        <w:rPr>
          <w:noProof/>
          <w:color w:val="000000"/>
          <w:szCs w:val="24"/>
        </w:rPr>
        <w:t>considerando quanto segue:</w:t>
      </w:r>
    </w:p>
    <w:p>
      <w:pPr>
        <w:pStyle w:val="Considrant"/>
        <w:numPr>
          <w:ilvl w:val="0"/>
          <w:numId w:val="9"/>
        </w:numPr>
        <w:rPr>
          <w:noProof/>
        </w:rPr>
      </w:pPr>
      <w:bookmarkStart w:id="1" w:name="_Hlk51922725"/>
      <w:r>
        <w:rPr>
          <w:noProof/>
        </w:rPr>
        <w:t xml:space="preserve">È opportuno estendere la cooperazione delle parti contraenti dell'accordo SEE in modo da includere il </w:t>
      </w:r>
      <w:bookmarkStart w:id="2" w:name="_Hlk74043964"/>
      <w:bookmarkStart w:id="3" w:name="_Hlk74044039"/>
      <w:r>
        <w:rPr>
          <w:noProof/>
        </w:rPr>
        <w:t>regolamento (UE) 2021/888</w:t>
      </w:r>
      <w:bookmarkEnd w:id="2"/>
      <w:r>
        <w:rPr>
          <w:noProof/>
        </w:rPr>
        <w:t xml:space="preserve"> del Parlamento europeo e del Consiglio, del 20 maggio 2021, che istituisce il programma "corpo europeo per la difesa" e abroga i regolamenti (UE) 2018/1475 e (UE) n. 375/2014</w:t>
      </w:r>
      <w:bookmarkEnd w:id="3"/>
      <w:r>
        <w:rPr>
          <w:rStyle w:val="FootnoteReference"/>
          <w:noProof/>
        </w:rPr>
        <w:footnoteReference w:id="1"/>
      </w:r>
      <w:r>
        <w:rPr>
          <w:noProof/>
        </w:rPr>
        <w:t>.</w:t>
      </w:r>
    </w:p>
    <w:p>
      <w:pPr>
        <w:pStyle w:val="Considrant"/>
        <w:rPr>
          <w:noProof/>
        </w:rPr>
      </w:pPr>
      <w:r>
        <w:rPr>
          <w:noProof/>
        </w:rPr>
        <w:t>È opportuno che la partecipazione degli Stati EFTA alle attività derivanti dal regolamento (UE) 2021/888 inizi dal 1° gennaio 2021, indipendentemente dal momento in cui viene adottata la presente decisione o dal fatto che gli eventuali obblighi costituzionali ad essa relativi siano comunicati dopo il 10 luglio 2021.</w:t>
      </w:r>
    </w:p>
    <w:p>
      <w:pPr>
        <w:pStyle w:val="Considrant"/>
        <w:rPr>
          <w:noProof/>
        </w:rPr>
      </w:pPr>
      <w:r>
        <w:rPr>
          <w:noProof/>
        </w:rPr>
        <w:t>Le entità stabilite negli Stati EFTA dovrebbero essere autorizzate a partecipare alle attività avviate prima dell'entrata in vigore della presente decisione. Le spese sostenute per tali attività, la cui attuazione inizia dopo il 1° gennaio 2021, possono essere considerate ammissibili alle stesse condizioni applicate alle spese sostenute dalle entità stabilite negli Stati membri dell'UE, purché la presente decisione entri in vigore prima del completamento dell'azione in questione.</w:t>
      </w:r>
    </w:p>
    <w:p>
      <w:pPr>
        <w:pStyle w:val="Considrant"/>
        <w:rPr>
          <w:noProof/>
        </w:rPr>
      </w:pPr>
      <w:r>
        <w:rPr>
          <w:noProof/>
        </w:rPr>
        <w:t>Le condizioni per la partecipazione degli Stati EFTA e delle loro istituzioni, imprese, organizzazioni e cittadini ai programmi dell'Unione europea sono stabilite nell'accordo SEE, in particolare nell'articolo 81.</w:t>
      </w:r>
    </w:p>
    <w:bookmarkEnd w:id="1"/>
    <w:p>
      <w:pPr>
        <w:pStyle w:val="Considrant"/>
        <w:rPr>
          <w:noProof/>
          <w:color w:val="000000"/>
        </w:rPr>
      </w:pPr>
      <w:r>
        <w:rPr>
          <w:noProof/>
        </w:rPr>
        <w:t>È pertanto opportuno modificare di conseguenza il protocollo 31 dell'accordo SEE affinché questa cooperazione estesa possa iniziare dal 1° gennaio 2021,</w:t>
      </w:r>
    </w:p>
    <w:p>
      <w:pPr>
        <w:keepNext/>
        <w:tabs>
          <w:tab w:val="left" w:pos="709"/>
        </w:tabs>
        <w:rPr>
          <w:rFonts w:eastAsia="Calibri"/>
          <w:noProof/>
          <w:color w:val="000000"/>
          <w:szCs w:val="24"/>
        </w:rPr>
      </w:pPr>
      <w:r>
        <w:rPr>
          <w:noProof/>
          <w:color w:val="000000"/>
          <w:szCs w:val="24"/>
        </w:rPr>
        <w:t>HA ADOTTATO LA PRESENTE DECISIONE:</w:t>
      </w:r>
    </w:p>
    <w:p>
      <w:pPr>
        <w:pStyle w:val="Titrearticle"/>
        <w:rPr>
          <w:noProof/>
        </w:rPr>
      </w:pPr>
      <w:r>
        <w:rPr>
          <w:noProof/>
        </w:rPr>
        <w:t>Articolo 1</w:t>
      </w:r>
    </w:p>
    <w:p>
      <w:pPr>
        <w:rPr>
          <w:noProof/>
        </w:rPr>
      </w:pPr>
      <w:r>
        <w:rPr>
          <w:noProof/>
        </w:rPr>
        <w:t>L'articolo 4 del protocollo 31 dell'accordo SEE è così modificato:</w:t>
      </w:r>
    </w:p>
    <w:p>
      <w:pPr>
        <w:pStyle w:val="Point0"/>
        <w:rPr>
          <w:noProof/>
        </w:rPr>
      </w:pPr>
      <w:r>
        <w:rPr>
          <w:noProof/>
        </w:rPr>
        <w:t>1.</w:t>
      </w:r>
      <w:r>
        <w:rPr>
          <w:noProof/>
        </w:rPr>
        <w:tab/>
        <w:t>dopo il paragrafo 2 octodecies è inserito il paragrafo seguente:</w:t>
      </w:r>
    </w:p>
    <w:p>
      <w:pPr>
        <w:pStyle w:val="Point1"/>
        <w:ind w:left="960" w:hanging="110"/>
        <w:rPr>
          <w:noProof/>
        </w:rPr>
      </w:pPr>
      <w:r>
        <w:rPr>
          <w:noProof/>
        </w:rPr>
        <w:lastRenderedPageBreak/>
        <w:t>"2 octodecies Gli Stati EFTA partecipano, a decorrere dal 1° gennaio 2021, al seguente programma:</w:t>
      </w:r>
    </w:p>
    <w:p>
      <w:pPr>
        <w:pStyle w:val="Point2"/>
        <w:rPr>
          <w:noProof/>
        </w:rPr>
      </w:pPr>
      <w:r>
        <w:rPr>
          <w:noProof/>
        </w:rPr>
        <w:t>-</w:t>
      </w:r>
      <w:r>
        <w:rPr>
          <w:noProof/>
        </w:rPr>
        <w:tab/>
      </w:r>
      <w:r>
        <w:rPr>
          <w:b/>
          <w:bCs/>
          <w:noProof/>
        </w:rPr>
        <w:t>32021 R 0888</w:t>
      </w:r>
      <w:r>
        <w:rPr>
          <w:noProof/>
        </w:rPr>
        <w:t>: Regolamento (UE) 2021/888 del Parlamento europeo e del Consiglio, del 20 maggio 2021, che istituisce il programma "corpo europeo di solidarietà" e abroga i regolamenti (UE) 2018/1475 e (UE) n. 375/2014 (GU L 202 dell'8.6.2021, pag. 32).</w:t>
      </w:r>
    </w:p>
    <w:p>
      <w:pPr>
        <w:pStyle w:val="Point1"/>
        <w:rPr>
          <w:noProof/>
        </w:rPr>
      </w:pPr>
      <w:r>
        <w:rPr>
          <w:noProof/>
        </w:rPr>
        <w:tab/>
        <w:t>Le spese sostenute per attività la cui attuazione inizia dopo il 1° gennaio 2021 possono essere considerate ammissibili sin dalla data di inizio dell'azione stabilita nella convenzione o nella decisione di sovvenzione pertinente, alle condizioni ivi stabilite, purché la decisione del Comitato misto SEE n. XX/2021 del xx 2021 [la presente decisione] entri in vigore prima del completamento dell'azione.</w:t>
      </w:r>
    </w:p>
    <w:p>
      <w:pPr>
        <w:pStyle w:val="Point1"/>
        <w:rPr>
          <w:noProof/>
        </w:rPr>
      </w:pPr>
      <w:r>
        <w:rPr>
          <w:noProof/>
        </w:rPr>
        <w:tab/>
        <w:t>La Norvegia è dispensata dal partecipare e dal contribuire finanziariamente al presente programma."</w:t>
      </w:r>
    </w:p>
    <w:p>
      <w:pPr>
        <w:pStyle w:val="Point0"/>
        <w:rPr>
          <w:noProof/>
        </w:rPr>
      </w:pPr>
      <w:r>
        <w:rPr>
          <w:noProof/>
        </w:rPr>
        <w:t>2.</w:t>
      </w:r>
      <w:r>
        <w:rPr>
          <w:noProof/>
        </w:rPr>
        <w:tab/>
        <w:t>Il testo del paragrafo 3 è sostituito dal seguente:</w:t>
      </w:r>
    </w:p>
    <w:p>
      <w:pPr>
        <w:pStyle w:val="Point0"/>
        <w:ind w:firstLine="0"/>
        <w:rPr>
          <w:noProof/>
        </w:rPr>
      </w:pPr>
      <w:r>
        <w:rPr>
          <w:noProof/>
        </w:rPr>
        <w:t>"Gli Stati EFTA contribuiscono finanziariamente, conformemente all'articolo 82, paragrafo 1, lettera a), dell'accordo, ai programmi e alle azioni di cui ai paragrafi 1, 2, 2 bis, 2 ter, 2 quater, 2 quinquies, 2 sexies, 2 septies, 2 octies, 2 nonies, 2 decies, 2 undecies, 2 duodecies, 2 terdecies, 2 quaterdecies, 2 quindecies, 2 sexdecies, 2 septdecies, 2 octodecies e 2 novodecies."</w:t>
      </w:r>
    </w:p>
    <w:p>
      <w:pPr>
        <w:pStyle w:val="Titrearticle"/>
        <w:rPr>
          <w:noProof/>
        </w:rPr>
      </w:pPr>
      <w:r>
        <w:rPr>
          <w:noProof/>
        </w:rPr>
        <w:t>Articolo 2</w:t>
      </w:r>
    </w:p>
    <w:p>
      <w:pPr>
        <w:tabs>
          <w:tab w:val="left" w:pos="709"/>
        </w:tabs>
        <w:rPr>
          <w:rFonts w:eastAsia="Calibri"/>
          <w:noProof/>
          <w:color w:val="000000"/>
          <w:szCs w:val="24"/>
        </w:rPr>
      </w:pPr>
      <w:r>
        <w:rPr>
          <w:noProof/>
          <w:color w:val="000000"/>
          <w:szCs w:val="24"/>
        </w:rPr>
        <w:t>La presente decisione entra in vigore il giorno successivo all'ultima notifica a norma dell'articolo 103, paragrafo 1, dell'accordo SEE</w:t>
      </w:r>
      <w:r>
        <w:rPr>
          <w:rFonts w:eastAsia="Calibri"/>
          <w:b/>
          <w:noProof/>
          <w:color w:val="000000"/>
          <w:szCs w:val="24"/>
          <w:vertAlign w:val="superscript"/>
        </w:rPr>
        <w:footnoteReference w:customMarkFollows="1" w:id="2"/>
        <w:sym w:font="Symbol" w:char="F02A"/>
      </w:r>
      <w:r>
        <w:rPr>
          <w:noProof/>
          <w:color w:val="000000"/>
          <w:szCs w:val="24"/>
        </w:rPr>
        <w:t>.</w:t>
      </w:r>
    </w:p>
    <w:p>
      <w:pPr>
        <w:tabs>
          <w:tab w:val="left" w:pos="709"/>
        </w:tabs>
        <w:rPr>
          <w:rFonts w:eastAsia="Calibri"/>
          <w:noProof/>
          <w:color w:val="000000"/>
          <w:szCs w:val="24"/>
        </w:rPr>
      </w:pPr>
      <w:r>
        <w:rPr>
          <w:noProof/>
          <w:color w:val="000000"/>
          <w:szCs w:val="24"/>
        </w:rPr>
        <w:t>Essa si applica a decorrere dal 1° gennaio 2021.</w:t>
      </w:r>
    </w:p>
    <w:p>
      <w:pPr>
        <w:pStyle w:val="Titrearticle"/>
        <w:rPr>
          <w:noProof/>
        </w:rPr>
      </w:pPr>
      <w:r>
        <w:rPr>
          <w:noProof/>
        </w:rPr>
        <w:t>Articolo 3</w:t>
      </w:r>
    </w:p>
    <w:p>
      <w:pPr>
        <w:tabs>
          <w:tab w:val="left" w:pos="709"/>
        </w:tabs>
        <w:rPr>
          <w:rFonts w:eastAsia="Calibri"/>
          <w:noProof/>
          <w:color w:val="000000"/>
          <w:szCs w:val="24"/>
        </w:rPr>
      </w:pPr>
      <w:r>
        <w:rPr>
          <w:noProof/>
          <w:color w:val="000000"/>
          <w:szCs w:val="24"/>
        </w:rPr>
        <w:t xml:space="preserve">La presente decisione è pubblicata nella sezione SEE e nel supplemento SEE della </w:t>
      </w:r>
      <w:r>
        <w:rPr>
          <w:i/>
          <w:noProof/>
          <w:color w:val="000000"/>
          <w:szCs w:val="24"/>
        </w:rPr>
        <w:t>Gazzetta ufficiale dell'Unione europea</w:t>
      </w:r>
      <w:r>
        <w:rPr>
          <w:noProof/>
          <w:color w:val="000000"/>
          <w:szCs w:val="24"/>
        </w:rPr>
        <w:t>.</w:t>
      </w:r>
    </w:p>
    <w:p>
      <w:pPr>
        <w:spacing w:before="0" w:after="200" w:line="276" w:lineRule="auto"/>
        <w:jc w:val="left"/>
        <w:rPr>
          <w:rFonts w:eastAsia="Calibri"/>
          <w:noProof/>
          <w:szCs w:val="24"/>
        </w:rPr>
      </w:pPr>
      <w:r>
        <w:rPr>
          <w:noProof/>
        </w:rPr>
        <w:t>Fatto a Bruxelles, il […].</w:t>
      </w:r>
    </w:p>
    <w:p>
      <w:pPr>
        <w:tabs>
          <w:tab w:val="left" w:pos="4253"/>
        </w:tabs>
        <w:spacing w:before="720" w:after="0"/>
        <w:jc w:val="left"/>
        <w:rPr>
          <w:rFonts w:eastAsia="Calibri"/>
          <w:i/>
          <w:noProof/>
          <w:szCs w:val="24"/>
        </w:rPr>
      </w:pPr>
      <w:r>
        <w:rPr>
          <w:noProof/>
        </w:rPr>
        <w:tab/>
      </w:r>
      <w:r>
        <w:rPr>
          <w:i/>
          <w:noProof/>
          <w:szCs w:val="24"/>
        </w:rPr>
        <w:t>Per il Comitato misto SEE</w:t>
      </w:r>
    </w:p>
    <w:p>
      <w:pPr>
        <w:tabs>
          <w:tab w:val="left" w:pos="4253"/>
        </w:tabs>
        <w:spacing w:before="0" w:after="0"/>
        <w:jc w:val="left"/>
        <w:rPr>
          <w:rFonts w:eastAsia="Calibri"/>
          <w:i/>
          <w:noProof/>
          <w:szCs w:val="24"/>
        </w:rPr>
      </w:pPr>
      <w:r>
        <w:rPr>
          <w:noProof/>
        </w:rPr>
        <w:tab/>
      </w:r>
      <w:r>
        <w:rPr>
          <w:i/>
          <w:noProof/>
          <w:szCs w:val="24"/>
        </w:rPr>
        <w:t>Il presidente</w:t>
      </w:r>
    </w:p>
    <w:p>
      <w:pPr>
        <w:rPr>
          <w:noProof/>
        </w:rPr>
      </w:pPr>
      <w:r>
        <w:rPr>
          <w:noProof/>
        </w:rPr>
        <w:tab/>
      </w:r>
      <w:r>
        <w:rPr>
          <w:noProof/>
        </w:rPr>
        <w:tab/>
      </w:r>
      <w:r>
        <w:rPr>
          <w:noProof/>
        </w:rPr>
        <w:tab/>
      </w:r>
      <w:r>
        <w:rPr>
          <w:noProof/>
        </w:rPr>
        <w:tab/>
      </w:r>
      <w:r>
        <w:rPr>
          <w:noProof/>
        </w:rPr>
        <w:tab/>
      </w:r>
      <w:r>
        <w:rPr>
          <w:noProof/>
        </w:rPr>
        <w:tab/>
        <w:t>[…]</w:t>
      </w:r>
    </w:p>
    <w:p>
      <w:pPr>
        <w:tabs>
          <w:tab w:val="left" w:pos="4253"/>
        </w:tabs>
        <w:spacing w:before="0" w:after="200" w:line="276" w:lineRule="auto"/>
        <w:contextualSpacing/>
        <w:jc w:val="left"/>
        <w:rPr>
          <w:rFonts w:eastAsia="Calibri"/>
          <w:i/>
          <w:noProof/>
          <w:szCs w:val="24"/>
        </w:rPr>
      </w:pPr>
      <w:r>
        <w:rPr>
          <w:noProof/>
        </w:rPr>
        <w:tab/>
      </w:r>
    </w:p>
    <w:p>
      <w:pPr>
        <w:tabs>
          <w:tab w:val="left" w:pos="4253"/>
        </w:tabs>
        <w:spacing w:before="0" w:after="200" w:line="276" w:lineRule="auto"/>
        <w:contextualSpacing/>
        <w:jc w:val="left"/>
        <w:rPr>
          <w:rFonts w:eastAsia="Calibri"/>
          <w:i/>
          <w:noProof/>
          <w:szCs w:val="24"/>
        </w:rPr>
      </w:pPr>
    </w:p>
    <w:p>
      <w:pPr>
        <w:tabs>
          <w:tab w:val="left" w:pos="4253"/>
        </w:tabs>
        <w:spacing w:before="0" w:after="200" w:line="276" w:lineRule="auto"/>
        <w:contextualSpacing/>
        <w:jc w:val="left"/>
        <w:rPr>
          <w:rFonts w:eastAsia="Calibri"/>
          <w:i/>
          <w:noProof/>
          <w:szCs w:val="24"/>
        </w:rPr>
      </w:pPr>
      <w:r>
        <w:rPr>
          <w:noProof/>
        </w:rPr>
        <w:tab/>
      </w:r>
      <w:r>
        <w:rPr>
          <w:i/>
          <w:noProof/>
          <w:szCs w:val="24"/>
        </w:rPr>
        <w:t>I segretari</w:t>
      </w:r>
    </w:p>
    <w:p>
      <w:pPr>
        <w:tabs>
          <w:tab w:val="left" w:pos="4253"/>
        </w:tabs>
        <w:spacing w:before="0" w:after="200" w:line="276" w:lineRule="auto"/>
        <w:contextualSpacing/>
        <w:jc w:val="left"/>
        <w:rPr>
          <w:rFonts w:eastAsia="Calibri"/>
          <w:i/>
          <w:noProof/>
          <w:szCs w:val="24"/>
        </w:rPr>
      </w:pPr>
      <w:r>
        <w:rPr>
          <w:noProof/>
        </w:rPr>
        <w:tab/>
      </w:r>
      <w:r>
        <w:rPr>
          <w:i/>
          <w:noProof/>
          <w:szCs w:val="24"/>
        </w:rPr>
        <w:t>del Comitato misto SEE</w:t>
      </w:r>
    </w:p>
    <w:p>
      <w:pPr>
        <w:rPr>
          <w:noProof/>
        </w:rPr>
      </w:pPr>
      <w:r>
        <w:rPr>
          <w:noProof/>
        </w:rPr>
        <w:tab/>
      </w:r>
      <w:r>
        <w:rPr>
          <w:noProof/>
        </w:rPr>
        <w:tab/>
      </w:r>
      <w:r>
        <w:rPr>
          <w:noProof/>
        </w:rPr>
        <w:tab/>
      </w:r>
      <w:r>
        <w:rPr>
          <w:noProof/>
        </w:rPr>
        <w:tab/>
      </w:r>
      <w:r>
        <w:rPr>
          <w:noProof/>
        </w:rPr>
        <w:tab/>
      </w:r>
      <w:r>
        <w:rPr>
          <w:noProof/>
        </w:rPr>
        <w:tab/>
        <w:t>[…]</w:t>
      </w:r>
    </w:p>
    <w:sectPr>
      <w:footerReference w:type="default" r:id="rId16"/>
      <w:footerReference w:type="first" r:id="rId17"/>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before="0" w:after="0"/>
      </w:pPr>
      <w:r>
        <w:separator/>
      </w:r>
    </w:p>
  </w:endnote>
  <w:endnote w:type="continuationSeparator" w:id="0">
    <w:p>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IT</w:t>
    </w:r>
    <w:r>
      <w:rPr>
        <w:rFonts w:ascii="Arial" w:hAnsi="Arial" w:cs="Arial"/>
        <w:b/>
        <w:sz w:val="48"/>
      </w:rPr>
      <w:tab/>
    </w:r>
    <w:r>
      <w:rPr>
        <w:rFonts w:ascii="Arial" w:hAnsi="Arial" w:cs="Arial"/>
        <w:b/>
        <w:sz w:val="48"/>
      </w:rPr>
      <w:tab/>
    </w:r>
    <w:r>
      <w:tab/>
    </w:r>
    <w:r>
      <w:rPr>
        <w:rFonts w:ascii="Arial" w:hAnsi="Arial" w:cs="Arial"/>
        <w:b/>
        <w:sz w:val="48"/>
      </w:rPr>
      <w:t>IT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rFonts w:ascii="Arial" w:hAnsi="Arial" w:cs="Arial"/>
        <w:b/>
        <w:sz w:val="48"/>
      </w:rPr>
    </w:pPr>
    <w:r>
      <w:rPr>
        <w:rFonts w:ascii="Arial" w:hAnsi="Arial" w:cs="Arial"/>
        <w:b/>
        <w:sz w:val="48"/>
      </w:rPr>
      <w:t>IT</w:t>
    </w:r>
    <w:r>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tab/>
    </w:r>
    <w:r>
      <w:rPr>
        <w:rFonts w:ascii="Arial" w:hAnsi="Arial" w:cs="Arial"/>
        <w:b/>
        <w:sz w:val="48"/>
      </w:rPr>
      <w:t>IT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before="0" w:after="0"/>
      </w:pPr>
      <w:r>
        <w:separator/>
      </w:r>
    </w:p>
  </w:footnote>
  <w:footnote w:type="continuationSeparator" w:id="0">
    <w:p>
      <w:pPr>
        <w:spacing w:before="0" w:after="0"/>
      </w:pPr>
      <w:r>
        <w:continuationSeparator/>
      </w:r>
    </w:p>
  </w:footnote>
  <w:footnote w:id="1">
    <w:p>
      <w:pPr>
        <w:pStyle w:val="FootnoteText"/>
      </w:pPr>
      <w:r>
        <w:rPr>
          <w:rStyle w:val="FootnoteReference"/>
        </w:rPr>
        <w:footnoteRef/>
      </w:r>
      <w:r>
        <w:tab/>
      </w:r>
      <w:bookmarkStart w:id="4" w:name="_Hlk74044069"/>
      <w:r>
        <w:t>GU L 202 dell'8.6.2021, pag. 32.</w:t>
      </w:r>
      <w:bookmarkEnd w:id="4"/>
    </w:p>
  </w:footnote>
  <w:footnote w:id="2">
    <w:p>
      <w:pPr>
        <w:pStyle w:val="FootnoteText"/>
      </w:pPr>
      <w:r>
        <w:rPr>
          <w:rStyle w:val="FootnoteReference"/>
        </w:rPr>
        <w:sym w:font="Symbol" w:char="F02A"/>
      </w:r>
      <w:r>
        <w:tab/>
        <w:t>[Non è stata comunicata l'esistenza di obblighi costituzionali.] [È stata comunicata l'esistenza di obblighi costituzionali.]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D2C67E92"/>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BA480AF6"/>
    <w:lvl w:ilvl="0">
      <w:start w:val="1"/>
      <w:numFmt w:val="decimal"/>
      <w:pStyle w:val="ListNumber3"/>
      <w:lvlText w:val="%1."/>
      <w:lvlJc w:val="left"/>
      <w:pPr>
        <w:tabs>
          <w:tab w:val="num" w:pos="926"/>
        </w:tabs>
        <w:ind w:left="926" w:hanging="360"/>
      </w:pPr>
    </w:lvl>
  </w:abstractNum>
  <w:abstractNum w:abstractNumId="2">
    <w:nsid w:val="FFFFFF7F"/>
    <w:multiLevelType w:val="singleLevel"/>
    <w:tmpl w:val="BE6015F4"/>
    <w:lvl w:ilvl="0">
      <w:start w:val="1"/>
      <w:numFmt w:val="decimal"/>
      <w:pStyle w:val="ListNumber2"/>
      <w:lvlText w:val="%1."/>
      <w:lvlJc w:val="left"/>
      <w:pPr>
        <w:tabs>
          <w:tab w:val="num" w:pos="643"/>
        </w:tabs>
        <w:ind w:left="643" w:hanging="360"/>
      </w:pPr>
    </w:lvl>
  </w:abstractNum>
  <w:abstractNum w:abstractNumId="3">
    <w:nsid w:val="FFFFFF81"/>
    <w:multiLevelType w:val="singleLevel"/>
    <w:tmpl w:val="D416FF66"/>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B790C6D6"/>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210ACC06"/>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C5DAE752"/>
    <w:lvl w:ilvl="0">
      <w:start w:val="1"/>
      <w:numFmt w:val="decimal"/>
      <w:pStyle w:val="ListNumber"/>
      <w:lvlText w:val="%1."/>
      <w:lvlJc w:val="left"/>
      <w:pPr>
        <w:tabs>
          <w:tab w:val="num" w:pos="360"/>
        </w:tabs>
        <w:ind w:left="360" w:hanging="360"/>
      </w:pPr>
    </w:lvl>
  </w:abstractNum>
  <w:abstractNum w:abstractNumId="7">
    <w:nsid w:val="FFFFFF89"/>
    <w:multiLevelType w:val="singleLevel"/>
    <w:tmpl w:val="0EDA0AE0"/>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5">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7">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8">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22"/>
    <w:lvlOverride w:ilvl="0">
      <w:startOverride w:val="1"/>
    </w:lvlOverride>
  </w:num>
  <w:num w:numId="10">
    <w:abstractNumId w:val="19"/>
  </w:num>
  <w:num w:numId="11">
    <w:abstractNumId w:val="12"/>
  </w:num>
  <w:num w:numId="12">
    <w:abstractNumId w:val="21"/>
  </w:num>
  <w:num w:numId="13">
    <w:abstractNumId w:val="11"/>
  </w:num>
  <w:num w:numId="14">
    <w:abstractNumId w:val="13"/>
  </w:num>
  <w:num w:numId="15">
    <w:abstractNumId w:val="9"/>
  </w:num>
  <w:num w:numId="16">
    <w:abstractNumId w:val="20"/>
  </w:num>
  <w:num w:numId="17">
    <w:abstractNumId w:val="8"/>
  </w:num>
  <w:num w:numId="18">
    <w:abstractNumId w:val="15"/>
  </w:num>
  <w:num w:numId="19">
    <w:abstractNumId w:val="17"/>
  </w:num>
  <w:num w:numId="20">
    <w:abstractNumId w:val="18"/>
  </w:num>
  <w:num w:numId="21">
    <w:abstractNumId w:val="10"/>
  </w:num>
  <w:num w:numId="22">
    <w:abstractNumId w:val="16"/>
  </w:num>
  <w:num w:numId="23">
    <w:abstractNumId w:val="22"/>
  </w:num>
  <w:num w:numId="24">
    <w:abstractNumId w:val="19"/>
  </w:num>
  <w:num w:numId="25">
    <w:abstractNumId w:val="12"/>
  </w:num>
  <w:num w:numId="26">
    <w:abstractNumId w:val="21"/>
  </w:num>
  <w:num w:numId="27">
    <w:abstractNumId w:val="11"/>
  </w:num>
  <w:num w:numId="28">
    <w:abstractNumId w:val="13"/>
  </w:num>
  <w:num w:numId="29">
    <w:abstractNumId w:val="14"/>
  </w:num>
  <w:num w:numId="30">
    <w:abstractNumId w:val="9"/>
  </w:num>
  <w:num w:numId="31">
    <w:abstractNumId w:val="20"/>
  </w:num>
  <w:num w:numId="32">
    <w:abstractNumId w:val="8"/>
  </w:num>
  <w:num w:numId="33">
    <w:abstractNumId w:val="15"/>
  </w:num>
  <w:num w:numId="34">
    <w:abstractNumId w:val="17"/>
  </w:num>
  <w:num w:numId="35">
    <w:abstractNumId w:val="18"/>
  </w:num>
  <w:num w:numId="36">
    <w:abstractNumId w:val="10"/>
  </w:num>
  <w:num w:numId="37">
    <w:abstractNumId w:val="16"/>
  </w:num>
  <w:num w:numId="38">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hideSpellingErrors/>
  <w:hideGrammaticalErrors/>
  <w:attachedTemplate r:id="rId1"/>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1-08-04 11:28:43"/>
    <w:docVar w:name="DQCResult_Distribution" w:val="0;0"/>
    <w:docVar w:name="DQCResult_DocumentContent" w:val="0;0"/>
    <w:docVar w:name="DQCResult_DocumentSize" w:val="0;0"/>
    <w:docVar w:name="DQCResult_DocumentVersions" w:val="0;0"/>
    <w:docVar w:name="DQCResult_InvalidFootnotes" w:val="0;1"/>
    <w:docVar w:name="DQCResult_LinkedStyles" w:val="0;0"/>
    <w:docVar w:name="DQCResult_ModifiedMargins" w:val="0;2"/>
    <w:docVar w:name="DQCResult_ModifiedMarkers" w:val="0;0"/>
    <w:docVar w:name="DQCResult_ModifiedNumbering" w:val="0;0"/>
    <w:docVar w:name="DQCResult_Objects" w:val="0;0"/>
    <w:docVar w:name="DQCResult_Sections" w:val="0;0"/>
    <w:docVar w:name="DQCResult_StructureCheck" w:val="0;0"/>
    <w:docVar w:name="DQCResult_SuperfluousWhitespace" w:val="0;4"/>
    <w:docVar w:name="DQCResult_UnknownFonts" w:val="0;0"/>
    <w:docVar w:name="DQCResult_UnknownStyles" w:val="0;0"/>
    <w:docVar w:name="DQCStatus" w:val="Green"/>
    <w:docVar w:name="DQCVersion" w:val="3"/>
    <w:docVar w:name="DQCWithWarnings" w:val="0"/>
    <w:docVar w:name="LW_ACCOMPAGNANT" w:val="della"/>
    <w:docVar w:name="LW_ACCOMPAGNANT.CP" w:val="della"/>
    <w:docVar w:name="LW_ANNEX_NBR_FIRST" w:val="1"/>
    <w:docVar w:name="LW_ANNEX_NBR_LAST" w:val="1"/>
    <w:docVar w:name="LW_ANNEX_UNIQUE" w:val="1"/>
    <w:docVar w:name="LW_CORRIGENDUM" w:val="&lt;UNUSED&gt;"/>
    <w:docVar w:name="LW_COVERPAGE_EXISTS" w:val="True"/>
    <w:docVar w:name="LW_COVERPAGE_GUID" w:val="8339F905-E630-457E-B183-5F7758083B8B"/>
    <w:docVar w:name="LW_COVERPAGE_TYPE" w:val="1"/>
    <w:docVar w:name="LW_CROSSREFERENCE" w:val="&lt;UNUSED&gt;"/>
    <w:docVar w:name="LW_DocType" w:val="ANNEX"/>
    <w:docVar w:name="LW_EMISSION" w:val="11.8.2021"/>
    <w:docVar w:name="LW_EMISSION_ISODATE" w:val="2021-08-11"/>
    <w:docVar w:name="LW_EMISSION_LOCATION" w:val="BRX"/>
    <w:docVar w:name="LW_EMISSION_PREFIX" w:val="Bruxelles, "/>
    <w:docVar w:name="LW_EMISSION_SUFFIX" w:val=" "/>
    <w:docVar w:name="LW_ID_DOCSTRUCTURE" w:val="COM/ANNEX"/>
    <w:docVar w:name="LW_ID_DOCTYPE" w:val="SG-017"/>
    <w:docVar w:name="LW_LANGUE" w:val="IT"/>
    <w:docVar w:name="LW_LEVEL_OF_SENSITIVITY" w:val="Standard treatment"/>
    <w:docVar w:name="LW_NOM.INST" w:val="COMMISSIONE EUROPEA"/>
    <w:docVar w:name="LW_NOM.INST_JOINTDOC" w:val="&lt;EMPTY&gt;"/>
    <w:docVar w:name="LW_OBJETACTEPRINCIPAL" w:val="relativa alla posizione che dovrà essere assunta a nome dell'Unione europea nel Comitato misto SEE riguardo a una modifica del protocollo 31 dell'accordo SEE sulla cooperazione in settori specifici al di fuori delle quattro libertà_x000d__x000d__x000d__x000d__x000d__x000d__x000b__x000d__x000d__x000d__x000d__x000d__x000b_(Programma &quot;corpo europeo di solidarietà&quot;)"/>
    <w:docVar w:name="LW_OBJETACTEPRINCIPAL.CP" w:val="relativa alla posizione che dovrà essere assunta a nome dell'Unione europea nel Comitato misto SEE riguardo a una modifica del protocollo 31 dell'accordo SEE sulla cooperazione in settori specifici al di fuori delle quattro libertà_x000d__x000d__x000d__x000d__x000d__x000d__x000b__x000d__x000d__x000d__x000d__x000d__x000b_(Programma &quot;corpo europeo di solidarietà&quot;)"/>
    <w:docVar w:name="LW_PART_NBR" w:val="1"/>
    <w:docVar w:name="LW_PART_NBR_TOTAL" w:val="1"/>
    <w:docVar w:name="LW_REF.INST.NEW" w:val="COM"/>
    <w:docVar w:name="LW_REF.INST.NEW_ADOPTED" w:val="final"/>
    <w:docVar w:name="LW_REF.INST.NEW_TEXT" w:val="(2021) 466"/>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YPE.DOC" w:val="ALLEGATO"/>
    <w:docVar w:name="LW_TYPE.DOC.CP" w:val="ALLEGATO"/>
    <w:docVar w:name="LW_TYPEACTEPRINCIPAL" w:val="Proposta di DECISIONE DEL CONSIGLIO"/>
    <w:docVar w:name="LW_TYPEACTEPRINCIPAL.CP" w:val="Proposta di DECISIONE DEL CONSIGLIO"/>
    <w:docVar w:name="LwApiVersions" w:val="LW4CoDe 1.23.0.0; LW 8.0, Build 20210114"/>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it-IT"/>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1"/>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1"/>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1"/>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Paragraph">
    <w:name w:val="List Paragraph"/>
    <w:basedOn w:val="Normal"/>
    <w:uiPriority w:val="34"/>
    <w:qFormat/>
    <w:pPr>
      <w:spacing w:before="0" w:after="200" w:line="276" w:lineRule="auto"/>
      <w:ind w:left="720"/>
      <w:contextualSpacing/>
      <w:jc w:val="left"/>
    </w:pPr>
    <w:rPr>
      <w:rFonts w:cstheme="minorBidi"/>
      <w:szCs w:val="20"/>
    </w:rPr>
  </w:style>
  <w:style w:type="paragraph" w:customStyle="1" w:styleId="Articleheading">
    <w:name w:val="Article heading"/>
    <w:basedOn w:val="Normal"/>
    <w:link w:val="ArticleheadingChar"/>
    <w:qFormat/>
    <w:pPr>
      <w:keepNext/>
      <w:tabs>
        <w:tab w:val="left" w:pos="709"/>
      </w:tabs>
      <w:spacing w:before="360"/>
      <w:jc w:val="center"/>
    </w:pPr>
    <w:rPr>
      <w:i/>
      <w:color w:val="000000" w:themeColor="text1"/>
      <w:szCs w:val="24"/>
    </w:rPr>
  </w:style>
  <w:style w:type="paragraph" w:customStyle="1" w:styleId="Articletext">
    <w:name w:val="Article text"/>
    <w:basedOn w:val="Articleheading"/>
    <w:link w:val="ArticletextChar"/>
    <w:qFormat/>
    <w:pPr>
      <w:keepNext w:val="0"/>
      <w:spacing w:before="120"/>
      <w:jc w:val="both"/>
    </w:pPr>
    <w:rPr>
      <w:i w:val="0"/>
    </w:rPr>
  </w:style>
  <w:style w:type="character" w:customStyle="1" w:styleId="ArticleheadingChar">
    <w:name w:val="Article heading Char"/>
    <w:basedOn w:val="DefaultParagraphFont"/>
    <w:link w:val="Articleheading"/>
    <w:rPr>
      <w:rFonts w:ascii="Times New Roman" w:hAnsi="Times New Roman" w:cs="Times New Roman"/>
      <w:i/>
      <w:color w:val="000000" w:themeColor="text1"/>
      <w:sz w:val="24"/>
      <w:szCs w:val="24"/>
    </w:rPr>
  </w:style>
  <w:style w:type="character" w:customStyle="1" w:styleId="ArticletextChar">
    <w:name w:val="Article text Char"/>
    <w:basedOn w:val="ArticleheadingChar"/>
    <w:link w:val="Articletext"/>
    <w:rPr>
      <w:rFonts w:ascii="Times New Roman" w:hAnsi="Times New Roman" w:cs="Times New Roman"/>
      <w:i w:val="0"/>
      <w:color w:val="000000" w:themeColor="text1"/>
      <w:sz w:val="24"/>
      <w:szCs w:val="24"/>
    </w:rPr>
  </w:style>
  <w:style w:type="character" w:customStyle="1" w:styleId="Point1Char">
    <w:name w:val="Point 1 Char"/>
    <w:basedOn w:val="ArticletextChar"/>
    <w:rPr>
      <w:rFonts w:ascii="Times New Roman" w:hAnsi="Times New Roman" w:cs="Times New Roman"/>
      <w:i w:val="0"/>
      <w:color w:val="000000" w:themeColor="text1"/>
      <w:sz w:val="24"/>
      <w:szCs w:val="24"/>
      <w:lang w:val="it-IT"/>
    </w:rPr>
  </w:style>
  <w:style w:type="paragraph" w:customStyle="1" w:styleId="Point4b">
    <w:name w:val="Point 4b"/>
    <w:basedOn w:val="Point4"/>
    <w:qFormat/>
    <w:pPr>
      <w:tabs>
        <w:tab w:val="left" w:pos="1453"/>
      </w:tabs>
      <w:ind w:left="2552" w:firstLine="0"/>
      <w:jc w:val="left"/>
    </w:pPr>
    <w:rPr>
      <w:rFonts w:cstheme="minorBidi"/>
      <w:szCs w:val="20"/>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it-IT"/>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it-IT"/>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it-IT"/>
    </w:rPr>
  </w:style>
  <w:style w:type="character" w:styleId="Hyperlink">
    <w:name w:val="Hyperlink"/>
    <w:basedOn w:val="DefaultParagraphFont"/>
    <w:uiPriority w:val="99"/>
    <w:unhideWhenUsed/>
    <w:rPr>
      <w:color w:val="0000FF" w:themeColor="hyperlink"/>
      <w:u w:val="single"/>
    </w:rPr>
  </w:style>
  <w:style w:type="character" w:customStyle="1" w:styleId="Point0Char">
    <w:name w:val="Point 0 Char"/>
    <w:basedOn w:val="Point1Char"/>
    <w:rPr>
      <w:rFonts w:ascii="Times New Roman" w:hAnsi="Times New Roman" w:cs="Times New Roman"/>
      <w:i w:val="0"/>
      <w:color w:val="000000" w:themeColor="text1"/>
      <w:sz w:val="24"/>
      <w:szCs w:val="24"/>
      <w:lang w:val="it-IT"/>
    </w:rPr>
  </w:style>
  <w:style w:type="character" w:customStyle="1" w:styleId="Point2Char">
    <w:name w:val="Point 2 Char"/>
    <w:basedOn w:val="DefaultParagraphFont"/>
    <w:rPr>
      <w:rFonts w:ascii="Times New Roman" w:hAnsi="Times New Roman" w:cs="Times New Roman"/>
      <w:sz w:val="24"/>
      <w:lang w:val="it-IT"/>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it-IT"/>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it-IT"/>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4"/>
      </w:numPr>
    </w:pPr>
  </w:style>
  <w:style w:type="paragraph" w:customStyle="1" w:styleId="Tiret1">
    <w:name w:val="Tiret 1"/>
    <w:basedOn w:val="Point1"/>
    <w:pPr>
      <w:numPr>
        <w:numId w:val="25"/>
      </w:numPr>
    </w:pPr>
  </w:style>
  <w:style w:type="paragraph" w:customStyle="1" w:styleId="Tiret2">
    <w:name w:val="Tiret 2"/>
    <w:basedOn w:val="Point2"/>
    <w:pPr>
      <w:numPr>
        <w:numId w:val="26"/>
      </w:numPr>
    </w:pPr>
  </w:style>
  <w:style w:type="paragraph" w:customStyle="1" w:styleId="Tiret3">
    <w:name w:val="Tiret 3"/>
    <w:basedOn w:val="Point3"/>
    <w:pPr>
      <w:numPr>
        <w:numId w:val="27"/>
      </w:numPr>
    </w:pPr>
  </w:style>
  <w:style w:type="paragraph" w:customStyle="1" w:styleId="Tiret4">
    <w:name w:val="Tiret 4"/>
    <w:basedOn w:val="Point4"/>
    <w:pPr>
      <w:numPr>
        <w:numId w:val="28"/>
      </w:numPr>
    </w:pPr>
  </w:style>
  <w:style w:type="paragraph" w:customStyle="1" w:styleId="Tiret5">
    <w:name w:val="Tiret 5"/>
    <w:basedOn w:val="Point5"/>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NumPar5">
    <w:name w:val="NumPar 5"/>
    <w:basedOn w:val="Normal"/>
    <w:next w:val="Text2"/>
    <w:pPr>
      <w:numPr>
        <w:ilvl w:val="4"/>
        <w:numId w:val="30"/>
      </w:numPr>
    </w:pPr>
  </w:style>
  <w:style w:type="paragraph" w:customStyle="1" w:styleId="NumPar6">
    <w:name w:val="NumPar 6"/>
    <w:basedOn w:val="Normal"/>
    <w:next w:val="Text2"/>
    <w:pPr>
      <w:numPr>
        <w:ilvl w:val="5"/>
        <w:numId w:val="30"/>
      </w:numPr>
    </w:pPr>
  </w:style>
  <w:style w:type="paragraph" w:customStyle="1" w:styleId="NumPar7">
    <w:name w:val="NumPar 7"/>
    <w:basedOn w:val="Normal"/>
    <w:next w:val="Text2"/>
    <w:pPr>
      <w:numPr>
        <w:ilvl w:val="6"/>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lang w:val="it-IT"/>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1"/>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1"/>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1"/>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ListParagraph">
    <w:name w:val="List Paragraph"/>
    <w:basedOn w:val="Normal"/>
    <w:uiPriority w:val="34"/>
    <w:qFormat/>
    <w:pPr>
      <w:spacing w:before="0" w:after="200" w:line="276" w:lineRule="auto"/>
      <w:ind w:left="720"/>
      <w:contextualSpacing/>
      <w:jc w:val="left"/>
    </w:pPr>
    <w:rPr>
      <w:rFonts w:cstheme="minorBidi"/>
      <w:szCs w:val="20"/>
    </w:rPr>
  </w:style>
  <w:style w:type="paragraph" w:customStyle="1" w:styleId="Articleheading">
    <w:name w:val="Article heading"/>
    <w:basedOn w:val="Normal"/>
    <w:link w:val="ArticleheadingChar"/>
    <w:qFormat/>
    <w:pPr>
      <w:keepNext/>
      <w:tabs>
        <w:tab w:val="left" w:pos="709"/>
      </w:tabs>
      <w:spacing w:before="360"/>
      <w:jc w:val="center"/>
    </w:pPr>
    <w:rPr>
      <w:i/>
      <w:color w:val="000000" w:themeColor="text1"/>
      <w:szCs w:val="24"/>
    </w:rPr>
  </w:style>
  <w:style w:type="paragraph" w:customStyle="1" w:styleId="Articletext">
    <w:name w:val="Article text"/>
    <w:basedOn w:val="Articleheading"/>
    <w:link w:val="ArticletextChar"/>
    <w:qFormat/>
    <w:pPr>
      <w:keepNext w:val="0"/>
      <w:spacing w:before="120"/>
      <w:jc w:val="both"/>
    </w:pPr>
    <w:rPr>
      <w:i w:val="0"/>
    </w:rPr>
  </w:style>
  <w:style w:type="character" w:customStyle="1" w:styleId="ArticleheadingChar">
    <w:name w:val="Article heading Char"/>
    <w:basedOn w:val="DefaultParagraphFont"/>
    <w:link w:val="Articleheading"/>
    <w:rPr>
      <w:rFonts w:ascii="Times New Roman" w:hAnsi="Times New Roman" w:cs="Times New Roman"/>
      <w:i/>
      <w:color w:val="000000" w:themeColor="text1"/>
      <w:sz w:val="24"/>
      <w:szCs w:val="24"/>
    </w:rPr>
  </w:style>
  <w:style w:type="character" w:customStyle="1" w:styleId="ArticletextChar">
    <w:name w:val="Article text Char"/>
    <w:basedOn w:val="ArticleheadingChar"/>
    <w:link w:val="Articletext"/>
    <w:rPr>
      <w:rFonts w:ascii="Times New Roman" w:hAnsi="Times New Roman" w:cs="Times New Roman"/>
      <w:i w:val="0"/>
      <w:color w:val="000000" w:themeColor="text1"/>
      <w:sz w:val="24"/>
      <w:szCs w:val="24"/>
    </w:rPr>
  </w:style>
  <w:style w:type="character" w:customStyle="1" w:styleId="Point1Char">
    <w:name w:val="Point 1 Char"/>
    <w:basedOn w:val="ArticletextChar"/>
    <w:rPr>
      <w:rFonts w:ascii="Times New Roman" w:hAnsi="Times New Roman" w:cs="Times New Roman"/>
      <w:i w:val="0"/>
      <w:color w:val="000000" w:themeColor="text1"/>
      <w:sz w:val="24"/>
      <w:szCs w:val="24"/>
      <w:lang w:val="it-IT"/>
    </w:rPr>
  </w:style>
  <w:style w:type="paragraph" w:customStyle="1" w:styleId="Point4b">
    <w:name w:val="Point 4b"/>
    <w:basedOn w:val="Point4"/>
    <w:qFormat/>
    <w:pPr>
      <w:tabs>
        <w:tab w:val="left" w:pos="1453"/>
      </w:tabs>
      <w:ind w:left="2552" w:firstLine="0"/>
      <w:jc w:val="left"/>
    </w:pPr>
    <w:rPr>
      <w:rFonts w:cstheme="minorBidi"/>
      <w:szCs w:val="20"/>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it-IT"/>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it-IT"/>
    </w:r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it-IT"/>
    </w:rPr>
  </w:style>
  <w:style w:type="character" w:styleId="Hyperlink">
    <w:name w:val="Hyperlink"/>
    <w:basedOn w:val="DefaultParagraphFont"/>
    <w:uiPriority w:val="99"/>
    <w:unhideWhenUsed/>
    <w:rPr>
      <w:color w:val="0000FF" w:themeColor="hyperlink"/>
      <w:u w:val="single"/>
    </w:rPr>
  </w:style>
  <w:style w:type="character" w:customStyle="1" w:styleId="Point0Char">
    <w:name w:val="Point 0 Char"/>
    <w:basedOn w:val="Point1Char"/>
    <w:rPr>
      <w:rFonts w:ascii="Times New Roman" w:hAnsi="Times New Roman" w:cs="Times New Roman"/>
      <w:i w:val="0"/>
      <w:color w:val="000000" w:themeColor="text1"/>
      <w:sz w:val="24"/>
      <w:szCs w:val="24"/>
      <w:lang w:val="it-IT"/>
    </w:rPr>
  </w:style>
  <w:style w:type="character" w:customStyle="1" w:styleId="Point2Char">
    <w:name w:val="Point 2 Char"/>
    <w:basedOn w:val="DefaultParagraphFont"/>
    <w:rPr>
      <w:rFonts w:ascii="Times New Roman" w:hAnsi="Times New Roman" w:cs="Times New Roman"/>
      <w:sz w:val="24"/>
      <w:lang w:val="it-IT"/>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it-IT"/>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it-IT"/>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pPr>
      <w:spacing w:before="0"/>
      <w:jc w:val="right"/>
    </w:pPr>
    <w:rPr>
      <w:sz w:val="28"/>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4"/>
      </w:numPr>
    </w:pPr>
  </w:style>
  <w:style w:type="paragraph" w:customStyle="1" w:styleId="Tiret1">
    <w:name w:val="Tiret 1"/>
    <w:basedOn w:val="Point1"/>
    <w:pPr>
      <w:numPr>
        <w:numId w:val="25"/>
      </w:numPr>
    </w:pPr>
  </w:style>
  <w:style w:type="paragraph" w:customStyle="1" w:styleId="Tiret2">
    <w:name w:val="Tiret 2"/>
    <w:basedOn w:val="Point2"/>
    <w:pPr>
      <w:numPr>
        <w:numId w:val="26"/>
      </w:numPr>
    </w:pPr>
  </w:style>
  <w:style w:type="paragraph" w:customStyle="1" w:styleId="Tiret3">
    <w:name w:val="Tiret 3"/>
    <w:basedOn w:val="Point3"/>
    <w:pPr>
      <w:numPr>
        <w:numId w:val="27"/>
      </w:numPr>
    </w:pPr>
  </w:style>
  <w:style w:type="paragraph" w:customStyle="1" w:styleId="Tiret4">
    <w:name w:val="Tiret 4"/>
    <w:basedOn w:val="Point4"/>
    <w:pPr>
      <w:numPr>
        <w:numId w:val="28"/>
      </w:numPr>
    </w:pPr>
  </w:style>
  <w:style w:type="paragraph" w:customStyle="1" w:styleId="Tiret5">
    <w:name w:val="Tiret 5"/>
    <w:basedOn w:val="Point5"/>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NumPar5">
    <w:name w:val="NumPar 5"/>
    <w:basedOn w:val="Normal"/>
    <w:next w:val="Text2"/>
    <w:pPr>
      <w:numPr>
        <w:ilvl w:val="4"/>
        <w:numId w:val="30"/>
      </w:numPr>
    </w:pPr>
  </w:style>
  <w:style w:type="paragraph" w:customStyle="1" w:styleId="NumPar6">
    <w:name w:val="NumPar 6"/>
    <w:basedOn w:val="Normal"/>
    <w:next w:val="Text2"/>
    <w:pPr>
      <w:numPr>
        <w:ilvl w:val="5"/>
        <w:numId w:val="30"/>
      </w:numPr>
    </w:pPr>
  </w:style>
  <w:style w:type="paragraph" w:customStyle="1" w:styleId="NumPar7">
    <w:name w:val="NumPar 7"/>
    <w:basedOn w:val="Normal"/>
    <w:next w:val="Text2"/>
    <w:pPr>
      <w:numPr>
        <w:ilvl w:val="6"/>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A48E1-376C-4A4C-8942-BBAF4E1FF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1</TotalTime>
  <Pages>3</Pages>
  <Words>558</Words>
  <Characters>3187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16</cp:revision>
  <dcterms:created xsi:type="dcterms:W3CDTF">2021-07-23T14:13:00Z</dcterms:created>
  <dcterms:modified xsi:type="dcterms:W3CDTF">2021-08-04T09:28:00Z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Version">
    <vt:lpwstr>7.0.8.0</vt:lpwstr>
  </property>
  <property fmtid="{D5CDD505-2E9C-101B-9397-08002B2CF9AE}" pid="4" name="Last edited using">
    <vt:lpwstr>LW 7.0.1, Build 20200226</vt:lpwstr>
  </property>
  <property fmtid="{D5CDD505-2E9C-101B-9397-08002B2CF9AE}" pid="5" name="Created using">
    <vt:lpwstr>LW 7.0, Build 20190717</vt:lpwstr>
  </property>
  <property fmtid="{D5CDD505-2E9C-101B-9397-08002B2CF9AE}" pid="6" name="First annex">
    <vt:lpwstr>1</vt:lpwstr>
  </property>
  <property fmtid="{D5CDD505-2E9C-101B-9397-08002B2CF9AE}" pid="7" name="Last annex">
    <vt:lpwstr>1</vt:lpwstr>
  </property>
  <property fmtid="{D5CDD505-2E9C-101B-9397-08002B2CF9AE}" pid="8" name="Unique annex">
    <vt:lpwstr>1</vt:lpwstr>
  </property>
  <property fmtid="{D5CDD505-2E9C-101B-9397-08002B2CF9AE}" pid="9" name="Part">
    <vt:lpwstr>1</vt:lpwstr>
  </property>
  <property fmtid="{D5CDD505-2E9C-101B-9397-08002B2CF9AE}" pid="10" name="Total parts">
    <vt:lpwstr>1</vt:lpwstr>
  </property>
  <property fmtid="{D5CDD505-2E9C-101B-9397-08002B2CF9AE}" pid="11" name="Level of sensitivity">
    <vt:lpwstr>Standard treatment</vt:lpwstr>
  </property>
  <property fmtid="{D5CDD505-2E9C-101B-9397-08002B2CF9AE}" pid="12" name="LWTemplateID">
    <vt:lpwstr>SG-017</vt:lpwstr>
  </property>
  <property fmtid="{D5CDD505-2E9C-101B-9397-08002B2CF9AE}" pid="13" name="DQCStatus">
    <vt:lpwstr>Green (DQC version 03)</vt:lpwstr>
  </property>
  <property name="OP_sanitized" fmtid="{D5CDD505-2E9C-101B-9397-08002B2CF9AE}" pid="14">
    <vt:lpwstr>True</vt:lpwstr>
  </property>
</Properties>
</file>