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alt="085D9165-1028-4D95-B071-C51A8A17A396" style="width:455.25pt;height:470.25pt">
            <v:imagedata r:id="rId9" o:title=""/>
          </v:shape>
        </w:pict>
      </w:r>
    </w:p>
    <w:p>
      <w:pPr>
        <w:rPr>
          <w:noProof/>
        </w:rPr>
        <w:sectPr>
          <w:headerReference w:type="even" r:id="rId10"/>
          <w:headerReference w:type="default" r:id="rId11"/>
          <w:footerReference w:type="even" r:id="rId12"/>
          <w:footerReference w:type="default" r:id="rId13"/>
          <w:headerReference w:type="first" r:id="rId14"/>
          <w:footerReference w:type="first" r:id="rId15"/>
          <w:pgSz w:w="11907" w:h="16839"/>
          <w:pgMar w:top="1134" w:right="1417" w:bottom="1134" w:left="1417" w:header="709" w:footer="709" w:gutter="0"/>
          <w:pgNumType w:start="0"/>
          <w:cols w:space="720"/>
          <w:docGrid w:linePitch="360"/>
        </w:sectPr>
      </w:pPr>
    </w:p>
    <w:p>
      <w:pPr>
        <w:pStyle w:val="Annexetitre"/>
        <w:rPr>
          <w:noProof/>
        </w:rPr>
      </w:pPr>
      <w:bookmarkStart w:id="0" w:name="_GoBack"/>
      <w:bookmarkEnd w:id="0"/>
      <w:r>
        <w:rPr>
          <w:noProof/>
        </w:rPr>
        <w:lastRenderedPageBreak/>
        <w:t>IARSCRÍBHINN I</w:t>
      </w:r>
    </w:p>
    <w:p>
      <w:pPr>
        <w:keepNext/>
        <w:tabs>
          <w:tab w:val="left" w:pos="4252"/>
        </w:tabs>
        <w:spacing w:before="720" w:after="0"/>
        <w:rPr>
          <w:noProof/>
        </w:rPr>
      </w:pPr>
      <w:r>
        <w:rPr>
          <w:noProof/>
        </w:rPr>
        <w:t>Leasaítear na hIarscríbhinní a ghabhann le Treoir (AE) 2018/2001 mar a leanas:</w:t>
      </w:r>
    </w:p>
    <w:p>
      <w:pPr>
        <w:pStyle w:val="Point1number"/>
        <w:numPr>
          <w:ilvl w:val="2"/>
          <w:numId w:val="10"/>
        </w:numPr>
        <w:rPr>
          <w:noProof/>
        </w:rPr>
      </w:pPr>
      <w:r>
        <w:rPr>
          <w:noProof/>
        </w:rPr>
        <w:t xml:space="preserve">in Iarscríbhinn I, scriostar an ró deiridh sa tábla; </w:t>
      </w:r>
    </w:p>
    <w:p>
      <w:pPr>
        <w:pStyle w:val="Point1number"/>
        <w:rPr>
          <w:noProof/>
        </w:rPr>
      </w:pPr>
      <w:r>
        <w:rPr>
          <w:noProof/>
        </w:rPr>
        <w:t>cuirtear an Iarscríbhinn 1a seo a leanas isteach:</w:t>
      </w:r>
    </w:p>
    <w:p>
      <w:pPr>
        <w:ind w:left="850"/>
        <w:jc w:val="center"/>
        <w:rPr>
          <w:noProof/>
        </w:rPr>
      </w:pPr>
      <w:r>
        <w:rPr>
          <w:noProof/>
        </w:rPr>
        <w:t>‘</w:t>
      </w:r>
      <w:r>
        <w:rPr>
          <w:i/>
          <w:noProof/>
        </w:rPr>
        <w:t>IARSCRÍBHINN 1a</w:t>
      </w:r>
    </w:p>
    <w:p>
      <w:pPr>
        <w:ind w:left="850"/>
        <w:rPr>
          <w:b/>
          <w:bCs/>
          <w:noProof/>
          <w:color w:val="000000"/>
          <w:sz w:val="20"/>
        </w:rPr>
      </w:pPr>
      <w:r>
        <w:rPr>
          <w:b/>
          <w:bCs/>
          <w:noProof/>
          <w:color w:val="000000"/>
          <w:sz w:val="20"/>
        </w:rPr>
        <w:t xml:space="preserve">SCIARTHA NÁISIÚNTA A BHAINEANN LE TÉAMH AGUS FUARÚ DEN FHUINNEAMH Ó FHOINSÍ INATHNUAITE SAN OLLTOMHALTAS DEIRIDH FUINNIMH LE hAGHAIDH 2020-2030 </w:t>
      </w:r>
    </w:p>
    <w:p>
      <w:pPr>
        <w:ind w:left="850"/>
        <w:rPr>
          <w:b/>
          <w:bCs/>
          <w:noProof/>
          <w:color w:val="000000"/>
          <w:sz w:val="20"/>
        </w:rPr>
      </w:pPr>
    </w:p>
    <w:tbl>
      <w:tblPr>
        <w:tblStyle w:val="TableGrid"/>
        <w:tblW w:w="0" w:type="auto"/>
        <w:tblLook w:val="04A0" w:firstRow="1" w:lastRow="0" w:firstColumn="1" w:lastColumn="0" w:noHBand="0" w:noVBand="1"/>
      </w:tblPr>
      <w:tblGrid>
        <w:gridCol w:w="1848"/>
        <w:gridCol w:w="2938"/>
        <w:gridCol w:w="3119"/>
      </w:tblGrid>
      <w:tr>
        <w:tc>
          <w:tcPr>
            <w:tcW w:w="1848" w:type="dxa"/>
          </w:tcPr>
          <w:p>
            <w:pPr>
              <w:rPr>
                <w:noProof/>
              </w:rPr>
            </w:pPr>
          </w:p>
        </w:tc>
        <w:tc>
          <w:tcPr>
            <w:tcW w:w="2938" w:type="dxa"/>
          </w:tcPr>
          <w:p>
            <w:pPr>
              <w:jc w:val="center"/>
              <w:rPr>
                <w:b/>
                <w:noProof/>
              </w:rPr>
            </w:pPr>
            <w:r>
              <w:rPr>
                <w:b/>
                <w:noProof/>
              </w:rPr>
              <w:t>Méadú ar sciartha bonnlíne (i bpointí céatadáin)</w:t>
            </w:r>
          </w:p>
          <w:p>
            <w:pPr>
              <w:jc w:val="center"/>
              <w:rPr>
                <w:b/>
                <w:noProof/>
              </w:rPr>
            </w:pPr>
            <w:r>
              <w:rPr>
                <w:b/>
                <w:noProof/>
              </w:rPr>
              <w:t>(REF20/NECPanna)</w:t>
            </w:r>
          </w:p>
        </w:tc>
        <w:tc>
          <w:tcPr>
            <w:tcW w:w="3119" w:type="dxa"/>
          </w:tcPr>
          <w:p>
            <w:pPr>
              <w:jc w:val="center"/>
              <w:rPr>
                <w:b/>
                <w:noProof/>
              </w:rPr>
            </w:pPr>
            <w:r>
              <w:rPr>
                <w:b/>
                <w:noProof/>
              </w:rPr>
              <w:t>Sciartha a bhaineann le téamh agus fuarú inathnuaite in 2030 mar thoradh air sin i bpointí céatadáin, lena n</w:t>
            </w:r>
            <w:r>
              <w:rPr>
                <w:b/>
                <w:noProof/>
              </w:rPr>
              <w:noBreakHyphen/>
              <w:t>áirítear breisithe (ar a laghad)</w:t>
            </w:r>
          </w:p>
        </w:tc>
      </w:tr>
      <w:tr>
        <w:tc>
          <w:tcPr>
            <w:tcW w:w="1848" w:type="dxa"/>
          </w:tcPr>
          <w:p>
            <w:pPr>
              <w:rPr>
                <w:b/>
                <w:noProof/>
              </w:rPr>
            </w:pPr>
            <w:r>
              <w:rPr>
                <w:b/>
                <w:noProof/>
              </w:rPr>
              <w:t>an Bheilg</w:t>
            </w:r>
          </w:p>
        </w:tc>
        <w:tc>
          <w:tcPr>
            <w:tcW w:w="2938" w:type="dxa"/>
          </w:tcPr>
          <w:p>
            <w:pPr>
              <w:rPr>
                <w:noProof/>
              </w:rPr>
            </w:pPr>
            <w:r>
              <w:rPr>
                <w:noProof/>
              </w:rPr>
              <w:t>0,3 %</w:t>
            </w:r>
          </w:p>
        </w:tc>
        <w:tc>
          <w:tcPr>
            <w:tcW w:w="3119" w:type="dxa"/>
          </w:tcPr>
          <w:p>
            <w:pPr>
              <w:rPr>
                <w:noProof/>
              </w:rPr>
            </w:pPr>
            <w:r>
              <w:rPr>
                <w:noProof/>
              </w:rPr>
              <w:t>1,4 %</w:t>
            </w:r>
          </w:p>
        </w:tc>
      </w:tr>
      <w:tr>
        <w:tc>
          <w:tcPr>
            <w:tcW w:w="1848" w:type="dxa"/>
          </w:tcPr>
          <w:p>
            <w:pPr>
              <w:rPr>
                <w:b/>
                <w:noProof/>
              </w:rPr>
            </w:pPr>
            <w:r>
              <w:rPr>
                <w:b/>
                <w:noProof/>
              </w:rPr>
              <w:t>an Bhulgáir</w:t>
            </w:r>
          </w:p>
        </w:tc>
        <w:tc>
          <w:tcPr>
            <w:tcW w:w="2938" w:type="dxa"/>
          </w:tcPr>
          <w:p>
            <w:pPr>
              <w:rPr>
                <w:noProof/>
              </w:rPr>
            </w:pPr>
            <w:r>
              <w:rPr>
                <w:noProof/>
              </w:rPr>
              <w:t>0,9 %</w:t>
            </w:r>
          </w:p>
        </w:tc>
        <w:tc>
          <w:tcPr>
            <w:tcW w:w="3119" w:type="dxa"/>
          </w:tcPr>
          <w:p>
            <w:pPr>
              <w:rPr>
                <w:noProof/>
              </w:rPr>
            </w:pPr>
            <w:r>
              <w:rPr>
                <w:noProof/>
              </w:rPr>
              <w:t>1,4 %</w:t>
            </w:r>
          </w:p>
        </w:tc>
      </w:tr>
      <w:tr>
        <w:tc>
          <w:tcPr>
            <w:tcW w:w="1848" w:type="dxa"/>
          </w:tcPr>
          <w:p>
            <w:pPr>
              <w:rPr>
                <w:b/>
                <w:noProof/>
              </w:rPr>
            </w:pPr>
            <w:r>
              <w:rPr>
                <w:b/>
                <w:noProof/>
              </w:rPr>
              <w:t>Poblacht na Seice</w:t>
            </w:r>
          </w:p>
        </w:tc>
        <w:tc>
          <w:tcPr>
            <w:tcW w:w="2938" w:type="dxa"/>
          </w:tcPr>
          <w:p>
            <w:pPr>
              <w:rPr>
                <w:noProof/>
              </w:rPr>
            </w:pPr>
            <w:r>
              <w:rPr>
                <w:noProof/>
              </w:rPr>
              <w:t>0,5 %</w:t>
            </w:r>
          </w:p>
        </w:tc>
        <w:tc>
          <w:tcPr>
            <w:tcW w:w="3119" w:type="dxa"/>
          </w:tcPr>
          <w:p>
            <w:pPr>
              <w:rPr>
                <w:noProof/>
              </w:rPr>
            </w:pPr>
            <w:r>
              <w:rPr>
                <w:noProof/>
              </w:rPr>
              <w:t>1,4 %</w:t>
            </w:r>
          </w:p>
        </w:tc>
      </w:tr>
      <w:tr>
        <w:tc>
          <w:tcPr>
            <w:tcW w:w="1848" w:type="dxa"/>
          </w:tcPr>
          <w:p>
            <w:pPr>
              <w:rPr>
                <w:b/>
                <w:noProof/>
              </w:rPr>
            </w:pPr>
            <w:r>
              <w:rPr>
                <w:b/>
                <w:noProof/>
              </w:rPr>
              <w:t>an Danmhairg</w:t>
            </w:r>
          </w:p>
        </w:tc>
        <w:tc>
          <w:tcPr>
            <w:tcW w:w="2938" w:type="dxa"/>
          </w:tcPr>
          <w:p>
            <w:pPr>
              <w:rPr>
                <w:noProof/>
              </w:rPr>
            </w:pPr>
            <w:r>
              <w:rPr>
                <w:noProof/>
              </w:rPr>
              <w:t>0,9 %</w:t>
            </w:r>
          </w:p>
        </w:tc>
        <w:tc>
          <w:tcPr>
            <w:tcW w:w="3119" w:type="dxa"/>
          </w:tcPr>
          <w:p>
            <w:pPr>
              <w:rPr>
                <w:noProof/>
              </w:rPr>
            </w:pPr>
            <w:r>
              <w:rPr>
                <w:noProof/>
              </w:rPr>
              <w:t>1,4 %</w:t>
            </w:r>
          </w:p>
        </w:tc>
      </w:tr>
      <w:tr>
        <w:tc>
          <w:tcPr>
            <w:tcW w:w="1848" w:type="dxa"/>
          </w:tcPr>
          <w:p>
            <w:pPr>
              <w:rPr>
                <w:b/>
                <w:noProof/>
              </w:rPr>
            </w:pPr>
            <w:r>
              <w:rPr>
                <w:b/>
                <w:noProof/>
              </w:rPr>
              <w:t>an Ghearmáin</w:t>
            </w:r>
          </w:p>
        </w:tc>
        <w:tc>
          <w:tcPr>
            <w:tcW w:w="2938" w:type="dxa"/>
          </w:tcPr>
          <w:p>
            <w:pPr>
              <w:rPr>
                <w:noProof/>
              </w:rPr>
            </w:pPr>
            <w:r>
              <w:rPr>
                <w:noProof/>
              </w:rPr>
              <w:t>0,9 %</w:t>
            </w:r>
          </w:p>
        </w:tc>
        <w:tc>
          <w:tcPr>
            <w:tcW w:w="3119" w:type="dxa"/>
          </w:tcPr>
          <w:p>
            <w:pPr>
              <w:rPr>
                <w:noProof/>
              </w:rPr>
            </w:pPr>
            <w:r>
              <w:rPr>
                <w:noProof/>
              </w:rPr>
              <w:t>1,5 %</w:t>
            </w:r>
          </w:p>
        </w:tc>
      </w:tr>
      <w:tr>
        <w:tc>
          <w:tcPr>
            <w:tcW w:w="1848" w:type="dxa"/>
          </w:tcPr>
          <w:p>
            <w:pPr>
              <w:rPr>
                <w:b/>
                <w:noProof/>
              </w:rPr>
            </w:pPr>
            <w:r>
              <w:rPr>
                <w:b/>
                <w:noProof/>
              </w:rPr>
              <w:t>an Eastóin</w:t>
            </w:r>
          </w:p>
        </w:tc>
        <w:tc>
          <w:tcPr>
            <w:tcW w:w="2938" w:type="dxa"/>
          </w:tcPr>
          <w:p>
            <w:pPr>
              <w:rPr>
                <w:noProof/>
              </w:rPr>
            </w:pPr>
            <w:r>
              <w:rPr>
                <w:noProof/>
              </w:rPr>
              <w:t>1,2 %</w:t>
            </w:r>
          </w:p>
        </w:tc>
        <w:tc>
          <w:tcPr>
            <w:tcW w:w="3119" w:type="dxa"/>
          </w:tcPr>
          <w:p>
            <w:pPr>
              <w:rPr>
                <w:noProof/>
              </w:rPr>
            </w:pPr>
            <w:r>
              <w:rPr>
                <w:noProof/>
              </w:rPr>
              <w:t>1,5 %</w:t>
            </w:r>
          </w:p>
        </w:tc>
      </w:tr>
      <w:tr>
        <w:tc>
          <w:tcPr>
            <w:tcW w:w="1848" w:type="dxa"/>
          </w:tcPr>
          <w:p>
            <w:pPr>
              <w:rPr>
                <w:b/>
                <w:noProof/>
              </w:rPr>
            </w:pPr>
            <w:r>
              <w:rPr>
                <w:b/>
                <w:noProof/>
              </w:rPr>
              <w:t>Éire</w:t>
            </w:r>
          </w:p>
        </w:tc>
        <w:tc>
          <w:tcPr>
            <w:tcW w:w="2938" w:type="dxa"/>
          </w:tcPr>
          <w:p>
            <w:pPr>
              <w:rPr>
                <w:noProof/>
              </w:rPr>
            </w:pPr>
            <w:r>
              <w:rPr>
                <w:noProof/>
              </w:rPr>
              <w:t>2,1 %</w:t>
            </w:r>
          </w:p>
        </w:tc>
        <w:tc>
          <w:tcPr>
            <w:tcW w:w="3119" w:type="dxa"/>
          </w:tcPr>
          <w:p>
            <w:pPr>
              <w:rPr>
                <w:noProof/>
              </w:rPr>
            </w:pPr>
            <w:r>
              <w:rPr>
                <w:noProof/>
              </w:rPr>
              <w:t>2,9 %</w:t>
            </w:r>
          </w:p>
        </w:tc>
      </w:tr>
      <w:tr>
        <w:tc>
          <w:tcPr>
            <w:tcW w:w="1848" w:type="dxa"/>
          </w:tcPr>
          <w:p>
            <w:pPr>
              <w:rPr>
                <w:b/>
                <w:noProof/>
              </w:rPr>
            </w:pPr>
            <w:r>
              <w:rPr>
                <w:b/>
                <w:noProof/>
              </w:rPr>
              <w:t>an Ghréig</w:t>
            </w:r>
          </w:p>
        </w:tc>
        <w:tc>
          <w:tcPr>
            <w:tcW w:w="2938" w:type="dxa"/>
          </w:tcPr>
          <w:p>
            <w:pPr>
              <w:rPr>
                <w:noProof/>
              </w:rPr>
            </w:pPr>
            <w:r>
              <w:rPr>
                <w:noProof/>
              </w:rPr>
              <w:t>1,6 %</w:t>
            </w:r>
          </w:p>
        </w:tc>
        <w:tc>
          <w:tcPr>
            <w:tcW w:w="3119" w:type="dxa"/>
          </w:tcPr>
          <w:p>
            <w:pPr>
              <w:rPr>
                <w:noProof/>
              </w:rPr>
            </w:pPr>
            <w:r>
              <w:rPr>
                <w:noProof/>
              </w:rPr>
              <w:t>2,0 %</w:t>
            </w:r>
          </w:p>
        </w:tc>
      </w:tr>
      <w:tr>
        <w:tc>
          <w:tcPr>
            <w:tcW w:w="1848" w:type="dxa"/>
          </w:tcPr>
          <w:p>
            <w:pPr>
              <w:rPr>
                <w:b/>
                <w:noProof/>
              </w:rPr>
            </w:pPr>
            <w:r>
              <w:rPr>
                <w:b/>
                <w:noProof/>
              </w:rPr>
              <w:t>an Spáinn</w:t>
            </w:r>
          </w:p>
        </w:tc>
        <w:tc>
          <w:tcPr>
            <w:tcW w:w="2938" w:type="dxa"/>
          </w:tcPr>
          <w:p>
            <w:pPr>
              <w:rPr>
                <w:noProof/>
              </w:rPr>
            </w:pPr>
            <w:r>
              <w:rPr>
                <w:noProof/>
              </w:rPr>
              <w:t>1,1 %</w:t>
            </w:r>
          </w:p>
        </w:tc>
        <w:tc>
          <w:tcPr>
            <w:tcW w:w="3119" w:type="dxa"/>
          </w:tcPr>
          <w:p>
            <w:pPr>
              <w:rPr>
                <w:noProof/>
              </w:rPr>
            </w:pPr>
            <w:r>
              <w:rPr>
                <w:noProof/>
              </w:rPr>
              <w:t>1,4 %</w:t>
            </w:r>
          </w:p>
        </w:tc>
      </w:tr>
      <w:tr>
        <w:tc>
          <w:tcPr>
            <w:tcW w:w="1848" w:type="dxa"/>
          </w:tcPr>
          <w:p>
            <w:pPr>
              <w:rPr>
                <w:b/>
                <w:noProof/>
              </w:rPr>
            </w:pPr>
            <w:r>
              <w:rPr>
                <w:b/>
                <w:noProof/>
              </w:rPr>
              <w:t>an Fhrainc</w:t>
            </w:r>
          </w:p>
        </w:tc>
        <w:tc>
          <w:tcPr>
            <w:tcW w:w="2938" w:type="dxa"/>
          </w:tcPr>
          <w:p>
            <w:pPr>
              <w:rPr>
                <w:noProof/>
              </w:rPr>
            </w:pPr>
            <w:r>
              <w:rPr>
                <w:noProof/>
              </w:rPr>
              <w:t>1,4 %</w:t>
            </w:r>
          </w:p>
        </w:tc>
        <w:tc>
          <w:tcPr>
            <w:tcW w:w="3119" w:type="dxa"/>
          </w:tcPr>
          <w:p>
            <w:pPr>
              <w:rPr>
                <w:noProof/>
              </w:rPr>
            </w:pPr>
            <w:r>
              <w:rPr>
                <w:noProof/>
              </w:rPr>
              <w:t>1,8 %</w:t>
            </w:r>
          </w:p>
        </w:tc>
      </w:tr>
      <w:tr>
        <w:tc>
          <w:tcPr>
            <w:tcW w:w="1848" w:type="dxa"/>
          </w:tcPr>
          <w:p>
            <w:pPr>
              <w:rPr>
                <w:b/>
                <w:noProof/>
              </w:rPr>
            </w:pPr>
            <w:r>
              <w:rPr>
                <w:b/>
                <w:noProof/>
              </w:rPr>
              <w:t>an Chróit</w:t>
            </w:r>
          </w:p>
        </w:tc>
        <w:tc>
          <w:tcPr>
            <w:tcW w:w="2938" w:type="dxa"/>
          </w:tcPr>
          <w:p>
            <w:pPr>
              <w:rPr>
                <w:noProof/>
              </w:rPr>
            </w:pPr>
            <w:r>
              <w:rPr>
                <w:noProof/>
              </w:rPr>
              <w:t>0,7 %</w:t>
            </w:r>
          </w:p>
        </w:tc>
        <w:tc>
          <w:tcPr>
            <w:tcW w:w="3119" w:type="dxa"/>
          </w:tcPr>
          <w:p>
            <w:pPr>
              <w:rPr>
                <w:noProof/>
              </w:rPr>
            </w:pPr>
            <w:r>
              <w:rPr>
                <w:noProof/>
              </w:rPr>
              <w:t>1,4 %</w:t>
            </w:r>
          </w:p>
        </w:tc>
      </w:tr>
      <w:tr>
        <w:tc>
          <w:tcPr>
            <w:tcW w:w="1848" w:type="dxa"/>
          </w:tcPr>
          <w:p>
            <w:pPr>
              <w:rPr>
                <w:b/>
                <w:noProof/>
              </w:rPr>
            </w:pPr>
            <w:r>
              <w:rPr>
                <w:b/>
                <w:noProof/>
              </w:rPr>
              <w:t>an Iodáil</w:t>
            </w:r>
          </w:p>
        </w:tc>
        <w:tc>
          <w:tcPr>
            <w:tcW w:w="2938" w:type="dxa"/>
          </w:tcPr>
          <w:p>
            <w:pPr>
              <w:rPr>
                <w:noProof/>
              </w:rPr>
            </w:pPr>
            <w:r>
              <w:rPr>
                <w:noProof/>
              </w:rPr>
              <w:t>1,2 %</w:t>
            </w:r>
          </w:p>
        </w:tc>
        <w:tc>
          <w:tcPr>
            <w:tcW w:w="3119" w:type="dxa"/>
          </w:tcPr>
          <w:p>
            <w:pPr>
              <w:rPr>
                <w:noProof/>
              </w:rPr>
            </w:pPr>
            <w:r>
              <w:rPr>
                <w:noProof/>
              </w:rPr>
              <w:t>1,6 %</w:t>
            </w:r>
          </w:p>
        </w:tc>
      </w:tr>
      <w:tr>
        <w:tc>
          <w:tcPr>
            <w:tcW w:w="1848" w:type="dxa"/>
          </w:tcPr>
          <w:p>
            <w:pPr>
              <w:rPr>
                <w:b/>
                <w:noProof/>
              </w:rPr>
            </w:pPr>
            <w:r>
              <w:rPr>
                <w:b/>
                <w:noProof/>
              </w:rPr>
              <w:t>an Chipir</w:t>
            </w:r>
          </w:p>
        </w:tc>
        <w:tc>
          <w:tcPr>
            <w:tcW w:w="2938" w:type="dxa"/>
          </w:tcPr>
          <w:p>
            <w:pPr>
              <w:rPr>
                <w:noProof/>
              </w:rPr>
            </w:pPr>
            <w:r>
              <w:rPr>
                <w:noProof/>
              </w:rPr>
              <w:t>0,5 %</w:t>
            </w:r>
          </w:p>
        </w:tc>
        <w:tc>
          <w:tcPr>
            <w:tcW w:w="3119" w:type="dxa"/>
          </w:tcPr>
          <w:p>
            <w:pPr>
              <w:rPr>
                <w:noProof/>
              </w:rPr>
            </w:pPr>
            <w:r>
              <w:rPr>
                <w:noProof/>
              </w:rPr>
              <w:t>1,6 %</w:t>
            </w:r>
          </w:p>
        </w:tc>
      </w:tr>
      <w:tr>
        <w:tc>
          <w:tcPr>
            <w:tcW w:w="1848" w:type="dxa"/>
          </w:tcPr>
          <w:p>
            <w:pPr>
              <w:rPr>
                <w:b/>
                <w:noProof/>
              </w:rPr>
            </w:pPr>
            <w:r>
              <w:rPr>
                <w:b/>
                <w:noProof/>
              </w:rPr>
              <w:t>an Laitvia</w:t>
            </w:r>
          </w:p>
        </w:tc>
        <w:tc>
          <w:tcPr>
            <w:tcW w:w="2938" w:type="dxa"/>
          </w:tcPr>
          <w:p>
            <w:pPr>
              <w:rPr>
                <w:noProof/>
              </w:rPr>
            </w:pPr>
            <w:r>
              <w:rPr>
                <w:noProof/>
              </w:rPr>
              <w:t>0,8 %</w:t>
            </w:r>
          </w:p>
        </w:tc>
        <w:tc>
          <w:tcPr>
            <w:tcW w:w="3119" w:type="dxa"/>
          </w:tcPr>
          <w:p>
            <w:pPr>
              <w:rPr>
                <w:noProof/>
              </w:rPr>
            </w:pPr>
            <w:r>
              <w:rPr>
                <w:noProof/>
              </w:rPr>
              <w:t>1,0 %</w:t>
            </w:r>
          </w:p>
        </w:tc>
      </w:tr>
      <w:tr>
        <w:tc>
          <w:tcPr>
            <w:tcW w:w="1848" w:type="dxa"/>
          </w:tcPr>
          <w:p>
            <w:pPr>
              <w:rPr>
                <w:b/>
                <w:noProof/>
              </w:rPr>
            </w:pPr>
            <w:r>
              <w:rPr>
                <w:b/>
                <w:noProof/>
              </w:rPr>
              <w:t>an Liotuáin</w:t>
            </w:r>
          </w:p>
        </w:tc>
        <w:tc>
          <w:tcPr>
            <w:tcW w:w="2938" w:type="dxa"/>
          </w:tcPr>
          <w:p>
            <w:pPr>
              <w:rPr>
                <w:noProof/>
              </w:rPr>
            </w:pPr>
            <w:r>
              <w:rPr>
                <w:noProof/>
              </w:rPr>
              <w:t>1,6 %</w:t>
            </w:r>
          </w:p>
        </w:tc>
        <w:tc>
          <w:tcPr>
            <w:tcW w:w="3119" w:type="dxa"/>
          </w:tcPr>
          <w:p>
            <w:pPr>
              <w:rPr>
                <w:noProof/>
              </w:rPr>
            </w:pPr>
            <w:r>
              <w:rPr>
                <w:noProof/>
              </w:rPr>
              <w:t>2,0 %</w:t>
            </w:r>
          </w:p>
        </w:tc>
      </w:tr>
      <w:tr>
        <w:tc>
          <w:tcPr>
            <w:tcW w:w="1848" w:type="dxa"/>
          </w:tcPr>
          <w:p>
            <w:pPr>
              <w:rPr>
                <w:b/>
                <w:noProof/>
              </w:rPr>
            </w:pPr>
            <w:r>
              <w:rPr>
                <w:b/>
                <w:noProof/>
              </w:rPr>
              <w:lastRenderedPageBreak/>
              <w:t>Lucsamburg</w:t>
            </w:r>
          </w:p>
        </w:tc>
        <w:tc>
          <w:tcPr>
            <w:tcW w:w="2938" w:type="dxa"/>
          </w:tcPr>
          <w:p>
            <w:pPr>
              <w:rPr>
                <w:noProof/>
              </w:rPr>
            </w:pPr>
            <w:r>
              <w:rPr>
                <w:noProof/>
              </w:rPr>
              <w:t>2,0 %</w:t>
            </w:r>
          </w:p>
        </w:tc>
        <w:tc>
          <w:tcPr>
            <w:tcW w:w="3119" w:type="dxa"/>
          </w:tcPr>
          <w:p>
            <w:pPr>
              <w:rPr>
                <w:noProof/>
              </w:rPr>
            </w:pPr>
            <w:r>
              <w:rPr>
                <w:noProof/>
              </w:rPr>
              <w:t>2,7 %</w:t>
            </w:r>
          </w:p>
        </w:tc>
      </w:tr>
      <w:tr>
        <w:tc>
          <w:tcPr>
            <w:tcW w:w="1848" w:type="dxa"/>
          </w:tcPr>
          <w:p>
            <w:pPr>
              <w:rPr>
                <w:b/>
                <w:noProof/>
              </w:rPr>
            </w:pPr>
            <w:r>
              <w:rPr>
                <w:b/>
                <w:noProof/>
              </w:rPr>
              <w:t>an Ungáir</w:t>
            </w:r>
          </w:p>
        </w:tc>
        <w:tc>
          <w:tcPr>
            <w:tcW w:w="2938" w:type="dxa"/>
          </w:tcPr>
          <w:p>
            <w:pPr>
              <w:rPr>
                <w:noProof/>
              </w:rPr>
            </w:pPr>
            <w:r>
              <w:rPr>
                <w:noProof/>
              </w:rPr>
              <w:t>0,9 %</w:t>
            </w:r>
          </w:p>
        </w:tc>
        <w:tc>
          <w:tcPr>
            <w:tcW w:w="3119" w:type="dxa"/>
          </w:tcPr>
          <w:p>
            <w:pPr>
              <w:rPr>
                <w:noProof/>
              </w:rPr>
            </w:pPr>
            <w:r>
              <w:rPr>
                <w:noProof/>
              </w:rPr>
              <w:t>1,5 %</w:t>
            </w:r>
          </w:p>
        </w:tc>
      </w:tr>
      <w:tr>
        <w:tc>
          <w:tcPr>
            <w:tcW w:w="1848" w:type="dxa"/>
          </w:tcPr>
          <w:p>
            <w:pPr>
              <w:rPr>
                <w:b/>
                <w:noProof/>
              </w:rPr>
            </w:pPr>
            <w:r>
              <w:rPr>
                <w:b/>
                <w:noProof/>
              </w:rPr>
              <w:t>Málta</w:t>
            </w:r>
          </w:p>
        </w:tc>
        <w:tc>
          <w:tcPr>
            <w:tcW w:w="2938" w:type="dxa"/>
          </w:tcPr>
          <w:p>
            <w:pPr>
              <w:rPr>
                <w:noProof/>
              </w:rPr>
            </w:pPr>
            <w:r>
              <w:rPr>
                <w:noProof/>
              </w:rPr>
              <w:t>0,5 %</w:t>
            </w:r>
          </w:p>
        </w:tc>
        <w:tc>
          <w:tcPr>
            <w:tcW w:w="3119" w:type="dxa"/>
          </w:tcPr>
          <w:p>
            <w:pPr>
              <w:rPr>
                <w:noProof/>
              </w:rPr>
            </w:pPr>
            <w:r>
              <w:rPr>
                <w:noProof/>
              </w:rPr>
              <w:t>1,5 %</w:t>
            </w:r>
          </w:p>
        </w:tc>
      </w:tr>
      <w:tr>
        <w:tc>
          <w:tcPr>
            <w:tcW w:w="1848" w:type="dxa"/>
          </w:tcPr>
          <w:p>
            <w:pPr>
              <w:rPr>
                <w:b/>
                <w:noProof/>
              </w:rPr>
            </w:pPr>
            <w:r>
              <w:rPr>
                <w:b/>
                <w:noProof/>
              </w:rPr>
              <w:t>an Ísiltír</w:t>
            </w:r>
          </w:p>
        </w:tc>
        <w:tc>
          <w:tcPr>
            <w:tcW w:w="2938" w:type="dxa"/>
          </w:tcPr>
          <w:p>
            <w:pPr>
              <w:rPr>
                <w:noProof/>
              </w:rPr>
            </w:pPr>
            <w:r>
              <w:rPr>
                <w:noProof/>
              </w:rPr>
              <w:t>0,7 %</w:t>
            </w:r>
          </w:p>
        </w:tc>
        <w:tc>
          <w:tcPr>
            <w:tcW w:w="3119" w:type="dxa"/>
          </w:tcPr>
          <w:p>
            <w:pPr>
              <w:rPr>
                <w:noProof/>
              </w:rPr>
            </w:pPr>
            <w:r>
              <w:rPr>
                <w:noProof/>
              </w:rPr>
              <w:t>1,4 %</w:t>
            </w:r>
          </w:p>
        </w:tc>
      </w:tr>
      <w:tr>
        <w:tc>
          <w:tcPr>
            <w:tcW w:w="1848" w:type="dxa"/>
          </w:tcPr>
          <w:p>
            <w:pPr>
              <w:rPr>
                <w:b/>
                <w:noProof/>
              </w:rPr>
            </w:pPr>
            <w:r>
              <w:rPr>
                <w:b/>
                <w:noProof/>
              </w:rPr>
              <w:t>an Ostair</w:t>
            </w:r>
          </w:p>
        </w:tc>
        <w:tc>
          <w:tcPr>
            <w:tcW w:w="2938" w:type="dxa"/>
          </w:tcPr>
          <w:p>
            <w:pPr>
              <w:rPr>
                <w:noProof/>
              </w:rPr>
            </w:pPr>
            <w:r>
              <w:rPr>
                <w:noProof/>
              </w:rPr>
              <w:t>0,7 %</w:t>
            </w:r>
          </w:p>
        </w:tc>
        <w:tc>
          <w:tcPr>
            <w:tcW w:w="3119" w:type="dxa"/>
          </w:tcPr>
          <w:p>
            <w:pPr>
              <w:rPr>
                <w:noProof/>
              </w:rPr>
            </w:pPr>
            <w:r>
              <w:rPr>
                <w:noProof/>
              </w:rPr>
              <w:t>1,5 %</w:t>
            </w:r>
          </w:p>
        </w:tc>
      </w:tr>
      <w:tr>
        <w:tc>
          <w:tcPr>
            <w:tcW w:w="1848" w:type="dxa"/>
          </w:tcPr>
          <w:p>
            <w:pPr>
              <w:rPr>
                <w:b/>
                <w:noProof/>
              </w:rPr>
            </w:pPr>
            <w:r>
              <w:rPr>
                <w:b/>
                <w:noProof/>
              </w:rPr>
              <w:t>an Pholainn</w:t>
            </w:r>
          </w:p>
        </w:tc>
        <w:tc>
          <w:tcPr>
            <w:tcW w:w="2938" w:type="dxa"/>
          </w:tcPr>
          <w:p>
            <w:pPr>
              <w:rPr>
                <w:noProof/>
              </w:rPr>
            </w:pPr>
            <w:r>
              <w:rPr>
                <w:noProof/>
              </w:rPr>
              <w:t>1,0 %</w:t>
            </w:r>
          </w:p>
        </w:tc>
        <w:tc>
          <w:tcPr>
            <w:tcW w:w="3119" w:type="dxa"/>
          </w:tcPr>
          <w:p>
            <w:pPr>
              <w:rPr>
                <w:noProof/>
              </w:rPr>
            </w:pPr>
            <w:r>
              <w:rPr>
                <w:noProof/>
              </w:rPr>
              <w:t>1,5 %</w:t>
            </w:r>
          </w:p>
        </w:tc>
      </w:tr>
      <w:tr>
        <w:tc>
          <w:tcPr>
            <w:tcW w:w="1848" w:type="dxa"/>
          </w:tcPr>
          <w:p>
            <w:pPr>
              <w:rPr>
                <w:b/>
                <w:noProof/>
              </w:rPr>
            </w:pPr>
            <w:r>
              <w:rPr>
                <w:b/>
                <w:noProof/>
              </w:rPr>
              <w:t>an Phortaingéil</w:t>
            </w:r>
          </w:p>
        </w:tc>
        <w:tc>
          <w:tcPr>
            <w:tcW w:w="2938" w:type="dxa"/>
          </w:tcPr>
          <w:p>
            <w:pPr>
              <w:rPr>
                <w:noProof/>
              </w:rPr>
            </w:pPr>
            <w:r>
              <w:rPr>
                <w:noProof/>
              </w:rPr>
              <w:t>1,0 %</w:t>
            </w:r>
          </w:p>
        </w:tc>
        <w:tc>
          <w:tcPr>
            <w:tcW w:w="3119" w:type="dxa"/>
          </w:tcPr>
          <w:p>
            <w:pPr>
              <w:rPr>
                <w:noProof/>
              </w:rPr>
            </w:pPr>
            <w:r>
              <w:rPr>
                <w:noProof/>
              </w:rPr>
              <w:t>1,4 %</w:t>
            </w:r>
          </w:p>
        </w:tc>
      </w:tr>
      <w:tr>
        <w:tc>
          <w:tcPr>
            <w:tcW w:w="1848" w:type="dxa"/>
          </w:tcPr>
          <w:p>
            <w:pPr>
              <w:rPr>
                <w:b/>
                <w:noProof/>
              </w:rPr>
            </w:pPr>
            <w:r>
              <w:rPr>
                <w:b/>
                <w:noProof/>
              </w:rPr>
              <w:t>an Rómáin</w:t>
            </w:r>
          </w:p>
        </w:tc>
        <w:tc>
          <w:tcPr>
            <w:tcW w:w="2938" w:type="dxa"/>
          </w:tcPr>
          <w:p>
            <w:pPr>
              <w:rPr>
                <w:noProof/>
              </w:rPr>
            </w:pPr>
            <w:r>
              <w:rPr>
                <w:noProof/>
              </w:rPr>
              <w:t>0,6 %</w:t>
            </w:r>
          </w:p>
        </w:tc>
        <w:tc>
          <w:tcPr>
            <w:tcW w:w="3119" w:type="dxa"/>
          </w:tcPr>
          <w:p>
            <w:pPr>
              <w:rPr>
                <w:noProof/>
              </w:rPr>
            </w:pPr>
            <w:r>
              <w:rPr>
                <w:noProof/>
              </w:rPr>
              <w:t>1,4 %</w:t>
            </w:r>
          </w:p>
        </w:tc>
      </w:tr>
      <w:tr>
        <w:tc>
          <w:tcPr>
            <w:tcW w:w="1848" w:type="dxa"/>
          </w:tcPr>
          <w:p>
            <w:pPr>
              <w:rPr>
                <w:b/>
                <w:noProof/>
              </w:rPr>
            </w:pPr>
            <w:r>
              <w:rPr>
                <w:b/>
                <w:noProof/>
              </w:rPr>
              <w:t>an tSlóivéin</w:t>
            </w:r>
          </w:p>
        </w:tc>
        <w:tc>
          <w:tcPr>
            <w:tcW w:w="2938" w:type="dxa"/>
          </w:tcPr>
          <w:p>
            <w:pPr>
              <w:rPr>
                <w:noProof/>
              </w:rPr>
            </w:pPr>
            <w:r>
              <w:rPr>
                <w:noProof/>
              </w:rPr>
              <w:t>0,7 %</w:t>
            </w:r>
          </w:p>
        </w:tc>
        <w:tc>
          <w:tcPr>
            <w:tcW w:w="3119" w:type="dxa"/>
          </w:tcPr>
          <w:p>
            <w:pPr>
              <w:rPr>
                <w:noProof/>
              </w:rPr>
            </w:pPr>
            <w:r>
              <w:rPr>
                <w:noProof/>
              </w:rPr>
              <w:t>1,4 %</w:t>
            </w:r>
          </w:p>
        </w:tc>
      </w:tr>
      <w:tr>
        <w:tc>
          <w:tcPr>
            <w:tcW w:w="1848" w:type="dxa"/>
          </w:tcPr>
          <w:p>
            <w:pPr>
              <w:rPr>
                <w:b/>
                <w:noProof/>
              </w:rPr>
            </w:pPr>
            <w:r>
              <w:rPr>
                <w:b/>
                <w:noProof/>
              </w:rPr>
              <w:t>an tSlóvaic</w:t>
            </w:r>
          </w:p>
        </w:tc>
        <w:tc>
          <w:tcPr>
            <w:tcW w:w="2938" w:type="dxa"/>
          </w:tcPr>
          <w:p>
            <w:pPr>
              <w:rPr>
                <w:noProof/>
              </w:rPr>
            </w:pPr>
            <w:r>
              <w:rPr>
                <w:noProof/>
              </w:rPr>
              <w:t>0,3 %</w:t>
            </w:r>
          </w:p>
        </w:tc>
        <w:tc>
          <w:tcPr>
            <w:tcW w:w="3119" w:type="dxa"/>
          </w:tcPr>
          <w:p>
            <w:pPr>
              <w:rPr>
                <w:noProof/>
              </w:rPr>
            </w:pPr>
            <w:r>
              <w:rPr>
                <w:noProof/>
              </w:rPr>
              <w:t>1,4 %</w:t>
            </w:r>
          </w:p>
        </w:tc>
      </w:tr>
      <w:tr>
        <w:tc>
          <w:tcPr>
            <w:tcW w:w="1848" w:type="dxa"/>
          </w:tcPr>
          <w:p>
            <w:pPr>
              <w:rPr>
                <w:b/>
                <w:noProof/>
              </w:rPr>
            </w:pPr>
            <w:r>
              <w:rPr>
                <w:b/>
                <w:noProof/>
              </w:rPr>
              <w:t>an Fhionlainn</w:t>
            </w:r>
          </w:p>
        </w:tc>
        <w:tc>
          <w:tcPr>
            <w:tcW w:w="2938" w:type="dxa"/>
          </w:tcPr>
          <w:p>
            <w:pPr>
              <w:rPr>
                <w:noProof/>
              </w:rPr>
            </w:pPr>
            <w:r>
              <w:rPr>
                <w:noProof/>
              </w:rPr>
              <w:t>0,5 %</w:t>
            </w:r>
          </w:p>
        </w:tc>
        <w:tc>
          <w:tcPr>
            <w:tcW w:w="3119" w:type="dxa"/>
          </w:tcPr>
          <w:p>
            <w:pPr>
              <w:rPr>
                <w:noProof/>
              </w:rPr>
            </w:pPr>
            <w:r>
              <w:rPr>
                <w:noProof/>
              </w:rPr>
              <w:t>0,8 %</w:t>
            </w:r>
          </w:p>
        </w:tc>
      </w:tr>
      <w:tr>
        <w:tc>
          <w:tcPr>
            <w:tcW w:w="1848" w:type="dxa"/>
          </w:tcPr>
          <w:p>
            <w:pPr>
              <w:rPr>
                <w:b/>
                <w:noProof/>
              </w:rPr>
            </w:pPr>
            <w:r>
              <w:rPr>
                <w:b/>
                <w:noProof/>
              </w:rPr>
              <w:t>an tSualainn</w:t>
            </w:r>
          </w:p>
        </w:tc>
        <w:tc>
          <w:tcPr>
            <w:tcW w:w="2938" w:type="dxa"/>
          </w:tcPr>
          <w:p>
            <w:pPr>
              <w:rPr>
                <w:noProof/>
              </w:rPr>
            </w:pPr>
            <w:r>
              <w:rPr>
                <w:noProof/>
              </w:rPr>
              <w:t>0,3 %</w:t>
            </w:r>
          </w:p>
        </w:tc>
        <w:tc>
          <w:tcPr>
            <w:tcW w:w="3119" w:type="dxa"/>
          </w:tcPr>
          <w:p>
            <w:pPr>
              <w:rPr>
                <w:noProof/>
              </w:rPr>
            </w:pPr>
            <w:r>
              <w:rPr>
                <w:noProof/>
              </w:rPr>
              <w:t>0,6 %</w:t>
            </w:r>
          </w:p>
        </w:tc>
      </w:tr>
    </w:tbl>
    <w:p>
      <w:pPr>
        <w:ind w:left="850"/>
        <w:rPr>
          <w:b/>
          <w:bCs/>
          <w:noProof/>
          <w:color w:val="000000"/>
          <w:sz w:val="20"/>
        </w:rPr>
      </w:pPr>
    </w:p>
    <w:p>
      <w:pPr>
        <w:pStyle w:val="Point1number"/>
        <w:rPr>
          <w:noProof/>
        </w:rPr>
      </w:pPr>
      <w:r>
        <w:rPr>
          <w:noProof/>
        </w:rPr>
        <w:t>Cuirtear an méid seo a leanas in ionad Iarscríbhinn III:</w:t>
      </w:r>
    </w:p>
    <w:p>
      <w:pPr>
        <w:rPr>
          <w:noProof/>
        </w:rPr>
      </w:pPr>
      <w:r>
        <w:rPr>
          <w:noProof/>
        </w:rPr>
        <w:t>LUACH FUINNIMH BREOSLAÍ</w:t>
      </w:r>
    </w:p>
    <w:tbl>
      <w:tblPr>
        <w:tblW w:w="0" w:type="auto"/>
        <w:tblLayout w:type="fixed"/>
        <w:tblLook w:val="0000" w:firstRow="0" w:lastRow="0" w:firstColumn="0" w:lastColumn="0" w:noHBand="0" w:noVBand="0"/>
      </w:tblPr>
      <w:tblGrid>
        <w:gridCol w:w="5014"/>
        <w:gridCol w:w="2136"/>
        <w:gridCol w:w="2136"/>
      </w:tblGrid>
      <w:tr>
        <w:tc>
          <w:tcPr>
            <w:tcW w:w="5014" w:type="dxa"/>
            <w:tcBorders>
              <w:top w:val="single" w:sz="2" w:space="0" w:color="auto"/>
              <w:left w:val="single" w:sz="2" w:space="0" w:color="auto"/>
              <w:bottom w:val="single" w:sz="2" w:space="0" w:color="auto"/>
              <w:right w:val="single" w:sz="2" w:space="0" w:color="auto"/>
            </w:tcBorders>
          </w:tcPr>
          <w:p>
            <w:pPr>
              <w:pStyle w:val="NormalCentered"/>
              <w:rPr>
                <w:noProof/>
              </w:rPr>
            </w:pPr>
            <w:r>
              <w:rPr>
                <w:noProof/>
              </w:rPr>
              <w:t>Breosla</w:t>
            </w:r>
          </w:p>
        </w:tc>
        <w:tc>
          <w:tcPr>
            <w:tcW w:w="2136" w:type="dxa"/>
            <w:tcBorders>
              <w:top w:val="single" w:sz="2" w:space="0" w:color="auto"/>
              <w:left w:val="single" w:sz="2" w:space="0" w:color="auto"/>
              <w:bottom w:val="single" w:sz="2" w:space="0" w:color="auto"/>
              <w:right w:val="single" w:sz="2" w:space="0" w:color="auto"/>
            </w:tcBorders>
          </w:tcPr>
          <w:p>
            <w:pPr>
              <w:pStyle w:val="NormalCentered"/>
              <w:rPr>
                <w:noProof/>
              </w:rPr>
            </w:pPr>
            <w:r>
              <w:rPr>
                <w:noProof/>
              </w:rPr>
              <w:t>Luach fuinnimh de réir meáchain (luach calrach íochtarach, MJ/kg)</w:t>
            </w:r>
          </w:p>
        </w:tc>
        <w:tc>
          <w:tcPr>
            <w:tcW w:w="2136" w:type="dxa"/>
            <w:tcBorders>
              <w:top w:val="single" w:sz="2" w:space="0" w:color="auto"/>
              <w:left w:val="single" w:sz="2" w:space="0" w:color="auto"/>
              <w:bottom w:val="single" w:sz="2" w:space="0" w:color="auto"/>
              <w:right w:val="single" w:sz="2" w:space="0" w:color="auto"/>
            </w:tcBorders>
          </w:tcPr>
          <w:p>
            <w:pPr>
              <w:pStyle w:val="NormalCentered"/>
              <w:rPr>
                <w:noProof/>
              </w:rPr>
            </w:pPr>
            <w:r>
              <w:rPr>
                <w:noProof/>
              </w:rPr>
              <w:t>Luach fuinnimh de réir toirte (luach calrach íochtarach, MJ/l)</w:t>
            </w:r>
          </w:p>
        </w:tc>
      </w:tr>
      <w:tr>
        <w:tc>
          <w:tcPr>
            <w:tcW w:w="5014" w:type="dxa"/>
            <w:tcBorders>
              <w:top w:val="single" w:sz="2" w:space="0" w:color="auto"/>
              <w:left w:val="single" w:sz="2" w:space="0" w:color="auto"/>
              <w:bottom w:val="single" w:sz="2" w:space="0" w:color="auto"/>
              <w:right w:val="single" w:sz="2" w:space="0" w:color="auto"/>
            </w:tcBorders>
          </w:tcPr>
          <w:p>
            <w:pPr>
              <w:pStyle w:val="NormalCentered"/>
              <w:rPr>
                <w:noProof/>
              </w:rPr>
            </w:pPr>
            <w:r>
              <w:rPr>
                <w:noProof/>
              </w:rPr>
              <w:t>BREOSLAÍ Ó BHITHMHAIS AGUS/NÓ Ó OIBRÍOCHTAÍ PRÓISEÁLA BITHMHAISE</w:t>
            </w:r>
          </w:p>
        </w:tc>
        <w:tc>
          <w:tcPr>
            <w:tcW w:w="2136" w:type="dxa"/>
            <w:tcBorders>
              <w:top w:val="single" w:sz="2" w:space="0" w:color="auto"/>
              <w:left w:val="single" w:sz="2" w:space="0" w:color="auto"/>
              <w:bottom w:val="single" w:sz="2" w:space="0" w:color="auto"/>
              <w:right w:val="single" w:sz="2" w:space="0" w:color="auto"/>
            </w:tcBorders>
          </w:tcPr>
          <w:p>
            <w:pPr>
              <w:pStyle w:val="NormalCentered"/>
              <w:rPr>
                <w:noProof/>
              </w:rPr>
            </w:pPr>
          </w:p>
        </w:tc>
        <w:tc>
          <w:tcPr>
            <w:tcW w:w="2136" w:type="dxa"/>
            <w:tcBorders>
              <w:top w:val="single" w:sz="2" w:space="0" w:color="auto"/>
              <w:left w:val="single" w:sz="2" w:space="0" w:color="auto"/>
              <w:bottom w:val="single" w:sz="2" w:space="0" w:color="auto"/>
              <w:right w:val="single" w:sz="2" w:space="0" w:color="auto"/>
            </w:tcBorders>
          </w:tcPr>
          <w:p>
            <w:pPr>
              <w:pStyle w:val="NormalCentered"/>
              <w:rPr>
                <w:noProof/>
              </w:rPr>
            </w:pPr>
          </w:p>
        </w:tc>
      </w:tr>
      <w:tr>
        <w:tc>
          <w:tcPr>
            <w:tcW w:w="5014"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Bithphrópán</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46</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24</w:t>
            </w:r>
          </w:p>
        </w:tc>
      </w:tr>
      <w:tr>
        <w:tc>
          <w:tcPr>
            <w:tcW w:w="5014"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Ola glasraí íon (ola arna tháirgeadh ó phlandaí ola trí fháisceadh, eastóscadh nó nósanna imeachta inchomparáide, amh nó scagtha ach gan aon athrú ceimiceach)</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37</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34</w:t>
            </w:r>
          </w:p>
        </w:tc>
      </w:tr>
      <w:tr>
        <w:tc>
          <w:tcPr>
            <w:tcW w:w="5014"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Bithdhíosal - eistear meitile aigéid shailligh (eistear meitile arna tháirgeadh ó ola de tionscnamh bithmhaise)</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37</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33</w:t>
            </w:r>
          </w:p>
        </w:tc>
      </w:tr>
      <w:tr>
        <w:tc>
          <w:tcPr>
            <w:tcW w:w="5014"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Bithdhíosal - eistear eitile aigéid shailligh (eistear eitile arna tháirgeadh ó ola de tionscnamh bithmhaise)</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38</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34</w:t>
            </w:r>
          </w:p>
        </w:tc>
      </w:tr>
      <w:tr>
        <w:tc>
          <w:tcPr>
            <w:tcW w:w="5014"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Bithghás is féidir a íonú go cáilíocht gáis nádúrtha</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50</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w:t>
            </w:r>
          </w:p>
        </w:tc>
      </w:tr>
      <w:tr>
        <w:tc>
          <w:tcPr>
            <w:tcW w:w="5014"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Ola de thionscnamh bithmhaise arna hidreachóireáil (arna chóireáil go teirmiceimiceach le hidrigin), le húsáid in ionad díosail</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44</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34</w:t>
            </w:r>
          </w:p>
        </w:tc>
      </w:tr>
      <w:tr>
        <w:tc>
          <w:tcPr>
            <w:tcW w:w="5014"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Ola de thionscnamh bithmhaise arna hidreachóireáil (arna chóireáil go teirmiceimiceach le hidrigin), le húsáid in ionad díosail</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45</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30</w:t>
            </w:r>
          </w:p>
        </w:tc>
      </w:tr>
      <w:tr>
        <w:tc>
          <w:tcPr>
            <w:tcW w:w="5014"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Ola de thionscnamh bithmhaise arna hidreachóireáil (arna chóireáil go teirmiceimiceach le hidrigin), le húsáid in ionad scairdbhreosla</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44</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34</w:t>
            </w:r>
          </w:p>
        </w:tc>
      </w:tr>
      <w:tr>
        <w:tc>
          <w:tcPr>
            <w:tcW w:w="5014"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Ola de thionscnamh bithmhaise arna hidreachóireaíl (arna chóireáil go teirmiceimiceach le hidrigin) , le húsáid in ionad gás peitriliam leachtaithe</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46</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24</w:t>
            </w:r>
          </w:p>
        </w:tc>
      </w:tr>
      <w:tr>
        <w:tc>
          <w:tcPr>
            <w:tcW w:w="5014"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Ola comhphróiseáilte (próiseáilte i scaglann go comhuaineach le breosla iontaise) de thionscnamh bithmhaise nó bithmhaise pirealaithe le húsáid in ionad díosail</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43</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36</w:t>
            </w:r>
          </w:p>
        </w:tc>
      </w:tr>
      <w:tr>
        <w:tc>
          <w:tcPr>
            <w:tcW w:w="5014"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Ola comhphróiseáilte (próiseáilte i scaglann go comhuaineach le breosla iontaise) de thionscnamh bithmhaise nó bithmhaise pirealaithe le húsáid in ionad peitril</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44</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32</w:t>
            </w:r>
          </w:p>
        </w:tc>
      </w:tr>
      <w:tr>
        <w:tc>
          <w:tcPr>
            <w:tcW w:w="5014"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Ola comhphróiseáilte (próiseáilte i scaglann go comhuaineach le breosla iontaise) de thionscnamh bithmhaise nó bithmhaise pirealaithe le húsáid in ionad scairdbhreosla</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43</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33</w:t>
            </w:r>
          </w:p>
        </w:tc>
      </w:tr>
      <w:tr>
        <w:tc>
          <w:tcPr>
            <w:tcW w:w="5014"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Ola comhphróiseáilte (próiseáilte i scaglann go comhuaineach le breosla iontaise) de thionscnamh bithmhaise nó bithmhaise pirealaithe le húsáid in ionad gás peitriliam leachtaithe</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46</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23</w:t>
            </w:r>
          </w:p>
        </w:tc>
      </w:tr>
      <w:tr>
        <w:tc>
          <w:tcPr>
            <w:tcW w:w="5014" w:type="dxa"/>
            <w:tcBorders>
              <w:top w:val="single" w:sz="2" w:space="0" w:color="auto"/>
              <w:left w:val="single" w:sz="2" w:space="0" w:color="auto"/>
              <w:bottom w:val="single" w:sz="2" w:space="0" w:color="auto"/>
              <w:right w:val="single" w:sz="2" w:space="0" w:color="auto"/>
            </w:tcBorders>
          </w:tcPr>
          <w:p>
            <w:pPr>
              <w:pStyle w:val="NormalCentered"/>
              <w:rPr>
                <w:noProof/>
              </w:rPr>
            </w:pPr>
            <w:r>
              <w:rPr>
                <w:noProof/>
              </w:rPr>
              <w:t>BREOSLAÍ INATHNUAITE IS FÉIDIR A THÁIRGEADH Ó FHOINSÍ ÉAGSÚLA INATHNUAITE LENA nÁIRÍTEAR BITHMHAIS</w:t>
            </w:r>
          </w:p>
        </w:tc>
        <w:tc>
          <w:tcPr>
            <w:tcW w:w="2136" w:type="dxa"/>
            <w:tcBorders>
              <w:top w:val="single" w:sz="2" w:space="0" w:color="auto"/>
              <w:left w:val="single" w:sz="2" w:space="0" w:color="auto"/>
              <w:bottom w:val="single" w:sz="2" w:space="0" w:color="auto"/>
              <w:right w:val="single" w:sz="2" w:space="0" w:color="auto"/>
            </w:tcBorders>
          </w:tcPr>
          <w:p>
            <w:pPr>
              <w:pStyle w:val="NormalCentered"/>
              <w:rPr>
                <w:noProof/>
              </w:rPr>
            </w:pPr>
          </w:p>
        </w:tc>
        <w:tc>
          <w:tcPr>
            <w:tcW w:w="2136" w:type="dxa"/>
            <w:tcBorders>
              <w:top w:val="single" w:sz="2" w:space="0" w:color="auto"/>
              <w:left w:val="single" w:sz="2" w:space="0" w:color="auto"/>
              <w:bottom w:val="single" w:sz="2" w:space="0" w:color="auto"/>
              <w:right w:val="single" w:sz="2" w:space="0" w:color="auto"/>
            </w:tcBorders>
          </w:tcPr>
          <w:p>
            <w:pPr>
              <w:pStyle w:val="NormalCentered"/>
              <w:rPr>
                <w:noProof/>
              </w:rPr>
            </w:pPr>
          </w:p>
        </w:tc>
      </w:tr>
      <w:tr>
        <w:tc>
          <w:tcPr>
            <w:tcW w:w="5014"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Meatánól ó fhoinsí inathnuaite</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20</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16</w:t>
            </w:r>
          </w:p>
        </w:tc>
      </w:tr>
      <w:tr>
        <w:tc>
          <w:tcPr>
            <w:tcW w:w="5014"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Eatánól ó fhoinsí inathnuaite</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27</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21</w:t>
            </w:r>
          </w:p>
        </w:tc>
      </w:tr>
      <w:tr>
        <w:tc>
          <w:tcPr>
            <w:tcW w:w="5014"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Própánól ó fhoinsí inathnuaite</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31</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25</w:t>
            </w:r>
          </w:p>
        </w:tc>
      </w:tr>
      <w:tr>
        <w:tc>
          <w:tcPr>
            <w:tcW w:w="5014"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Bútanól ó fhoinsí inathnuaite</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33</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27</w:t>
            </w:r>
          </w:p>
        </w:tc>
      </w:tr>
      <w:tr>
        <w:tc>
          <w:tcPr>
            <w:tcW w:w="5014"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Díosal Fischer-Tropsch (hidreacarbón sintéiseach nó meascán de hidreacarbóin shintéiseacha le húsáid in ionad díosail)</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44</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34</w:t>
            </w:r>
          </w:p>
        </w:tc>
      </w:tr>
      <w:tr>
        <w:tc>
          <w:tcPr>
            <w:tcW w:w="5014"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Peitreal Fischer-Tropsch (hidreacarbón sintéiseach nó meascán de hidreacarbóin shintéiseacha le húsáid in ionad peitril)</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44</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33</w:t>
            </w:r>
          </w:p>
        </w:tc>
      </w:tr>
      <w:tr>
        <w:tc>
          <w:tcPr>
            <w:tcW w:w="5014"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Scairdbhreosla Fischer-Tropsch (hidreacarbón sintéiseach nó meascán de hidreacarbóin shintéiseacha le húsáid in scairdbhreosla)</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44</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33</w:t>
            </w:r>
          </w:p>
        </w:tc>
      </w:tr>
      <w:tr>
        <w:tc>
          <w:tcPr>
            <w:tcW w:w="5014"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Gás peitriliam leachtaithe Fischer-Tropsch (hidreacarbón sintéiseach nó meascán de hidreacarbóin shintéiseacha le húsáid in ionad gás peitriliam leachtaithe)</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46</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24</w:t>
            </w:r>
          </w:p>
        </w:tc>
      </w:tr>
      <w:tr>
        <w:tc>
          <w:tcPr>
            <w:tcW w:w="5014"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DME (éitear démheitile)</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28</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19</w:t>
            </w:r>
          </w:p>
        </w:tc>
      </w:tr>
      <w:tr>
        <w:tc>
          <w:tcPr>
            <w:tcW w:w="5014"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Hidrigin ó fhoinsí inathnuaite</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120</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w:t>
            </w:r>
          </w:p>
        </w:tc>
      </w:tr>
      <w:tr>
        <w:tc>
          <w:tcPr>
            <w:tcW w:w="5014"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ETBE (éitear búitileach treasach eitileach arna tháirgeadh ar bhonn eatánóil)</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36 (lena n‑áirítear 37 % ó fhoinsí inathnuaite)</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27 (lena n‑áirítear 37 % ó fhoinsí inathnuaite)</w:t>
            </w:r>
          </w:p>
        </w:tc>
      </w:tr>
      <w:tr>
        <w:tc>
          <w:tcPr>
            <w:tcW w:w="5014"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MTBE (éitear búitileach treasach meitileach arna tháirgeadh ar bhonn meatánóil)</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35 (lena n‑áirítear 22 % ó fhoinsí inathnuaite)</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26 (lena n‑áirítear 22 % ó fhoinsí inathnuaite)</w:t>
            </w:r>
          </w:p>
        </w:tc>
      </w:tr>
      <w:tr>
        <w:tc>
          <w:tcPr>
            <w:tcW w:w="5014"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TAEE (éitear eitileach treasach aimileach arna tháirgeadh ar bhonn eatánóil)</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38 (lena n‑áirítear 29 % ó fhoinsí inathnuaite)</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29 (lena n‑áirítear 29 % ó fhoinsí inathnuaite)</w:t>
            </w:r>
          </w:p>
        </w:tc>
      </w:tr>
      <w:tr>
        <w:tc>
          <w:tcPr>
            <w:tcW w:w="5014"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TAME (éitear eitileach treasach meitileach aimileach arna tháirgeadh ar bhonn meatánóil)</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36 (lena n‑áirítear 18 % ó fhoinsí inathnuaite)</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28 (lena n‑áirítear 18 % ó fhoinsí inathnuaite)</w:t>
            </w:r>
          </w:p>
        </w:tc>
      </w:tr>
      <w:tr>
        <w:tc>
          <w:tcPr>
            <w:tcW w:w="5014"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THxEE (éitear eitileach treasach heicsealach arna tháirgeadh ar bhonn eatánóil)</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38 (lena n‑áirítear 25 % ó fhoinsí inathnuaite)</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30 (lena n‑áirítear 25 % ó fhoinsí inathnuaite)</w:t>
            </w:r>
          </w:p>
        </w:tc>
      </w:tr>
      <w:tr>
        <w:tc>
          <w:tcPr>
            <w:tcW w:w="5014"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THxME (éitear meitileach treasach heicsealach arna tháirgeadh ar bhonn meatánóil)</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38 (lena n</w:t>
            </w:r>
            <w:r>
              <w:rPr>
                <w:noProof/>
              </w:rPr>
              <w:noBreakHyphen/>
              <w:t>áirítear 14 % ó fhoinsí inathnuaite san áireamh)</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30 (lena n‑áirítear 14 % ó fhoinsí inathnuaite)</w:t>
            </w:r>
          </w:p>
        </w:tc>
      </w:tr>
      <w:tr>
        <w:tc>
          <w:tcPr>
            <w:tcW w:w="5014" w:type="dxa"/>
            <w:tcBorders>
              <w:top w:val="single" w:sz="2" w:space="0" w:color="auto"/>
              <w:left w:val="single" w:sz="2" w:space="0" w:color="auto"/>
              <w:bottom w:val="single" w:sz="2" w:space="0" w:color="auto"/>
              <w:right w:val="single" w:sz="2" w:space="0" w:color="auto"/>
            </w:tcBorders>
          </w:tcPr>
          <w:p>
            <w:pPr>
              <w:pStyle w:val="NormalCentered"/>
              <w:rPr>
                <w:noProof/>
              </w:rPr>
            </w:pPr>
            <w:r>
              <w:rPr>
                <w:noProof/>
              </w:rPr>
              <w:t>BREOSLAÍ NEAMH-INATHNUAITE</w:t>
            </w:r>
          </w:p>
        </w:tc>
        <w:tc>
          <w:tcPr>
            <w:tcW w:w="2136" w:type="dxa"/>
            <w:tcBorders>
              <w:top w:val="single" w:sz="2" w:space="0" w:color="auto"/>
              <w:left w:val="single" w:sz="2" w:space="0" w:color="auto"/>
              <w:bottom w:val="single" w:sz="2" w:space="0" w:color="auto"/>
              <w:right w:val="single" w:sz="2" w:space="0" w:color="auto"/>
            </w:tcBorders>
          </w:tcPr>
          <w:p>
            <w:pPr>
              <w:pStyle w:val="NormalCentered"/>
              <w:rPr>
                <w:noProof/>
              </w:rPr>
            </w:pPr>
          </w:p>
        </w:tc>
        <w:tc>
          <w:tcPr>
            <w:tcW w:w="2136" w:type="dxa"/>
            <w:tcBorders>
              <w:top w:val="single" w:sz="2" w:space="0" w:color="auto"/>
              <w:left w:val="single" w:sz="2" w:space="0" w:color="auto"/>
              <w:bottom w:val="single" w:sz="2" w:space="0" w:color="auto"/>
              <w:right w:val="single" w:sz="2" w:space="0" w:color="auto"/>
            </w:tcBorders>
          </w:tcPr>
          <w:p>
            <w:pPr>
              <w:pStyle w:val="NormalCentered"/>
              <w:rPr>
                <w:noProof/>
              </w:rPr>
            </w:pPr>
          </w:p>
        </w:tc>
      </w:tr>
      <w:tr>
        <w:tc>
          <w:tcPr>
            <w:tcW w:w="5014"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Peitreal</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43</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32</w:t>
            </w:r>
          </w:p>
        </w:tc>
      </w:tr>
      <w:tr>
        <w:tc>
          <w:tcPr>
            <w:tcW w:w="5014"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Díosal</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43</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36</w:t>
            </w:r>
          </w:p>
        </w:tc>
      </w:tr>
      <w:tr>
        <w:tc>
          <w:tcPr>
            <w:tcW w:w="5014"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Hidrigin ó fhoinsí neamh</w:t>
            </w:r>
            <w:r>
              <w:rPr>
                <w:noProof/>
              </w:rPr>
              <w:noBreakHyphen/>
              <w:t>inathnuaite</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120</w:t>
            </w:r>
          </w:p>
        </w:tc>
        <w:tc>
          <w:tcPr>
            <w:tcW w:w="2136" w:type="dxa"/>
            <w:tcBorders>
              <w:top w:val="single" w:sz="2" w:space="0" w:color="auto"/>
              <w:left w:val="single" w:sz="2" w:space="0" w:color="auto"/>
              <w:bottom w:val="single" w:sz="2" w:space="0" w:color="auto"/>
              <w:right w:val="single" w:sz="2" w:space="0" w:color="auto"/>
            </w:tcBorders>
          </w:tcPr>
          <w:p>
            <w:pPr>
              <w:pStyle w:val="NormalLeft"/>
              <w:rPr>
                <w:noProof/>
              </w:rPr>
            </w:pPr>
            <w:r>
              <w:rPr>
                <w:noProof/>
              </w:rPr>
              <w:t>—</w:t>
            </w:r>
          </w:p>
        </w:tc>
      </w:tr>
    </w:tbl>
    <w:p>
      <w:pPr>
        <w:pStyle w:val="Point1number"/>
        <w:rPr>
          <w:noProof/>
        </w:rPr>
      </w:pPr>
      <w:r>
        <w:rPr>
          <w:noProof/>
        </w:rPr>
        <w:t xml:space="preserve">Leasaítear Iarscríbhinn IV mar a leanas: </w:t>
      </w:r>
    </w:p>
    <w:p>
      <w:pPr>
        <w:pStyle w:val="Point2"/>
        <w:rPr>
          <w:noProof/>
        </w:rPr>
      </w:pPr>
      <w:r>
        <w:rPr>
          <w:noProof/>
        </w:rPr>
        <w:t>a)</w:t>
      </w:r>
      <w:r>
        <w:rPr>
          <w:noProof/>
        </w:rPr>
        <w:tab/>
        <w:t xml:space="preserve">cuirtear an méid seo a leanas in ionad an teidil: </w:t>
      </w:r>
    </w:p>
    <w:p>
      <w:pPr>
        <w:ind w:left="1984"/>
        <w:rPr>
          <w:b/>
          <w:noProof/>
          <w:sz w:val="18"/>
          <w:szCs w:val="24"/>
        </w:rPr>
      </w:pPr>
      <w:r>
        <w:rPr>
          <w:noProof/>
        </w:rPr>
        <w:t>‘</w:t>
      </w:r>
      <w:r>
        <w:rPr>
          <w:b/>
          <w:noProof/>
          <w:sz w:val="18"/>
          <w:szCs w:val="24"/>
        </w:rPr>
        <w:t>OILIÚINT AGUS DEIMHNIÚ SUITEÁLAITHE AGUS DEARTHÓIRÍ SUITEÁLACHA INATHNUAITE’</w:t>
      </w:r>
    </w:p>
    <w:p>
      <w:pPr>
        <w:pStyle w:val="Point2"/>
        <w:rPr>
          <w:noProof/>
        </w:rPr>
      </w:pPr>
      <w:r>
        <w:rPr>
          <w:noProof/>
        </w:rPr>
        <w:t>b)</w:t>
      </w:r>
      <w:r>
        <w:rPr>
          <w:noProof/>
        </w:rPr>
        <w:tab/>
        <w:t>cuirtear an méid seo a leanas in ionad na habairte tosaigh agus na chéad mhíre</w:t>
      </w:r>
    </w:p>
    <w:p>
      <w:pPr>
        <w:ind w:left="1777" w:hanging="76"/>
        <w:rPr>
          <w:noProof/>
          <w:szCs w:val="24"/>
        </w:rPr>
      </w:pPr>
      <w:r>
        <w:rPr>
          <w:noProof/>
        </w:rPr>
        <w:t>‘Beidh na scéimeanna deimhniúcháin agus na cláir oiliúna dá dtagraítear in Airteagal 18 (3) bunaithe ar na critéir seo a leanas:</w:t>
      </w:r>
    </w:p>
    <w:p>
      <w:pPr>
        <w:ind w:left="1777"/>
        <w:rPr>
          <w:noProof/>
          <w:szCs w:val="24"/>
        </w:rPr>
      </w:pPr>
      <w:r>
        <w:rPr>
          <w:noProof/>
        </w:rPr>
        <w:t>1. Beidh an próiseas deimhniúcháin trédhearcach agus sainithe go soiléir ag na Ballstáit nó ag an gcomhlacht riaracháin a cheapfaidh siad.’;</w:t>
      </w:r>
    </w:p>
    <w:p>
      <w:pPr>
        <w:pStyle w:val="Point2"/>
        <w:rPr>
          <w:noProof/>
        </w:rPr>
      </w:pPr>
      <w:r>
        <w:rPr>
          <w:noProof/>
        </w:rPr>
        <w:t>c)</w:t>
      </w:r>
      <w:r>
        <w:rPr>
          <w:noProof/>
        </w:rPr>
        <w:tab/>
        <w:t>cuirtear na pointí 1a agus 1b seo a leanas isteach:</w:t>
      </w:r>
    </w:p>
    <w:p>
      <w:pPr>
        <w:ind w:left="1777"/>
        <w:rPr>
          <w:noProof/>
          <w:szCs w:val="24"/>
        </w:rPr>
      </w:pPr>
      <w:r>
        <w:rPr>
          <w:noProof/>
        </w:rPr>
        <w:t xml:space="preserve">‘1a Déanfar na deimhnithe a eiseoidh comhlachtaí deimhniúcháin a shainiú go soiléir agus beidh siad éasca le sainaithint d’oibrithe agus do ghairmithe atá ag lorg deimhniúcháin. </w:t>
      </w:r>
    </w:p>
    <w:p>
      <w:pPr>
        <w:ind w:left="1777"/>
        <w:rPr>
          <w:noProof/>
          <w:szCs w:val="24"/>
        </w:rPr>
      </w:pPr>
      <w:r>
        <w:rPr>
          <w:noProof/>
        </w:rPr>
        <w:t>1b. Cuirfidh an próiseas deimhniúcháin ar chumas suiteálaithe suiteálacha ardcháilíochta a oibríonn go hiontaofa a chur i bhfeidhm.’;</w:t>
      </w:r>
    </w:p>
    <w:p>
      <w:pPr>
        <w:pStyle w:val="Point2"/>
        <w:rPr>
          <w:noProof/>
        </w:rPr>
      </w:pPr>
      <w:r>
        <w:rPr>
          <w:noProof/>
        </w:rPr>
        <w:t>d)</w:t>
      </w:r>
      <w:r>
        <w:rPr>
          <w:noProof/>
        </w:rPr>
        <w:tab/>
        <w:t>cuirtear an méid seo a leanas in ionad phointí 2 agus 3:</w:t>
      </w:r>
    </w:p>
    <w:p>
      <w:pPr>
        <w:ind w:left="1777"/>
        <w:rPr>
          <w:noProof/>
          <w:szCs w:val="24"/>
        </w:rPr>
      </w:pPr>
      <w:r>
        <w:rPr>
          <w:noProof/>
        </w:rPr>
        <w:t>‘2. Beidh deimhniú ag suiteálaithe fuinnimh bithmhaise, teaschaidéil, gheoiteirmeach éadomhain agus fhótavoltach gréine agus fuinnimh theirmigh gréine ó chlár oiliúna nó soláthraí oiliúna creidiúnaithe.’</w:t>
      </w:r>
    </w:p>
    <w:p>
      <w:pPr>
        <w:ind w:left="1777"/>
        <w:rPr>
          <w:noProof/>
          <w:szCs w:val="24"/>
        </w:rPr>
      </w:pPr>
      <w:r>
        <w:rPr>
          <w:noProof/>
        </w:rPr>
        <w:t xml:space="preserve">3. Is iad na Ballstáit nó an comhlacht riaracháin a cheapfaidh siad a dhéanfaidh creidiúnú ar an gclár nó soláthraí oiliúna. Áiritheoidh an comhlacht creidiúnaithe go mbeidh leanúnachas agus clúdach réigiúnach nó náisiúnta ag baint leis an gclár oiliúna arna thairiscint ag an soláthraí oiliúna. </w:t>
      </w:r>
    </w:p>
    <w:p>
      <w:pPr>
        <w:ind w:left="1777"/>
        <w:rPr>
          <w:noProof/>
          <w:szCs w:val="24"/>
        </w:rPr>
      </w:pPr>
      <w:r>
        <w:rPr>
          <w:noProof/>
        </w:rPr>
        <w:t>Beidh saoráidí teicniúla leordhóthanacha ag an soláthraí oiliúna chun oiliúint phraiticiúil a sholáthar, lena n</w:t>
      </w:r>
      <w:r>
        <w:rPr>
          <w:noProof/>
        </w:rPr>
        <w:noBreakHyphen/>
        <w:t xml:space="preserve">áirítear trealamh leordhóthanach saotharlainne nó saoráidí comhfhreagracha chun oiliúint phraiticiúil a sholáthar. </w:t>
      </w:r>
    </w:p>
    <w:p>
      <w:pPr>
        <w:ind w:left="1777"/>
        <w:rPr>
          <w:noProof/>
          <w:szCs w:val="24"/>
        </w:rPr>
      </w:pPr>
      <w:r>
        <w:rPr>
          <w:noProof/>
        </w:rPr>
        <w:t>I dteannta na bunoiliúna, déanfaidh an soláthraí oiliúna cúrsaí oiliúna athnuachana agus uas</w:t>
      </w:r>
      <w:r>
        <w:rPr>
          <w:noProof/>
        </w:rPr>
        <w:noBreakHyphen/>
        <w:t>scilithe níos giorra arna n</w:t>
      </w:r>
      <w:r>
        <w:rPr>
          <w:noProof/>
        </w:rPr>
        <w:noBreakHyphen/>
        <w:t>eagrú i modúil oiliúna a thairiscint lena gcuirfear ar chumas suiteálaithe agus dearthóirí inniúlachtaí nua a fhoghlaim, agus a gcuid scileanna a leathnú agus a éagsúlú i roinnt teicneolaíochtaí agus ina réimsí féin. Áiritheoidh an soláthraí oiliúna go gcuirfear oiliúint in oiriúint do theicneolaíochtaí nua in</w:t>
      </w:r>
      <w:r>
        <w:rPr>
          <w:noProof/>
        </w:rPr>
        <w:noBreakHyphen/>
        <w:t xml:space="preserve">athnuaite i gcomhthéacs foirgneamh, tionscail agus talmhaíochta. Aithneoidh soláthraithe oiliúna na scileanna ábhartha a sealbhaíodh. </w:t>
      </w:r>
    </w:p>
    <w:p>
      <w:pPr>
        <w:ind w:left="1777"/>
        <w:rPr>
          <w:noProof/>
          <w:szCs w:val="24"/>
        </w:rPr>
      </w:pPr>
      <w:r>
        <w:rPr>
          <w:noProof/>
        </w:rPr>
        <w:t xml:space="preserve">Ceapfar na cláir agus na modúil oiliúna i gcaoi go mbeifear in ann foghlaim ar feadh an tsaoil a dhéanamh i suiteálacha inathnuaite agus go mbeidh siad ag luí leis an ngairmoiliúint do chuardaitheoirí poist céaduaire agus do dhaoine fásta atá ag lorg athoiliúna nó fostaíocht nua. </w:t>
      </w:r>
    </w:p>
    <w:p>
      <w:pPr>
        <w:ind w:left="1777"/>
        <w:rPr>
          <w:noProof/>
          <w:szCs w:val="24"/>
        </w:rPr>
      </w:pPr>
      <w:r>
        <w:rPr>
          <w:noProof/>
        </w:rPr>
        <w:t>Ceapfar na cláir oiliúna chun gur fusa cáilíocht a fháil i dteicneolaíochtaí agus i réitigh éagsúla agus chun speisialtóireacht theoranta i mbranda nó i dteicneolaíocht ar leith a sheachaint. Féadfaidh monaróir an trealaimh nó an chórais, institiúidí nó cumainn a bheith ina soláthraí oiliúna.</w:t>
      </w:r>
    </w:p>
    <w:p>
      <w:pPr>
        <w:pStyle w:val="Point2"/>
        <w:rPr>
          <w:noProof/>
        </w:rPr>
      </w:pPr>
      <w:r>
        <w:rPr>
          <w:noProof/>
        </w:rPr>
        <w:t>e)</w:t>
      </w:r>
      <w:r>
        <w:rPr>
          <w:noProof/>
        </w:rPr>
        <w:tab/>
        <w:t>I bpointe 6(c), cuirtear na pointí (iv) agus (v) leis:</w:t>
      </w:r>
    </w:p>
    <w:p>
      <w:pPr>
        <w:ind w:left="1984"/>
        <w:rPr>
          <w:noProof/>
          <w:szCs w:val="24"/>
        </w:rPr>
      </w:pPr>
      <w:r>
        <w:rPr>
          <w:noProof/>
        </w:rPr>
        <w:t>‘(iv)</w:t>
      </w:r>
      <w:r>
        <w:rPr>
          <w:noProof/>
        </w:rPr>
        <w:tab/>
        <w:t>tuiscint ar staidéir féidearthachta agus dearaidh;</w:t>
      </w:r>
    </w:p>
    <w:p>
      <w:pPr>
        <w:ind w:left="1984"/>
        <w:rPr>
          <w:noProof/>
          <w:szCs w:val="24"/>
        </w:rPr>
      </w:pPr>
      <w:r>
        <w:rPr>
          <w:noProof/>
        </w:rPr>
        <w:t>(v)</w:t>
      </w:r>
      <w:r>
        <w:rPr>
          <w:noProof/>
        </w:rPr>
        <w:tab/>
        <w:t>tuiscint ar dhruileáil, i gcás teaschaidéil geoiteirmeacha.’;</w:t>
      </w:r>
    </w:p>
    <w:p>
      <w:pPr>
        <w:pStyle w:val="Point1number"/>
        <w:rPr>
          <w:noProof/>
        </w:rPr>
      </w:pPr>
      <w:r>
        <w:rPr>
          <w:noProof/>
        </w:rPr>
        <w:t xml:space="preserve">In Iarscríbhinn V, leasaítear cuid C mar a leanas: </w:t>
      </w:r>
    </w:p>
    <w:p>
      <w:pPr>
        <w:pStyle w:val="Point2"/>
        <w:rPr>
          <w:noProof/>
        </w:rPr>
      </w:pPr>
      <w:r>
        <w:rPr>
          <w:noProof/>
        </w:rPr>
        <w:t>a)</w:t>
      </w:r>
      <w:r>
        <w:rPr>
          <w:noProof/>
        </w:rPr>
        <w:tab/>
        <w:t>cuirtear an méid seo a leanas in ionad phointí 5 agus 6:</w:t>
      </w:r>
    </w:p>
    <w:p>
      <w:pPr>
        <w:pStyle w:val="ListParagraph"/>
        <w:ind w:left="1777"/>
        <w:rPr>
          <w:noProof/>
        </w:rPr>
      </w:pPr>
      <w:r>
        <w:rPr>
          <w:noProof/>
        </w:rPr>
        <w:t>‘5. Áireofar le hastaíochtaí ó eastóscadh nó saothrú amhábhar, eec, astaíochtaí ón bpróiseas eastósctha nó saothraithe féin; ó bhailiú, triomú agus stóráil na n</w:t>
      </w:r>
      <w:r>
        <w:rPr>
          <w:noProof/>
        </w:rPr>
        <w:noBreakHyphen/>
        <w:t>amhábhar; ó dhramhaíl agus ó sceitheadh; agus ó tháirgeadh ceimiceán nó táirgí a úsáidtear san eastóscadh nó sa saothrú. Cuirfear gabháil CO</w:t>
      </w:r>
      <w:r>
        <w:rPr>
          <w:noProof/>
          <w:vertAlign w:val="subscript"/>
        </w:rPr>
        <w:t>2</w:t>
      </w:r>
      <w:r>
        <w:rPr>
          <w:noProof/>
        </w:rPr>
        <w:t xml:space="preserve"> i saothrú na n</w:t>
      </w:r>
      <w:r>
        <w:rPr>
          <w:noProof/>
        </w:rPr>
        <w:noBreakHyphen/>
        <w:t>amhábhar as an áireamh. Má tá siad ar fáil, déanfar na luachanna réamhshocraithe dí</w:t>
      </w:r>
      <w:r>
        <w:rPr>
          <w:noProof/>
        </w:rPr>
        <w:noBreakHyphen/>
        <w:t>chomhiomlánaithe d’astaíochtaí N2O ithreach a leagtar amach i gCuid D a chur i bhfeidhm sa ríomh. Is ceadmhach meáin a ríomh bunaithe ar chleachtais feirmeoireachta áitiúla atá bunaithe ar shonraí grúpa feirmeacha mar rogha mhalartach ar luachanna iarbhíre a úsáid.</w:t>
      </w:r>
    </w:p>
    <w:p>
      <w:pPr>
        <w:ind w:left="1777"/>
        <w:rPr>
          <w:noProof/>
        </w:rPr>
      </w:pPr>
      <w:r>
        <w:rPr>
          <w:noProof/>
        </w:rPr>
        <w:t>6. Chun críocha an ríomha dá dtagraítear i bpointe 1(a), ní chuirfear san áireamh laghduithe ar astaíochtaí gás ceaptha teasa ó bhainistíocht fheabhsaithe talmhaíochta, esca, amhail aistriú chuig síolú díreach nó curaíocht laghdaithe, feabhsú ar bhairr/uainíocht na mbarr, úsáid barr cumhdaigh, lena n</w:t>
      </w:r>
      <w:r>
        <w:rPr>
          <w:noProof/>
        </w:rPr>
        <w:noBreakHyphen/>
        <w:t>áirítear bainistiú iarmhar barr, agus úsáid feabhsaitheora orgánaigh ithreach (e.g. múirín, díleáiteán coipthe aoiligh), mura bhfuil an baol ann go ndéanfaidh siad dochar don bhithéagsúlacht. Ina theannta sin, cuirfear fianaise dhaingean infhíoraithe ar fáil go bhfuil méadú tagtha ar chion carbóin na hithreach nó gur réasúnach a bheith ag súil go dtiocfadh méadú air thar an tréimhse ina saothraítear na hamhábhair lena mbaineann agus aird á tabhairt ar na hastaíochtaí i gcás ina dtagann méadú ar úsáid leasacháin agus luibhicídí mar thoradh ar chleachtais den sórt sin</w:t>
      </w:r>
      <w:r>
        <w:rPr>
          <w:rStyle w:val="FootnoteReference"/>
          <w:noProof/>
        </w:rPr>
        <w:footnoteReference w:id="1"/>
      </w:r>
      <w:r>
        <w:rPr>
          <w:noProof/>
        </w:rPr>
        <w:t>.’;</w:t>
      </w:r>
    </w:p>
    <w:p>
      <w:pPr>
        <w:pStyle w:val="Point2"/>
        <w:rPr>
          <w:noProof/>
        </w:rPr>
      </w:pPr>
      <w:r>
        <w:rPr>
          <w:noProof/>
        </w:rPr>
        <w:t>b)</w:t>
      </w:r>
      <w:r>
        <w:rPr>
          <w:noProof/>
        </w:rPr>
        <w:tab/>
        <w:t>scriostar pointe 15;</w:t>
      </w:r>
    </w:p>
    <w:p>
      <w:pPr>
        <w:pStyle w:val="Point2"/>
        <w:rPr>
          <w:noProof/>
        </w:rPr>
      </w:pPr>
      <w:r>
        <w:rPr>
          <w:noProof/>
        </w:rPr>
        <w:t>c)</w:t>
      </w:r>
      <w:r>
        <w:rPr>
          <w:noProof/>
        </w:rPr>
        <w:tab/>
        <w:t>cuirtear an méid seo a leanas in ionad phointe 18:</w:t>
      </w:r>
    </w:p>
    <w:p>
      <w:pPr>
        <w:ind w:left="1777"/>
        <w:rPr>
          <w:noProof/>
          <w:szCs w:val="24"/>
        </w:rPr>
      </w:pPr>
      <w:r>
        <w:rPr>
          <w:noProof/>
        </w:rPr>
        <w:t>‘18. Chun críocha na ríomhanna dá dtagraítear i bpointe 17, is iad na hastaíochtaí a bheidh le roinnt eec + el + esca + na codáin sin ep, etd, eccs agus eccr a tharlaíonn suas go dtí an chéim den phróiseas ina dtáirgtear comhtháirge, an chéim sin san áireamh. Más rud é go ndearnadh aon chionroinnt ar chomhtháirgí ag céim níos luaithe den phróiseas sa saolré, úsáidfear an codán de na hastaíochtaí sin a sannadh don táirge breosla eatramhach sa chéim dheireanach sin den phróiseas chun na críocha sin seachas iomlán na n</w:t>
      </w:r>
      <w:r>
        <w:rPr>
          <w:noProof/>
        </w:rPr>
        <w:noBreakHyphen/>
        <w:t>astaíochtaí sin. I gcás bithgháis agus bithmheatáin, cuirfear gach comhtháirge nach dtagann faoi raon feidhme phointe 7 san áireamh chun críocha an ríofa sin. Ní dhéanfar aon astaíochtaí a chionroinnt ar dhramhaíl agus iarmhair. Measfar luach fuinnimh nialasach a bheith ag comhtháirgí a bhfuil luach fuinnimh diúltach acu chun críocha an ríofa. Measfar astaíochtaí gás ceaptha teasa nialasacha sa saolré a bheith ag dramhaíl agus iarmhair, lena n</w:t>
      </w:r>
      <w:r>
        <w:rPr>
          <w:noProof/>
        </w:rPr>
        <w:noBreakHyphen/>
        <w:t>áirítear an dramhaíl agus iarmhair uile atá in Iarscríbhinn IX, suas go dtí próiseas bailithe na n</w:t>
      </w:r>
      <w:r>
        <w:rPr>
          <w:noProof/>
        </w:rPr>
        <w:noBreakHyphen/>
        <w:t xml:space="preserve">ábhar sin beag beann orthu a bheith próiseáilte ina dtáirgí eatramhacha sula ndéantar iad a thiontú ina dtáirge deiridh. Iarmhair </w:t>
      </w:r>
      <w:r>
        <w:rPr>
          <w:noProof/>
          <w:color w:val="212121"/>
          <w:szCs w:val="24"/>
        </w:rPr>
        <w:t>nach n</w:t>
      </w:r>
      <w:r>
        <w:rPr>
          <w:noProof/>
          <w:color w:val="212121"/>
          <w:szCs w:val="24"/>
        </w:rPr>
        <w:noBreakHyphen/>
        <w:t xml:space="preserve">áirítear in Iarscríbhinn IX agus </w:t>
      </w:r>
      <w:r>
        <w:rPr>
          <w:noProof/>
        </w:rPr>
        <w:t>atá oiriúnach lena n</w:t>
      </w:r>
      <w:r>
        <w:rPr>
          <w:noProof/>
        </w:rPr>
        <w:noBreakHyphen/>
        <w:t>úsáid sa mhargadh bia nó beatha, measfar go bhfuil an méid céanna astaíochtaí acu ó eastóscadh, ó bhuaint nó ó shaothrú na n</w:t>
      </w:r>
      <w:r>
        <w:rPr>
          <w:noProof/>
        </w:rPr>
        <w:noBreakHyphen/>
        <w:t>amhábhar, agus eec ar an rogha ionadach is gaire dóibh sa mhargadh bia agus beatha atá sa tábla i gcuid D. I gcás breoslaí bithmhaise a tháirgtear i scaglanna, seachas an teaglaim d’ionaid phróiseála ina bhfuil coirí nó aonaid chomhghiniúna a sholáthraíonn teas agus/nó leictreachas don ionad próiseála, is é an scaglann a úsáidfear mar aonad anailíse chun críocha an ríofa dá dtagraítear i bpointe 17’;</w:t>
      </w:r>
    </w:p>
    <w:p>
      <w:pPr>
        <w:pStyle w:val="Point1number"/>
        <w:rPr>
          <w:noProof/>
        </w:rPr>
      </w:pPr>
      <w:r>
        <w:rPr>
          <w:noProof/>
        </w:rPr>
        <w:t xml:space="preserve">In Iarscríbhinn VI, leasaítear cuid B mar a leanas: </w:t>
      </w:r>
    </w:p>
    <w:p>
      <w:pPr>
        <w:pStyle w:val="Point2"/>
        <w:rPr>
          <w:noProof/>
        </w:rPr>
      </w:pPr>
      <w:r>
        <w:rPr>
          <w:noProof/>
        </w:rPr>
        <w:t>a)</w:t>
      </w:r>
      <w:r>
        <w:rPr>
          <w:noProof/>
        </w:rPr>
        <w:tab/>
        <w:t>cuirtear an méid seo a leanas in ionad phointí 5 agus 6:</w:t>
      </w:r>
    </w:p>
    <w:p>
      <w:pPr>
        <w:ind w:left="1777"/>
        <w:rPr>
          <w:noProof/>
          <w:szCs w:val="24"/>
        </w:rPr>
      </w:pPr>
      <w:r>
        <w:rPr>
          <w:noProof/>
        </w:rPr>
        <w:t>‘5. Áireofar le hastaíochtaí ó eastóscadh nó saothrú amhábhar, eec, astaíochtaí ón bpróiseas eastósctha nó saothraithe féin; ó bhailiú, triomú agus stóráil na n</w:t>
      </w:r>
      <w:r>
        <w:rPr>
          <w:noProof/>
        </w:rPr>
        <w:noBreakHyphen/>
        <w:t>amhábhar; ó dhramhaíl agus ó sceitheadh; agus ó tháirgeadh ceimiceán nó táirgí a úsáidtear san eastóscadh nó sa saothrú. Cuirfear gabháil CO</w:t>
      </w:r>
      <w:r>
        <w:rPr>
          <w:noProof/>
          <w:vertAlign w:val="subscript"/>
        </w:rPr>
        <w:t>2</w:t>
      </w:r>
      <w:r>
        <w:rPr>
          <w:noProof/>
        </w:rPr>
        <w:t xml:space="preserve"> i saothrú na n</w:t>
      </w:r>
      <w:r>
        <w:rPr>
          <w:noProof/>
        </w:rPr>
        <w:noBreakHyphen/>
        <w:t>amhábhar as an áireamh. Má tá siad ar fáil, déanfar na luachanna réamhshocraithe dí</w:t>
      </w:r>
      <w:r>
        <w:rPr>
          <w:noProof/>
        </w:rPr>
        <w:noBreakHyphen/>
        <w:t>chomhiomlánaithe d’astaíochtaí N2O ithreach a leagtar amach i gCuid D a chur i bhfeidhm sa ríomh. Is ceadmhach meáin a ríomh bunaithe ar chleachtais feirmeoireachta áitiúla atá bunaithe ar shonraí grúpa feirmeacha mar rogha mhalartach ar luachanna iarbhíre a úsáid.’</w:t>
      </w:r>
    </w:p>
    <w:p>
      <w:pPr>
        <w:ind w:left="1777"/>
        <w:rPr>
          <w:noProof/>
          <w:szCs w:val="24"/>
        </w:rPr>
      </w:pPr>
      <w:r>
        <w:rPr>
          <w:noProof/>
        </w:rPr>
        <w:t>6. Chun críocha an ríomha dá dtagraítear i bpointe 1(a), ní chuirfear san áireamh laghduithe ar astaíochtaí gás ceaptha teasa ó bhainistíocht fheabhsaithe talmhaíochta, esca, amhail aistriú chuig síolú díreach nó curaíocht laghdaithe, feabhsú ar bhairr/uainíocht na mbarr, úsáid barr cumhdaigh, lena n</w:t>
      </w:r>
      <w:r>
        <w:rPr>
          <w:noProof/>
        </w:rPr>
        <w:noBreakHyphen/>
        <w:t>áirítear bainistiú iarmhar barr, agus úsáid feabhsaitheora orgánaigh ithreach (e.g. múirín, díleáiteán coipthe aoiligh), mura bhfuil an baol ann go ndéanfaidh siad dochar don bhithéagsúlacht. Ina theannta sin, cuirfear fianaise dhaingean infhíoraithe ar fáil go bhfuil méadú tagtha ar chion carbóin na hithreach nó gur réasúnach a bheith ag súil go dtiocfadh méadú air thar an tréimhse inar saothraítear na hamhábhair lena mbaineann agus aird á tabhairt ar na hastaíochtaí i gcás ina dtagann méadú ar úsáid leasacháin agus luibhicídí mar thoradh ar chleachtais den sórt sin</w:t>
      </w:r>
      <w:r>
        <w:rPr>
          <w:rStyle w:val="FootnoteReference"/>
          <w:noProof/>
          <w:szCs w:val="24"/>
        </w:rPr>
        <w:footnoteReference w:id="2"/>
      </w:r>
      <w:r>
        <w:rPr>
          <w:noProof/>
          <w:szCs w:val="24"/>
          <w:vertAlign w:val="superscript"/>
        </w:rPr>
        <w:t>.</w:t>
      </w:r>
      <w:r>
        <w:rPr>
          <w:noProof/>
        </w:rPr>
        <w:t>’;</w:t>
      </w:r>
    </w:p>
    <w:p>
      <w:pPr>
        <w:pStyle w:val="Point2"/>
        <w:rPr>
          <w:noProof/>
        </w:rPr>
      </w:pPr>
      <w:r>
        <w:rPr>
          <w:noProof/>
        </w:rPr>
        <w:t>b)</w:t>
      </w:r>
      <w:r>
        <w:rPr>
          <w:noProof/>
        </w:rPr>
        <w:tab/>
        <w:t>scriostar pointe 15;</w:t>
      </w:r>
    </w:p>
    <w:p>
      <w:pPr>
        <w:pStyle w:val="Point2"/>
        <w:rPr>
          <w:noProof/>
        </w:rPr>
      </w:pPr>
      <w:r>
        <w:rPr>
          <w:noProof/>
        </w:rPr>
        <w:t>c)</w:t>
      </w:r>
      <w:r>
        <w:rPr>
          <w:noProof/>
        </w:rPr>
        <w:tab/>
        <w:t>cuirtear an méid seo a leanas in ionad phointe 18:</w:t>
      </w:r>
    </w:p>
    <w:p>
      <w:pPr>
        <w:ind w:left="1777"/>
        <w:rPr>
          <w:noProof/>
        </w:rPr>
      </w:pPr>
      <w:r>
        <w:rPr>
          <w:noProof/>
        </w:rPr>
        <w:t>‘18. Chun críocha na ríomhanna dá dtagraítear i bpointe 17, is iad na hastaíochtaí a bheidh le roinnt e</w:t>
      </w:r>
      <w:r>
        <w:rPr>
          <w:noProof/>
          <w:vertAlign w:val="subscript"/>
        </w:rPr>
        <w:t>ec</w:t>
      </w:r>
      <w:r>
        <w:rPr>
          <w:noProof/>
        </w:rPr>
        <w:t xml:space="preserve"> + e</w:t>
      </w:r>
      <w:r>
        <w:rPr>
          <w:noProof/>
          <w:vertAlign w:val="subscript"/>
        </w:rPr>
        <w:t>l</w:t>
      </w:r>
      <w:r>
        <w:rPr>
          <w:noProof/>
        </w:rPr>
        <w:t xml:space="preserve"> + e</w:t>
      </w:r>
      <w:r>
        <w:rPr>
          <w:noProof/>
          <w:vertAlign w:val="subscript"/>
        </w:rPr>
        <w:t>sca</w:t>
      </w:r>
      <w:r>
        <w:rPr>
          <w:noProof/>
        </w:rPr>
        <w:t xml:space="preserve"> + na codáin sin de e</w:t>
      </w:r>
      <w:r>
        <w:rPr>
          <w:noProof/>
          <w:vertAlign w:val="subscript"/>
        </w:rPr>
        <w:t>p</w:t>
      </w:r>
      <w:r>
        <w:rPr>
          <w:noProof/>
        </w:rPr>
        <w:t>, e</w:t>
      </w:r>
      <w:r>
        <w:rPr>
          <w:noProof/>
          <w:vertAlign w:val="subscript"/>
        </w:rPr>
        <w:t>td</w:t>
      </w:r>
      <w:r>
        <w:rPr>
          <w:noProof/>
        </w:rPr>
        <w:t>, e</w:t>
      </w:r>
      <w:r>
        <w:rPr>
          <w:noProof/>
          <w:vertAlign w:val="subscript"/>
        </w:rPr>
        <w:t>ccs</w:t>
      </w:r>
      <w:r>
        <w:rPr>
          <w:noProof/>
        </w:rPr>
        <w:t xml:space="preserve"> agus e</w:t>
      </w:r>
      <w:r>
        <w:rPr>
          <w:noProof/>
          <w:vertAlign w:val="subscript"/>
        </w:rPr>
        <w:t>ccr</w:t>
      </w:r>
      <w:r>
        <w:rPr>
          <w:noProof/>
        </w:rPr>
        <w:t xml:space="preserve"> a tharlaíonn suas go dtí an chéim den phróiseas ina dtáirgtear comhtháirge, an chéim sin san áireamh. Más rud é go ndearnadh aon chionroinnt ar chomhtháirgí ag céim níos luaithe den phróiseas sa saolré, úsáidfear an codán de na hastaíochtaí sin a sannadh don táirge breosla eatramhach sa chéim dheireanach sin den phróiseas chun na críocha sin seachas iomlán na n</w:t>
      </w:r>
      <w:r>
        <w:rPr>
          <w:noProof/>
        </w:rPr>
        <w:noBreakHyphen/>
        <w:t xml:space="preserve">astaíochtaí sin. </w:t>
      </w:r>
    </w:p>
    <w:p>
      <w:pPr>
        <w:ind w:left="1777"/>
        <w:rPr>
          <w:noProof/>
        </w:rPr>
      </w:pPr>
      <w:r>
        <w:rPr>
          <w:noProof/>
        </w:rPr>
        <w:t xml:space="preserve">I gcás bithgháis agus bithmheatáin, cuirfear gach comhtháirge nach dtagann faoi raon feidhme phointe 7 san áireamh chun críocha an ríofa sin. Ní dhéanfar aon astaíochtaí a chionroinnt ar dhramhaíl agus iarmhair. Measfar luach fuinnimh nialasach a bheith ag comhtháirgí a bhfuil luach fuinnimh diúltach acu chun críocha an ríofa. </w:t>
      </w:r>
    </w:p>
    <w:p>
      <w:pPr>
        <w:ind w:left="1777"/>
        <w:rPr>
          <w:noProof/>
        </w:rPr>
      </w:pPr>
      <w:r>
        <w:rPr>
          <w:noProof/>
        </w:rPr>
        <w:t>Measfar astaíochtaí gás ceaptha teasa nialasacha sa saolré a bheith ag dramhaíl agus iarmhair, lena n</w:t>
      </w:r>
      <w:r>
        <w:rPr>
          <w:noProof/>
        </w:rPr>
        <w:noBreakHyphen/>
        <w:t>áirítear an dramhaíl agus iarmhair uile atá in Iarscríbhinn IX, suas go dtí próiseas bailithe na n</w:t>
      </w:r>
      <w:r>
        <w:rPr>
          <w:noProof/>
        </w:rPr>
        <w:noBreakHyphen/>
        <w:t xml:space="preserve">ábhar sin beag beann orthu a bheith próiseáilte ina dtáirgí eatramhacha sula ndéantar iad a thiontú chuig an táirge deiridh. Iarmhair </w:t>
      </w:r>
      <w:r>
        <w:rPr>
          <w:noProof/>
          <w:color w:val="212121"/>
          <w:szCs w:val="24"/>
        </w:rPr>
        <w:t>nach n</w:t>
      </w:r>
      <w:r>
        <w:rPr>
          <w:noProof/>
          <w:color w:val="212121"/>
          <w:szCs w:val="24"/>
        </w:rPr>
        <w:noBreakHyphen/>
        <w:t xml:space="preserve">áirítear in Iarscríbhinn IX agus </w:t>
      </w:r>
      <w:r>
        <w:rPr>
          <w:noProof/>
        </w:rPr>
        <w:t>atá oiriúnach lena n</w:t>
      </w:r>
      <w:r>
        <w:rPr>
          <w:noProof/>
        </w:rPr>
        <w:noBreakHyphen/>
        <w:t>úsáid sa mhargadh bia nó beatha, measfar go bhfuil an méid céanna astaíochtaí acu ó eastóscadh, ó bhuaint nó ó shaothrú amhábhar, agus e</w:t>
      </w:r>
      <w:r>
        <w:rPr>
          <w:noProof/>
          <w:vertAlign w:val="subscript"/>
        </w:rPr>
        <w:t>ec</w:t>
      </w:r>
      <w:r>
        <w:rPr>
          <w:noProof/>
        </w:rPr>
        <w:t xml:space="preserve"> ar an rogha ionadach is gaire dóibh sa mhargadh bia agus beatha atá sa tábla i gcuid D d’Iarscríbhinn V. </w:t>
      </w:r>
    </w:p>
    <w:p>
      <w:pPr>
        <w:ind w:left="1777"/>
        <w:rPr>
          <w:noProof/>
          <w:szCs w:val="24"/>
        </w:rPr>
      </w:pPr>
      <w:r>
        <w:rPr>
          <w:noProof/>
        </w:rPr>
        <w:t>I gcás breoslaí bithmhaise a tháirgtear i scaglanna, seachas an teaglaim de mhonarchana próiseála ina bhfuil coirí nó aonaid chomhghiniúna a thugann teas agus/nó leictreachas don mhonarcha próiseála, is é an scaglann a bheidh san aonad anailíse chun críocha an ríofa dá dtagraítear i bpointe 17.’</w:t>
      </w:r>
    </w:p>
    <w:p>
      <w:pPr>
        <w:ind w:left="1984"/>
        <w:rPr>
          <w:noProof/>
          <w:szCs w:val="24"/>
        </w:rPr>
      </w:pPr>
    </w:p>
    <w:p>
      <w:pPr>
        <w:pStyle w:val="Point1number"/>
        <w:rPr>
          <w:noProof/>
        </w:rPr>
      </w:pPr>
      <w:r>
        <w:rPr>
          <w:noProof/>
        </w:rPr>
        <w:t>in Iarscríbhinn VII, sa sainmhíniú ar Q</w:t>
      </w:r>
      <w:r>
        <w:rPr>
          <w:noProof/>
          <w:vertAlign w:val="subscript"/>
        </w:rPr>
        <w:t>in</w:t>
      </w:r>
      <w:r>
        <w:rPr>
          <w:noProof/>
          <w:vertAlign w:val="subscript"/>
        </w:rPr>
        <w:noBreakHyphen/>
        <w:t>úsáidte</w:t>
      </w:r>
      <w:r>
        <w:rPr>
          <w:noProof/>
        </w:rPr>
        <w:t>, cuirtear tagairt d’Airteagal 7(3) in ionad na tagartha d’Airteagal 7(4).</w:t>
      </w:r>
    </w:p>
    <w:p>
      <w:pPr>
        <w:rPr>
          <w:noProof/>
        </w:rPr>
      </w:pPr>
    </w:p>
    <w:p>
      <w:pPr>
        <w:pStyle w:val="Point1number"/>
        <w:rPr>
          <w:noProof/>
        </w:rPr>
      </w:pPr>
      <w:r>
        <w:rPr>
          <w:noProof/>
        </w:rPr>
        <w:t>Leasaítear Iarscríbhinn IX mar a leanas:</w:t>
      </w:r>
    </w:p>
    <w:p>
      <w:pPr>
        <w:pStyle w:val="Point2letter"/>
        <w:rPr>
          <w:noProof/>
        </w:rPr>
      </w:pPr>
      <w:r>
        <w:rPr>
          <w:noProof/>
        </w:rPr>
        <w:t xml:space="preserve">i gCuid A, cuirtear an méid seo a leanas in ionad na habairte tosaigh: </w:t>
      </w:r>
    </w:p>
    <w:p>
      <w:pPr>
        <w:ind w:left="1417"/>
        <w:rPr>
          <w:noProof/>
        </w:rPr>
      </w:pPr>
      <w:r>
        <w:rPr>
          <w:noProof/>
        </w:rPr>
        <w:t>‘Bunábhair chun bithghás don iompar agus bithbhreoslaí ardfhorbartha a tháirgeadh:’</w:t>
      </w:r>
    </w:p>
    <w:p>
      <w:pPr>
        <w:pStyle w:val="Point2letter"/>
        <w:rPr>
          <w:noProof/>
        </w:rPr>
      </w:pPr>
      <w:r>
        <w:rPr>
          <w:noProof/>
        </w:rPr>
        <w:t>i gCuid B, cuirtear an méid seo a leanas in ionad na habairte tosaigh:</w:t>
      </w:r>
    </w:p>
    <w:p>
      <w:pPr>
        <w:ind w:left="1417"/>
        <w:rPr>
          <w:noProof/>
        </w:rPr>
      </w:pPr>
      <w:r>
        <w:rPr>
          <w:noProof/>
        </w:rPr>
        <w:t>‘Bunábhair chun bithbhreoslaí agus bithghás don iompar a tháirgeadh, a mbeidh a rannchuidiú teoranta i dtreo na sprice maidir le hastaíochtaí gás ceaptha teasa a laghdú arna bunú i bpointe (a) den chéad fhomhír d’Airteagal 25(1):’;</w:t>
      </w:r>
    </w:p>
    <w:p>
      <w:pPr>
        <w:rPr>
          <w:noProof/>
        </w:rPr>
        <w:sectPr>
          <w:footerReference w:type="default" r:id="rId16"/>
          <w:footerReference w:type="first" r:id="rId17"/>
          <w:pgSz w:w="11907" w:h="16839"/>
          <w:pgMar w:top="1134" w:right="1417" w:bottom="1134" w:left="1417" w:header="709" w:footer="709" w:gutter="0"/>
          <w:cols w:space="720"/>
          <w:docGrid w:linePitch="360"/>
        </w:sectPr>
      </w:pPr>
    </w:p>
    <w:p>
      <w:pPr>
        <w:pStyle w:val="Annexetitre"/>
        <w:rPr>
          <w:noProof/>
        </w:rPr>
      </w:pPr>
      <w:r>
        <w:rPr>
          <w:noProof/>
        </w:rPr>
        <w:t>IARSCRÍBHINN II</w:t>
      </w:r>
    </w:p>
    <w:p>
      <w:pPr>
        <w:keepNext/>
        <w:tabs>
          <w:tab w:val="left" w:pos="4252"/>
        </w:tabs>
        <w:spacing w:before="720" w:after="0"/>
        <w:rPr>
          <w:noProof/>
        </w:rPr>
      </w:pPr>
      <w:r>
        <w:rPr>
          <w:noProof/>
        </w:rPr>
        <w:t>Leasaítear Iarscríbhinní I, II, IV agus V a ghabhann le Treoir 98/70/CE mar a leanas:</w:t>
      </w:r>
    </w:p>
    <w:p>
      <w:pPr>
        <w:pStyle w:val="Point1number"/>
        <w:numPr>
          <w:ilvl w:val="2"/>
          <w:numId w:val="9"/>
        </w:numPr>
        <w:rPr>
          <w:noProof/>
        </w:rPr>
      </w:pPr>
      <w:r>
        <w:rPr>
          <w:noProof/>
        </w:rPr>
        <w:t xml:space="preserve">Leasaítear Iarscríbhinn I mar a leanas: </w:t>
      </w:r>
    </w:p>
    <w:p>
      <w:pPr>
        <w:pStyle w:val="Point2letter"/>
        <w:rPr>
          <w:noProof/>
        </w:rPr>
      </w:pPr>
      <w:r>
        <w:rPr>
          <w:noProof/>
        </w:rPr>
        <w:t>cuirtear an méid seo a leanas in ionad an téacs i bhfonóta 1:</w:t>
      </w:r>
    </w:p>
    <w:p>
      <w:pPr>
        <w:ind w:left="1417"/>
        <w:rPr>
          <w:noProof/>
        </w:rPr>
      </w:pPr>
      <w:r>
        <w:rPr>
          <w:noProof/>
        </w:rPr>
        <w:t>‘(1) Is iad na modhanna a shonraítear in EN 228:2012+A1:2017 a bheidh sna modhanna tástála. Féadfaidh na Ballstáit an modh anailíseach a shonraítear i gcaighdeán ionadach EN 228:2012+A1:2017 a ghlacadh más féidir a thaispeáint go mbaineann an cruinneas céanna ar a laghad agus an leibhéal beachtais céanna ar a laghad is a bhaineann leis an modh anailíseach a mbeidh sé á chur ina ionad.’; ;</w:t>
      </w:r>
    </w:p>
    <w:p>
      <w:pPr>
        <w:pStyle w:val="Point2letter"/>
        <w:rPr>
          <w:noProof/>
        </w:rPr>
      </w:pPr>
      <w:r>
        <w:rPr>
          <w:noProof/>
        </w:rPr>
        <w:t>cuirtear an méid seo a leanas in ionad an téacs i bhfonóta 2:</w:t>
      </w:r>
    </w:p>
    <w:p>
      <w:pPr>
        <w:ind w:left="1417"/>
        <w:rPr>
          <w:noProof/>
        </w:rPr>
      </w:pPr>
      <w:r>
        <w:rPr>
          <w:noProof/>
        </w:rPr>
        <w:tab/>
        <w:t>‘(2) is ‘fíorluachanna’ iad na luachanna a luaitear sa tsonraíocht. Agus a luachanna teorann á socrú, cuireadh i bhfeidhm téarmaí EN ISO 4259-1:2017/A1:2021 ‘Peitriliam agus táirgí gaolmhara — Beachtas modhanna tomhais agus torthaí – Cuid 1: Na sonraí beachtais a chinneadh maidir le modhanna tástála ’ agus trí íosluach á shocrú, cuireadh difríocht íosta 2R os cionn náid san áireamh (R = in</w:t>
      </w:r>
      <w:r>
        <w:rPr>
          <w:noProof/>
        </w:rPr>
        <w:noBreakHyphen/>
        <w:t>atáirgtheacht). Déanfar na torthaí ó thomhais aonair a léirmhíniú ar bhonn na gcritéar a bhfuil tuairisc orthu in EN ISO 4259-2:2017/A1:2019.’;</w:t>
      </w:r>
    </w:p>
    <w:p>
      <w:pPr>
        <w:pStyle w:val="Point2letter"/>
        <w:rPr>
          <w:noProof/>
        </w:rPr>
      </w:pPr>
      <w:r>
        <w:rPr>
          <w:noProof/>
        </w:rPr>
        <w:t>cuirtear an méid seo a leanas in ionad an téacs i bhfonóta 6:</w:t>
      </w:r>
    </w:p>
    <w:p>
      <w:pPr>
        <w:ind w:left="1417"/>
        <w:rPr>
          <w:noProof/>
        </w:rPr>
      </w:pPr>
      <w:r>
        <w:rPr>
          <w:noProof/>
        </w:rPr>
        <w:t>‘(6) Mona-alcóil agus éitir eile nach airde a bhfiuchphointe deiridh ná an fiuchphointe deiridh a luaitear in EN 228:2012 +A1:2017.’</w:t>
      </w:r>
    </w:p>
    <w:p>
      <w:pPr>
        <w:pStyle w:val="Point1number"/>
        <w:rPr>
          <w:noProof/>
        </w:rPr>
      </w:pPr>
      <w:r>
        <w:rPr>
          <w:noProof/>
        </w:rPr>
        <w:t>Leasaítear Iarscríbhinn II mar a leanas:</w:t>
      </w:r>
    </w:p>
    <w:p>
      <w:pPr>
        <w:pStyle w:val="Point2letter"/>
        <w:rPr>
          <w:noProof/>
        </w:rPr>
      </w:pPr>
      <w:r>
        <w:rPr>
          <w:noProof/>
        </w:rPr>
        <w:t>sa líne dheireanach den tábla, ‘cion FAME – EN 14078’, san iontráil sa cholún deireanach ‘Teorainneacha’ ‘Uasmhéid’, cuirtear ‘10.0’ in ionad ‘7,0’;</w:t>
      </w:r>
    </w:p>
    <w:p>
      <w:pPr>
        <w:pStyle w:val="Point2letter"/>
        <w:rPr>
          <w:noProof/>
        </w:rPr>
      </w:pPr>
      <w:r>
        <w:rPr>
          <w:noProof/>
        </w:rPr>
        <w:t>cuirtear an méid seo a leanas in ionad an téacs i bhfonóta 1:</w:t>
      </w:r>
    </w:p>
    <w:p>
      <w:pPr>
        <w:ind w:left="1417"/>
        <w:rPr>
          <w:noProof/>
        </w:rPr>
      </w:pPr>
      <w:r>
        <w:rPr>
          <w:noProof/>
        </w:rPr>
        <w:t>‘(1) Is iad na modhanna a shonraítear in EN 590:2013+A1:2017 a bheidh sna modhanna tástála. Féadfaidh na Ballstáit an modh anailíseach a shonraítear i gcaighdeán ionadach EN 590:2013+A1:2017 a ghlacadh más féidir a thaispeáint go mbaineann an cruinneas céanna ar a laghad agus an leibhéal beachtais céanna ar a laghad leis is a bhaineann leis an modh anailíseach a mbeidh sé á chur ina ionad.’;</w:t>
      </w:r>
    </w:p>
    <w:p>
      <w:pPr>
        <w:pStyle w:val="Point2letter"/>
        <w:rPr>
          <w:noProof/>
        </w:rPr>
      </w:pPr>
      <w:r>
        <w:rPr>
          <w:noProof/>
        </w:rPr>
        <w:t>cuirtear an méid seo a leanas in ionad théacs fhonóta 2:</w:t>
      </w:r>
    </w:p>
    <w:p>
      <w:pPr>
        <w:ind w:left="1417"/>
        <w:rPr>
          <w:noProof/>
        </w:rPr>
      </w:pPr>
      <w:r>
        <w:rPr>
          <w:noProof/>
        </w:rPr>
        <w:t>‘(2) Is ‘fíorluachanna’ iad na luachanna a luaitear sa tsonraíocht. Agus a luachanna teorann á socrú, cuireadh i bhfeidhm téarmaí EN ISO 4259-1:2017/A1:2021 ‘Peitriliam agus táirgí gaolmhara — Beachtas modhanna tomhais agus torthaí – Cuid 1: Na sonraí beachtais a chinneadh maidir le modhanna tástála’ agus trí íosluach a shocrú, cuireadh difríocht íosta 2R os cionn náid san áireamh (R = in</w:t>
      </w:r>
      <w:r>
        <w:rPr>
          <w:noProof/>
        </w:rPr>
        <w:noBreakHyphen/>
        <w:t>atáirgtheacht). Déanfar na torthaí ó thomhais aonair a léirmhíniú ar bhonn na gcritéar a bhfuil tuairisc orthu in EN ISO 4259-2:2017/A1:2019.’;</w:t>
      </w:r>
    </w:p>
    <w:p>
      <w:pPr>
        <w:pStyle w:val="Point1number"/>
        <w:rPr>
          <w:noProof/>
        </w:rPr>
      </w:pPr>
      <w:r>
        <w:rPr>
          <w:noProof/>
        </w:rPr>
        <w:t>Scriostar Iarscríbhinní IV agus V.</w:t>
      </w:r>
    </w:p>
    <w:sectPr>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GA</w:t>
    </w:r>
    <w:r>
      <w:rPr>
        <w:rFonts w:ascii="Arial" w:hAnsi="Arial" w:cs="Arial"/>
        <w:b/>
        <w:sz w:val="48"/>
      </w:rPr>
      <w:tab/>
    </w:r>
    <w:r>
      <w:rPr>
        <w:rFonts w:ascii="Arial" w:hAnsi="Arial" w:cs="Arial"/>
        <w:b/>
        <w:sz w:val="48"/>
      </w:rPr>
      <w:tab/>
    </w:r>
    <w:r>
      <w:tab/>
    </w:r>
    <w:r>
      <w:rPr>
        <w:rFonts w:ascii="Arial" w:hAnsi="Arial" w:cs="Arial"/>
        <w:b/>
        <w:sz w:val="48"/>
      </w:rPr>
      <w:t>GA</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GA</w:t>
    </w:r>
    <w:r>
      <w:rPr>
        <w:rFonts w:ascii="Arial" w:hAnsi="Arial" w:cs="Arial"/>
        <w:b/>
        <w:sz w:val="48"/>
      </w:rPr>
      <w:tab/>
    </w:r>
    <w:r>
      <w:fldChar w:fldCharType="begin"/>
    </w:r>
    <w:r>
      <w:instrText xml:space="preserve"> PAGE  \* MERGEFORMAT </w:instrText>
    </w:r>
    <w:r>
      <w:fldChar w:fldCharType="separate"/>
    </w:r>
    <w:r>
      <w:rPr>
        <w:noProof/>
      </w:rPr>
      <w:t>2</w:t>
    </w:r>
    <w:r>
      <w:fldChar w:fldCharType="end"/>
    </w:r>
    <w:r>
      <w:tab/>
    </w:r>
    <w:r>
      <w:tab/>
    </w:r>
    <w:r>
      <w:rPr>
        <w:rFonts w:ascii="Arial" w:hAnsi="Arial" w:cs="Arial"/>
        <w:b/>
        <w:sz w:val="48"/>
      </w:rPr>
      <w:t>GA</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pPr>
      <w:r>
        <w:rPr>
          <w:rStyle w:val="FootnoteReference"/>
        </w:rPr>
        <w:footnoteRef/>
      </w:r>
      <w:r>
        <w:tab/>
        <w:t>D'fhéadfadh tomhais ar chion carbóin na hithreach a bheith i gceist le fianaise den sórt sin, mar shampla tríd an gcéad thomhas roimh an saothrú agus tomhais go tráthrialta ina dhiaidh sin cúpla bliain óna chéile. Sa chás sin, sula mbeadh teacht ar an dara tomhas, dhéanfaí méadú i gcion carbóin na hithreach a mheasúnú ar bhonn turgnaimh ionadaíocha nó samhlacha ithreach. Ón dara tomhas ar aghaidh, bheadh na tomhais ina mbunús lena chinneadh an ann do mhéadú ar chion charbóin na hithreach agus ar a mhéid.</w:t>
      </w:r>
    </w:p>
  </w:footnote>
  <w:footnote w:id="2">
    <w:p>
      <w:pPr>
        <w:pStyle w:val="FootnoteText"/>
      </w:pPr>
      <w:r>
        <w:rPr>
          <w:rStyle w:val="FootnoteReference"/>
        </w:rPr>
        <w:footnoteRef/>
      </w:r>
      <w:r>
        <w:tab/>
        <w:t>D'fhéadfadh tomhais ar chion carbóin na hithreach a bheith i gceist le fianaise den sórt sin, mar shampla tríd an gcéad thomhas roimh an saothrú agus tomhais go tráthrialta ina dhiaidh sin cúpla bliain óna chéile. Sa chás sin, sula mbeadh teacht ar an dara tomhas, dhéanfaí méadú i gcion carbóin na hithreach a mheasúnú ar bhonn turgnaimh ionadaíocha nó samhlacha ithreach. Ón dara tomhas ar aghaidh, bheadh na tomhais ina mbunús lena chinneadh an ann do mhéadú ar chion charbóin na hithreach agus ar a mhéid.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A27C08B2"/>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625AA5FC"/>
    <w:lvl w:ilvl="0">
      <w:start w:val="1"/>
      <w:numFmt w:val="decimal"/>
      <w:pStyle w:val="ListNumber3"/>
      <w:lvlText w:val="%1."/>
      <w:lvlJc w:val="left"/>
      <w:pPr>
        <w:tabs>
          <w:tab w:val="num" w:pos="926"/>
        </w:tabs>
        <w:ind w:left="926" w:hanging="360"/>
      </w:pPr>
    </w:lvl>
  </w:abstractNum>
  <w:abstractNum w:abstractNumId="2">
    <w:nsid w:val="FFFFFF7F"/>
    <w:multiLevelType w:val="singleLevel"/>
    <w:tmpl w:val="2116D40A"/>
    <w:lvl w:ilvl="0">
      <w:start w:val="1"/>
      <w:numFmt w:val="decimal"/>
      <w:pStyle w:val="ListNumber2"/>
      <w:lvlText w:val="%1."/>
      <w:lvlJc w:val="left"/>
      <w:pPr>
        <w:tabs>
          <w:tab w:val="num" w:pos="643"/>
        </w:tabs>
        <w:ind w:left="643" w:hanging="360"/>
      </w:pPr>
    </w:lvl>
  </w:abstractNum>
  <w:abstractNum w:abstractNumId="3">
    <w:nsid w:val="FFFFFF81"/>
    <w:multiLevelType w:val="singleLevel"/>
    <w:tmpl w:val="ABBCF2F0"/>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6C7C6E90"/>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4888FD14"/>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F48AE65C"/>
    <w:lvl w:ilvl="0">
      <w:start w:val="1"/>
      <w:numFmt w:val="decimal"/>
      <w:pStyle w:val="ListNumber"/>
      <w:lvlText w:val="%1."/>
      <w:lvlJc w:val="left"/>
      <w:pPr>
        <w:tabs>
          <w:tab w:val="num" w:pos="360"/>
        </w:tabs>
        <w:ind w:left="360" w:hanging="360"/>
      </w:pPr>
    </w:lvl>
  </w:abstractNum>
  <w:abstractNum w:abstractNumId="7">
    <w:nsid w:val="FFFFFF89"/>
    <w:multiLevelType w:val="singleLevel"/>
    <w:tmpl w:val="1FAC82EA"/>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5">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7">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8">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2">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12"/>
  </w:num>
  <w:num w:numId="13">
    <w:abstractNumId w:val="21"/>
  </w:num>
  <w:num w:numId="14">
    <w:abstractNumId w:val="11"/>
  </w:num>
  <w:num w:numId="15">
    <w:abstractNumId w:val="13"/>
  </w:num>
  <w:num w:numId="16">
    <w:abstractNumId w:val="9"/>
  </w:num>
  <w:num w:numId="17">
    <w:abstractNumId w:val="20"/>
  </w:num>
  <w:num w:numId="18">
    <w:abstractNumId w:val="8"/>
  </w:num>
  <w:num w:numId="19">
    <w:abstractNumId w:val="15"/>
  </w:num>
  <w:num w:numId="20">
    <w:abstractNumId w:val="17"/>
  </w:num>
  <w:num w:numId="21">
    <w:abstractNumId w:val="18"/>
  </w:num>
  <w:num w:numId="22">
    <w:abstractNumId w:val="10"/>
  </w:num>
  <w:num w:numId="23">
    <w:abstractNumId w:val="16"/>
  </w:num>
  <w:num w:numId="24">
    <w:abstractNumId w:val="22"/>
  </w:num>
  <w:num w:numId="25">
    <w:abstractNumId w:val="19"/>
  </w:num>
  <w:num w:numId="26">
    <w:abstractNumId w:val="12"/>
  </w:num>
  <w:num w:numId="27">
    <w:abstractNumId w:val="21"/>
  </w:num>
  <w:num w:numId="28">
    <w:abstractNumId w:val="11"/>
  </w:num>
  <w:num w:numId="29">
    <w:abstractNumId w:val="13"/>
  </w:num>
  <w:num w:numId="30">
    <w:abstractNumId w:val="14"/>
  </w:num>
  <w:num w:numId="31">
    <w:abstractNumId w:val="9"/>
  </w:num>
  <w:num w:numId="32">
    <w:abstractNumId w:val="20"/>
  </w:num>
  <w:num w:numId="33">
    <w:abstractNumId w:val="8"/>
  </w:num>
  <w:num w:numId="34">
    <w:abstractNumId w:val="15"/>
  </w:num>
  <w:num w:numId="35">
    <w:abstractNumId w:val="17"/>
  </w:num>
  <w:num w:numId="36">
    <w:abstractNumId w:val="18"/>
  </w:num>
  <w:num w:numId="37">
    <w:abstractNumId w:val="10"/>
  </w:num>
  <w:num w:numId="38">
    <w:abstractNumId w:val="16"/>
  </w:num>
  <w:num w:numId="39">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ttachedTemplate r:id="rId1"/>
  <w:defaultTabStop w:val="720"/>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1-09-10 12:11:12"/>
    <w:docVar w:name="DQCResult_Distribution" w:val="0;0"/>
    <w:docVar w:name="DQCResult_DocumentContent" w:val="0;0"/>
    <w:docVar w:name="DQCResult_DocumentSize" w:val="0;0"/>
    <w:docVar w:name="DQCResult_DocumentVersions" w:val="0;0"/>
    <w:docVar w:name="DQCResult_InvalidFootnotes" w:val="0;0"/>
    <w:docVar w:name="DQCResult_LinkedStyles" w:val="0;0"/>
    <w:docVar w:name="DQCResult_ModifiedMargins" w:val="0;34"/>
    <w:docVar w:name="DQCResult_ModifiedMarkers" w:val="0;0"/>
    <w:docVar w:name="DQCResult_ModifiedNumbering" w:val="0;0"/>
    <w:docVar w:name="DQCResult_Objects" w:val="0;0"/>
    <w:docVar w:name="DQCResult_Sections" w:val="0;0"/>
    <w:docVar w:name="DQCResult_StructureCheck" w:val="0;0"/>
    <w:docVar w:name="DQCResult_SuperfluousWhitespace" w:val="0;3"/>
    <w:docVar w:name="DQCResult_UnknownFonts" w:val="0;0"/>
    <w:docVar w:name="DQCResult_UnknownStyles" w:val="0;1"/>
    <w:docVar w:name="DQCStatus" w:val="Green"/>
    <w:docVar w:name="DQCVersion" w:val="3"/>
    <w:docVar w:name="DQCWithWarnings" w:val="0"/>
    <w:docVar w:name="LW_ACCOMPAGNANT" w:val="a ghabhann leis an"/>
    <w:docVar w:name="LW_ACCOMPAGNANT.CP" w:val="a ghabhann leis an"/>
    <w:docVar w:name="LW_ANNEX_NBR_FIRST" w:val="1"/>
    <w:docVar w:name="LW_ANNEX_NBR_LAST" w:val="2"/>
    <w:docVar w:name="LW_ANNEX_UNIQUE" w:val="0"/>
    <w:docVar w:name="LW_CORRIGENDUM" w:val="&lt;UNUSED&gt;"/>
    <w:docVar w:name="LW_COVERPAGE_EXISTS" w:val="True"/>
    <w:docVar w:name="LW_COVERPAGE_GUID" w:val="085D9165-1028-4D95-B071-C51A8A17A396"/>
    <w:docVar w:name="LW_COVERPAGE_TYPE" w:val="1"/>
    <w:docVar w:name="LW_CROSSREFERENCE" w:val="{SEC(2021) 657 final} - {SWD(2021) 620 final} - {SWD(2021) 621 final} - {SWD(2021) 622 final}"/>
    <w:docVar w:name="LW_DocType" w:val="ANNEX"/>
    <w:docVar w:name="LW_EMISSION" w:val="14.7.2021"/>
    <w:docVar w:name="LW_EMISSION_ISODATE" w:val="2021-07-14"/>
    <w:docVar w:name="LW_EMISSION_LOCATION" w:val="BRX"/>
    <w:docVar w:name="LW_EMISSION_PREFIX" w:val="An Bhruiséil,"/>
    <w:docVar w:name="LW_EMISSION_SUFFIX" w:val=" "/>
    <w:docVar w:name="LW_ID_DOCSTRUCTURE" w:val="COM/ANNEX"/>
    <w:docVar w:name="LW_ID_DOCTYPE" w:val="SG-017"/>
    <w:docVar w:name="LW_LANGUE" w:val="GA"/>
    <w:docVar w:name="LW_LEVEL_OF_SENSITIVITY" w:val="Standard treatment"/>
    <w:docVar w:name="LW_NOM.INST" w:val="AN COIMISIÚN EORPACH"/>
    <w:docVar w:name="LW_NOM.INST_JOINTDOC" w:val="&lt;EMPTY&gt;"/>
    <w:docVar w:name="LW_OBJETACTEPRINCIPAL" w:val="TREOIR Ó PHARLAIMINT NA hEORPA AGUS ÓN gCOMHAIRLE_x000b_&lt;FMT:Bold&gt;lena leasaítear Treoir (AE) 2018/2001 ó Pharlaimint na hEorpa agus ón gComhairle, Rialachán (AE) 2018/1999 ó Pharlaimint na hEorpa agus ón gComhairle agus Treoir 98/70/CE ó Pharlaimint na hEorpa agus ón gComhairle a mhéid a bhaineann le fuinneamh ó fhoinsí in\u8209?athnuaite a chur chun cinn, agus lena n\u8209?aisghairtear Treoir (AE) 2015/652 ón gComhairle&lt;/FMT&gt;"/>
    <w:docVar w:name="LW_OBJETACTEPRINCIPAL.CP" w:val="TREOIR Ó PHARLAIMINT NA hEORPA AGUS ÓN gCOMHAIRLE_x000b_&lt;FMT:Bold&gt;lena leasaítear Treoir (AE) 2018/2001 ó Pharlaimint na hEorpa agus ón gComhairle, Rialachán (AE) 2018/1999 ó Pharlaimint na hEorpa agus ón gComhairle agus Treoir 98/70/CE ó Pharlaimint na hEorpa agus ón gComhairle a mhéid a bhaineann le fuinneamh ó fhoinsí in\u8209?athnuaite a chur chun cinn, agus lena n\u8209?aisghairtear Treoir (AE) 2015/652 ón gComhairle&lt;/FMT&gt;"/>
    <w:docVar w:name="LW_PART_NBR" w:val="&lt;UNUSED&gt;"/>
    <w:docVar w:name="LW_PART_NBR_TOTAL" w:val="&lt;UNUSED&gt;"/>
    <w:docVar w:name="LW_REF.INST.NEW" w:val="COM"/>
    <w:docVar w:name="LW_REF.INST.NEW_ADOPTED" w:val="final"/>
    <w:docVar w:name="LW_REF.INST.NEW_TEXT" w:val="(2021) 557"/>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 w:val="IARSCRÍBHINNÍ"/>
    <w:docVar w:name="LW_TYPE.DOC.CP" w:val="IARSCRÍBHINNÍ"/>
    <w:docVar w:name="LW_TYPEACTEPRINCIPAL" w:val="Togra le haghaidh"/>
    <w:docVar w:name="LW_TYPEACTEPRINCIPAL.CP" w:val="Togra le haghaidh"/>
    <w:docVar w:name="LwApiVersions" w:val="LW4CoDe 1.23.0.0; LW 8.0, Build 20210114"/>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ga-IE"/>
    </w:rPr>
  </w:style>
  <w:style w:type="paragraph" w:styleId="Heading1">
    <w:name w:val="heading 1"/>
    <w:basedOn w:val="Normal"/>
    <w:next w:val="Text1"/>
    <w:link w:val="Heading1Char"/>
    <w:uiPriority w:val="9"/>
    <w:qFormat/>
    <w:pPr>
      <w:keepNext/>
      <w:numPr>
        <w:numId w:val="32"/>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2"/>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2"/>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2"/>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32"/>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32"/>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32"/>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ga-IE"/>
    </w:r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ga-IE"/>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ga-IE"/>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ga-IE"/>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ga-IE"/>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25"/>
      </w:numPr>
    </w:pPr>
  </w:style>
  <w:style w:type="paragraph" w:customStyle="1" w:styleId="Tiret1">
    <w:name w:val="Tiret 1"/>
    <w:basedOn w:val="Point1"/>
    <w:pPr>
      <w:numPr>
        <w:numId w:val="26"/>
      </w:numPr>
    </w:pPr>
  </w:style>
  <w:style w:type="paragraph" w:customStyle="1" w:styleId="Tiret2">
    <w:name w:val="Tiret 2"/>
    <w:basedOn w:val="Point2"/>
    <w:pPr>
      <w:numPr>
        <w:numId w:val="27"/>
      </w:numPr>
    </w:pPr>
  </w:style>
  <w:style w:type="paragraph" w:customStyle="1" w:styleId="Tiret3">
    <w:name w:val="Tiret 3"/>
    <w:basedOn w:val="Point3"/>
    <w:pPr>
      <w:numPr>
        <w:numId w:val="28"/>
      </w:numPr>
    </w:pPr>
  </w:style>
  <w:style w:type="paragraph" w:customStyle="1" w:styleId="Tiret4">
    <w:name w:val="Tiret 4"/>
    <w:basedOn w:val="Point4"/>
    <w:pPr>
      <w:numPr>
        <w:numId w:val="29"/>
      </w:numPr>
    </w:pPr>
  </w:style>
  <w:style w:type="paragraph" w:customStyle="1" w:styleId="Tiret5">
    <w:name w:val="Tiret 5"/>
    <w:basedOn w:val="Point5"/>
    <w:pPr>
      <w:numPr>
        <w:numId w:val="30"/>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1"/>
      </w:numPr>
    </w:pPr>
  </w:style>
  <w:style w:type="paragraph" w:customStyle="1" w:styleId="NumPar2">
    <w:name w:val="NumPar 2"/>
    <w:basedOn w:val="Normal"/>
    <w:next w:val="Text1"/>
    <w:pPr>
      <w:numPr>
        <w:ilvl w:val="1"/>
        <w:numId w:val="31"/>
      </w:numPr>
    </w:pPr>
  </w:style>
  <w:style w:type="paragraph" w:customStyle="1" w:styleId="NumPar3">
    <w:name w:val="NumPar 3"/>
    <w:basedOn w:val="Normal"/>
    <w:next w:val="Text1"/>
    <w:pPr>
      <w:numPr>
        <w:ilvl w:val="2"/>
        <w:numId w:val="31"/>
      </w:numPr>
    </w:pPr>
  </w:style>
  <w:style w:type="paragraph" w:customStyle="1" w:styleId="NumPar4">
    <w:name w:val="NumPar 4"/>
    <w:basedOn w:val="Normal"/>
    <w:next w:val="Text1"/>
    <w:pPr>
      <w:numPr>
        <w:ilvl w:val="3"/>
        <w:numId w:val="31"/>
      </w:numPr>
    </w:pPr>
  </w:style>
  <w:style w:type="paragraph" w:customStyle="1" w:styleId="NumPar5">
    <w:name w:val="NumPar 5"/>
    <w:basedOn w:val="Normal"/>
    <w:next w:val="Text2"/>
    <w:pPr>
      <w:numPr>
        <w:ilvl w:val="4"/>
        <w:numId w:val="31"/>
      </w:numPr>
    </w:pPr>
  </w:style>
  <w:style w:type="paragraph" w:customStyle="1" w:styleId="NumPar6">
    <w:name w:val="NumPar 6"/>
    <w:basedOn w:val="Normal"/>
    <w:next w:val="Text2"/>
    <w:pPr>
      <w:numPr>
        <w:ilvl w:val="5"/>
        <w:numId w:val="31"/>
      </w:numPr>
    </w:pPr>
  </w:style>
  <w:style w:type="paragraph" w:customStyle="1" w:styleId="NumPar7">
    <w:name w:val="NumPar 7"/>
    <w:basedOn w:val="Normal"/>
    <w:next w:val="Text2"/>
    <w:pPr>
      <w:numPr>
        <w:ilvl w:val="6"/>
        <w:numId w:val="31"/>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3"/>
      </w:numPr>
    </w:pPr>
  </w:style>
  <w:style w:type="paragraph" w:customStyle="1" w:styleId="Point1number">
    <w:name w:val="Point 1 (number)"/>
    <w:basedOn w:val="Normal"/>
    <w:pPr>
      <w:numPr>
        <w:ilvl w:val="2"/>
        <w:numId w:val="33"/>
      </w:numPr>
    </w:pPr>
  </w:style>
  <w:style w:type="paragraph" w:customStyle="1" w:styleId="Point2number">
    <w:name w:val="Point 2 (number)"/>
    <w:basedOn w:val="Normal"/>
    <w:pPr>
      <w:numPr>
        <w:ilvl w:val="4"/>
        <w:numId w:val="33"/>
      </w:numPr>
    </w:pPr>
  </w:style>
  <w:style w:type="paragraph" w:customStyle="1" w:styleId="Point3number">
    <w:name w:val="Point 3 (number)"/>
    <w:basedOn w:val="Normal"/>
    <w:pPr>
      <w:numPr>
        <w:ilvl w:val="6"/>
        <w:numId w:val="33"/>
      </w:numPr>
    </w:pPr>
  </w:style>
  <w:style w:type="paragraph" w:customStyle="1" w:styleId="Point0letter">
    <w:name w:val="Point 0 (letter)"/>
    <w:basedOn w:val="Normal"/>
    <w:pPr>
      <w:numPr>
        <w:ilvl w:val="1"/>
        <w:numId w:val="33"/>
      </w:numPr>
    </w:pPr>
  </w:style>
  <w:style w:type="paragraph" w:customStyle="1" w:styleId="Point1letter">
    <w:name w:val="Point 1 (letter)"/>
    <w:basedOn w:val="Normal"/>
    <w:pPr>
      <w:numPr>
        <w:ilvl w:val="3"/>
        <w:numId w:val="33"/>
      </w:numPr>
    </w:pPr>
  </w:style>
  <w:style w:type="paragraph" w:customStyle="1" w:styleId="Point2letter">
    <w:name w:val="Point 2 (letter)"/>
    <w:basedOn w:val="Normal"/>
    <w:pPr>
      <w:numPr>
        <w:ilvl w:val="5"/>
        <w:numId w:val="33"/>
      </w:numPr>
    </w:pPr>
  </w:style>
  <w:style w:type="paragraph" w:customStyle="1" w:styleId="Point3letter">
    <w:name w:val="Point 3 (letter)"/>
    <w:basedOn w:val="Normal"/>
    <w:pPr>
      <w:numPr>
        <w:ilvl w:val="7"/>
        <w:numId w:val="33"/>
      </w:numPr>
    </w:pPr>
  </w:style>
  <w:style w:type="paragraph" w:customStyle="1" w:styleId="Point4letter">
    <w:name w:val="Point 4 (letter)"/>
    <w:basedOn w:val="Normal"/>
    <w:pPr>
      <w:numPr>
        <w:ilvl w:val="8"/>
        <w:numId w:val="33"/>
      </w:numPr>
    </w:pPr>
  </w:style>
  <w:style w:type="paragraph" w:customStyle="1" w:styleId="Bullet0">
    <w:name w:val="Bullet 0"/>
    <w:basedOn w:val="Normal"/>
    <w:pPr>
      <w:numPr>
        <w:numId w:val="34"/>
      </w:numPr>
    </w:pPr>
  </w:style>
  <w:style w:type="paragraph" w:customStyle="1" w:styleId="Bullet1">
    <w:name w:val="Bullet 1"/>
    <w:basedOn w:val="Normal"/>
    <w:pPr>
      <w:numPr>
        <w:numId w:val="35"/>
      </w:numPr>
    </w:pPr>
  </w:style>
  <w:style w:type="paragraph" w:customStyle="1" w:styleId="Bullet2">
    <w:name w:val="Bullet 2"/>
    <w:basedOn w:val="Normal"/>
    <w:pPr>
      <w:numPr>
        <w:numId w:val="36"/>
      </w:numPr>
    </w:pPr>
  </w:style>
  <w:style w:type="paragraph" w:customStyle="1" w:styleId="Bullet3">
    <w:name w:val="Bullet 3"/>
    <w:basedOn w:val="Normal"/>
    <w:pPr>
      <w:numPr>
        <w:numId w:val="37"/>
      </w:numPr>
    </w:pPr>
  </w:style>
  <w:style w:type="paragraph" w:customStyle="1" w:styleId="Bullet4">
    <w:name w:val="Bullet 4"/>
    <w:basedOn w:val="Normal"/>
    <w:pPr>
      <w:numPr>
        <w:numId w:val="38"/>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9"/>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ga-IE"/>
    </w:rPr>
  </w:style>
  <w:style w:type="paragraph" w:styleId="Heading1">
    <w:name w:val="heading 1"/>
    <w:basedOn w:val="Normal"/>
    <w:next w:val="Text1"/>
    <w:link w:val="Heading1Char"/>
    <w:uiPriority w:val="9"/>
    <w:qFormat/>
    <w:pPr>
      <w:keepNext/>
      <w:numPr>
        <w:numId w:val="32"/>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2"/>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2"/>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2"/>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32"/>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32"/>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32"/>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ga-IE"/>
    </w:r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ga-IE"/>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ga-IE"/>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ga-IE"/>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ga-IE"/>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25"/>
      </w:numPr>
    </w:pPr>
  </w:style>
  <w:style w:type="paragraph" w:customStyle="1" w:styleId="Tiret1">
    <w:name w:val="Tiret 1"/>
    <w:basedOn w:val="Point1"/>
    <w:pPr>
      <w:numPr>
        <w:numId w:val="26"/>
      </w:numPr>
    </w:pPr>
  </w:style>
  <w:style w:type="paragraph" w:customStyle="1" w:styleId="Tiret2">
    <w:name w:val="Tiret 2"/>
    <w:basedOn w:val="Point2"/>
    <w:pPr>
      <w:numPr>
        <w:numId w:val="27"/>
      </w:numPr>
    </w:pPr>
  </w:style>
  <w:style w:type="paragraph" w:customStyle="1" w:styleId="Tiret3">
    <w:name w:val="Tiret 3"/>
    <w:basedOn w:val="Point3"/>
    <w:pPr>
      <w:numPr>
        <w:numId w:val="28"/>
      </w:numPr>
    </w:pPr>
  </w:style>
  <w:style w:type="paragraph" w:customStyle="1" w:styleId="Tiret4">
    <w:name w:val="Tiret 4"/>
    <w:basedOn w:val="Point4"/>
    <w:pPr>
      <w:numPr>
        <w:numId w:val="29"/>
      </w:numPr>
    </w:pPr>
  </w:style>
  <w:style w:type="paragraph" w:customStyle="1" w:styleId="Tiret5">
    <w:name w:val="Tiret 5"/>
    <w:basedOn w:val="Point5"/>
    <w:pPr>
      <w:numPr>
        <w:numId w:val="30"/>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1"/>
      </w:numPr>
    </w:pPr>
  </w:style>
  <w:style w:type="paragraph" w:customStyle="1" w:styleId="NumPar2">
    <w:name w:val="NumPar 2"/>
    <w:basedOn w:val="Normal"/>
    <w:next w:val="Text1"/>
    <w:pPr>
      <w:numPr>
        <w:ilvl w:val="1"/>
        <w:numId w:val="31"/>
      </w:numPr>
    </w:pPr>
  </w:style>
  <w:style w:type="paragraph" w:customStyle="1" w:styleId="NumPar3">
    <w:name w:val="NumPar 3"/>
    <w:basedOn w:val="Normal"/>
    <w:next w:val="Text1"/>
    <w:pPr>
      <w:numPr>
        <w:ilvl w:val="2"/>
        <w:numId w:val="31"/>
      </w:numPr>
    </w:pPr>
  </w:style>
  <w:style w:type="paragraph" w:customStyle="1" w:styleId="NumPar4">
    <w:name w:val="NumPar 4"/>
    <w:basedOn w:val="Normal"/>
    <w:next w:val="Text1"/>
    <w:pPr>
      <w:numPr>
        <w:ilvl w:val="3"/>
        <w:numId w:val="31"/>
      </w:numPr>
    </w:pPr>
  </w:style>
  <w:style w:type="paragraph" w:customStyle="1" w:styleId="NumPar5">
    <w:name w:val="NumPar 5"/>
    <w:basedOn w:val="Normal"/>
    <w:next w:val="Text2"/>
    <w:pPr>
      <w:numPr>
        <w:ilvl w:val="4"/>
        <w:numId w:val="31"/>
      </w:numPr>
    </w:pPr>
  </w:style>
  <w:style w:type="paragraph" w:customStyle="1" w:styleId="NumPar6">
    <w:name w:val="NumPar 6"/>
    <w:basedOn w:val="Normal"/>
    <w:next w:val="Text2"/>
    <w:pPr>
      <w:numPr>
        <w:ilvl w:val="5"/>
        <w:numId w:val="31"/>
      </w:numPr>
    </w:pPr>
  </w:style>
  <w:style w:type="paragraph" w:customStyle="1" w:styleId="NumPar7">
    <w:name w:val="NumPar 7"/>
    <w:basedOn w:val="Normal"/>
    <w:next w:val="Text2"/>
    <w:pPr>
      <w:numPr>
        <w:ilvl w:val="6"/>
        <w:numId w:val="31"/>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3"/>
      </w:numPr>
    </w:pPr>
  </w:style>
  <w:style w:type="paragraph" w:customStyle="1" w:styleId="Point1number">
    <w:name w:val="Point 1 (number)"/>
    <w:basedOn w:val="Normal"/>
    <w:pPr>
      <w:numPr>
        <w:ilvl w:val="2"/>
        <w:numId w:val="33"/>
      </w:numPr>
    </w:pPr>
  </w:style>
  <w:style w:type="paragraph" w:customStyle="1" w:styleId="Point2number">
    <w:name w:val="Point 2 (number)"/>
    <w:basedOn w:val="Normal"/>
    <w:pPr>
      <w:numPr>
        <w:ilvl w:val="4"/>
        <w:numId w:val="33"/>
      </w:numPr>
    </w:pPr>
  </w:style>
  <w:style w:type="paragraph" w:customStyle="1" w:styleId="Point3number">
    <w:name w:val="Point 3 (number)"/>
    <w:basedOn w:val="Normal"/>
    <w:pPr>
      <w:numPr>
        <w:ilvl w:val="6"/>
        <w:numId w:val="33"/>
      </w:numPr>
    </w:pPr>
  </w:style>
  <w:style w:type="paragraph" w:customStyle="1" w:styleId="Point0letter">
    <w:name w:val="Point 0 (letter)"/>
    <w:basedOn w:val="Normal"/>
    <w:pPr>
      <w:numPr>
        <w:ilvl w:val="1"/>
        <w:numId w:val="33"/>
      </w:numPr>
    </w:pPr>
  </w:style>
  <w:style w:type="paragraph" w:customStyle="1" w:styleId="Point1letter">
    <w:name w:val="Point 1 (letter)"/>
    <w:basedOn w:val="Normal"/>
    <w:pPr>
      <w:numPr>
        <w:ilvl w:val="3"/>
        <w:numId w:val="33"/>
      </w:numPr>
    </w:pPr>
  </w:style>
  <w:style w:type="paragraph" w:customStyle="1" w:styleId="Point2letter">
    <w:name w:val="Point 2 (letter)"/>
    <w:basedOn w:val="Normal"/>
    <w:pPr>
      <w:numPr>
        <w:ilvl w:val="5"/>
        <w:numId w:val="33"/>
      </w:numPr>
    </w:pPr>
  </w:style>
  <w:style w:type="paragraph" w:customStyle="1" w:styleId="Point3letter">
    <w:name w:val="Point 3 (letter)"/>
    <w:basedOn w:val="Normal"/>
    <w:pPr>
      <w:numPr>
        <w:ilvl w:val="7"/>
        <w:numId w:val="33"/>
      </w:numPr>
    </w:pPr>
  </w:style>
  <w:style w:type="paragraph" w:customStyle="1" w:styleId="Point4letter">
    <w:name w:val="Point 4 (letter)"/>
    <w:basedOn w:val="Normal"/>
    <w:pPr>
      <w:numPr>
        <w:ilvl w:val="8"/>
        <w:numId w:val="33"/>
      </w:numPr>
    </w:pPr>
  </w:style>
  <w:style w:type="paragraph" w:customStyle="1" w:styleId="Bullet0">
    <w:name w:val="Bullet 0"/>
    <w:basedOn w:val="Normal"/>
    <w:pPr>
      <w:numPr>
        <w:numId w:val="34"/>
      </w:numPr>
    </w:pPr>
  </w:style>
  <w:style w:type="paragraph" w:customStyle="1" w:styleId="Bullet1">
    <w:name w:val="Bullet 1"/>
    <w:basedOn w:val="Normal"/>
    <w:pPr>
      <w:numPr>
        <w:numId w:val="35"/>
      </w:numPr>
    </w:pPr>
  </w:style>
  <w:style w:type="paragraph" w:customStyle="1" w:styleId="Bullet2">
    <w:name w:val="Bullet 2"/>
    <w:basedOn w:val="Normal"/>
    <w:pPr>
      <w:numPr>
        <w:numId w:val="36"/>
      </w:numPr>
    </w:pPr>
  </w:style>
  <w:style w:type="paragraph" w:customStyle="1" w:styleId="Bullet3">
    <w:name w:val="Bullet 3"/>
    <w:basedOn w:val="Normal"/>
    <w:pPr>
      <w:numPr>
        <w:numId w:val="37"/>
      </w:numPr>
    </w:pPr>
  </w:style>
  <w:style w:type="paragraph" w:customStyle="1" w:styleId="Bullet4">
    <w:name w:val="Bullet 4"/>
    <w:basedOn w:val="Normal"/>
    <w:pPr>
      <w:numPr>
        <w:numId w:val="38"/>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9"/>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EBCA3A4B-AE47-42CA-82B0-77C662BC6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ANNEX.dotm</Template>
  <TotalTime>1</TotalTime>
  <Pages>11</Pages>
  <Words>2791</Words>
  <Characters>15909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22</cp:revision>
  <dcterms:created xsi:type="dcterms:W3CDTF">2021-09-09T14:38:00Z</dcterms:created>
  <dcterms:modified xsi:type="dcterms:W3CDTF">2021-09-10T10:11:00Z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Version">
    <vt:lpwstr>7.0.9.0</vt:lpwstr>
  </property>
  <property fmtid="{D5CDD505-2E9C-101B-9397-08002B2CF9AE}" pid="4" name="Last edited using">
    <vt:lpwstr>LW 7.0.1, Build 20200226</vt:lpwstr>
  </property>
  <property fmtid="{D5CDD505-2E9C-101B-9397-08002B2CF9AE}" pid="5" name="Created using">
    <vt:lpwstr>LW 7.0.1, Build 20190916</vt:lpwstr>
  </property>
  <property fmtid="{D5CDD505-2E9C-101B-9397-08002B2CF9AE}" pid="6" name="First annex">
    <vt:lpwstr>1</vt:lpwstr>
  </property>
  <property fmtid="{D5CDD505-2E9C-101B-9397-08002B2CF9AE}" pid="7" name="Last annex">
    <vt:lpwstr>2</vt:lpwstr>
  </property>
  <property fmtid="{D5CDD505-2E9C-101B-9397-08002B2CF9AE}" pid="8" name="Unique annex">
    <vt:lpwstr>0</vt:lpwstr>
  </property>
  <property fmtid="{D5CDD505-2E9C-101B-9397-08002B2CF9AE}" pid="9" name="Part">
    <vt:lpwstr>&lt;UNUSED&gt;</vt:lpwstr>
  </property>
  <property fmtid="{D5CDD505-2E9C-101B-9397-08002B2CF9AE}" pid="10" name="Total parts">
    <vt:lpwstr>&lt;UNUSED&gt;</vt:lpwstr>
  </property>
  <property fmtid="{D5CDD505-2E9C-101B-9397-08002B2CF9AE}" pid="11" name="Level of sensitivity">
    <vt:lpwstr>Standard treatment</vt:lpwstr>
  </property>
  <property fmtid="{D5CDD505-2E9C-101B-9397-08002B2CF9AE}" pid="12" name="LWTemplateID">
    <vt:lpwstr>SG-017</vt:lpwstr>
  </property>
  <property fmtid="{D5CDD505-2E9C-101B-9397-08002B2CF9AE}" pid="13" name="DQCStatus">
    <vt:lpwstr>Green (DQC version 03)</vt:lpwstr>
  </property>
  <property name="OP_sanitized" fmtid="{D5CDD505-2E9C-101B-9397-08002B2CF9AE}" pid="14">
    <vt:lpwstr>True</vt:lpwstr>
  </property>
</Properties>
</file>