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E4B576" w14:textId="4FBD5718" w:rsidR="00AF6ECE" w:rsidRPr="007C0DAE" w:rsidRDefault="00F16099" w:rsidP="00F16099">
      <w:pPr>
        <w:pStyle w:val="Pagedecouverture"/>
        <w:rPr>
          <w:noProof/>
        </w:rPr>
      </w:pPr>
      <w:r>
        <w:rPr>
          <w:noProof/>
        </w:rPr>
        <w:pict w14:anchorId="4262BC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9CF798C6-08C8-452B-84B2-066C067485D1" style="width:455.25pt;height:414pt">
            <v:imagedata r:id="rId8" o:title=""/>
          </v:shape>
        </w:pict>
      </w:r>
    </w:p>
    <w:p w14:paraId="0F90EABA" w14:textId="77777777" w:rsidR="005042AB" w:rsidRPr="007C0DAE" w:rsidRDefault="005042AB" w:rsidP="005042AB">
      <w:pPr>
        <w:pStyle w:val="Pagedecouverture"/>
        <w:rPr>
          <w:noProof/>
        </w:rPr>
        <w:sectPr w:rsidR="005042AB" w:rsidRPr="007C0DAE" w:rsidSect="00F1609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48122F42" w14:textId="1FEEA6F1" w:rsidR="008E72DE" w:rsidRPr="007C0DAE" w:rsidRDefault="008D444C" w:rsidP="00586E3E">
      <w:pPr>
        <w:pStyle w:val="Annexetitre"/>
        <w:rPr>
          <w:noProof/>
        </w:rPr>
      </w:pPr>
      <w:bookmarkStart w:id="0" w:name="_GoBack"/>
      <w:bookmarkEnd w:id="0"/>
      <w:r w:rsidRPr="007C0DAE">
        <w:rPr>
          <w:noProof/>
        </w:rPr>
        <w:lastRenderedPageBreak/>
        <w:t>PRILOG</w:t>
      </w:r>
    </w:p>
    <w:p w14:paraId="32697C6B" w14:textId="6EA4A7AD" w:rsidR="00AA7D3B" w:rsidRPr="007C0DAE" w:rsidRDefault="00527653" w:rsidP="00234076">
      <w:pPr>
        <w:spacing w:after="0"/>
        <w:jc w:val="center"/>
        <w:rPr>
          <w:b/>
          <w:noProof/>
          <w:szCs w:val="24"/>
        </w:rPr>
      </w:pPr>
      <w:r w:rsidRPr="007C0DAE">
        <w:rPr>
          <w:b/>
          <w:noProof/>
          <w:szCs w:val="24"/>
        </w:rPr>
        <w:t>NACRT ODLUKE ZAJEDNIČKOG ODBORA EGP-a</w:t>
      </w:r>
    </w:p>
    <w:p w14:paraId="13D6D730" w14:textId="77777777" w:rsidR="00AA7D3B" w:rsidRPr="007C0DAE" w:rsidRDefault="00AA7D3B" w:rsidP="00234076">
      <w:pPr>
        <w:spacing w:after="0"/>
        <w:jc w:val="center"/>
        <w:rPr>
          <w:b/>
          <w:noProof/>
          <w:szCs w:val="24"/>
        </w:rPr>
      </w:pPr>
      <w:r w:rsidRPr="007C0DAE">
        <w:rPr>
          <w:b/>
          <w:noProof/>
          <w:szCs w:val="24"/>
        </w:rPr>
        <w:t>br.</w:t>
      </w:r>
      <w:r w:rsidRPr="007C0DAE">
        <w:rPr>
          <w:noProof/>
        </w:rPr>
        <w:t xml:space="preserve"> […]</w:t>
      </w:r>
    </w:p>
    <w:p w14:paraId="3409F666" w14:textId="77777777" w:rsidR="00AA7D3B" w:rsidRPr="007C0DAE" w:rsidRDefault="00AA7D3B" w:rsidP="00234076">
      <w:pPr>
        <w:spacing w:after="0"/>
        <w:jc w:val="center"/>
        <w:rPr>
          <w:b/>
          <w:noProof/>
          <w:szCs w:val="24"/>
        </w:rPr>
      </w:pPr>
      <w:r w:rsidRPr="007C0DAE">
        <w:rPr>
          <w:b/>
          <w:noProof/>
          <w:szCs w:val="24"/>
        </w:rPr>
        <w:t>оd</w:t>
      </w:r>
      <w:r w:rsidRPr="007C0DAE">
        <w:rPr>
          <w:noProof/>
        </w:rPr>
        <w:t xml:space="preserve"> […]</w:t>
      </w:r>
    </w:p>
    <w:p w14:paraId="6045B57C" w14:textId="77777777" w:rsidR="00AA7D3B" w:rsidRPr="007C0DAE" w:rsidRDefault="00AA7D3B" w:rsidP="00234076">
      <w:pPr>
        <w:spacing w:after="0"/>
        <w:jc w:val="center"/>
        <w:rPr>
          <w:rFonts w:eastAsia="Times New Roman"/>
          <w:b/>
          <w:noProof/>
          <w:szCs w:val="24"/>
        </w:rPr>
      </w:pPr>
      <w:r w:rsidRPr="007C0DAE">
        <w:rPr>
          <w:b/>
          <w:noProof/>
        </w:rPr>
        <w:t xml:space="preserve">o izmjeni Protokola 32. uz Sporazum o EGP-u o financijskim modalitetima provedbe članka 82. </w:t>
      </w:r>
    </w:p>
    <w:p w14:paraId="6D504191" w14:textId="77777777" w:rsidR="00AA7D3B" w:rsidRPr="007C0DAE" w:rsidRDefault="00AA7D3B" w:rsidP="00234076">
      <w:pPr>
        <w:spacing w:after="0"/>
        <w:jc w:val="center"/>
        <w:rPr>
          <w:rFonts w:ascii="&amp;quot" w:eastAsia="Times New Roman" w:hAnsi="&amp;quot"/>
          <w:b/>
          <w:bCs/>
          <w:noProof/>
          <w:szCs w:val="24"/>
        </w:rPr>
      </w:pPr>
    </w:p>
    <w:p w14:paraId="3AF04A9E" w14:textId="77777777" w:rsidR="00AA7D3B" w:rsidRPr="007C0DAE" w:rsidRDefault="00AA7D3B" w:rsidP="00AA7D3B">
      <w:pPr>
        <w:spacing w:after="0"/>
        <w:rPr>
          <w:rFonts w:eastAsia="Times New Roman"/>
          <w:noProof/>
          <w:color w:val="000000"/>
          <w:szCs w:val="24"/>
        </w:rPr>
      </w:pPr>
      <w:r w:rsidRPr="007C0DAE">
        <w:rPr>
          <w:noProof/>
          <w:color w:val="000000"/>
          <w:szCs w:val="24"/>
        </w:rPr>
        <w:t>ZAJEDNIČKI ODBOR EGP-a,</w:t>
      </w:r>
    </w:p>
    <w:p w14:paraId="2F6B5B74" w14:textId="77777777" w:rsidR="00AA7D3B" w:rsidRPr="007C0DAE" w:rsidRDefault="00AA7D3B" w:rsidP="00AA7D3B">
      <w:pPr>
        <w:spacing w:after="0"/>
        <w:rPr>
          <w:rFonts w:eastAsia="Times New Roman"/>
          <w:noProof/>
          <w:color w:val="000000"/>
          <w:szCs w:val="24"/>
        </w:rPr>
      </w:pPr>
      <w:r w:rsidRPr="007C0DAE">
        <w:rPr>
          <w:noProof/>
          <w:color w:val="000000"/>
          <w:szCs w:val="24"/>
        </w:rPr>
        <w:t>uzimajući u obzir Sporazum o Europskom gospodarskom prostoru („Sporazum o EGP-u”), a posebno njegov članak 98.,</w:t>
      </w:r>
    </w:p>
    <w:p w14:paraId="44A032A1" w14:textId="77777777" w:rsidR="00AA7D3B" w:rsidRPr="007C0DAE" w:rsidRDefault="00AA7D3B" w:rsidP="00AA7D3B">
      <w:pPr>
        <w:spacing w:after="0"/>
        <w:rPr>
          <w:rFonts w:eastAsia="Times New Roman"/>
          <w:noProof/>
          <w:color w:val="000000"/>
          <w:szCs w:val="24"/>
        </w:rPr>
      </w:pPr>
      <w:r w:rsidRPr="007C0DAE">
        <w:rPr>
          <w:noProof/>
          <w:color w:val="000000"/>
          <w:szCs w:val="24"/>
        </w:rPr>
        <w:t>budući da:</w:t>
      </w:r>
    </w:p>
    <w:p w14:paraId="50C31AE3" w14:textId="77777777" w:rsidR="00AA7D3B" w:rsidRPr="007C0DAE" w:rsidRDefault="00AA7D3B" w:rsidP="006B46A2">
      <w:pPr>
        <w:pStyle w:val="Considrant"/>
        <w:numPr>
          <w:ilvl w:val="0"/>
          <w:numId w:val="9"/>
        </w:numPr>
        <w:rPr>
          <w:noProof/>
        </w:rPr>
      </w:pPr>
      <w:bookmarkStart w:id="1" w:name="_Hlk70025762"/>
      <w:r w:rsidRPr="007C0DAE">
        <w:rPr>
          <w:noProof/>
        </w:rPr>
        <w:t>Uredbom Vijeća (EU) 2020/2094 od 14. prosinca 2020. o uspostavi Instrumenta Europske unije za oporavak radi potpore oporavku nakon krize uzrokovane bolešću COVID-19 dodjeljuju se dodatni vanjski namjenski prihodi programu Obzor Europa i Mehanizmu Unije za civilnu zaštitu. Primjereno je pojasniti u financijskim modalitetima provedbe članka 82. Sporazuma o EGP-u (Protokol 32. uz Sporazum o EGP-u) da bi se za potrebe izračuna financijskih doprinosa država EFTA-e osnova za izračun trebala povećati odobrenim sredstvima koja odgovaraju vanjskim namjenskim prihodima iz članka 3. stavka 1. Uredbe Vijeća (EU) 2020/2094 u vezi s njihovim sudjelovanjem u tim programima.</w:t>
      </w:r>
    </w:p>
    <w:bookmarkEnd w:id="1"/>
    <w:p w14:paraId="67EB4C7B" w14:textId="77777777" w:rsidR="00AA7D3B" w:rsidRPr="007C0DAE" w:rsidRDefault="00AA7D3B" w:rsidP="006B46A2">
      <w:pPr>
        <w:pStyle w:val="Considrant"/>
        <w:numPr>
          <w:ilvl w:val="0"/>
          <w:numId w:val="9"/>
        </w:numPr>
        <w:rPr>
          <w:noProof/>
        </w:rPr>
      </w:pPr>
      <w:r w:rsidRPr="007C0DAE">
        <w:rPr>
          <w:noProof/>
        </w:rPr>
        <w:t xml:space="preserve">Člankom 82. Sporazuma o EGP-u propisano je da se faktor proporcionalnosti za doprinose država EFTA-e proračunu EU-a izračunava godišnje kao omjer BDP-a država EFTA-e i država članica EU-a, a ako je Sporazumom o povlačenju Ujedinjene Kraljevine Velike Britanije i Sjeverne Irske iz Europske unije i Europske zajednice za atomsku energiju od 24. siječnja 2020. utvrđena trajna obveza Ujedinjene Kraljevine da financijski doprinosi proračunu EU-a proporcionalno svojem udjelu u odobrenim sredstvima iz višegodišnjeg financijskog okvira za razdoblje 2014. – 2020., primjereno je da se BDP Ujedinjene Kraljevine uzme u obzir u izračunu faktora proporcionalnosti za proračunske linije isključivo namijenjene plaćanjima za ispunjenje obveza preuzetih u sklopu višegodišnjeg financijskog okvira za razdoblje 2014. – 2020. </w:t>
      </w:r>
    </w:p>
    <w:p w14:paraId="48E1F89A" w14:textId="77777777" w:rsidR="00AA7D3B" w:rsidRPr="007C0DAE" w:rsidRDefault="00AA7D3B" w:rsidP="006B46A2">
      <w:pPr>
        <w:pStyle w:val="Considrant"/>
        <w:numPr>
          <w:ilvl w:val="0"/>
          <w:numId w:val="9"/>
        </w:numPr>
        <w:rPr>
          <w:noProof/>
        </w:rPr>
      </w:pPr>
      <w:r w:rsidRPr="007C0DAE">
        <w:rPr>
          <w:noProof/>
        </w:rPr>
        <w:t>Protokol 32. uz Sporazum o EGP-u trebalo bi stoga na odgovarajući način izmijeniti,</w:t>
      </w:r>
    </w:p>
    <w:p w14:paraId="6498C2C8" w14:textId="77777777" w:rsidR="00AA7D3B" w:rsidRPr="007C0DAE" w:rsidRDefault="00AA7D3B" w:rsidP="00AA7D3B">
      <w:pPr>
        <w:spacing w:after="0"/>
        <w:rPr>
          <w:rFonts w:eastAsia="Times New Roman"/>
          <w:noProof/>
          <w:color w:val="000000"/>
          <w:szCs w:val="24"/>
        </w:rPr>
      </w:pPr>
      <w:r w:rsidRPr="007C0DAE">
        <w:rPr>
          <w:noProof/>
          <w:color w:val="000000"/>
          <w:szCs w:val="24"/>
        </w:rPr>
        <w:t>DONIO JE OVU ODLUKU:</w:t>
      </w:r>
    </w:p>
    <w:p w14:paraId="5375588F" w14:textId="4AD4F201" w:rsidR="00AA7D3B" w:rsidRPr="007C0DAE" w:rsidRDefault="00AA7D3B" w:rsidP="00234076">
      <w:pPr>
        <w:pStyle w:val="Titrearticle"/>
        <w:rPr>
          <w:noProof/>
        </w:rPr>
      </w:pPr>
      <w:r w:rsidRPr="007C0DAE">
        <w:rPr>
          <w:noProof/>
        </w:rPr>
        <w:t>Članak 1.</w:t>
      </w:r>
    </w:p>
    <w:p w14:paraId="57D340FC" w14:textId="7594B180" w:rsidR="00AA7D3B" w:rsidRPr="007C0DAE" w:rsidRDefault="00AA7D3B" w:rsidP="00AA7D3B">
      <w:pPr>
        <w:pStyle w:val="Articletext"/>
        <w:tabs>
          <w:tab w:val="clear" w:pos="709"/>
          <w:tab w:val="left" w:pos="851"/>
        </w:tabs>
        <w:rPr>
          <w:noProof/>
        </w:rPr>
      </w:pPr>
      <w:r w:rsidRPr="007C0DAE">
        <w:rPr>
          <w:noProof/>
        </w:rPr>
        <w:t>1.</w:t>
      </w:r>
      <w:r w:rsidRPr="007C0DAE">
        <w:rPr>
          <w:noProof/>
        </w:rPr>
        <w:tab/>
        <w:t>U članku 1. Protokola 32. dodaju se sljedeći stavci:</w:t>
      </w:r>
    </w:p>
    <w:p w14:paraId="5E70F7FC" w14:textId="6010887D" w:rsidR="00AA7D3B" w:rsidRPr="007C0DAE" w:rsidRDefault="00AA7D3B" w:rsidP="00AA7D3B">
      <w:pPr>
        <w:pStyle w:val="Articletext"/>
        <w:tabs>
          <w:tab w:val="clear" w:pos="709"/>
          <w:tab w:val="left" w:pos="851"/>
        </w:tabs>
        <w:ind w:left="851" w:hanging="851"/>
        <w:rPr>
          <w:noProof/>
        </w:rPr>
      </w:pPr>
      <w:r w:rsidRPr="007C0DAE">
        <w:rPr>
          <w:noProof/>
        </w:rPr>
        <w:t>„10.</w:t>
      </w:r>
      <w:r w:rsidRPr="007C0DAE">
        <w:rPr>
          <w:noProof/>
        </w:rPr>
        <w:tab/>
        <w:t>Za potrebe izračuna operativnog doprinosa u skladu s člankom 82. Sporazuma o EGP-u odobrena sredstva za preuzimanje obveza i odobrena sredstva za plaćanje unesena u proračun Unije konačno donesen za primjenjive godine za financiranje Obzora Europa (Uredba (EU) 2021/695 Europskog parlamenta i Vijeća) i Mehanizma Unije za civilnu zaštitu (Uredba (EU) 2021/836 Europskog parlamenta i Vijeća) povećava se odobrenim sredstvima koja odgovaraju vanjskim namjenskim prihodima dodijeljenima tim aktivnostima u skladu s člankom 3. stavkom 1. Uredbe Vijeća (EU) 2020/2094 o uspostavi Instrumenta Europske unije za oporavak radi potpore oporavku nakon krize uzrokovane bolešću COVID-19</w:t>
      </w:r>
      <w:r w:rsidRPr="007C0DAE">
        <w:rPr>
          <w:rStyle w:val="FootnoteReference"/>
          <w:noProof/>
        </w:rPr>
        <w:footnoteReference w:id="1"/>
      </w:r>
      <w:r w:rsidRPr="007C0DAE">
        <w:rPr>
          <w:noProof/>
        </w:rPr>
        <w:t>.</w:t>
      </w:r>
    </w:p>
    <w:p w14:paraId="2EE662BA" w14:textId="423DCD53" w:rsidR="00AA7D3B" w:rsidRPr="007C0DAE" w:rsidRDefault="00AA7D3B" w:rsidP="00AA7D3B">
      <w:pPr>
        <w:pStyle w:val="Articletext"/>
        <w:ind w:left="851" w:hanging="851"/>
        <w:rPr>
          <w:rFonts w:eastAsia="Times New Roman"/>
          <w:noProof/>
          <w:color w:val="000000"/>
        </w:rPr>
      </w:pPr>
      <w:r w:rsidRPr="007C0DAE">
        <w:rPr>
          <w:noProof/>
          <w:color w:val="000000"/>
        </w:rPr>
        <w:t>11.</w:t>
      </w:r>
      <w:r w:rsidRPr="007C0DAE">
        <w:rPr>
          <w:noProof/>
        </w:rPr>
        <w:tab/>
      </w:r>
      <w:r w:rsidRPr="007C0DAE">
        <w:rPr>
          <w:noProof/>
          <w:color w:val="000000"/>
        </w:rPr>
        <w:t>Za potrebe izračuna faktora proporcionalnosti za proračunske linije isključivo namijenjene plaćanjima za izvršenje obveza preuzetih u sklopu višegodišnjeg financijskog okvira za razdoblje 2014. – 2020. i prethodnog okvira „faktor proporcionalnosti” EFTA-e kako je definiran u članku 82. stavku 1. Sporazuma o EGP-u je zbroj omjera između bruto domaćeg proizvoda u tržišnim cijenama svake od država EFTA-e, s jedne strane, i zbroja bruto domaćih proizvoda u tržišnim cijenama država članica EU-a, Ujedinjene Kraljevine i te države EFTA-e, s druge strane. Taj se faktor obračunava za svaku proračunsku godinu na temelju najnovijih statističkih podataka u skladu s člankom 7.</w:t>
      </w:r>
    </w:p>
    <w:p w14:paraId="57664DCA" w14:textId="47BBB71B" w:rsidR="00AA7D3B" w:rsidRPr="007C0DAE" w:rsidRDefault="00AA7D3B" w:rsidP="00AA7D3B">
      <w:pPr>
        <w:pStyle w:val="Articletext"/>
        <w:ind w:left="851" w:hanging="851"/>
        <w:rPr>
          <w:noProof/>
        </w:rPr>
      </w:pPr>
      <w:r w:rsidRPr="007C0DAE">
        <w:rPr>
          <w:noProof/>
          <w:color w:val="000000"/>
        </w:rPr>
        <w:t>12</w:t>
      </w:r>
      <w:r w:rsidRPr="007C0DAE">
        <w:rPr>
          <w:noProof/>
        </w:rPr>
        <w:t>.</w:t>
      </w:r>
      <w:r w:rsidRPr="007C0DAE">
        <w:rPr>
          <w:noProof/>
        </w:rPr>
        <w:tab/>
      </w:r>
      <w:r w:rsidRPr="007C0DAE">
        <w:rPr>
          <w:noProof/>
        </w:rPr>
        <w:tab/>
        <w:t>Osim ako se Zajednički odbor EGP-a dogovori drukčije, za potrebe izračuna faktora proporcionalnosti kako je definiran u članku 82. stavku 1. Sporazuma o EGP-u za financijsku godinu tijekom koje sporazum o pristupanju nove države članice iz članka 49. Ugovora o Europskoj uniji stupa na snagu prije 1. srpnja te godine bruto domaći proizvod u tržišnim cijenama država članica EU-a uključuje bruto domaći proizvod u tržišnim cijenama nove države članice.</w:t>
      </w:r>
    </w:p>
    <w:p w14:paraId="7A768983" w14:textId="6129AFFA" w:rsidR="00AA7D3B" w:rsidRPr="007C0DAE" w:rsidRDefault="00AA7D3B" w:rsidP="00285E6C">
      <w:pPr>
        <w:pStyle w:val="Articletext"/>
        <w:ind w:left="851" w:hanging="851"/>
        <w:rPr>
          <w:noProof/>
        </w:rPr>
      </w:pPr>
      <w:r w:rsidRPr="007C0DAE">
        <w:rPr>
          <w:noProof/>
        </w:rPr>
        <w:t xml:space="preserve">13. </w:t>
      </w:r>
      <w:r w:rsidRPr="007C0DAE">
        <w:rPr>
          <w:noProof/>
        </w:rPr>
        <w:tab/>
        <w:t>Osim ako se Zajednički odbor EGP-a dogovori drukčije, za potrebe izračuna faktora proporcionalnosti kako je definiran u članku 82. stavku 1. Sporazuma o EGP-u za financijsku godinu tijekom koje sporazum o povlačenju države članice iz članka 50. Ugovora o Europskoj uniji stupa na snagu prije 1. srpnja te godine bruto domaći proizvod u tržišnim cijenama država članica EU-a uključuje bruto domaći proizvod u tržišnim cijenama države članice koja se povlači.”</w:t>
      </w:r>
    </w:p>
    <w:p w14:paraId="30866572" w14:textId="1A761FCE" w:rsidR="00AA7D3B" w:rsidRPr="007C0DAE" w:rsidRDefault="00AA7D3B" w:rsidP="00AA7D3B">
      <w:pPr>
        <w:pStyle w:val="Articletext"/>
        <w:tabs>
          <w:tab w:val="clear" w:pos="709"/>
          <w:tab w:val="left" w:pos="851"/>
        </w:tabs>
        <w:rPr>
          <w:noProof/>
        </w:rPr>
      </w:pPr>
      <w:r w:rsidRPr="007C0DAE">
        <w:rPr>
          <w:noProof/>
        </w:rPr>
        <w:t>2.</w:t>
      </w:r>
      <w:r w:rsidRPr="007C0DAE">
        <w:rPr>
          <w:noProof/>
        </w:rPr>
        <w:tab/>
        <w:t>U Protokolu 32. dodaje se sljedeći članak:</w:t>
      </w:r>
    </w:p>
    <w:p w14:paraId="2EEE8DD2" w14:textId="0DD2B465" w:rsidR="00AA7D3B" w:rsidRPr="007C0DAE" w:rsidRDefault="00AA7D3B" w:rsidP="00AA7D3B">
      <w:pPr>
        <w:pStyle w:val="Articletext"/>
        <w:ind w:left="851"/>
        <w:jc w:val="center"/>
        <w:rPr>
          <w:i/>
          <w:iCs/>
          <w:noProof/>
        </w:rPr>
      </w:pPr>
      <w:r w:rsidRPr="007C0DAE">
        <w:rPr>
          <w:noProof/>
        </w:rPr>
        <w:t>„</w:t>
      </w:r>
      <w:r w:rsidRPr="007C0DAE">
        <w:rPr>
          <w:i/>
          <w:noProof/>
        </w:rPr>
        <w:t xml:space="preserve">Članak 8. </w:t>
      </w:r>
    </w:p>
    <w:p w14:paraId="10C38F1A" w14:textId="4A729EDD" w:rsidR="00AA7D3B" w:rsidRPr="007C0DAE" w:rsidRDefault="00AA7D3B" w:rsidP="00AA7D3B">
      <w:pPr>
        <w:pStyle w:val="Articletext"/>
        <w:jc w:val="center"/>
        <w:rPr>
          <w:noProof/>
        </w:rPr>
      </w:pPr>
      <w:r w:rsidRPr="007C0DAE">
        <w:rPr>
          <w:i/>
          <w:noProof/>
        </w:rPr>
        <w:t>Posebna pravila za sudjelovanje u proračunskim jamstvima</w:t>
      </w:r>
    </w:p>
    <w:p w14:paraId="39559BCE" w14:textId="41DCC76F" w:rsidR="00AA7D3B" w:rsidRPr="007C0DAE" w:rsidRDefault="00AA7D3B" w:rsidP="00AA7D3B">
      <w:pPr>
        <w:pStyle w:val="Articletext"/>
        <w:ind w:left="851"/>
        <w:rPr>
          <w:noProof/>
        </w:rPr>
      </w:pPr>
      <w:r w:rsidRPr="007C0DAE">
        <w:rPr>
          <w:noProof/>
        </w:rPr>
        <w:t>Posebni financijski modaliteti doprinosa država EFTA-e u vezi sa sudjelovanjem u proračunskim jamstvima, uključujući postupak za određivanje financijskog sudjelovanja u njima, utvrđuju se u posebnim sporazumima o doprinosu koji mogu dopuniti modalitete utvrđene u ovom Protokolu. Doprinos se sastoji od doprinosa za djelomično izdvajanje rezervacija za proračunsko jamstvo i preuzimanje odgovarajuće nepredviđene obveze ili predstavlja doprinos u gotovini za potpuno izdvajanje rezervacija za proračunsko jamstvo na temelju uvjeta utvrđenih u posebnim sporazumima o doprinosu.”</w:t>
      </w:r>
    </w:p>
    <w:p w14:paraId="244712FE" w14:textId="4758AAAD" w:rsidR="00AA7D3B" w:rsidRPr="007C0DAE" w:rsidRDefault="00AA7D3B" w:rsidP="00234076">
      <w:pPr>
        <w:pStyle w:val="Titrearticle"/>
        <w:rPr>
          <w:noProof/>
        </w:rPr>
      </w:pPr>
      <w:r w:rsidRPr="007C0DAE">
        <w:rPr>
          <w:noProof/>
        </w:rPr>
        <w:t>Članak 2.</w:t>
      </w:r>
    </w:p>
    <w:p w14:paraId="55B055FE" w14:textId="77777777" w:rsidR="00AA7D3B" w:rsidRPr="007C0DAE" w:rsidRDefault="00AA7D3B" w:rsidP="00AA7D3B">
      <w:pPr>
        <w:spacing w:after="0"/>
        <w:rPr>
          <w:rFonts w:eastAsia="Times New Roman"/>
          <w:noProof/>
          <w:color w:val="000000"/>
          <w:szCs w:val="24"/>
        </w:rPr>
      </w:pPr>
      <w:r w:rsidRPr="007C0DAE">
        <w:rPr>
          <w:noProof/>
        </w:rPr>
        <w:t>Ova Odluka stupa na snagu dan nakon zadnje obavijesti u skladu s člankom 103. stavkom 1. Sporazuma o EGP-u</w:t>
      </w:r>
      <w:r w:rsidRPr="007C0DAE">
        <w:rPr>
          <w:rStyle w:val="FootnoteReference"/>
          <w:b/>
          <w:noProof/>
        </w:rPr>
        <w:footnoteReference w:customMarkFollows="1" w:id="2"/>
        <w:sym w:font="Symbol" w:char="F02A"/>
      </w:r>
      <w:r w:rsidRPr="007C0DAE">
        <w:rPr>
          <w:noProof/>
        </w:rPr>
        <w:t>.</w:t>
      </w:r>
      <w:r w:rsidRPr="007C0DAE">
        <w:rPr>
          <w:noProof/>
          <w:color w:val="000000"/>
          <w:szCs w:val="24"/>
        </w:rPr>
        <w:t xml:space="preserve"> </w:t>
      </w:r>
    </w:p>
    <w:p w14:paraId="68DFC232" w14:textId="77777777" w:rsidR="00AA7D3B" w:rsidRPr="007C0DAE" w:rsidRDefault="00AA7D3B" w:rsidP="00AA7D3B">
      <w:pPr>
        <w:spacing w:after="0"/>
        <w:rPr>
          <w:rFonts w:eastAsia="Times New Roman"/>
          <w:noProof/>
          <w:color w:val="000000"/>
          <w:szCs w:val="24"/>
        </w:rPr>
      </w:pPr>
      <w:r w:rsidRPr="007C0DAE">
        <w:rPr>
          <w:noProof/>
          <w:color w:val="000000"/>
          <w:szCs w:val="24"/>
        </w:rPr>
        <w:t xml:space="preserve">Primjenjuje se od 1. siječnja 2021. </w:t>
      </w:r>
    </w:p>
    <w:p w14:paraId="6B29D898" w14:textId="0B8C84EC" w:rsidR="00AA7D3B" w:rsidRPr="007C0DAE" w:rsidRDefault="00AA7D3B" w:rsidP="00234076">
      <w:pPr>
        <w:pStyle w:val="Titrearticle"/>
        <w:rPr>
          <w:noProof/>
        </w:rPr>
      </w:pPr>
      <w:r w:rsidRPr="007C0DAE">
        <w:rPr>
          <w:noProof/>
        </w:rPr>
        <w:t>Članak 3.</w:t>
      </w:r>
    </w:p>
    <w:p w14:paraId="3F6736A8" w14:textId="77777777" w:rsidR="00AA7D3B" w:rsidRPr="007C0DAE" w:rsidRDefault="00AA7D3B" w:rsidP="00285E6C">
      <w:pPr>
        <w:rPr>
          <w:noProof/>
        </w:rPr>
      </w:pPr>
      <w:r w:rsidRPr="007C0DAE">
        <w:rPr>
          <w:noProof/>
        </w:rPr>
        <w:t xml:space="preserve">Ova se Odluka objavljuje u odjeljku o EGP-u </w:t>
      </w:r>
      <w:r w:rsidRPr="007C0DAE">
        <w:rPr>
          <w:i/>
          <w:iCs/>
          <w:noProof/>
        </w:rPr>
        <w:t>Službenog lista Europske unije</w:t>
      </w:r>
      <w:r w:rsidRPr="007C0DAE">
        <w:rPr>
          <w:noProof/>
        </w:rPr>
        <w:t xml:space="preserve"> i u Dodatku o EGP-u </w:t>
      </w:r>
      <w:r w:rsidRPr="007C0DAE">
        <w:rPr>
          <w:i/>
          <w:iCs/>
          <w:noProof/>
        </w:rPr>
        <w:t>Službenom listu Europske unije</w:t>
      </w:r>
      <w:r w:rsidRPr="007C0DAE">
        <w:rPr>
          <w:noProof/>
        </w:rPr>
        <w:t>.</w:t>
      </w:r>
    </w:p>
    <w:p w14:paraId="5F236F34" w14:textId="77777777" w:rsidR="00AA7D3B" w:rsidRPr="007C0DAE" w:rsidRDefault="00AA7D3B" w:rsidP="00234076">
      <w:pPr>
        <w:pStyle w:val="Fait"/>
        <w:rPr>
          <w:noProof/>
        </w:rPr>
      </w:pPr>
      <w:r w:rsidRPr="007C0DAE">
        <w:rPr>
          <w:noProof/>
        </w:rPr>
        <w:t>Sastavljeno u Bruxellesu […]</w:t>
      </w:r>
    </w:p>
    <w:p w14:paraId="6D6E04EA" w14:textId="77777777" w:rsidR="00AA7D3B" w:rsidRPr="007C0DAE" w:rsidRDefault="00AA7D3B" w:rsidP="00AA7D3B">
      <w:pPr>
        <w:tabs>
          <w:tab w:val="left" w:pos="4253"/>
        </w:tabs>
        <w:spacing w:before="720" w:after="0"/>
        <w:rPr>
          <w:i/>
          <w:noProof/>
          <w:szCs w:val="24"/>
        </w:rPr>
      </w:pPr>
      <w:r w:rsidRPr="007C0DAE">
        <w:rPr>
          <w:noProof/>
        </w:rPr>
        <w:tab/>
      </w:r>
      <w:r w:rsidRPr="007C0DAE">
        <w:rPr>
          <w:i/>
          <w:noProof/>
          <w:szCs w:val="24"/>
        </w:rPr>
        <w:t>Za Zajednički odbor EGP-a</w:t>
      </w:r>
    </w:p>
    <w:p w14:paraId="40FA963D" w14:textId="77777777" w:rsidR="00BD338D" w:rsidRPr="007C0DAE" w:rsidRDefault="00AA7D3B" w:rsidP="00BD338D">
      <w:pPr>
        <w:tabs>
          <w:tab w:val="left" w:pos="4253"/>
        </w:tabs>
        <w:spacing w:after="0"/>
        <w:rPr>
          <w:rFonts w:eastAsia="Times New Roman"/>
          <w:noProof/>
          <w:color w:val="000000"/>
          <w:szCs w:val="24"/>
        </w:rPr>
      </w:pPr>
      <w:r w:rsidRPr="007C0DAE">
        <w:rPr>
          <w:noProof/>
        </w:rPr>
        <w:tab/>
      </w:r>
      <w:r w:rsidRPr="007C0DAE">
        <w:rPr>
          <w:i/>
          <w:noProof/>
          <w:szCs w:val="24"/>
        </w:rPr>
        <w:t>Predsjednik</w:t>
      </w:r>
    </w:p>
    <w:p w14:paraId="43479F69" w14:textId="40196448" w:rsidR="008E72DE" w:rsidRPr="007C0DAE" w:rsidRDefault="00BD338D" w:rsidP="00BD338D">
      <w:pPr>
        <w:tabs>
          <w:tab w:val="left" w:pos="4253"/>
        </w:tabs>
        <w:spacing w:after="0"/>
        <w:rPr>
          <w:noProof/>
        </w:rPr>
      </w:pPr>
      <w:r w:rsidRPr="007C0DAE">
        <w:rPr>
          <w:noProof/>
        </w:rPr>
        <w:tab/>
        <w:t>[…]</w:t>
      </w:r>
    </w:p>
    <w:sectPr w:rsidR="008E72DE" w:rsidRPr="007C0DAE" w:rsidSect="00F16099">
      <w:footerReference w:type="default" r:id="rId15"/>
      <w:footerReference w:type="first" r:id="rId16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4CF40" w14:textId="77777777" w:rsidR="00135D80" w:rsidRDefault="00135D80" w:rsidP="00AF6ECE">
      <w:pPr>
        <w:spacing w:before="0" w:after="0"/>
      </w:pPr>
      <w:r>
        <w:separator/>
      </w:r>
    </w:p>
  </w:endnote>
  <w:endnote w:type="continuationSeparator" w:id="0">
    <w:p w14:paraId="3E1A029E" w14:textId="77777777" w:rsidR="00135D80" w:rsidRDefault="00135D80" w:rsidP="00AF6EC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7F792" w14:textId="77777777" w:rsidR="00F16099" w:rsidRPr="00F16099" w:rsidRDefault="00F16099" w:rsidP="00F160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C9938" w14:textId="63F6A076" w:rsidR="007C0DAE" w:rsidRPr="00F16099" w:rsidRDefault="00F16099" w:rsidP="00F16099">
    <w:pPr>
      <w:pStyle w:val="Footer"/>
      <w:rPr>
        <w:rFonts w:ascii="Arial" w:hAnsi="Arial" w:cs="Arial"/>
        <w:b/>
        <w:sz w:val="48"/>
      </w:rPr>
    </w:pPr>
    <w:r w:rsidRPr="00F16099">
      <w:rPr>
        <w:rFonts w:ascii="Arial" w:hAnsi="Arial" w:cs="Arial"/>
        <w:b/>
        <w:sz w:val="48"/>
      </w:rPr>
      <w:t>HR</w:t>
    </w:r>
    <w:r w:rsidRPr="00F16099">
      <w:rPr>
        <w:rFonts w:ascii="Arial" w:hAnsi="Arial" w:cs="Arial"/>
        <w:b/>
        <w:sz w:val="48"/>
      </w:rPr>
      <w:tab/>
    </w:r>
    <w:r w:rsidRPr="00F16099">
      <w:rPr>
        <w:rFonts w:ascii="Arial" w:hAnsi="Arial" w:cs="Arial"/>
        <w:b/>
        <w:sz w:val="48"/>
      </w:rPr>
      <w:tab/>
    </w:r>
    <w:r w:rsidRPr="00F16099">
      <w:tab/>
    </w:r>
    <w:r w:rsidRPr="00F16099">
      <w:rPr>
        <w:rFonts w:ascii="Arial" w:hAnsi="Arial" w:cs="Arial"/>
        <w:b/>
        <w:sz w:val="48"/>
      </w:rPr>
      <w:t>HR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F4B96C" w14:textId="77777777" w:rsidR="00F16099" w:rsidRPr="00F16099" w:rsidRDefault="00F16099" w:rsidP="00F1609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AF4A6" w14:textId="04E830A9" w:rsidR="00F16099" w:rsidRPr="00F16099" w:rsidRDefault="00F16099" w:rsidP="00F16099">
    <w:pPr>
      <w:pStyle w:val="Footer"/>
      <w:rPr>
        <w:rFonts w:ascii="Arial" w:hAnsi="Arial" w:cs="Arial"/>
        <w:b/>
        <w:sz w:val="48"/>
      </w:rPr>
    </w:pPr>
    <w:r w:rsidRPr="00F16099">
      <w:rPr>
        <w:rFonts w:ascii="Arial" w:hAnsi="Arial" w:cs="Arial"/>
        <w:b/>
        <w:sz w:val="48"/>
      </w:rPr>
      <w:t>HR</w:t>
    </w:r>
    <w:r w:rsidRPr="00F16099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F16099">
      <w:tab/>
    </w:r>
    <w:r w:rsidRPr="00F16099">
      <w:rPr>
        <w:rFonts w:ascii="Arial" w:hAnsi="Arial" w:cs="Arial"/>
        <w:b/>
        <w:sz w:val="48"/>
      </w:rPr>
      <w:t>HR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AD034" w14:textId="77777777" w:rsidR="00F16099" w:rsidRPr="00F16099" w:rsidRDefault="00F16099" w:rsidP="00F160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2B17D1" w14:textId="77777777" w:rsidR="00135D80" w:rsidRDefault="00135D80" w:rsidP="00AF6ECE">
      <w:pPr>
        <w:spacing w:before="0" w:after="0"/>
      </w:pPr>
      <w:r>
        <w:separator/>
      </w:r>
    </w:p>
  </w:footnote>
  <w:footnote w:type="continuationSeparator" w:id="0">
    <w:p w14:paraId="6381BDB6" w14:textId="77777777" w:rsidR="00135D80" w:rsidRDefault="00135D80" w:rsidP="00AF6ECE">
      <w:pPr>
        <w:spacing w:before="0" w:after="0"/>
      </w:pPr>
      <w:r>
        <w:continuationSeparator/>
      </w:r>
    </w:p>
  </w:footnote>
  <w:footnote w:id="1">
    <w:p w14:paraId="637B7382" w14:textId="0E366673" w:rsidR="00AA7D3B" w:rsidRDefault="00AA7D3B" w:rsidP="00AA7D3B">
      <w:pPr>
        <w:pStyle w:val="FootnoteText"/>
      </w:pPr>
      <w:r>
        <w:rPr>
          <w:rStyle w:val="FootnoteReference"/>
        </w:rPr>
        <w:footnoteRef/>
      </w:r>
      <w:r>
        <w:tab/>
        <w:t>SL L 433I, 22.12.2020., str. 23.</w:t>
      </w:r>
    </w:p>
  </w:footnote>
  <w:footnote w:id="2">
    <w:p w14:paraId="120B28CE" w14:textId="77777777" w:rsidR="00AA7D3B" w:rsidRDefault="00AA7D3B" w:rsidP="00AA7D3B">
      <w:pPr>
        <w:pStyle w:val="FootnoteText"/>
      </w:pPr>
      <w:r>
        <w:rPr>
          <w:rStyle w:val="FootnoteReference"/>
        </w:rPr>
        <w:sym w:font="Symbol" w:char="F02A"/>
      </w:r>
      <w:r>
        <w:tab/>
        <w:t>[Ustavni zahtjevi nisu navedeni.][Ustavni su zahtjevi navedeni.]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9CB0B" w14:textId="77777777" w:rsidR="00F16099" w:rsidRPr="00F16099" w:rsidRDefault="00F16099" w:rsidP="00F160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E1CAF" w14:textId="77777777" w:rsidR="00F16099" w:rsidRPr="00F16099" w:rsidRDefault="00F16099" w:rsidP="00F160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0D5810" w14:textId="77777777" w:rsidR="00F16099" w:rsidRPr="00F16099" w:rsidRDefault="00F16099" w:rsidP="00F160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D2C67E9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BA480AF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BE6015F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D416FF6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B790C6D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210ACC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C5DAE75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0EDA0AE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22"/>
    <w:lvlOverride w:ilvl="0">
      <w:startOverride w:val="1"/>
    </w:lvlOverride>
  </w:num>
  <w:num w:numId="10">
    <w:abstractNumId w:val="19"/>
  </w:num>
  <w:num w:numId="11">
    <w:abstractNumId w:val="12"/>
  </w:num>
  <w:num w:numId="12">
    <w:abstractNumId w:val="21"/>
  </w:num>
  <w:num w:numId="13">
    <w:abstractNumId w:val="11"/>
  </w:num>
  <w:num w:numId="14">
    <w:abstractNumId w:val="13"/>
  </w:num>
  <w:num w:numId="15">
    <w:abstractNumId w:val="9"/>
  </w:num>
  <w:num w:numId="16">
    <w:abstractNumId w:val="20"/>
  </w:num>
  <w:num w:numId="17">
    <w:abstractNumId w:val="8"/>
  </w:num>
  <w:num w:numId="18">
    <w:abstractNumId w:val="15"/>
  </w:num>
  <w:num w:numId="19">
    <w:abstractNumId w:val="17"/>
  </w:num>
  <w:num w:numId="20">
    <w:abstractNumId w:val="18"/>
  </w:num>
  <w:num w:numId="21">
    <w:abstractNumId w:val="10"/>
  </w:num>
  <w:num w:numId="22">
    <w:abstractNumId w:val="16"/>
  </w:num>
  <w:num w:numId="23">
    <w:abstractNumId w:val="22"/>
  </w:num>
  <w:num w:numId="24">
    <w:abstractNumId w:val="20"/>
  </w:num>
  <w:num w:numId="25">
    <w:abstractNumId w:val="20"/>
  </w:num>
  <w:num w:numId="26">
    <w:abstractNumId w:val="20"/>
  </w:num>
  <w:num w:numId="27">
    <w:abstractNumId w:val="14"/>
  </w:num>
  <w:num w:numId="28">
    <w:abstractNumId w:val="9"/>
  </w:num>
  <w:num w:numId="29">
    <w:abstractNumId w:val="9"/>
  </w:num>
  <w:num w:numId="30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R_RefLast" w:val="0"/>
    <w:docVar w:name="DQCDateTime" w:val="2021-11-05 15:42:23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InvalidFootnotes" w:val="0;1"/>
    <w:docVar w:name="DQCResult_LinkedStyles" w:val="0;0"/>
    <w:docVar w:name="DQCResult_ModifiedMargins" w:val="0;6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3"/>
    <w:docVar w:name="DQCResult_UnknownFonts" w:val="0;0"/>
    <w:docVar w:name="DQCResult_UnknownStyles" w:val="0;9"/>
    <w:docVar w:name="DQCStatus" w:val="Green"/>
    <w:docVar w:name="DQCVersion" w:val="3"/>
    <w:docVar w:name="DQCWithWarnings" w:val="0"/>
    <w:docVar w:name="LW_ACCOMPAGNANT" w:val=" "/>
    <w:docVar w:name="LW_ACCOMPAGNANT.CP" w:val=" 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9CF798C6-08C8-452B-84B2-066C067485D1"/>
    <w:docVar w:name="LW_COVERPAGE_TYPE" w:val="1"/>
    <w:docVar w:name="LW_CROSSREFERENCE" w:val="&lt;UNUSED&gt;"/>
    <w:docVar w:name="LW_DocType" w:val="ANNEX"/>
    <w:docVar w:name="LW_EMISSION" w:val="4.11.2021."/>
    <w:docVar w:name="LW_EMISSION_ISODATE" w:val="2021-11-04"/>
    <w:docVar w:name="LW_EMISSION_LOCATION" w:val="BRX"/>
    <w:docVar w:name="LW_EMISSION_PREFIX" w:val="Bruxelles, "/>
    <w:docVar w:name="LW_EMISSION_SUFFIX" w:val="&lt;EMPTY&gt;"/>
    <w:docVar w:name="LW_ID_DOCSTRUCTURE" w:val="COM/ANNEX"/>
    <w:docVar w:name="LW_ID_DOCTYPE" w:val="SG-017"/>
    <w:docVar w:name="LW_LANGUE" w:val="HR"/>
    <w:docVar w:name="LW_LEVEL_OF_SENSITIVITY" w:val="Standard treatment"/>
    <w:docVar w:name="LW_NOM.INST" w:val="EUROPSKA KOMISIJA"/>
    <w:docVar w:name="LW_NOM.INST_JOINTDOC" w:val="&lt;EMPTY&gt;"/>
    <w:docVar w:name="LW_OBJETACTEPRINCIPAL" w:val="&lt;FMT:Bold&gt;o stajali\u353?tu koje treba zauzeti u ime Europske unije u okviru Zajedni\u269?kog odbora EGP-a u vezi s izmjenom Protokola 32. uz Sporazum o EGP-u o financijskim modalitetima provedbe \u269?lanka 82.&lt;/FMT&gt;_x000d__x000d__x000d__x000d__x000d__x000b_"/>
    <w:docVar w:name="LW_OBJETACTEPRINCIPAL.CP" w:val="&lt;FMT:Bold&gt;o stajali\u353?tu koje treba zauzeti u ime Europske unije u okviru Zajedni\u269?kog odbora EGP-a u vezi s izmjenom Protokola 32. uz Sporazum o EGP-u o financijskim modalitetima provedbe \u269?lanka 82.&lt;/FMT&gt;_x000d__x000d__x000d__x000d__x000d__x000b_"/>
    <w:docVar w:name="LW_PART_NBR" w:val="1"/>
    <w:docVar w:name="LW_PART_NBR_TOTAL" w:val="1"/>
    <w:docVar w:name="LW_REF.INST.NEW" w:val="COM"/>
    <w:docVar w:name="LW_REF.INST.NEW_ADOPTED" w:val="final"/>
    <w:docVar w:name="LW_REF.INST.NEW_TEXT" w:val="(2021) 673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PRILOG"/>
    <w:docVar w:name="LW_TYPE.DOC.CP" w:val="PRILOG"/>
    <w:docVar w:name="LW_TYPEACTEPRINCIPAL" w:val="Prijedlogu ODLUKE VIJE\u262?A"/>
    <w:docVar w:name="LW_TYPEACTEPRINCIPAL.CP" w:val="Prijedlogu ODLUKE VIJE\u262?A"/>
    <w:docVar w:name="LwApiVersions" w:val="LW4CoDe 1.23.1.0; LW 8.0, Build 20210728"/>
  </w:docVars>
  <w:rsids>
    <w:rsidRoot w:val="00AF6ECE"/>
    <w:rsid w:val="00022EFB"/>
    <w:rsid w:val="00066EA2"/>
    <w:rsid w:val="000719CD"/>
    <w:rsid w:val="000B5A20"/>
    <w:rsid w:val="000C6E7C"/>
    <w:rsid w:val="000E198E"/>
    <w:rsid w:val="001045C4"/>
    <w:rsid w:val="00135D80"/>
    <w:rsid w:val="0015305A"/>
    <w:rsid w:val="00173556"/>
    <w:rsid w:val="0018496D"/>
    <w:rsid w:val="001C04E0"/>
    <w:rsid w:val="001C2816"/>
    <w:rsid w:val="001D57BB"/>
    <w:rsid w:val="001D6F25"/>
    <w:rsid w:val="001F376D"/>
    <w:rsid w:val="00234076"/>
    <w:rsid w:val="00267F2A"/>
    <w:rsid w:val="00285E6C"/>
    <w:rsid w:val="002A3AA5"/>
    <w:rsid w:val="00312687"/>
    <w:rsid w:val="00336380"/>
    <w:rsid w:val="00376E9C"/>
    <w:rsid w:val="003E736F"/>
    <w:rsid w:val="004E4047"/>
    <w:rsid w:val="005039FA"/>
    <w:rsid w:val="005042AB"/>
    <w:rsid w:val="00527653"/>
    <w:rsid w:val="00586E3E"/>
    <w:rsid w:val="005C2AA2"/>
    <w:rsid w:val="0068659C"/>
    <w:rsid w:val="006B46A2"/>
    <w:rsid w:val="006F3C6D"/>
    <w:rsid w:val="00731592"/>
    <w:rsid w:val="00761D40"/>
    <w:rsid w:val="00770A2C"/>
    <w:rsid w:val="007C0DAE"/>
    <w:rsid w:val="00827826"/>
    <w:rsid w:val="00844CA1"/>
    <w:rsid w:val="00845CCE"/>
    <w:rsid w:val="008B29CF"/>
    <w:rsid w:val="008D444C"/>
    <w:rsid w:val="008E72DE"/>
    <w:rsid w:val="008F630D"/>
    <w:rsid w:val="0092146C"/>
    <w:rsid w:val="0094023A"/>
    <w:rsid w:val="0097534D"/>
    <w:rsid w:val="009812C5"/>
    <w:rsid w:val="00986B33"/>
    <w:rsid w:val="00987AD5"/>
    <w:rsid w:val="009F1F00"/>
    <w:rsid w:val="00A145EF"/>
    <w:rsid w:val="00A21BA7"/>
    <w:rsid w:val="00A24676"/>
    <w:rsid w:val="00A32A51"/>
    <w:rsid w:val="00A409AC"/>
    <w:rsid w:val="00A80723"/>
    <w:rsid w:val="00A92CD2"/>
    <w:rsid w:val="00AA7D3B"/>
    <w:rsid w:val="00AE64C0"/>
    <w:rsid w:val="00AF6ECE"/>
    <w:rsid w:val="00AF7709"/>
    <w:rsid w:val="00B17213"/>
    <w:rsid w:val="00B47CAF"/>
    <w:rsid w:val="00B711EC"/>
    <w:rsid w:val="00B856AB"/>
    <w:rsid w:val="00B92C21"/>
    <w:rsid w:val="00BB0CF3"/>
    <w:rsid w:val="00BD338D"/>
    <w:rsid w:val="00BF17AA"/>
    <w:rsid w:val="00C24556"/>
    <w:rsid w:val="00C47B36"/>
    <w:rsid w:val="00CA35C7"/>
    <w:rsid w:val="00CE7890"/>
    <w:rsid w:val="00D11C9C"/>
    <w:rsid w:val="00D255D0"/>
    <w:rsid w:val="00D50C9E"/>
    <w:rsid w:val="00D67E5E"/>
    <w:rsid w:val="00D7270A"/>
    <w:rsid w:val="00D84278"/>
    <w:rsid w:val="00DA749E"/>
    <w:rsid w:val="00DD743E"/>
    <w:rsid w:val="00DF24C2"/>
    <w:rsid w:val="00E04AEB"/>
    <w:rsid w:val="00E44B59"/>
    <w:rsid w:val="00E6630A"/>
    <w:rsid w:val="00E871BC"/>
    <w:rsid w:val="00EB7432"/>
    <w:rsid w:val="00ED22F3"/>
    <w:rsid w:val="00EF209A"/>
    <w:rsid w:val="00EF3FF8"/>
    <w:rsid w:val="00EF6A0B"/>
    <w:rsid w:val="00EF73EA"/>
    <w:rsid w:val="00F070E3"/>
    <w:rsid w:val="00F16099"/>
    <w:rsid w:val="00F66750"/>
    <w:rsid w:val="00F847C6"/>
    <w:rsid w:val="00F86F75"/>
    <w:rsid w:val="00FB675C"/>
    <w:rsid w:val="00FD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A0EEA59"/>
  <w15:docId w15:val="{1808471D-F387-497D-AD45-B4B0EE73A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hr-HR"/>
    </w:rPr>
  </w:style>
  <w:style w:type="paragraph" w:styleId="Heading1">
    <w:name w:val="heading 1"/>
    <w:basedOn w:val="Normal"/>
    <w:next w:val="Text1"/>
    <w:link w:val="Heading1Char"/>
    <w:uiPriority w:val="9"/>
    <w:qFormat/>
    <w:rsid w:val="00BB0CF3"/>
    <w:pPr>
      <w:keepNext/>
      <w:numPr>
        <w:numId w:val="26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rsid w:val="00BB0CF3"/>
    <w:pPr>
      <w:keepNext/>
      <w:numPr>
        <w:ilvl w:val="1"/>
        <w:numId w:val="26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rsid w:val="00BB0CF3"/>
    <w:pPr>
      <w:keepNext/>
      <w:numPr>
        <w:ilvl w:val="2"/>
        <w:numId w:val="26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rsid w:val="00BB0CF3"/>
    <w:pPr>
      <w:keepNext/>
      <w:numPr>
        <w:ilvl w:val="3"/>
        <w:numId w:val="26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rsid w:val="00F86F75"/>
    <w:pPr>
      <w:keepNext/>
      <w:numPr>
        <w:ilvl w:val="4"/>
        <w:numId w:val="26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rsid w:val="00F86F75"/>
    <w:pPr>
      <w:keepNext/>
      <w:numPr>
        <w:ilvl w:val="5"/>
        <w:numId w:val="26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rsid w:val="00F86F75"/>
    <w:pPr>
      <w:keepNext/>
      <w:numPr>
        <w:ilvl w:val="6"/>
        <w:numId w:val="26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rsid w:val="008E72DE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8E72DE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8E72DE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8E72DE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rsid w:val="008E72DE"/>
    <w:pPr>
      <w:spacing w:before="0" w:after="200" w:line="276" w:lineRule="auto"/>
      <w:ind w:left="720"/>
      <w:contextualSpacing/>
      <w:jc w:val="left"/>
    </w:pPr>
    <w:rPr>
      <w:rFonts w:cstheme="minorBidi"/>
      <w:szCs w:val="20"/>
    </w:rPr>
  </w:style>
  <w:style w:type="paragraph" w:customStyle="1" w:styleId="Articleheading">
    <w:name w:val="Article heading"/>
    <w:basedOn w:val="Normal"/>
    <w:link w:val="ArticleheadingChar"/>
    <w:qFormat/>
    <w:rsid w:val="008E72DE"/>
    <w:pPr>
      <w:keepNext/>
      <w:tabs>
        <w:tab w:val="left" w:pos="709"/>
      </w:tabs>
      <w:spacing w:before="360"/>
      <w:jc w:val="center"/>
    </w:pPr>
    <w:rPr>
      <w:i/>
      <w:color w:val="000000" w:themeColor="text1"/>
      <w:szCs w:val="24"/>
    </w:rPr>
  </w:style>
  <w:style w:type="paragraph" w:customStyle="1" w:styleId="Articletext">
    <w:name w:val="Article text"/>
    <w:basedOn w:val="Articleheading"/>
    <w:link w:val="ArticletextChar"/>
    <w:qFormat/>
    <w:rsid w:val="008E72DE"/>
    <w:pPr>
      <w:keepNext w:val="0"/>
      <w:spacing w:before="120"/>
      <w:jc w:val="both"/>
    </w:pPr>
    <w:rPr>
      <w:i w:val="0"/>
    </w:rPr>
  </w:style>
  <w:style w:type="character" w:customStyle="1" w:styleId="ArticleheadingChar">
    <w:name w:val="Article heading Char"/>
    <w:basedOn w:val="DefaultParagraphFont"/>
    <w:link w:val="Articleheading"/>
    <w:rsid w:val="008E72DE"/>
    <w:rPr>
      <w:rFonts w:ascii="Times New Roman" w:hAnsi="Times New Roman" w:cs="Times New Roman"/>
      <w:i/>
      <w:color w:val="000000" w:themeColor="text1"/>
      <w:sz w:val="24"/>
      <w:szCs w:val="24"/>
    </w:rPr>
  </w:style>
  <w:style w:type="character" w:customStyle="1" w:styleId="ArticletextChar">
    <w:name w:val="Article text Char"/>
    <w:basedOn w:val="ArticleheadingChar"/>
    <w:link w:val="Articletext"/>
    <w:rsid w:val="008E72DE"/>
    <w:rPr>
      <w:rFonts w:ascii="Times New Roman" w:hAnsi="Times New Roman" w:cs="Times New Roman"/>
      <w:i w:val="0"/>
      <w:color w:val="000000" w:themeColor="text1"/>
      <w:sz w:val="24"/>
      <w:szCs w:val="24"/>
    </w:rPr>
  </w:style>
  <w:style w:type="character" w:customStyle="1" w:styleId="Point1Char">
    <w:name w:val="Point 1 Char"/>
    <w:basedOn w:val="ArticletextChar"/>
    <w:rsid w:val="008E72DE"/>
    <w:rPr>
      <w:rFonts w:ascii="Times New Roman" w:hAnsi="Times New Roman" w:cs="Times New Roman"/>
      <w:i w:val="0"/>
      <w:color w:val="000000" w:themeColor="text1"/>
      <w:sz w:val="24"/>
      <w:szCs w:val="24"/>
      <w:lang w:val="hr-HR"/>
    </w:rPr>
  </w:style>
  <w:style w:type="paragraph" w:customStyle="1" w:styleId="Point4b">
    <w:name w:val="Point 4b"/>
    <w:basedOn w:val="Point4"/>
    <w:qFormat/>
    <w:rsid w:val="008E72DE"/>
    <w:pPr>
      <w:tabs>
        <w:tab w:val="left" w:pos="1453"/>
      </w:tabs>
      <w:ind w:left="2552" w:firstLine="0"/>
      <w:jc w:val="left"/>
    </w:pPr>
    <w:rPr>
      <w:rFonts w:cstheme="minorBidi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A749E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DA749E"/>
    <w:pPr>
      <w:spacing w:after="0"/>
    </w:pPr>
  </w:style>
  <w:style w:type="paragraph" w:styleId="ListNumber">
    <w:name w:val="List Number"/>
    <w:basedOn w:val="Normal"/>
    <w:uiPriority w:val="99"/>
    <w:semiHidden/>
    <w:unhideWhenUsed/>
    <w:rsid w:val="00DA749E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DA749E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A749E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A749E"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F24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F24C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F24C2"/>
    <w:rPr>
      <w:rFonts w:ascii="Times New Roman" w:hAnsi="Times New Roman" w:cs="Times New Roman"/>
      <w:sz w:val="20"/>
      <w:szCs w:val="20"/>
      <w:lang w:val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24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24C2"/>
    <w:rPr>
      <w:rFonts w:ascii="Times New Roman" w:hAnsi="Times New Roman" w:cs="Times New Roman"/>
      <w:b/>
      <w:bCs/>
      <w:sz w:val="20"/>
      <w:szCs w:val="20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24C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4C2"/>
    <w:rPr>
      <w:rFonts w:ascii="Segoe UI" w:hAnsi="Segoe UI" w:cs="Segoe UI"/>
      <w:sz w:val="18"/>
      <w:szCs w:val="18"/>
      <w:lang w:val="hr-HR"/>
    </w:rPr>
  </w:style>
  <w:style w:type="character" w:styleId="Hyperlink">
    <w:name w:val="Hyperlink"/>
    <w:basedOn w:val="DefaultParagraphFont"/>
    <w:uiPriority w:val="99"/>
    <w:unhideWhenUsed/>
    <w:rsid w:val="00DF24C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099"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16099"/>
    <w:rPr>
      <w:rFonts w:ascii="Times New Roman" w:hAnsi="Times New Roman" w:cs="Times New Roman"/>
      <w:sz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F16099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sid w:val="00F16099"/>
    <w:rPr>
      <w:rFonts w:ascii="Times New Roman" w:hAnsi="Times New Roman" w:cs="Times New Roman"/>
      <w:sz w:val="24"/>
      <w:lang w:val="hr-H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B0CF3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CF3"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BB0CF3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0CF3"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0CF3"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0CF3"/>
    <w:rPr>
      <w:rFonts w:ascii="Times New Roman" w:eastAsiaTheme="majorEastAsia" w:hAnsi="Times New Roman" w:cs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BB0CF3"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rsid w:val="00BB0CF3"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rsid w:val="00F16099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rsid w:val="00F16099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sid w:val="00BB0CF3"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F1609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F16099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F1609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rsid w:val="00BB0CF3"/>
    <w:pPr>
      <w:ind w:left="850"/>
    </w:pPr>
  </w:style>
  <w:style w:type="paragraph" w:customStyle="1" w:styleId="Text2">
    <w:name w:val="Text 2"/>
    <w:basedOn w:val="Normal"/>
    <w:rsid w:val="00BB0CF3"/>
    <w:pPr>
      <w:ind w:left="1417"/>
    </w:pPr>
  </w:style>
  <w:style w:type="paragraph" w:customStyle="1" w:styleId="Text3">
    <w:name w:val="Text 3"/>
    <w:basedOn w:val="Normal"/>
    <w:rsid w:val="00BB0CF3"/>
    <w:pPr>
      <w:ind w:left="1984"/>
    </w:pPr>
  </w:style>
  <w:style w:type="paragraph" w:customStyle="1" w:styleId="Text4">
    <w:name w:val="Text 4"/>
    <w:basedOn w:val="Normal"/>
    <w:rsid w:val="00BB0CF3"/>
    <w:pPr>
      <w:ind w:left="2551"/>
    </w:pPr>
  </w:style>
  <w:style w:type="paragraph" w:customStyle="1" w:styleId="NormalCentered">
    <w:name w:val="Normal Centered"/>
    <w:basedOn w:val="Normal"/>
    <w:rsid w:val="00BB0CF3"/>
    <w:pPr>
      <w:jc w:val="center"/>
    </w:pPr>
  </w:style>
  <w:style w:type="paragraph" w:customStyle="1" w:styleId="NormalLeft">
    <w:name w:val="Normal Left"/>
    <w:basedOn w:val="Normal"/>
    <w:rsid w:val="00BB0CF3"/>
    <w:pPr>
      <w:jc w:val="left"/>
    </w:pPr>
  </w:style>
  <w:style w:type="paragraph" w:customStyle="1" w:styleId="NormalRight">
    <w:name w:val="Normal Right"/>
    <w:basedOn w:val="Normal"/>
    <w:rsid w:val="00BB0CF3"/>
    <w:pPr>
      <w:jc w:val="right"/>
    </w:pPr>
  </w:style>
  <w:style w:type="paragraph" w:customStyle="1" w:styleId="QuotedText">
    <w:name w:val="Quoted Text"/>
    <w:basedOn w:val="Normal"/>
    <w:rsid w:val="00BB0CF3"/>
    <w:pPr>
      <w:ind w:left="1417"/>
    </w:pPr>
  </w:style>
  <w:style w:type="paragraph" w:customStyle="1" w:styleId="Point0">
    <w:name w:val="Point 0"/>
    <w:basedOn w:val="Normal"/>
    <w:rsid w:val="00BB0CF3"/>
    <w:pPr>
      <w:ind w:left="850" w:hanging="850"/>
    </w:pPr>
  </w:style>
  <w:style w:type="paragraph" w:customStyle="1" w:styleId="Point1">
    <w:name w:val="Point 1"/>
    <w:basedOn w:val="Normal"/>
    <w:rsid w:val="00BB0CF3"/>
    <w:pPr>
      <w:ind w:left="1417" w:hanging="567"/>
    </w:pPr>
  </w:style>
  <w:style w:type="paragraph" w:customStyle="1" w:styleId="Point2">
    <w:name w:val="Point 2"/>
    <w:basedOn w:val="Normal"/>
    <w:rsid w:val="00BB0CF3"/>
    <w:pPr>
      <w:ind w:left="1984" w:hanging="567"/>
    </w:pPr>
  </w:style>
  <w:style w:type="paragraph" w:customStyle="1" w:styleId="Point3">
    <w:name w:val="Point 3"/>
    <w:basedOn w:val="Normal"/>
    <w:rsid w:val="00BB0CF3"/>
    <w:pPr>
      <w:ind w:left="2551" w:hanging="567"/>
    </w:pPr>
  </w:style>
  <w:style w:type="paragraph" w:customStyle="1" w:styleId="Point4">
    <w:name w:val="Point 4"/>
    <w:basedOn w:val="Normal"/>
    <w:rsid w:val="00BB0CF3"/>
    <w:pPr>
      <w:ind w:left="3118" w:hanging="567"/>
    </w:pPr>
  </w:style>
  <w:style w:type="paragraph" w:customStyle="1" w:styleId="Tiret0">
    <w:name w:val="Tiret 0"/>
    <w:basedOn w:val="Point0"/>
    <w:rsid w:val="00BB0CF3"/>
    <w:pPr>
      <w:numPr>
        <w:numId w:val="10"/>
      </w:numPr>
    </w:pPr>
  </w:style>
  <w:style w:type="paragraph" w:customStyle="1" w:styleId="Tiret1">
    <w:name w:val="Tiret 1"/>
    <w:basedOn w:val="Point1"/>
    <w:rsid w:val="00BB0CF3"/>
    <w:pPr>
      <w:numPr>
        <w:numId w:val="11"/>
      </w:numPr>
    </w:pPr>
  </w:style>
  <w:style w:type="paragraph" w:customStyle="1" w:styleId="Tiret2">
    <w:name w:val="Tiret 2"/>
    <w:basedOn w:val="Point2"/>
    <w:rsid w:val="00BB0CF3"/>
    <w:pPr>
      <w:numPr>
        <w:numId w:val="12"/>
      </w:numPr>
    </w:pPr>
  </w:style>
  <w:style w:type="paragraph" w:customStyle="1" w:styleId="Tiret3">
    <w:name w:val="Tiret 3"/>
    <w:basedOn w:val="Point3"/>
    <w:rsid w:val="00BB0CF3"/>
    <w:pPr>
      <w:numPr>
        <w:numId w:val="13"/>
      </w:numPr>
    </w:pPr>
  </w:style>
  <w:style w:type="paragraph" w:customStyle="1" w:styleId="Tiret4">
    <w:name w:val="Tiret 4"/>
    <w:basedOn w:val="Point4"/>
    <w:rsid w:val="00BB0CF3"/>
    <w:pPr>
      <w:numPr>
        <w:numId w:val="14"/>
      </w:numPr>
    </w:pPr>
  </w:style>
  <w:style w:type="paragraph" w:customStyle="1" w:styleId="PointDouble0">
    <w:name w:val="PointDouble 0"/>
    <w:basedOn w:val="Normal"/>
    <w:rsid w:val="00BB0CF3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rsid w:val="00BB0CF3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rsid w:val="00BB0CF3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rsid w:val="00BB0CF3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rsid w:val="00BB0CF3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rsid w:val="00BB0CF3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rsid w:val="00BB0CF3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rsid w:val="00BB0CF3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rsid w:val="00BB0CF3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rsid w:val="00BB0CF3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rsid w:val="00BB0CF3"/>
    <w:pPr>
      <w:numPr>
        <w:numId w:val="30"/>
      </w:numPr>
    </w:pPr>
  </w:style>
  <w:style w:type="paragraph" w:customStyle="1" w:styleId="NumPar2">
    <w:name w:val="NumPar 2"/>
    <w:basedOn w:val="Normal"/>
    <w:next w:val="Text1"/>
    <w:rsid w:val="00BB0CF3"/>
    <w:pPr>
      <w:numPr>
        <w:ilvl w:val="1"/>
        <w:numId w:val="30"/>
      </w:numPr>
    </w:pPr>
  </w:style>
  <w:style w:type="paragraph" w:customStyle="1" w:styleId="NumPar3">
    <w:name w:val="NumPar 3"/>
    <w:basedOn w:val="Normal"/>
    <w:next w:val="Text1"/>
    <w:rsid w:val="00BB0CF3"/>
    <w:pPr>
      <w:numPr>
        <w:ilvl w:val="2"/>
        <w:numId w:val="30"/>
      </w:numPr>
    </w:pPr>
  </w:style>
  <w:style w:type="paragraph" w:customStyle="1" w:styleId="NumPar4">
    <w:name w:val="NumPar 4"/>
    <w:basedOn w:val="Normal"/>
    <w:next w:val="Text1"/>
    <w:rsid w:val="00BB0CF3"/>
    <w:pPr>
      <w:numPr>
        <w:ilvl w:val="3"/>
        <w:numId w:val="30"/>
      </w:numPr>
    </w:pPr>
  </w:style>
  <w:style w:type="paragraph" w:customStyle="1" w:styleId="ManualNumPar1">
    <w:name w:val="Manual NumPar 1"/>
    <w:basedOn w:val="Normal"/>
    <w:next w:val="Text1"/>
    <w:rsid w:val="00BB0CF3"/>
    <w:pPr>
      <w:ind w:left="850" w:hanging="850"/>
    </w:pPr>
  </w:style>
  <w:style w:type="paragraph" w:customStyle="1" w:styleId="ManualNumPar2">
    <w:name w:val="Manual NumPar 2"/>
    <w:basedOn w:val="Normal"/>
    <w:next w:val="Text1"/>
    <w:rsid w:val="00BB0CF3"/>
    <w:pPr>
      <w:ind w:left="850" w:hanging="850"/>
    </w:pPr>
  </w:style>
  <w:style w:type="paragraph" w:customStyle="1" w:styleId="ManualNumPar3">
    <w:name w:val="Manual NumPar 3"/>
    <w:basedOn w:val="Normal"/>
    <w:next w:val="Text1"/>
    <w:rsid w:val="00BB0CF3"/>
    <w:pPr>
      <w:ind w:left="850" w:hanging="850"/>
    </w:pPr>
  </w:style>
  <w:style w:type="paragraph" w:customStyle="1" w:styleId="ManualNumPar4">
    <w:name w:val="Manual NumPar 4"/>
    <w:basedOn w:val="Normal"/>
    <w:next w:val="Text1"/>
    <w:rsid w:val="00BB0CF3"/>
    <w:pPr>
      <w:ind w:left="850" w:hanging="850"/>
    </w:pPr>
  </w:style>
  <w:style w:type="paragraph" w:customStyle="1" w:styleId="QuotedNumPar">
    <w:name w:val="Quoted NumPar"/>
    <w:basedOn w:val="Normal"/>
    <w:rsid w:val="00BB0CF3"/>
    <w:pPr>
      <w:ind w:left="1417" w:hanging="567"/>
    </w:pPr>
  </w:style>
  <w:style w:type="paragraph" w:customStyle="1" w:styleId="ManualHeading1">
    <w:name w:val="Manual Heading 1"/>
    <w:basedOn w:val="Normal"/>
    <w:next w:val="Text1"/>
    <w:rsid w:val="00BB0CF3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rsid w:val="00BB0CF3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rsid w:val="00BB0CF3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rsid w:val="00BB0CF3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rsid w:val="00BB0CF3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rsid w:val="00BB0CF3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rsid w:val="00BB0CF3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rsid w:val="00BB0CF3"/>
    <w:pPr>
      <w:jc w:val="center"/>
    </w:pPr>
    <w:rPr>
      <w:b/>
    </w:rPr>
  </w:style>
  <w:style w:type="character" w:customStyle="1" w:styleId="Marker">
    <w:name w:val="Marker"/>
    <w:basedOn w:val="DefaultParagraphFont"/>
    <w:rsid w:val="00BB0CF3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sid w:val="00BB0CF3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sid w:val="00BB0CF3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rsid w:val="00BB0CF3"/>
    <w:pPr>
      <w:numPr>
        <w:numId w:val="17"/>
      </w:numPr>
    </w:pPr>
  </w:style>
  <w:style w:type="paragraph" w:customStyle="1" w:styleId="Point1number">
    <w:name w:val="Point 1 (number)"/>
    <w:basedOn w:val="Normal"/>
    <w:rsid w:val="00BB0CF3"/>
    <w:pPr>
      <w:numPr>
        <w:ilvl w:val="2"/>
        <w:numId w:val="17"/>
      </w:numPr>
    </w:pPr>
  </w:style>
  <w:style w:type="paragraph" w:customStyle="1" w:styleId="Point2number">
    <w:name w:val="Point 2 (number)"/>
    <w:basedOn w:val="Normal"/>
    <w:rsid w:val="00BB0CF3"/>
    <w:pPr>
      <w:numPr>
        <w:ilvl w:val="4"/>
        <w:numId w:val="17"/>
      </w:numPr>
    </w:pPr>
  </w:style>
  <w:style w:type="paragraph" w:customStyle="1" w:styleId="Point3number">
    <w:name w:val="Point 3 (number)"/>
    <w:basedOn w:val="Normal"/>
    <w:rsid w:val="00BB0CF3"/>
    <w:pPr>
      <w:numPr>
        <w:ilvl w:val="6"/>
        <w:numId w:val="17"/>
      </w:numPr>
    </w:pPr>
  </w:style>
  <w:style w:type="paragraph" w:customStyle="1" w:styleId="Point0letter">
    <w:name w:val="Point 0 (letter)"/>
    <w:basedOn w:val="Normal"/>
    <w:rsid w:val="00BB0CF3"/>
    <w:pPr>
      <w:numPr>
        <w:ilvl w:val="1"/>
        <w:numId w:val="17"/>
      </w:numPr>
    </w:pPr>
  </w:style>
  <w:style w:type="paragraph" w:customStyle="1" w:styleId="Point1letter">
    <w:name w:val="Point 1 (letter)"/>
    <w:basedOn w:val="Normal"/>
    <w:rsid w:val="00BB0CF3"/>
    <w:pPr>
      <w:numPr>
        <w:ilvl w:val="3"/>
        <w:numId w:val="17"/>
      </w:numPr>
    </w:pPr>
  </w:style>
  <w:style w:type="paragraph" w:customStyle="1" w:styleId="Point2letter">
    <w:name w:val="Point 2 (letter)"/>
    <w:basedOn w:val="Normal"/>
    <w:rsid w:val="00BB0CF3"/>
    <w:pPr>
      <w:numPr>
        <w:ilvl w:val="5"/>
        <w:numId w:val="17"/>
      </w:numPr>
    </w:pPr>
  </w:style>
  <w:style w:type="paragraph" w:customStyle="1" w:styleId="Point3letter">
    <w:name w:val="Point 3 (letter)"/>
    <w:basedOn w:val="Normal"/>
    <w:rsid w:val="00BB0CF3"/>
    <w:pPr>
      <w:numPr>
        <w:ilvl w:val="7"/>
        <w:numId w:val="17"/>
      </w:numPr>
    </w:pPr>
  </w:style>
  <w:style w:type="paragraph" w:customStyle="1" w:styleId="Point4letter">
    <w:name w:val="Point 4 (letter)"/>
    <w:basedOn w:val="Normal"/>
    <w:rsid w:val="00BB0CF3"/>
    <w:pPr>
      <w:numPr>
        <w:ilvl w:val="8"/>
        <w:numId w:val="17"/>
      </w:numPr>
    </w:pPr>
  </w:style>
  <w:style w:type="paragraph" w:customStyle="1" w:styleId="Bullet0">
    <w:name w:val="Bullet 0"/>
    <w:basedOn w:val="Normal"/>
    <w:rsid w:val="00BB0CF3"/>
    <w:pPr>
      <w:numPr>
        <w:numId w:val="18"/>
      </w:numPr>
    </w:pPr>
  </w:style>
  <w:style w:type="paragraph" w:customStyle="1" w:styleId="Bullet1">
    <w:name w:val="Bullet 1"/>
    <w:basedOn w:val="Normal"/>
    <w:rsid w:val="00BB0CF3"/>
    <w:pPr>
      <w:numPr>
        <w:numId w:val="19"/>
      </w:numPr>
    </w:pPr>
  </w:style>
  <w:style w:type="paragraph" w:customStyle="1" w:styleId="Bullet2">
    <w:name w:val="Bullet 2"/>
    <w:basedOn w:val="Normal"/>
    <w:rsid w:val="00BB0CF3"/>
    <w:pPr>
      <w:numPr>
        <w:numId w:val="20"/>
      </w:numPr>
    </w:pPr>
  </w:style>
  <w:style w:type="paragraph" w:customStyle="1" w:styleId="Bullet3">
    <w:name w:val="Bullet 3"/>
    <w:basedOn w:val="Normal"/>
    <w:rsid w:val="00BB0CF3"/>
    <w:pPr>
      <w:numPr>
        <w:numId w:val="21"/>
      </w:numPr>
    </w:pPr>
  </w:style>
  <w:style w:type="paragraph" w:customStyle="1" w:styleId="Bullet4">
    <w:name w:val="Bullet 4"/>
    <w:basedOn w:val="Normal"/>
    <w:rsid w:val="00BB0CF3"/>
    <w:pPr>
      <w:numPr>
        <w:numId w:val="22"/>
      </w:numPr>
    </w:pPr>
  </w:style>
  <w:style w:type="paragraph" w:customStyle="1" w:styleId="Langue">
    <w:name w:val="Langue"/>
    <w:basedOn w:val="Normal"/>
    <w:next w:val="Rfrenceinterne"/>
    <w:rsid w:val="00BB0CF3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rsid w:val="00BB0CF3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rsid w:val="00BB0CF3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rsid w:val="00BB0CF3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rsid w:val="00BB0CF3"/>
    <w:pPr>
      <w:spacing w:before="0" w:after="0"/>
    </w:pPr>
  </w:style>
  <w:style w:type="paragraph" w:customStyle="1" w:styleId="Declassification">
    <w:name w:val="Declassification"/>
    <w:basedOn w:val="Normal"/>
    <w:next w:val="Normal"/>
    <w:rsid w:val="00BB0CF3"/>
    <w:pPr>
      <w:spacing w:before="0" w:after="0"/>
    </w:pPr>
  </w:style>
  <w:style w:type="paragraph" w:customStyle="1" w:styleId="Disclaimer">
    <w:name w:val="Disclaimer"/>
    <w:basedOn w:val="Normal"/>
    <w:rsid w:val="00BB0CF3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rsid w:val="00BB0CF3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rsid w:val="00BB0CF3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rsid w:val="00BB0CF3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rsid w:val="00BB0CF3"/>
    <w:pPr>
      <w:spacing w:before="480"/>
    </w:pPr>
  </w:style>
  <w:style w:type="paragraph" w:customStyle="1" w:styleId="Avertissementtitre">
    <w:name w:val="Avertissement titre"/>
    <w:basedOn w:val="Normal"/>
    <w:next w:val="Normal"/>
    <w:rsid w:val="00BB0CF3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rsid w:val="00BB0CF3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rsid w:val="00BB0CF3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rsid w:val="00BB0CF3"/>
    <w:pPr>
      <w:numPr>
        <w:numId w:val="23"/>
      </w:numPr>
    </w:pPr>
  </w:style>
  <w:style w:type="paragraph" w:customStyle="1" w:styleId="Corrigendum">
    <w:name w:val="Corrigendum"/>
    <w:basedOn w:val="Normal"/>
    <w:next w:val="Normal"/>
    <w:rsid w:val="00BB0CF3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rsid w:val="00BB0CF3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rsid w:val="00BB0CF3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rsid w:val="00BB0CF3"/>
    <w:pPr>
      <w:keepNext/>
    </w:pPr>
  </w:style>
  <w:style w:type="paragraph" w:customStyle="1" w:styleId="Institutionquiagit">
    <w:name w:val="Institution qui agit"/>
    <w:basedOn w:val="Normal"/>
    <w:next w:val="Normal"/>
    <w:rsid w:val="00BB0CF3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rsid w:val="00BB0CF3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rsid w:val="00BB0CF3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rsid w:val="00BB0CF3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rsid w:val="00BB0CF3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rsid w:val="00BB0CF3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rsid w:val="00BB0CF3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rsid w:val="00BB0CF3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rsid w:val="00BB0CF3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sid w:val="00BB0CF3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sid w:val="00BB0CF3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rsid w:val="00BB0CF3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sid w:val="00BB0CF3"/>
    <w:rPr>
      <w:i/>
      <w:caps/>
    </w:rPr>
  </w:style>
  <w:style w:type="paragraph" w:customStyle="1" w:styleId="Supertitre">
    <w:name w:val="Supertitre"/>
    <w:basedOn w:val="Normal"/>
    <w:next w:val="Normal"/>
    <w:rsid w:val="00BB0CF3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rsid w:val="00BB0CF3"/>
    <w:pPr>
      <w:spacing w:before="360" w:after="0"/>
      <w:jc w:val="center"/>
    </w:pPr>
  </w:style>
  <w:style w:type="paragraph" w:customStyle="1" w:styleId="Rfrencecroise">
    <w:name w:val="Référence croisée"/>
    <w:basedOn w:val="Normal"/>
    <w:rsid w:val="00BB0CF3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  <w:rsid w:val="00BB0CF3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  <w:rsid w:val="00BB0CF3"/>
  </w:style>
  <w:style w:type="paragraph" w:customStyle="1" w:styleId="StatutPagedecouverture">
    <w:name w:val="Statut (Page de couverture)"/>
    <w:basedOn w:val="Statut"/>
    <w:next w:val="TypedudocumentPagedecouverture"/>
    <w:rsid w:val="00BB0CF3"/>
  </w:style>
  <w:style w:type="paragraph" w:customStyle="1" w:styleId="TypedudocumentPagedecouverture">
    <w:name w:val="Type du document (Page de couverture)"/>
    <w:basedOn w:val="Typedudocument"/>
    <w:next w:val="AccompagnantPagedecouverture"/>
    <w:rsid w:val="00BB0CF3"/>
  </w:style>
  <w:style w:type="paragraph" w:customStyle="1" w:styleId="Volume">
    <w:name w:val="Volume"/>
    <w:basedOn w:val="Normal"/>
    <w:next w:val="Confidentialit"/>
    <w:rsid w:val="00BB0CF3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rsid w:val="00BB0CF3"/>
    <w:pPr>
      <w:spacing w:after="240"/>
    </w:pPr>
  </w:style>
  <w:style w:type="paragraph" w:customStyle="1" w:styleId="Accompagnant">
    <w:name w:val="Accompagnant"/>
    <w:basedOn w:val="Normal"/>
    <w:next w:val="Typeacteprincipal"/>
    <w:rsid w:val="00BB0CF3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rsid w:val="00BB0CF3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rsid w:val="00BB0CF3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  <w:rsid w:val="00BB0CF3"/>
  </w:style>
  <w:style w:type="paragraph" w:customStyle="1" w:styleId="AccompagnantPagedecouverture">
    <w:name w:val="Accompagnant (Page de couverture)"/>
    <w:basedOn w:val="Accompagnant"/>
    <w:next w:val="TypeacteprincipalPagedecouverture"/>
    <w:rsid w:val="00BB0CF3"/>
  </w:style>
  <w:style w:type="paragraph" w:customStyle="1" w:styleId="TypeacteprincipalPagedecouverture">
    <w:name w:val="Type acte principal (Page de couverture)"/>
    <w:basedOn w:val="Typeacteprincipal"/>
    <w:next w:val="ObjetacteprincipalPagedecouverture"/>
    <w:rsid w:val="00BB0CF3"/>
  </w:style>
  <w:style w:type="paragraph" w:customStyle="1" w:styleId="ObjetacteprincipalPagedecouverture">
    <w:name w:val="Objet acte principal (Page de couverture)"/>
    <w:basedOn w:val="Objetacteprincipal"/>
    <w:next w:val="Rfrencecroise"/>
    <w:rsid w:val="00BB0CF3"/>
  </w:style>
  <w:style w:type="paragraph" w:customStyle="1" w:styleId="LanguesfaisantfoiPagedecouverture">
    <w:name w:val="Langues faisant foi (Page de couverture)"/>
    <w:basedOn w:val="Normal"/>
    <w:next w:val="Normal"/>
    <w:rsid w:val="00BB0CF3"/>
    <w:pPr>
      <w:spacing w:before="360" w:after="0"/>
      <w:jc w:val="center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F86F75"/>
    <w:rPr>
      <w:rFonts w:ascii="Times New Roman" w:eastAsiaTheme="majorEastAsia" w:hAnsi="Times New Roman" w:cs="Times New Roman"/>
      <w:sz w:val="24"/>
      <w:lang w:val="hr-H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6F75"/>
    <w:rPr>
      <w:rFonts w:ascii="Times New Roman" w:eastAsiaTheme="majorEastAsia" w:hAnsi="Times New Roman" w:cs="Times New Roman"/>
      <w:iCs/>
      <w:sz w:val="24"/>
      <w:lang w:val="hr-H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6F75"/>
    <w:rPr>
      <w:rFonts w:ascii="Times New Roman" w:eastAsiaTheme="majorEastAsia" w:hAnsi="Times New Roman" w:cs="Times New Roman"/>
      <w:iCs/>
      <w:sz w:val="24"/>
      <w:lang w:val="hr-HR"/>
    </w:rPr>
  </w:style>
  <w:style w:type="paragraph" w:customStyle="1" w:styleId="ManualHeading5">
    <w:name w:val="Manual Heading 5"/>
    <w:basedOn w:val="Normal"/>
    <w:next w:val="Text2"/>
    <w:rsid w:val="00F86F75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rsid w:val="00F86F75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rsid w:val="00F86F75"/>
    <w:pPr>
      <w:keepNext/>
      <w:tabs>
        <w:tab w:val="left" w:pos="1417"/>
      </w:tabs>
      <w:ind w:left="1417" w:hanging="1417"/>
      <w:outlineLvl w:val="6"/>
    </w:pPr>
  </w:style>
  <w:style w:type="paragraph" w:customStyle="1" w:styleId="Text5">
    <w:name w:val="Text 5"/>
    <w:basedOn w:val="Normal"/>
    <w:rsid w:val="00F86F75"/>
    <w:pPr>
      <w:ind w:left="3118"/>
    </w:pPr>
  </w:style>
  <w:style w:type="paragraph" w:customStyle="1" w:styleId="Text6">
    <w:name w:val="Text 6"/>
    <w:basedOn w:val="Normal"/>
    <w:rsid w:val="00F86F75"/>
    <w:pPr>
      <w:ind w:left="3685"/>
    </w:pPr>
  </w:style>
  <w:style w:type="paragraph" w:customStyle="1" w:styleId="Point5">
    <w:name w:val="Point 5"/>
    <w:basedOn w:val="Normal"/>
    <w:rsid w:val="00F86F75"/>
    <w:pPr>
      <w:ind w:left="3685" w:hanging="567"/>
    </w:pPr>
  </w:style>
  <w:style w:type="paragraph" w:customStyle="1" w:styleId="Tiret5">
    <w:name w:val="Tiret 5"/>
    <w:basedOn w:val="Point5"/>
    <w:rsid w:val="00F86F75"/>
    <w:pPr>
      <w:numPr>
        <w:numId w:val="27"/>
      </w:numPr>
    </w:pPr>
  </w:style>
  <w:style w:type="paragraph" w:customStyle="1" w:styleId="NumPar5">
    <w:name w:val="NumPar 5"/>
    <w:basedOn w:val="Normal"/>
    <w:next w:val="Text2"/>
    <w:rsid w:val="00F86F75"/>
    <w:pPr>
      <w:numPr>
        <w:ilvl w:val="4"/>
        <w:numId w:val="30"/>
      </w:numPr>
    </w:pPr>
  </w:style>
  <w:style w:type="paragraph" w:customStyle="1" w:styleId="NumPar6">
    <w:name w:val="NumPar 6"/>
    <w:basedOn w:val="Normal"/>
    <w:next w:val="Text2"/>
    <w:rsid w:val="00F86F75"/>
    <w:pPr>
      <w:numPr>
        <w:ilvl w:val="5"/>
        <w:numId w:val="30"/>
      </w:numPr>
    </w:pPr>
  </w:style>
  <w:style w:type="paragraph" w:customStyle="1" w:styleId="NumPar7">
    <w:name w:val="NumPar 7"/>
    <w:basedOn w:val="Normal"/>
    <w:next w:val="Text2"/>
    <w:rsid w:val="00F86F75"/>
    <w:pPr>
      <w:numPr>
        <w:ilvl w:val="6"/>
        <w:numId w:val="30"/>
      </w:numPr>
    </w:pPr>
  </w:style>
  <w:style w:type="paragraph" w:customStyle="1" w:styleId="ManualNumPar5">
    <w:name w:val="Manual NumPar 5"/>
    <w:basedOn w:val="Normal"/>
    <w:next w:val="Text2"/>
    <w:rsid w:val="00F86F75"/>
    <w:pPr>
      <w:ind w:left="1417" w:hanging="1417"/>
    </w:pPr>
  </w:style>
  <w:style w:type="paragraph" w:customStyle="1" w:styleId="ManualNumPar6">
    <w:name w:val="Manual NumPar 6"/>
    <w:basedOn w:val="Normal"/>
    <w:next w:val="Text2"/>
    <w:rsid w:val="00F86F75"/>
    <w:pPr>
      <w:ind w:left="1417" w:hanging="1417"/>
    </w:pPr>
  </w:style>
  <w:style w:type="paragraph" w:customStyle="1" w:styleId="ManualNumPar7">
    <w:name w:val="Manual NumPar 7"/>
    <w:basedOn w:val="Normal"/>
    <w:next w:val="Text2"/>
    <w:rsid w:val="00F86F75"/>
    <w:pPr>
      <w:ind w:left="1417" w:hanging="141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7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48E33-A498-4E61-8D19-82405E5F0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</TotalTime>
  <Pages>4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15</cp:revision>
  <dcterms:created xsi:type="dcterms:W3CDTF">2021-11-05T07:03:00Z</dcterms:created>
  <dcterms:modified xsi:type="dcterms:W3CDTF">2021-11-05T14:42:00Z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7.0.8.0</vt:lpwstr>
  </property>
  <property fmtid="{D5CDD505-2E9C-101B-9397-08002B2CF9AE}" pid="4" name="Last edited using">
    <vt:lpwstr>LW 7.0.1, Build 20200226</vt:lpwstr>
  </property>
  <property fmtid="{D5CDD505-2E9C-101B-9397-08002B2CF9AE}" pid="5" name="Created using">
    <vt:lpwstr>LW 7.0, Build 20190717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DQCStatus">
    <vt:lpwstr>Green (DQC version 03)</vt:lpwstr>
  </property>
  <property name="OP_sanitized" fmtid="{D5CDD505-2E9C-101B-9397-08002B2CF9AE}" pid="14">
    <vt:lpwstr>True</vt:lpwstr>
  </property>
</Properties>
</file>