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A81B6642-76C9-4543-8F7C-4DC189EB9865" style="width:450pt;height:379.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7" w:h="16840" w:code="9"/>
          <w:pgMar w:top="1134" w:right="1417" w:bottom="1134" w:left="1417" w:header="709" w:footer="709" w:gutter="0"/>
          <w:pgNumType w:start="1"/>
          <w:cols w:space="720"/>
          <w:docGrid w:linePitch="326"/>
        </w:sectPr>
      </w:pPr>
    </w:p>
    <w:p>
      <w:pPr>
        <w:jc w:val="right"/>
        <w:rPr>
          <w:b/>
          <w:bCs/>
          <w:noProof/>
          <w:u w:val="single"/>
        </w:rPr>
      </w:pPr>
      <w:bookmarkStart w:id="1" w:name="_GoBack"/>
      <w:bookmarkEnd w:id="1"/>
      <w:r>
        <w:rPr>
          <w:b/>
          <w:noProof/>
          <w:u w:val="single"/>
        </w:rPr>
        <w:lastRenderedPageBreak/>
        <w:t>Dodatok 2-A-3</w:t>
      </w:r>
    </w:p>
    <w:p>
      <w:pPr>
        <w:rPr>
          <w:noProof/>
        </w:rPr>
      </w:pPr>
    </w:p>
    <w:p>
      <w:pPr>
        <w:rPr>
          <w:noProof/>
        </w:rPr>
      </w:pPr>
    </w:p>
    <w:p>
      <w:pPr>
        <w:jc w:val="center"/>
        <w:rPr>
          <w:noProof/>
        </w:rPr>
      </w:pPr>
      <w:r>
        <w:rPr>
          <w:noProof/>
        </w:rPr>
        <w:t>Zoznam vývozných ciel Vietnamu</w:t>
      </w:r>
    </w:p>
    <w:p>
      <w:pPr>
        <w:rPr>
          <w:noProof/>
        </w:rPr>
      </w:pPr>
    </w:p>
    <w:p>
      <w:pPr>
        <w:rPr>
          <w:noProof/>
        </w:rPr>
      </w:pPr>
      <w:r>
        <w:rPr>
          <w:noProof/>
        </w:rPr>
        <w:t>Všeobecné poznámky</w:t>
      </w:r>
    </w:p>
    <w:p>
      <w:pPr>
        <w:ind w:left="567" w:hanging="567"/>
        <w:rPr>
          <w:noProof/>
        </w:rPr>
      </w:pPr>
    </w:p>
    <w:p>
      <w:pPr>
        <w:ind w:left="567" w:hanging="567"/>
        <w:rPr>
          <w:noProof/>
        </w:rPr>
      </w:pPr>
      <w:r>
        <w:rPr>
          <w:noProof/>
        </w:rPr>
        <w:t>1.</w:t>
      </w:r>
      <w:r>
        <w:rPr>
          <w:noProof/>
        </w:rPr>
        <w:tab/>
        <w:t>Na odstránenie alebo zníženie vývozných ciel, daní alebo iných poplatkov akéhokoľvek druhu, ukladaných na vývoz alebo v súvislosti s vývozom tovaru na územie druhej zmluvnej strany (ďalej len „vývozné clá“), ktoré sú stanovené v zozname vývozných ciel Vietnamu v tomto dodatku podľa článku 2.11 (Vývozné clo, dane a iné platby), sa uplatňujú tieto kategórie:</w:t>
      </w:r>
    </w:p>
    <w:p>
      <w:pPr>
        <w:ind w:left="1134" w:hanging="567"/>
        <w:rPr>
          <w:noProof/>
        </w:rPr>
      </w:pPr>
    </w:p>
    <w:p>
      <w:pPr>
        <w:ind w:left="1134" w:hanging="567"/>
        <w:rPr>
          <w:noProof/>
        </w:rPr>
      </w:pPr>
      <w:r>
        <w:rPr>
          <w:noProof/>
        </w:rPr>
        <w:t>a)</w:t>
      </w:r>
      <w:r>
        <w:rPr>
          <w:noProof/>
        </w:rPr>
        <w:tab/>
        <w:t>vývozné clá na tovar stanovené v položkách kategórie „B5a“ postupného znižovania cla v zozname uvedenom v tomto dodatku sa znížia na 10 % v šiestich rovnakých ročných etapách so začiatkom v deň nadobudnutia platnosti tejto dohody a vývozné clá na takýto tovar sa potom stanovia na 10 %;</w:t>
      </w:r>
    </w:p>
    <w:p>
      <w:pPr>
        <w:ind w:left="1134" w:hanging="567"/>
        <w:rPr>
          <w:noProof/>
        </w:rPr>
      </w:pPr>
    </w:p>
    <w:p>
      <w:pPr>
        <w:ind w:left="1134" w:hanging="567"/>
        <w:rPr>
          <w:noProof/>
        </w:rPr>
      </w:pPr>
      <w:r>
        <w:rPr>
          <w:noProof/>
        </w:rPr>
        <w:br w:type="page"/>
        <w:t>b)</w:t>
      </w:r>
      <w:r>
        <w:rPr>
          <w:noProof/>
        </w:rPr>
        <w:tab/>
        <w:t>vývozné clá na tovar stanovené v položkách kategórie „B5b“ postupného znižovania cla v zozname uvedenom v tomto dodatku sa znížia na 20 % v šiestich rovnakých ročných etapách so začiatkom v deň nadobudnutia platnosti tejto dohody a vývozné clá na takýto tovar sa potom stanovia na 20 %;</w:t>
      </w:r>
    </w:p>
    <w:p>
      <w:pPr>
        <w:ind w:left="1134" w:hanging="567"/>
        <w:rPr>
          <w:noProof/>
        </w:rPr>
      </w:pPr>
    </w:p>
    <w:p>
      <w:pPr>
        <w:ind w:left="1134" w:hanging="567"/>
        <w:rPr>
          <w:noProof/>
        </w:rPr>
      </w:pPr>
      <w:r>
        <w:rPr>
          <w:noProof/>
        </w:rPr>
        <w:t>c)</w:t>
      </w:r>
      <w:r>
        <w:rPr>
          <w:noProof/>
        </w:rPr>
        <w:tab/>
        <w:t>vývozné clá na tovar stanovené v položkách kategórie „B5*a“ postupného znižovania cla v zozname uvedenom v tomto dodatku zostanú na úrovni základnej sadzby päť rokov so začiatkom v deň nadobudnutia platnosti tejto dohody a takýto tovar bude následne bez akéhokoľvek vývozného cla;</w:t>
      </w:r>
    </w:p>
    <w:p>
      <w:pPr>
        <w:ind w:left="1134" w:hanging="567"/>
        <w:rPr>
          <w:noProof/>
        </w:rPr>
      </w:pPr>
    </w:p>
    <w:p>
      <w:pPr>
        <w:ind w:left="1134" w:hanging="567"/>
        <w:rPr>
          <w:noProof/>
        </w:rPr>
      </w:pPr>
      <w:r>
        <w:rPr>
          <w:noProof/>
        </w:rPr>
        <w:t>d)</w:t>
      </w:r>
      <w:r>
        <w:rPr>
          <w:noProof/>
        </w:rPr>
        <w:tab/>
        <w:t>vývozné clá na tovar stanovené v položkách kategórie „B5*b“ postupného znižovania cla v zozname uvedenom v tomto dodatku zostanú na úrovni základnej sadzby päť rokov so začiatkom v deň nadobudnutia platnosti tejto dohody a vývozné clá na takýto tovar sa potom znížia na 20 %;</w:t>
      </w:r>
    </w:p>
    <w:p>
      <w:pPr>
        <w:ind w:left="1134" w:hanging="567"/>
        <w:rPr>
          <w:noProof/>
        </w:rPr>
      </w:pPr>
    </w:p>
    <w:p>
      <w:pPr>
        <w:ind w:left="1134" w:hanging="567"/>
        <w:rPr>
          <w:noProof/>
        </w:rPr>
      </w:pPr>
      <w:r>
        <w:rPr>
          <w:noProof/>
        </w:rPr>
        <w:t>e)</w:t>
      </w:r>
      <w:r>
        <w:rPr>
          <w:noProof/>
        </w:rPr>
        <w:tab/>
        <w:t>vývozné clá na tovar stanovené v položkách kategórie „B7*“ postupného znižovania cla v zozname uvedenom v tomto dodatku zostanú sedem rokov na úrovni základnej sadzby so začiatkom v deň nadobudnutia platnosti tejto dohody a takýto tovar bude následne bez akéhokoľvek vývozného cla;</w:t>
      </w:r>
    </w:p>
    <w:p>
      <w:pPr>
        <w:ind w:left="1134" w:hanging="567"/>
        <w:rPr>
          <w:noProof/>
        </w:rPr>
      </w:pPr>
    </w:p>
    <w:p>
      <w:pPr>
        <w:ind w:left="1134" w:hanging="567"/>
        <w:rPr>
          <w:noProof/>
        </w:rPr>
      </w:pPr>
      <w:r>
        <w:rPr>
          <w:noProof/>
        </w:rPr>
        <w:br w:type="page"/>
        <w:t>f)</w:t>
      </w:r>
      <w:r>
        <w:rPr>
          <w:noProof/>
        </w:rPr>
        <w:tab/>
        <w:t>vývozné clá na tovar stanovené v položkách kategórie „B10“ postupného znižovania cla v zozname uvedenom v tomto dodatku sa odstránia v 11 rovnakých ročných etapách so začiatkom v deň nadobudnutia platnosti tejto dohody a takýto tovar bude následne bez akéhokoľvek vývozného cla;</w:t>
      </w:r>
    </w:p>
    <w:p>
      <w:pPr>
        <w:ind w:left="1134" w:hanging="567"/>
        <w:rPr>
          <w:noProof/>
        </w:rPr>
      </w:pPr>
    </w:p>
    <w:p>
      <w:pPr>
        <w:ind w:left="1134" w:hanging="567"/>
        <w:rPr>
          <w:noProof/>
        </w:rPr>
      </w:pPr>
      <w:r>
        <w:rPr>
          <w:noProof/>
        </w:rPr>
        <w:t>g)</w:t>
      </w:r>
      <w:r>
        <w:rPr>
          <w:noProof/>
        </w:rPr>
        <w:tab/>
        <w:t>vývozné clá na tovar stanovené v položkách kategórie „B10*“ postupného znižovania cla v zozname uvedenom v tomto dodatku zostanú na úrovni základnej sadzby 10 rokov so začiatkom v deň nadobudnutia platnosti tejto dohody a takýto tovar bude následne bez akéhokoľvek vývozného cla;</w:t>
      </w:r>
    </w:p>
    <w:p>
      <w:pPr>
        <w:ind w:left="1134" w:hanging="567"/>
        <w:rPr>
          <w:noProof/>
        </w:rPr>
      </w:pPr>
    </w:p>
    <w:p>
      <w:pPr>
        <w:ind w:left="1134" w:hanging="567"/>
        <w:rPr>
          <w:noProof/>
        </w:rPr>
      </w:pPr>
      <w:r>
        <w:rPr>
          <w:noProof/>
        </w:rPr>
        <w:t>h)</w:t>
      </w:r>
      <w:r>
        <w:rPr>
          <w:noProof/>
        </w:rPr>
        <w:tab/>
        <w:t>vývozné clá na tovar stanovené v položkách kategórie „B12“ postupného znižovania cla v zozname uvedenom v tomto dodatku sa odstránia v 13 rovnakých ročných etapách so začiatkom v deň nadobudnutia platnosti tejto dohody a takýto tovar bude následne bez akéhokoľvek vývozného cla;</w:t>
      </w:r>
    </w:p>
    <w:p>
      <w:pPr>
        <w:ind w:left="1134" w:hanging="567"/>
        <w:rPr>
          <w:noProof/>
        </w:rPr>
      </w:pPr>
    </w:p>
    <w:p>
      <w:pPr>
        <w:ind w:left="1134" w:hanging="567"/>
        <w:rPr>
          <w:noProof/>
        </w:rPr>
      </w:pPr>
      <w:r>
        <w:rPr>
          <w:noProof/>
        </w:rPr>
        <w:t>i)</w:t>
      </w:r>
      <w:r>
        <w:rPr>
          <w:noProof/>
        </w:rPr>
        <w:tab/>
        <w:t>vývozné clá na tovar stanovené v položkách kategórie „B12*“ postupného znižovania cla v zozname uvedenom v tomto dodatku zostanú na úrovni základnej sadzby 12 rokov so začiatkom v deň nadobudnutia platnosti tejto dohody a takýto tovar bude následne bez akéhokoľvek vývozného cla;</w:t>
      </w:r>
    </w:p>
    <w:p>
      <w:pPr>
        <w:ind w:left="1134" w:hanging="567"/>
        <w:rPr>
          <w:noProof/>
        </w:rPr>
      </w:pPr>
    </w:p>
    <w:p>
      <w:pPr>
        <w:ind w:left="1134" w:hanging="567"/>
        <w:rPr>
          <w:noProof/>
        </w:rPr>
      </w:pPr>
      <w:r>
        <w:rPr>
          <w:noProof/>
        </w:rPr>
        <w:br w:type="page"/>
        <w:t>j)</w:t>
      </w:r>
      <w:r>
        <w:rPr>
          <w:noProof/>
        </w:rPr>
        <w:tab/>
        <w:t>vývozné clá na tovar stanovené v položkách kategórie „B15“ postupného znižovania cla v zozname uvedenom v tomto dodatku sa odstránia v 16 rovnakých ročných etapách so začiatkom v deň nadobudnutia platnosti tejto dohody a takýto tovar bude následne bez akéhokoľvek vývozného cla;</w:t>
      </w:r>
    </w:p>
    <w:p>
      <w:pPr>
        <w:ind w:left="1134" w:hanging="567"/>
        <w:rPr>
          <w:noProof/>
        </w:rPr>
      </w:pPr>
    </w:p>
    <w:p>
      <w:pPr>
        <w:ind w:left="1134" w:hanging="567"/>
        <w:rPr>
          <w:noProof/>
        </w:rPr>
      </w:pPr>
      <w:r>
        <w:rPr>
          <w:noProof/>
        </w:rPr>
        <w:t>k)</w:t>
      </w:r>
      <w:r>
        <w:rPr>
          <w:noProof/>
        </w:rPr>
        <w:tab/>
        <w:t>vývozné clá na tovar stanovené v položkách kategórie „B15*“ postupného znižovania cla v zozname uvedenom v tomto dodatku zostanú na úrovni základnej sadzby 15 rokov so začiatkom v deň nadobudnutia platnosti tejto dohody a takýto tovar bude následne bez akéhokoľvek vývozného cla;</w:t>
      </w:r>
    </w:p>
    <w:p>
      <w:pPr>
        <w:ind w:left="1134" w:hanging="567"/>
        <w:rPr>
          <w:noProof/>
        </w:rPr>
      </w:pPr>
    </w:p>
    <w:p>
      <w:pPr>
        <w:ind w:left="1134" w:hanging="567"/>
        <w:rPr>
          <w:noProof/>
        </w:rPr>
      </w:pPr>
      <w:r>
        <w:rPr>
          <w:noProof/>
        </w:rPr>
        <w:t>l)</w:t>
      </w:r>
      <w:r>
        <w:rPr>
          <w:noProof/>
        </w:rPr>
        <w:tab/>
        <w:t>vývozné clá na tovar stanovené v položkách kategórie „B15*b“ postupného znižovania cla v zozname uvedenom v tomto dodatku zostanú na úrovni základnej sadzby päť rokov so začiatkom v deň nadobudnutia platnosti tejto dohody, v šiestom roku sa znížia na 15 % a na úrovni 15 % sa zachovajú až do uplynutia 16. roku; následne bude takýto tovar bez akéhokoľvek vývozného cla;</w:t>
      </w:r>
    </w:p>
    <w:p>
      <w:pPr>
        <w:ind w:left="1134" w:hanging="567"/>
        <w:rPr>
          <w:noProof/>
        </w:rPr>
      </w:pPr>
    </w:p>
    <w:p>
      <w:pPr>
        <w:ind w:left="1134" w:hanging="567"/>
        <w:rPr>
          <w:noProof/>
        </w:rPr>
      </w:pPr>
      <w:r>
        <w:rPr>
          <w:noProof/>
        </w:rPr>
        <w:t>m)</w:t>
      </w:r>
      <w:r>
        <w:rPr>
          <w:noProof/>
        </w:rPr>
        <w:tab/>
        <w:t>vývozné clá na tovar stanovené v položkách kategórie „B15*c“ postupného znižovania cla v zozname uvedenom v tomto dodatku zostanú na úrovni základnej sadzby päť rokov so začiatkom v deň nadobudnutia platnosti tejto dohody, v šiestom roku sa znížia na 20 % a na úrovni 20 % sa zachovajú až do uplynutia 16. roku; následne bude takýto tovar bez akéhokoľvek vývozného cla;</w:t>
      </w:r>
    </w:p>
    <w:p>
      <w:pPr>
        <w:ind w:left="1134" w:hanging="567"/>
        <w:rPr>
          <w:noProof/>
        </w:rPr>
      </w:pPr>
    </w:p>
    <w:p>
      <w:pPr>
        <w:ind w:left="1134" w:hanging="567"/>
        <w:rPr>
          <w:noProof/>
        </w:rPr>
      </w:pPr>
      <w:r>
        <w:rPr>
          <w:noProof/>
        </w:rPr>
        <w:br w:type="page"/>
        <w:t>n)</w:t>
      </w:r>
      <w:r>
        <w:rPr>
          <w:noProof/>
        </w:rPr>
        <w:tab/>
        <w:t>vývozné clá na tovar stanovené v položkách kategórie „B15*d“ postupného znižovania cla v zozname uvedenom v tomto dodatku zostanú na úrovni základnej sadzby päť rokov so začiatkom v deň nadobudnutia platnosti tejto dohody, v šiestom roku sa znížia na 25 % a na úrovni 25 % sa zachovajú až do uplynutia 16. roku; následne bude takýto tovar bez akéhokoľvek vývozného cla;</w:t>
      </w:r>
    </w:p>
    <w:p>
      <w:pPr>
        <w:ind w:left="1134" w:hanging="567"/>
        <w:rPr>
          <w:noProof/>
        </w:rPr>
      </w:pPr>
    </w:p>
    <w:p>
      <w:pPr>
        <w:ind w:left="1134" w:hanging="567"/>
        <w:rPr>
          <w:noProof/>
        </w:rPr>
      </w:pPr>
      <w:r>
        <w:rPr>
          <w:noProof/>
        </w:rPr>
        <w:t>o)</w:t>
      </w:r>
      <w:r>
        <w:rPr>
          <w:noProof/>
        </w:rPr>
        <w:tab/>
        <w:t>vývozné clá na tovar stanovené v položkách kategórie „B15*e“ postupného znižovania cla v zozname uvedenom v tomto dodatku zostanú na úrovni základnej sadzby päť rokov so začiatkom v deň nadobudnutia platnosti tejto dohody, v šiestom roku sa znížia na 35 % a na úrovni 35 % sa zachovajú až do uplynutia 10. roku; v 11. roku sa znížia na 30 % a na úrovni 30 % sa zachovajú až do uplynutia 16. roku; následne bude takýto tovar bez akéhokoľvek vývozného cla; a</w:t>
      </w:r>
    </w:p>
    <w:p>
      <w:pPr>
        <w:ind w:left="1134" w:hanging="567"/>
        <w:rPr>
          <w:noProof/>
        </w:rPr>
      </w:pPr>
    </w:p>
    <w:p>
      <w:pPr>
        <w:ind w:left="1134" w:hanging="567"/>
        <w:rPr>
          <w:noProof/>
        </w:rPr>
      </w:pPr>
      <w:r>
        <w:rPr>
          <w:noProof/>
        </w:rPr>
        <w:t>p)</w:t>
      </w:r>
      <w:r>
        <w:rPr>
          <w:noProof/>
        </w:rPr>
        <w:tab/>
        <w:t>vývozné clá na tovar stanovené v položkách kategórie „S“ postupného znižovania cla v zozname uvedenom v tomto dodatku zostanú na úrovni základnej sadzby so začiatkom v deň nadobudnutia platnosti tejto dohody.</w:t>
      </w:r>
    </w:p>
    <w:p>
      <w:pPr>
        <w:rPr>
          <w:noProof/>
        </w:rPr>
      </w:pPr>
    </w:p>
    <w:p>
      <w:pPr>
        <w:ind w:left="567" w:hanging="567"/>
        <w:rPr>
          <w:noProof/>
        </w:rPr>
      </w:pPr>
      <w:r>
        <w:rPr>
          <w:noProof/>
        </w:rPr>
        <w:t>2.</w:t>
      </w:r>
      <w:r>
        <w:rPr>
          <w:noProof/>
        </w:rPr>
        <w:tab/>
        <w:t>Základná sadzba vývozného cla a kategória postupného znižovania cla na určenie dočasnej sadzby vývozného cla položky v každej etape znižovania sú pre danú položku špecifikované v zozname vývozných ciel v tomto dodatku.</w:t>
      </w:r>
    </w:p>
    <w:p>
      <w:pPr>
        <w:rPr>
          <w:noProof/>
        </w:rPr>
      </w:pPr>
    </w:p>
    <w:p>
      <w:pPr>
        <w:ind w:left="567" w:hanging="567"/>
        <w:rPr>
          <w:noProof/>
        </w:rPr>
      </w:pPr>
      <w:r>
        <w:rPr>
          <w:noProof/>
        </w:rPr>
        <w:br w:type="page"/>
        <w:t>3.</w:t>
      </w:r>
      <w:r>
        <w:rPr>
          <w:noProof/>
        </w:rPr>
        <w:tab/>
        <w:t>V prípade zmien vietnamského zoznamu vývozných ciel sa záväzky podľa zoznamu vývozného cla v tomto dodatku uplatňujú na základe opisu tovaru bez ohľadu na jeho nomenklatúrne zatriedenie.</w:t>
      </w:r>
    </w:p>
    <w:p>
      <w:pPr>
        <w:rPr>
          <w:noProof/>
        </w:rPr>
      </w:pPr>
    </w:p>
    <w:p>
      <w:pPr>
        <w:ind w:left="567" w:hanging="567"/>
        <w:rPr>
          <w:noProof/>
        </w:rPr>
      </w:pPr>
      <w:r>
        <w:rPr>
          <w:noProof/>
        </w:rPr>
        <w:t>4.</w:t>
      </w:r>
      <w:r>
        <w:rPr>
          <w:noProof/>
        </w:rPr>
        <w:tab/>
        <w:t>Sadzby vývozných ciel v jednotlivých dočasných etapách sa zaokrúhlia nadol aspoň na najbližšiu desatinu percentuálneho bodu.</w:t>
      </w:r>
    </w:p>
    <w:p>
      <w:pPr>
        <w:ind w:left="567" w:hanging="567"/>
        <w:rPr>
          <w:noProof/>
        </w:rPr>
      </w:pPr>
    </w:p>
    <w:p>
      <w:pPr>
        <w:ind w:left="567" w:hanging="567"/>
        <w:rPr>
          <w:noProof/>
        </w:rPr>
      </w:pPr>
      <w:r>
        <w:rPr>
          <w:noProof/>
        </w:rPr>
        <w:t>5.</w:t>
      </w:r>
      <w:r>
        <w:rPr>
          <w:noProof/>
        </w:rPr>
        <w:tab/>
        <w:t>Na účely tohto dodatku prvé zníženie nadobudne účinnosť v deň nadobudnutia platnosti tejto dohody. Každé nasledujúce ročné zníženie nadobudne účinnosť 1. januára príslušného roku nasledujúceho po roku nadobudnutia platnosti.</w:t>
      </w:r>
    </w:p>
    <w:p>
      <w:pPr>
        <w:rPr>
          <w:noProof/>
        </w:rPr>
      </w:pPr>
    </w:p>
    <w:p>
      <w:pPr>
        <w:jc w:val="center"/>
        <w:rPr>
          <w:noProof/>
        </w:rPr>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endnotePr>
            <w:numFmt w:val="decimal"/>
          </w:endnotePr>
          <w:pgSz w:w="11907" w:h="16840" w:code="9"/>
          <w:pgMar w:top="1134" w:right="1134" w:bottom="1134" w:left="1134" w:header="1134" w:footer="1134" w:gutter="0"/>
          <w:pgNumType w:start="1"/>
          <w:cols w:space="720"/>
          <w:docGrid w:linePitch="326"/>
        </w:sectPr>
      </w:pPr>
    </w:p>
    <w:p>
      <w:pPr>
        <w:jc w:val="center"/>
        <w:rPr>
          <w:noProof/>
        </w:rPr>
      </w:pPr>
      <w:r>
        <w:rPr>
          <w:noProof/>
        </w:rPr>
        <w:t>Zoznam vývozných ciel Vietnamu</w:t>
      </w:r>
    </w:p>
    <w:p>
      <w:pPr>
        <w:jc w:val="center"/>
        <w:rPr>
          <w:noProof/>
        </w:rPr>
      </w:pPr>
    </w:p>
    <w:tbl>
      <w:tblPr>
        <w:tblW w:w="5000" w:type="pct"/>
        <w:tblLook w:val="04A0" w:firstRow="1" w:lastRow="0" w:firstColumn="1" w:lastColumn="0" w:noHBand="0" w:noVBand="1"/>
      </w:tblPr>
      <w:tblGrid>
        <w:gridCol w:w="1978"/>
        <w:gridCol w:w="7329"/>
        <w:gridCol w:w="1822"/>
        <w:gridCol w:w="1985"/>
        <w:gridCol w:w="1674"/>
      </w:tblGrid>
      <w:tr>
        <w:trPr>
          <w:trHeight w:val="227"/>
          <w:tblHeader/>
        </w:trPr>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60" w:after="60" w:line="240" w:lineRule="auto"/>
              <w:jc w:val="center"/>
              <w:rPr>
                <w:noProof/>
              </w:rPr>
            </w:pPr>
            <w:r>
              <w:rPr>
                <w:noProof/>
              </w:rPr>
              <w:t>HS 2012</w:t>
            </w:r>
          </w:p>
        </w:tc>
        <w:tc>
          <w:tcPr>
            <w:tcW w:w="2478" w:type="pct"/>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rPr>
            </w:pPr>
            <w:r>
              <w:rPr>
                <w:noProof/>
              </w:rPr>
              <w:t>Opis tovaru</w:t>
            </w:r>
          </w:p>
        </w:tc>
        <w:tc>
          <w:tcPr>
            <w:tcW w:w="616" w:type="pct"/>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rPr>
            </w:pPr>
            <w:r>
              <w:rPr>
                <w:noProof/>
              </w:rPr>
              <w:t>Základná sadzba (%)</w:t>
            </w:r>
          </w:p>
        </w:tc>
        <w:tc>
          <w:tcPr>
            <w:tcW w:w="671" w:type="pct"/>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rPr>
            </w:pPr>
            <w:r>
              <w:rPr>
                <w:noProof/>
              </w:rPr>
              <w:t>Konečná sadzba (%)</w:t>
            </w:r>
          </w:p>
        </w:tc>
        <w:tc>
          <w:tcPr>
            <w:tcW w:w="566" w:type="pct"/>
            <w:tcBorders>
              <w:top w:val="single" w:sz="4" w:space="0" w:color="auto"/>
              <w:left w:val="nil"/>
              <w:bottom w:val="single" w:sz="4" w:space="0" w:color="auto"/>
              <w:right w:val="single" w:sz="4" w:space="0" w:color="auto"/>
            </w:tcBorders>
            <w:shd w:val="clear" w:color="auto" w:fill="auto"/>
            <w:noWrap/>
            <w:vAlign w:val="center"/>
            <w:hideMark/>
          </w:tcPr>
          <w:p>
            <w:pPr>
              <w:spacing w:before="60" w:after="60" w:line="240" w:lineRule="auto"/>
              <w:jc w:val="center"/>
              <w:rPr>
                <w:noProof/>
              </w:rPr>
            </w:pPr>
            <w:r>
              <w:rPr>
                <w:noProof/>
              </w:rPr>
              <w:t>Kategória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1211.90.14</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Aquilaria crassna Pierre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1211.90.19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Aquilaria crassna Pierre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1211.90.98</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Aquilaria crassna Pierre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1211.90.99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Aquilaria crassna Pierre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Nepražený pyrit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Síra všetkých druhov, iná ako sublimovaná síra, zrážaná síra a koloidná síra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2504.10.00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V prášku alebo vo vločkách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2504.90.00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2505.10.00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Kremičité piesky a kremenné piesky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2506.10.00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Kremeň</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2506.20.00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Kremenec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2507.00.00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Kaolín a ostatné kaolínové íly, tiež kalcinované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Bentonit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Žiaruvzdorný íl (šamot)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2508.40.10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Fullerova hlinka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2508.40.90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2508.50.00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Andaluzit, kyanit a silimanit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2508.60.00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Mulit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2508.70.00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Šamotové alebo dinasové hlinky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2509.00.00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Krieda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2510.10.10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Apatit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2510.20.10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Mikroguľôčky s priemerom do 0,25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2510.20.10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Granule s priemerom nad 0,25 mm ale nepresahujúcim 15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2510.20.10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Prírodný síran bárnatý (ťaživec)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2511.20.00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Prírodný uhličitan bárnatý (witerit)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Kremičité fosílne múčky (napríklad kremelina, tripolit a diatomit) a podobné kremičité hlinky, tiež kalcinované, so zdanlivou špecifickou hmotnosťou 1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2513.10.00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Pemza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2513.20.00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Šmirgeľ, prírodný korund, prírodný granát a ostatné prírodné brúsivá</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Bridlica, tiež nahrubo opracovaná alebo len rozpílená alebo inak rozrezaná, na bloky alebo dosky pravouhlého (vrátane štvorcového) tvaru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2515.11.00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Surový alebo nahrubo opracovaný</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2515.12.10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Bloky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2515.12.20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Dosky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2515.20.00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Biely vápenec (biely mramor) v blokoch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2515.20.00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Surová alebo nahrubo opracovaná</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2516.12.10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Bloky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2516.12.20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Dosky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Surový alebo nahrubo opracovaný</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2516.20.20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Len rozpílený alebo inak rozrezaný, na bloky alebo dosky pravouhlého (vrátane štvorcového) tvaru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2516.90.00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 kamene na výtvarné alebo stavebné účely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Okruhliaky, štrk, lámaný alebo drvený kameň, druhu bežne používaného na betónové agregáty, štrkovanie ciest alebo železníc alebo podobné štrkopiesky, pazúrik a kremenné okruhliaky, tiež tepelne 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2517.20.00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Makadam z trosky, škvary alebo podobných priemyselných odpadov, tiež zmiešané s materiálmi uvedenými v podpoložke 2517.10</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Dechtový makadam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S rozmerom 1 – 400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14</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Prachový uhličitan vápenatý z kameňov v položke 2515, s rozmerom 0,125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Prachový uhličitan vápenatý vyrobený z kameňov v položke 25.15, s rozmerom nad 0,125 mm do menej ako 1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S rozmerom 1 – 400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14</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2517.49.00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2518.10.00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Dolomit nekalcinovaný alebo nesintrovaný</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2518.20.00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Dolomit kalcinovaný alebo sintrovaný</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2518.30.00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Dolomitové ubíjacie zmesi</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2519.10.00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Prírodný uhličitan horečnatý (magnezit)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2519.90.10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Tavená magnézia; spekaná (sintrovaná) magnézia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2519.90.20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2520.10.00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Sadrovec; anhydrit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2520.20.10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Druhu vhodného na použitie v zubnom lekárstve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2520.20.90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Vápencové tavidlo; vápenec a ostatné vápenaté kamene druhu používaného na výrobu vápna alebo cementu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17</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Vápno nehasené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2522.20.00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Vápno hasené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2522.30.00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Vápno hydraulické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2524.10.00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Krokydolit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2524.90.00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Nedrvený, nie práškový</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2526.20.10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Mastencový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2526.20.90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2528.00.00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Prírodné boritany a ich koncentráty (tiež kalcinované), ale okrem boritanov získaných z prírodnej soľanky; prírodná kyselina boritá obsahujúca najviac 85 % hmotnosti H</w:t>
            </w:r>
            <w:r>
              <w:rPr>
                <w:noProof/>
                <w:vertAlign w:val="subscript"/>
              </w:rPr>
              <w:t>3</w:t>
            </w:r>
            <w:r>
              <w:rPr>
                <w:noProof/>
              </w:rPr>
              <w:t>BO</w:t>
            </w:r>
            <w:r>
              <w:rPr>
                <w:noProof/>
                <w:vertAlign w:val="subscript"/>
              </w:rPr>
              <w:t>3</w:t>
            </w:r>
            <w:r>
              <w:rPr>
                <w:noProof/>
              </w:rPr>
              <w:t xml:space="preserve"> počítanej na čistú hmotnosť (sušinu)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2529.10.00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Živec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2529.21.00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Obsahujúci 97 hmotnostných % alebo menej fluoridu vápenatého</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2529.22.00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Obsahujúci viac ako 97 hmotnostných % fluoridu vápenatého</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2529.30.00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Leucit; nefelín a nefelinický syenit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2530.10.00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Vermikulit, perlit a chlority, neexpandované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2530.20.10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Kieserit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2530.20.20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Epsomit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2530.90.10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Kremičitany zirkónia druhu používaného ako kalivá</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2530.90.90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2601.11.00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Neaglomerované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2601.12.00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Aglomerované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2601.20.00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Pražené pyrity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Mangánové rudy a koncentráty, vrátane mangánových rúd a koncentrátov obsahujúcich železo s obsahom mangánu 20 hmotnostných % alebo viac, prepočítaného na čistú hmotnosť (sušinu)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Medené rudy a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2605.00.00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B15*d</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2605.00.00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2606.00.00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2606.00.00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2607.00.00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Olovené rudy a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2608.00.00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Zinkové rudy a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2609.00.00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2609.00.00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2610.00.00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Chrómové rudy a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2612.20.00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2612.20.00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2613.10.00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Pražené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2613.90.00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2613.90.00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2614.00.10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Redukcia ilmenitu (TiO</w:t>
            </w:r>
            <w:r>
              <w:rPr>
                <w:noProof/>
                <w:vertAlign w:val="subscript"/>
              </w:rPr>
              <w:t>2</w:t>
            </w:r>
            <w:r>
              <w:rPr>
                <w:noProof/>
              </w:rPr>
              <w:t xml:space="preserve"> ≥ 56 % a FeO ≤ 11 %)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2614.00.10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Ilmenitové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2614.00.10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B15*e</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2614.00.90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Rutilové koncentráty 83 % ≤ TiO</w:t>
            </w:r>
            <w:r>
              <w:rPr>
                <w:noProof/>
                <w:vertAlign w:val="subscript"/>
              </w:rPr>
              <w:t>2</w:t>
            </w:r>
            <w:r>
              <w:rPr>
                <w:noProof/>
              </w:rPr>
              <w:t xml:space="preserve"> ≤ 87 %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2614.00.90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40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B15*e</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Zirkóniový prášok s rozmerom menším ako 75 µm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B15*d</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B15*d</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2616.90.00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Zlaté rudy a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2616.90.00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2616.90.00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2617.10.00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B15*d</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2617.10.00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2617.90.00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Neupravené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2617.90.00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Koncentráty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2621.90.00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Troska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B12*</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2701.11.00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Antracit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2701.12.10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Koksovateľné uhlie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2701.12.90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2701.19.00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 Ostatné uhlie</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pageBreakBefore/>
              <w:spacing w:before="60" w:after="60" w:line="240" w:lineRule="auto"/>
              <w:rPr>
                <w:noProof/>
              </w:rPr>
            </w:pPr>
            <w:r>
              <w:rPr>
                <w:noProof/>
              </w:rPr>
              <w:t>2701.20.00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Brikety, bulety a podobné tuhé palivá vyrobené z čierneho uhlia</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2702.10.00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Hnedé uhlie, tiež v prášku, ale neaglomerované</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15</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2702.20.00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Aglomerované hnedé uhlie</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15</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2703.00.10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Rašelina, tiež lisovaná v baloch, ale neaglomerovaná</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15</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2703.00.20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Aglomerovaná rašelina</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15</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2704.00.10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Koks a polokoks z čierneho uhlia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13</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2704.00.20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Koks a polokoks z hnedého uhlia alebo rašeliny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13</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2704.00.30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Retortové uhlie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13</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2709.00.10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Surové ropné oleje</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2709.00.20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Kondenzáty</w:t>
            </w:r>
          </w:p>
        </w:tc>
        <w:tc>
          <w:tcPr>
            <w:tcW w:w="616"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10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2804.70.00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Fosfor</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2817.00.10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Oxid zinočnatý v prášku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2823.00.00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Titánová troska (TiO</w:t>
            </w:r>
            <w:r>
              <w:rPr>
                <w:noProof/>
                <w:vertAlign w:val="subscript"/>
              </w:rPr>
              <w:t>2</w:t>
            </w:r>
            <w:r>
              <w:rPr>
                <w:noProof/>
              </w:rPr>
              <w:t xml:space="preserve"> ≥ 85 %, FeO ≤ 10 %)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2823.00.00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Titánová troska (70 % ≤ TiO</w:t>
            </w:r>
            <w:r>
              <w:rPr>
                <w:noProof/>
                <w:vertAlign w:val="subscript"/>
              </w:rPr>
              <w:t>2</w:t>
            </w:r>
            <w:r>
              <w:rPr>
                <w:noProof/>
              </w:rPr>
              <w:t xml:space="preserve"> &lt; 85 %, FeO ≤ 10 %)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2823.00.00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Rutil (TiO</w:t>
            </w:r>
            <w:r>
              <w:rPr>
                <w:noProof/>
                <w:vertAlign w:val="subscript"/>
              </w:rPr>
              <w:t>2</w:t>
            </w:r>
            <w:r>
              <w:rPr>
                <w:noProof/>
              </w:rPr>
              <w:t xml:space="preserve"> &gt; 87 %)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3824.90.99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Prachový uhličitan vápenatý impregnovaný kyselinou stearovou, vyrobený z kameňov v položke 25.15, s rozmerom menej ako 1 mm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Latex</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4002.19.10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V primárnych formách alebo v nevulkanizovaných, nezmiešaných platniach, listoch alebo pásoch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4002.19.90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V primárnych formách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4002.31.10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Nevulkanizované, nezmiešané platne, listy alebo pásy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4002.31.90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4002.39.10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Nevulkanizované, nezmiešané platne, listy alebo pásy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4002.39.90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4002.41.00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Latex</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4002.49.10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V primárnych formách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4002.49.90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4002.51.00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Latex</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4002.59.10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V primárnych formách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4002.59.90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4002.60.10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V primárnych formách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4002.60.90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4002.70.10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V primárnych formách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4002.70.90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4002.80.10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Zmesi prírodného kaučukového latexu so syntetickým kaučukovým latexom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4002.80.90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4002.91.00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Latex</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4002.99.20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Zo syntetického kaučukového latexu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4002.99.90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Zo syntetického kaučukového latexu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 prírodných gúm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4005.10.90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Roztoky; disperzie iné ako podpoložky 4005.10</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4005.91.10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Z prírodných gúm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4005.91.90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4005.99.10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Latex</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4005.99.90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4101.20.10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Predčinené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4101.20.90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4101.50.10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Predčinené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4101.50.90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4101.90.10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Predčinené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4101.90.90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 vlnou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4102.21.00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Piklované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4102.29.10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Predčinené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4102.29.90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4103.20.10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4103.20.90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4103.30.00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Zo svíň</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4103.90.00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Palivové drevo, v polenách, klátoch, konároch, viazaniciach alebo podobných formách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Z bambusu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4402.90.90</w:t>
            </w:r>
          </w:p>
        </w:tc>
        <w:tc>
          <w:tcPr>
            <w:tcW w:w="2478" w:type="pct"/>
            <w:tcBorders>
              <w:top w:val="nil"/>
              <w:left w:val="nil"/>
              <w:bottom w:val="single" w:sz="4" w:space="0" w:color="auto"/>
              <w:right w:val="single" w:sz="4" w:space="0" w:color="auto"/>
            </w:tcBorders>
            <w:shd w:val="clear" w:color="000000" w:fill="FFFFFF"/>
            <w:hideMark/>
          </w:tcPr>
          <w:p>
            <w:pPr>
              <w:spacing w:before="60" w:after="60" w:line="240" w:lineRule="auto"/>
              <w:rPr>
                <w:noProof/>
              </w:rPr>
            </w:pPr>
            <w:r>
              <w:rPr>
                <w:noProof/>
              </w:rPr>
              <w:t>– – Drevné uhlie vyrobené z dreva z vysadených lesov</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000000" w:fill="FFFFFF"/>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4402.90.90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4403.10.90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4403.41.10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4403.41.90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4403.49.10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4403.49.90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4403.91.10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4403.91.90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4403.92.10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4403.92.90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4403.99.10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Drevené hranoly, piliarska guľatina a dyhárske výrezy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4403.99.90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4404.10.00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Ihličnaté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4404.20.10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Drevné lubky, doštičky a pásiky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4404.20.90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Neimpregnované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4406.90.00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4407.25.11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4407.25.11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4407.25.19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4407.25.19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4407.25.21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4407.25.21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4407.25.29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4407.25.29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4407.26.10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4407.26.10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4407.26.90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4407.26.90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4407.27.10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4407.27.10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4407.27.90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4407.27.90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4407.28.10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4407.28.10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4407.28.90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4407.28.90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4407.29.11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4407.29.11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4407.29.19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4407.29.19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4407.29.21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4407.29.21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4407.29.29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4407.29.29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4407.29.31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4407.29.31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4407.29.39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4407.29.39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4407.29.41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4407.29.41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4407.29.49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4407.29.49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4407.29.51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4407.29.51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4407.29.59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4407.29.59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4407.29.61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4407.29.61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4407.29.69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4407.29.69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4407.29.71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4407.29.71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4407.29.79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4407.29.79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4407.29.81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4407.29.81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4407.29.89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4407.29.89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4407.29.91</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4407.29.92</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4407.29.92</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4407.29.93</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4407.29.93</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4407.29.99</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4407.91.90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4407.92.10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4407.92.90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4407.93.10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4407.93.10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4407.93.90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4407.93.90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4407.94.10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4407.94.10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4407.94.90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4407.94.90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4407.95.10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4407.95.10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4407.95.90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4407.95.90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4407.99.10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S hrúbkou 30 mm alebo menej, šírkou 95 mm alebo menej, dĺžkou 1 050 mm alebo menej</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4407.99.90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Doštičky z cédrového dreva druhu používaného na výrobu ceruziek; drevo borovice lúčovitej Pinus radiata druhu používaného na výrobu latovky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4408.10.30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Listy dekoračných dýh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4408.10.90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4408.31.00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Tmavočervené meranti, svetločervené meranti a meranti bakau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4408.39.10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Doštičky z dreva jelutong druhu používaného na výrobu ceruziek;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4408.39.90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4408.90.00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4409.10.00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Ihličnaté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4409.21.00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 bambusu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4409.29.00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Neopracované alebo jednoducho rezané, štiepané alebo nahrubo brúsené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Neopracované alebo jednoducho rezané, štiepané alebo nahrubo brúsené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7102.31.00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Neopracované alebo jednoducho rezané, štiepané alebo nahrubo brúsené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7102.39.00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7103.10.10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Rubíny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7103.10.20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Jade (nefrit a jadeit)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7103.10.90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Ostatné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7103.91.10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Rubíny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7103.91.90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Ostatné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7103.99.00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7104.10.10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Neopracované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7104.10.20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Opracované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7104.20.00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 neopracované alebo jednoducho rezané alebo hrubo tvarované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7104.90.00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7105.10.00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Z diamantov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3</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Prach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7106.91.00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Netepané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7106.92.00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7108.11.00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Prach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7108.12.00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 netepané formy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7108.13.00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7108.20.00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Na monetárne účely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7113.19.10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Zo zlata, s obsahom zlata 95 % alebo viac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7113.19.90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Zo zlata, s obsahom zlata 95 % alebo viac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7114.19.00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Zo zlata, tiež plátovaného alebo pokovovaného ostatnými drahými kovmi, s obsahom zlata 95 % alebo viac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7115.90.10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Zo zlata, tiež plátovaného alebo pokovovaného ostatnými drahými kovmi, s obsahom zlata 95 % alebo viac</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2</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S</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Liatinové odpady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 nehrdzavejúcej ocele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Odpady a šrot z pocínovaného železa alebo ocele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7204.49.00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7204.50.00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Pretavené odpady v ingotoch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17</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B15*b</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7401.00.00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Medený kamienok (lech)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Čistá rafinovaná meď</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Ostatná</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Predliatky na valcovanie drôtu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7403.13.00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Predliatky (sochory)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7403.19.00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Zliatiny na základe medi a zinku (mosadze)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7403.22.00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Zliatiny na základe medi a cínu (bronz)</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7403.29.00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 zliatiny medi (okrem predzliatin položky 7405)</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B15*c</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7405.00.00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Predzliatiny medi</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7406.10.00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 s nelamelárnou štruktúrou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7406.20.00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 s lamelárnou štruktúrou; vločky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7407.10.30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Profily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7407.10.40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Tyče a prúty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7407.21.00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Zo zliatin na základe medi a zinku (mosadz)</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7407.29.00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Niklový kamienok (lech)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Nelegovaný nikel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7502.20.00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Zliatiny niklu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Niklový odpad a niklový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Niklový prášok a niklové vločky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7505.11.00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 nelegovaného niklu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7505.12.00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Zo zliatin niklu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spacing w:before="60" w:after="60" w:line="240" w:lineRule="auto"/>
              <w:rPr>
                <w:noProof/>
              </w:rPr>
            </w:pPr>
            <w:r>
              <w:rPr>
                <w:noProof/>
              </w:rPr>
              <w:t>7601.10.00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000000" w:fill="FFFFFF"/>
            <w:hideMark/>
          </w:tcPr>
          <w:p>
            <w:pPr>
              <w:pageBreakBefore/>
              <w:spacing w:before="60" w:after="60" w:line="240" w:lineRule="auto"/>
              <w:rPr>
                <w:noProof/>
              </w:rPr>
            </w:pPr>
            <w:r>
              <w:rPr>
                <w:noProof/>
              </w:rPr>
              <w:t>7601.20.00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7602.00.00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B15*c</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7603.10.00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 s nelamelárnou štruktúrou</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7603.20.00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 s lamelárnou štruktúrou; vločky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7801.91.00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7801.99.00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7804.20.00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 a vločky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7806.00.20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Tyče, prúty, profily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7901.11.00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7901.12.00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7901.20.00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7902.00.00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7903.10.00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Zinkový prach</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7903.90.00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7904.00.00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Tyče, prúty, profily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8001.20.00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Ingoty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10</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8002.00.00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8003.00.10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Cínové tyče na (mäkké) spájkovanie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8003.00.90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Cínové tyče, prúty, profily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8007.00.30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Prášok a vločky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B5*a</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8101.10.00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8101.94.00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Surový volfrám, vrátane tyčí a prútov získaných jednoduchým spekaním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8101.96.00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Drôty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8101.97.00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Odpad a šrot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8101.99.10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Tyče a prúty, iné ako získané jednoduchým spekaním, profily, plechy, pásy a fólie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8101.99.90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8102.10.00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8102.94.00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Surový molybdén, vrátane tyčí a prútov získaných jednoduchým spekaním</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8102.95.00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Tyče a prúty, iné ako získané jednoduchým spekaním, profily, dosky, plechy, pásy a fólie</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8102.96.00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Drôty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8102.97.00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8102.99.00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8103.20.00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Surový tantal, vrátane tyčí a prútov získaných jednoduchým spekaním;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8103.30.00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8103.90.00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8104.11.00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Obsahujúci najmenej 99,8 % hmotnosti horčíka</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8104.19.00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8104.20.00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8104.30.00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Piliny, triesky a granuly, triedené podľa veľkosti;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8104.90.00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15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8105.20.10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Surový kobalt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8105.20.90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8105.20.90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8105.30.00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8105.90.00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B7*</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8106.00.10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8106.00.10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8106.00.90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8106.00.90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8107.20.00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Surové kadmium;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8107.30.00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8107.90.00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8107.90.00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8108.20.00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Surový titán;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8108.30.00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8108.90.00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8108.90.00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8109.20.00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Surové zirkónium;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8109.30.00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8109.90.00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8109.90.00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8110.10.00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Surový antimón; prášok</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8110.20.00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8110.90.00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8110.90.00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Odpad a šrot</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8111.00.00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8112.12.00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Surové; prášok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8112.13.00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Odpad a šrot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8112.19.00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8112.19.00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Ostatné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8112.21.00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Surový; prášok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8112.22.00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Odpad a šrot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8112.29.00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Ostatné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8112.51.00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Surové; prášok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8112.52.00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Odpad a šrot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8112.59.00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8112.59.00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Ostatné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8112.92.00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 Surové; odpad a šrot; prášok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8112.92.00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8112.99.00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8112.99.00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xml:space="preserve">– – Odpad a šrot </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22</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B15</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Polotovary</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r>
        <w:trPr>
          <w:trHeight w:val="227"/>
        </w:trPr>
        <w:tc>
          <w:tcPr>
            <w:tcW w:w="669"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8113.00.00</w:t>
            </w:r>
          </w:p>
        </w:tc>
        <w:tc>
          <w:tcPr>
            <w:tcW w:w="2478"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c>
          <w:tcPr>
            <w:tcW w:w="616"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5</w:t>
            </w:r>
          </w:p>
        </w:tc>
        <w:tc>
          <w:tcPr>
            <w:tcW w:w="671"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0</w:t>
            </w:r>
          </w:p>
        </w:tc>
        <w:tc>
          <w:tcPr>
            <w:tcW w:w="566" w:type="pct"/>
            <w:tcBorders>
              <w:top w:val="nil"/>
              <w:left w:val="nil"/>
              <w:bottom w:val="single" w:sz="4" w:space="0" w:color="auto"/>
              <w:right w:val="single" w:sz="4" w:space="0" w:color="auto"/>
            </w:tcBorders>
            <w:shd w:val="clear" w:color="auto" w:fill="auto"/>
            <w:noWrap/>
            <w:hideMark/>
          </w:tcPr>
          <w:p>
            <w:pPr>
              <w:spacing w:before="60" w:after="60" w:line="240" w:lineRule="auto"/>
              <w:rPr>
                <w:noProof/>
              </w:rPr>
            </w:pPr>
            <w:r>
              <w:rPr>
                <w:noProof/>
              </w:rPr>
              <w:t>B10*</w:t>
            </w:r>
          </w:p>
        </w:tc>
      </w:tr>
    </w:tbl>
    <w:p>
      <w:pPr>
        <w:rPr>
          <w:rFonts w:eastAsia="Calibri"/>
          <w:noProof/>
        </w:rPr>
      </w:pPr>
    </w:p>
    <w:p>
      <w:pPr>
        <w:rPr>
          <w:noProof/>
        </w:rPr>
        <w:sectPr>
          <w:headerReference w:type="even" r:id="rId22"/>
          <w:headerReference w:type="default" r:id="rId23"/>
          <w:footerReference w:type="even" r:id="rId24"/>
          <w:footerReference w:type="default" r:id="rId25"/>
          <w:headerReference w:type="first" r:id="rId26"/>
          <w:footerReference w:type="first" r:id="rId27"/>
          <w:footnotePr>
            <w:numRestart w:val="eachPage"/>
          </w:footnotePr>
          <w:endnotePr>
            <w:numFmt w:val="decimal"/>
          </w:endnotePr>
          <w:pgSz w:w="16840" w:h="11907" w:orient="landscape" w:code="9"/>
          <w:pgMar w:top="1134" w:right="1134" w:bottom="1134" w:left="1134" w:header="1134" w:footer="1134" w:gutter="0"/>
          <w:cols w:space="720"/>
          <w:docGrid w:linePitch="326"/>
        </w:sectPr>
      </w:pPr>
    </w:p>
    <w:p>
      <w:pPr>
        <w:jc w:val="right"/>
        <w:rPr>
          <w:b/>
          <w:bCs/>
          <w:noProof/>
          <w:u w:val="single"/>
        </w:rPr>
      </w:pPr>
      <w:r>
        <w:rPr>
          <w:b/>
          <w:noProof/>
          <w:u w:val="single"/>
        </w:rPr>
        <w:t>Dodatok 2-A-4</w:t>
      </w:r>
    </w:p>
    <w:p>
      <w:pPr>
        <w:rPr>
          <w:noProof/>
        </w:rPr>
      </w:pPr>
    </w:p>
    <w:p>
      <w:pPr>
        <w:rPr>
          <w:noProof/>
        </w:rPr>
      </w:pPr>
    </w:p>
    <w:p>
      <w:pPr>
        <w:jc w:val="center"/>
        <w:rPr>
          <w:noProof/>
        </w:rPr>
      </w:pPr>
      <w:r>
        <w:rPr>
          <w:noProof/>
        </w:rPr>
        <w:t xml:space="preserve">Osobitné opatrenia Vietnamu, </w:t>
      </w:r>
      <w:r>
        <w:rPr>
          <w:noProof/>
        </w:rPr>
        <w:br/>
        <w:t>ktorými sa riadi dovoz a vývoz tovaru</w:t>
      </w:r>
    </w:p>
    <w:p>
      <w:pPr>
        <w:rPr>
          <w:noProof/>
        </w:rPr>
      </w:pPr>
    </w:p>
    <w:p>
      <w:pPr>
        <w:rPr>
          <w:noProof/>
        </w:rPr>
      </w:pPr>
      <w:r>
        <w:rPr>
          <w:noProof/>
        </w:rPr>
        <w:t>a)</w:t>
      </w:r>
      <w:r>
        <w:rPr>
          <w:noProof/>
        </w:rPr>
        <w:tab/>
        <w:t>Opatrenia Vietnamu, ktorými sa riadi dovoz tohto tovaru:</w:t>
      </w:r>
    </w:p>
    <w:p>
      <w:pPr>
        <w:rPr>
          <w:noProof/>
        </w:rPr>
      </w:pPr>
    </w:p>
    <w:p>
      <w:pPr>
        <w:ind w:left="567"/>
        <w:rPr>
          <w:noProof/>
        </w:rPr>
      </w:pPr>
      <w:r>
        <w:rPr>
          <w:noProof/>
        </w:rPr>
        <w:t>Opis tovaru</w:t>
      </w:r>
    </w:p>
    <w:p>
      <w:pPr>
        <w:ind w:left="567"/>
        <w:rPr>
          <w:noProof/>
        </w:rPr>
      </w:pPr>
    </w:p>
    <w:p>
      <w:pPr>
        <w:ind w:left="567"/>
        <w:rPr>
          <w:noProof/>
        </w:rPr>
      </w:pPr>
      <w:r>
        <w:rPr>
          <w:noProof/>
        </w:rPr>
        <w:t>Vozidlá s volantom na pravej strane (vrátane ich súčastí a vozidiel prerobených na ľavostranné riadenie pred dovozom do Vietnamu), okrem špecializovaných vozidiel s volantom na pravej strane prevádzkovaných na malých plochách, napr. žeriavov, strojov na kopanie rýh a kanálov, vozidiel na odpad, cestných zametačov, cestných stavebných mechanizmov, letiskových autobusov, vysokozdvižných vozíkov používaných v skladoch a prístavoch.</w:t>
      </w:r>
    </w:p>
    <w:p>
      <w:pPr>
        <w:ind w:left="567"/>
        <w:rPr>
          <w:noProof/>
        </w:rPr>
      </w:pPr>
    </w:p>
    <w:p>
      <w:pPr>
        <w:ind w:left="567"/>
        <w:rPr>
          <w:noProof/>
        </w:rPr>
      </w:pPr>
      <w:r>
        <w:rPr>
          <w:noProof/>
        </w:rPr>
        <w:t>Použitý spotrebný tovar zahŕňajúci:</w:t>
      </w:r>
    </w:p>
    <w:p>
      <w:pPr>
        <w:ind w:left="567" w:hanging="567"/>
        <w:rPr>
          <w:noProof/>
        </w:rPr>
      </w:pPr>
    </w:p>
    <w:p>
      <w:pPr>
        <w:ind w:left="1134" w:hanging="567"/>
        <w:rPr>
          <w:noProof/>
        </w:rPr>
      </w:pPr>
      <w:r>
        <w:rPr>
          <w:noProof/>
        </w:rPr>
        <w:sym w:font="Symbol" w:char="F02D"/>
      </w:r>
      <w:r>
        <w:rPr>
          <w:noProof/>
        </w:rPr>
        <w:tab/>
        <w:t>textil a odevy, obuv,</w:t>
      </w:r>
    </w:p>
    <w:p>
      <w:pPr>
        <w:ind w:left="1134" w:hanging="567"/>
        <w:rPr>
          <w:noProof/>
        </w:rPr>
      </w:pPr>
    </w:p>
    <w:p>
      <w:pPr>
        <w:ind w:left="1134" w:hanging="567"/>
        <w:rPr>
          <w:noProof/>
        </w:rPr>
      </w:pPr>
      <w:r>
        <w:rPr>
          <w:noProof/>
        </w:rPr>
        <w:br w:type="page"/>
      </w:r>
      <w:r>
        <w:rPr>
          <w:noProof/>
        </w:rPr>
        <w:sym w:font="Symbol" w:char="F02D"/>
      </w:r>
      <w:r>
        <w:rPr>
          <w:noProof/>
        </w:rPr>
        <w:tab/>
        <w:t>elektronický tovar (vrátane tlačiarní, faxov, prenosných počítačov starších ako 3 roky od dátumu výroby, diskových pamäťových jednotiek),</w:t>
      </w:r>
    </w:p>
    <w:p>
      <w:pPr>
        <w:ind w:left="1134" w:hanging="567"/>
        <w:rPr>
          <w:noProof/>
        </w:rPr>
      </w:pPr>
    </w:p>
    <w:p>
      <w:pPr>
        <w:ind w:left="1134" w:hanging="567"/>
        <w:rPr>
          <w:noProof/>
        </w:rPr>
      </w:pPr>
      <w:r>
        <w:rPr>
          <w:noProof/>
        </w:rPr>
        <w:sym w:font="Symbol" w:char="F02D"/>
      </w:r>
      <w:r>
        <w:rPr>
          <w:noProof/>
        </w:rPr>
        <w:tab/>
        <w:t>chladiace zariadenia a výrobky,</w:t>
      </w:r>
    </w:p>
    <w:p>
      <w:pPr>
        <w:ind w:left="1134" w:hanging="567"/>
        <w:rPr>
          <w:noProof/>
        </w:rPr>
      </w:pPr>
    </w:p>
    <w:p>
      <w:pPr>
        <w:ind w:left="1134" w:hanging="567"/>
        <w:rPr>
          <w:noProof/>
        </w:rPr>
      </w:pPr>
      <w:r>
        <w:rPr>
          <w:noProof/>
        </w:rPr>
        <w:sym w:font="Symbol" w:char="F02D"/>
      </w:r>
      <w:r>
        <w:rPr>
          <w:noProof/>
        </w:rPr>
        <w:tab/>
        <w:t>elektrický tovar pre domácnosť,</w:t>
      </w:r>
    </w:p>
    <w:p>
      <w:pPr>
        <w:ind w:left="1134" w:hanging="567"/>
        <w:rPr>
          <w:noProof/>
        </w:rPr>
      </w:pPr>
    </w:p>
    <w:p>
      <w:pPr>
        <w:ind w:left="1134" w:hanging="567"/>
        <w:rPr>
          <w:noProof/>
        </w:rPr>
      </w:pPr>
      <w:r>
        <w:rPr>
          <w:noProof/>
        </w:rPr>
        <w:sym w:font="Symbol" w:char="F02D"/>
      </w:r>
      <w:r>
        <w:rPr>
          <w:noProof/>
        </w:rPr>
        <w:tab/>
        <w:t>lekárske prístroje,</w:t>
      </w:r>
    </w:p>
    <w:p>
      <w:pPr>
        <w:ind w:left="1134" w:hanging="567"/>
        <w:rPr>
          <w:noProof/>
        </w:rPr>
      </w:pPr>
    </w:p>
    <w:p>
      <w:pPr>
        <w:ind w:left="1134" w:hanging="567"/>
        <w:rPr>
          <w:noProof/>
        </w:rPr>
      </w:pPr>
      <w:r>
        <w:rPr>
          <w:noProof/>
        </w:rPr>
        <w:sym w:font="Symbol" w:char="F02D"/>
      </w:r>
      <w:r>
        <w:rPr>
          <w:noProof/>
        </w:rPr>
        <w:tab/>
        <w:t>nábytok,</w:t>
      </w:r>
    </w:p>
    <w:p>
      <w:pPr>
        <w:ind w:left="1134" w:hanging="567"/>
        <w:rPr>
          <w:noProof/>
        </w:rPr>
      </w:pPr>
    </w:p>
    <w:p>
      <w:pPr>
        <w:ind w:left="1134" w:hanging="567"/>
        <w:rPr>
          <w:noProof/>
        </w:rPr>
      </w:pPr>
      <w:r>
        <w:rPr>
          <w:noProof/>
        </w:rPr>
        <w:sym w:font="Symbol" w:char="F02D"/>
      </w:r>
      <w:r>
        <w:rPr>
          <w:noProof/>
        </w:rPr>
        <w:tab/>
        <w:t>tovar pre domácnosť vyrobený z porcelánu, ílu, skla, kovu, živice, gumy, plastu a iných materiálov.</w:t>
      </w:r>
    </w:p>
    <w:p>
      <w:pPr>
        <w:ind w:left="567"/>
        <w:rPr>
          <w:noProof/>
        </w:rPr>
      </w:pPr>
    </w:p>
    <w:p>
      <w:pPr>
        <w:ind w:left="567"/>
        <w:rPr>
          <w:noProof/>
        </w:rPr>
      </w:pPr>
      <w:r>
        <w:rPr>
          <w:noProof/>
        </w:rPr>
        <w:t>Použité vozidlá a náhradné diely zahŕňajúce:</w:t>
      </w:r>
    </w:p>
    <w:p>
      <w:pPr>
        <w:ind w:left="567"/>
        <w:rPr>
          <w:noProof/>
        </w:rPr>
      </w:pPr>
    </w:p>
    <w:p>
      <w:pPr>
        <w:ind w:left="1134" w:hanging="567"/>
        <w:rPr>
          <w:noProof/>
        </w:rPr>
      </w:pPr>
      <w:r>
        <w:rPr>
          <w:noProof/>
        </w:rPr>
        <w:sym w:font="Symbol" w:char="F02D"/>
      </w:r>
      <w:r>
        <w:rPr>
          <w:noProof/>
        </w:rPr>
        <w:tab/>
        <w:t>použité motorové vozidlá staršie ako päť rokov od dátumu výroby;</w:t>
      </w:r>
    </w:p>
    <w:p>
      <w:pPr>
        <w:ind w:left="1134" w:hanging="567"/>
        <w:rPr>
          <w:noProof/>
        </w:rPr>
      </w:pPr>
    </w:p>
    <w:p>
      <w:pPr>
        <w:ind w:left="1134" w:hanging="567"/>
        <w:rPr>
          <w:noProof/>
        </w:rPr>
      </w:pPr>
      <w:r>
        <w:rPr>
          <w:noProof/>
        </w:rPr>
        <w:sym w:font="Symbol" w:char="F02D"/>
      </w:r>
      <w:r>
        <w:rPr>
          <w:noProof/>
        </w:rPr>
        <w:tab/>
        <w:t>použité stroje, konštrukcie, duše a plášte pneumatík, príslušenstvo, motory automobilov, traktory, 2-kolesové a 3-kolesové motocykle;</w:t>
      </w:r>
    </w:p>
    <w:p>
      <w:pPr>
        <w:ind w:left="1134" w:hanging="567"/>
        <w:rPr>
          <w:noProof/>
        </w:rPr>
      </w:pPr>
    </w:p>
    <w:p>
      <w:pPr>
        <w:ind w:left="1134" w:hanging="567"/>
        <w:rPr>
          <w:noProof/>
        </w:rPr>
      </w:pPr>
      <w:r>
        <w:rPr>
          <w:noProof/>
        </w:rPr>
        <w:br w:type="page"/>
      </w:r>
      <w:r>
        <w:rPr>
          <w:noProof/>
        </w:rPr>
        <w:sym w:font="Symbol" w:char="F02D"/>
      </w:r>
      <w:r>
        <w:rPr>
          <w:noProof/>
        </w:rPr>
        <w:tab/>
        <w:t>motory s vnútorným spaľovaním a stroje s motorom s vnútorným spaľovaním s výkonom nižším ako 30 k; a</w:t>
      </w:r>
    </w:p>
    <w:p>
      <w:pPr>
        <w:ind w:left="1134" w:hanging="567"/>
        <w:rPr>
          <w:noProof/>
        </w:rPr>
      </w:pPr>
    </w:p>
    <w:p>
      <w:pPr>
        <w:ind w:left="1134" w:hanging="567"/>
        <w:rPr>
          <w:noProof/>
        </w:rPr>
      </w:pPr>
      <w:r>
        <w:rPr>
          <w:noProof/>
        </w:rPr>
        <w:sym w:font="Symbol" w:char="F02D"/>
      </w:r>
      <w:r>
        <w:rPr>
          <w:noProof/>
        </w:rPr>
        <w:tab/>
        <w:t>bicykle, 2-kolesové a 3-kolesové vozidlá.</w:t>
      </w:r>
    </w:p>
    <w:p>
      <w:pPr>
        <w:ind w:left="567"/>
        <w:rPr>
          <w:noProof/>
        </w:rPr>
      </w:pPr>
    </w:p>
    <w:p>
      <w:pPr>
        <w:ind w:left="567"/>
        <w:rPr>
          <w:noProof/>
        </w:rPr>
      </w:pPr>
      <w:r>
        <w:rPr>
          <w:noProof/>
        </w:rPr>
        <w:t>Výrobky z azbestu a z materiálov skupiny amfibolu.</w:t>
      </w:r>
    </w:p>
    <w:p>
      <w:pPr>
        <w:ind w:left="567"/>
        <w:rPr>
          <w:noProof/>
        </w:rPr>
      </w:pPr>
    </w:p>
    <w:p>
      <w:pPr>
        <w:ind w:left="567"/>
        <w:rPr>
          <w:noProof/>
        </w:rPr>
      </w:pPr>
      <w:r>
        <w:rPr>
          <w:noProof/>
        </w:rPr>
        <w:t>Všetky typy špecializovaných kódovacích strojov a programov šifrovacieho softvéru používaných v sektore ochrany štátneho tajomstva.</w:t>
      </w:r>
    </w:p>
    <w:p>
      <w:pPr>
        <w:rPr>
          <w:noProof/>
        </w:rPr>
      </w:pPr>
    </w:p>
    <w:p>
      <w:pPr>
        <w:rPr>
          <w:noProof/>
        </w:rPr>
      </w:pPr>
      <w:r>
        <w:rPr>
          <w:noProof/>
        </w:rPr>
        <w:t>b)</w:t>
      </w:r>
      <w:r>
        <w:rPr>
          <w:noProof/>
        </w:rPr>
        <w:tab/>
        <w:t>Opatrenia Vietnamu, ktorými sa riadi vývoz tohto tovaru:</w:t>
      </w:r>
    </w:p>
    <w:p>
      <w:pPr>
        <w:rPr>
          <w:noProof/>
        </w:rPr>
      </w:pPr>
    </w:p>
    <w:p>
      <w:pPr>
        <w:ind w:left="567"/>
        <w:rPr>
          <w:noProof/>
        </w:rPr>
      </w:pPr>
      <w:r>
        <w:rPr>
          <w:noProof/>
        </w:rPr>
        <w:t>Opis tovaru</w:t>
      </w:r>
    </w:p>
    <w:p>
      <w:pPr>
        <w:ind w:left="567"/>
        <w:rPr>
          <w:noProof/>
        </w:rPr>
      </w:pPr>
    </w:p>
    <w:p>
      <w:pPr>
        <w:ind w:left="567"/>
        <w:rPr>
          <w:noProof/>
        </w:rPr>
      </w:pPr>
      <w:r>
        <w:rPr>
          <w:noProof/>
        </w:rPr>
        <w:t>Guľatina a rezivo vyťažené z domácich prírodných lesov; výrobky z dreva (okrem umeleckých; vyrobených z dreva z obhospodarovaných lesov, z dovezeného dreva a z umelých paliet).</w:t>
      </w:r>
    </w:p>
    <w:p>
      <w:pPr>
        <w:ind w:left="567"/>
        <w:rPr>
          <w:noProof/>
        </w:rPr>
      </w:pPr>
    </w:p>
    <w:p>
      <w:pPr>
        <w:ind w:left="567"/>
        <w:rPr>
          <w:noProof/>
        </w:rPr>
      </w:pPr>
      <w:r>
        <w:rPr>
          <w:noProof/>
        </w:rPr>
        <w:t>Všetky typy špecializovaných kódovacích strojov a programov šifrovacieho softvéru používaných v sektore ochrany štátneho tajomstva.</w:t>
      </w:r>
    </w:p>
    <w:p>
      <w:pPr>
        <w:rPr>
          <w:noProof/>
        </w:rPr>
      </w:pPr>
    </w:p>
    <w:p>
      <w:pPr>
        <w:rPr>
          <w:rFonts w:eastAsia="Calibri"/>
          <w:noProof/>
        </w:rPr>
      </w:pPr>
    </w:p>
    <w:p>
      <w:pPr>
        <w:rPr>
          <w:noProof/>
        </w:rPr>
        <w:sectPr>
          <w:headerReference w:type="even" r:id="rId28"/>
          <w:headerReference w:type="default" r:id="rId29"/>
          <w:footerReference w:type="even" r:id="rId30"/>
          <w:footerReference w:type="default" r:id="rId31"/>
          <w:headerReference w:type="first" r:id="rId32"/>
          <w:footerReference w:type="first" r:id="rId33"/>
          <w:footnotePr>
            <w:numRestart w:val="eachPage"/>
          </w:footnotePr>
          <w:endnotePr>
            <w:numFmt w:val="decimal"/>
          </w:endnotePr>
          <w:pgSz w:w="11907" w:h="16840" w:code="9"/>
          <w:pgMar w:top="1134" w:right="1134" w:bottom="1134" w:left="1134" w:header="1134" w:footer="1134" w:gutter="0"/>
          <w:cols w:space="720"/>
          <w:docGrid w:linePitch="326"/>
        </w:sectPr>
      </w:pPr>
    </w:p>
    <w:p>
      <w:pPr>
        <w:jc w:val="right"/>
        <w:rPr>
          <w:b/>
          <w:bCs/>
          <w:noProof/>
          <w:u w:val="single"/>
        </w:rPr>
      </w:pPr>
      <w:r>
        <w:rPr>
          <w:b/>
          <w:noProof/>
          <w:u w:val="single"/>
        </w:rPr>
        <w:t>Dodatok 2-A-5</w:t>
      </w:r>
    </w:p>
    <w:p>
      <w:pPr>
        <w:rPr>
          <w:noProof/>
        </w:rPr>
      </w:pPr>
    </w:p>
    <w:p>
      <w:pPr>
        <w:rPr>
          <w:noProof/>
        </w:rPr>
      </w:pPr>
    </w:p>
    <w:p>
      <w:pPr>
        <w:jc w:val="center"/>
        <w:rPr>
          <w:noProof/>
        </w:rPr>
      </w:pPr>
      <w:r>
        <w:rPr>
          <w:noProof/>
        </w:rPr>
        <w:t>Tovar vylúčený z definície repasovaného tovaru</w:t>
      </w:r>
    </w:p>
    <w:p>
      <w:pPr>
        <w:rPr>
          <w:noProof/>
        </w:rPr>
      </w:pPr>
    </w:p>
    <w:tbl>
      <w:tblPr>
        <w:tblW w:w="5000" w:type="pct"/>
        <w:tblLook w:val="04A0" w:firstRow="1" w:lastRow="0" w:firstColumn="1" w:lastColumn="0" w:noHBand="0" w:noVBand="1"/>
      </w:tblPr>
      <w:tblGrid>
        <w:gridCol w:w="3653"/>
        <w:gridCol w:w="11135"/>
      </w:tblGrid>
      <w:tr>
        <w:trPr>
          <w:trHeight w:val="227"/>
          <w:tblHeader/>
        </w:trPr>
        <w:tc>
          <w:tcPr>
            <w:tcW w:w="1235" w:type="pct"/>
            <w:tcBorders>
              <w:top w:val="single" w:sz="4" w:space="0" w:color="auto"/>
              <w:left w:val="single" w:sz="4" w:space="0" w:color="auto"/>
              <w:bottom w:val="single" w:sz="4" w:space="0" w:color="auto"/>
              <w:right w:val="single" w:sz="4" w:space="0" w:color="auto"/>
            </w:tcBorders>
            <w:shd w:val="clear" w:color="000000" w:fill="auto"/>
            <w:vAlign w:val="center"/>
            <w:hideMark/>
          </w:tcPr>
          <w:p>
            <w:pPr>
              <w:spacing w:before="60" w:after="60" w:line="240" w:lineRule="auto"/>
              <w:rPr>
                <w:noProof/>
              </w:rPr>
            </w:pPr>
            <w:r>
              <w:rPr>
                <w:noProof/>
              </w:rPr>
              <w:t>AHTN 2012</w:t>
            </w:r>
          </w:p>
        </w:tc>
        <w:tc>
          <w:tcPr>
            <w:tcW w:w="3765" w:type="pct"/>
            <w:tcBorders>
              <w:top w:val="single" w:sz="4" w:space="0" w:color="auto"/>
              <w:left w:val="nil"/>
              <w:bottom w:val="single" w:sz="4" w:space="0" w:color="auto"/>
              <w:right w:val="single" w:sz="4" w:space="0" w:color="auto"/>
            </w:tcBorders>
            <w:shd w:val="clear" w:color="000000" w:fill="auto"/>
            <w:vAlign w:val="center"/>
            <w:hideMark/>
          </w:tcPr>
          <w:p>
            <w:pPr>
              <w:spacing w:before="60" w:after="60" w:line="240" w:lineRule="auto"/>
              <w:rPr>
                <w:noProof/>
              </w:rPr>
            </w:pPr>
            <w:r>
              <w:rPr>
                <w:noProof/>
              </w:rPr>
              <w:t>Opis AHTN 2012</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Kapitola 84</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8414.51</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Stolové, podlahové, nástenné, okenné, stropné alebo strešné ventilátory a dúchadlá, s vlastným elektrickým motorom s výkonom nepresahujúcim 125 W</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8414.59</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84.15</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Klimatizačné stroje a prístroje skladajúce sa z ventilátorov so vstavaným motorom a zo strojov a prístrojov na zmenu teploty a vlhkosti, vrátane strojov a prístrojov, v ktorých nemôže byť vlhkosť regulovaná oddelene</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 xml:space="preserve">84.18 </w:t>
            </w:r>
            <w:r>
              <w:rPr>
                <w:noProof/>
              </w:rPr>
              <w:br/>
              <w:t>(ex 8418.50, 8418.61, 8418.69, 8418.91)</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Chladničky, mraziace boxy a ostatné chladiace alebo mraziace zariadenia, elektrické alebo ostatné; tepelné čerpadlá, iné ako klimatizačné stroje a prístroje položky 84.15</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8419.11.10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Používané v domácnostiach</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8419.19.10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Používané v domácnostiach</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8421.12.00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Odstredivé sušičky bielizne</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8421.21.11</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 Filtračné stroje, prístroje a zariadenia na používanie v domácnosti</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8421.91</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Odstrediviek, vrátane odstredivých sušičiek</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8422.11.00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Pre domácnosť</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8422.90.10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Strojov podpoložky 8422.11</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84.43</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Tlačiarenské stroje používané na tlač pomocou štočkov, dosiek, valcov a ostatných tlačiarenských komponentov položky 84.42; ostatné tlačiarne, kopírovacie stroje a faxové prístroje (faxy), tiež kombinované; ich časti, súčasti a príslušenstvo</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84.50 (ex 8450.20)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Práčky pre domácnosť alebo práčovne, vrátane práčok so sušičkami</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8451.30.10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Jednovalcové žehliace stroje pre domácnosť</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8452.10.00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Šijacie stroje pre domácnosť</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84.71 (ex 8471.50, 8471.60, 8471.70, 8471.80, 8471.90)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Priemyselné alebo laboratórne kúreniská a pece, vrátane spaľovacích, neelektrické</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8508.11.00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S výkonom nepresahujúcim 1 500 W a v ktorých objemová kapacita vrecka na prach alebo iného zásobníka nepresahuje 20 l</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8508.19.10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 Druhu vhodného na použite v domácnosti</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8508.70.10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Vysávačov podpoložiek 8508.11.00 alebo 8508.19.10</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85.09</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Elektromechanické zariadenia pre domácnosť, so vstavaným elektrickým motorom, iné ako vysávače položky 85.08</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85.10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Holiace strojčeky, strojčeky na strihanie vlasov a srsti a depilačné prístroje, so vstavaným elektrickým motorom</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85.16</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Elektrické prietokové alebo zásobníkové ohrievače vody a ponorné ohrievače; elektrické zariadenia na vykurovanie priestorov a pôdy; elektrotepelné zariadenia na úpravu vlasov (napríklad sušiče vlasov, kulmy na vlasy, prístroje na trvalú onduláciu) a sušiče rúk; elektrické žehličky; ostatné elektrotepelné prístroje používané v domácnosti; elektrické vykurovacie odpory, iné ako položky 85.45</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85.17 (ex 8517.61, 8517.62, 8517.70)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Telefónne súpravy, vrátane telefónov pre celulárnu sieť alebo pre ostatné bezdrôtové siete; ostatné prístroje na prenos alebo príjem hlasu, obrazu alebo ostatných dát, vrátane prístrojov na komunikáciu v drôtovej alebo bezdrôtovej sieti [ako v lokálnej (LAN), tak aj v rozsiahlej (WAN) sieti], iné ako prístroje na prenos alebo príjem položky 84.43, 85.25, 85.27 alebo 85.28</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85.18 (ex 8518.10, 8518.29)</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Mikrofóny a ich stojany; reproduktory, tiež vstavané; slúchadlá všetkých druhov, tiež kombinované s mikrofónom, a súpravy pozostávajúce z mikrofónu a jedného alebo viacerých reproduktorov; elektrické nízkofrekvenčné zosilňovače; súpravy elektrických zosilňovačov zvuku</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85.19 (ex 8519.20, 8519.50, 8519.89)</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Prístroje na záznam alebo reprodukciu zvuku</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85.21</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Videofonické prístroje na záznam alebo reprodukciu, tiež so zabudovaným videotunerom:</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85.22</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Časti, súčasti a príslušenstvo vhodné na použitie výhradne alebo hlavne s prístrojmi položiek 85.19 alebo 85.21</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85.25</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Vysielacie prístroje na rozhlasové alebo televízne vysielanie, tiež so zabudovanými prístrojmi na príjem alebo záznam alebo reprodukciu zvuku; televízne kamery, digitálne fotoaparáty a kamkordéry</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8525.80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Televízne kamery, digitálne fotoaparáty a kamkordéry</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rPr>
            </w:pPr>
            <w:r>
              <w:rPr>
                <w:noProof/>
              </w:rPr>
              <w:t>85.27</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Rozhlasové prijímače, tiež kombinované pod spoločným krytom s prístrojom na záznam alebo reprodukciu zvuku alebo s hodinami</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8528 72</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 farebné</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8528.73.00</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 – Ostatné, monochromatické</w:t>
            </w:r>
          </w:p>
        </w:tc>
      </w:tr>
      <w:tr>
        <w:trPr>
          <w:trHeight w:val="227"/>
        </w:trPr>
        <w:tc>
          <w:tcPr>
            <w:tcW w:w="1235" w:type="pct"/>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rPr>
            </w:pPr>
            <w:r>
              <w:rPr>
                <w:noProof/>
              </w:rPr>
              <w:t xml:space="preserve">85.29 </w:t>
            </w:r>
          </w:p>
        </w:tc>
        <w:tc>
          <w:tcPr>
            <w:tcW w:w="3765" w:type="pct"/>
            <w:tcBorders>
              <w:top w:val="nil"/>
              <w:left w:val="nil"/>
              <w:bottom w:val="single" w:sz="4" w:space="0" w:color="auto"/>
              <w:right w:val="single" w:sz="4" w:space="0" w:color="auto"/>
            </w:tcBorders>
            <w:shd w:val="clear" w:color="auto" w:fill="auto"/>
            <w:hideMark/>
          </w:tcPr>
          <w:p>
            <w:pPr>
              <w:spacing w:before="60" w:after="60" w:line="240" w:lineRule="auto"/>
              <w:rPr>
                <w:noProof/>
              </w:rPr>
            </w:pPr>
            <w:r>
              <w:rPr>
                <w:noProof/>
              </w:rPr>
              <w:t>Časti a súčasti vhodné výlučne alebo hlavne na prístroje položiek 85.25 až 85.28</w:t>
            </w:r>
          </w:p>
        </w:tc>
      </w:tr>
      <w:tr>
        <w:trPr>
          <w:trHeight w:val="227"/>
        </w:trPr>
        <w:tc>
          <w:tcPr>
            <w:tcW w:w="1235" w:type="pct"/>
            <w:tcBorders>
              <w:top w:val="nil"/>
              <w:left w:val="single" w:sz="4" w:space="0" w:color="auto"/>
              <w:bottom w:val="nil"/>
              <w:right w:val="single" w:sz="4" w:space="0" w:color="auto"/>
            </w:tcBorders>
            <w:shd w:val="clear" w:color="auto" w:fill="auto"/>
            <w:hideMark/>
          </w:tcPr>
          <w:p>
            <w:pPr>
              <w:spacing w:before="60" w:after="60" w:line="240" w:lineRule="auto"/>
              <w:rPr>
                <w:noProof/>
              </w:rPr>
            </w:pPr>
            <w:r>
              <w:rPr>
                <w:noProof/>
              </w:rPr>
              <w:t>85.39 (ex 8539.10, 8539.21, 8539.41, 8539.49, 8539.90)</w:t>
            </w:r>
          </w:p>
        </w:tc>
        <w:tc>
          <w:tcPr>
            <w:tcW w:w="3765" w:type="pct"/>
            <w:tcBorders>
              <w:top w:val="nil"/>
              <w:left w:val="nil"/>
              <w:bottom w:val="nil"/>
              <w:right w:val="single" w:sz="4" w:space="0" w:color="auto"/>
            </w:tcBorders>
            <w:shd w:val="clear" w:color="auto" w:fill="auto"/>
            <w:hideMark/>
          </w:tcPr>
          <w:p>
            <w:pPr>
              <w:spacing w:before="60" w:after="60" w:line="240" w:lineRule="auto"/>
              <w:rPr>
                <w:noProof/>
              </w:rPr>
            </w:pPr>
            <w:r>
              <w:rPr>
                <w:noProof/>
              </w:rPr>
              <w:t>Elektrické žiarovky alebo výbojky, vrátane žiaroviek do svetlometov (zapečatené svetlomety) a ultrafialové alebo infračervené žiarovky; oblúkovky</w:t>
            </w:r>
          </w:p>
        </w:tc>
      </w:tr>
      <w:tr>
        <w:trPr>
          <w:trHeight w:val="227"/>
        </w:trPr>
        <w:tc>
          <w:tcPr>
            <w:tcW w:w="1235" w:type="pct"/>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87.02</w:t>
            </w:r>
          </w:p>
        </w:tc>
        <w:tc>
          <w:tcPr>
            <w:tcW w:w="3765" w:type="pct"/>
            <w:tcBorders>
              <w:top w:val="single" w:sz="4" w:space="0" w:color="auto"/>
              <w:left w:val="nil"/>
              <w:bottom w:val="single" w:sz="4" w:space="0" w:color="auto"/>
              <w:right w:val="single" w:sz="4" w:space="0" w:color="auto"/>
            </w:tcBorders>
            <w:shd w:val="clear" w:color="auto" w:fill="auto"/>
          </w:tcPr>
          <w:p>
            <w:pPr>
              <w:spacing w:before="60" w:after="60" w:line="240" w:lineRule="auto"/>
              <w:rPr>
                <w:noProof/>
              </w:rPr>
            </w:pPr>
            <w:r>
              <w:rPr>
                <w:noProof/>
              </w:rPr>
              <w:t>Motorové vozidlá na dopravu desiatich alebo viacerých osôb, vrátane vodiča</w:t>
            </w:r>
          </w:p>
        </w:tc>
      </w:tr>
      <w:tr>
        <w:trPr>
          <w:trHeight w:val="227"/>
        </w:trPr>
        <w:tc>
          <w:tcPr>
            <w:tcW w:w="1235" w:type="pct"/>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87.03</w:t>
            </w:r>
          </w:p>
        </w:tc>
        <w:tc>
          <w:tcPr>
            <w:tcW w:w="3765" w:type="pct"/>
            <w:tcBorders>
              <w:top w:val="single" w:sz="4" w:space="0" w:color="auto"/>
              <w:left w:val="nil"/>
              <w:bottom w:val="single" w:sz="4" w:space="0" w:color="auto"/>
              <w:right w:val="single" w:sz="4" w:space="0" w:color="auto"/>
            </w:tcBorders>
            <w:shd w:val="clear" w:color="auto" w:fill="auto"/>
          </w:tcPr>
          <w:p>
            <w:pPr>
              <w:spacing w:before="60" w:after="60" w:line="240" w:lineRule="auto"/>
              <w:rPr>
                <w:noProof/>
              </w:rPr>
            </w:pPr>
            <w:r>
              <w:rPr>
                <w:noProof/>
              </w:rPr>
              <w:t>Osobné automobily a ostatné motorové vozidlá konštruované hlavne na prepravu osôb (vozidlá iné ako sú uvedené v položke 87.02), vrátane osobných dodávkových a pretekárskych automobilov</w:t>
            </w:r>
          </w:p>
        </w:tc>
      </w:tr>
      <w:tr>
        <w:trPr>
          <w:trHeight w:val="227"/>
        </w:trPr>
        <w:tc>
          <w:tcPr>
            <w:tcW w:w="1235" w:type="pct"/>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87.04</w:t>
            </w:r>
          </w:p>
        </w:tc>
        <w:tc>
          <w:tcPr>
            <w:tcW w:w="3765" w:type="pct"/>
            <w:tcBorders>
              <w:top w:val="single" w:sz="4" w:space="0" w:color="auto"/>
              <w:left w:val="nil"/>
              <w:bottom w:val="single" w:sz="4" w:space="0" w:color="auto"/>
              <w:right w:val="single" w:sz="4" w:space="0" w:color="auto"/>
            </w:tcBorders>
            <w:shd w:val="clear" w:color="auto" w:fill="auto"/>
          </w:tcPr>
          <w:p>
            <w:pPr>
              <w:spacing w:before="60" w:after="60" w:line="240" w:lineRule="auto"/>
              <w:rPr>
                <w:noProof/>
              </w:rPr>
            </w:pPr>
            <w:r>
              <w:rPr>
                <w:noProof/>
              </w:rPr>
              <w:t>Motorové vozidlá na nákladnú dopravu</w:t>
            </w:r>
          </w:p>
        </w:tc>
      </w:tr>
    </w:tbl>
    <w:p>
      <w:pPr>
        <w:rPr>
          <w:noProof/>
        </w:rPr>
      </w:pPr>
    </w:p>
    <w:p>
      <w:pPr>
        <w:rPr>
          <w:noProof/>
        </w:rPr>
      </w:pPr>
    </w:p>
    <w:p>
      <w:pPr>
        <w:jc w:val="center"/>
        <w:rPr>
          <w:rFonts w:eastAsia="Calibri"/>
          <w:noProof/>
        </w:rPr>
      </w:pPr>
      <w:r>
        <w:rPr>
          <w:noProof/>
        </w:rPr>
        <w:t>______________</w:t>
      </w:r>
    </w:p>
    <w:p>
      <w:pPr>
        <w:rPr>
          <w:rFonts w:eastAsia="Gulim"/>
          <w:noProof/>
        </w:rPr>
        <w:sectPr>
          <w:headerReference w:type="even" r:id="rId34"/>
          <w:headerReference w:type="default" r:id="rId35"/>
          <w:footerReference w:type="even" r:id="rId36"/>
          <w:footerReference w:type="default" r:id="rId37"/>
          <w:headerReference w:type="first" r:id="rId38"/>
          <w:footerReference w:type="first" r:id="rId39"/>
          <w:footnotePr>
            <w:numRestart w:val="eachPage"/>
          </w:footnotePr>
          <w:endnotePr>
            <w:numFmt w:val="decimal"/>
          </w:endnotePr>
          <w:pgSz w:w="16840" w:h="11907" w:orient="landscape" w:code="9"/>
          <w:pgMar w:top="1134" w:right="1134" w:bottom="1134" w:left="1134" w:header="1134" w:footer="1134" w:gutter="0"/>
          <w:cols w:space="720"/>
          <w:docGrid w:linePitch="326"/>
        </w:sectPr>
      </w:pPr>
    </w:p>
    <w:p>
      <w:pPr>
        <w:jc w:val="right"/>
        <w:rPr>
          <w:rFonts w:eastAsia="Gulim"/>
          <w:b/>
          <w:bCs/>
          <w:noProof/>
          <w:u w:val="single"/>
        </w:rPr>
      </w:pPr>
      <w:r>
        <w:rPr>
          <w:b/>
          <w:noProof/>
          <w:u w:val="single"/>
        </w:rPr>
        <w:t>PRÍLOHA 2–B</w:t>
      </w:r>
    </w:p>
    <w:p>
      <w:pPr>
        <w:rPr>
          <w:rFonts w:eastAsia="Gulim"/>
          <w:noProof/>
        </w:rPr>
      </w:pPr>
    </w:p>
    <w:p>
      <w:pPr>
        <w:rPr>
          <w:rFonts w:eastAsia="Gulim"/>
          <w:noProof/>
        </w:rPr>
      </w:pPr>
    </w:p>
    <w:p>
      <w:pPr>
        <w:jc w:val="center"/>
        <w:rPr>
          <w:rFonts w:eastAsia="Gulim"/>
          <w:noProof/>
        </w:rPr>
      </w:pPr>
      <w:r>
        <w:rPr>
          <w:noProof/>
        </w:rPr>
        <w:t>Motorové vozidlá a časti a vybavenie motorových vozidiel</w:t>
      </w:r>
    </w:p>
    <w:p>
      <w:pPr>
        <w:rPr>
          <w:rFonts w:eastAsia="Gulim"/>
          <w:noProof/>
        </w:rPr>
      </w:pPr>
    </w:p>
    <w:p>
      <w:pPr>
        <w:rPr>
          <w:rFonts w:eastAsia="Gulim"/>
          <w:noProof/>
        </w:rPr>
      </w:pPr>
    </w:p>
    <w:p>
      <w:pPr>
        <w:jc w:val="center"/>
        <w:rPr>
          <w:rFonts w:eastAsia="Gulim"/>
          <w:noProof/>
        </w:rPr>
      </w:pPr>
      <w:r>
        <w:rPr>
          <w:noProof/>
        </w:rPr>
        <w:t>ČLÁNOK 1</w:t>
      </w:r>
    </w:p>
    <w:p>
      <w:pPr>
        <w:jc w:val="center"/>
        <w:rPr>
          <w:rFonts w:eastAsia="Gulim"/>
          <w:noProof/>
        </w:rPr>
      </w:pPr>
    </w:p>
    <w:p>
      <w:pPr>
        <w:jc w:val="center"/>
        <w:rPr>
          <w:noProof/>
        </w:rPr>
      </w:pPr>
      <w:r>
        <w:rPr>
          <w:noProof/>
        </w:rPr>
        <w:t>Všeobecné ustanovenia</w:t>
      </w:r>
    </w:p>
    <w:p>
      <w:pPr>
        <w:jc w:val="center"/>
        <w:rPr>
          <w:noProof/>
        </w:rPr>
      </w:pPr>
    </w:p>
    <w:p>
      <w:pPr>
        <w:ind w:left="567" w:hanging="567"/>
        <w:rPr>
          <w:noProof/>
        </w:rPr>
      </w:pPr>
      <w:r>
        <w:rPr>
          <w:noProof/>
        </w:rPr>
        <w:t>1.</w:t>
      </w:r>
      <w:r>
        <w:rPr>
          <w:noProof/>
        </w:rPr>
        <w:tab/>
        <w:t>Táto príloha sa vzťahuje na nasledujúce výrobky, ktoré majú pôvod v niektorej zo zmluvných strán, a najmä ktoré patria do kapitol 40, 84, 85, 87 a 94 HS 2012:</w:t>
      </w:r>
    </w:p>
    <w:p>
      <w:pPr>
        <w:ind w:left="1134" w:hanging="567"/>
        <w:rPr>
          <w:noProof/>
        </w:rPr>
      </w:pPr>
    </w:p>
    <w:p>
      <w:pPr>
        <w:ind w:left="1134" w:hanging="567"/>
        <w:rPr>
          <w:noProof/>
        </w:rPr>
      </w:pPr>
      <w:r>
        <w:rPr>
          <w:noProof/>
        </w:rPr>
        <w:t>a)</w:t>
      </w:r>
      <w:r>
        <w:rPr>
          <w:noProof/>
        </w:rPr>
        <w:tab/>
        <w:t>celé motorové vozidlá kategórie M1, ako sa vymedzujú v predpisoch Európskej hospodárskej komisie OSN (ďalej len „EHK OSN“), a ich časti a vybavenie v rozsahu, v akom sú tieto časti a toto vybavenie regulované v predpisoch EHK OSN uplatniteľných na celé motorové vozidlá kategórie M1, a</w:t>
      </w:r>
    </w:p>
    <w:p>
      <w:pPr>
        <w:ind w:left="1134" w:hanging="567"/>
        <w:rPr>
          <w:noProof/>
        </w:rPr>
      </w:pPr>
    </w:p>
    <w:p>
      <w:pPr>
        <w:ind w:left="1134" w:hanging="567"/>
        <w:rPr>
          <w:noProof/>
        </w:rPr>
      </w:pPr>
      <w:r>
        <w:rPr>
          <w:noProof/>
        </w:rPr>
        <w:t>b)</w:t>
      </w:r>
      <w:r>
        <w:rPr>
          <w:noProof/>
        </w:rPr>
        <w:tab/>
        <w:t>časti a vybavenie motorových vozidiel kategórií M2 a N3, ako sa vymedzujú v predpisoch EHK OSN v rozsahu, v akom sú tieto časti a toto vybavenie regulované v predpisoch EHK OSN uplatniteľných aj na celé motorové vozidlá kategórie M1.</w:t>
      </w:r>
    </w:p>
    <w:p>
      <w:pPr>
        <w:ind w:left="567" w:hanging="567"/>
        <w:rPr>
          <w:noProof/>
        </w:rPr>
      </w:pPr>
    </w:p>
    <w:p>
      <w:pPr>
        <w:ind w:left="567" w:hanging="567"/>
        <w:rPr>
          <w:noProof/>
        </w:rPr>
      </w:pPr>
      <w:r>
        <w:rPr>
          <w:noProof/>
        </w:rPr>
        <w:br w:type="page"/>
        <w:t>2.</w:t>
      </w:r>
      <w:r>
        <w:rPr>
          <w:noProof/>
        </w:rPr>
        <w:tab/>
        <w:t>Na účely tejto prílohy:</w:t>
      </w:r>
    </w:p>
    <w:p>
      <w:pPr>
        <w:ind w:left="1134" w:hanging="567"/>
        <w:rPr>
          <w:noProof/>
        </w:rPr>
      </w:pPr>
    </w:p>
    <w:p>
      <w:pPr>
        <w:ind w:left="1134" w:hanging="567"/>
        <w:rPr>
          <w:noProof/>
        </w:rPr>
      </w:pPr>
      <w:r>
        <w:rPr>
          <w:noProof/>
        </w:rPr>
        <w:t>a)</w:t>
      </w:r>
      <w:r>
        <w:rPr>
          <w:noProof/>
        </w:rPr>
        <w:tab/>
        <w:t>„domáce technické predpisy“ zahŕňajú značky a postupy posudzovania zhody;</w:t>
      </w:r>
    </w:p>
    <w:p>
      <w:pPr>
        <w:ind w:left="1134" w:hanging="567"/>
        <w:rPr>
          <w:noProof/>
        </w:rPr>
      </w:pPr>
    </w:p>
    <w:p>
      <w:pPr>
        <w:ind w:left="1134" w:hanging="567"/>
        <w:rPr>
          <w:noProof/>
        </w:rPr>
      </w:pPr>
      <w:r>
        <w:rPr>
          <w:noProof/>
        </w:rPr>
        <w:t>b)</w:t>
      </w:r>
      <w:r>
        <w:rPr>
          <w:noProof/>
        </w:rPr>
        <w:tab/>
        <w:t>„výrobky, na ktoré sa vzťahuje táto príloha“ sú všetky výrobky uvedené v odseku 1 písm. a) a b);</w:t>
      </w:r>
    </w:p>
    <w:p>
      <w:pPr>
        <w:ind w:left="1134" w:hanging="567"/>
        <w:rPr>
          <w:noProof/>
        </w:rPr>
      </w:pPr>
    </w:p>
    <w:p>
      <w:pPr>
        <w:ind w:left="1134" w:hanging="567"/>
        <w:rPr>
          <w:noProof/>
        </w:rPr>
      </w:pPr>
      <w:r>
        <w:rPr>
          <w:noProof/>
        </w:rPr>
        <w:t>c)</w:t>
      </w:r>
      <w:r>
        <w:rPr>
          <w:noProof/>
        </w:rPr>
        <w:tab/>
        <w:t>„motorové vozidlá“ a „časti a vybavenie“ majú význam, ako sa vymedzuje v dohode EHK OSN z roku 1958 a v predpisoch, ktoré sú k nej pripojené;</w:t>
      </w:r>
    </w:p>
    <w:p>
      <w:pPr>
        <w:ind w:left="1134" w:hanging="567"/>
        <w:rPr>
          <w:noProof/>
        </w:rPr>
      </w:pPr>
    </w:p>
    <w:p>
      <w:pPr>
        <w:ind w:left="1134" w:hanging="567"/>
        <w:rPr>
          <w:noProof/>
        </w:rPr>
      </w:pPr>
      <w:r>
        <w:rPr>
          <w:noProof/>
        </w:rPr>
        <w:t>d)</w:t>
      </w:r>
      <w:r>
        <w:rPr>
          <w:noProof/>
        </w:rPr>
        <w:tab/>
        <w:t>„s pôvodom“ odkazuje na pôvod výrobku, ako je určený v súlade s protokolom 1 (Pravidlá pôvodu a administratívna spolupráca);</w:t>
      </w:r>
    </w:p>
    <w:p>
      <w:pPr>
        <w:ind w:left="1134" w:hanging="567"/>
        <w:rPr>
          <w:noProof/>
        </w:rPr>
      </w:pPr>
    </w:p>
    <w:p>
      <w:pPr>
        <w:ind w:left="1134" w:hanging="567"/>
        <w:rPr>
          <w:noProof/>
        </w:rPr>
      </w:pPr>
      <w:r>
        <w:rPr>
          <w:noProof/>
        </w:rPr>
        <w:t>e)</w:t>
      </w:r>
      <w:r>
        <w:rPr>
          <w:noProof/>
        </w:rPr>
        <w:tab/>
        <w:t>„EHK OSN“ je Európska hospodárska komisia Organizácie Spojených národov;</w:t>
      </w:r>
    </w:p>
    <w:p>
      <w:pPr>
        <w:ind w:left="1134" w:hanging="567"/>
        <w:rPr>
          <w:noProof/>
        </w:rPr>
      </w:pPr>
    </w:p>
    <w:p>
      <w:pPr>
        <w:ind w:left="1134" w:hanging="567"/>
        <w:rPr>
          <w:noProof/>
        </w:rPr>
      </w:pPr>
      <w:r>
        <w:rPr>
          <w:noProof/>
        </w:rPr>
        <w:br w:type="page"/>
        <w:t>f)</w:t>
      </w:r>
      <w:r>
        <w:rPr>
          <w:noProof/>
        </w:rPr>
        <w:tab/>
        <w:t>„dohoda EHK OSN z roku 1958“ je dohoda, ktorá sa týka prijímania jednotných technických predpisov pre kolesové vozidlá, vybavenie a časti, ktoré môžu byť namontované a/alebo použité na kolesových vozidlách, a podmienok pre vzájomné uznávanie schválení udelených na základe týchto predpisov spravovaných Svetovým fórom pre harmonizáciu predpisov o vozidlách; a</w:t>
      </w:r>
    </w:p>
    <w:p>
      <w:pPr>
        <w:ind w:left="1134" w:hanging="567"/>
        <w:rPr>
          <w:noProof/>
        </w:rPr>
      </w:pPr>
    </w:p>
    <w:p>
      <w:pPr>
        <w:ind w:left="1134" w:hanging="567"/>
        <w:rPr>
          <w:noProof/>
        </w:rPr>
      </w:pPr>
      <w:r>
        <w:rPr>
          <w:noProof/>
        </w:rPr>
        <w:t>g)</w:t>
      </w:r>
      <w:r>
        <w:rPr>
          <w:noProof/>
        </w:rPr>
        <w:tab/>
        <w:t>„predpisy EHK OSN“ sú prepisy pripojené k dohode EHK OSN z roku 1958.</w:t>
      </w:r>
    </w:p>
    <w:p>
      <w:pPr>
        <w:ind w:left="567" w:hanging="567"/>
        <w:rPr>
          <w:noProof/>
        </w:rPr>
      </w:pPr>
    </w:p>
    <w:p>
      <w:pPr>
        <w:ind w:left="567" w:hanging="567"/>
        <w:rPr>
          <w:noProof/>
        </w:rPr>
      </w:pPr>
      <w:r>
        <w:rPr>
          <w:noProof/>
        </w:rPr>
        <w:t>3.</w:t>
      </w:r>
      <w:r>
        <w:rPr>
          <w:noProof/>
        </w:rPr>
        <w:tab/>
        <w:t>Pokiaľ ide o výrobky, na ktoré sa vzťahuje táto príloha, zmluvné strany potvrdzujú tieto spoločné ciele a zásady:</w:t>
      </w:r>
    </w:p>
    <w:p>
      <w:pPr>
        <w:ind w:left="1134" w:hanging="567"/>
        <w:rPr>
          <w:noProof/>
        </w:rPr>
      </w:pPr>
    </w:p>
    <w:p>
      <w:pPr>
        <w:ind w:left="1134" w:hanging="567"/>
        <w:rPr>
          <w:noProof/>
        </w:rPr>
      </w:pPr>
      <w:r>
        <w:rPr>
          <w:noProof/>
        </w:rPr>
        <w:t>a)</w:t>
      </w:r>
      <w:r>
        <w:rPr>
          <w:noProof/>
        </w:rPr>
        <w:tab/>
        <w:t>odstrániť necolné prekážky dvojstranného obchodu a predchádzať im;</w:t>
      </w:r>
    </w:p>
    <w:p>
      <w:pPr>
        <w:ind w:left="1134" w:hanging="567"/>
        <w:rPr>
          <w:noProof/>
        </w:rPr>
      </w:pPr>
    </w:p>
    <w:p>
      <w:pPr>
        <w:ind w:left="1134" w:hanging="567"/>
        <w:rPr>
          <w:noProof/>
        </w:rPr>
      </w:pPr>
      <w:r>
        <w:rPr>
          <w:noProof/>
        </w:rPr>
        <w:t>b)</w:t>
      </w:r>
      <w:r>
        <w:rPr>
          <w:noProof/>
        </w:rPr>
        <w:tab/>
        <w:t>presadzovať zlučiteľnosť a zbližovanie predpisov na základe medzinárodných noriem;</w:t>
      </w:r>
    </w:p>
    <w:p>
      <w:pPr>
        <w:ind w:left="1134"/>
        <w:rPr>
          <w:noProof/>
        </w:rPr>
      </w:pPr>
    </w:p>
    <w:p>
      <w:pPr>
        <w:ind w:left="1134"/>
        <w:rPr>
          <w:noProof/>
        </w:rPr>
      </w:pPr>
      <w:r>
        <w:rPr>
          <w:noProof/>
        </w:rPr>
        <w:t>presadzovať uznávanie schválení najmä na základe schvaľovacích schém v súlade s dohodou EHK OSN z roku 1958;</w:t>
      </w:r>
    </w:p>
    <w:p>
      <w:pPr>
        <w:ind w:left="1134" w:hanging="567"/>
        <w:rPr>
          <w:noProof/>
        </w:rPr>
      </w:pPr>
    </w:p>
    <w:p>
      <w:pPr>
        <w:ind w:left="1134" w:hanging="567"/>
        <w:rPr>
          <w:noProof/>
        </w:rPr>
      </w:pPr>
      <w:r>
        <w:rPr>
          <w:noProof/>
        </w:rPr>
        <w:t>c)</w:t>
      </w:r>
      <w:r>
        <w:rPr>
          <w:noProof/>
        </w:rPr>
        <w:tab/>
        <w:t>vytvárať konkurenčné trhové podmienky na základe zásad otvorenosti, nediskriminácie a transparentnosti;</w:t>
      </w:r>
    </w:p>
    <w:p>
      <w:pPr>
        <w:ind w:left="1134" w:hanging="567"/>
        <w:rPr>
          <w:noProof/>
        </w:rPr>
      </w:pPr>
    </w:p>
    <w:p>
      <w:pPr>
        <w:ind w:left="1134" w:hanging="567"/>
        <w:rPr>
          <w:noProof/>
        </w:rPr>
      </w:pPr>
      <w:r>
        <w:rPr>
          <w:noProof/>
        </w:rPr>
        <w:br w:type="page"/>
        <w:t>d)</w:t>
      </w:r>
      <w:r>
        <w:rPr>
          <w:noProof/>
        </w:rPr>
        <w:tab/>
        <w:t>chrániť zdravie ľudí, bezpečnosť a životné prostredie; a</w:t>
      </w:r>
    </w:p>
    <w:p>
      <w:pPr>
        <w:ind w:left="1134" w:hanging="567"/>
        <w:rPr>
          <w:noProof/>
        </w:rPr>
      </w:pPr>
    </w:p>
    <w:p>
      <w:pPr>
        <w:ind w:left="1134" w:hanging="567"/>
        <w:rPr>
          <w:noProof/>
        </w:rPr>
      </w:pPr>
      <w:r>
        <w:rPr>
          <w:noProof/>
        </w:rPr>
        <w:t>e)</w:t>
      </w:r>
      <w:r>
        <w:rPr>
          <w:noProof/>
        </w:rPr>
        <w:tab/>
        <w:t>zlepšovať spoluprácu na podporu trvalého vzájomne výhodného rozvoja obchodu.</w:t>
      </w:r>
    </w:p>
    <w:p>
      <w:pPr>
        <w:rPr>
          <w:rFonts w:eastAsia="Gulim"/>
          <w:noProof/>
        </w:rPr>
      </w:pPr>
    </w:p>
    <w:p>
      <w:pPr>
        <w:rPr>
          <w:rFonts w:eastAsia="Gulim"/>
          <w:noProof/>
        </w:rPr>
      </w:pPr>
    </w:p>
    <w:p>
      <w:pPr>
        <w:jc w:val="center"/>
        <w:rPr>
          <w:rFonts w:eastAsia="Gulim"/>
          <w:noProof/>
        </w:rPr>
      </w:pPr>
      <w:r>
        <w:rPr>
          <w:noProof/>
        </w:rPr>
        <w:t>ČLÁNOK 2</w:t>
      </w:r>
    </w:p>
    <w:p>
      <w:pPr>
        <w:jc w:val="center"/>
        <w:rPr>
          <w:rFonts w:eastAsia="Gulim"/>
          <w:noProof/>
        </w:rPr>
      </w:pPr>
    </w:p>
    <w:p>
      <w:pPr>
        <w:jc w:val="center"/>
        <w:rPr>
          <w:rFonts w:eastAsia="Gulim"/>
          <w:noProof/>
        </w:rPr>
      </w:pPr>
      <w:r>
        <w:rPr>
          <w:noProof/>
        </w:rPr>
        <w:t>Medzinárodné normy</w:t>
      </w:r>
    </w:p>
    <w:p>
      <w:pPr>
        <w:jc w:val="center"/>
        <w:rPr>
          <w:rFonts w:eastAsia="Gulim"/>
          <w:noProof/>
        </w:rPr>
      </w:pPr>
    </w:p>
    <w:p>
      <w:pPr>
        <w:ind w:left="567" w:hanging="567"/>
        <w:rPr>
          <w:noProof/>
        </w:rPr>
      </w:pPr>
      <w:r>
        <w:rPr>
          <w:noProof/>
        </w:rPr>
        <w:t>1.</w:t>
      </w:r>
      <w:r>
        <w:rPr>
          <w:noProof/>
        </w:rPr>
        <w:tab/>
        <w:t>Zmluvné strany uznávajú, že predpisy EHK OSN sú príslušnými medzinárodnými normami pre výrobky, na ktoré sa vzťahuje táto príloha.</w:t>
      </w:r>
    </w:p>
    <w:p>
      <w:pPr>
        <w:ind w:left="567" w:hanging="567"/>
        <w:rPr>
          <w:noProof/>
        </w:rPr>
      </w:pPr>
    </w:p>
    <w:p>
      <w:pPr>
        <w:ind w:left="567" w:hanging="567"/>
        <w:rPr>
          <w:noProof/>
        </w:rPr>
      </w:pPr>
      <w:r>
        <w:rPr>
          <w:noProof/>
        </w:rPr>
        <w:t>2.</w:t>
      </w:r>
      <w:r>
        <w:rPr>
          <w:noProof/>
        </w:rPr>
        <w:tab/>
        <w:t>Vietnamu sa odporúča, aby sa stal zmluvnou stranou dohody EHK OSN z roku 1958.</w:t>
      </w:r>
    </w:p>
    <w:p>
      <w:pPr>
        <w:ind w:left="567" w:hanging="567"/>
        <w:rPr>
          <w:noProof/>
        </w:rPr>
      </w:pPr>
    </w:p>
    <w:p>
      <w:pPr>
        <w:ind w:left="567" w:hanging="567"/>
        <w:rPr>
          <w:noProof/>
        </w:rPr>
      </w:pPr>
      <w:r>
        <w:rPr>
          <w:noProof/>
        </w:rPr>
        <w:t>3.</w:t>
      </w:r>
      <w:r>
        <w:rPr>
          <w:noProof/>
        </w:rPr>
        <w:tab/>
        <w:t>Každá zmluvná strana uznáva technické požiadavky uvedené v predpisoch EHK OSN ako požiadavky poskytujúce dostatočnú úroveň ochrany na zaistenie bezpečnosti alebo ochrany životného prostredia, alebo zdravia ľudí v oblasti regulovanej takýmito predpismi EHK OSN. Zmluvná strana nesmie vyžadovať žiadne dodatočné technické požiadavky v oblasti regulovanej takýmito predpismi EHK OSN.</w:t>
      </w:r>
    </w:p>
    <w:p>
      <w:pPr>
        <w:rPr>
          <w:rFonts w:eastAsia="Gulim"/>
          <w:noProof/>
        </w:rPr>
      </w:pPr>
    </w:p>
    <w:p>
      <w:pPr>
        <w:rPr>
          <w:rFonts w:eastAsia="Gulim"/>
          <w:noProof/>
        </w:rPr>
      </w:pPr>
    </w:p>
    <w:p>
      <w:pPr>
        <w:jc w:val="center"/>
        <w:rPr>
          <w:rFonts w:eastAsia="Gulim"/>
          <w:noProof/>
        </w:rPr>
      </w:pPr>
      <w:r>
        <w:rPr>
          <w:noProof/>
        </w:rPr>
        <w:br w:type="page"/>
        <w:t>ČLÁNOK 3</w:t>
      </w:r>
    </w:p>
    <w:p>
      <w:pPr>
        <w:jc w:val="center"/>
        <w:rPr>
          <w:rFonts w:eastAsia="Gulim"/>
          <w:noProof/>
        </w:rPr>
      </w:pPr>
    </w:p>
    <w:p>
      <w:pPr>
        <w:jc w:val="center"/>
        <w:rPr>
          <w:rFonts w:eastAsia="Gulim"/>
          <w:noProof/>
        </w:rPr>
      </w:pPr>
      <w:r>
        <w:rPr>
          <w:noProof/>
        </w:rPr>
        <w:t>Zbližovanie v oblasti regulácie</w:t>
      </w:r>
    </w:p>
    <w:p>
      <w:pPr>
        <w:jc w:val="center"/>
        <w:rPr>
          <w:rFonts w:eastAsia="Gulim"/>
          <w:noProof/>
        </w:rPr>
      </w:pPr>
    </w:p>
    <w:p>
      <w:pPr>
        <w:ind w:left="567" w:hanging="567"/>
        <w:rPr>
          <w:noProof/>
        </w:rPr>
      </w:pPr>
      <w:r>
        <w:rPr>
          <w:noProof/>
        </w:rPr>
        <w:t>1.</w:t>
      </w:r>
      <w:r>
        <w:rPr>
          <w:noProof/>
        </w:rPr>
        <w:tab/>
        <w:t>Každá zmluvná strana sa zdrží zavádzania nových domácich technických predpisov, ktoré sa odchyľujú od technických požiadaviek existujúcich predpisov EHK OSN alebo predpisov EHK OSN, ktoré sú pred bezprostredným dokončením v oblastiach, na ktoré sa tieto predpisy vzťahujú, pokiaľ neexistujú opodstatnené dôvody na základe vedeckých a technických informácií, pre ktoré je konkrétna technická požiadavka predpisu EHK OSN neúčinná alebo neprimeraná na zaistenie bezpečnosti alebo ochrany životného prostredia, alebo zdravia ľudí.</w:t>
      </w:r>
    </w:p>
    <w:p>
      <w:pPr>
        <w:ind w:left="567" w:hanging="567"/>
        <w:rPr>
          <w:noProof/>
        </w:rPr>
      </w:pPr>
    </w:p>
    <w:p>
      <w:pPr>
        <w:ind w:left="567" w:hanging="567"/>
        <w:rPr>
          <w:noProof/>
        </w:rPr>
      </w:pPr>
      <w:r>
        <w:rPr>
          <w:noProof/>
        </w:rPr>
        <w:t>2.</w:t>
      </w:r>
      <w:r>
        <w:rPr>
          <w:noProof/>
        </w:rPr>
        <w:tab/>
        <w:t>Zmluvná strana, ktorá prijme nové domáce technické predpisy v súlade s odsekom 1, na požiadanie druhej zmluvnej strany identifikuje časti domácich technických predpisov, ktoré sa podstatne odchyľujú od príslušných technických požiadaviek, značiek alebo postupov posudzovania zhody podľa predpisov EHK OSN. Zmluvná strana poskytne riadne odôvodnenie, pokiaľ ide o dôvody tejto odchýlky.</w:t>
      </w:r>
    </w:p>
    <w:p>
      <w:pPr>
        <w:ind w:left="567" w:hanging="567"/>
        <w:rPr>
          <w:noProof/>
        </w:rPr>
      </w:pPr>
    </w:p>
    <w:p>
      <w:pPr>
        <w:ind w:left="567" w:hanging="567"/>
        <w:rPr>
          <w:noProof/>
        </w:rPr>
      </w:pPr>
      <w:r>
        <w:rPr>
          <w:noProof/>
        </w:rPr>
        <w:br w:type="page"/>
        <w:t>3.</w:t>
      </w:r>
      <w:r>
        <w:rPr>
          <w:noProof/>
        </w:rPr>
        <w:tab/>
        <w:t>Ak zmluvná strana v súlade s odsekom 1 prijala a zachováva domáce technické predpisy, ktoré sa odchyľujú od existujúcich technických požiadaviek, značiek alebo postupov posudzovania zhody podľa predpisov EHK OSN, táto zmluvná strana ich preskúma v pravidelných intervaloch neprevyšujúcich päť rokov s cieľom viac ich priblížiť k príslušným technických požiadavkám, značkám alebo postupom posudzovania zhody podľa predpisov EHK OSN. Pri preskúmaní domácich technických predpisov zmluvná strana zohľadní, či ešte pretrvávajú okolnosti, ktoré boli príčinou odchýlky. Výsledok týchto preskúmaní vrátane vedeckých a technických informácií, ktoré boli využité, oznámi druhej zmluvnej strane na požiadanie.</w:t>
      </w:r>
    </w:p>
    <w:p>
      <w:pPr>
        <w:rPr>
          <w:rFonts w:eastAsia="Gulim"/>
          <w:noProof/>
        </w:rPr>
      </w:pPr>
    </w:p>
    <w:p>
      <w:pPr>
        <w:rPr>
          <w:rFonts w:eastAsia="Gulim"/>
          <w:noProof/>
        </w:rPr>
      </w:pPr>
    </w:p>
    <w:p>
      <w:pPr>
        <w:jc w:val="center"/>
        <w:rPr>
          <w:rFonts w:eastAsia="Gulim"/>
          <w:noProof/>
        </w:rPr>
      </w:pPr>
      <w:r>
        <w:rPr>
          <w:noProof/>
        </w:rPr>
        <w:t>ČLÁNOK 4</w:t>
      </w:r>
    </w:p>
    <w:p>
      <w:pPr>
        <w:jc w:val="center"/>
        <w:rPr>
          <w:rFonts w:eastAsia="Gulim"/>
          <w:noProof/>
        </w:rPr>
      </w:pPr>
    </w:p>
    <w:p>
      <w:pPr>
        <w:jc w:val="center"/>
        <w:rPr>
          <w:rFonts w:eastAsia="Gulim"/>
          <w:noProof/>
        </w:rPr>
      </w:pPr>
      <w:r>
        <w:rPr>
          <w:noProof/>
        </w:rPr>
        <w:t>Prístup na trh</w:t>
      </w:r>
    </w:p>
    <w:p>
      <w:pPr>
        <w:jc w:val="center"/>
        <w:rPr>
          <w:rFonts w:eastAsia="Gulim"/>
          <w:noProof/>
        </w:rPr>
      </w:pPr>
    </w:p>
    <w:p>
      <w:pPr>
        <w:ind w:left="567" w:hanging="567"/>
        <w:rPr>
          <w:noProof/>
        </w:rPr>
      </w:pPr>
      <w:r>
        <w:rPr>
          <w:noProof/>
        </w:rPr>
        <w:t>1.</w:t>
      </w:r>
      <w:r>
        <w:rPr>
          <w:noProof/>
        </w:rPr>
        <w:tab/>
        <w:t>Každá zmluvná strana prijíma na svoj trh výrobky, na ktoré sa vzťahuje táto príloha a platné osvedčenie o typovom schválení EHK OSN, ako výrobky vyhovujúce jej domácim technickým požiadavkám alebo postupom posudzovania zhody bez ďalších požiadaviek na skúšanie alebo značky s cieľom overiť alebo osvedčiť súlad s požiadavkami v oblasti regulovanej príslušnými predpismi EHK OSN.</w:t>
      </w:r>
    </w:p>
    <w:p>
      <w:pPr>
        <w:ind w:left="567" w:hanging="567"/>
        <w:rPr>
          <w:noProof/>
        </w:rPr>
      </w:pPr>
    </w:p>
    <w:p>
      <w:pPr>
        <w:ind w:left="567" w:hanging="567"/>
        <w:rPr>
          <w:noProof/>
        </w:rPr>
      </w:pPr>
      <w:r>
        <w:rPr>
          <w:noProof/>
        </w:rPr>
        <w:br w:type="page"/>
        <w:t>2.</w:t>
      </w:r>
      <w:r>
        <w:rPr>
          <w:noProof/>
        </w:rPr>
        <w:tab/>
        <w:t>Na časti a vybavenie uvedené v článku 1 (Všeobecné ustanovenia) ods. 1 písm. a) a b) sa vzťahujú tieto pravidlá:</w:t>
      </w:r>
    </w:p>
    <w:p>
      <w:pPr>
        <w:rPr>
          <w:noProof/>
        </w:rPr>
      </w:pPr>
    </w:p>
    <w:p>
      <w:pPr>
        <w:ind w:left="1134" w:hanging="567"/>
        <w:rPr>
          <w:noProof/>
        </w:rPr>
      </w:pPr>
      <w:r>
        <w:rPr>
          <w:noProof/>
        </w:rPr>
        <w:t>a)</w:t>
      </w:r>
      <w:r>
        <w:rPr>
          <w:noProof/>
        </w:rPr>
        <w:tab/>
        <w:t>Časti a vybavenie musia byť v čase dovozu sprevádzané príslušným osvedčením o typovom schválení EHK OSN. Dovážajúca zmluvná strana sa usiluje považovať platnú značku typového schválenia EHK OSN pripevnenú na týchto častiach a tomto vybavení za postačujúci dôkaz existencie platného osvedčenia o typovom schválení EHK OSN</w:t>
      </w:r>
      <w:r>
        <w:rPr>
          <w:noProof/>
        </w:rPr>
        <w:noBreakHyphen/>
        <w:t>.</w:t>
      </w:r>
    </w:p>
    <w:p>
      <w:pPr>
        <w:ind w:left="567" w:hanging="567"/>
        <w:rPr>
          <w:noProof/>
        </w:rPr>
      </w:pPr>
    </w:p>
    <w:p>
      <w:pPr>
        <w:ind w:left="1134" w:hanging="567"/>
        <w:rPr>
          <w:noProof/>
        </w:rPr>
      </w:pPr>
      <w:r>
        <w:rPr>
          <w:noProof/>
        </w:rPr>
        <w:t>b)</w:t>
      </w:r>
      <w:r>
        <w:rPr>
          <w:noProof/>
        </w:rPr>
        <w:tab/>
        <w:t>Potom ako sa Vietnam stane zmluvnou stranou dohody EHK OSN z roku 1958, prijíma podľa zásad a postupov dohody EHK OSN z roku 1958 platnú značku typového schválenia EHK OSN pripevnenú na častiach alebo vybavení, na ktoré sa vzťahuje táto príloha, ako dostatočný dôkaz o existencii platného osvedčenia o typovom schválení EHK OSN, keď je takáto značka typového schválenia EHK OSN výslovne uvedená v príslušných predpisoch EHK OSN, ktoré sa obe zmluvné strany zaviazali uplatňovať.</w:t>
      </w:r>
    </w:p>
    <w:p>
      <w:pPr>
        <w:ind w:left="567" w:hanging="567"/>
        <w:rPr>
          <w:noProof/>
        </w:rPr>
      </w:pPr>
    </w:p>
    <w:p>
      <w:pPr>
        <w:ind w:left="1134" w:hanging="567"/>
        <w:rPr>
          <w:noProof/>
        </w:rPr>
      </w:pPr>
      <w:r>
        <w:rPr>
          <w:noProof/>
        </w:rPr>
        <w:t>c)</w:t>
      </w:r>
      <w:r>
        <w:rPr>
          <w:noProof/>
        </w:rPr>
        <w:tab/>
        <w:t>Potom ako sa Vietnam stane zmluvnou stranou dohody EHK OSN z roku 1958, Únia prijíma platné typové schválenie EHK OSN častí a vybavenia, ktoré vydá vietnamský schvaľovací orgán v súlade s právami a povinnosťami podľa dohody EHK OSN z roku 1958.</w:t>
      </w:r>
    </w:p>
    <w:p>
      <w:pPr>
        <w:rPr>
          <w:noProof/>
        </w:rPr>
      </w:pPr>
    </w:p>
    <w:p>
      <w:pPr>
        <w:ind w:left="567" w:hanging="567"/>
        <w:rPr>
          <w:noProof/>
        </w:rPr>
      </w:pPr>
      <w:r>
        <w:rPr>
          <w:noProof/>
        </w:rPr>
        <w:br w:type="page"/>
        <w:t>3.</w:t>
      </w:r>
      <w:r>
        <w:rPr>
          <w:noProof/>
        </w:rPr>
        <w:tab/>
        <w:t>Na celé motorové vozidlá kategórie M1</w:t>
      </w:r>
      <w:r>
        <w:rPr>
          <w:rStyle w:val="FootnoteReference"/>
          <w:noProof/>
        </w:rPr>
        <w:footnoteReference w:id="1"/>
      </w:r>
      <w:r>
        <w:rPr>
          <w:noProof/>
        </w:rPr>
        <w:t xml:space="preserve"> EHK OSN uvedené v článku 1 (Všeobecné ustanovenia) ods. 1 písm. a) sa uplatňujú tieto pravidlá:</w:t>
      </w:r>
    </w:p>
    <w:p>
      <w:pPr>
        <w:ind w:left="1134" w:hanging="567"/>
        <w:rPr>
          <w:noProof/>
        </w:rPr>
      </w:pPr>
    </w:p>
    <w:p>
      <w:pPr>
        <w:ind w:left="1134" w:hanging="567"/>
        <w:rPr>
          <w:noProof/>
        </w:rPr>
      </w:pPr>
      <w:r>
        <w:rPr>
          <w:noProof/>
        </w:rPr>
        <w:t>a)</w:t>
      </w:r>
      <w:r>
        <w:rPr>
          <w:noProof/>
        </w:rPr>
        <w:tab/>
        <w:t>Vietnam prijíma na svoj trh ako spĺňajúce jeho domáce technické predpisy bez požiadaviek na ďalšie skúšanie také celé vozidlá tejto kategórie, pre ktoré vydal platné osvedčenie o medzinárodnom typovom schválení EHK OSN celého vozidla schvaľovací orgán Únie podľa zásad a postupov dohody EHK OSN z roku 1958. Typ vozidla, ktoré sa prvýkrát dováža do Vietnamu, musí sprevádzať platné osvedčenie o medzinárodnom typovom schválení EHK OSN celého vozidla.</w:t>
      </w:r>
    </w:p>
    <w:p>
      <w:pPr>
        <w:ind w:left="1134" w:hanging="567"/>
        <w:rPr>
          <w:noProof/>
        </w:rPr>
      </w:pPr>
    </w:p>
    <w:p>
      <w:pPr>
        <w:ind w:left="1134" w:hanging="567"/>
        <w:rPr>
          <w:noProof/>
        </w:rPr>
      </w:pPr>
      <w:r>
        <w:rPr>
          <w:noProof/>
        </w:rPr>
        <w:br w:type="page"/>
        <w:t>b)</w:t>
      </w:r>
      <w:r>
        <w:rPr>
          <w:noProof/>
        </w:rPr>
        <w:tab/>
        <w:t>Počas obdobia siedmich rokov začínajúcich päť rokov odo dňa nadobudnutia platnosti tejto dohody Vietnam bude uznávať platné osvedčenie o zhode ES celého vozidla. Typ vozidla, ktoré sa prvýkrát dováža do Vietnamu, musí sprevádzať príslušné osvedčenie o typovom schválení ES celého vozidla. Pri nasledujúcich dovozoch takéhoto typu vozidla sa osvedčenie o zhode ES považuje za dostatočný dôkaz existencie platného osvedčenia o typovom schválení ES celého vozidla. Ak je pre celé motorové vozidlá k dispozícii osvedčenie o medzinárodnom typovom schválení EHK OSN celého vozidla, Vietnam oznámi Únii, či bude ďalej prijímať platné osvedčenia o zhode ES celého vozidla ako alternatívu osvedčenia o medzinárodnom typovom schválení EHK OSN celého vozidla konkrétnej kategórie vozidiel.</w:t>
      </w:r>
    </w:p>
    <w:p>
      <w:pPr>
        <w:ind w:left="1134" w:hanging="567"/>
        <w:rPr>
          <w:noProof/>
        </w:rPr>
      </w:pPr>
    </w:p>
    <w:p>
      <w:pPr>
        <w:ind w:left="1134" w:hanging="567"/>
        <w:rPr>
          <w:noProof/>
        </w:rPr>
      </w:pPr>
      <w:r>
        <w:rPr>
          <w:noProof/>
        </w:rPr>
        <w:t>c)</w:t>
      </w:r>
      <w:r>
        <w:rPr>
          <w:noProof/>
        </w:rPr>
        <w:tab/>
        <w:t>Potom ako sa Vietnam stane zmluvnou stranou dohody EHK OSN z roku 1958 a bude uplatňovať predpis EHK OSN o medzinárodnom typovom schválení celého vozidla, Únia prijme platné osvedčenia o medzinárodnom typovom schválení EHK OSN celého vozidla vydané vietnamským schvaľovacím orgánom v súlade s právami a povinnosťami podľa dohody EHK OSN z roku 1958.</w:t>
      </w:r>
    </w:p>
    <w:p>
      <w:pPr>
        <w:rPr>
          <w:noProof/>
        </w:rPr>
      </w:pPr>
    </w:p>
    <w:p>
      <w:pPr>
        <w:ind w:left="567" w:hanging="567"/>
        <w:rPr>
          <w:noProof/>
        </w:rPr>
      </w:pPr>
      <w:r>
        <w:rPr>
          <w:noProof/>
        </w:rPr>
        <w:br w:type="page"/>
        <w:t>4.</w:t>
      </w:r>
      <w:r>
        <w:rPr>
          <w:noProof/>
        </w:rPr>
        <w:tab/>
        <w:t>Každý mesiac alebo po oznámení EHK OSN príslušné orgány každej zmluvnej strany, ktorá je zmluvnou stranou dohody EHK OSN z roku 1958, pošlú príslušným orgánom druhej zmluvnej strany zoznam výrobkov, na ktoré sa vzťahuje táto príloha a ktorým počas predchádzajúceho obdobia odmietli schválenie udeliť alebo ktorým ho odňali. Okrem toho po prijatí žiadosti príslušného orgánu druhej zmluvnej strany zmluvná strana bezodkladne pošle tomuto príslušnému orgánu kópie všetkých príslušných informácií, na základe ktorých sa rozhodla udeliť, odmietnuť udeliť alebo odňať schválenie celého motorového vozidla alebo schválenie častí, alebo vybavenia.</w:t>
      </w:r>
    </w:p>
    <w:p>
      <w:pPr>
        <w:rPr>
          <w:noProof/>
        </w:rPr>
      </w:pPr>
    </w:p>
    <w:p>
      <w:pPr>
        <w:ind w:left="567" w:hanging="567"/>
        <w:rPr>
          <w:noProof/>
        </w:rPr>
      </w:pPr>
      <w:r>
        <w:rPr>
          <w:noProof/>
        </w:rPr>
        <w:t>5.</w:t>
      </w:r>
      <w:r>
        <w:rPr>
          <w:noProof/>
        </w:rPr>
        <w:tab/>
        <w:t>Ak príslušné orgány zmluvnej strany zistia, že určité výrobky, na ktoré sa vzťahuje táto príloha, so značkami typového schválenia vydaného schvaľovacím orgánom druhej zmluvnej strany podľa predpisov EHK OSN alebo prípadne podľa zákonov a nariadení Únie o celých motorových vozidlách sa nezhodujú so schváleným typom, oznámia to príslušným orgánom druhej zmluvnej strany, ktoré vydali schválenie. Druhá zmluvná strana vykoná potrebné kroky, aby sa tieto výrobky jej výrobcov zhodovali so schválenými typmi a druhej zmluvnej strane oznámi kroky, ktoré vykonala, podľa potreby vrátane odňatia udeleného schválenia. Ak by mohla byť ohrozená bezpečnosť alebo životné prostredie, zmluvná strana, ktorá vydala schválenie a dostala informácie o nezhode so schváleným typom alebo schválenými typmi, informuje druhú zmluvnú stranu o situácii. Zmluvná strana môže zakázať predaj a používanie takýchto výrobkov, na ktoré sa vzťahuje táto príloha. V týchto prípadoch a na požiadanie zmluvná strana, ktorá schválenie vydala, pošle druhej zmluvnej strane všetky príslušné informácie, na základe ktorých bolo schválenie vydané.</w:t>
      </w:r>
    </w:p>
    <w:p>
      <w:pPr>
        <w:ind w:left="567" w:hanging="567"/>
        <w:rPr>
          <w:noProof/>
        </w:rPr>
      </w:pPr>
    </w:p>
    <w:p>
      <w:pPr>
        <w:ind w:left="567" w:hanging="567"/>
        <w:rPr>
          <w:noProof/>
        </w:rPr>
      </w:pPr>
      <w:r>
        <w:rPr>
          <w:noProof/>
        </w:rPr>
        <w:br w:type="page"/>
        <w:t>6.</w:t>
      </w:r>
      <w:r>
        <w:rPr>
          <w:noProof/>
        </w:rPr>
        <w:tab/>
        <w:t>Príslušné orgány druhej zmluvnej strany môžu v súlade s jej domácimi právnymi predpismi overovať na náhodnom výbere vzoriek, či výrobky, na ktoré sa vzťahuje táto príloha, spĺňajú príslušné domáce technické predpisy a požiadavky. Ich splnenie sa v prípade celých motorových vozidiel potvrdzuje osvedčením o medzinárodnom typovom schválení EHK OSN celého vozidla alebo prípadne osvedčením o typovom schválení ES a v prípade častí a vybavenia osvedčením o typovom schválení EHK OSN preukazujúcim súlad s príslušnými predpismi EHK OSN. Každá zmluvná strana môže vyžadovať od dodávateľa, aby stiahol z jej trhu výrobok, na ktorý sa vzťahuje táto príloha v prípade, ak dotknutý výrobok nespĺňa príslušné domáce technické predpisy a požiadavky.</w:t>
      </w:r>
    </w:p>
    <w:p>
      <w:pPr>
        <w:rPr>
          <w:rFonts w:eastAsia="Gulim"/>
          <w:noProof/>
        </w:rPr>
      </w:pPr>
    </w:p>
    <w:p>
      <w:pPr>
        <w:rPr>
          <w:rFonts w:eastAsia="Gulim"/>
          <w:noProof/>
        </w:rPr>
      </w:pPr>
    </w:p>
    <w:p>
      <w:pPr>
        <w:jc w:val="center"/>
        <w:rPr>
          <w:rFonts w:eastAsia="Gulim"/>
          <w:noProof/>
        </w:rPr>
      </w:pPr>
      <w:r>
        <w:rPr>
          <w:noProof/>
        </w:rPr>
        <w:t>ČLÁNOK 5</w:t>
      </w:r>
    </w:p>
    <w:p>
      <w:pPr>
        <w:jc w:val="center"/>
        <w:rPr>
          <w:rFonts w:eastAsia="Gulim"/>
          <w:noProof/>
        </w:rPr>
      </w:pPr>
    </w:p>
    <w:p>
      <w:pPr>
        <w:jc w:val="center"/>
        <w:rPr>
          <w:rFonts w:eastAsia="Gulim"/>
          <w:noProof/>
        </w:rPr>
      </w:pPr>
      <w:r>
        <w:rPr>
          <w:noProof/>
        </w:rPr>
        <w:t>Výrobky s novými technológiami alebo novými funkciami</w:t>
      </w:r>
    </w:p>
    <w:p>
      <w:pPr>
        <w:jc w:val="center"/>
        <w:rPr>
          <w:rFonts w:eastAsia="Gulim"/>
          <w:noProof/>
        </w:rPr>
      </w:pPr>
    </w:p>
    <w:p>
      <w:pPr>
        <w:ind w:left="567" w:hanging="567"/>
        <w:rPr>
          <w:noProof/>
        </w:rPr>
      </w:pPr>
      <w:r>
        <w:rPr>
          <w:noProof/>
        </w:rPr>
        <w:t>1.</w:t>
      </w:r>
      <w:r>
        <w:rPr>
          <w:noProof/>
        </w:rPr>
        <w:tab/>
        <w:t>Zmluvná strana so zreteľom na svoje domáce právne predpisy nesmie nenáležite odďaľovať uvedenie na trh častí a vybavenia podľa článku 1 (Všeobecné ustanovenia) ods. 1 písm. a) a b) z dôvodov, že obsahujú nové technológie alebo majú nové funkcie.</w:t>
      </w:r>
    </w:p>
    <w:p>
      <w:pPr>
        <w:ind w:left="567" w:hanging="567"/>
        <w:rPr>
          <w:noProof/>
        </w:rPr>
      </w:pPr>
    </w:p>
    <w:p>
      <w:pPr>
        <w:ind w:left="567" w:hanging="567"/>
        <w:rPr>
          <w:noProof/>
        </w:rPr>
      </w:pPr>
      <w:r>
        <w:rPr>
          <w:noProof/>
        </w:rPr>
        <w:br w:type="page"/>
        <w:t>2.</w:t>
      </w:r>
      <w:r>
        <w:rPr>
          <w:noProof/>
        </w:rPr>
        <w:tab/>
        <w:t>Keď zmluvná strana odmietne uvedenie na svoj trh alebo požaduje stiahnutie zo svojho trhu častí alebo vybavenia druhej zmluvnej strany uvedených v článku 1 (Všeobecné ustanovenia) ods. 1 písm. a) a b) z dôvodov, že obsahujú nové technológie alebo majú nové funkcie, ktoré sú rizikom pre zdravie ľudí, bezpečnosť alebo životné prostredie, bezodkladne toto rozhodnutie a jeho dôvody oznámi dotknutým hospodárskym subjektom.</w:t>
      </w:r>
    </w:p>
    <w:p>
      <w:pPr>
        <w:rPr>
          <w:rFonts w:eastAsia="Gulim"/>
          <w:noProof/>
        </w:rPr>
      </w:pPr>
    </w:p>
    <w:p>
      <w:pPr>
        <w:rPr>
          <w:rFonts w:eastAsia="Gulim"/>
          <w:noProof/>
        </w:rPr>
      </w:pPr>
    </w:p>
    <w:p>
      <w:pPr>
        <w:jc w:val="center"/>
        <w:rPr>
          <w:rFonts w:eastAsia="Gulim"/>
          <w:noProof/>
        </w:rPr>
      </w:pPr>
      <w:r>
        <w:rPr>
          <w:noProof/>
        </w:rPr>
        <w:t>ČLÁNOK 6</w:t>
      </w:r>
    </w:p>
    <w:p>
      <w:pPr>
        <w:jc w:val="center"/>
        <w:rPr>
          <w:rFonts w:eastAsia="Gulim"/>
          <w:noProof/>
        </w:rPr>
      </w:pPr>
    </w:p>
    <w:p>
      <w:pPr>
        <w:jc w:val="center"/>
        <w:rPr>
          <w:rFonts w:eastAsia="Gulim"/>
          <w:noProof/>
        </w:rPr>
      </w:pPr>
      <w:r>
        <w:rPr>
          <w:noProof/>
        </w:rPr>
        <w:t>Iné opatrenia obmedzujúce obchod</w:t>
      </w:r>
    </w:p>
    <w:p>
      <w:pPr>
        <w:jc w:val="center"/>
        <w:rPr>
          <w:rFonts w:eastAsia="Gulim"/>
          <w:noProof/>
        </w:rPr>
      </w:pPr>
    </w:p>
    <w:p>
      <w:pPr>
        <w:rPr>
          <w:noProof/>
        </w:rPr>
      </w:pPr>
      <w:r>
        <w:rPr>
          <w:noProof/>
        </w:rPr>
        <w:t>Žiadna zmluvná strana nezruší ani neobmedzí výhody týkajúce sa prístupu na trh, ktoré druhej zmluvnej strane vyplývajú z tejto prílohy, prostredníctvom iných regulačných opatrení špecifických pre odvetvie, na ktoré sa vzťahuje táto príloha. Tým nie je dotknuté právo každej zmluvnej strany prijímať opatrenia potrebné na zaistenie bezpečnosti, ochrany životného prostredia alebo zdravia ľudí a na predchádzanie klamlivým praktikám, ak sú tieto opatrenia založené na overených vedeckých a technických informáciách.</w:t>
      </w:r>
    </w:p>
    <w:p>
      <w:pPr>
        <w:rPr>
          <w:rFonts w:eastAsia="Gulim"/>
          <w:noProof/>
        </w:rPr>
      </w:pPr>
    </w:p>
    <w:p>
      <w:pPr>
        <w:rPr>
          <w:rFonts w:eastAsia="Gulim"/>
          <w:noProof/>
        </w:rPr>
      </w:pPr>
    </w:p>
    <w:p>
      <w:pPr>
        <w:jc w:val="center"/>
        <w:rPr>
          <w:rFonts w:eastAsia="Gulim"/>
          <w:noProof/>
        </w:rPr>
      </w:pPr>
      <w:r>
        <w:rPr>
          <w:noProof/>
        </w:rPr>
        <w:br w:type="page"/>
        <w:t>ČLÁNOK 7</w:t>
      </w:r>
    </w:p>
    <w:p>
      <w:pPr>
        <w:jc w:val="center"/>
        <w:rPr>
          <w:rFonts w:eastAsia="Gulim"/>
          <w:noProof/>
        </w:rPr>
      </w:pPr>
    </w:p>
    <w:p>
      <w:pPr>
        <w:jc w:val="center"/>
        <w:rPr>
          <w:rFonts w:eastAsia="Gulim"/>
          <w:noProof/>
        </w:rPr>
      </w:pPr>
      <w:r>
        <w:rPr>
          <w:noProof/>
        </w:rPr>
        <w:t>Spolupráca</w:t>
      </w:r>
    </w:p>
    <w:p>
      <w:pPr>
        <w:jc w:val="center"/>
        <w:rPr>
          <w:rFonts w:eastAsia="Gulim"/>
          <w:noProof/>
        </w:rPr>
      </w:pPr>
    </w:p>
    <w:p>
      <w:pPr>
        <w:ind w:left="567" w:hanging="567"/>
        <w:rPr>
          <w:noProof/>
        </w:rPr>
      </w:pPr>
      <w:r>
        <w:rPr>
          <w:noProof/>
        </w:rPr>
        <w:t>1.</w:t>
      </w:r>
      <w:r>
        <w:rPr>
          <w:noProof/>
        </w:rPr>
        <w:tab/>
        <w:t>V pracovnej skupine pre motorové vozidlá a ich časti zriadenej podľa článku 17.3 (Pracovné skupiny) zmluvné strany spolupracujú a vymieňajú si informácie o akýchkoľvek otázkach príslušných na vykonanie tejto prílohy.</w:t>
      </w:r>
    </w:p>
    <w:p>
      <w:pPr>
        <w:ind w:left="567" w:hanging="567"/>
        <w:rPr>
          <w:noProof/>
        </w:rPr>
      </w:pPr>
    </w:p>
    <w:p>
      <w:pPr>
        <w:ind w:left="567" w:hanging="567"/>
        <w:rPr>
          <w:noProof/>
        </w:rPr>
      </w:pPr>
      <w:r>
        <w:rPr>
          <w:noProof/>
        </w:rPr>
        <w:t>2.</w:t>
      </w:r>
      <w:r>
        <w:rPr>
          <w:noProof/>
        </w:rPr>
        <w:tab/>
        <w:t>Podľa kapitoly 16 (Spolupráca a budovanie kapacít) zmluvná strana na požiadanie druhej zmluvnej strany primerane zváži návrhy druhej zmluvnej strany, ktoré sa týkajú spolupráce podľa tejto prílohy. Táto spolupráca sa uskutočňuje po vzájomnej dohode okrem iného formou dialógu prostredníctvom vhodných kanálov, spoločných projektov, technickej pomoci a programov budovania kapacít v oblasti technických predpisov a postupov posudzovania zhody.</w:t>
      </w:r>
    </w:p>
    <w:p>
      <w:pPr>
        <w:ind w:left="567" w:hanging="567"/>
        <w:rPr>
          <w:noProof/>
        </w:rPr>
      </w:pPr>
    </w:p>
    <w:p>
      <w:pPr>
        <w:ind w:left="567" w:hanging="567"/>
        <w:rPr>
          <w:noProof/>
        </w:rPr>
      </w:pPr>
      <w:r>
        <w:rPr>
          <w:noProof/>
        </w:rPr>
        <w:t>3.</w:t>
      </w:r>
      <w:r>
        <w:rPr>
          <w:noProof/>
        </w:rPr>
        <w:tab/>
        <w:t>S výhradou kapitoly 16 (Spolupráca a budovanie kapacít) sa spolupráca zameriava na budovanie technických kapacít so zreteľom na zlepšovanie kompetencie a postupov skúšania na účely uznania typových schválení. Spolupráca môže zahŕňať odbornú prípravu, stáže alebo výmenu skúseností úradníkov vietnamského schvaľovacieho orgánu v schvaľovacích orgánoch Únie alebo podobné projekty.</w:t>
      </w:r>
    </w:p>
    <w:p>
      <w:pPr>
        <w:rPr>
          <w:rFonts w:eastAsia="Gulim"/>
          <w:noProof/>
        </w:rPr>
      </w:pPr>
    </w:p>
    <w:p>
      <w:pPr>
        <w:rPr>
          <w:rFonts w:eastAsia="Gulim"/>
          <w:noProof/>
        </w:rPr>
      </w:pPr>
    </w:p>
    <w:p>
      <w:pPr>
        <w:jc w:val="center"/>
        <w:rPr>
          <w:rFonts w:eastAsia="Gulim"/>
          <w:noProof/>
        </w:rPr>
      </w:pPr>
      <w:r>
        <w:rPr>
          <w:noProof/>
        </w:rPr>
        <w:br w:type="page"/>
        <w:t>ČLÁNOK 8</w:t>
      </w:r>
    </w:p>
    <w:p>
      <w:pPr>
        <w:jc w:val="center"/>
        <w:rPr>
          <w:rFonts w:eastAsia="Gulim"/>
          <w:noProof/>
        </w:rPr>
      </w:pPr>
    </w:p>
    <w:p>
      <w:pPr>
        <w:jc w:val="center"/>
        <w:rPr>
          <w:rFonts w:eastAsia="Gulim"/>
          <w:noProof/>
        </w:rPr>
      </w:pPr>
      <w:r>
        <w:rPr>
          <w:noProof/>
        </w:rPr>
        <w:t>Vykonávanie</w:t>
      </w:r>
    </w:p>
    <w:p>
      <w:pPr>
        <w:jc w:val="center"/>
        <w:rPr>
          <w:rFonts w:eastAsia="Gulim"/>
          <w:noProof/>
        </w:rPr>
      </w:pPr>
    </w:p>
    <w:p>
      <w:pPr>
        <w:ind w:left="567" w:hanging="567"/>
        <w:rPr>
          <w:noProof/>
        </w:rPr>
      </w:pPr>
      <w:r>
        <w:rPr>
          <w:noProof/>
        </w:rPr>
        <w:t>1.</w:t>
      </w:r>
      <w:r>
        <w:rPr>
          <w:noProof/>
        </w:rPr>
        <w:tab/>
        <w:t>Zmluvne strany súhlasia s tým, že pracovná skupina pre motorové vozidlá a ich časti uľahčuje vykonávanie tejto prílohy.</w:t>
      </w:r>
    </w:p>
    <w:p>
      <w:pPr>
        <w:ind w:left="567" w:hanging="567"/>
        <w:rPr>
          <w:noProof/>
        </w:rPr>
      </w:pPr>
    </w:p>
    <w:p>
      <w:pPr>
        <w:ind w:left="567" w:hanging="567"/>
        <w:rPr>
          <w:noProof/>
        </w:rPr>
      </w:pPr>
      <w:r>
        <w:rPr>
          <w:noProof/>
        </w:rPr>
        <w:t>2.</w:t>
      </w:r>
      <w:r>
        <w:rPr>
          <w:noProof/>
        </w:rPr>
        <w:tab/>
        <w:t>Pracovná skupina pre motorové vozidlá a ich časti monitoruje účinné vykonávanie tejto prílohy a môže zvážiť akúkoľvek záležitosť, ktorá s tým súvisí. Každá zmluvná strana zriadi kontaktné miesto na účinnú komunikáciu.</w:t>
      </w:r>
    </w:p>
    <w:p>
      <w:pPr>
        <w:ind w:left="567" w:hanging="567"/>
        <w:rPr>
          <w:noProof/>
        </w:rPr>
      </w:pPr>
    </w:p>
    <w:p>
      <w:pPr>
        <w:ind w:left="567" w:hanging="567"/>
        <w:rPr>
          <w:noProof/>
        </w:rPr>
      </w:pPr>
      <w:r>
        <w:rPr>
          <w:noProof/>
        </w:rPr>
        <w:t>3.</w:t>
      </w:r>
      <w:r>
        <w:rPr>
          <w:noProof/>
        </w:rPr>
        <w:tab/>
        <w:t>Na požiadanie zmluvnej strany, nie však skôr ako 10 rokov odo dňa nadobudnutia platnosti tejto dohody, zmluvné strany môžu preskúmať túto prílohu a rokovať o zahrnutí kategórií L, M a N EHK OSN do nej.</w:t>
      </w:r>
    </w:p>
    <w:p>
      <w:pPr>
        <w:rPr>
          <w:noProof/>
        </w:rPr>
      </w:pPr>
    </w:p>
    <w:p>
      <w:pPr>
        <w:rPr>
          <w:noProof/>
        </w:rPr>
      </w:pPr>
    </w:p>
    <w:p>
      <w:pPr>
        <w:jc w:val="center"/>
        <w:rPr>
          <w:noProof/>
        </w:rPr>
      </w:pPr>
      <w:r>
        <w:rPr>
          <w:noProof/>
        </w:rPr>
        <w:br w:type="page"/>
        <w:t>ČLÁNOK 9</w:t>
      </w:r>
    </w:p>
    <w:p>
      <w:pPr>
        <w:jc w:val="center"/>
        <w:rPr>
          <w:noProof/>
        </w:rPr>
      </w:pPr>
    </w:p>
    <w:p>
      <w:pPr>
        <w:jc w:val="center"/>
        <w:rPr>
          <w:noProof/>
        </w:rPr>
      </w:pPr>
      <w:r>
        <w:rPr>
          <w:noProof/>
        </w:rPr>
        <w:t>Dátum uplatňovania</w:t>
      </w:r>
    </w:p>
    <w:p>
      <w:pPr>
        <w:jc w:val="center"/>
        <w:rPr>
          <w:noProof/>
        </w:rPr>
      </w:pPr>
    </w:p>
    <w:p>
      <w:pPr>
        <w:rPr>
          <w:noProof/>
        </w:rPr>
      </w:pPr>
      <w:r>
        <w:rPr>
          <w:noProof/>
        </w:rPr>
        <w:t>Pokiaľ nie je uvedené inak, táto príloha sa uplatňuje po uplynutí troch rokov odo dňa nadobudnutia platnosti tejto dohody.</w:t>
      </w:r>
    </w:p>
    <w:p>
      <w:pPr>
        <w:rPr>
          <w:rFonts w:eastAsia="Calibri"/>
          <w:noProof/>
        </w:rPr>
      </w:pPr>
    </w:p>
    <w:p>
      <w:pPr>
        <w:rPr>
          <w:rFonts w:eastAsia="Calibri"/>
          <w:noProof/>
        </w:rPr>
      </w:pPr>
    </w:p>
    <w:p>
      <w:pPr>
        <w:jc w:val="center"/>
        <w:rPr>
          <w:rFonts w:eastAsia="Calibri"/>
          <w:noProof/>
        </w:rPr>
      </w:pPr>
      <w:r>
        <w:rPr>
          <w:noProof/>
        </w:rPr>
        <w:t>______________</w:t>
      </w:r>
    </w:p>
    <w:p>
      <w:pPr>
        <w:rPr>
          <w:rFonts w:eastAsia="Gulim"/>
          <w:noProof/>
        </w:rPr>
        <w:sectPr>
          <w:headerReference w:type="even" r:id="rId40"/>
          <w:headerReference w:type="default" r:id="rId41"/>
          <w:footerReference w:type="even" r:id="rId42"/>
          <w:footerReference w:type="default" r:id="rId43"/>
          <w:headerReference w:type="first" r:id="rId44"/>
          <w:footerReference w:type="first" r:id="rId45"/>
          <w:footnotePr>
            <w:numRestart w:val="eachPage"/>
          </w:footnotePr>
          <w:endnotePr>
            <w:numFmt w:val="decimal"/>
          </w:endnotePr>
          <w:pgSz w:w="11907" w:h="16840" w:code="9"/>
          <w:pgMar w:top="1134" w:right="1134" w:bottom="1134" w:left="1134" w:header="1134" w:footer="1134" w:gutter="0"/>
          <w:pgNumType w:start="1"/>
          <w:cols w:space="720"/>
          <w:docGrid w:linePitch="326"/>
        </w:sectPr>
      </w:pPr>
      <w:bookmarkStart w:id="2" w:name="_Toc231271634"/>
    </w:p>
    <w:p>
      <w:pPr>
        <w:jc w:val="right"/>
        <w:rPr>
          <w:rFonts w:eastAsia="Gulim"/>
          <w:b/>
          <w:bCs/>
          <w:noProof/>
          <w:u w:val="single"/>
        </w:rPr>
      </w:pPr>
      <w:r>
        <w:rPr>
          <w:b/>
          <w:noProof/>
          <w:u w:val="single"/>
        </w:rPr>
        <w:t>PRÍLOHA 2-C</w:t>
      </w:r>
    </w:p>
    <w:p>
      <w:pPr>
        <w:rPr>
          <w:rFonts w:eastAsia="Gulim"/>
          <w:noProof/>
        </w:rPr>
      </w:pPr>
    </w:p>
    <w:p>
      <w:pPr>
        <w:rPr>
          <w:rFonts w:eastAsia="Gulim"/>
          <w:noProof/>
        </w:rPr>
      </w:pPr>
    </w:p>
    <w:p>
      <w:pPr>
        <w:jc w:val="center"/>
        <w:rPr>
          <w:rFonts w:eastAsia="Gulim"/>
          <w:noProof/>
        </w:rPr>
      </w:pPr>
      <w:r>
        <w:rPr>
          <w:noProof/>
        </w:rPr>
        <w:t>Farmaceutické výrobky/lieky</w:t>
      </w:r>
      <w:bookmarkEnd w:id="2"/>
      <w:r>
        <w:rPr>
          <w:noProof/>
        </w:rPr>
        <w:t xml:space="preserve"> a zdravotnícke pomôcky</w:t>
      </w:r>
    </w:p>
    <w:p>
      <w:pPr>
        <w:rPr>
          <w:rFonts w:eastAsia="Gulim"/>
          <w:noProof/>
        </w:rPr>
      </w:pPr>
    </w:p>
    <w:p>
      <w:pPr>
        <w:rPr>
          <w:rFonts w:eastAsia="Gulim"/>
          <w:noProof/>
        </w:rPr>
      </w:pPr>
    </w:p>
    <w:p>
      <w:pPr>
        <w:jc w:val="center"/>
        <w:rPr>
          <w:rFonts w:eastAsia="Batang"/>
          <w:noProof/>
        </w:rPr>
      </w:pPr>
      <w:r>
        <w:rPr>
          <w:noProof/>
        </w:rPr>
        <w:t>ČLÁNOK 1</w:t>
      </w:r>
    </w:p>
    <w:p>
      <w:pPr>
        <w:jc w:val="center"/>
        <w:rPr>
          <w:rFonts w:eastAsia="Batang"/>
          <w:noProof/>
        </w:rPr>
      </w:pPr>
    </w:p>
    <w:p>
      <w:pPr>
        <w:jc w:val="center"/>
        <w:rPr>
          <w:rFonts w:eastAsia="Batang"/>
          <w:noProof/>
        </w:rPr>
      </w:pPr>
      <w:r>
        <w:rPr>
          <w:noProof/>
        </w:rPr>
        <w:t>Všeobecné ustanovenia</w:t>
      </w:r>
    </w:p>
    <w:p>
      <w:pPr>
        <w:jc w:val="center"/>
        <w:rPr>
          <w:rFonts w:eastAsia="Gulim"/>
          <w:noProof/>
        </w:rPr>
      </w:pPr>
    </w:p>
    <w:p>
      <w:pPr>
        <w:rPr>
          <w:rFonts w:eastAsia="Batang"/>
          <w:noProof/>
        </w:rPr>
      </w:pPr>
      <w:r>
        <w:rPr>
          <w:noProof/>
        </w:rPr>
        <w:t>Zmluvné strany potvrdzujú tieto spoločné ciele a zásady:</w:t>
      </w:r>
    </w:p>
    <w:p>
      <w:pPr>
        <w:ind w:left="567" w:hanging="567"/>
        <w:rPr>
          <w:rFonts w:eastAsia="Batang"/>
          <w:noProof/>
        </w:rPr>
      </w:pPr>
    </w:p>
    <w:p>
      <w:pPr>
        <w:ind w:left="567" w:hanging="567"/>
        <w:rPr>
          <w:rFonts w:eastAsia="Batang"/>
          <w:noProof/>
        </w:rPr>
      </w:pPr>
      <w:r>
        <w:rPr>
          <w:noProof/>
        </w:rPr>
        <w:t>a)</w:t>
      </w:r>
      <w:r>
        <w:rPr>
          <w:noProof/>
        </w:rPr>
        <w:tab/>
        <w:t>odstrániť necolné prekážky dvojstranného obchodu alebo im predchádzať na základe zásad otvorenosti, nediskriminácie a transparentnosti; a</w:t>
      </w:r>
    </w:p>
    <w:p>
      <w:pPr>
        <w:ind w:left="567" w:hanging="567"/>
        <w:rPr>
          <w:rFonts w:eastAsia="Gulim"/>
          <w:noProof/>
        </w:rPr>
      </w:pPr>
    </w:p>
    <w:p>
      <w:pPr>
        <w:ind w:left="567" w:hanging="567"/>
        <w:rPr>
          <w:rFonts w:eastAsia="Batang"/>
          <w:noProof/>
        </w:rPr>
      </w:pPr>
      <w:r>
        <w:rPr>
          <w:noProof/>
        </w:rPr>
        <w:t>b)</w:t>
      </w:r>
      <w:r>
        <w:rPr>
          <w:noProof/>
        </w:rPr>
        <w:tab/>
        <w:t>používať medzinárodné normy, postupy a usmernenia vypracované v rámci príslušných medzinárodných organizácií ako základ svojich technických predpisov.</w:t>
      </w:r>
    </w:p>
    <w:p>
      <w:pPr>
        <w:rPr>
          <w:rFonts w:eastAsia="Batang"/>
          <w:noProof/>
        </w:rPr>
      </w:pPr>
    </w:p>
    <w:p>
      <w:pPr>
        <w:rPr>
          <w:rFonts w:eastAsia="Batang"/>
          <w:noProof/>
        </w:rPr>
      </w:pPr>
    </w:p>
    <w:p>
      <w:pPr>
        <w:jc w:val="center"/>
        <w:rPr>
          <w:rFonts w:eastAsia="Batang"/>
          <w:noProof/>
        </w:rPr>
      </w:pPr>
      <w:r>
        <w:rPr>
          <w:noProof/>
        </w:rPr>
        <w:br w:type="page"/>
        <w:t>ČLÁNOK 2</w:t>
      </w:r>
    </w:p>
    <w:p>
      <w:pPr>
        <w:jc w:val="center"/>
        <w:rPr>
          <w:rFonts w:eastAsia="Batang"/>
          <w:noProof/>
        </w:rPr>
      </w:pPr>
    </w:p>
    <w:p>
      <w:pPr>
        <w:jc w:val="center"/>
        <w:rPr>
          <w:rFonts w:eastAsia="Batang"/>
          <w:noProof/>
        </w:rPr>
      </w:pPr>
      <w:r>
        <w:rPr>
          <w:noProof/>
        </w:rPr>
        <w:t>Vymedzenie pojmov</w:t>
      </w:r>
    </w:p>
    <w:p>
      <w:pPr>
        <w:jc w:val="center"/>
        <w:rPr>
          <w:rFonts w:eastAsia="Batang"/>
          <w:noProof/>
        </w:rPr>
      </w:pPr>
    </w:p>
    <w:p>
      <w:pPr>
        <w:rPr>
          <w:rFonts w:eastAsia="Batang"/>
          <w:noProof/>
        </w:rPr>
      </w:pPr>
      <w:r>
        <w:rPr>
          <w:noProof/>
        </w:rPr>
        <w:t>Na účely tejto prílohy:</w:t>
      </w:r>
    </w:p>
    <w:p>
      <w:pPr>
        <w:rPr>
          <w:rFonts w:eastAsia="Batang"/>
          <w:noProof/>
        </w:rPr>
      </w:pPr>
    </w:p>
    <w:p>
      <w:pPr>
        <w:ind w:left="567" w:hanging="567"/>
        <w:rPr>
          <w:rFonts w:eastAsia="Batang"/>
          <w:noProof/>
        </w:rPr>
      </w:pPr>
      <w:r>
        <w:rPr>
          <w:noProof/>
        </w:rPr>
        <w:t>a)</w:t>
      </w:r>
      <w:r>
        <w:rPr>
          <w:noProof/>
        </w:rPr>
        <w:tab/>
        <w:t>„farmaceutické výrobky/lieky“</w:t>
      </w:r>
      <w:r>
        <w:rPr>
          <w:rStyle w:val="FootnoteReference"/>
          <w:noProof/>
        </w:rPr>
        <w:footnoteReference w:id="2"/>
      </w:r>
      <w:r>
        <w:rPr>
          <w:noProof/>
        </w:rPr>
        <w:t xml:space="preserve"> sú akékoľvek látky alebo kombinácie látok, ktoré možno podať ľuďom na účely určenia diagnózy, liečenia alebo prevencie chorôb, alebo na obnovenie, nápravu alebo zmenu fyziologických funkcií alebo štruktúr. Farmaceutickými výrobkami/liekmi sú napríklad chemické lieky, biologické lieky [vakcíny, (anti)toxíny, krvné zložky, produkty pochádzajúce z krvi], rastlinné lieky, rádioaktívne lieky, rekombinantné lieky. Farmaceutické výrobky/lieky sú aj lieky na génovú terapiu, lieky na bunkovú terapiu alebo výrobky tkanivového inžinierstva, ak ich obe zmluvné strany regulujú ako farmaceutické výrobky/lieky.</w:t>
      </w:r>
    </w:p>
    <w:p>
      <w:pPr>
        <w:ind w:left="567" w:hanging="567"/>
        <w:rPr>
          <w:rFonts w:eastAsia="Batang"/>
          <w:noProof/>
        </w:rPr>
      </w:pPr>
    </w:p>
    <w:p>
      <w:pPr>
        <w:ind w:left="567" w:hanging="567"/>
        <w:rPr>
          <w:rFonts w:eastAsia="Batang"/>
          <w:noProof/>
        </w:rPr>
      </w:pPr>
      <w:r>
        <w:rPr>
          <w:noProof/>
        </w:rPr>
        <w:br w:type="page"/>
        <w:t>b)</w:t>
      </w:r>
      <w:r>
        <w:rPr>
          <w:noProof/>
        </w:rPr>
        <w:tab/>
        <w:t>„zdravotnícka pomôcka“</w:t>
      </w:r>
      <w:r>
        <w:rPr>
          <w:rStyle w:val="FootnoteReference"/>
          <w:noProof/>
        </w:rPr>
        <w:footnoteReference w:id="3"/>
      </w:r>
      <w:r>
        <w:rPr>
          <w:noProof/>
        </w:rPr>
        <w:t xml:space="preserve"> je akýkoľvek výrobok, ktorý spĺňa definíciu zdravotníckej pomôcky a diagnostickej zdravotníckej pomôcky </w:t>
      </w:r>
      <w:r>
        <w:rPr>
          <w:i/>
          <w:noProof/>
        </w:rPr>
        <w:t>in vitro</w:t>
      </w:r>
      <w:r>
        <w:rPr>
          <w:noProof/>
        </w:rPr>
        <w:t>, ako ju stanovilo v záverečnom dokumente GHTF/SG1/N071: 2012 Medzinárodné fórum regulátorov pre zdravotnícke pomôcky (GHTF/IMDRF); a</w:t>
      </w:r>
    </w:p>
    <w:p>
      <w:pPr>
        <w:ind w:left="567" w:hanging="567"/>
        <w:rPr>
          <w:rFonts w:eastAsia="Batang"/>
          <w:noProof/>
        </w:rPr>
      </w:pPr>
    </w:p>
    <w:p>
      <w:pPr>
        <w:ind w:left="567" w:hanging="567"/>
        <w:rPr>
          <w:rFonts w:eastAsia="Batang"/>
          <w:noProof/>
        </w:rPr>
      </w:pPr>
      <w:r>
        <w:rPr>
          <w:noProof/>
        </w:rPr>
        <w:t>c)</w:t>
      </w:r>
      <w:r>
        <w:rPr>
          <w:noProof/>
        </w:rPr>
        <w:tab/>
        <w:t>„pravidlá“ sú akýkoľvek zákon, predpis, postup, administratívne rozhodnutie alebo vykonávacie usmernenie, ktoré sú všeobecne záväzné.</w:t>
      </w:r>
    </w:p>
    <w:p>
      <w:pPr>
        <w:rPr>
          <w:rFonts w:eastAsia="Batang"/>
          <w:noProof/>
        </w:rPr>
      </w:pPr>
    </w:p>
    <w:p>
      <w:pPr>
        <w:rPr>
          <w:rFonts w:eastAsia="Batang"/>
          <w:noProof/>
        </w:rPr>
      </w:pPr>
    </w:p>
    <w:p>
      <w:pPr>
        <w:jc w:val="center"/>
        <w:rPr>
          <w:rFonts w:eastAsia="Batang"/>
          <w:noProof/>
        </w:rPr>
      </w:pPr>
      <w:r>
        <w:rPr>
          <w:noProof/>
        </w:rPr>
        <w:br w:type="page"/>
        <w:t>ČLÁNOK 3</w:t>
      </w:r>
    </w:p>
    <w:p>
      <w:pPr>
        <w:jc w:val="center"/>
        <w:rPr>
          <w:rFonts w:eastAsia="Batang"/>
          <w:noProof/>
        </w:rPr>
      </w:pPr>
    </w:p>
    <w:p>
      <w:pPr>
        <w:jc w:val="center"/>
        <w:rPr>
          <w:rFonts w:eastAsia="Batang"/>
          <w:noProof/>
        </w:rPr>
      </w:pPr>
      <w:r>
        <w:rPr>
          <w:noProof/>
        </w:rPr>
        <w:t>Medzinárodné normy</w:t>
      </w:r>
    </w:p>
    <w:p>
      <w:pPr>
        <w:jc w:val="center"/>
        <w:rPr>
          <w:rFonts w:eastAsia="Gulim"/>
          <w:noProof/>
        </w:rPr>
      </w:pPr>
    </w:p>
    <w:p>
      <w:pPr>
        <w:rPr>
          <w:rFonts w:eastAsia="Batang"/>
          <w:noProof/>
        </w:rPr>
      </w:pPr>
      <w:r>
        <w:rPr>
          <w:noProof/>
        </w:rPr>
        <w:t>Technické predpisy zmluvných strán vychádzajú z medzinárodných noriem, postupov a usmernení týkajúcich sa farmaceutických výrobkov/liekov alebo zdravotníckych pomôcok</w:t>
      </w:r>
      <w:r>
        <w:rPr>
          <w:rStyle w:val="FootnoteReference"/>
          <w:noProof/>
        </w:rPr>
        <w:footnoteReference w:id="4"/>
      </w:r>
      <w:r>
        <w:rPr>
          <w:noProof/>
        </w:rPr>
        <w:t xml:space="preserve"> vrátane predpisov vypracovaných Svetovou zdravotníckou organizáciou (WHO), Organizáciou pre hospodársku spoluprácu a rozvoj (OECD), Medzinárodnou radou pre harmonizáciu technických požiadaviek pre lieky na humánne použitie (ICH)</w:t>
      </w:r>
      <w:r>
        <w:rPr>
          <w:rStyle w:val="FootnoteReference"/>
          <w:noProof/>
        </w:rPr>
        <w:footnoteReference w:id="5"/>
      </w:r>
      <w:r>
        <w:rPr>
          <w:noProof/>
        </w:rPr>
        <w:t>, v rámci Dohovoru o farmaceutickej kontrole a Programu spolupráce v oblasti farmaceutickej kontroly (PIC/S) pre farmaceutické výrobky a pre zdravotnícke pomôcky a v rámci Medzinárodného fóra regulátorov pre zdravotnícke pomôcky (IMDRF), okrem riadne zdôvodnených prípadov na základe vedeckých a technických informácií, keď by také medzinárodné normy, postupy alebo usmernenia boli neúčinné alebo nevhodné na splnenie stanovených oprávnených cieľov.</w:t>
      </w:r>
    </w:p>
    <w:p>
      <w:pPr>
        <w:rPr>
          <w:rFonts w:eastAsia="Batang"/>
          <w:noProof/>
        </w:rPr>
      </w:pPr>
    </w:p>
    <w:p>
      <w:pPr>
        <w:rPr>
          <w:rFonts w:eastAsia="Batang"/>
          <w:noProof/>
        </w:rPr>
      </w:pPr>
    </w:p>
    <w:p>
      <w:pPr>
        <w:jc w:val="center"/>
        <w:rPr>
          <w:rFonts w:eastAsia="Batang"/>
          <w:noProof/>
        </w:rPr>
      </w:pPr>
      <w:r>
        <w:rPr>
          <w:noProof/>
        </w:rPr>
        <w:br w:type="page"/>
        <w:t>ČLÁNOK 4</w:t>
      </w:r>
    </w:p>
    <w:p>
      <w:pPr>
        <w:jc w:val="center"/>
        <w:rPr>
          <w:rFonts w:eastAsia="Batang"/>
          <w:noProof/>
        </w:rPr>
      </w:pPr>
    </w:p>
    <w:p>
      <w:pPr>
        <w:jc w:val="center"/>
        <w:rPr>
          <w:rFonts w:eastAsia="Batang"/>
          <w:noProof/>
        </w:rPr>
      </w:pPr>
      <w:r>
        <w:rPr>
          <w:noProof/>
        </w:rPr>
        <w:t>Transparentnosť</w:t>
      </w:r>
    </w:p>
    <w:p>
      <w:pPr>
        <w:rPr>
          <w:rFonts w:eastAsia="Batang"/>
          <w:noProof/>
        </w:rPr>
      </w:pPr>
    </w:p>
    <w:p>
      <w:pPr>
        <w:ind w:left="567" w:hanging="567"/>
        <w:rPr>
          <w:rFonts w:eastAsia="Batang"/>
          <w:noProof/>
        </w:rPr>
      </w:pPr>
      <w:r>
        <w:rPr>
          <w:noProof/>
        </w:rPr>
        <w:t>1.</w:t>
      </w:r>
      <w:r>
        <w:rPr>
          <w:noProof/>
        </w:rPr>
        <w:tab/>
        <w:t>Každá zmluvná strana bezodkladne uverejní alebo vo vhodnej včasnej fáze inak sprístupní svoje pravidlá týkajúce sa akejkoľvek záležitosti súvisiacej s oceňovaním, úhradou alebo reguláciou farmaceutických výrobkov/liekov alebo zdravotníckych pomôcok spôsobom, ktorý umožní zainteresovaným osobám oboznámiť sa s nimi.</w:t>
      </w:r>
    </w:p>
    <w:p>
      <w:pPr>
        <w:ind w:left="567" w:hanging="567"/>
        <w:rPr>
          <w:rFonts w:eastAsia="Batang"/>
          <w:noProof/>
        </w:rPr>
      </w:pPr>
    </w:p>
    <w:p>
      <w:pPr>
        <w:ind w:left="567" w:hanging="567"/>
        <w:rPr>
          <w:rFonts w:eastAsia="Batang"/>
          <w:noProof/>
        </w:rPr>
      </w:pPr>
      <w:r>
        <w:rPr>
          <w:noProof/>
        </w:rPr>
        <w:t>2.</w:t>
      </w:r>
      <w:r>
        <w:rPr>
          <w:noProof/>
        </w:rPr>
        <w:tab/>
        <w:t>Každá zmluvná strana v súlade s domácim právom a v najväčšom možnom rozsahu:</w:t>
      </w:r>
    </w:p>
    <w:p>
      <w:pPr>
        <w:ind w:left="567" w:hanging="567"/>
        <w:rPr>
          <w:rFonts w:eastAsia="Batang"/>
          <w:noProof/>
        </w:rPr>
      </w:pPr>
    </w:p>
    <w:p>
      <w:pPr>
        <w:ind w:left="1134" w:hanging="567"/>
        <w:rPr>
          <w:rFonts w:eastAsia="Batang"/>
          <w:noProof/>
        </w:rPr>
      </w:pPr>
      <w:r>
        <w:rPr>
          <w:noProof/>
        </w:rPr>
        <w:t>a)</w:t>
      </w:r>
      <w:r>
        <w:rPr>
          <w:noProof/>
        </w:rPr>
        <w:tab/>
        <w:t>vopred sprístupní verejnosti všetky pravidlá uvedené v odseku 1, ktoré navrhuje prijať alebo významne zmeniť;</w:t>
      </w:r>
    </w:p>
    <w:p>
      <w:pPr>
        <w:ind w:left="1134" w:hanging="567"/>
        <w:rPr>
          <w:rFonts w:eastAsia="Batang"/>
          <w:noProof/>
        </w:rPr>
      </w:pPr>
    </w:p>
    <w:p>
      <w:pPr>
        <w:ind w:left="1134" w:hanging="567"/>
        <w:rPr>
          <w:rFonts w:eastAsia="Batang"/>
          <w:noProof/>
        </w:rPr>
      </w:pPr>
      <w:r>
        <w:rPr>
          <w:noProof/>
        </w:rPr>
        <w:t>b)</w:t>
      </w:r>
      <w:r>
        <w:rPr>
          <w:noProof/>
        </w:rPr>
        <w:tab/>
        <w:t>poskytne primerané príležitosti zainteresovaným osobám, aby sa vyjadrili k navrhovaným pravidlám uvedeným v odseku 1, pričom najmä poskytne primeranú lehotu na konzultácie, a</w:t>
      </w:r>
    </w:p>
    <w:p>
      <w:pPr>
        <w:ind w:left="1134" w:hanging="567"/>
        <w:rPr>
          <w:rFonts w:eastAsia="Batang"/>
          <w:noProof/>
        </w:rPr>
      </w:pPr>
    </w:p>
    <w:p>
      <w:pPr>
        <w:ind w:left="1134" w:hanging="567"/>
        <w:rPr>
          <w:rFonts w:eastAsia="Batang"/>
          <w:noProof/>
        </w:rPr>
      </w:pPr>
      <w:r>
        <w:rPr>
          <w:noProof/>
        </w:rPr>
        <w:t>c)</w:t>
      </w:r>
      <w:r>
        <w:rPr>
          <w:noProof/>
        </w:rPr>
        <w:tab/>
        <w:t>písomne, vrátane prostriedkov elektronickej komunikácie, vyrieši významné a podstatné otázky uvedené v písomných vyjadreniach prijatých od zainteresovaných osôb počas obdobia konzultácií.</w:t>
      </w:r>
    </w:p>
    <w:p>
      <w:pPr>
        <w:ind w:left="567" w:hanging="567"/>
        <w:rPr>
          <w:rFonts w:eastAsia="Batang"/>
          <w:noProof/>
        </w:rPr>
      </w:pPr>
    </w:p>
    <w:p>
      <w:pPr>
        <w:ind w:left="567" w:hanging="567"/>
        <w:rPr>
          <w:rFonts w:eastAsia="Batang"/>
          <w:noProof/>
        </w:rPr>
      </w:pPr>
      <w:r>
        <w:rPr>
          <w:noProof/>
        </w:rPr>
        <w:br w:type="page"/>
        <w:t>3.</w:t>
      </w:r>
      <w:r>
        <w:rPr>
          <w:noProof/>
        </w:rPr>
        <w:tab/>
        <w:t>Keď je to možné, každá zmluvná strana stanoví primeranú lehotu od uverejnenia pravidiel uvedených v odseku 1 do nadobudnutia ich účinnosti.</w:t>
      </w:r>
    </w:p>
    <w:p>
      <w:pPr>
        <w:ind w:left="567" w:hanging="567"/>
        <w:rPr>
          <w:rFonts w:eastAsia="Batang"/>
          <w:noProof/>
        </w:rPr>
      </w:pPr>
    </w:p>
    <w:p>
      <w:pPr>
        <w:ind w:left="567" w:hanging="567"/>
        <w:rPr>
          <w:rFonts w:eastAsia="Batang"/>
          <w:noProof/>
        </w:rPr>
      </w:pPr>
      <w:r>
        <w:rPr>
          <w:noProof/>
        </w:rPr>
        <w:t>4.</w:t>
      </w:r>
      <w:r>
        <w:rPr>
          <w:noProof/>
        </w:rPr>
        <w:tab/>
        <w:t>Ak zmluvná strana zriadi orgán na prevádzkovanie alebo správu svojich programov zdravotnej starostlivosti a tento orgán zavedie alebo uskutočňuje postupy vedenia zoznamov, oceňovania alebo úhrady farmaceutických výrobkov/liekov, táto zmluvná strana:</w:t>
      </w:r>
    </w:p>
    <w:p>
      <w:pPr>
        <w:ind w:left="1134" w:hanging="567"/>
        <w:rPr>
          <w:rFonts w:eastAsia="Batang"/>
          <w:noProof/>
        </w:rPr>
      </w:pPr>
    </w:p>
    <w:p>
      <w:pPr>
        <w:ind w:left="1134" w:hanging="567"/>
        <w:rPr>
          <w:rFonts w:eastAsia="Batang"/>
          <w:noProof/>
        </w:rPr>
      </w:pPr>
      <w:r>
        <w:rPr>
          <w:noProof/>
        </w:rPr>
        <w:t>a)</w:t>
      </w:r>
      <w:r>
        <w:rPr>
          <w:noProof/>
        </w:rPr>
        <w:tab/>
        <w:t>zabezpečí, aby všetky kritériá, metodiky, pravidlá, usmernenia a iné vykonávacie opatrenia, ktoré sa uplatňujú na vedenie zoznamov, oceňovanie alebo úhradu farmaceutických výrobkov/liekov, vrátane tých, ktoré sú použité na určenie komparátorov, boli transparentné, spravodlivé, primerané a nediskriminačné a aby boli na požiadanie promptne sprístupnené držiteľovi zákonného práva k výrobku;</w:t>
      </w:r>
    </w:p>
    <w:p>
      <w:pPr>
        <w:ind w:left="1134" w:hanging="567"/>
        <w:rPr>
          <w:rFonts w:eastAsia="Batang"/>
          <w:noProof/>
        </w:rPr>
      </w:pPr>
    </w:p>
    <w:p>
      <w:pPr>
        <w:ind w:left="1134" w:hanging="567"/>
        <w:rPr>
          <w:rFonts w:eastAsia="Batang"/>
          <w:noProof/>
        </w:rPr>
      </w:pPr>
      <w:r>
        <w:rPr>
          <w:noProof/>
        </w:rPr>
        <w:t>b)</w:t>
      </w:r>
      <w:r>
        <w:rPr>
          <w:noProof/>
        </w:rPr>
        <w:tab/>
        <w:t>zabezpečí, aby sa rozhodnutia o všetkých požiadaniach a žiadostiach o ocenenie alebo schválenie úhrady farmaceutických výrobkov/liekov prijímali a oznamovali v primeranej a stanovenej lehote odo dňa ich doručenia;</w:t>
      </w:r>
      <w:bookmarkStart w:id="3" w:name="OLE_LINK7"/>
    </w:p>
    <w:p>
      <w:pPr>
        <w:ind w:left="1134" w:hanging="567"/>
        <w:rPr>
          <w:rFonts w:eastAsia="Batang"/>
          <w:noProof/>
        </w:rPr>
      </w:pPr>
    </w:p>
    <w:p>
      <w:pPr>
        <w:ind w:left="1134" w:hanging="567"/>
        <w:rPr>
          <w:rFonts w:eastAsia="Batang"/>
          <w:noProof/>
        </w:rPr>
      </w:pPr>
      <w:r>
        <w:rPr>
          <w:noProof/>
        </w:rPr>
        <w:t>c)</w:t>
      </w:r>
      <w:r>
        <w:rPr>
          <w:noProof/>
        </w:rPr>
        <w:tab/>
        <w:t>poskytne včas a zmysluplne držiteľovi zákonného práva k výrobku príležitosti na predloženie pripomienok v príslušných etapách procesov rozhodovania o cenách a úhradách bez toho, aby boli dotknuté zákony a iné predpisy o ochrane dôverných informácií niektorej zmluvnej strany, a</w:t>
      </w:r>
    </w:p>
    <w:bookmarkEnd w:id="3"/>
    <w:p>
      <w:pPr>
        <w:ind w:left="1134" w:hanging="567"/>
        <w:rPr>
          <w:rFonts w:eastAsia="Batang"/>
          <w:noProof/>
        </w:rPr>
      </w:pPr>
    </w:p>
    <w:p>
      <w:pPr>
        <w:ind w:left="1134" w:hanging="567"/>
        <w:rPr>
          <w:rFonts w:eastAsia="Batang"/>
          <w:noProof/>
        </w:rPr>
      </w:pPr>
      <w:r>
        <w:rPr>
          <w:noProof/>
        </w:rPr>
        <w:br w:type="page"/>
        <w:t>d)</w:t>
      </w:r>
      <w:r>
        <w:rPr>
          <w:noProof/>
        </w:rPr>
        <w:tab/>
        <w:t>v prípade záporného rozhodnutia o uvedení v zozname, ocenení alebo úhrade poskytne držiteľovi zákonného práva k výrobku odôvodnené stanovisko na základe objektívnych a overiteľných kritérií, ktoré je dostatočne podrobné na pochopenie základu rozhodnutia vrátane uplatnených kritérií a prípadných znaleckých posudkov alebo odporúčaní</w:t>
      </w:r>
      <w:bookmarkStart w:id="4" w:name="OLE_LINK3"/>
      <w:r>
        <w:rPr>
          <w:noProof/>
        </w:rPr>
        <w:t>, z ktorých rozhodnutie vychádza. Navyše tento držiteľ práv musí byť informovaný o akýchkoľvek dostupných prostriedkoch nápravy podľa domácich zákonov a iných predpisov a o lehotách na zavedenie takýchto prostriedkov nápravy</w:t>
      </w:r>
      <w:bookmarkEnd w:id="4"/>
      <w:r>
        <w:rPr>
          <w:noProof/>
        </w:rPr>
        <w:t>.</w:t>
      </w:r>
    </w:p>
    <w:p>
      <w:pPr>
        <w:rPr>
          <w:rFonts w:eastAsia="Gulim"/>
          <w:noProof/>
        </w:rPr>
      </w:pPr>
    </w:p>
    <w:p>
      <w:pPr>
        <w:rPr>
          <w:rFonts w:eastAsia="Gulim"/>
          <w:noProof/>
        </w:rPr>
      </w:pPr>
    </w:p>
    <w:p>
      <w:pPr>
        <w:jc w:val="center"/>
        <w:rPr>
          <w:rFonts w:eastAsia="Batang"/>
          <w:noProof/>
        </w:rPr>
      </w:pPr>
      <w:r>
        <w:rPr>
          <w:noProof/>
        </w:rPr>
        <w:t>ČLÁNOK 5</w:t>
      </w:r>
    </w:p>
    <w:p>
      <w:pPr>
        <w:jc w:val="center"/>
        <w:rPr>
          <w:rFonts w:eastAsia="Batang"/>
          <w:noProof/>
        </w:rPr>
      </w:pPr>
    </w:p>
    <w:p>
      <w:pPr>
        <w:jc w:val="center"/>
        <w:rPr>
          <w:rFonts w:eastAsia="Batang"/>
          <w:noProof/>
        </w:rPr>
      </w:pPr>
      <w:r>
        <w:rPr>
          <w:noProof/>
        </w:rPr>
        <w:t>Označovanie pôvodu</w:t>
      </w:r>
    </w:p>
    <w:p>
      <w:pPr>
        <w:jc w:val="center"/>
        <w:rPr>
          <w:rFonts w:eastAsia="Gulim"/>
          <w:noProof/>
        </w:rPr>
      </w:pPr>
    </w:p>
    <w:p>
      <w:pPr>
        <w:rPr>
          <w:noProof/>
        </w:rPr>
      </w:pPr>
      <w:r>
        <w:rPr>
          <w:noProof/>
        </w:rPr>
        <w:t>Vietnam môže na označovanie krajiny pôvodu farmaceutických výrobkov/liekov uplatňovať povinné požiadavky na úrovni členských štátov. Vietnamu sa odporúča zvážiť prijatie označovania „Made in EU“ alebo podobného označovania v miestnom jazyku ako spĺňajúceho takéto požiadavky na označovanie krajiny pôvodu.</w:t>
      </w:r>
    </w:p>
    <w:p>
      <w:pPr>
        <w:rPr>
          <w:rFonts w:eastAsia="Calibri"/>
          <w:noProof/>
        </w:rPr>
      </w:pPr>
    </w:p>
    <w:p>
      <w:pPr>
        <w:rPr>
          <w:rFonts w:eastAsia="Calibri"/>
          <w:noProof/>
        </w:rPr>
      </w:pPr>
    </w:p>
    <w:p>
      <w:pPr>
        <w:jc w:val="center"/>
        <w:rPr>
          <w:rFonts w:eastAsia="Calibri"/>
          <w:noProof/>
        </w:rPr>
      </w:pPr>
      <w:r>
        <w:rPr>
          <w:noProof/>
        </w:rPr>
        <w:t>______________</w:t>
      </w:r>
    </w:p>
    <w:p>
      <w:pPr>
        <w:rPr>
          <w:rFonts w:eastAsia="Calibri"/>
          <w:noProof/>
        </w:rPr>
        <w:sectPr>
          <w:headerReference w:type="even" r:id="rId46"/>
          <w:headerReference w:type="default" r:id="rId47"/>
          <w:footerReference w:type="even" r:id="rId48"/>
          <w:footerReference w:type="default" r:id="rId49"/>
          <w:headerReference w:type="first" r:id="rId50"/>
          <w:footerReference w:type="first" r:id="rId51"/>
          <w:footnotePr>
            <w:numRestart w:val="eachPage"/>
          </w:footnotePr>
          <w:endnotePr>
            <w:numFmt w:val="decimal"/>
          </w:endnotePr>
          <w:pgSz w:w="11907" w:h="16840" w:code="9"/>
          <w:pgMar w:top="1134" w:right="1134" w:bottom="1134" w:left="1134" w:header="1134" w:footer="1134" w:gutter="0"/>
          <w:pgNumType w:start="1"/>
          <w:cols w:space="720"/>
          <w:docGrid w:linePitch="326"/>
        </w:sectPr>
      </w:pPr>
    </w:p>
    <w:p>
      <w:pPr>
        <w:jc w:val="right"/>
        <w:rPr>
          <w:rFonts w:eastAsia="Calibri"/>
          <w:b/>
          <w:bCs/>
          <w:noProof/>
          <w:u w:val="single"/>
        </w:rPr>
      </w:pPr>
      <w:r>
        <w:rPr>
          <w:b/>
          <w:noProof/>
          <w:u w:val="single"/>
        </w:rPr>
        <w:t>PRÍLOHA 6-A</w:t>
      </w:r>
    </w:p>
    <w:p>
      <w:pPr>
        <w:rPr>
          <w:noProof/>
        </w:rPr>
      </w:pPr>
    </w:p>
    <w:p>
      <w:pPr>
        <w:rPr>
          <w:noProof/>
        </w:rPr>
      </w:pPr>
    </w:p>
    <w:p>
      <w:pPr>
        <w:jc w:val="center"/>
        <w:rPr>
          <w:rFonts w:eastAsia="Batang"/>
          <w:noProof/>
        </w:rPr>
      </w:pPr>
      <w:r>
        <w:rPr>
          <w:noProof/>
        </w:rPr>
        <w:t>Požiadavky a postupy schvaľovania zariadení pre výrobky</w:t>
      </w:r>
    </w:p>
    <w:p>
      <w:pPr>
        <w:rPr>
          <w:noProof/>
        </w:rPr>
      </w:pPr>
    </w:p>
    <w:p>
      <w:pPr>
        <w:ind w:left="567" w:hanging="567"/>
        <w:rPr>
          <w:noProof/>
        </w:rPr>
      </w:pPr>
      <w:r>
        <w:rPr>
          <w:noProof/>
        </w:rPr>
        <w:t>1.</w:t>
      </w:r>
      <w:r>
        <w:rPr>
          <w:noProof/>
        </w:rPr>
        <w:tab/>
        <w:t>Príslušný orgán dovážajúcej zmluvnej strany vypracuje zoznamy schválených zariadení a tieto zoznamy sprístupní verejnosti.</w:t>
      </w:r>
    </w:p>
    <w:p>
      <w:pPr>
        <w:ind w:left="567" w:hanging="567"/>
        <w:rPr>
          <w:rFonts w:eastAsia="Malgun Gothic"/>
          <w:noProof/>
        </w:rPr>
      </w:pPr>
    </w:p>
    <w:p>
      <w:pPr>
        <w:ind w:left="567" w:hanging="567"/>
        <w:rPr>
          <w:rFonts w:eastAsia="Malgun Gothic"/>
          <w:noProof/>
        </w:rPr>
      </w:pPr>
      <w:r>
        <w:rPr>
          <w:noProof/>
        </w:rPr>
        <w:t>2.</w:t>
      </w:r>
      <w:r>
        <w:rPr>
          <w:noProof/>
        </w:rPr>
        <w:tab/>
        <w:t>Požiadavky a postupy schvaľovania sú tieto:</w:t>
      </w:r>
    </w:p>
    <w:p>
      <w:pPr>
        <w:ind w:left="567" w:hanging="567"/>
        <w:rPr>
          <w:rFonts w:eastAsia="Malgun Gothic"/>
          <w:noProof/>
        </w:rPr>
      </w:pPr>
    </w:p>
    <w:p>
      <w:pPr>
        <w:ind w:left="1134" w:hanging="567"/>
        <w:rPr>
          <w:rFonts w:eastAsia="Malgun Gothic"/>
          <w:noProof/>
        </w:rPr>
      </w:pPr>
      <w:r>
        <w:rPr>
          <w:noProof/>
        </w:rPr>
        <w:t>a)</w:t>
      </w:r>
      <w:r>
        <w:rPr>
          <w:noProof/>
        </w:rPr>
        <w:tab/>
        <w:t>Dotknuté výrobky musia byť povolené príslušným orgánom dovážajúcej zmluvnej strany. Toto povolenie obsahuje požiadavky na dovoz a osvedčovanie.</w:t>
      </w:r>
    </w:p>
    <w:p>
      <w:pPr>
        <w:ind w:left="1134" w:hanging="567"/>
        <w:rPr>
          <w:rFonts w:eastAsia="Malgun Gothic"/>
          <w:noProof/>
        </w:rPr>
      </w:pPr>
    </w:p>
    <w:p>
      <w:pPr>
        <w:ind w:left="1134" w:hanging="567"/>
        <w:rPr>
          <w:rFonts w:eastAsia="Malgun Gothic"/>
          <w:noProof/>
        </w:rPr>
      </w:pPr>
      <w:r>
        <w:rPr>
          <w:noProof/>
        </w:rPr>
        <w:t>b)</w:t>
      </w:r>
      <w:r>
        <w:rPr>
          <w:noProof/>
        </w:rPr>
        <w:tab/>
        <w:t>Príslušný orgán vyvážajúcej zmluvnej strany schváli zariadenia, ktoré chcú vyvážať, a poskytne dovážajúcej zmluvnej strany uspokojivé sanitárne záruky toho, že zariadenia spĺňajú príslušné požiadavky dovážajúcej zmluvnej strany.</w:t>
      </w:r>
    </w:p>
    <w:p>
      <w:pPr>
        <w:ind w:left="1134" w:hanging="567"/>
        <w:rPr>
          <w:rFonts w:eastAsia="Malgun Gothic"/>
          <w:noProof/>
        </w:rPr>
      </w:pPr>
    </w:p>
    <w:p>
      <w:pPr>
        <w:ind w:left="1134" w:hanging="567"/>
        <w:rPr>
          <w:rFonts w:eastAsia="Malgun Gothic"/>
          <w:noProof/>
        </w:rPr>
      </w:pPr>
      <w:r>
        <w:rPr>
          <w:noProof/>
        </w:rPr>
        <w:t>c)</w:t>
      </w:r>
      <w:r>
        <w:rPr>
          <w:noProof/>
        </w:rPr>
        <w:tab/>
        <w:t>Príslušný orgán vyvážajúcej zmluvnej strany musí byť oprávnený pozastaviť alebo odňať zariadeniu povolenie vyvážať v prípade neplnenia uvedených požiadaviek.</w:t>
      </w:r>
    </w:p>
    <w:p>
      <w:pPr>
        <w:ind w:left="1134" w:hanging="567"/>
        <w:rPr>
          <w:rFonts w:eastAsia="Malgun Gothic"/>
          <w:noProof/>
        </w:rPr>
      </w:pPr>
    </w:p>
    <w:p>
      <w:pPr>
        <w:ind w:left="1134" w:hanging="567"/>
        <w:rPr>
          <w:rFonts w:eastAsia="Malgun Gothic"/>
          <w:noProof/>
        </w:rPr>
      </w:pPr>
      <w:r>
        <w:rPr>
          <w:noProof/>
        </w:rPr>
        <w:br w:type="page"/>
        <w:t>d)</w:t>
      </w:r>
      <w:r>
        <w:rPr>
          <w:noProof/>
        </w:rPr>
        <w:tab/>
        <w:t>Dovážajúca zmluvná strana môže vykonať overovania v súlade s ustanoveniami článku 6.7 (Overovania) ako súčasť schvaľovacieho postupu.</w:t>
      </w:r>
    </w:p>
    <w:p>
      <w:pPr>
        <w:ind w:left="1134" w:hanging="567"/>
        <w:rPr>
          <w:rFonts w:eastAsia="Malgun Gothic"/>
          <w:noProof/>
        </w:rPr>
      </w:pPr>
    </w:p>
    <w:p>
      <w:pPr>
        <w:ind w:left="1134" w:hanging="567"/>
        <w:rPr>
          <w:rFonts w:eastAsia="Malgun Gothic"/>
          <w:noProof/>
        </w:rPr>
      </w:pPr>
      <w:r>
        <w:rPr>
          <w:noProof/>
        </w:rPr>
        <w:t>e)</w:t>
      </w:r>
      <w:r>
        <w:rPr>
          <w:noProof/>
        </w:rPr>
        <w:tab/>
        <w:t>Overovanie uvedené v písmene d) sa týka štruktúry, organizácie a právomocí príslušného orgánu zodpovedného za schválenie zariadenia a za sanitárne záruky týkajúce sa súladu s požiadavkami dovážajúcej zmluvnej strany.</w:t>
      </w:r>
    </w:p>
    <w:p>
      <w:pPr>
        <w:ind w:left="1134" w:hanging="567"/>
        <w:rPr>
          <w:rFonts w:eastAsia="Malgun Gothic"/>
          <w:noProof/>
        </w:rPr>
      </w:pPr>
    </w:p>
    <w:p>
      <w:pPr>
        <w:ind w:left="1134" w:hanging="567"/>
        <w:rPr>
          <w:rFonts w:eastAsia="Malgun Gothic"/>
          <w:noProof/>
        </w:rPr>
      </w:pPr>
      <w:r>
        <w:rPr>
          <w:noProof/>
        </w:rPr>
        <w:t>f)</w:t>
      </w:r>
      <w:r>
        <w:rPr>
          <w:noProof/>
        </w:rPr>
        <w:tab/>
        <w:t>Súčasťou overovania uvedeného v písmene d) môže byť kontrola na mieste reprezentatívneho počtu zariadení uvedených v zozname alebo v zoznamoch, ktoré poskytla vyvážajúca zmluvná strana.</w:t>
      </w:r>
    </w:p>
    <w:p>
      <w:pPr>
        <w:ind w:left="1134" w:hanging="567"/>
        <w:rPr>
          <w:rFonts w:eastAsia="Malgun Gothic"/>
          <w:noProof/>
        </w:rPr>
      </w:pPr>
    </w:p>
    <w:p>
      <w:pPr>
        <w:ind w:left="1134" w:hanging="567"/>
        <w:rPr>
          <w:rFonts w:eastAsia="Malgun Gothic"/>
          <w:noProof/>
        </w:rPr>
      </w:pPr>
      <w:r>
        <w:rPr>
          <w:noProof/>
        </w:rPr>
        <w:t>g)</w:t>
      </w:r>
      <w:r>
        <w:rPr>
          <w:noProof/>
        </w:rPr>
        <w:tab/>
        <w:t>Dovážajúca zmluvná strana môže na základe výsledkov overovania uvedeného v písmene d) zmeniť zoznam zariadení.</w:t>
      </w:r>
    </w:p>
    <w:p>
      <w:pPr>
        <w:rPr>
          <w:rFonts w:eastAsia="Calibri"/>
          <w:noProof/>
        </w:rPr>
      </w:pPr>
    </w:p>
    <w:p>
      <w:pPr>
        <w:rPr>
          <w:rFonts w:eastAsia="Calibri"/>
          <w:noProof/>
        </w:rPr>
      </w:pPr>
    </w:p>
    <w:p>
      <w:pPr>
        <w:jc w:val="center"/>
        <w:rPr>
          <w:rFonts w:eastAsia="Calibri"/>
          <w:noProof/>
        </w:rPr>
      </w:pPr>
      <w:r>
        <w:rPr>
          <w:noProof/>
        </w:rPr>
        <w:t>______________</w:t>
      </w:r>
    </w:p>
    <w:p>
      <w:pPr>
        <w:rPr>
          <w:noProof/>
        </w:rPr>
        <w:sectPr>
          <w:headerReference w:type="even" r:id="rId52"/>
          <w:headerReference w:type="default" r:id="rId53"/>
          <w:footerReference w:type="even" r:id="rId54"/>
          <w:footerReference w:type="default" r:id="rId55"/>
          <w:headerReference w:type="first" r:id="rId56"/>
          <w:footerReference w:type="first" r:id="rId57"/>
          <w:footnotePr>
            <w:numRestart w:val="eachPage"/>
          </w:footnotePr>
          <w:endnotePr>
            <w:numFmt w:val="decimal"/>
          </w:endnotePr>
          <w:pgSz w:w="11907" w:h="16840" w:code="9"/>
          <w:pgMar w:top="1134" w:right="1134" w:bottom="1134" w:left="1134" w:header="1134" w:footer="1134" w:gutter="0"/>
          <w:pgNumType w:start="1"/>
          <w:cols w:space="720"/>
          <w:docGrid w:linePitch="326"/>
        </w:sectPr>
      </w:pPr>
    </w:p>
    <w:p>
      <w:pPr>
        <w:jc w:val="right"/>
        <w:rPr>
          <w:b/>
          <w:bCs/>
          <w:noProof/>
          <w:u w:val="single"/>
        </w:rPr>
      </w:pPr>
      <w:r>
        <w:rPr>
          <w:b/>
          <w:noProof/>
          <w:u w:val="single"/>
        </w:rPr>
        <w:t>PRÍLOHA 7-A</w:t>
      </w:r>
    </w:p>
    <w:p>
      <w:pPr>
        <w:rPr>
          <w:noProof/>
        </w:rPr>
      </w:pPr>
    </w:p>
    <w:p>
      <w:pPr>
        <w:rPr>
          <w:noProof/>
        </w:rPr>
      </w:pPr>
    </w:p>
    <w:p>
      <w:pPr>
        <w:jc w:val="center"/>
        <w:rPr>
          <w:noProof/>
        </w:rPr>
      </w:pPr>
      <w:r>
        <w:rPr>
          <w:noProof/>
        </w:rPr>
        <w:t>Zoznam colných položiek</w:t>
      </w:r>
    </w:p>
    <w:p>
      <w:pPr>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trPr>
          <w:trHeight w:val="227"/>
          <w:tblHeader/>
        </w:trPr>
        <w:tc>
          <w:tcPr>
            <w:tcW w:w="1250" w:type="pct"/>
            <w:shd w:val="clear" w:color="auto" w:fill="auto"/>
            <w:vAlign w:val="center"/>
          </w:tcPr>
          <w:p>
            <w:pPr>
              <w:spacing w:before="60" w:after="60" w:line="240" w:lineRule="auto"/>
              <w:jc w:val="center"/>
              <w:rPr>
                <w:rFonts w:asciiTheme="majorBidi" w:hAnsiTheme="majorBidi" w:cstheme="majorBidi"/>
                <w:noProof/>
                <w:szCs w:val="24"/>
              </w:rPr>
            </w:pPr>
            <w:r>
              <w:rPr>
                <w:rFonts w:asciiTheme="majorBidi" w:hAnsiTheme="majorBidi" w:cstheme="majorBidi"/>
                <w:noProof/>
              </w:rPr>
              <w:t>Číselný znak HS</w:t>
            </w:r>
          </w:p>
        </w:tc>
        <w:tc>
          <w:tcPr>
            <w:tcW w:w="1250" w:type="pct"/>
            <w:shd w:val="clear" w:color="auto" w:fill="auto"/>
            <w:vAlign w:val="center"/>
          </w:tcPr>
          <w:p>
            <w:pPr>
              <w:spacing w:before="60" w:after="60" w:line="240" w:lineRule="auto"/>
              <w:jc w:val="center"/>
              <w:rPr>
                <w:rFonts w:asciiTheme="majorBidi" w:hAnsiTheme="majorBidi" w:cstheme="majorBidi"/>
                <w:noProof/>
                <w:szCs w:val="24"/>
              </w:rPr>
            </w:pPr>
            <w:r>
              <w:rPr>
                <w:rFonts w:asciiTheme="majorBidi" w:hAnsiTheme="majorBidi" w:cstheme="majorBidi"/>
                <w:noProof/>
              </w:rPr>
              <w:t>Číselný znak HS</w:t>
            </w:r>
          </w:p>
        </w:tc>
        <w:tc>
          <w:tcPr>
            <w:tcW w:w="1250" w:type="pct"/>
            <w:shd w:val="clear" w:color="auto" w:fill="auto"/>
            <w:vAlign w:val="center"/>
          </w:tcPr>
          <w:p>
            <w:pPr>
              <w:spacing w:before="60" w:after="60" w:line="240" w:lineRule="auto"/>
              <w:jc w:val="center"/>
              <w:rPr>
                <w:rFonts w:asciiTheme="majorBidi" w:hAnsiTheme="majorBidi" w:cstheme="majorBidi"/>
                <w:noProof/>
                <w:szCs w:val="24"/>
              </w:rPr>
            </w:pPr>
            <w:r>
              <w:rPr>
                <w:rFonts w:asciiTheme="majorBidi" w:hAnsiTheme="majorBidi" w:cstheme="majorBidi"/>
                <w:noProof/>
              </w:rPr>
              <w:t>Číselný znak HS</w:t>
            </w:r>
          </w:p>
        </w:tc>
        <w:tc>
          <w:tcPr>
            <w:tcW w:w="1250" w:type="pct"/>
            <w:shd w:val="clear" w:color="auto" w:fill="auto"/>
            <w:vAlign w:val="center"/>
          </w:tcPr>
          <w:p>
            <w:pPr>
              <w:spacing w:before="60" w:after="60" w:line="240" w:lineRule="auto"/>
              <w:jc w:val="center"/>
              <w:rPr>
                <w:rFonts w:asciiTheme="majorBidi" w:hAnsiTheme="majorBidi" w:cstheme="majorBidi"/>
                <w:noProof/>
                <w:szCs w:val="24"/>
              </w:rPr>
            </w:pPr>
            <w:r>
              <w:rPr>
                <w:rFonts w:asciiTheme="majorBidi" w:hAnsiTheme="majorBidi" w:cstheme="majorBidi"/>
                <w:noProof/>
              </w:rPr>
              <w:t>Číselný znak HS</w:t>
            </w:r>
          </w:p>
        </w:tc>
      </w:tr>
      <w:tr>
        <w:trPr>
          <w:trHeight w:val="227"/>
        </w:trPr>
        <w:tc>
          <w:tcPr>
            <w:tcW w:w="1250" w:type="pct"/>
            <w:shd w:val="clear" w:color="auto" w:fill="auto"/>
          </w:tcPr>
          <w:p>
            <w:pPr>
              <w:spacing w:before="60" w:after="60" w:line="240" w:lineRule="auto"/>
              <w:rPr>
                <w:rFonts w:asciiTheme="majorBidi" w:hAnsiTheme="majorBidi" w:cstheme="majorBidi"/>
                <w:noProof/>
                <w:szCs w:val="24"/>
              </w:rPr>
            </w:pPr>
            <w:r>
              <w:rPr>
                <w:rFonts w:asciiTheme="majorBidi" w:hAnsiTheme="majorBidi" w:cstheme="majorBidi"/>
                <w:noProof/>
              </w:rPr>
              <w:t>840212</w:t>
            </w:r>
          </w:p>
          <w:p>
            <w:pPr>
              <w:spacing w:before="60" w:after="60" w:line="240" w:lineRule="auto"/>
              <w:rPr>
                <w:rFonts w:asciiTheme="majorBidi" w:hAnsiTheme="majorBidi" w:cstheme="majorBidi"/>
                <w:noProof/>
                <w:szCs w:val="24"/>
              </w:rPr>
            </w:pPr>
            <w:r>
              <w:rPr>
                <w:rFonts w:asciiTheme="majorBidi" w:hAnsiTheme="majorBidi" w:cstheme="majorBidi"/>
                <w:noProof/>
              </w:rPr>
              <w:t>840219</w:t>
            </w:r>
          </w:p>
          <w:p>
            <w:pPr>
              <w:spacing w:before="60" w:after="60" w:line="240" w:lineRule="auto"/>
              <w:rPr>
                <w:rFonts w:asciiTheme="majorBidi" w:hAnsiTheme="majorBidi" w:cstheme="majorBidi"/>
                <w:noProof/>
                <w:szCs w:val="24"/>
              </w:rPr>
            </w:pPr>
            <w:r>
              <w:rPr>
                <w:rFonts w:asciiTheme="majorBidi" w:hAnsiTheme="majorBidi" w:cstheme="majorBidi"/>
                <w:noProof/>
              </w:rPr>
              <w:t>840410</w:t>
            </w:r>
          </w:p>
          <w:p>
            <w:pPr>
              <w:spacing w:before="60" w:after="60" w:line="240" w:lineRule="auto"/>
              <w:rPr>
                <w:rFonts w:asciiTheme="majorBidi" w:hAnsiTheme="majorBidi" w:cstheme="majorBidi"/>
                <w:noProof/>
                <w:szCs w:val="24"/>
              </w:rPr>
            </w:pPr>
            <w:r>
              <w:rPr>
                <w:rFonts w:asciiTheme="majorBidi" w:hAnsiTheme="majorBidi" w:cstheme="majorBidi"/>
                <w:noProof/>
              </w:rPr>
              <w:t>840490</w:t>
            </w:r>
          </w:p>
          <w:p>
            <w:pPr>
              <w:spacing w:before="60" w:after="60" w:line="240" w:lineRule="auto"/>
              <w:rPr>
                <w:rFonts w:asciiTheme="majorBidi" w:hAnsiTheme="majorBidi" w:cstheme="majorBidi"/>
                <w:noProof/>
                <w:szCs w:val="24"/>
              </w:rPr>
            </w:pPr>
            <w:r>
              <w:rPr>
                <w:rFonts w:asciiTheme="majorBidi" w:hAnsiTheme="majorBidi" w:cstheme="majorBidi"/>
                <w:noProof/>
              </w:rPr>
              <w:t>840510</w:t>
            </w:r>
          </w:p>
          <w:p>
            <w:pPr>
              <w:spacing w:before="60" w:after="60" w:line="240" w:lineRule="auto"/>
              <w:rPr>
                <w:rFonts w:asciiTheme="majorBidi" w:hAnsiTheme="majorBidi" w:cstheme="majorBidi"/>
                <w:noProof/>
                <w:szCs w:val="24"/>
              </w:rPr>
            </w:pPr>
            <w:r>
              <w:rPr>
                <w:rFonts w:asciiTheme="majorBidi" w:hAnsiTheme="majorBidi" w:cstheme="majorBidi"/>
                <w:noProof/>
              </w:rPr>
              <w:t>840681</w:t>
            </w:r>
          </w:p>
          <w:p>
            <w:pPr>
              <w:spacing w:before="60" w:after="60" w:line="240" w:lineRule="auto"/>
              <w:rPr>
                <w:rFonts w:asciiTheme="majorBidi" w:hAnsiTheme="majorBidi" w:cstheme="majorBidi"/>
                <w:noProof/>
                <w:szCs w:val="24"/>
              </w:rPr>
            </w:pPr>
            <w:r>
              <w:rPr>
                <w:rFonts w:asciiTheme="majorBidi" w:hAnsiTheme="majorBidi" w:cstheme="majorBidi"/>
                <w:noProof/>
              </w:rPr>
              <w:t>840682</w:t>
            </w:r>
          </w:p>
          <w:p>
            <w:pPr>
              <w:spacing w:before="60" w:after="60" w:line="240" w:lineRule="auto"/>
              <w:rPr>
                <w:rFonts w:asciiTheme="majorBidi" w:hAnsiTheme="majorBidi" w:cstheme="majorBidi"/>
                <w:noProof/>
                <w:szCs w:val="24"/>
              </w:rPr>
            </w:pPr>
            <w:r>
              <w:rPr>
                <w:rFonts w:asciiTheme="majorBidi" w:hAnsiTheme="majorBidi" w:cstheme="majorBidi"/>
                <w:noProof/>
              </w:rPr>
              <w:t>840991</w:t>
            </w:r>
          </w:p>
          <w:p>
            <w:pPr>
              <w:spacing w:before="60" w:after="60" w:line="240" w:lineRule="auto"/>
              <w:rPr>
                <w:rFonts w:asciiTheme="majorBidi" w:hAnsiTheme="majorBidi" w:cstheme="majorBidi"/>
                <w:noProof/>
                <w:szCs w:val="24"/>
              </w:rPr>
            </w:pPr>
            <w:r>
              <w:rPr>
                <w:rFonts w:asciiTheme="majorBidi" w:hAnsiTheme="majorBidi" w:cstheme="majorBidi"/>
                <w:noProof/>
              </w:rPr>
              <w:t>840999</w:t>
            </w:r>
          </w:p>
          <w:p>
            <w:pPr>
              <w:spacing w:before="60" w:after="60" w:line="240" w:lineRule="auto"/>
              <w:rPr>
                <w:rFonts w:asciiTheme="majorBidi" w:hAnsiTheme="majorBidi" w:cstheme="majorBidi"/>
                <w:noProof/>
                <w:szCs w:val="24"/>
              </w:rPr>
            </w:pPr>
            <w:r>
              <w:rPr>
                <w:rFonts w:asciiTheme="majorBidi" w:hAnsiTheme="majorBidi" w:cstheme="majorBidi"/>
                <w:noProof/>
              </w:rPr>
              <w:t>841011</w:t>
            </w:r>
          </w:p>
          <w:p>
            <w:pPr>
              <w:spacing w:before="60" w:after="60" w:line="240" w:lineRule="auto"/>
              <w:rPr>
                <w:rFonts w:asciiTheme="majorBidi" w:hAnsiTheme="majorBidi" w:cstheme="majorBidi"/>
                <w:noProof/>
                <w:szCs w:val="24"/>
              </w:rPr>
            </w:pPr>
            <w:r>
              <w:rPr>
                <w:rFonts w:asciiTheme="majorBidi" w:hAnsiTheme="majorBidi" w:cstheme="majorBidi"/>
                <w:noProof/>
              </w:rPr>
              <w:t>841090</w:t>
            </w:r>
          </w:p>
          <w:p>
            <w:pPr>
              <w:spacing w:before="60" w:after="60" w:line="240" w:lineRule="auto"/>
              <w:rPr>
                <w:rFonts w:asciiTheme="majorBidi" w:hAnsiTheme="majorBidi" w:cstheme="majorBidi"/>
                <w:noProof/>
                <w:szCs w:val="24"/>
              </w:rPr>
            </w:pPr>
            <w:r>
              <w:rPr>
                <w:rFonts w:asciiTheme="majorBidi" w:hAnsiTheme="majorBidi" w:cstheme="majorBidi"/>
                <w:noProof/>
              </w:rPr>
              <w:t>841320</w:t>
            </w:r>
          </w:p>
          <w:p>
            <w:pPr>
              <w:spacing w:before="60" w:after="60" w:line="240" w:lineRule="auto"/>
              <w:rPr>
                <w:rFonts w:asciiTheme="majorBidi" w:hAnsiTheme="majorBidi" w:cstheme="majorBidi"/>
                <w:noProof/>
                <w:szCs w:val="24"/>
              </w:rPr>
            </w:pPr>
            <w:r>
              <w:rPr>
                <w:rFonts w:asciiTheme="majorBidi" w:hAnsiTheme="majorBidi" w:cstheme="majorBidi"/>
                <w:noProof/>
              </w:rPr>
              <w:t>841350</w:t>
            </w:r>
          </w:p>
          <w:p>
            <w:pPr>
              <w:spacing w:before="60" w:after="60" w:line="240" w:lineRule="auto"/>
              <w:rPr>
                <w:rFonts w:asciiTheme="majorBidi" w:hAnsiTheme="majorBidi" w:cstheme="majorBidi"/>
                <w:noProof/>
                <w:szCs w:val="24"/>
              </w:rPr>
            </w:pPr>
            <w:r>
              <w:rPr>
                <w:rFonts w:asciiTheme="majorBidi" w:hAnsiTheme="majorBidi" w:cstheme="majorBidi"/>
                <w:noProof/>
              </w:rPr>
              <w:t>841360</w:t>
            </w:r>
          </w:p>
          <w:p>
            <w:pPr>
              <w:spacing w:before="60" w:after="60" w:line="240" w:lineRule="auto"/>
              <w:rPr>
                <w:rFonts w:asciiTheme="majorBidi" w:hAnsiTheme="majorBidi" w:cstheme="majorBidi"/>
                <w:noProof/>
                <w:szCs w:val="24"/>
              </w:rPr>
            </w:pPr>
            <w:r>
              <w:rPr>
                <w:rFonts w:asciiTheme="majorBidi" w:hAnsiTheme="majorBidi" w:cstheme="majorBidi"/>
                <w:noProof/>
              </w:rPr>
              <w:t>841370</w:t>
            </w:r>
          </w:p>
          <w:p>
            <w:pPr>
              <w:spacing w:before="60" w:after="60" w:line="240" w:lineRule="auto"/>
              <w:rPr>
                <w:rFonts w:asciiTheme="majorBidi" w:hAnsiTheme="majorBidi" w:cstheme="majorBidi"/>
                <w:noProof/>
                <w:szCs w:val="24"/>
              </w:rPr>
            </w:pPr>
            <w:r>
              <w:rPr>
                <w:rFonts w:asciiTheme="majorBidi" w:hAnsiTheme="majorBidi" w:cstheme="majorBidi"/>
                <w:noProof/>
              </w:rPr>
              <w:t>841381</w:t>
            </w:r>
          </w:p>
          <w:p>
            <w:pPr>
              <w:spacing w:before="60" w:after="60" w:line="240" w:lineRule="auto"/>
              <w:rPr>
                <w:rFonts w:asciiTheme="majorBidi" w:hAnsiTheme="majorBidi" w:cstheme="majorBidi"/>
                <w:noProof/>
                <w:szCs w:val="24"/>
              </w:rPr>
            </w:pPr>
            <w:r>
              <w:rPr>
                <w:rFonts w:asciiTheme="majorBidi" w:hAnsiTheme="majorBidi" w:cstheme="majorBidi"/>
                <w:noProof/>
              </w:rPr>
              <w:t>841391</w:t>
            </w:r>
          </w:p>
          <w:p>
            <w:pPr>
              <w:spacing w:before="60" w:after="60" w:line="240" w:lineRule="auto"/>
              <w:rPr>
                <w:rFonts w:asciiTheme="majorBidi" w:hAnsiTheme="majorBidi" w:cstheme="majorBidi"/>
                <w:noProof/>
                <w:szCs w:val="24"/>
              </w:rPr>
            </w:pPr>
            <w:r>
              <w:rPr>
                <w:rFonts w:asciiTheme="majorBidi" w:hAnsiTheme="majorBidi" w:cstheme="majorBidi"/>
                <w:noProof/>
              </w:rPr>
              <w:t>841410</w:t>
            </w:r>
          </w:p>
          <w:p>
            <w:pPr>
              <w:spacing w:before="60" w:after="60" w:line="240" w:lineRule="auto"/>
              <w:rPr>
                <w:rFonts w:asciiTheme="majorBidi" w:hAnsiTheme="majorBidi" w:cstheme="majorBidi"/>
                <w:noProof/>
                <w:szCs w:val="24"/>
              </w:rPr>
            </w:pPr>
            <w:r>
              <w:rPr>
                <w:rFonts w:asciiTheme="majorBidi" w:hAnsiTheme="majorBidi" w:cstheme="majorBidi"/>
                <w:noProof/>
              </w:rPr>
              <w:t>841430</w:t>
            </w:r>
          </w:p>
          <w:p>
            <w:pPr>
              <w:spacing w:before="60" w:after="60" w:line="240" w:lineRule="auto"/>
              <w:rPr>
                <w:rFonts w:asciiTheme="majorBidi" w:hAnsiTheme="majorBidi" w:cstheme="majorBidi"/>
                <w:noProof/>
                <w:szCs w:val="24"/>
              </w:rPr>
            </w:pPr>
            <w:r>
              <w:rPr>
                <w:rFonts w:asciiTheme="majorBidi" w:hAnsiTheme="majorBidi" w:cstheme="majorBidi"/>
                <w:noProof/>
              </w:rPr>
              <w:t>841440</w:t>
            </w:r>
          </w:p>
          <w:p>
            <w:pPr>
              <w:spacing w:before="60" w:after="60" w:line="240" w:lineRule="auto"/>
              <w:rPr>
                <w:rFonts w:asciiTheme="majorBidi" w:hAnsiTheme="majorBidi" w:cstheme="majorBidi"/>
                <w:noProof/>
                <w:szCs w:val="24"/>
              </w:rPr>
            </w:pPr>
            <w:r>
              <w:rPr>
                <w:rFonts w:asciiTheme="majorBidi" w:hAnsiTheme="majorBidi" w:cstheme="majorBidi"/>
                <w:noProof/>
              </w:rPr>
              <w:t>841459</w:t>
            </w:r>
          </w:p>
        </w:tc>
        <w:tc>
          <w:tcPr>
            <w:tcW w:w="1250" w:type="pct"/>
            <w:shd w:val="clear" w:color="auto" w:fill="auto"/>
          </w:tcPr>
          <w:p>
            <w:pPr>
              <w:spacing w:before="60" w:after="60" w:line="240" w:lineRule="auto"/>
              <w:rPr>
                <w:rFonts w:asciiTheme="majorBidi" w:hAnsiTheme="majorBidi" w:cstheme="majorBidi"/>
                <w:noProof/>
                <w:szCs w:val="24"/>
              </w:rPr>
            </w:pPr>
            <w:r>
              <w:rPr>
                <w:rFonts w:asciiTheme="majorBidi" w:hAnsiTheme="majorBidi" w:cstheme="majorBidi"/>
                <w:noProof/>
              </w:rPr>
              <w:t>841480</w:t>
            </w:r>
          </w:p>
          <w:p>
            <w:pPr>
              <w:spacing w:before="60" w:after="60" w:line="240" w:lineRule="auto"/>
              <w:rPr>
                <w:rFonts w:asciiTheme="majorBidi" w:hAnsiTheme="majorBidi" w:cstheme="majorBidi"/>
                <w:noProof/>
                <w:szCs w:val="24"/>
              </w:rPr>
            </w:pPr>
            <w:r>
              <w:rPr>
                <w:rFonts w:asciiTheme="majorBidi" w:hAnsiTheme="majorBidi" w:cstheme="majorBidi"/>
                <w:noProof/>
              </w:rPr>
              <w:t>841490</w:t>
            </w:r>
          </w:p>
          <w:p>
            <w:pPr>
              <w:spacing w:before="60" w:after="60" w:line="240" w:lineRule="auto"/>
              <w:rPr>
                <w:rFonts w:asciiTheme="majorBidi" w:hAnsiTheme="majorBidi" w:cstheme="majorBidi"/>
                <w:noProof/>
                <w:szCs w:val="24"/>
              </w:rPr>
            </w:pPr>
            <w:r>
              <w:rPr>
                <w:rFonts w:asciiTheme="majorBidi" w:hAnsiTheme="majorBidi" w:cstheme="majorBidi"/>
                <w:noProof/>
              </w:rPr>
              <w:t>841581</w:t>
            </w:r>
          </w:p>
          <w:p>
            <w:pPr>
              <w:spacing w:before="60" w:after="60" w:line="240" w:lineRule="auto"/>
              <w:rPr>
                <w:rFonts w:asciiTheme="majorBidi" w:hAnsiTheme="majorBidi" w:cstheme="majorBidi"/>
                <w:noProof/>
                <w:szCs w:val="24"/>
              </w:rPr>
            </w:pPr>
            <w:r>
              <w:rPr>
                <w:rFonts w:asciiTheme="majorBidi" w:hAnsiTheme="majorBidi" w:cstheme="majorBidi"/>
                <w:noProof/>
              </w:rPr>
              <w:t>841620</w:t>
            </w:r>
          </w:p>
          <w:p>
            <w:pPr>
              <w:spacing w:before="60" w:after="60" w:line="240" w:lineRule="auto"/>
              <w:rPr>
                <w:rFonts w:asciiTheme="majorBidi" w:hAnsiTheme="majorBidi" w:cstheme="majorBidi"/>
                <w:noProof/>
                <w:szCs w:val="24"/>
              </w:rPr>
            </w:pPr>
            <w:r>
              <w:rPr>
                <w:rFonts w:asciiTheme="majorBidi" w:hAnsiTheme="majorBidi" w:cstheme="majorBidi"/>
                <w:noProof/>
              </w:rPr>
              <w:t>841630</w:t>
            </w:r>
          </w:p>
          <w:p>
            <w:pPr>
              <w:spacing w:before="60" w:after="60" w:line="240" w:lineRule="auto"/>
              <w:rPr>
                <w:rFonts w:asciiTheme="majorBidi" w:hAnsiTheme="majorBidi" w:cstheme="majorBidi"/>
                <w:noProof/>
                <w:szCs w:val="24"/>
              </w:rPr>
            </w:pPr>
            <w:r>
              <w:rPr>
                <w:rFonts w:asciiTheme="majorBidi" w:hAnsiTheme="majorBidi" w:cstheme="majorBidi"/>
                <w:noProof/>
              </w:rPr>
              <w:t>841690</w:t>
            </w:r>
          </w:p>
          <w:p>
            <w:pPr>
              <w:spacing w:before="60" w:after="60" w:line="240" w:lineRule="auto"/>
              <w:rPr>
                <w:rFonts w:asciiTheme="majorBidi" w:hAnsiTheme="majorBidi" w:cstheme="majorBidi"/>
                <w:noProof/>
                <w:szCs w:val="24"/>
              </w:rPr>
            </w:pPr>
            <w:r>
              <w:rPr>
                <w:rFonts w:asciiTheme="majorBidi" w:hAnsiTheme="majorBidi" w:cstheme="majorBidi"/>
                <w:noProof/>
              </w:rPr>
              <w:t>841861</w:t>
            </w:r>
          </w:p>
          <w:p>
            <w:pPr>
              <w:spacing w:before="60" w:after="60" w:line="240" w:lineRule="auto"/>
              <w:rPr>
                <w:rFonts w:asciiTheme="majorBidi" w:hAnsiTheme="majorBidi" w:cstheme="majorBidi"/>
                <w:noProof/>
                <w:szCs w:val="24"/>
              </w:rPr>
            </w:pPr>
            <w:r>
              <w:rPr>
                <w:rFonts w:asciiTheme="majorBidi" w:hAnsiTheme="majorBidi" w:cstheme="majorBidi"/>
                <w:noProof/>
              </w:rPr>
              <w:t>841869</w:t>
            </w:r>
          </w:p>
          <w:p>
            <w:pPr>
              <w:spacing w:before="60" w:after="60" w:line="240" w:lineRule="auto"/>
              <w:rPr>
                <w:rFonts w:asciiTheme="majorBidi" w:hAnsiTheme="majorBidi" w:cstheme="majorBidi"/>
                <w:noProof/>
                <w:szCs w:val="24"/>
              </w:rPr>
            </w:pPr>
            <w:r>
              <w:rPr>
                <w:rFonts w:asciiTheme="majorBidi" w:hAnsiTheme="majorBidi" w:cstheme="majorBidi"/>
                <w:noProof/>
              </w:rPr>
              <w:t>841899</w:t>
            </w:r>
          </w:p>
          <w:p>
            <w:pPr>
              <w:spacing w:before="60" w:after="60" w:line="240" w:lineRule="auto"/>
              <w:rPr>
                <w:rFonts w:asciiTheme="majorBidi" w:hAnsiTheme="majorBidi" w:cstheme="majorBidi"/>
                <w:noProof/>
                <w:szCs w:val="24"/>
              </w:rPr>
            </w:pPr>
            <w:r>
              <w:rPr>
                <w:rFonts w:asciiTheme="majorBidi" w:hAnsiTheme="majorBidi" w:cstheme="majorBidi"/>
                <w:noProof/>
              </w:rPr>
              <w:t>841950</w:t>
            </w:r>
          </w:p>
          <w:p>
            <w:pPr>
              <w:spacing w:before="60" w:after="60" w:line="240" w:lineRule="auto"/>
              <w:rPr>
                <w:rFonts w:asciiTheme="majorBidi" w:hAnsiTheme="majorBidi" w:cstheme="majorBidi"/>
                <w:noProof/>
                <w:szCs w:val="24"/>
              </w:rPr>
            </w:pPr>
            <w:r>
              <w:rPr>
                <w:rFonts w:asciiTheme="majorBidi" w:hAnsiTheme="majorBidi" w:cstheme="majorBidi"/>
                <w:noProof/>
              </w:rPr>
              <w:t>842119</w:t>
            </w:r>
          </w:p>
          <w:p>
            <w:pPr>
              <w:spacing w:before="60" w:after="60" w:line="240" w:lineRule="auto"/>
              <w:rPr>
                <w:rFonts w:asciiTheme="majorBidi" w:hAnsiTheme="majorBidi" w:cstheme="majorBidi"/>
                <w:noProof/>
                <w:szCs w:val="24"/>
              </w:rPr>
            </w:pPr>
            <w:r>
              <w:rPr>
                <w:rFonts w:asciiTheme="majorBidi" w:hAnsiTheme="majorBidi" w:cstheme="majorBidi"/>
                <w:noProof/>
              </w:rPr>
              <w:t>842121</w:t>
            </w:r>
          </w:p>
          <w:p>
            <w:pPr>
              <w:spacing w:before="60" w:after="60" w:line="240" w:lineRule="auto"/>
              <w:rPr>
                <w:rFonts w:asciiTheme="majorBidi" w:hAnsiTheme="majorBidi" w:cstheme="majorBidi"/>
                <w:noProof/>
                <w:szCs w:val="24"/>
              </w:rPr>
            </w:pPr>
            <w:r>
              <w:rPr>
                <w:rFonts w:asciiTheme="majorBidi" w:hAnsiTheme="majorBidi" w:cstheme="majorBidi"/>
                <w:noProof/>
              </w:rPr>
              <w:t>842191</w:t>
            </w:r>
          </w:p>
          <w:p>
            <w:pPr>
              <w:spacing w:before="60" w:after="60" w:line="240" w:lineRule="auto"/>
              <w:rPr>
                <w:rFonts w:asciiTheme="majorBidi" w:hAnsiTheme="majorBidi" w:cstheme="majorBidi"/>
                <w:noProof/>
                <w:szCs w:val="24"/>
              </w:rPr>
            </w:pPr>
            <w:r>
              <w:rPr>
                <w:rFonts w:asciiTheme="majorBidi" w:hAnsiTheme="majorBidi" w:cstheme="majorBidi"/>
                <w:noProof/>
              </w:rPr>
              <w:t>842199</w:t>
            </w:r>
          </w:p>
          <w:p>
            <w:pPr>
              <w:spacing w:before="60" w:after="60" w:line="240" w:lineRule="auto"/>
              <w:rPr>
                <w:rFonts w:asciiTheme="majorBidi" w:hAnsiTheme="majorBidi" w:cstheme="majorBidi"/>
                <w:noProof/>
                <w:szCs w:val="24"/>
              </w:rPr>
            </w:pPr>
            <w:r>
              <w:rPr>
                <w:rFonts w:asciiTheme="majorBidi" w:hAnsiTheme="majorBidi" w:cstheme="majorBidi"/>
                <w:noProof/>
              </w:rPr>
              <w:t>842220</w:t>
            </w:r>
          </w:p>
          <w:p>
            <w:pPr>
              <w:spacing w:before="60" w:after="60" w:line="240" w:lineRule="auto"/>
              <w:rPr>
                <w:rFonts w:asciiTheme="majorBidi" w:hAnsiTheme="majorBidi" w:cstheme="majorBidi"/>
                <w:noProof/>
                <w:szCs w:val="24"/>
              </w:rPr>
            </w:pPr>
            <w:r>
              <w:rPr>
                <w:rFonts w:asciiTheme="majorBidi" w:hAnsiTheme="majorBidi" w:cstheme="majorBidi"/>
                <w:noProof/>
              </w:rPr>
              <w:t>842290</w:t>
            </w:r>
          </w:p>
          <w:p>
            <w:pPr>
              <w:spacing w:before="60" w:after="60" w:line="240" w:lineRule="auto"/>
              <w:rPr>
                <w:rFonts w:asciiTheme="majorBidi" w:hAnsiTheme="majorBidi" w:cstheme="majorBidi"/>
                <w:noProof/>
                <w:szCs w:val="24"/>
              </w:rPr>
            </w:pPr>
            <w:r>
              <w:rPr>
                <w:rFonts w:asciiTheme="majorBidi" w:hAnsiTheme="majorBidi" w:cstheme="majorBidi"/>
                <w:noProof/>
              </w:rPr>
              <w:t>842833</w:t>
            </w:r>
          </w:p>
          <w:p>
            <w:pPr>
              <w:spacing w:before="60" w:after="60" w:line="240" w:lineRule="auto"/>
              <w:rPr>
                <w:rFonts w:asciiTheme="majorBidi" w:hAnsiTheme="majorBidi" w:cstheme="majorBidi"/>
                <w:noProof/>
                <w:szCs w:val="24"/>
              </w:rPr>
            </w:pPr>
            <w:r>
              <w:rPr>
                <w:rFonts w:asciiTheme="majorBidi" w:hAnsiTheme="majorBidi" w:cstheme="majorBidi"/>
                <w:noProof/>
              </w:rPr>
              <w:t>842839</w:t>
            </w:r>
          </w:p>
          <w:p>
            <w:pPr>
              <w:spacing w:before="60" w:after="60" w:line="240" w:lineRule="auto"/>
              <w:rPr>
                <w:rFonts w:asciiTheme="majorBidi" w:hAnsiTheme="majorBidi" w:cstheme="majorBidi"/>
                <w:noProof/>
                <w:szCs w:val="24"/>
              </w:rPr>
            </w:pPr>
            <w:r>
              <w:rPr>
                <w:rFonts w:asciiTheme="majorBidi" w:hAnsiTheme="majorBidi" w:cstheme="majorBidi"/>
                <w:noProof/>
              </w:rPr>
              <w:t>842890</w:t>
            </w:r>
          </w:p>
          <w:p>
            <w:pPr>
              <w:spacing w:before="60" w:after="60" w:line="240" w:lineRule="auto"/>
              <w:rPr>
                <w:rFonts w:asciiTheme="majorBidi" w:hAnsiTheme="majorBidi" w:cstheme="majorBidi"/>
                <w:noProof/>
                <w:szCs w:val="24"/>
              </w:rPr>
            </w:pPr>
            <w:r>
              <w:rPr>
                <w:rFonts w:asciiTheme="majorBidi" w:hAnsiTheme="majorBidi" w:cstheme="majorBidi"/>
                <w:noProof/>
              </w:rPr>
              <w:t>843680</w:t>
            </w:r>
          </w:p>
          <w:p>
            <w:pPr>
              <w:spacing w:before="60" w:after="60" w:line="240" w:lineRule="auto"/>
              <w:rPr>
                <w:rFonts w:asciiTheme="majorBidi" w:hAnsiTheme="majorBidi" w:cstheme="majorBidi"/>
                <w:noProof/>
                <w:szCs w:val="24"/>
              </w:rPr>
            </w:pPr>
            <w:r>
              <w:rPr>
                <w:rFonts w:asciiTheme="majorBidi" w:hAnsiTheme="majorBidi" w:cstheme="majorBidi"/>
                <w:noProof/>
              </w:rPr>
              <w:t>846291</w:t>
            </w:r>
          </w:p>
        </w:tc>
        <w:tc>
          <w:tcPr>
            <w:tcW w:w="1250" w:type="pct"/>
            <w:shd w:val="clear" w:color="auto" w:fill="auto"/>
          </w:tcPr>
          <w:p>
            <w:pPr>
              <w:spacing w:before="60" w:after="60" w:line="240" w:lineRule="auto"/>
              <w:rPr>
                <w:rFonts w:asciiTheme="majorBidi" w:hAnsiTheme="majorBidi" w:cstheme="majorBidi"/>
                <w:noProof/>
                <w:szCs w:val="24"/>
              </w:rPr>
            </w:pPr>
            <w:r>
              <w:rPr>
                <w:rFonts w:asciiTheme="majorBidi" w:hAnsiTheme="majorBidi" w:cstheme="majorBidi"/>
                <w:noProof/>
              </w:rPr>
              <w:t>846694</w:t>
            </w:r>
          </w:p>
          <w:p>
            <w:pPr>
              <w:spacing w:before="60" w:after="60" w:line="240" w:lineRule="auto"/>
              <w:rPr>
                <w:rFonts w:asciiTheme="majorBidi" w:hAnsiTheme="majorBidi" w:cstheme="majorBidi"/>
                <w:noProof/>
                <w:szCs w:val="24"/>
              </w:rPr>
            </w:pPr>
            <w:r>
              <w:rPr>
                <w:rFonts w:asciiTheme="majorBidi" w:hAnsiTheme="majorBidi" w:cstheme="majorBidi"/>
                <w:noProof/>
              </w:rPr>
              <w:t>847410</w:t>
            </w:r>
          </w:p>
          <w:p>
            <w:pPr>
              <w:spacing w:before="60" w:after="60" w:line="240" w:lineRule="auto"/>
              <w:rPr>
                <w:rFonts w:asciiTheme="majorBidi" w:hAnsiTheme="majorBidi" w:cstheme="majorBidi"/>
                <w:noProof/>
                <w:szCs w:val="24"/>
              </w:rPr>
            </w:pPr>
            <w:r>
              <w:rPr>
                <w:rFonts w:asciiTheme="majorBidi" w:hAnsiTheme="majorBidi" w:cstheme="majorBidi"/>
                <w:noProof/>
              </w:rPr>
              <w:t>847439</w:t>
            </w:r>
          </w:p>
          <w:p>
            <w:pPr>
              <w:spacing w:before="60" w:after="60" w:line="240" w:lineRule="auto"/>
              <w:rPr>
                <w:rFonts w:asciiTheme="majorBidi" w:hAnsiTheme="majorBidi" w:cstheme="majorBidi"/>
                <w:noProof/>
                <w:szCs w:val="24"/>
              </w:rPr>
            </w:pPr>
            <w:r>
              <w:rPr>
                <w:rFonts w:asciiTheme="majorBidi" w:hAnsiTheme="majorBidi" w:cstheme="majorBidi"/>
                <w:noProof/>
              </w:rPr>
              <w:t>847490</w:t>
            </w:r>
          </w:p>
          <w:p>
            <w:pPr>
              <w:spacing w:before="60" w:after="60" w:line="240" w:lineRule="auto"/>
              <w:rPr>
                <w:rFonts w:asciiTheme="majorBidi" w:hAnsiTheme="majorBidi" w:cstheme="majorBidi"/>
                <w:noProof/>
                <w:szCs w:val="24"/>
              </w:rPr>
            </w:pPr>
            <w:r>
              <w:rPr>
                <w:rFonts w:asciiTheme="majorBidi" w:hAnsiTheme="majorBidi" w:cstheme="majorBidi"/>
                <w:noProof/>
              </w:rPr>
              <w:t>848110</w:t>
            </w:r>
          </w:p>
          <w:p>
            <w:pPr>
              <w:spacing w:before="60" w:after="60" w:line="240" w:lineRule="auto"/>
              <w:rPr>
                <w:rFonts w:asciiTheme="majorBidi" w:hAnsiTheme="majorBidi" w:cstheme="majorBidi"/>
                <w:noProof/>
                <w:szCs w:val="24"/>
              </w:rPr>
            </w:pPr>
            <w:r>
              <w:rPr>
                <w:rFonts w:asciiTheme="majorBidi" w:hAnsiTheme="majorBidi" w:cstheme="majorBidi"/>
                <w:noProof/>
              </w:rPr>
              <w:t>848120</w:t>
            </w:r>
          </w:p>
          <w:p>
            <w:pPr>
              <w:spacing w:before="60" w:after="60" w:line="240" w:lineRule="auto"/>
              <w:rPr>
                <w:rFonts w:asciiTheme="majorBidi" w:hAnsiTheme="majorBidi" w:cstheme="majorBidi"/>
                <w:noProof/>
                <w:szCs w:val="24"/>
              </w:rPr>
            </w:pPr>
            <w:r>
              <w:rPr>
                <w:rFonts w:asciiTheme="majorBidi" w:hAnsiTheme="majorBidi" w:cstheme="majorBidi"/>
                <w:noProof/>
              </w:rPr>
              <w:t>848130</w:t>
            </w:r>
          </w:p>
          <w:p>
            <w:pPr>
              <w:spacing w:before="60" w:after="60" w:line="240" w:lineRule="auto"/>
              <w:rPr>
                <w:rFonts w:asciiTheme="majorBidi" w:hAnsiTheme="majorBidi" w:cstheme="majorBidi"/>
                <w:noProof/>
                <w:szCs w:val="24"/>
              </w:rPr>
            </w:pPr>
            <w:r>
              <w:rPr>
                <w:rFonts w:asciiTheme="majorBidi" w:hAnsiTheme="majorBidi" w:cstheme="majorBidi"/>
                <w:noProof/>
              </w:rPr>
              <w:t>848140</w:t>
            </w:r>
          </w:p>
          <w:p>
            <w:pPr>
              <w:spacing w:before="60" w:after="60" w:line="240" w:lineRule="auto"/>
              <w:rPr>
                <w:rFonts w:asciiTheme="majorBidi" w:hAnsiTheme="majorBidi" w:cstheme="majorBidi"/>
                <w:noProof/>
                <w:szCs w:val="24"/>
              </w:rPr>
            </w:pPr>
            <w:r>
              <w:rPr>
                <w:rFonts w:asciiTheme="majorBidi" w:hAnsiTheme="majorBidi" w:cstheme="majorBidi"/>
                <w:noProof/>
              </w:rPr>
              <w:t>848180</w:t>
            </w:r>
          </w:p>
          <w:p>
            <w:pPr>
              <w:spacing w:before="60" w:after="60" w:line="240" w:lineRule="auto"/>
              <w:rPr>
                <w:rFonts w:asciiTheme="majorBidi" w:hAnsiTheme="majorBidi" w:cstheme="majorBidi"/>
                <w:noProof/>
                <w:szCs w:val="24"/>
              </w:rPr>
            </w:pPr>
            <w:r>
              <w:rPr>
                <w:rFonts w:asciiTheme="majorBidi" w:hAnsiTheme="majorBidi" w:cstheme="majorBidi"/>
                <w:noProof/>
              </w:rPr>
              <w:t>848190</w:t>
            </w:r>
          </w:p>
          <w:p>
            <w:pPr>
              <w:spacing w:before="60" w:after="60" w:line="240" w:lineRule="auto"/>
              <w:rPr>
                <w:rFonts w:asciiTheme="majorBidi" w:hAnsiTheme="majorBidi" w:cstheme="majorBidi"/>
                <w:noProof/>
                <w:szCs w:val="24"/>
              </w:rPr>
            </w:pPr>
            <w:r>
              <w:rPr>
                <w:rFonts w:asciiTheme="majorBidi" w:hAnsiTheme="majorBidi" w:cstheme="majorBidi"/>
                <w:noProof/>
              </w:rPr>
              <w:t>848210</w:t>
            </w:r>
          </w:p>
          <w:p>
            <w:pPr>
              <w:spacing w:before="60" w:after="60" w:line="240" w:lineRule="auto"/>
              <w:rPr>
                <w:rFonts w:asciiTheme="majorBidi" w:hAnsiTheme="majorBidi" w:cstheme="majorBidi"/>
                <w:noProof/>
                <w:szCs w:val="24"/>
              </w:rPr>
            </w:pPr>
            <w:r>
              <w:rPr>
                <w:rFonts w:asciiTheme="majorBidi" w:hAnsiTheme="majorBidi" w:cstheme="majorBidi"/>
                <w:noProof/>
              </w:rPr>
              <w:t>848280</w:t>
            </w:r>
          </w:p>
          <w:p>
            <w:pPr>
              <w:spacing w:before="60" w:after="60" w:line="240" w:lineRule="auto"/>
              <w:rPr>
                <w:rFonts w:asciiTheme="majorBidi" w:hAnsiTheme="majorBidi" w:cstheme="majorBidi"/>
                <w:noProof/>
                <w:szCs w:val="24"/>
              </w:rPr>
            </w:pPr>
            <w:r>
              <w:rPr>
                <w:rFonts w:asciiTheme="majorBidi" w:hAnsiTheme="majorBidi" w:cstheme="majorBidi"/>
                <w:noProof/>
              </w:rPr>
              <w:t>848230</w:t>
            </w:r>
          </w:p>
          <w:p>
            <w:pPr>
              <w:spacing w:before="60" w:after="60" w:line="240" w:lineRule="auto"/>
              <w:rPr>
                <w:rFonts w:asciiTheme="majorBidi" w:hAnsiTheme="majorBidi" w:cstheme="majorBidi"/>
                <w:noProof/>
                <w:szCs w:val="24"/>
              </w:rPr>
            </w:pPr>
            <w:r>
              <w:rPr>
                <w:rFonts w:asciiTheme="majorBidi" w:hAnsiTheme="majorBidi" w:cstheme="majorBidi"/>
                <w:noProof/>
              </w:rPr>
              <w:t>848310</w:t>
            </w:r>
          </w:p>
          <w:p>
            <w:pPr>
              <w:spacing w:before="60" w:after="60" w:line="240" w:lineRule="auto"/>
              <w:rPr>
                <w:rFonts w:asciiTheme="majorBidi" w:hAnsiTheme="majorBidi" w:cstheme="majorBidi"/>
                <w:noProof/>
                <w:szCs w:val="24"/>
              </w:rPr>
            </w:pPr>
            <w:r>
              <w:rPr>
                <w:rFonts w:asciiTheme="majorBidi" w:hAnsiTheme="majorBidi" w:cstheme="majorBidi"/>
                <w:noProof/>
              </w:rPr>
              <w:t>848340</w:t>
            </w:r>
          </w:p>
          <w:p>
            <w:pPr>
              <w:spacing w:before="60" w:after="60" w:line="240" w:lineRule="auto"/>
              <w:rPr>
                <w:rFonts w:asciiTheme="majorBidi" w:hAnsiTheme="majorBidi" w:cstheme="majorBidi"/>
                <w:noProof/>
                <w:szCs w:val="24"/>
              </w:rPr>
            </w:pPr>
            <w:r>
              <w:rPr>
                <w:rFonts w:asciiTheme="majorBidi" w:hAnsiTheme="majorBidi" w:cstheme="majorBidi"/>
                <w:noProof/>
              </w:rPr>
              <w:t>848360</w:t>
            </w:r>
          </w:p>
          <w:p>
            <w:pPr>
              <w:spacing w:before="60" w:after="60" w:line="240" w:lineRule="auto"/>
              <w:rPr>
                <w:rFonts w:asciiTheme="majorBidi" w:hAnsiTheme="majorBidi" w:cstheme="majorBidi"/>
                <w:noProof/>
                <w:szCs w:val="24"/>
              </w:rPr>
            </w:pPr>
            <w:r>
              <w:rPr>
                <w:rFonts w:asciiTheme="majorBidi" w:hAnsiTheme="majorBidi" w:cstheme="majorBidi"/>
                <w:noProof/>
              </w:rPr>
              <w:t>848410</w:t>
            </w:r>
          </w:p>
          <w:p>
            <w:pPr>
              <w:spacing w:before="60" w:after="60" w:line="240" w:lineRule="auto"/>
              <w:rPr>
                <w:rFonts w:asciiTheme="majorBidi" w:hAnsiTheme="majorBidi" w:cstheme="majorBidi"/>
                <w:noProof/>
                <w:szCs w:val="24"/>
              </w:rPr>
            </w:pPr>
            <w:r>
              <w:rPr>
                <w:rFonts w:asciiTheme="majorBidi" w:hAnsiTheme="majorBidi" w:cstheme="majorBidi"/>
                <w:noProof/>
              </w:rPr>
              <w:t>848420</w:t>
            </w:r>
          </w:p>
          <w:p>
            <w:pPr>
              <w:spacing w:before="60" w:after="60" w:line="240" w:lineRule="auto"/>
              <w:rPr>
                <w:rFonts w:asciiTheme="majorBidi" w:hAnsiTheme="majorBidi" w:cstheme="majorBidi"/>
                <w:noProof/>
                <w:szCs w:val="24"/>
              </w:rPr>
            </w:pPr>
            <w:r>
              <w:rPr>
                <w:rFonts w:asciiTheme="majorBidi" w:hAnsiTheme="majorBidi" w:cstheme="majorBidi"/>
                <w:noProof/>
              </w:rPr>
              <w:t>848610</w:t>
            </w:r>
          </w:p>
          <w:p>
            <w:pPr>
              <w:spacing w:before="60" w:after="60" w:line="240" w:lineRule="auto"/>
              <w:rPr>
                <w:rFonts w:asciiTheme="majorBidi" w:hAnsiTheme="majorBidi" w:cstheme="majorBidi"/>
                <w:noProof/>
                <w:szCs w:val="24"/>
              </w:rPr>
            </w:pPr>
            <w:r>
              <w:rPr>
                <w:rFonts w:asciiTheme="majorBidi" w:hAnsiTheme="majorBidi" w:cstheme="majorBidi"/>
                <w:noProof/>
              </w:rPr>
              <w:t>848690</w:t>
            </w:r>
          </w:p>
          <w:p>
            <w:pPr>
              <w:spacing w:before="60" w:after="60" w:line="240" w:lineRule="auto"/>
              <w:rPr>
                <w:rFonts w:asciiTheme="majorBidi" w:hAnsiTheme="majorBidi" w:cstheme="majorBidi"/>
                <w:noProof/>
                <w:szCs w:val="24"/>
              </w:rPr>
            </w:pPr>
            <w:r>
              <w:rPr>
                <w:rFonts w:asciiTheme="majorBidi" w:hAnsiTheme="majorBidi" w:cstheme="majorBidi"/>
                <w:noProof/>
              </w:rPr>
              <w:t>850153</w:t>
            </w:r>
          </w:p>
        </w:tc>
        <w:tc>
          <w:tcPr>
            <w:tcW w:w="1250" w:type="pct"/>
            <w:shd w:val="clear" w:color="auto" w:fill="auto"/>
          </w:tcPr>
          <w:p>
            <w:pPr>
              <w:spacing w:before="60" w:after="60" w:line="240" w:lineRule="auto"/>
              <w:rPr>
                <w:rFonts w:asciiTheme="majorBidi" w:hAnsiTheme="majorBidi" w:cstheme="majorBidi"/>
                <w:noProof/>
                <w:szCs w:val="24"/>
              </w:rPr>
            </w:pPr>
            <w:r>
              <w:rPr>
                <w:rFonts w:asciiTheme="majorBidi" w:hAnsiTheme="majorBidi" w:cstheme="majorBidi"/>
                <w:noProof/>
              </w:rPr>
              <w:t>850161</w:t>
            </w:r>
          </w:p>
          <w:p>
            <w:pPr>
              <w:spacing w:before="60" w:after="60" w:line="240" w:lineRule="auto"/>
              <w:rPr>
                <w:rFonts w:asciiTheme="majorBidi" w:hAnsiTheme="majorBidi" w:cstheme="majorBidi"/>
                <w:noProof/>
                <w:szCs w:val="24"/>
              </w:rPr>
            </w:pPr>
            <w:r>
              <w:rPr>
                <w:rFonts w:asciiTheme="majorBidi" w:hAnsiTheme="majorBidi" w:cstheme="majorBidi"/>
                <w:noProof/>
              </w:rPr>
              <w:t>850162</w:t>
            </w:r>
          </w:p>
          <w:p>
            <w:pPr>
              <w:spacing w:before="60" w:after="60" w:line="240" w:lineRule="auto"/>
              <w:rPr>
                <w:rFonts w:asciiTheme="majorBidi" w:hAnsiTheme="majorBidi" w:cstheme="majorBidi"/>
                <w:noProof/>
                <w:szCs w:val="24"/>
              </w:rPr>
            </w:pPr>
            <w:r>
              <w:rPr>
                <w:rFonts w:asciiTheme="majorBidi" w:hAnsiTheme="majorBidi" w:cstheme="majorBidi"/>
                <w:noProof/>
              </w:rPr>
              <w:t>850163</w:t>
            </w:r>
          </w:p>
          <w:p>
            <w:pPr>
              <w:spacing w:before="60" w:after="60" w:line="240" w:lineRule="auto"/>
              <w:rPr>
                <w:rFonts w:asciiTheme="majorBidi" w:hAnsiTheme="majorBidi" w:cstheme="majorBidi"/>
                <w:noProof/>
                <w:szCs w:val="24"/>
              </w:rPr>
            </w:pPr>
            <w:r>
              <w:rPr>
                <w:rFonts w:asciiTheme="majorBidi" w:hAnsiTheme="majorBidi" w:cstheme="majorBidi"/>
                <w:noProof/>
              </w:rPr>
              <w:t>850422</w:t>
            </w:r>
          </w:p>
          <w:p>
            <w:pPr>
              <w:spacing w:before="60" w:after="60" w:line="240" w:lineRule="auto"/>
              <w:rPr>
                <w:rFonts w:asciiTheme="majorBidi" w:hAnsiTheme="majorBidi" w:cstheme="majorBidi"/>
                <w:noProof/>
                <w:szCs w:val="24"/>
              </w:rPr>
            </w:pPr>
            <w:r>
              <w:rPr>
                <w:rFonts w:asciiTheme="majorBidi" w:hAnsiTheme="majorBidi" w:cstheme="majorBidi"/>
                <w:noProof/>
              </w:rPr>
              <w:t>850440</w:t>
            </w:r>
          </w:p>
          <w:p>
            <w:pPr>
              <w:spacing w:before="60" w:after="60" w:line="240" w:lineRule="auto"/>
              <w:rPr>
                <w:rFonts w:asciiTheme="majorBidi" w:hAnsiTheme="majorBidi" w:cstheme="majorBidi"/>
                <w:noProof/>
                <w:szCs w:val="24"/>
              </w:rPr>
            </w:pPr>
            <w:r>
              <w:rPr>
                <w:rFonts w:asciiTheme="majorBidi" w:hAnsiTheme="majorBidi" w:cstheme="majorBidi"/>
                <w:noProof/>
              </w:rPr>
              <w:t>850590</w:t>
            </w:r>
          </w:p>
          <w:p>
            <w:pPr>
              <w:spacing w:before="60" w:after="60" w:line="240" w:lineRule="auto"/>
              <w:rPr>
                <w:rFonts w:asciiTheme="majorBidi" w:hAnsiTheme="majorBidi" w:cstheme="majorBidi"/>
                <w:noProof/>
                <w:szCs w:val="24"/>
              </w:rPr>
            </w:pPr>
            <w:r>
              <w:rPr>
                <w:rFonts w:asciiTheme="majorBidi" w:hAnsiTheme="majorBidi" w:cstheme="majorBidi"/>
                <w:noProof/>
              </w:rPr>
              <w:t>850720</w:t>
            </w:r>
          </w:p>
          <w:p>
            <w:pPr>
              <w:spacing w:before="60" w:after="60" w:line="240" w:lineRule="auto"/>
              <w:rPr>
                <w:rFonts w:asciiTheme="majorBidi" w:hAnsiTheme="majorBidi" w:cstheme="majorBidi"/>
                <w:noProof/>
                <w:szCs w:val="24"/>
              </w:rPr>
            </w:pPr>
            <w:r>
              <w:rPr>
                <w:rFonts w:asciiTheme="majorBidi" w:hAnsiTheme="majorBidi" w:cstheme="majorBidi"/>
                <w:noProof/>
              </w:rPr>
              <w:t>851440</w:t>
            </w:r>
          </w:p>
          <w:p>
            <w:pPr>
              <w:spacing w:before="60" w:after="60" w:line="240" w:lineRule="auto"/>
              <w:rPr>
                <w:rFonts w:asciiTheme="majorBidi" w:hAnsiTheme="majorBidi" w:cstheme="majorBidi"/>
                <w:noProof/>
                <w:szCs w:val="24"/>
              </w:rPr>
            </w:pPr>
            <w:r>
              <w:rPr>
                <w:rFonts w:asciiTheme="majorBidi" w:hAnsiTheme="majorBidi" w:cstheme="majorBidi"/>
                <w:noProof/>
              </w:rPr>
              <w:t>853620</w:t>
            </w:r>
          </w:p>
          <w:p>
            <w:pPr>
              <w:spacing w:before="60" w:after="60" w:line="240" w:lineRule="auto"/>
              <w:rPr>
                <w:rFonts w:asciiTheme="majorBidi" w:hAnsiTheme="majorBidi" w:cstheme="majorBidi"/>
                <w:noProof/>
                <w:szCs w:val="24"/>
              </w:rPr>
            </w:pPr>
            <w:r>
              <w:rPr>
                <w:rFonts w:asciiTheme="majorBidi" w:hAnsiTheme="majorBidi" w:cstheme="majorBidi"/>
                <w:noProof/>
              </w:rPr>
              <w:t>853630</w:t>
            </w:r>
          </w:p>
          <w:p>
            <w:pPr>
              <w:spacing w:before="60" w:after="60" w:line="240" w:lineRule="auto"/>
              <w:rPr>
                <w:rFonts w:asciiTheme="majorBidi" w:hAnsiTheme="majorBidi" w:cstheme="majorBidi"/>
                <w:noProof/>
                <w:szCs w:val="24"/>
              </w:rPr>
            </w:pPr>
            <w:r>
              <w:rPr>
                <w:rFonts w:asciiTheme="majorBidi" w:hAnsiTheme="majorBidi" w:cstheme="majorBidi"/>
                <w:noProof/>
              </w:rPr>
              <w:t>853650</w:t>
            </w:r>
          </w:p>
          <w:p>
            <w:pPr>
              <w:spacing w:before="60" w:after="60" w:line="240" w:lineRule="auto"/>
              <w:rPr>
                <w:rFonts w:asciiTheme="majorBidi" w:hAnsiTheme="majorBidi" w:cstheme="majorBidi"/>
                <w:noProof/>
                <w:szCs w:val="24"/>
              </w:rPr>
            </w:pPr>
            <w:r>
              <w:rPr>
                <w:rFonts w:asciiTheme="majorBidi" w:hAnsiTheme="majorBidi" w:cstheme="majorBidi"/>
                <w:noProof/>
              </w:rPr>
              <w:t>853690</w:t>
            </w:r>
          </w:p>
          <w:p>
            <w:pPr>
              <w:spacing w:before="60" w:after="60" w:line="240" w:lineRule="auto"/>
              <w:rPr>
                <w:rFonts w:asciiTheme="majorBidi" w:hAnsiTheme="majorBidi" w:cstheme="majorBidi"/>
                <w:noProof/>
                <w:szCs w:val="24"/>
              </w:rPr>
            </w:pPr>
            <w:r>
              <w:rPr>
                <w:rFonts w:asciiTheme="majorBidi" w:hAnsiTheme="majorBidi" w:cstheme="majorBidi"/>
                <w:noProof/>
              </w:rPr>
              <w:t>853710</w:t>
            </w:r>
          </w:p>
          <w:p>
            <w:pPr>
              <w:spacing w:before="60" w:after="60" w:line="240" w:lineRule="auto"/>
              <w:rPr>
                <w:rFonts w:asciiTheme="majorBidi" w:hAnsiTheme="majorBidi" w:cstheme="majorBidi"/>
                <w:noProof/>
                <w:szCs w:val="24"/>
              </w:rPr>
            </w:pPr>
            <w:r>
              <w:rPr>
                <w:rFonts w:asciiTheme="majorBidi" w:hAnsiTheme="majorBidi" w:cstheme="majorBidi"/>
                <w:noProof/>
              </w:rPr>
              <w:t>853720</w:t>
            </w:r>
          </w:p>
          <w:p>
            <w:pPr>
              <w:spacing w:before="60" w:after="60" w:line="240" w:lineRule="auto"/>
              <w:rPr>
                <w:rFonts w:asciiTheme="majorBidi" w:hAnsiTheme="majorBidi" w:cstheme="majorBidi"/>
                <w:noProof/>
                <w:szCs w:val="24"/>
              </w:rPr>
            </w:pPr>
            <w:r>
              <w:rPr>
                <w:rFonts w:asciiTheme="majorBidi" w:hAnsiTheme="majorBidi" w:cstheme="majorBidi"/>
                <w:noProof/>
              </w:rPr>
              <w:t>853890</w:t>
            </w:r>
          </w:p>
          <w:p>
            <w:pPr>
              <w:spacing w:before="60" w:after="60" w:line="240" w:lineRule="auto"/>
              <w:rPr>
                <w:rFonts w:asciiTheme="majorBidi" w:hAnsiTheme="majorBidi" w:cstheme="majorBidi"/>
                <w:noProof/>
                <w:szCs w:val="24"/>
              </w:rPr>
            </w:pPr>
            <w:r>
              <w:rPr>
                <w:rFonts w:asciiTheme="majorBidi" w:hAnsiTheme="majorBidi" w:cstheme="majorBidi"/>
                <w:noProof/>
              </w:rPr>
              <w:t>854110</w:t>
            </w:r>
          </w:p>
          <w:p>
            <w:pPr>
              <w:spacing w:before="60" w:after="60" w:line="240" w:lineRule="auto"/>
              <w:rPr>
                <w:rFonts w:asciiTheme="majorBidi" w:hAnsiTheme="majorBidi" w:cstheme="majorBidi"/>
                <w:noProof/>
                <w:szCs w:val="24"/>
              </w:rPr>
            </w:pPr>
            <w:r>
              <w:rPr>
                <w:rFonts w:asciiTheme="majorBidi" w:hAnsiTheme="majorBidi" w:cstheme="majorBidi"/>
                <w:noProof/>
              </w:rPr>
              <w:t>854121</w:t>
            </w:r>
          </w:p>
          <w:p>
            <w:pPr>
              <w:spacing w:before="60" w:after="60" w:line="240" w:lineRule="auto"/>
              <w:rPr>
                <w:rFonts w:asciiTheme="majorBidi" w:hAnsiTheme="majorBidi" w:cstheme="majorBidi"/>
                <w:noProof/>
                <w:szCs w:val="24"/>
              </w:rPr>
            </w:pPr>
            <w:r>
              <w:rPr>
                <w:rFonts w:asciiTheme="majorBidi" w:hAnsiTheme="majorBidi" w:cstheme="majorBidi"/>
                <w:noProof/>
              </w:rPr>
              <w:t>854129</w:t>
            </w:r>
          </w:p>
          <w:p>
            <w:pPr>
              <w:spacing w:before="60" w:after="60" w:line="240" w:lineRule="auto"/>
              <w:rPr>
                <w:rFonts w:asciiTheme="majorBidi" w:hAnsiTheme="majorBidi" w:cstheme="majorBidi"/>
                <w:noProof/>
                <w:szCs w:val="24"/>
              </w:rPr>
            </w:pPr>
            <w:r>
              <w:rPr>
                <w:rFonts w:asciiTheme="majorBidi" w:hAnsiTheme="majorBidi" w:cstheme="majorBidi"/>
                <w:noProof/>
              </w:rPr>
              <w:t>854130</w:t>
            </w:r>
          </w:p>
          <w:p>
            <w:pPr>
              <w:spacing w:before="60" w:after="60" w:line="240" w:lineRule="auto"/>
              <w:rPr>
                <w:rFonts w:asciiTheme="majorBidi" w:hAnsiTheme="majorBidi" w:cstheme="majorBidi"/>
                <w:noProof/>
                <w:szCs w:val="24"/>
              </w:rPr>
            </w:pPr>
          </w:p>
        </w:tc>
      </w:tr>
    </w:tbl>
    <w:p>
      <w:pPr>
        <w:rPr>
          <w:noProof/>
        </w:rPr>
      </w:pPr>
    </w:p>
    <w:p>
      <w:pPr>
        <w:rPr>
          <w:noProof/>
        </w:rPr>
      </w:pPr>
    </w:p>
    <w:p>
      <w:pPr>
        <w:jc w:val="center"/>
        <w:rPr>
          <w:noProof/>
        </w:rPr>
      </w:pPr>
      <w:r>
        <w:rPr>
          <w:noProof/>
        </w:rPr>
        <w:t>________________</w:t>
      </w:r>
    </w:p>
    <w:sectPr>
      <w:headerReference w:type="even" r:id="rId58"/>
      <w:headerReference w:type="default" r:id="rId59"/>
      <w:footerReference w:type="even" r:id="rId60"/>
      <w:footerReference w:type="default" r:id="rId61"/>
      <w:headerReference w:type="first" r:id="rId62"/>
      <w:footerReference w:type="first" r:id="rId63"/>
      <w:footnotePr>
        <w:numRestart w:val="eachPage"/>
      </w:footnotePr>
      <w:endnotePr>
        <w:numFmt w:val="decimal"/>
      </w:endnotePr>
      <w:pgSz w:w="11907" w:h="16840" w:code="9"/>
      <w:pgMar w:top="1134" w:right="1134" w:bottom="1134" w:left="1134" w:header="1134" w:footer="113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notTrueType/>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auto"/>
    <w:notTrueType/>
    <w:pitch w:val="default"/>
    <w:sig w:usb0="00000003" w:usb1="00000000" w:usb2="00000000" w:usb3="00000000" w:csb0="00000001"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2-A/sk </w:t>
    </w: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2-A/sk </w:t>
    </w:r>
    <w:r>
      <w:fldChar w:fldCharType="begin"/>
    </w:r>
    <w:r>
      <w:instrText xml:space="preserve"> PAGE  \* MERGEFORMAT </w:instrText>
    </w:r>
    <w:r>
      <w:fldChar w:fldCharType="separate"/>
    </w:r>
    <w:r>
      <w:rPr>
        <w:noProof/>
      </w:rPr>
      <w:t>36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2-A/sk </w:t>
    </w:r>
    <w:r>
      <w:fldChar w:fldCharType="begin"/>
    </w:r>
    <w:r>
      <w:instrText xml:space="preserve"> PAGE  \* MERGEFORMAT </w:instrText>
    </w:r>
    <w:r>
      <w:fldChar w:fldCharType="separate"/>
    </w:r>
    <w:r>
      <w:rPr>
        <w:noProof/>
      </w:rPr>
      <w:t>51</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2-A/sk </w:t>
    </w:r>
    <w:r>
      <w:fldChar w:fldCharType="begin"/>
    </w:r>
    <w:r>
      <w:instrText xml:space="preserve"> PAGE  \* MERGEFORMAT </w:instrText>
    </w:r>
    <w:r>
      <w:fldChar w:fldCharType="separate"/>
    </w:r>
    <w:r>
      <w:rPr>
        <w:noProof/>
      </w:rPr>
      <w:t>56</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2-B/sk </w:t>
    </w:r>
    <w:r>
      <w:fldChar w:fldCharType="begin"/>
    </w:r>
    <w:r>
      <w:instrText xml:space="preserve"> PAGE  \* MERGEFORMAT </w:instrText>
    </w:r>
    <w:r>
      <w:fldChar w:fldCharType="separate"/>
    </w:r>
    <w:r>
      <w:rPr>
        <w:noProof/>
      </w:rPr>
      <w:t>15</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2-C/sk </w:t>
    </w:r>
    <w:r>
      <w:fldChar w:fldCharType="begin"/>
    </w:r>
    <w:r>
      <w:instrText xml:space="preserve"> PAGE  \* MERGEFORMAT </w:instrText>
    </w:r>
    <w:r>
      <w:fldChar w:fldCharType="separate"/>
    </w:r>
    <w:r>
      <w:rPr>
        <w:noProof/>
      </w:rPr>
      <w:t>7</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6-A/sk </w:t>
    </w:r>
    <w:r>
      <w:fldChar w:fldCharType="begin"/>
    </w:r>
    <w:r>
      <w:instrText xml:space="preserve"> PAGE  \* MERGEFORMAT </w:instrText>
    </w:r>
    <w:r>
      <w:fldChar w:fldCharType="separate"/>
    </w:r>
    <w:r>
      <w:rPr>
        <w:noProof/>
      </w:rPr>
      <w:t>2</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…/Príloha 7-A/sk </w:t>
    </w:r>
    <w:r>
      <w:fldChar w:fldCharType="begin"/>
    </w:r>
    <w:r>
      <w:instrText xml:space="preserve"> PAGE  \* MERGEFORMAT </w:instrText>
    </w:r>
    <w:r>
      <w:fldChar w:fldCharType="separate"/>
    </w:r>
    <w:r>
      <w:rPr>
        <w:noProof/>
      </w:rPr>
      <w:t>1</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pPr>
      <w:r>
        <w:rPr>
          <w:rStyle w:val="FootnoteReference"/>
        </w:rPr>
        <w:footnoteRef/>
      </w:r>
      <w:r>
        <w:tab/>
        <w:t>V záujme väčšej istoty je potrebné uviesť, že sem patria aj úžitkové vozidlá typu „pick-up“ zaradené v kategórii vozidiel M1 EHK OSN.</w:t>
      </w:r>
    </w:p>
  </w:footnote>
  <w:footnote w:id="2">
    <w:p>
      <w:pPr>
        <w:pStyle w:val="FootnoteText"/>
      </w:pPr>
      <w:r>
        <w:rPr>
          <w:rStyle w:val="FootnoteReference"/>
        </w:rPr>
        <w:footnoteRef/>
      </w:r>
      <w:r>
        <w:tab/>
        <w:t>Toto vymedzenie pojmu sa uplatňuje bez toho, aby bol dotknutý vietnamský zákon o farmácii č. 105/2016/QH13 a smernica Európskeho parlamentu a Rady 2001/83/ES zo 6. novembra 2001, ktorou sa ustanovuje zákonník Spoločenstva o humánnych liekoch.</w:t>
      </w:r>
    </w:p>
  </w:footnote>
  <w:footnote w:id="3">
    <w:p>
      <w:pPr>
        <w:pStyle w:val="FootnoteText"/>
      </w:pPr>
      <w:r>
        <w:rPr>
          <w:rStyle w:val="FootnoteReference"/>
        </w:rPr>
        <w:footnoteRef/>
      </w:r>
      <w:r>
        <w:tab/>
        <w:t>Pre Vietnam sa toto vymedzenie uplatňuje bez toho, aby boli dotknuté vietnamské právne predpisy o zdravotníckych pomôckach.</w:t>
      </w:r>
    </w:p>
  </w:footnote>
  <w:footnote w:id="4">
    <w:p>
      <w:pPr>
        <w:pStyle w:val="FootnoteText"/>
      </w:pPr>
      <w:r>
        <w:rPr>
          <w:rStyle w:val="FootnoteReference"/>
        </w:rPr>
        <w:footnoteRef/>
      </w:r>
      <w:r>
        <w:tab/>
        <w:t>Pre Vietnam sú základom vedeckých a technických predpisov aj normy, postupy a usmernenia Poradného výboru ASEAN pre normy a kvalitu (ACCSQ).</w:t>
      </w:r>
    </w:p>
  </w:footnote>
  <w:footnote w:id="5">
    <w:p>
      <w:pPr>
        <w:pStyle w:val="FootnoteText"/>
      </w:pPr>
      <w:r>
        <w:rPr>
          <w:rStyle w:val="FootnoteReference"/>
        </w:rPr>
        <w:footnoteRef/>
      </w:r>
      <w:r>
        <w:tab/>
        <w:t>Pokiaľ ide o zavedenie tohto ustanovenia, Vietnam zmení svoje domáce právne predpisy s cieľom zrušiť požiadavku minimálneho obdobia existencie povolenia na území Únie pred podaním žiadosti o schválenie uvedenia na trh vo Vietname a akékoľvek dodatočné požiadavky týkajúce sa klinických štúdií, ktoré presahujú požiadavky stanovené v medzinárodných postupoch (najmä v usmerneniach ICH).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05663A2A"/>
    <w:multiLevelType w:val="hybridMultilevel"/>
    <w:tmpl w:val="96384DBE"/>
    <w:styleLink w:val="LegalHeadings1"/>
    <w:lvl w:ilvl="0" w:tplc="B00A182A">
      <w:start w:val="1"/>
      <w:numFmt w:val="decimal"/>
      <w:lvlText w:val="%1."/>
      <w:lvlJc w:val="left"/>
      <w:pPr>
        <w:tabs>
          <w:tab w:val="num" w:pos="0"/>
        </w:tabs>
        <w:ind w:left="0" w:firstLine="0"/>
      </w:pPr>
      <w:rPr>
        <w:rFonts w:hint="default"/>
      </w:rPr>
    </w:lvl>
    <w:lvl w:ilvl="1" w:tplc="DF847DD8">
      <w:start w:val="1"/>
      <w:numFmt w:val="lowerLetter"/>
      <w:lvlText w:val="(%2)"/>
      <w:lvlJc w:val="left"/>
      <w:pPr>
        <w:tabs>
          <w:tab w:val="num" w:pos="737"/>
        </w:tabs>
        <w:ind w:left="737" w:hanging="453"/>
      </w:pPr>
      <w:rPr>
        <w:rFonts w:hint="default"/>
        <w:strike w:val="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5EA05E7"/>
    <w:multiLevelType w:val="hybridMultilevel"/>
    <w:tmpl w:val="33A216DC"/>
    <w:lvl w:ilvl="0" w:tplc="BD783356">
      <w:start w:val="1"/>
      <w:numFmt w:val="bullet"/>
      <w:pStyle w:val="ListDash2"/>
      <w:lvlText w:val="–"/>
      <w:lvlJc w:val="left"/>
      <w:pPr>
        <w:tabs>
          <w:tab w:val="num" w:pos="1360"/>
        </w:tabs>
        <w:ind w:left="1360" w:hanging="283"/>
      </w:pPr>
      <w:rPr>
        <w:rFonts w:ascii="Times New Roman" w:hAnsi="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B282568"/>
    <w:multiLevelType w:val="multilevel"/>
    <w:tmpl w:val="17B4BE58"/>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7">
    <w:nsid w:val="0CDA2F71"/>
    <w:multiLevelType w:val="singleLevel"/>
    <w:tmpl w:val="29C487D4"/>
    <w:lvl w:ilvl="0">
      <w:start w:val="1"/>
      <w:numFmt w:val="bullet"/>
      <w:lvlRestart w:val="0"/>
      <w:pStyle w:val="Tiret2"/>
      <w:lvlText w:val="–"/>
      <w:lvlJc w:val="left"/>
      <w:pPr>
        <w:tabs>
          <w:tab w:val="num" w:pos="1984"/>
        </w:tabs>
        <w:ind w:left="1984" w:hanging="567"/>
      </w:pPr>
    </w:lvl>
  </w:abstractNum>
  <w:abstractNum w:abstractNumId="8">
    <w:nsid w:val="1AD63C5D"/>
    <w:multiLevelType w:val="singleLevel"/>
    <w:tmpl w:val="DEA28F20"/>
    <w:name w:val="List Bullet 2__1"/>
    <w:lvl w:ilvl="0">
      <w:start w:val="1"/>
      <w:numFmt w:val="decimal"/>
      <w:pStyle w:val="ListNumber"/>
      <w:lvlText w:val="%1."/>
      <w:lvlJc w:val="left"/>
      <w:pPr>
        <w:tabs>
          <w:tab w:val="num" w:pos="360"/>
        </w:tabs>
        <w:ind w:left="0" w:firstLine="0"/>
      </w:pPr>
      <w:rPr>
        <w:rFonts w:hint="default"/>
      </w:rPr>
    </w:lvl>
  </w:abstractNum>
  <w:abstractNum w:abstractNumId="9">
    <w:nsid w:val="20BA3072"/>
    <w:multiLevelType w:val="singleLevel"/>
    <w:tmpl w:val="98C44636"/>
    <w:lvl w:ilvl="0">
      <w:start w:val="1"/>
      <w:numFmt w:val="decimal"/>
      <w:lvlRestart w:val="0"/>
      <w:pStyle w:val="Considrant"/>
      <w:lvlText w:val="(%1)"/>
      <w:lvlJc w:val="left"/>
      <w:pPr>
        <w:tabs>
          <w:tab w:val="num" w:pos="709"/>
        </w:tabs>
        <w:ind w:left="709" w:hanging="709"/>
      </w:pPr>
    </w:lvl>
  </w:abstractNum>
  <w:abstractNum w:abstractNumId="10">
    <w:nsid w:val="227B0BD1"/>
    <w:multiLevelType w:val="singleLevel"/>
    <w:tmpl w:val="DAC8BAA8"/>
    <w:lvl w:ilvl="0">
      <w:numFmt w:val="bullet"/>
      <w:pStyle w:val="annex2-bullet"/>
      <w:lvlText w:val="-"/>
      <w:lvlJc w:val="left"/>
      <w:pPr>
        <w:tabs>
          <w:tab w:val="num" w:pos="360"/>
        </w:tabs>
        <w:ind w:left="360" w:hanging="360"/>
      </w:pPr>
      <w:rPr>
        <w:rFonts w:hint="default"/>
      </w:rPr>
    </w:lvl>
  </w:abstractNum>
  <w:abstractNum w:abstractNumId="11">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2">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3">
    <w:nsid w:val="248F4748"/>
    <w:multiLevelType w:val="hybridMultilevel"/>
    <w:tmpl w:val="C568ACDE"/>
    <w:lvl w:ilvl="0" w:tplc="2736CEA8">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5">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6">
    <w:nsid w:val="32A52C4F"/>
    <w:multiLevelType w:val="singleLevel"/>
    <w:tmpl w:val="CEFC5A24"/>
    <w:lvl w:ilvl="0">
      <w:start w:val="1"/>
      <w:numFmt w:val="bullet"/>
      <w:lvlRestart w:val="0"/>
      <w:pStyle w:val="Tiret0"/>
      <w:lvlText w:val="–"/>
      <w:lvlJc w:val="left"/>
      <w:pPr>
        <w:tabs>
          <w:tab w:val="num" w:pos="850"/>
        </w:tabs>
        <w:ind w:left="850" w:hanging="850"/>
      </w:pPr>
    </w:lvl>
  </w:abstractNum>
  <w:abstractNum w:abstractNumId="17">
    <w:nsid w:val="378E6F5B"/>
    <w:multiLevelType w:val="multilevel"/>
    <w:tmpl w:val="0A221BAE"/>
    <w:name w:val="Tiret 0"/>
    <w:lvl w:ilvl="0">
      <w:start w:val="1"/>
      <w:numFmt w:val="decimal"/>
      <w:lvlRestart w:val="0"/>
      <w:pStyle w:val="ListNumber3"/>
      <w:lvlText w:val="(%1)"/>
      <w:lvlJc w:val="left"/>
      <w:pPr>
        <w:tabs>
          <w:tab w:val="num" w:pos="1560"/>
        </w:tabs>
        <w:ind w:left="1560" w:hanging="709"/>
      </w:pPr>
    </w:lvl>
    <w:lvl w:ilvl="1">
      <w:start w:val="1"/>
      <w:numFmt w:val="lowerLetter"/>
      <w:pStyle w:val="ListNumber3Level2"/>
      <w:lvlText w:val="(%2)"/>
      <w:lvlJc w:val="left"/>
      <w:pPr>
        <w:tabs>
          <w:tab w:val="num" w:pos="2268"/>
        </w:tabs>
        <w:ind w:left="2268" w:hanging="708"/>
      </w:pPr>
    </w:lvl>
    <w:lvl w:ilvl="2">
      <w:start w:val="1"/>
      <w:numFmt w:val="bullet"/>
      <w:pStyle w:val="ListNumber3Level3"/>
      <w:lvlText w:val="–"/>
      <w:lvlJc w:val="left"/>
      <w:pPr>
        <w:tabs>
          <w:tab w:val="num" w:pos="2977"/>
        </w:tabs>
        <w:ind w:left="2977" w:hanging="709"/>
      </w:pPr>
      <w:rPr>
        <w:rFonts w:ascii="Times New Roman" w:hAnsi="Times New Roman" w:cs="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8223C42"/>
    <w:multiLevelType w:val="hybridMultilevel"/>
    <w:tmpl w:val="FA18FDF2"/>
    <w:lvl w:ilvl="0" w:tplc="0409000F">
      <w:start w:val="1"/>
      <w:numFmt w:val="decimal"/>
      <w:pStyle w:val="Tiret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0">
    <w:nsid w:val="3A7730C4"/>
    <w:multiLevelType w:val="singleLevel"/>
    <w:tmpl w:val="456C96DE"/>
    <w:lvl w:ilvl="0">
      <w:start w:val="1"/>
      <w:numFmt w:val="bullet"/>
      <w:pStyle w:val="YReferences"/>
      <w:lvlText w:val=""/>
      <w:lvlJc w:val="left"/>
      <w:pPr>
        <w:tabs>
          <w:tab w:val="num" w:pos="765"/>
        </w:tabs>
        <w:ind w:left="765" w:hanging="283"/>
      </w:pPr>
      <w:rPr>
        <w:rFonts w:ascii="Symbol" w:hAnsi="Symbol"/>
      </w:rPr>
    </w:lvl>
  </w:abstractNum>
  <w:abstractNum w:abstractNumId="21">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2">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3">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4">
    <w:nsid w:val="46416817"/>
    <w:multiLevelType w:val="singleLevel"/>
    <w:tmpl w:val="ABE4C590"/>
    <w:lvl w:ilvl="0">
      <w:start w:val="1"/>
      <w:numFmt w:val="bullet"/>
      <w:lvlRestart w:val="0"/>
      <w:pStyle w:val="Tiret3"/>
      <w:lvlText w:val="–"/>
      <w:lvlJc w:val="left"/>
      <w:pPr>
        <w:tabs>
          <w:tab w:val="num" w:pos="2551"/>
        </w:tabs>
        <w:ind w:left="2551" w:hanging="567"/>
      </w:pPr>
    </w:lvl>
  </w:abstractNum>
  <w:abstractNum w:abstractNumId="25">
    <w:nsid w:val="4C1B7A6F"/>
    <w:multiLevelType w:val="singleLevel"/>
    <w:tmpl w:val="0A7CB49A"/>
    <w:lvl w:ilvl="0">
      <w:start w:val="1"/>
      <w:numFmt w:val="bullet"/>
      <w:lvlRestart w:val="0"/>
      <w:pStyle w:val="Tiret4"/>
      <w:lvlText w:val="–"/>
      <w:lvlJc w:val="left"/>
      <w:pPr>
        <w:tabs>
          <w:tab w:val="num" w:pos="3118"/>
        </w:tabs>
        <w:ind w:left="3118" w:hanging="567"/>
      </w:pPr>
    </w:lvl>
  </w:abstractNum>
  <w:abstractNum w:abstractNumId="26">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7">
    <w:nsid w:val="57551E12"/>
    <w:multiLevelType w:val="multilevel"/>
    <w:tmpl w:val="FEF0023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28">
    <w:nsid w:val="588709FF"/>
    <w:multiLevelType w:val="singleLevel"/>
    <w:tmpl w:val="FFFC0DF0"/>
    <w:name w:val="Tiret 4"/>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29">
    <w:nsid w:val="62A8042C"/>
    <w:multiLevelType w:val="singleLevel"/>
    <w:tmpl w:val="CCF20C06"/>
    <w:name w:val="List Bullet 3__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0">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1">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2">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cs="Times New Roman"/>
      </w:rPr>
    </w:lvl>
  </w:abstractNum>
  <w:abstractNum w:abstractNumId="33">
    <w:nsid w:val="79C96D36"/>
    <w:multiLevelType w:val="multilevel"/>
    <w:tmpl w:val="BE983CE4"/>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5">
    <w:nsid w:val="7BE95D7F"/>
    <w:multiLevelType w:val="multilevel"/>
    <w:tmpl w:val="5BCC05B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numFmt w:val="bullet"/>
      <w:pStyle w:val="Point1letter"/>
      <w:lvlText w:val="-"/>
      <w:lvlJc w:val="left"/>
      <w:pPr>
        <w:tabs>
          <w:tab w:val="num" w:pos="1417"/>
        </w:tabs>
        <w:ind w:left="1417" w:hanging="567"/>
      </w:pPr>
      <w:rPr>
        <w:rFonts w:ascii="Times New Roman" w:eastAsia="Times New Roman" w:hAnsi="Times New Roman" w:cs="Times New Roman" w:hint="default"/>
      </w:r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6">
    <w:nsid w:val="7D8820A0"/>
    <w:multiLevelType w:val="singleLevel"/>
    <w:tmpl w:val="54F6C7B4"/>
    <w:lvl w:ilvl="0">
      <w:start w:val="1"/>
      <w:numFmt w:val="bullet"/>
      <w:lvlRestart w:val="0"/>
      <w:pStyle w:val="ListDash4"/>
      <w:lvlText w:val="–"/>
      <w:lvlJc w:val="left"/>
      <w:pPr>
        <w:tabs>
          <w:tab w:val="num" w:pos="1134"/>
        </w:tabs>
        <w:ind w:left="1134" w:hanging="283"/>
      </w:pPr>
      <w:rPr>
        <w:rFonts w:ascii="Times New Roman" w:hAnsi="Times New Roman" w:cs="Times New Roman"/>
      </w:rPr>
    </w:lvl>
  </w:abstractNum>
  <w:abstractNum w:abstractNumId="37">
    <w:nsid w:val="7DE04242"/>
    <w:multiLevelType w:val="multilevel"/>
    <w:tmpl w:val="EB0A601C"/>
    <w:name w:val="List Dash 3"/>
    <w:lvl w:ilvl="0">
      <w:start w:val="1"/>
      <w:numFmt w:val="decimal"/>
      <w:lvlRestart w:val="0"/>
      <w:pStyle w:val="ListNumber4"/>
      <w:lvlText w:val="(%1)"/>
      <w:lvlJc w:val="left"/>
      <w:pPr>
        <w:tabs>
          <w:tab w:val="num" w:pos="1560"/>
        </w:tabs>
        <w:ind w:left="1560" w:hanging="709"/>
      </w:pPr>
    </w:lvl>
    <w:lvl w:ilvl="1">
      <w:start w:val="1"/>
      <w:numFmt w:val="lowerLetter"/>
      <w:pStyle w:val="ListNumber4Level2"/>
      <w:lvlText w:val="(%2)"/>
      <w:lvlJc w:val="left"/>
      <w:pPr>
        <w:tabs>
          <w:tab w:val="num" w:pos="2268"/>
        </w:tabs>
        <w:ind w:left="2268" w:hanging="708"/>
      </w:pPr>
    </w:lvl>
    <w:lvl w:ilvl="2">
      <w:start w:val="1"/>
      <w:numFmt w:val="bullet"/>
      <w:pStyle w:val="ListNumber4Level3"/>
      <w:lvlText w:val="–"/>
      <w:lvlJc w:val="left"/>
      <w:pPr>
        <w:tabs>
          <w:tab w:val="num" w:pos="2977"/>
        </w:tabs>
        <w:ind w:left="2977" w:hanging="709"/>
      </w:pPr>
      <w:rPr>
        <w:rFonts w:ascii="Times New Roman" w:hAnsi="Times New Roman" w:cs="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21"/>
  </w:num>
  <w:num w:numId="3">
    <w:abstractNumId w:val="34"/>
  </w:num>
  <w:num w:numId="4">
    <w:abstractNumId w:val="11"/>
  </w:num>
  <w:num w:numId="5">
    <w:abstractNumId w:val="23"/>
  </w:num>
  <w:num w:numId="6">
    <w:abstractNumId w:val="19"/>
  </w:num>
  <w:num w:numId="7">
    <w:abstractNumId w:val="22"/>
  </w:num>
  <w:num w:numId="8">
    <w:abstractNumId w:val="31"/>
  </w:num>
  <w:num w:numId="9">
    <w:abstractNumId w:val="14"/>
  </w:num>
  <w:num w:numId="10">
    <w:abstractNumId w:val="6"/>
  </w:num>
  <w:num w:numId="11">
    <w:abstractNumId w:val="12"/>
  </w:num>
  <w:num w:numId="12">
    <w:abstractNumId w:val="12"/>
  </w:num>
  <w:num w:numId="13">
    <w:abstractNumId w:val="12"/>
  </w:num>
  <w:num w:numId="14">
    <w:abstractNumId w:val="12"/>
  </w:num>
  <w:num w:numId="15">
    <w:abstractNumId w:val="3"/>
  </w:num>
  <w:num w:numId="16">
    <w:abstractNumId w:val="26"/>
  </w:num>
  <w:num w:numId="17">
    <w:abstractNumId w:val="18"/>
  </w:num>
  <w:num w:numId="18">
    <w:abstractNumId w:val="13"/>
  </w:num>
  <w:num w:numId="19">
    <w:abstractNumId w:val="7"/>
  </w:num>
  <w:num w:numId="20">
    <w:abstractNumId w:val="4"/>
  </w:num>
  <w:num w:numId="21">
    <w:abstractNumId w:val="20"/>
  </w:num>
  <w:num w:numId="22">
    <w:abstractNumId w:val="5"/>
  </w:num>
  <w:num w:numId="23">
    <w:abstractNumId w:val="2"/>
  </w:num>
  <w:num w:numId="24">
    <w:abstractNumId w:val="1"/>
  </w:num>
  <w:num w:numId="25">
    <w:abstractNumId w:val="0"/>
  </w:num>
  <w:num w:numId="26">
    <w:abstractNumId w:val="8"/>
  </w:num>
  <w:num w:numId="27">
    <w:abstractNumId w:val="16"/>
  </w:num>
  <w:num w:numId="28">
    <w:abstractNumId w:val="24"/>
  </w:num>
  <w:num w:numId="29">
    <w:abstractNumId w:val="25"/>
  </w:num>
  <w:num w:numId="30">
    <w:abstractNumId w:val="30"/>
  </w:num>
  <w:num w:numId="31">
    <w:abstractNumId w:val="29"/>
  </w:num>
  <w:num w:numId="32">
    <w:abstractNumId w:val="32"/>
  </w:num>
  <w:num w:numId="33">
    <w:abstractNumId w:val="36"/>
  </w:num>
  <w:num w:numId="34">
    <w:abstractNumId w:val="33"/>
  </w:num>
  <w:num w:numId="35">
    <w:abstractNumId w:val="9"/>
  </w:num>
  <w:num w:numId="36">
    <w:abstractNumId w:val="37"/>
  </w:num>
  <w:num w:numId="37">
    <w:abstractNumId w:val="17"/>
  </w:num>
  <w:num w:numId="38">
    <w:abstractNumId w:val="28"/>
  </w:num>
  <w:num w:numId="39">
    <w:abstractNumId w:val="35"/>
  </w:num>
  <w:num w:numId="40">
    <w:abstractNumId w:val="27"/>
  </w:num>
  <w:num w:numId="41">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isplayBackgroundShape/>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sv-SE"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displayHorizontalDrawingGridEvery w:val="0"/>
  <w:displayVerticalDrawingGridEvery w:val="0"/>
  <w:doNotUseMarginsForDrawingGridOrigin/>
  <w:noPunctuationKerning/>
  <w:characterSpacingControl w:val="doNotCompress"/>
  <w:hdrShapeDefaults>
    <o:shapedefaults v:ext="edit" spidmax="24577"/>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CopyNum" w:val="0"/>
    <w:docVar w:name="DocStatus" w:val="Green"/>
    <w:docVar w:name="DW_DocType" w:val="_GenEn"/>
    <w:docVar w:name="LW_ACCOMPAGNANT.CP" w:val="k "/>
    <w:docVar w:name="LW_ANNEX_NBR_FIRST" w:val="5"/>
    <w:docVar w:name="LW_ANNEX_NBR_LAST" w:val="5"/>
    <w:docVar w:name="LW_ANNEX_UNIQUE" w:val="0"/>
    <w:docVar w:name="LW_CORRIGENDUM" w:val="&lt;UNUSED&gt;"/>
    <w:docVar w:name="LW_COVERPAGE_EXISTS" w:val="True"/>
    <w:docVar w:name="LW_COVERPAGE_GUID" w:val="A81B6642-76C9-4543-8F7C-4DC189EB9865"/>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 Vietnamskou socialistickou republikou"/>
    <w:docVar w:name="LW_PART_NBR" w:val="1"/>
    <w:docVar w:name="LW_PART_NBR_TOTAL" w:val="1"/>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4Char">
    <w:name w:val="Heading 4 Char"/>
    <w:basedOn w:val="DefaultParagraphFont"/>
    <w:link w:val="Heading4"/>
    <w:rPr>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HeaderChar">
    <w:name w:val="Header Char"/>
    <w:aliases w:val="Header1 Char"/>
    <w:basedOn w:val="DefaultParagraphFont"/>
    <w:link w:val="Header"/>
    <w:uiPriority w:val="99"/>
    <w:rPr>
      <w:sz w:val="24"/>
      <w:lang w:eastAsia="sk-SK"/>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uiPriority w:val="99"/>
    <w:pPr>
      <w:widowControl/>
      <w:spacing w:before="100" w:beforeAutospacing="1" w:after="100" w:afterAutospacing="1" w:line="240" w:lineRule="auto"/>
    </w:pPr>
    <w:rPr>
      <w:szCs w:val="24"/>
    </w:rPr>
  </w:style>
  <w:style w:type="paragraph" w:customStyle="1" w:styleId="Level1">
    <w:name w:val="Level 1"/>
    <w:basedOn w:val="Normal"/>
    <w:uiPriority w:val="99"/>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34"/>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pPr>
      <w:widowControl/>
      <w:spacing w:line="240" w:lineRule="auto"/>
    </w:pPr>
    <w:rPr>
      <w:rFonts w:eastAsia="MS Mincho"/>
      <w:sz w:val="20"/>
    </w:rPr>
  </w:style>
  <w:style w:type="character" w:customStyle="1" w:styleId="CommentTextChar">
    <w:name w:val="Comment Text Char"/>
    <w:basedOn w:val="DefaultParagraphFont"/>
    <w:link w:val="CommentText"/>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uiPriority w:val="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uiPriority w:val="99"/>
    <w:semi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rPr>
      <w:rFonts w:eastAsia="Calibri"/>
      <w:sz w:val="22"/>
      <w:szCs w:val="22"/>
      <w:lang w:val="sk-SK" w:eastAsia="sk-SK"/>
    </w:rPr>
  </w:style>
  <w:style w:type="paragraph" w:customStyle="1" w:styleId="FootnoteQuotation">
    <w:name w:val="Footnote Quotation"/>
    <w:basedOn w:val="Normal"/>
    <w:pPr>
      <w:widowControl/>
      <w:spacing w:line="240" w:lineRule="auto"/>
      <w:ind w:left="720" w:right="720"/>
      <w:jc w:val="both"/>
    </w:pPr>
    <w:rPr>
      <w:rFonts w:eastAsia="Calibri"/>
      <w:sz w:val="20"/>
      <w:szCs w:val="22"/>
    </w:rPr>
  </w:style>
  <w:style w:type="paragraph" w:customStyle="1" w:styleId="Quotation">
    <w:name w:val="Quotation"/>
    <w:basedOn w:val="Normal"/>
    <w:pPr>
      <w:widowControl/>
      <w:spacing w:after="240" w:line="240" w:lineRule="auto"/>
      <w:ind w:left="720" w:right="720"/>
      <w:jc w:val="both"/>
    </w:pPr>
    <w:rPr>
      <w:rFonts w:eastAsia="Calibri"/>
      <w:sz w:val="22"/>
      <w:szCs w:val="22"/>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pPr>
      <w:widowControl/>
      <w:spacing w:line="240" w:lineRule="auto"/>
      <w:jc w:val="center"/>
    </w:pPr>
    <w:rPr>
      <w:rFonts w:eastAsia="Calibri"/>
      <w:sz w:val="22"/>
      <w:szCs w:val="22"/>
      <w:u w:val="single"/>
    </w:rPr>
  </w:style>
  <w:style w:type="paragraph" w:customStyle="1" w:styleId="Title3">
    <w:name w:val="Title 3"/>
    <w:basedOn w:val="Normal"/>
    <w:pPr>
      <w:widowControl/>
      <w:spacing w:line="240" w:lineRule="auto"/>
      <w:jc w:val="center"/>
    </w:pPr>
    <w:rPr>
      <w:rFonts w:eastAsia="Calibri"/>
      <w:i/>
      <w:sz w:val="22"/>
      <w:szCs w:val="22"/>
    </w:rPr>
  </w:style>
  <w:style w:type="paragraph" w:customStyle="1" w:styleId="TitleCountry">
    <w:name w:val="Title Country"/>
    <w:basedOn w:val="Normal"/>
    <w:pPr>
      <w:widowControl/>
      <w:spacing w:line="240" w:lineRule="auto"/>
      <w:jc w:val="center"/>
    </w:pPr>
    <w:rPr>
      <w:rFonts w:eastAsia="Calibri"/>
      <w:caps/>
      <w:sz w:val="22"/>
      <w:szCs w:val="22"/>
    </w:rPr>
  </w:style>
  <w:style w:type="numbering" w:customStyle="1" w:styleId="NoList111">
    <w:name w:val="No List111"/>
    <w:next w:val="NoList"/>
    <w:semiHidden/>
  </w:style>
  <w:style w:type="character" w:customStyle="1" w:styleId="EndnoteTextChar">
    <w:name w:val="Endnote Text Char"/>
    <w:basedOn w:val="DefaultParagraphFont"/>
    <w:link w:val="EndnoteText"/>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uiPriority w:val="99"/>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uiPriority w:val="99"/>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font5">
    <w:name w:val="font5"/>
    <w:basedOn w:val="Normal"/>
    <w:pPr>
      <w:widowControl/>
      <w:spacing w:before="100" w:beforeAutospacing="1" w:after="100" w:afterAutospacing="1" w:line="240" w:lineRule="auto"/>
    </w:pPr>
    <w:rPr>
      <w:color w:val="000000"/>
      <w:sz w:val="20"/>
    </w:rPr>
  </w:style>
  <w:style w:type="paragraph" w:customStyle="1" w:styleId="font6">
    <w:name w:val="font6"/>
    <w:basedOn w:val="Normal"/>
    <w:pPr>
      <w:widowControl/>
      <w:spacing w:before="100" w:beforeAutospacing="1" w:after="100" w:afterAutospacing="1" w:line="240" w:lineRule="auto"/>
    </w:pPr>
    <w:rPr>
      <w:color w:val="000000"/>
      <w:sz w:val="20"/>
    </w:rPr>
  </w:style>
  <w:style w:type="paragraph" w:customStyle="1" w:styleId="font7">
    <w:name w:val="font7"/>
    <w:basedOn w:val="Normal"/>
    <w:pPr>
      <w:widowControl/>
      <w:spacing w:before="100" w:beforeAutospacing="1" w:after="100" w:afterAutospacing="1" w:line="240" w:lineRule="auto"/>
    </w:pPr>
    <w:rPr>
      <w:color w:val="000000"/>
      <w:sz w:val="20"/>
    </w:rPr>
  </w:style>
  <w:style w:type="paragraph" w:customStyle="1" w:styleId="font8">
    <w:name w:val="font8"/>
    <w:basedOn w:val="Normal"/>
    <w:pPr>
      <w:widowControl/>
      <w:spacing w:before="100" w:beforeAutospacing="1" w:after="100" w:afterAutospacing="1" w:line="240" w:lineRule="auto"/>
    </w:pPr>
    <w:rPr>
      <w:color w:val="000000"/>
      <w:sz w:val="20"/>
    </w:rPr>
  </w:style>
  <w:style w:type="paragraph" w:customStyle="1" w:styleId="xl63">
    <w:name w:val="xl63"/>
    <w:basedOn w:val="Normal"/>
    <w:pPr>
      <w:widowControl/>
      <w:spacing w:before="100" w:beforeAutospacing="1" w:after="100" w:afterAutospacing="1" w:line="240" w:lineRule="auto"/>
      <w:textAlignment w:val="top"/>
    </w:pPr>
    <w:rPr>
      <w:sz w:val="20"/>
    </w:rPr>
  </w:style>
  <w:style w:type="paragraph" w:customStyle="1" w:styleId="xl64">
    <w:name w:val="xl64"/>
    <w:basedOn w:val="Normal"/>
    <w:pPr>
      <w:widowControl/>
      <w:spacing w:before="100" w:beforeAutospacing="1" w:after="100" w:afterAutospacing="1" w:line="240" w:lineRule="auto"/>
      <w:jc w:val="center"/>
      <w:textAlignment w:val="top"/>
    </w:pPr>
    <w:rPr>
      <w:sz w:val="20"/>
    </w:rPr>
  </w:style>
  <w:style w:type="paragraph" w:customStyle="1" w:styleId="xl65">
    <w:name w:val="xl6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color w:val="000000"/>
      <w:sz w:val="20"/>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20"/>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color w:val="000000"/>
      <w:sz w:val="20"/>
    </w:rPr>
  </w:style>
  <w:style w:type="paragraph" w:customStyle="1" w:styleId="xl68">
    <w:name w:val="xl6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 w:val="20"/>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rPr>
  </w:style>
  <w:style w:type="paragraph" w:customStyle="1" w:styleId="xl70">
    <w:name w:val="xl7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 w:val="20"/>
    </w:rPr>
  </w:style>
  <w:style w:type="paragraph" w:customStyle="1" w:styleId="xl71">
    <w:name w:val="xl7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0"/>
    </w:rPr>
  </w:style>
  <w:style w:type="paragraph" w:customStyle="1" w:styleId="xl72">
    <w:name w:val="xl7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 w:val="20"/>
    </w:rPr>
  </w:style>
  <w:style w:type="paragraph" w:customStyle="1" w:styleId="xl73">
    <w:name w:val="xl7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color w:val="000000"/>
      <w:sz w:val="20"/>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color w:val="000000"/>
      <w:sz w:val="20"/>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sz w:val="20"/>
    </w:rPr>
  </w:style>
  <w:style w:type="paragraph" w:customStyle="1" w:styleId="xl76">
    <w:name w:val="xl76"/>
    <w:basedOn w:val="Normal"/>
    <w:pPr>
      <w:widowControl/>
      <w:spacing w:before="100" w:beforeAutospacing="1" w:after="100" w:afterAutospacing="1" w:line="240" w:lineRule="auto"/>
      <w:textAlignment w:val="top"/>
    </w:pPr>
    <w:rPr>
      <w:sz w:val="20"/>
    </w:r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sk-SK"/>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Heading3Char">
    <w:name w:val="Heading 3 Char"/>
    <w:basedOn w:val="DefaultParagraphFont"/>
    <w:link w:val="Heading3"/>
    <w:rPr>
      <w:i/>
      <w:sz w:val="24"/>
      <w:lang w:eastAsia="sk-SK"/>
    </w:rPr>
  </w:style>
  <w:style w:type="character" w:customStyle="1" w:styleId="Heading4Char">
    <w:name w:val="Heading 4 Char"/>
    <w:basedOn w:val="DefaultParagraphFont"/>
    <w:link w:val="Heading4"/>
    <w:rPr>
      <w:sz w:val="24"/>
      <w:lang w:eastAsia="sk-SK"/>
    </w:rPr>
  </w:style>
  <w:style w:type="character" w:customStyle="1" w:styleId="Heading5Char">
    <w:name w:val="Heading 5 Char"/>
    <w:basedOn w:val="DefaultParagraphFont"/>
    <w:link w:val="Heading5"/>
    <w:rPr>
      <w:rFonts w:ascii="Arial" w:hAnsi="Arial"/>
      <w:sz w:val="22"/>
      <w:lang w:eastAsia="sk-SK"/>
    </w:rPr>
  </w:style>
  <w:style w:type="character" w:customStyle="1" w:styleId="Heading6Char">
    <w:name w:val="Heading 6 Char"/>
    <w:basedOn w:val="DefaultParagraphFont"/>
    <w:link w:val="Heading6"/>
    <w:rPr>
      <w:rFonts w:ascii="Arial" w:hAnsi="Arial"/>
      <w:i/>
      <w:sz w:val="22"/>
      <w:lang w:eastAsia="sk-SK"/>
    </w:rPr>
  </w:style>
  <w:style w:type="character" w:customStyle="1" w:styleId="Heading7Char">
    <w:name w:val="Heading 7 Char"/>
    <w:basedOn w:val="DefaultParagraphFont"/>
    <w:link w:val="Heading7"/>
    <w:rPr>
      <w:rFonts w:ascii="Arial" w:hAnsi="Arial"/>
      <w:lang w:eastAsia="sk-SK"/>
    </w:rPr>
  </w:style>
  <w:style w:type="character" w:customStyle="1" w:styleId="Heading8Char">
    <w:name w:val="Heading 8 Char"/>
    <w:basedOn w:val="DefaultParagraphFont"/>
    <w:link w:val="Heading8"/>
    <w:rPr>
      <w:rFonts w:ascii="Arial" w:hAnsi="Arial"/>
      <w:i/>
      <w:lang w:eastAsia="sk-SK"/>
    </w:rPr>
  </w:style>
  <w:style w:type="character" w:customStyle="1" w:styleId="Heading9Char">
    <w:name w:val="Heading 9 Char"/>
    <w:basedOn w:val="DefaultParagraphFont"/>
    <w:link w:val="Heading9"/>
    <w:rPr>
      <w:rFonts w:ascii="Arial" w:hAnsi="Arial"/>
      <w:i/>
      <w:sz w:val="18"/>
      <w:lang w:eastAsia="sk-SK"/>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rPr>
  </w:style>
  <w:style w:type="paragraph" w:styleId="NoSpacing">
    <w:name w:val="No Spacing"/>
    <w:uiPriority w:val="1"/>
    <w:qFormat/>
    <w:rPr>
      <w:rFonts w:ascii="Calibri" w:eastAsia="Calibri" w:hAnsi="Calibri"/>
      <w:sz w:val="22"/>
      <w:szCs w:val="22"/>
    </w:rPr>
  </w:style>
  <w:style w:type="character" w:customStyle="1" w:styleId="HeaderChar">
    <w:name w:val="Header Char"/>
    <w:aliases w:val="Header1 Char"/>
    <w:basedOn w:val="DefaultParagraphFont"/>
    <w:link w:val="Header"/>
    <w:uiPriority w:val="99"/>
    <w:rPr>
      <w:sz w:val="24"/>
      <w:lang w:eastAsia="sk-SK"/>
    </w:rPr>
  </w:style>
  <w:style w:type="character" w:customStyle="1" w:styleId="FooterChar">
    <w:name w:val="Footer Char"/>
    <w:basedOn w:val="DefaultParagraphFont"/>
    <w:link w:val="Footer"/>
    <w:uiPriority w:val="99"/>
    <w:rPr>
      <w:sz w:val="24"/>
      <w:lang w:eastAsia="sk-SK"/>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rPr>
  </w:style>
  <w:style w:type="character" w:customStyle="1" w:styleId="FootnoteTextChar">
    <w:name w:val="Footnote Text Char"/>
    <w:basedOn w:val="DefaultParagraphFont"/>
    <w:link w:val="FootnoteText"/>
    <w:uiPriority w:val="99"/>
    <w:rPr>
      <w:sz w:val="24"/>
      <w:lang w:eastAsia="sk-SK"/>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sk-SK"/>
    </w:rPr>
  </w:style>
  <w:style w:type="paragraph" w:styleId="ListParagraph">
    <w:name w:val="List Paragraph"/>
    <w:basedOn w:val="Normal"/>
    <w:link w:val="ListParagraphChar"/>
    <w:uiPriority w:val="34"/>
    <w:qFormat/>
    <w:pPr>
      <w:widowControl/>
      <w:spacing w:line="240" w:lineRule="auto"/>
      <w:ind w:left="720"/>
      <w:contextualSpacing/>
    </w:pPr>
    <w:rPr>
      <w:szCs w:val="24"/>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rPr>
  </w:style>
  <w:style w:type="character" w:customStyle="1" w:styleId="TitleChar">
    <w:name w:val="Title Char"/>
    <w:basedOn w:val="DefaultParagraphFont"/>
    <w:link w:val="Title"/>
    <w:rPr>
      <w:rFonts w:ascii="Times New Roman Bold" w:eastAsia="Calibri" w:hAnsi="Times New Roman Bold"/>
      <w:b/>
      <w:sz w:val="24"/>
      <w:szCs w:val="22"/>
      <w:lang w:eastAsia="sk-SK"/>
    </w:rPr>
  </w:style>
  <w:style w:type="paragraph" w:styleId="NormalWeb">
    <w:name w:val="Normal (Web)"/>
    <w:basedOn w:val="Normal"/>
    <w:uiPriority w:val="99"/>
    <w:pPr>
      <w:widowControl/>
      <w:spacing w:before="100" w:beforeAutospacing="1" w:after="100" w:afterAutospacing="1" w:line="240" w:lineRule="auto"/>
    </w:pPr>
    <w:rPr>
      <w:szCs w:val="24"/>
    </w:rPr>
  </w:style>
  <w:style w:type="paragraph" w:customStyle="1" w:styleId="Level1">
    <w:name w:val="Level 1"/>
    <w:basedOn w:val="Normal"/>
    <w:uiPriority w:val="99"/>
    <w:pPr>
      <w:autoSpaceDE w:val="0"/>
      <w:autoSpaceDN w:val="0"/>
      <w:adjustRightInd w:val="0"/>
      <w:spacing w:line="240" w:lineRule="auto"/>
    </w:pPr>
    <w:rPr>
      <w:rFonts w:eastAsia="Batang"/>
      <w:szCs w:val="24"/>
    </w:rPr>
  </w:style>
  <w:style w:type="paragraph" w:customStyle="1" w:styleId="ColorfulList-Accent11">
    <w:name w:val="Colorful List - Accent 11"/>
    <w:basedOn w:val="Normal"/>
    <w:uiPriority w:val="34"/>
    <w:qFormat/>
    <w:pPr>
      <w:widowControl/>
      <w:spacing w:line="240" w:lineRule="auto"/>
      <w:ind w:left="708"/>
    </w:pPr>
    <w:rPr>
      <w:szCs w:val="24"/>
    </w:rPr>
  </w:style>
  <w:style w:type="paragraph" w:customStyle="1" w:styleId="MediumGrid21">
    <w:name w:val="Medium Grid 21"/>
    <w:basedOn w:val="Normal"/>
    <w:uiPriority w:val="1"/>
    <w:qFormat/>
    <w:pPr>
      <w:widowControl/>
      <w:spacing w:line="240" w:lineRule="auto"/>
    </w:pPr>
    <w:rPr>
      <w:rFonts w:ascii="Calibri" w:hAnsi="Calibri"/>
      <w:sz w:val="22"/>
      <w:szCs w:val="22"/>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style>
  <w:style w:type="character" w:customStyle="1" w:styleId="BodyText2Char">
    <w:name w:val="Body Text 2 Char"/>
    <w:basedOn w:val="DefaultParagraphFont"/>
    <w:link w:val="BodyText2"/>
    <w:rPr>
      <w:sz w:val="24"/>
      <w:lang w:eastAsia="sk-SK"/>
    </w:rPr>
  </w:style>
  <w:style w:type="paragraph" w:styleId="BodyTextIndent">
    <w:name w:val="Body Text Indent"/>
    <w:basedOn w:val="Normal"/>
    <w:link w:val="BodyTextIndentChar"/>
    <w:pPr>
      <w:widowControl/>
      <w:spacing w:after="120" w:line="240" w:lineRule="auto"/>
      <w:ind w:left="283"/>
      <w:jc w:val="both"/>
    </w:pPr>
  </w:style>
  <w:style w:type="character" w:customStyle="1" w:styleId="BodyTextIndentChar">
    <w:name w:val="Body Text Indent Char"/>
    <w:basedOn w:val="DefaultParagraphFont"/>
    <w:link w:val="BodyTextIndent"/>
    <w:rPr>
      <w:sz w:val="24"/>
      <w:lang w:val="sk-SK" w:eastAsia="sk-SK"/>
    </w:rPr>
  </w:style>
  <w:style w:type="paragraph" w:styleId="BodyTextIndent2">
    <w:name w:val="Body Text Indent 2"/>
    <w:basedOn w:val="Normal"/>
    <w:link w:val="BodyTextIndent2Char"/>
    <w:pPr>
      <w:widowControl/>
      <w:spacing w:after="120" w:line="480" w:lineRule="auto"/>
      <w:ind w:left="283"/>
      <w:jc w:val="both"/>
    </w:pPr>
  </w:style>
  <w:style w:type="character" w:customStyle="1" w:styleId="BodyTextIndent2Char">
    <w:name w:val="Body Text Indent 2 Char"/>
    <w:basedOn w:val="DefaultParagraphFont"/>
    <w:link w:val="BodyTextIndent2"/>
    <w:rPr>
      <w:sz w:val="24"/>
      <w:lang w:eastAsia="sk-SK"/>
    </w:rPr>
  </w:style>
  <w:style w:type="paragraph" w:styleId="ListBullet">
    <w:name w:val="List Bullet"/>
    <w:basedOn w:val="Normal"/>
    <w:pPr>
      <w:widowControl/>
      <w:numPr>
        <w:numId w:val="16"/>
      </w:numPr>
      <w:spacing w:after="240" w:line="240" w:lineRule="auto"/>
      <w:jc w:val="both"/>
    </w:pPr>
  </w:style>
  <w:style w:type="paragraph" w:customStyle="1" w:styleId="Titrearticle">
    <w:name w:val="Titre article"/>
    <w:basedOn w:val="Normal"/>
    <w:next w:val="Normal"/>
    <w:link w:val="TitrearticleChar"/>
    <w:pPr>
      <w:keepNext/>
      <w:widowControl/>
      <w:spacing w:before="360" w:after="120" w:line="240" w:lineRule="auto"/>
      <w:jc w:val="center"/>
    </w:pPr>
    <w:rPr>
      <w:i/>
    </w:rPr>
  </w:style>
  <w:style w:type="paragraph" w:customStyle="1" w:styleId="NormalWeb8">
    <w:name w:val="Normal (Web)8"/>
    <w:basedOn w:val="Normal"/>
    <w:pPr>
      <w:widowControl/>
      <w:spacing w:before="75" w:after="75" w:line="240" w:lineRule="auto"/>
      <w:ind w:left="225" w:right="225"/>
    </w:pPr>
    <w:rPr>
      <w:sz w:val="22"/>
      <w:szCs w:val="22"/>
    </w:rPr>
  </w:style>
  <w:style w:type="paragraph" w:customStyle="1" w:styleId="Point2">
    <w:name w:val="Point 2"/>
    <w:basedOn w:val="Normal"/>
    <w:pPr>
      <w:widowControl/>
      <w:spacing w:before="120" w:after="120" w:line="240" w:lineRule="auto"/>
      <w:ind w:left="1985" w:hanging="567"/>
      <w:jc w:val="both"/>
    </w:pPr>
  </w:style>
  <w:style w:type="paragraph" w:customStyle="1" w:styleId="NormalCentered">
    <w:name w:val="Normal Centered"/>
    <w:basedOn w:val="Normal"/>
    <w:pPr>
      <w:widowControl/>
      <w:spacing w:before="120" w:after="120" w:line="240" w:lineRule="auto"/>
      <w:jc w:val="center"/>
    </w:pPr>
  </w:style>
  <w:style w:type="paragraph" w:customStyle="1" w:styleId="Tiret1">
    <w:name w:val="Tiret 1"/>
    <w:basedOn w:val="Normal"/>
    <w:pPr>
      <w:widowControl/>
      <w:numPr>
        <w:numId w:val="17"/>
      </w:numPr>
      <w:tabs>
        <w:tab w:val="num" w:pos="1134"/>
      </w:tabs>
      <w:spacing w:before="120" w:after="120" w:line="240" w:lineRule="auto"/>
      <w:ind w:left="1134"/>
      <w:jc w:val="both"/>
    </w:pPr>
  </w:style>
  <w:style w:type="paragraph" w:customStyle="1" w:styleId="Lines">
    <w:name w:val="Lines"/>
    <w:basedOn w:val="Normal"/>
    <w:pPr>
      <w:widowControl/>
      <w:numPr>
        <w:numId w:val="18"/>
      </w:numPr>
      <w:spacing w:line="240" w:lineRule="auto"/>
    </w:pPr>
    <w:rPr>
      <w:szCs w:val="24"/>
    </w:rPr>
  </w:style>
  <w:style w:type="paragraph" w:styleId="CommentText">
    <w:name w:val="annotation text"/>
    <w:basedOn w:val="Normal"/>
    <w:link w:val="CommentTextChar"/>
    <w:pPr>
      <w:widowControl/>
      <w:spacing w:line="240" w:lineRule="auto"/>
    </w:pPr>
    <w:rPr>
      <w:rFonts w:eastAsia="MS Mincho"/>
      <w:sz w:val="20"/>
    </w:rPr>
  </w:style>
  <w:style w:type="character" w:customStyle="1" w:styleId="CommentTextChar">
    <w:name w:val="Comment Text Char"/>
    <w:basedOn w:val="DefaultParagraphFont"/>
    <w:link w:val="CommentText"/>
    <w:rPr>
      <w:rFonts w:eastAsia="MS Mincho"/>
      <w:lang w:eastAsia="sk-SK"/>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sk-SK"/>
    </w:rPr>
  </w:style>
  <w:style w:type="character" w:customStyle="1" w:styleId="BalloonTextChar">
    <w:name w:val="Balloon Text Char"/>
    <w:basedOn w:val="DefaultParagraphFont"/>
    <w:link w:val="BalloonText"/>
    <w:rPr>
      <w:rFonts w:ascii="Tahoma" w:hAnsi="Tahoma" w:cs="Tahoma"/>
      <w:sz w:val="16"/>
      <w:szCs w:val="16"/>
      <w:lang w:eastAsia="sk-SK"/>
    </w:rPr>
  </w:style>
  <w:style w:type="character" w:customStyle="1" w:styleId="ManualNumPar1Char">
    <w:name w:val="Manual NumPar 1 Char"/>
    <w:link w:val="ManualNumPar1"/>
    <w:rPr>
      <w:rFonts w:ascii="Cambria Math" w:eastAsia="Cambria Math" w:hAnsi="Cambria Math" w:cs="Cambria Math"/>
      <w:sz w:val="24"/>
      <w:szCs w:val="24"/>
      <w:lang w:eastAsia="sk-SK"/>
    </w:rPr>
  </w:style>
  <w:style w:type="paragraph" w:customStyle="1" w:styleId="Tiret2">
    <w:name w:val="Tiret 2"/>
    <w:basedOn w:val="Normal"/>
    <w:pPr>
      <w:widowControl/>
      <w:numPr>
        <w:numId w:val="19"/>
      </w:numPr>
      <w:spacing w:before="120" w:after="120" w:line="240" w:lineRule="auto"/>
      <w:jc w:val="both"/>
    </w:pPr>
    <w:rPr>
      <w:szCs w:val="24"/>
    </w:rPr>
  </w:style>
  <w:style w:type="paragraph" w:customStyle="1" w:styleId="ListDash2">
    <w:name w:val="List Dash 2"/>
    <w:basedOn w:val="Normal"/>
    <w:pPr>
      <w:widowControl/>
      <w:numPr>
        <w:numId w:val="20"/>
      </w:numPr>
      <w:spacing w:line="240" w:lineRule="auto"/>
    </w:pPr>
    <w:rPr>
      <w:szCs w:val="24"/>
    </w:rPr>
  </w:style>
  <w:style w:type="character" w:customStyle="1" w:styleId="Text1Znak">
    <w:name w:val="Text 1 Znak"/>
    <w:link w:val="Text1"/>
    <w:rPr>
      <w:rFonts w:ascii="Cambria Math" w:eastAsia="Cambria Math" w:hAnsi="Cambria Math" w:cs="Cambria Math"/>
      <w:sz w:val="24"/>
      <w:szCs w:val="24"/>
      <w:lang w:eastAsia="sk-SK"/>
    </w:rPr>
  </w:style>
  <w:style w:type="character" w:customStyle="1" w:styleId="Point1Char">
    <w:name w:val="Point 1 Char"/>
    <w:link w:val="Point1"/>
    <w:rPr>
      <w:rFonts w:ascii="Cambria Math" w:eastAsia="Cambria Math" w:hAnsi="Cambria Math" w:cs="Cambria Math"/>
      <w:color w:val="000000"/>
      <w:sz w:val="24"/>
      <w:szCs w:val="24"/>
      <w:lang w:eastAsia="sk-SK"/>
    </w:rPr>
  </w:style>
  <w:style w:type="table" w:styleId="TableGrid">
    <w:name w:val="Table Grid"/>
    <w:basedOn w:val="TableNormal"/>
    <w:uiPriority w:val="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style>
  <w:style w:type="paragraph" w:customStyle="1" w:styleId="NumPar1">
    <w:name w:val="NumPar 1"/>
    <w:basedOn w:val="Normal"/>
    <w:next w:val="Normal"/>
    <w:pPr>
      <w:widowControl/>
      <w:numPr>
        <w:numId w:val="22"/>
      </w:numPr>
      <w:spacing w:before="120" w:after="120" w:line="240" w:lineRule="auto"/>
      <w:jc w:val="both"/>
    </w:pPr>
    <w:rPr>
      <w:szCs w:val="24"/>
    </w:rPr>
  </w:style>
  <w:style w:type="paragraph" w:customStyle="1" w:styleId="NumPar2">
    <w:name w:val="NumPar 2"/>
    <w:basedOn w:val="Normal"/>
    <w:next w:val="Normal"/>
    <w:pPr>
      <w:widowControl/>
      <w:numPr>
        <w:ilvl w:val="1"/>
        <w:numId w:val="22"/>
      </w:numPr>
      <w:spacing w:before="120" w:after="120" w:line="240" w:lineRule="auto"/>
      <w:jc w:val="both"/>
    </w:pPr>
    <w:rPr>
      <w:szCs w:val="24"/>
    </w:rPr>
  </w:style>
  <w:style w:type="paragraph" w:customStyle="1" w:styleId="NumPar3">
    <w:name w:val="NumPar 3"/>
    <w:basedOn w:val="Normal"/>
    <w:next w:val="Normal"/>
    <w:pPr>
      <w:widowControl/>
      <w:numPr>
        <w:ilvl w:val="2"/>
        <w:numId w:val="22"/>
      </w:numPr>
      <w:spacing w:before="120" w:after="120" w:line="240" w:lineRule="auto"/>
      <w:jc w:val="both"/>
    </w:pPr>
    <w:rPr>
      <w:szCs w:val="24"/>
    </w:rPr>
  </w:style>
  <w:style w:type="paragraph" w:customStyle="1" w:styleId="NumPar4">
    <w:name w:val="NumPar 4"/>
    <w:basedOn w:val="Normal"/>
    <w:next w:val="Normal"/>
    <w:pPr>
      <w:widowControl/>
      <w:numPr>
        <w:ilvl w:val="3"/>
        <w:numId w:val="22"/>
      </w:numPr>
      <w:spacing w:before="120" w:after="120" w:line="240" w:lineRule="auto"/>
      <w:jc w:val="both"/>
    </w:pPr>
    <w:rPr>
      <w:szCs w:val="24"/>
    </w:rPr>
  </w:style>
  <w:style w:type="paragraph" w:customStyle="1" w:styleId="Point0">
    <w:name w:val="Point 0"/>
    <w:basedOn w:val="Normal"/>
    <w:pPr>
      <w:widowControl/>
      <w:spacing w:before="120" w:after="120" w:line="240" w:lineRule="auto"/>
      <w:ind w:left="850" w:hanging="850"/>
      <w:jc w:val="both"/>
    </w:pPr>
    <w:rPr>
      <w:szCs w:val="24"/>
    </w:rPr>
  </w:style>
  <w:style w:type="paragraph" w:customStyle="1" w:styleId="CM1">
    <w:name w:val="CM1"/>
    <w:basedOn w:val="Default"/>
    <w:next w:val="Default"/>
    <w:uiPriority w:val="99"/>
    <w:pPr>
      <w:widowControl/>
    </w:pPr>
    <w:rPr>
      <w:rFonts w:ascii="EUAlbertina" w:eastAsia="MS Mincho" w:hAnsi="EUAlbertina"/>
      <w:color w:val="auto"/>
    </w:rPr>
  </w:style>
  <w:style w:type="paragraph" w:customStyle="1" w:styleId="CM3">
    <w:name w:val="CM3"/>
    <w:basedOn w:val="Default"/>
    <w:next w:val="Default"/>
    <w:uiPriority w:val="99"/>
    <w:pPr>
      <w:widowControl/>
    </w:pPr>
    <w:rPr>
      <w:rFonts w:ascii="EUAlbertina" w:eastAsia="MS Mincho" w:hAnsi="EUAlbertina"/>
      <w:color w:val="auto"/>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rPr>
  </w:style>
  <w:style w:type="paragraph" w:customStyle="1" w:styleId="Geenafstand">
    <w:name w:val="Geen afstand"/>
    <w:qFormat/>
    <w:rPr>
      <w:rFonts w:ascii="Calibri" w:eastAsia="Calibri" w:hAnsi="Calibri"/>
      <w:sz w:val="22"/>
      <w:szCs w:val="22"/>
    </w:rPr>
  </w:style>
  <w:style w:type="paragraph" w:customStyle="1" w:styleId="ecxmsonormal">
    <w:name w:val="ecxmsonormal"/>
    <w:basedOn w:val="Normal"/>
    <w:pPr>
      <w:widowControl/>
      <w:spacing w:after="324" w:line="240" w:lineRule="auto"/>
    </w:pPr>
    <w:rPr>
      <w:szCs w:val="24"/>
    </w:rPr>
  </w:style>
  <w:style w:type="paragraph" w:customStyle="1" w:styleId="Lijstalinea1">
    <w:name w:val="Lijstalinea1"/>
    <w:basedOn w:val="Normal"/>
    <w:qFormat/>
    <w:pPr>
      <w:widowControl/>
      <w:spacing w:line="240" w:lineRule="auto"/>
      <w:ind w:left="720"/>
    </w:pPr>
    <w:rPr>
      <w:rFonts w:eastAsia="MS Mincho"/>
      <w:szCs w:val="24"/>
    </w:rPr>
  </w:style>
  <w:style w:type="paragraph" w:customStyle="1" w:styleId="Geenafstand1">
    <w:name w:val="Geen afstand1"/>
    <w:qFormat/>
    <w:rPr>
      <w:rFonts w:ascii="Calibri" w:eastAsia="Calibri" w:hAnsi="Calibri"/>
      <w:sz w:val="22"/>
      <w:szCs w:val="22"/>
    </w:rPr>
  </w:style>
  <w:style w:type="paragraph" w:styleId="Revision">
    <w:name w:val="Revision"/>
    <w:hidden/>
    <w:uiPriority w:val="99"/>
    <w:semiHidden/>
    <w:rPr>
      <w:rFonts w:eastAsia="MS Mincho"/>
      <w:sz w:val="24"/>
      <w:szCs w:val="24"/>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sk-SK" w:eastAsia="sk-SK" w:bidi="sk-SK"/>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rPr>
  </w:style>
  <w:style w:type="character" w:customStyle="1" w:styleId="BodyText3Char">
    <w:name w:val="Body Text 3 Char"/>
    <w:basedOn w:val="DefaultParagraphFont"/>
    <w:link w:val="BodyText3"/>
    <w:rPr>
      <w:rFonts w:eastAsia="Calibri"/>
      <w:sz w:val="22"/>
      <w:szCs w:val="22"/>
      <w:lang w:val="sk-SK" w:eastAsia="sk-SK"/>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rPr>
  </w:style>
  <w:style w:type="character" w:customStyle="1" w:styleId="BodyText4Char">
    <w:name w:val="Body Text 4 Char"/>
    <w:link w:val="BodyText4"/>
    <w:rPr>
      <w:rFonts w:eastAsia="Calibri"/>
      <w:sz w:val="22"/>
      <w:szCs w:val="22"/>
      <w:lang w:val="sk-SK" w:eastAsia="sk-SK"/>
    </w:rPr>
  </w:style>
  <w:style w:type="paragraph" w:customStyle="1" w:styleId="FootnoteQuotation">
    <w:name w:val="Footnote Quotation"/>
    <w:basedOn w:val="Normal"/>
    <w:pPr>
      <w:widowControl/>
      <w:spacing w:line="240" w:lineRule="auto"/>
      <w:ind w:left="720" w:right="720"/>
      <w:jc w:val="both"/>
    </w:pPr>
    <w:rPr>
      <w:rFonts w:eastAsia="Calibri"/>
      <w:sz w:val="20"/>
      <w:szCs w:val="22"/>
    </w:rPr>
  </w:style>
  <w:style w:type="paragraph" w:customStyle="1" w:styleId="Quotation">
    <w:name w:val="Quotation"/>
    <w:basedOn w:val="Normal"/>
    <w:pPr>
      <w:widowControl/>
      <w:spacing w:after="240" w:line="240" w:lineRule="auto"/>
      <w:ind w:left="720" w:right="720"/>
      <w:jc w:val="both"/>
    </w:pPr>
    <w:rPr>
      <w:rFonts w:eastAsia="Calibri"/>
      <w:sz w:val="22"/>
      <w:szCs w:val="22"/>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rPr>
  </w:style>
  <w:style w:type="paragraph" w:styleId="Subtitle">
    <w:name w:val="Subtitle"/>
    <w:basedOn w:val="Normal"/>
    <w:link w:val="SubtitleChar"/>
    <w:qFormat/>
    <w:pPr>
      <w:widowControl/>
      <w:spacing w:line="240" w:lineRule="auto"/>
      <w:jc w:val="center"/>
      <w:outlineLvl w:val="1"/>
    </w:pPr>
    <w:rPr>
      <w:rFonts w:eastAsia="Calibri"/>
      <w:sz w:val="20"/>
    </w:rPr>
  </w:style>
  <w:style w:type="character" w:customStyle="1" w:styleId="SubtitleChar">
    <w:name w:val="Subtitle Char"/>
    <w:basedOn w:val="DefaultParagraphFont"/>
    <w:link w:val="Subtitle"/>
    <w:rPr>
      <w:rFonts w:eastAsia="Calibri"/>
      <w:lang w:val="sk-SK" w:eastAsia="sk-SK"/>
    </w:rPr>
  </w:style>
  <w:style w:type="paragraph" w:customStyle="1" w:styleId="Title2">
    <w:name w:val="Title 2"/>
    <w:basedOn w:val="Normal"/>
    <w:pPr>
      <w:widowControl/>
      <w:spacing w:line="240" w:lineRule="auto"/>
      <w:jc w:val="center"/>
    </w:pPr>
    <w:rPr>
      <w:rFonts w:eastAsia="Calibri"/>
      <w:sz w:val="22"/>
      <w:szCs w:val="22"/>
      <w:u w:val="single"/>
    </w:rPr>
  </w:style>
  <w:style w:type="paragraph" w:customStyle="1" w:styleId="Title3">
    <w:name w:val="Title 3"/>
    <w:basedOn w:val="Normal"/>
    <w:pPr>
      <w:widowControl/>
      <w:spacing w:line="240" w:lineRule="auto"/>
      <w:jc w:val="center"/>
    </w:pPr>
    <w:rPr>
      <w:rFonts w:eastAsia="Calibri"/>
      <w:i/>
      <w:sz w:val="22"/>
      <w:szCs w:val="22"/>
    </w:rPr>
  </w:style>
  <w:style w:type="paragraph" w:customStyle="1" w:styleId="TitleCountry">
    <w:name w:val="Title Country"/>
    <w:basedOn w:val="Normal"/>
    <w:pPr>
      <w:widowControl/>
      <w:spacing w:line="240" w:lineRule="auto"/>
      <w:jc w:val="center"/>
    </w:pPr>
    <w:rPr>
      <w:rFonts w:eastAsia="Calibri"/>
      <w:caps/>
      <w:sz w:val="22"/>
      <w:szCs w:val="22"/>
    </w:rPr>
  </w:style>
  <w:style w:type="numbering" w:customStyle="1" w:styleId="NoList111">
    <w:name w:val="No List111"/>
    <w:next w:val="NoList"/>
    <w:semiHidden/>
  </w:style>
  <w:style w:type="character" w:customStyle="1" w:styleId="EndnoteTextChar">
    <w:name w:val="Endnote Text Char"/>
    <w:basedOn w:val="DefaultParagraphFont"/>
    <w:link w:val="EndnoteText"/>
    <w:rPr>
      <w:sz w:val="24"/>
      <w:lang w:eastAsia="sk-SK"/>
    </w:rPr>
  </w:style>
  <w:style w:type="paragraph" w:styleId="Index1">
    <w:name w:val="index 1"/>
    <w:basedOn w:val="Normal"/>
    <w:next w:val="Normal"/>
    <w:pPr>
      <w:widowControl/>
      <w:tabs>
        <w:tab w:val="left" w:pos="720"/>
      </w:tabs>
      <w:spacing w:line="240" w:lineRule="auto"/>
      <w:ind w:left="221" w:hanging="221"/>
      <w:jc w:val="both"/>
    </w:pPr>
    <w:rPr>
      <w:sz w:val="22"/>
    </w:rPr>
  </w:style>
  <w:style w:type="paragraph" w:styleId="IndexHeading">
    <w:name w:val="index heading"/>
    <w:basedOn w:val="Normal"/>
    <w:next w:val="Index1"/>
    <w:pPr>
      <w:widowControl/>
      <w:tabs>
        <w:tab w:val="left" w:pos="720"/>
      </w:tabs>
      <w:spacing w:line="240" w:lineRule="auto"/>
      <w:jc w:val="both"/>
    </w:pPr>
    <w:rPr>
      <w:sz w:val="22"/>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rPr>
  </w:style>
  <w:style w:type="paragraph" w:styleId="ListNumber">
    <w:name w:val="List Number"/>
    <w:basedOn w:val="Normal"/>
    <w:pPr>
      <w:widowControl/>
      <w:numPr>
        <w:numId w:val="26"/>
      </w:numPr>
      <w:tabs>
        <w:tab w:val="clear" w:pos="360"/>
        <w:tab w:val="left" w:pos="720"/>
      </w:tabs>
      <w:spacing w:line="240" w:lineRule="auto"/>
      <w:jc w:val="both"/>
    </w:pPr>
    <w:rPr>
      <w:sz w:val="22"/>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rPr>
  </w:style>
  <w:style w:type="character" w:customStyle="1" w:styleId="PlainTextChar">
    <w:name w:val="Plain Text Char"/>
    <w:basedOn w:val="DefaultParagraphFont"/>
    <w:link w:val="PlainText"/>
    <w:uiPriority w:val="99"/>
    <w:rPr>
      <w:rFonts w:ascii="Courier New" w:hAnsi="Courier New"/>
      <w:lang w:val="sk-SK" w:eastAsia="sk-SK"/>
    </w:rPr>
  </w:style>
  <w:style w:type="paragraph" w:styleId="TableofAuthorities">
    <w:name w:val="table of authorities"/>
    <w:basedOn w:val="Normal"/>
    <w:next w:val="Normal"/>
    <w:pPr>
      <w:widowControl/>
      <w:tabs>
        <w:tab w:val="left" w:pos="720"/>
      </w:tabs>
      <w:spacing w:line="240" w:lineRule="auto"/>
      <w:jc w:val="both"/>
    </w:pPr>
    <w:rPr>
      <w:sz w:val="22"/>
    </w:rPr>
  </w:style>
  <w:style w:type="paragraph" w:styleId="TableofFigures">
    <w:name w:val="table of figures"/>
    <w:basedOn w:val="Normal"/>
    <w:next w:val="Normal"/>
    <w:pPr>
      <w:widowControl/>
      <w:tabs>
        <w:tab w:val="left" w:pos="720"/>
      </w:tabs>
      <w:spacing w:line="240" w:lineRule="auto"/>
      <w:jc w:val="both"/>
    </w:pPr>
    <w:rPr>
      <w:sz w:val="22"/>
    </w:rPr>
  </w:style>
  <w:style w:type="paragraph" w:styleId="TOAHeading">
    <w:name w:val="toa heading"/>
    <w:basedOn w:val="Normal"/>
    <w:next w:val="Normal"/>
    <w:pPr>
      <w:widowControl/>
      <w:tabs>
        <w:tab w:val="left" w:pos="720"/>
      </w:tabs>
      <w:spacing w:line="240" w:lineRule="auto"/>
      <w:jc w:val="both"/>
    </w:pPr>
    <w:rPr>
      <w:b/>
      <w:sz w:val="22"/>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rPr>
  </w:style>
  <w:style w:type="paragraph" w:styleId="DocumentMap">
    <w:name w:val="Document Map"/>
    <w:basedOn w:val="Normal"/>
    <w:link w:val="DocumentMapChar"/>
    <w:pPr>
      <w:widowControl/>
      <w:shd w:val="clear" w:color="auto" w:fill="000080"/>
      <w:spacing w:line="240" w:lineRule="auto"/>
    </w:pPr>
    <w:rPr>
      <w:rFonts w:ascii="Tahoma" w:hAnsi="Tahoma"/>
      <w:szCs w:val="24"/>
    </w:rPr>
  </w:style>
  <w:style w:type="character" w:customStyle="1" w:styleId="DocumentMapChar">
    <w:name w:val="Document Map Char"/>
    <w:basedOn w:val="DefaultParagraphFont"/>
    <w:link w:val="DocumentMap"/>
    <w:rPr>
      <w:rFonts w:ascii="Tahoma" w:hAnsi="Tahoma"/>
      <w:sz w:val="24"/>
      <w:szCs w:val="24"/>
      <w:shd w:val="clear" w:color="auto" w:fill="000080"/>
      <w:lang w:val="sk-SK" w:eastAsia="sk-SK"/>
    </w:rPr>
  </w:style>
  <w:style w:type="paragraph" w:customStyle="1" w:styleId="Normal11pt">
    <w:name w:val="Normal + 11 pt"/>
    <w:aliases w:val="Left:  0.05&quot;,Right:  -0.08&quot;"/>
    <w:basedOn w:val="Normal"/>
    <w:pPr>
      <w:widowControl/>
      <w:spacing w:line="240" w:lineRule="auto"/>
      <w:ind w:left="72" w:right="-108"/>
    </w:pPr>
    <w:rPr>
      <w:sz w:val="22"/>
      <w:szCs w:val="22"/>
    </w:rPr>
  </w:style>
  <w:style w:type="paragraph" w:customStyle="1" w:styleId="T1">
    <w:name w:val="T1"/>
    <w:basedOn w:val="Normal"/>
    <w:pPr>
      <w:widowControl/>
      <w:spacing w:before="160" w:line="220" w:lineRule="atLeast"/>
      <w:jc w:val="both"/>
    </w:pPr>
    <w:rPr>
      <w:sz w:val="21"/>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rPr>
  </w:style>
  <w:style w:type="paragraph" w:customStyle="1" w:styleId="Text4">
    <w:name w:val="Text 4"/>
    <w:basedOn w:val="Normal"/>
    <w:pPr>
      <w:widowControl/>
      <w:spacing w:before="120" w:after="120" w:line="240" w:lineRule="auto"/>
      <w:ind w:left="850"/>
      <w:jc w:val="both"/>
    </w:pPr>
    <w:rPr>
      <w:szCs w:val="24"/>
    </w:rPr>
  </w:style>
  <w:style w:type="paragraph" w:customStyle="1" w:styleId="Text2">
    <w:name w:val="Text 2"/>
    <w:basedOn w:val="Normal"/>
    <w:pPr>
      <w:widowControl/>
      <w:spacing w:before="120" w:after="120" w:line="240" w:lineRule="auto"/>
      <w:ind w:left="850"/>
      <w:jc w:val="both"/>
    </w:pPr>
    <w:rPr>
      <w:szCs w:val="24"/>
    </w:rPr>
  </w:style>
  <w:style w:type="paragraph" w:styleId="ListBullet3">
    <w:name w:val="List Bullet 3"/>
    <w:basedOn w:val="Normal"/>
    <w:pPr>
      <w:widowControl/>
      <w:numPr>
        <w:numId w:val="38"/>
      </w:numPr>
      <w:spacing w:before="120" w:after="120" w:line="240" w:lineRule="auto"/>
      <w:jc w:val="both"/>
    </w:pPr>
    <w:rPr>
      <w:szCs w:val="24"/>
    </w:rPr>
  </w:style>
  <w:style w:type="paragraph" w:styleId="ListNumber3">
    <w:name w:val="List Number 3"/>
    <w:basedOn w:val="Normal"/>
    <w:pPr>
      <w:widowControl/>
      <w:numPr>
        <w:numId w:val="37"/>
      </w:numPr>
      <w:spacing w:before="120" w:after="120" w:line="240" w:lineRule="auto"/>
      <w:jc w:val="both"/>
    </w:pPr>
    <w:rPr>
      <w:szCs w:val="24"/>
    </w:rPr>
  </w:style>
  <w:style w:type="paragraph" w:styleId="ListNumber4">
    <w:name w:val="List Number 4"/>
    <w:basedOn w:val="Normal"/>
    <w:pPr>
      <w:widowControl/>
      <w:numPr>
        <w:numId w:val="36"/>
      </w:numPr>
      <w:spacing w:before="120" w:after="120" w:line="240" w:lineRule="auto"/>
      <w:jc w:val="both"/>
    </w:pPr>
    <w:rPr>
      <w:szCs w:val="24"/>
    </w:rPr>
  </w:style>
  <w:style w:type="paragraph" w:customStyle="1" w:styleId="HeaderLandscape">
    <w:name w:val="HeaderLandscape"/>
    <w:basedOn w:val="Normal"/>
    <w:pPr>
      <w:widowControl/>
      <w:tabs>
        <w:tab w:val="right" w:pos="14003"/>
      </w:tabs>
      <w:spacing w:before="120" w:after="120" w:line="240" w:lineRule="auto"/>
      <w:jc w:val="both"/>
    </w:pPr>
    <w:rPr>
      <w:szCs w:val="24"/>
    </w:rPr>
  </w:style>
  <w:style w:type="paragraph" w:customStyle="1" w:styleId="NormalLeft">
    <w:name w:val="Normal Left"/>
    <w:basedOn w:val="Normal"/>
    <w:pPr>
      <w:widowControl/>
      <w:spacing w:before="120" w:after="120" w:line="240" w:lineRule="auto"/>
    </w:pPr>
    <w:rPr>
      <w:szCs w:val="24"/>
    </w:rPr>
  </w:style>
  <w:style w:type="paragraph" w:customStyle="1" w:styleId="NormalRight">
    <w:name w:val="Normal Right"/>
    <w:basedOn w:val="Normal"/>
    <w:pPr>
      <w:widowControl/>
      <w:spacing w:before="120" w:after="120" w:line="240" w:lineRule="auto"/>
      <w:jc w:val="right"/>
    </w:pPr>
    <w:rPr>
      <w:szCs w:val="24"/>
    </w:rPr>
  </w:style>
  <w:style w:type="paragraph" w:customStyle="1" w:styleId="QuotedText">
    <w:name w:val="Quoted Text"/>
    <w:basedOn w:val="Normal"/>
    <w:pPr>
      <w:widowControl/>
      <w:spacing w:before="120" w:after="120" w:line="240" w:lineRule="auto"/>
      <w:ind w:left="1417"/>
      <w:jc w:val="both"/>
    </w:pPr>
    <w:rPr>
      <w:szCs w:val="24"/>
    </w:rPr>
  </w:style>
  <w:style w:type="paragraph" w:customStyle="1" w:styleId="Point3">
    <w:name w:val="Point 3"/>
    <w:basedOn w:val="Normal"/>
    <w:pPr>
      <w:widowControl/>
      <w:spacing w:before="120" w:after="120" w:line="240" w:lineRule="auto"/>
      <w:ind w:left="2551" w:hanging="567"/>
      <w:jc w:val="both"/>
    </w:pPr>
    <w:rPr>
      <w:szCs w:val="24"/>
    </w:rPr>
  </w:style>
  <w:style w:type="paragraph" w:customStyle="1" w:styleId="Point4">
    <w:name w:val="Point 4"/>
    <w:basedOn w:val="Normal"/>
    <w:pPr>
      <w:widowControl/>
      <w:spacing w:before="120" w:after="120" w:line="240" w:lineRule="auto"/>
      <w:ind w:left="3118" w:hanging="567"/>
      <w:jc w:val="both"/>
    </w:pPr>
    <w:rPr>
      <w:szCs w:val="24"/>
    </w:rPr>
  </w:style>
  <w:style w:type="paragraph" w:customStyle="1" w:styleId="Tiret0">
    <w:name w:val="Tiret 0"/>
    <w:basedOn w:val="Point0"/>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rPr>
  </w:style>
  <w:style w:type="paragraph" w:customStyle="1" w:styleId="ManualNumPar2">
    <w:name w:val="Manual NumPar 2"/>
    <w:basedOn w:val="Normal"/>
    <w:next w:val="Text2"/>
    <w:pPr>
      <w:widowControl/>
      <w:spacing w:before="120" w:after="120" w:line="240" w:lineRule="auto"/>
      <w:ind w:left="850" w:hanging="850"/>
      <w:jc w:val="both"/>
    </w:pPr>
    <w:rPr>
      <w:szCs w:val="24"/>
    </w:rPr>
  </w:style>
  <w:style w:type="paragraph" w:customStyle="1" w:styleId="ManualNumPar3">
    <w:name w:val="Manual NumPar 3"/>
    <w:basedOn w:val="Normal"/>
    <w:next w:val="Text3"/>
    <w:pPr>
      <w:widowControl/>
      <w:spacing w:before="120" w:after="120" w:line="240" w:lineRule="auto"/>
      <w:ind w:left="850" w:hanging="850"/>
      <w:jc w:val="both"/>
    </w:pPr>
    <w:rPr>
      <w:szCs w:val="24"/>
    </w:rPr>
  </w:style>
  <w:style w:type="paragraph" w:customStyle="1" w:styleId="ManualNumPar4">
    <w:name w:val="Manual NumPar 4"/>
    <w:basedOn w:val="Normal"/>
    <w:next w:val="Text4"/>
    <w:pPr>
      <w:widowControl/>
      <w:spacing w:before="120" w:after="120" w:line="240" w:lineRule="auto"/>
      <w:ind w:left="850" w:hanging="850"/>
      <w:jc w:val="both"/>
    </w:pPr>
    <w:rPr>
      <w:szCs w:val="24"/>
    </w:rPr>
  </w:style>
  <w:style w:type="paragraph" w:customStyle="1" w:styleId="QuotedNumPar">
    <w:name w:val="Quoted NumPar"/>
    <w:basedOn w:val="Normal"/>
    <w:pPr>
      <w:widowControl/>
      <w:spacing w:before="120" w:after="120" w:line="240" w:lineRule="auto"/>
      <w:ind w:left="1417" w:hanging="567"/>
      <w:jc w:val="both"/>
    </w:pPr>
    <w:rPr>
      <w:szCs w:val="24"/>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rPr>
  </w:style>
  <w:style w:type="paragraph" w:customStyle="1" w:styleId="ChapterTitle">
    <w:name w:val="ChapterTitle"/>
    <w:basedOn w:val="Normal"/>
    <w:next w:val="Normal"/>
    <w:pPr>
      <w:keepNext/>
      <w:widowControl/>
      <w:spacing w:before="120" w:after="360" w:line="240" w:lineRule="auto"/>
      <w:jc w:val="center"/>
    </w:pPr>
    <w:rPr>
      <w:b/>
      <w:sz w:val="32"/>
      <w:szCs w:val="24"/>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rPr>
  </w:style>
  <w:style w:type="paragraph" w:customStyle="1" w:styleId="SectionTitle">
    <w:name w:val="SectionTitle"/>
    <w:basedOn w:val="Normal"/>
    <w:next w:val="Heading1"/>
    <w:pPr>
      <w:keepNext/>
      <w:widowControl/>
      <w:spacing w:before="120" w:after="360" w:line="240" w:lineRule="auto"/>
      <w:jc w:val="center"/>
    </w:pPr>
    <w:rPr>
      <w:b/>
      <w:smallCaps/>
      <w:sz w:val="28"/>
      <w:szCs w:val="24"/>
    </w:rPr>
  </w:style>
  <w:style w:type="paragraph" w:customStyle="1" w:styleId="ListBullet1">
    <w:name w:val="List Bullet 1"/>
    <w:basedOn w:val="Normal"/>
    <w:pPr>
      <w:widowControl/>
      <w:numPr>
        <w:numId w:val="30"/>
      </w:numPr>
      <w:spacing w:before="120" w:after="120" w:line="240" w:lineRule="auto"/>
      <w:jc w:val="both"/>
    </w:pPr>
    <w:rPr>
      <w:szCs w:val="24"/>
    </w:rPr>
  </w:style>
  <w:style w:type="paragraph" w:customStyle="1" w:styleId="ListDash1">
    <w:name w:val="List Dash 1"/>
    <w:basedOn w:val="Normal"/>
    <w:pPr>
      <w:widowControl/>
      <w:numPr>
        <w:numId w:val="31"/>
      </w:numPr>
      <w:spacing w:before="120" w:after="120" w:line="240" w:lineRule="auto"/>
      <w:jc w:val="both"/>
    </w:pPr>
    <w:rPr>
      <w:szCs w:val="24"/>
    </w:rPr>
  </w:style>
  <w:style w:type="paragraph" w:customStyle="1" w:styleId="ListDash3">
    <w:name w:val="List Dash 3"/>
    <w:basedOn w:val="Normal"/>
    <w:pPr>
      <w:widowControl/>
      <w:numPr>
        <w:numId w:val="32"/>
      </w:numPr>
      <w:spacing w:before="120" w:after="120" w:line="240" w:lineRule="auto"/>
      <w:jc w:val="both"/>
    </w:pPr>
    <w:rPr>
      <w:szCs w:val="24"/>
    </w:rPr>
  </w:style>
  <w:style w:type="paragraph" w:customStyle="1" w:styleId="ListDash4">
    <w:name w:val="List Dash 4"/>
    <w:basedOn w:val="Normal"/>
    <w:pPr>
      <w:widowControl/>
      <w:numPr>
        <w:numId w:val="33"/>
      </w:numPr>
      <w:spacing w:before="120" w:after="120" w:line="240" w:lineRule="auto"/>
      <w:jc w:val="both"/>
    </w:pPr>
    <w:rPr>
      <w:szCs w:val="24"/>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rPr>
  </w:style>
  <w:style w:type="paragraph" w:customStyle="1" w:styleId="Annexetitreacte">
    <w:name w:val="Annexe titre (acte)"/>
    <w:basedOn w:val="Normal"/>
    <w:next w:val="Normal"/>
    <w:pPr>
      <w:widowControl/>
      <w:spacing w:before="120" w:after="120" w:line="240" w:lineRule="auto"/>
      <w:jc w:val="center"/>
    </w:pPr>
    <w:rPr>
      <w:b/>
      <w:szCs w:val="24"/>
      <w:u w:val="singl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rPr>
  </w:style>
  <w:style w:type="paragraph" w:customStyle="1" w:styleId="Annexetitreexpos">
    <w:name w:val="Annexe titre (exposé)"/>
    <w:basedOn w:val="Normal"/>
    <w:next w:val="Normal"/>
    <w:pPr>
      <w:widowControl/>
      <w:spacing w:before="120" w:after="120" w:line="240" w:lineRule="auto"/>
      <w:jc w:val="center"/>
    </w:pPr>
    <w:rPr>
      <w:b/>
      <w:szCs w:val="24"/>
      <w:u w:val="singl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rPr>
  </w:style>
  <w:style w:type="paragraph" w:customStyle="1" w:styleId="Annexetitreglobale">
    <w:name w:val="Annexe titre (globale)"/>
    <w:basedOn w:val="Normal"/>
    <w:next w:val="Normal"/>
    <w:pPr>
      <w:widowControl/>
      <w:spacing w:before="120" w:after="120" w:line="240" w:lineRule="auto"/>
      <w:jc w:val="center"/>
    </w:pPr>
    <w:rPr>
      <w:b/>
      <w:szCs w:val="24"/>
      <w:u w:val="single"/>
    </w:rPr>
  </w:style>
  <w:style w:type="paragraph" w:customStyle="1" w:styleId="Applicationdirecte">
    <w:name w:val="Application directe"/>
    <w:basedOn w:val="Normal"/>
    <w:next w:val="Fait"/>
    <w:pPr>
      <w:widowControl/>
      <w:spacing w:before="480" w:after="120" w:line="240" w:lineRule="auto"/>
      <w:jc w:val="both"/>
    </w:pPr>
    <w:rPr>
      <w:szCs w:val="24"/>
    </w:rPr>
  </w:style>
  <w:style w:type="paragraph" w:customStyle="1" w:styleId="Fait">
    <w:name w:val="Fait à"/>
    <w:basedOn w:val="Normal"/>
    <w:next w:val="Institutionquisigne"/>
    <w:pPr>
      <w:keepNext/>
      <w:widowControl/>
      <w:spacing w:before="120" w:line="240" w:lineRule="auto"/>
      <w:jc w:val="both"/>
    </w:pPr>
    <w:rPr>
      <w:szCs w:val="24"/>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rPr>
  </w:style>
  <w:style w:type="paragraph" w:customStyle="1" w:styleId="Personnequisigne">
    <w:name w:val="Personne qui signe"/>
    <w:basedOn w:val="Normal"/>
    <w:next w:val="Institutionquisigne"/>
    <w:pPr>
      <w:widowControl/>
      <w:tabs>
        <w:tab w:val="left" w:pos="4252"/>
      </w:tabs>
      <w:spacing w:line="240" w:lineRule="auto"/>
    </w:pPr>
    <w:rPr>
      <w:i/>
      <w:szCs w:val="24"/>
    </w:rPr>
  </w:style>
  <w:style w:type="paragraph" w:customStyle="1" w:styleId="Avertissementtitre">
    <w:name w:val="Avertissement titre"/>
    <w:basedOn w:val="Normal"/>
    <w:next w:val="Normal"/>
    <w:pPr>
      <w:keepNext/>
      <w:widowControl/>
      <w:spacing w:before="480" w:after="120" w:line="240" w:lineRule="auto"/>
      <w:jc w:val="both"/>
    </w:pPr>
    <w:rPr>
      <w:szCs w:val="24"/>
      <w:u w:val="single"/>
    </w:rPr>
  </w:style>
  <w:style w:type="paragraph" w:customStyle="1" w:styleId="Confidence">
    <w:name w:val="Confidence"/>
    <w:basedOn w:val="Normal"/>
    <w:next w:val="Normal"/>
    <w:pPr>
      <w:widowControl/>
      <w:spacing w:before="360" w:after="120" w:line="240" w:lineRule="auto"/>
      <w:jc w:val="center"/>
    </w:pPr>
    <w:rPr>
      <w:szCs w:val="24"/>
    </w:rPr>
  </w:style>
  <w:style w:type="paragraph" w:customStyle="1" w:styleId="Confidentialit">
    <w:name w:val="Confidentialité"/>
    <w:basedOn w:val="Normal"/>
    <w:next w:val="Statut"/>
    <w:pPr>
      <w:widowControl/>
      <w:spacing w:before="240" w:after="240" w:line="240" w:lineRule="auto"/>
      <w:ind w:left="5103"/>
      <w:jc w:val="both"/>
    </w:pPr>
    <w:rPr>
      <w:szCs w:val="24"/>
      <w:u w:val="single"/>
    </w:rPr>
  </w:style>
  <w:style w:type="paragraph" w:customStyle="1" w:styleId="Statut">
    <w:name w:val="Statut"/>
    <w:basedOn w:val="Normal"/>
    <w:next w:val="Typedudocument"/>
    <w:pPr>
      <w:widowControl/>
      <w:spacing w:before="360" w:line="240" w:lineRule="auto"/>
      <w:jc w:val="center"/>
    </w:pPr>
    <w:rPr>
      <w:szCs w:val="24"/>
    </w:rPr>
  </w:style>
  <w:style w:type="paragraph" w:customStyle="1" w:styleId="Typedudocument">
    <w:name w:val="Type du document"/>
    <w:basedOn w:val="Normal"/>
    <w:next w:val="Datedadoption"/>
    <w:pPr>
      <w:widowControl/>
      <w:spacing w:before="360" w:line="240" w:lineRule="auto"/>
      <w:jc w:val="center"/>
    </w:pPr>
    <w:rPr>
      <w:b/>
      <w:szCs w:val="24"/>
    </w:rPr>
  </w:style>
  <w:style w:type="paragraph" w:customStyle="1" w:styleId="Datedadoption">
    <w:name w:val="Date d'adoption"/>
    <w:basedOn w:val="Normal"/>
    <w:next w:val="Titreobjet"/>
    <w:pPr>
      <w:widowControl/>
      <w:spacing w:before="360" w:line="240" w:lineRule="auto"/>
      <w:jc w:val="center"/>
    </w:pPr>
    <w:rPr>
      <w:b/>
      <w:szCs w:val="24"/>
    </w:rPr>
  </w:style>
  <w:style w:type="paragraph" w:customStyle="1" w:styleId="Titreobjet">
    <w:name w:val="Titre objet"/>
    <w:basedOn w:val="Normal"/>
    <w:next w:val="Sous-titreobjet"/>
    <w:pPr>
      <w:widowControl/>
      <w:spacing w:before="360" w:after="360" w:line="240" w:lineRule="auto"/>
      <w:jc w:val="center"/>
    </w:pPr>
    <w:rPr>
      <w:b/>
      <w:szCs w:val="24"/>
    </w:rPr>
  </w:style>
  <w:style w:type="paragraph" w:customStyle="1" w:styleId="Sous-titreobjet">
    <w:name w:val="Sous-titre objet"/>
    <w:basedOn w:val="Normal"/>
    <w:pPr>
      <w:widowControl/>
      <w:spacing w:line="240" w:lineRule="auto"/>
      <w:jc w:val="center"/>
    </w:pPr>
    <w:rPr>
      <w:b/>
      <w:szCs w:val="24"/>
    </w:rPr>
  </w:style>
  <w:style w:type="paragraph" w:customStyle="1" w:styleId="Considrant">
    <w:name w:val="Considérant"/>
    <w:basedOn w:val="Normal"/>
    <w:pPr>
      <w:widowControl/>
      <w:numPr>
        <w:numId w:val="35"/>
      </w:numPr>
      <w:spacing w:before="120" w:after="120" w:line="240" w:lineRule="auto"/>
      <w:jc w:val="both"/>
    </w:pPr>
    <w:rPr>
      <w:szCs w:val="24"/>
    </w:rPr>
  </w:style>
  <w:style w:type="paragraph" w:customStyle="1" w:styleId="Corrigendum">
    <w:name w:val="Corrigendum"/>
    <w:basedOn w:val="Normal"/>
    <w:next w:val="Normal"/>
    <w:pPr>
      <w:widowControl/>
      <w:spacing w:after="240" w:line="240" w:lineRule="auto"/>
    </w:pPr>
    <w:rPr>
      <w:szCs w:val="24"/>
    </w:rPr>
  </w:style>
  <w:style w:type="paragraph" w:customStyle="1" w:styleId="Emission">
    <w:name w:val="Emission"/>
    <w:basedOn w:val="Normal"/>
    <w:next w:val="Rfrenceinstitutionelle"/>
    <w:pPr>
      <w:widowControl/>
      <w:spacing w:line="240" w:lineRule="auto"/>
      <w:ind w:left="5103"/>
    </w:pPr>
    <w:rPr>
      <w:szCs w:val="24"/>
    </w:rPr>
  </w:style>
  <w:style w:type="paragraph" w:customStyle="1" w:styleId="Rfrenceinstitutionelle">
    <w:name w:val="Référence institutionelle"/>
    <w:basedOn w:val="Normal"/>
    <w:next w:val="Statut"/>
    <w:pPr>
      <w:widowControl/>
      <w:spacing w:after="240" w:line="240" w:lineRule="auto"/>
      <w:ind w:left="5103"/>
    </w:pPr>
    <w:rPr>
      <w:szCs w:val="24"/>
    </w:rPr>
  </w:style>
  <w:style w:type="paragraph" w:customStyle="1" w:styleId="Exposdesmotifstitre">
    <w:name w:val="Exposé des motifs titre"/>
    <w:basedOn w:val="Normal"/>
    <w:next w:val="Normal"/>
    <w:pPr>
      <w:widowControl/>
      <w:spacing w:before="120" w:after="120" w:line="240" w:lineRule="auto"/>
      <w:jc w:val="center"/>
    </w:pPr>
    <w:rPr>
      <w:b/>
      <w:szCs w:val="24"/>
      <w:u w:val="singl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rPr>
  </w:style>
  <w:style w:type="paragraph" w:customStyle="1" w:styleId="Formuledadoption">
    <w:name w:val="Formule d'adoption"/>
    <w:basedOn w:val="Normal"/>
    <w:next w:val="Titrearticle"/>
    <w:pPr>
      <w:keepNext/>
      <w:widowControl/>
      <w:spacing w:before="120" w:after="120" w:line="240" w:lineRule="auto"/>
      <w:jc w:val="both"/>
    </w:pPr>
    <w:rPr>
      <w:szCs w:val="24"/>
    </w:rPr>
  </w:style>
  <w:style w:type="paragraph" w:customStyle="1" w:styleId="Institutionquiagit">
    <w:name w:val="Institution qui agit"/>
    <w:basedOn w:val="Normal"/>
    <w:next w:val="Normal"/>
    <w:pPr>
      <w:keepNext/>
      <w:widowControl/>
      <w:spacing w:before="600" w:after="120" w:line="240" w:lineRule="auto"/>
      <w:jc w:val="both"/>
    </w:pPr>
    <w:rPr>
      <w:szCs w:val="24"/>
    </w:rPr>
  </w:style>
  <w:style w:type="paragraph" w:customStyle="1" w:styleId="Langue">
    <w:name w:val="Langue"/>
    <w:basedOn w:val="Normal"/>
    <w:next w:val="Rfrenceinterne"/>
    <w:pPr>
      <w:widowControl/>
      <w:spacing w:after="600" w:line="240" w:lineRule="auto"/>
      <w:jc w:val="center"/>
    </w:pPr>
    <w:rPr>
      <w:b/>
      <w:caps/>
      <w:szCs w:val="24"/>
    </w:rPr>
  </w:style>
  <w:style w:type="paragraph" w:customStyle="1" w:styleId="Rfrenceinterne">
    <w:name w:val="Référence interne"/>
    <w:basedOn w:val="Normal"/>
    <w:next w:val="Nomdelinstitution"/>
    <w:pPr>
      <w:widowControl/>
      <w:spacing w:after="600" w:line="240" w:lineRule="auto"/>
      <w:jc w:val="center"/>
    </w:pPr>
    <w:rPr>
      <w:b/>
      <w:szCs w:val="24"/>
    </w:rPr>
  </w:style>
  <w:style w:type="paragraph" w:customStyle="1" w:styleId="Nomdelinstitution">
    <w:name w:val="Nom de l'institution"/>
    <w:basedOn w:val="Normal"/>
    <w:next w:val="Emission"/>
    <w:pPr>
      <w:widowControl/>
      <w:spacing w:line="240" w:lineRule="auto"/>
    </w:pPr>
    <w:rPr>
      <w:rFonts w:ascii="Arial" w:hAnsi="Arial" w:cs="Arial"/>
      <w:szCs w:val="24"/>
    </w:rPr>
  </w:style>
  <w:style w:type="paragraph" w:customStyle="1" w:styleId="Langueoriginale">
    <w:name w:val="Langue originale"/>
    <w:basedOn w:val="Normal"/>
    <w:next w:val="Phrasefinale"/>
    <w:pPr>
      <w:widowControl/>
      <w:spacing w:before="360" w:after="120" w:line="240" w:lineRule="auto"/>
      <w:jc w:val="center"/>
    </w:pPr>
    <w:rPr>
      <w:caps/>
      <w:szCs w:val="24"/>
    </w:rPr>
  </w:style>
  <w:style w:type="paragraph" w:customStyle="1" w:styleId="Phrasefinale">
    <w:name w:val="Phrase finale"/>
    <w:basedOn w:val="Normal"/>
    <w:next w:val="Normal"/>
    <w:pPr>
      <w:widowControl/>
      <w:spacing w:before="360" w:line="240" w:lineRule="auto"/>
      <w:jc w:val="center"/>
    </w:pPr>
    <w:rPr>
      <w:szCs w:val="24"/>
    </w:rPr>
  </w:style>
  <w:style w:type="paragraph" w:customStyle="1" w:styleId="ManualConsidrant">
    <w:name w:val="Manual Considérant"/>
    <w:basedOn w:val="Normal"/>
    <w:pPr>
      <w:widowControl/>
      <w:spacing w:before="120" w:after="120" w:line="240" w:lineRule="auto"/>
      <w:ind w:left="709" w:hanging="709"/>
      <w:jc w:val="both"/>
    </w:pPr>
    <w:rPr>
      <w:szCs w:val="24"/>
    </w:rPr>
  </w:style>
  <w:style w:type="paragraph" w:customStyle="1" w:styleId="Prliminairetitre">
    <w:name w:val="Préliminaire titre"/>
    <w:basedOn w:val="Normal"/>
    <w:next w:val="Normal"/>
    <w:pPr>
      <w:widowControl/>
      <w:spacing w:before="360" w:after="360" w:line="240" w:lineRule="auto"/>
      <w:jc w:val="center"/>
    </w:pPr>
    <w:rPr>
      <w:b/>
      <w:szCs w:val="24"/>
    </w:rPr>
  </w:style>
  <w:style w:type="paragraph" w:customStyle="1" w:styleId="Prliminairetype">
    <w:name w:val="Préliminaire type"/>
    <w:basedOn w:val="Normal"/>
    <w:next w:val="Normal"/>
    <w:pPr>
      <w:widowControl/>
      <w:spacing w:before="360" w:line="240" w:lineRule="auto"/>
      <w:jc w:val="center"/>
    </w:pPr>
    <w:rPr>
      <w:b/>
      <w:szCs w:val="24"/>
    </w:rPr>
  </w:style>
  <w:style w:type="paragraph" w:customStyle="1" w:styleId="Rfrenceinterinstitutionelle">
    <w:name w:val="Référence interinstitutionelle"/>
    <w:basedOn w:val="Normal"/>
    <w:next w:val="Statut"/>
    <w:pPr>
      <w:widowControl/>
      <w:spacing w:line="240" w:lineRule="auto"/>
      <w:ind w:left="5103"/>
    </w:pPr>
    <w:rPr>
      <w:szCs w:val="24"/>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rPr>
  </w:style>
  <w:style w:type="paragraph" w:customStyle="1" w:styleId="Sous-titreobjetprliminaire">
    <w:name w:val="Sous-titre objet (préliminaire)"/>
    <w:basedOn w:val="Normal"/>
    <w:pPr>
      <w:widowControl/>
      <w:spacing w:line="240" w:lineRule="auto"/>
      <w:jc w:val="center"/>
    </w:pPr>
    <w:rPr>
      <w:b/>
      <w:szCs w:val="24"/>
    </w:rPr>
  </w:style>
  <w:style w:type="paragraph" w:customStyle="1" w:styleId="Statutprliminaire">
    <w:name w:val="Statut (préliminaire)"/>
    <w:basedOn w:val="Normal"/>
    <w:next w:val="Normal"/>
    <w:pPr>
      <w:widowControl/>
      <w:spacing w:before="360" w:line="240" w:lineRule="auto"/>
      <w:jc w:val="center"/>
    </w:pPr>
    <w:rPr>
      <w:szCs w:val="24"/>
    </w:rPr>
  </w:style>
  <w:style w:type="paragraph" w:customStyle="1" w:styleId="Titreobjetprliminaire">
    <w:name w:val="Titre objet (préliminaire)"/>
    <w:basedOn w:val="Normal"/>
    <w:next w:val="Normal"/>
    <w:pPr>
      <w:widowControl/>
      <w:spacing w:before="360" w:after="360" w:line="240" w:lineRule="auto"/>
      <w:jc w:val="center"/>
    </w:pPr>
    <w:rPr>
      <w:b/>
      <w:szCs w:val="24"/>
    </w:rPr>
  </w:style>
  <w:style w:type="paragraph" w:customStyle="1" w:styleId="Typedudocumentprliminaire">
    <w:name w:val="Type du document (préliminaire)"/>
    <w:basedOn w:val="Normal"/>
    <w:next w:val="Normal"/>
    <w:pPr>
      <w:widowControl/>
      <w:spacing w:before="360" w:line="240" w:lineRule="auto"/>
      <w:jc w:val="center"/>
    </w:pPr>
    <w:rPr>
      <w:b/>
      <w:szCs w:val="24"/>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rPr>
  </w:style>
  <w:style w:type="paragraph" w:customStyle="1" w:styleId="Objetexterne">
    <w:name w:val="Objet externe"/>
    <w:basedOn w:val="Normal"/>
    <w:next w:val="Normal"/>
    <w:pPr>
      <w:widowControl/>
      <w:spacing w:before="120" w:after="120" w:line="240" w:lineRule="auto"/>
      <w:jc w:val="both"/>
    </w:pPr>
    <w:rPr>
      <w:i/>
      <w:caps/>
      <w:szCs w:val="24"/>
    </w:rPr>
  </w:style>
  <w:style w:type="character" w:customStyle="1" w:styleId="platne1">
    <w:name w:val="platne1"/>
    <w:basedOn w:val="DefaultParagraphFont"/>
  </w:style>
  <w:style w:type="character" w:styleId="FollowedHyperlink">
    <w:name w:val="FollowedHyperlink"/>
    <w:uiPriority w:val="99"/>
    <w:rPr>
      <w:color w:val="800080"/>
      <w:u w:val="single"/>
    </w:rPr>
  </w:style>
  <w:style w:type="paragraph" w:customStyle="1" w:styleId="t-9-8">
    <w:name w:val="t-9-8"/>
    <w:basedOn w:val="Normal"/>
    <w:pPr>
      <w:widowControl/>
      <w:spacing w:before="100" w:beforeAutospacing="1" w:after="100" w:afterAutospacing="1" w:line="240" w:lineRule="auto"/>
    </w:pPr>
    <w:rPr>
      <w:szCs w:val="24"/>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sk-SK" w:eastAsia="sk-SK"/>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sk-SK" w:eastAsia="sk-SK"/>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sk-SK" w:eastAsia="sk-SK"/>
    </w:rPr>
  </w:style>
  <w:style w:type="character" w:customStyle="1" w:styleId="tw4winInternal">
    <w:name w:val="tw4winInternal"/>
    <w:rPr>
      <w:rFonts w:cs="Times New Roman"/>
      <w:color w:val="FF0000"/>
      <w:lang w:val="sk-SK" w:eastAsia="sk-SK"/>
    </w:rPr>
  </w:style>
  <w:style w:type="character" w:customStyle="1" w:styleId="tw4winJump">
    <w:name w:val="tw4winJump"/>
    <w:rPr>
      <w:rFonts w:cs="Times New Roman"/>
      <w:color w:val="007F7F"/>
      <w:lang w:val="sk-SK" w:eastAsia="sk-SK"/>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sk-SK" w:eastAsia="sk-SK"/>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sk-SK"/>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rPr>
  </w:style>
  <w:style w:type="paragraph" w:customStyle="1" w:styleId="Textbody">
    <w:name w:val="Text body"/>
    <w:basedOn w:val="Normal"/>
    <w:pPr>
      <w:widowControl/>
      <w:tabs>
        <w:tab w:val="left" w:pos="720"/>
      </w:tabs>
      <w:suppressAutoHyphens/>
      <w:spacing w:after="120" w:line="240" w:lineRule="auto"/>
      <w:jc w:val="both"/>
    </w:pPr>
    <w:rPr>
      <w:color w:val="000000"/>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rPr>
  </w:style>
  <w:style w:type="paragraph" w:styleId="Caption">
    <w:name w:val="caption"/>
    <w:basedOn w:val="Normal"/>
    <w:qFormat/>
    <w:pPr>
      <w:widowControl/>
      <w:tabs>
        <w:tab w:val="left" w:pos="720"/>
      </w:tabs>
      <w:suppressAutoHyphens/>
      <w:spacing w:before="120" w:after="120" w:line="240" w:lineRule="auto"/>
      <w:jc w:val="both"/>
    </w:pPr>
    <w:rPr>
      <w:b/>
      <w:color w:val="000000"/>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rPr>
  </w:style>
  <w:style w:type="paragraph" w:customStyle="1" w:styleId="AddressTL">
    <w:name w:val="AddressTL"/>
    <w:basedOn w:val="Normal"/>
    <w:pPr>
      <w:widowControl/>
      <w:tabs>
        <w:tab w:val="left" w:pos="720"/>
      </w:tabs>
      <w:suppressAutoHyphens/>
      <w:spacing w:after="720" w:line="240" w:lineRule="auto"/>
    </w:pPr>
    <w:rPr>
      <w:color w:val="000000"/>
    </w:rPr>
  </w:style>
  <w:style w:type="paragraph" w:customStyle="1" w:styleId="AddressTR">
    <w:name w:val="AddressTR"/>
    <w:basedOn w:val="Normal"/>
    <w:pPr>
      <w:widowControl/>
      <w:tabs>
        <w:tab w:val="left" w:pos="720"/>
      </w:tabs>
      <w:suppressAutoHyphens/>
      <w:spacing w:after="720" w:line="240" w:lineRule="auto"/>
      <w:ind w:left="5103"/>
    </w:pPr>
    <w:rPr>
      <w:color w:val="000000"/>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styleId="Date">
    <w:name w:val="Date"/>
    <w:basedOn w:val="Normal"/>
    <w:link w:val="DateChar"/>
    <w:pPr>
      <w:widowControl/>
      <w:tabs>
        <w:tab w:val="left" w:pos="720"/>
      </w:tabs>
      <w:suppressAutoHyphens/>
      <w:spacing w:line="240" w:lineRule="auto"/>
      <w:ind w:left="5103" w:right="-567"/>
    </w:pPr>
    <w:rPr>
      <w:color w:val="000000"/>
      <w:sz w:val="20"/>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rPr>
  </w:style>
  <w:style w:type="paragraph" w:styleId="EnvelopeReturn">
    <w:name w:val="envelope return"/>
    <w:basedOn w:val="Normal"/>
    <w:pPr>
      <w:widowControl/>
      <w:tabs>
        <w:tab w:val="left" w:pos="720"/>
      </w:tabs>
      <w:suppressAutoHyphens/>
      <w:spacing w:line="240" w:lineRule="auto"/>
      <w:jc w:val="both"/>
    </w:pPr>
    <w:rPr>
      <w:color w:val="000000"/>
      <w:sz w:val="20"/>
    </w:rPr>
  </w:style>
  <w:style w:type="character" w:customStyle="1" w:styleId="HeaderChar1">
    <w:name w:val="Header Char1"/>
    <w:locked/>
    <w:rPr>
      <w:rFonts w:ascii="Times New Roman" w:hAnsi="Times New Roman" w:cs="Times New Roman"/>
      <w:color w:val="000000"/>
      <w:sz w:val="20"/>
      <w:szCs w:val="20"/>
      <w:lang w:val="sk-SK" w:eastAsia="sk-SK"/>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rPr>
  </w:style>
  <w:style w:type="paragraph" w:customStyle="1" w:styleId="Subject">
    <w:name w:val="Subject"/>
    <w:basedOn w:val="Normal"/>
    <w:pPr>
      <w:widowControl/>
      <w:tabs>
        <w:tab w:val="left" w:pos="720"/>
      </w:tabs>
      <w:suppressAutoHyphens/>
      <w:spacing w:after="480" w:line="240" w:lineRule="auto"/>
      <w:ind w:left="1191" w:hanging="1191"/>
    </w:pPr>
    <w:rPr>
      <w:b/>
      <w:color w:val="000000"/>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rPr>
  </w:style>
  <w:style w:type="paragraph" w:styleId="BlockText">
    <w:name w:val="Block Text"/>
    <w:basedOn w:val="Normal"/>
    <w:pPr>
      <w:widowControl/>
      <w:tabs>
        <w:tab w:val="left" w:pos="720"/>
      </w:tabs>
      <w:suppressAutoHyphens/>
      <w:spacing w:after="120" w:line="240" w:lineRule="auto"/>
      <w:ind w:left="1440" w:right="1440"/>
      <w:jc w:val="both"/>
    </w:pPr>
    <w:rPr>
      <w:color w:val="000000"/>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sk-SK" w:eastAsia="sk-SK"/>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sk-SK" w:eastAsia="sk-SK"/>
    </w:rPr>
  </w:style>
  <w:style w:type="paragraph" w:styleId="Index2">
    <w:name w:val="index 2"/>
    <w:basedOn w:val="Normal"/>
    <w:pPr>
      <w:widowControl/>
      <w:tabs>
        <w:tab w:val="left" w:pos="720"/>
      </w:tabs>
      <w:suppressAutoHyphens/>
      <w:spacing w:after="240" w:line="240" w:lineRule="auto"/>
      <w:ind w:left="480" w:hanging="240"/>
      <w:jc w:val="both"/>
    </w:pPr>
    <w:rPr>
      <w:color w:val="000000"/>
    </w:rPr>
  </w:style>
  <w:style w:type="paragraph" w:styleId="Index3">
    <w:name w:val="index 3"/>
    <w:basedOn w:val="Normal"/>
    <w:pPr>
      <w:widowControl/>
      <w:tabs>
        <w:tab w:val="left" w:pos="720"/>
      </w:tabs>
      <w:suppressAutoHyphens/>
      <w:spacing w:after="240" w:line="240" w:lineRule="auto"/>
      <w:ind w:left="720" w:hanging="240"/>
      <w:jc w:val="both"/>
    </w:pPr>
    <w:rPr>
      <w:color w:val="000000"/>
    </w:rPr>
  </w:style>
  <w:style w:type="paragraph" w:styleId="Index4">
    <w:name w:val="index 4"/>
    <w:basedOn w:val="Normal"/>
    <w:pPr>
      <w:widowControl/>
      <w:tabs>
        <w:tab w:val="left" w:pos="720"/>
      </w:tabs>
      <w:suppressAutoHyphens/>
      <w:spacing w:after="240" w:line="240" w:lineRule="auto"/>
      <w:ind w:left="960" w:hanging="240"/>
      <w:jc w:val="both"/>
    </w:pPr>
    <w:rPr>
      <w:color w:val="000000"/>
    </w:rPr>
  </w:style>
  <w:style w:type="paragraph" w:styleId="Index5">
    <w:name w:val="index 5"/>
    <w:basedOn w:val="Normal"/>
    <w:pPr>
      <w:widowControl/>
      <w:tabs>
        <w:tab w:val="left" w:pos="720"/>
      </w:tabs>
      <w:suppressAutoHyphens/>
      <w:spacing w:after="240" w:line="240" w:lineRule="auto"/>
      <w:ind w:left="1200" w:hanging="240"/>
      <w:jc w:val="both"/>
    </w:pPr>
    <w:rPr>
      <w:color w:val="000000"/>
    </w:rPr>
  </w:style>
  <w:style w:type="paragraph" w:styleId="Index6">
    <w:name w:val="index 6"/>
    <w:basedOn w:val="Normal"/>
    <w:pPr>
      <w:widowControl/>
      <w:tabs>
        <w:tab w:val="left" w:pos="720"/>
      </w:tabs>
      <w:suppressAutoHyphens/>
      <w:spacing w:after="240" w:line="240" w:lineRule="auto"/>
      <w:ind w:left="1440" w:hanging="240"/>
      <w:jc w:val="both"/>
    </w:pPr>
    <w:rPr>
      <w:color w:val="000000"/>
    </w:rPr>
  </w:style>
  <w:style w:type="paragraph" w:styleId="Index7">
    <w:name w:val="index 7"/>
    <w:basedOn w:val="Normal"/>
    <w:pPr>
      <w:widowControl/>
      <w:tabs>
        <w:tab w:val="left" w:pos="720"/>
      </w:tabs>
      <w:suppressAutoHyphens/>
      <w:spacing w:after="240" w:line="240" w:lineRule="auto"/>
      <w:ind w:left="1680" w:hanging="240"/>
      <w:jc w:val="both"/>
    </w:pPr>
    <w:rPr>
      <w:color w:val="000000"/>
    </w:rPr>
  </w:style>
  <w:style w:type="paragraph" w:styleId="Index8">
    <w:name w:val="index 8"/>
    <w:basedOn w:val="Normal"/>
    <w:pPr>
      <w:widowControl/>
      <w:tabs>
        <w:tab w:val="left" w:pos="720"/>
      </w:tabs>
      <w:suppressAutoHyphens/>
      <w:spacing w:after="240" w:line="240" w:lineRule="auto"/>
      <w:ind w:left="1920" w:hanging="240"/>
      <w:jc w:val="both"/>
    </w:pPr>
    <w:rPr>
      <w:color w:val="000000"/>
    </w:rPr>
  </w:style>
  <w:style w:type="paragraph" w:styleId="Index9">
    <w:name w:val="index 9"/>
    <w:basedOn w:val="Normal"/>
    <w:pPr>
      <w:widowControl/>
      <w:tabs>
        <w:tab w:val="left" w:pos="720"/>
      </w:tabs>
      <w:suppressAutoHyphens/>
      <w:spacing w:after="240" w:line="240" w:lineRule="auto"/>
      <w:ind w:left="2160" w:hanging="240"/>
      <w:jc w:val="both"/>
    </w:pPr>
    <w:rPr>
      <w:color w:val="000000"/>
    </w:rPr>
  </w:style>
  <w:style w:type="paragraph" w:styleId="List2">
    <w:name w:val="List 2"/>
    <w:basedOn w:val="Normal"/>
    <w:pPr>
      <w:widowControl/>
      <w:tabs>
        <w:tab w:val="left" w:pos="720"/>
      </w:tabs>
      <w:suppressAutoHyphens/>
      <w:spacing w:after="120" w:line="240" w:lineRule="auto"/>
      <w:ind w:left="566" w:hanging="283"/>
      <w:jc w:val="both"/>
    </w:pPr>
    <w:rPr>
      <w:color w:val="000000"/>
    </w:rPr>
  </w:style>
  <w:style w:type="paragraph" w:styleId="List3">
    <w:name w:val="List 3"/>
    <w:basedOn w:val="Normal"/>
    <w:pPr>
      <w:widowControl/>
      <w:tabs>
        <w:tab w:val="left" w:pos="720"/>
      </w:tabs>
      <w:suppressAutoHyphens/>
      <w:spacing w:after="120" w:line="240" w:lineRule="auto"/>
      <w:ind w:left="849" w:hanging="283"/>
      <w:jc w:val="both"/>
    </w:pPr>
    <w:rPr>
      <w:color w:val="000000"/>
    </w:rPr>
  </w:style>
  <w:style w:type="paragraph" w:styleId="List4">
    <w:name w:val="List 4"/>
    <w:basedOn w:val="Normal"/>
    <w:pPr>
      <w:widowControl/>
      <w:tabs>
        <w:tab w:val="left" w:pos="720"/>
      </w:tabs>
      <w:suppressAutoHyphens/>
      <w:spacing w:after="120" w:line="240" w:lineRule="auto"/>
      <w:ind w:left="1132" w:hanging="283"/>
      <w:jc w:val="both"/>
    </w:pPr>
    <w:rPr>
      <w:color w:val="000000"/>
    </w:rPr>
  </w:style>
  <w:style w:type="paragraph" w:styleId="List5">
    <w:name w:val="List 5"/>
    <w:basedOn w:val="Normal"/>
    <w:pPr>
      <w:widowControl/>
      <w:tabs>
        <w:tab w:val="left" w:pos="720"/>
      </w:tabs>
      <w:suppressAutoHyphens/>
      <w:spacing w:after="120" w:line="240" w:lineRule="auto"/>
      <w:ind w:left="1415" w:hanging="283"/>
      <w:jc w:val="both"/>
    </w:pPr>
    <w:rPr>
      <w:color w:val="000000"/>
    </w:rPr>
  </w:style>
  <w:style w:type="paragraph" w:styleId="ListBullet5">
    <w:name w:val="List Bullet 5"/>
    <w:basedOn w:val="Normal"/>
    <w:pPr>
      <w:widowControl/>
      <w:tabs>
        <w:tab w:val="left" w:pos="720"/>
      </w:tabs>
      <w:suppressAutoHyphens/>
      <w:spacing w:after="240" w:line="240" w:lineRule="auto"/>
      <w:jc w:val="both"/>
    </w:pPr>
    <w:rPr>
      <w:color w:val="000000"/>
    </w:rPr>
  </w:style>
  <w:style w:type="paragraph" w:styleId="ListContinue">
    <w:name w:val="List Continue"/>
    <w:basedOn w:val="Normal"/>
    <w:pPr>
      <w:widowControl/>
      <w:tabs>
        <w:tab w:val="left" w:pos="720"/>
      </w:tabs>
      <w:suppressAutoHyphens/>
      <w:spacing w:after="120" w:line="240" w:lineRule="auto"/>
      <w:ind w:left="283"/>
      <w:jc w:val="both"/>
    </w:pPr>
    <w:rPr>
      <w:color w:val="000000"/>
    </w:rPr>
  </w:style>
  <w:style w:type="paragraph" w:styleId="ListContinue2">
    <w:name w:val="List Continue 2"/>
    <w:basedOn w:val="Normal"/>
    <w:pPr>
      <w:widowControl/>
      <w:tabs>
        <w:tab w:val="left" w:pos="720"/>
      </w:tabs>
      <w:suppressAutoHyphens/>
      <w:spacing w:after="120" w:line="240" w:lineRule="auto"/>
      <w:ind w:left="566"/>
      <w:jc w:val="both"/>
    </w:pPr>
    <w:rPr>
      <w:color w:val="000000"/>
    </w:rPr>
  </w:style>
  <w:style w:type="paragraph" w:styleId="ListContinue3">
    <w:name w:val="List Continue 3"/>
    <w:basedOn w:val="Normal"/>
    <w:pPr>
      <w:widowControl/>
      <w:tabs>
        <w:tab w:val="left" w:pos="720"/>
      </w:tabs>
      <w:suppressAutoHyphens/>
      <w:spacing w:after="120" w:line="240" w:lineRule="auto"/>
      <w:ind w:left="849"/>
      <w:jc w:val="both"/>
    </w:pPr>
    <w:rPr>
      <w:color w:val="000000"/>
    </w:rPr>
  </w:style>
  <w:style w:type="paragraph" w:styleId="ListContinue4">
    <w:name w:val="List Continue 4"/>
    <w:basedOn w:val="Normal"/>
    <w:pPr>
      <w:widowControl/>
      <w:tabs>
        <w:tab w:val="left" w:pos="720"/>
      </w:tabs>
      <w:suppressAutoHyphens/>
      <w:spacing w:after="120" w:line="240" w:lineRule="auto"/>
      <w:ind w:left="1132"/>
      <w:jc w:val="both"/>
    </w:pPr>
    <w:rPr>
      <w:color w:val="000000"/>
    </w:rPr>
  </w:style>
  <w:style w:type="paragraph" w:styleId="ListContinue5">
    <w:name w:val="List Continue 5"/>
    <w:basedOn w:val="Normal"/>
    <w:pPr>
      <w:widowControl/>
      <w:tabs>
        <w:tab w:val="left" w:pos="720"/>
      </w:tabs>
      <w:suppressAutoHyphens/>
      <w:spacing w:after="120" w:line="240" w:lineRule="auto"/>
      <w:ind w:left="1415"/>
      <w:jc w:val="both"/>
    </w:pPr>
    <w:rPr>
      <w:color w:val="000000"/>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rPr>
  </w:style>
  <w:style w:type="paragraph" w:customStyle="1" w:styleId="Contact">
    <w:name w:val="Contact"/>
    <w:basedOn w:val="Normal"/>
    <w:pPr>
      <w:widowControl/>
      <w:tabs>
        <w:tab w:val="left" w:pos="720"/>
      </w:tabs>
      <w:suppressAutoHyphens/>
      <w:spacing w:before="480" w:line="240" w:lineRule="auto"/>
      <w:ind w:left="567" w:hanging="567"/>
    </w:pPr>
    <w:rPr>
      <w:color w:val="000000"/>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rPr>
  </w:style>
  <w:style w:type="paragraph" w:customStyle="1" w:styleId="S6">
    <w:name w:val="S6"/>
    <w:basedOn w:val="Normal"/>
    <w:pPr>
      <w:widowControl/>
      <w:tabs>
        <w:tab w:val="left" w:pos="720"/>
      </w:tabs>
      <w:suppressAutoHyphens/>
      <w:spacing w:before="120" w:after="120" w:line="240" w:lineRule="auto"/>
      <w:jc w:val="center"/>
    </w:pPr>
    <w:rPr>
      <w:b/>
      <w:color w:val="000000"/>
      <w:sz w:val="40"/>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rPr>
  </w:style>
  <w:style w:type="paragraph" w:customStyle="1" w:styleId="S7">
    <w:name w:val="S7"/>
    <w:basedOn w:val="Normal"/>
    <w:pPr>
      <w:widowControl/>
      <w:tabs>
        <w:tab w:val="left" w:pos="720"/>
      </w:tabs>
      <w:suppressAutoHyphens/>
      <w:spacing w:before="120" w:after="120" w:line="240" w:lineRule="auto"/>
      <w:jc w:val="center"/>
    </w:pPr>
    <w:rPr>
      <w:b/>
      <w:color w:val="000000"/>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rPr>
  </w:style>
  <w:style w:type="paragraph" w:customStyle="1" w:styleId="Point0number">
    <w:name w:val="Point 0 (number)"/>
    <w:basedOn w:val="Normal"/>
    <w:pPr>
      <w:widowControl/>
      <w:numPr>
        <w:numId w:val="39"/>
      </w:numPr>
      <w:spacing w:before="120" w:after="120" w:line="240" w:lineRule="auto"/>
      <w:jc w:val="both"/>
    </w:pPr>
    <w:rPr>
      <w:szCs w:val="24"/>
    </w:rPr>
  </w:style>
  <w:style w:type="paragraph" w:customStyle="1" w:styleId="Point1number">
    <w:name w:val="Point 1 (number)"/>
    <w:basedOn w:val="Normal"/>
    <w:pPr>
      <w:widowControl/>
      <w:numPr>
        <w:ilvl w:val="2"/>
        <w:numId w:val="39"/>
      </w:numPr>
      <w:spacing w:before="120" w:after="120" w:line="240" w:lineRule="auto"/>
      <w:jc w:val="both"/>
    </w:pPr>
    <w:rPr>
      <w:szCs w:val="24"/>
    </w:rPr>
  </w:style>
  <w:style w:type="paragraph" w:customStyle="1" w:styleId="Point2number">
    <w:name w:val="Point 2 (number)"/>
    <w:basedOn w:val="Normal"/>
    <w:pPr>
      <w:widowControl/>
      <w:numPr>
        <w:ilvl w:val="4"/>
        <w:numId w:val="39"/>
      </w:numPr>
      <w:spacing w:before="120" w:after="120" w:line="240" w:lineRule="auto"/>
      <w:jc w:val="both"/>
    </w:pPr>
    <w:rPr>
      <w:szCs w:val="24"/>
    </w:rPr>
  </w:style>
  <w:style w:type="paragraph" w:customStyle="1" w:styleId="Point3number">
    <w:name w:val="Point 3 (number)"/>
    <w:basedOn w:val="Normal"/>
    <w:pPr>
      <w:widowControl/>
      <w:numPr>
        <w:ilvl w:val="6"/>
        <w:numId w:val="39"/>
      </w:numPr>
      <w:spacing w:before="120" w:after="120" w:line="240" w:lineRule="auto"/>
      <w:jc w:val="both"/>
    </w:pPr>
    <w:rPr>
      <w:szCs w:val="24"/>
    </w:rPr>
  </w:style>
  <w:style w:type="paragraph" w:customStyle="1" w:styleId="Point0letter">
    <w:name w:val="Point 0 (letter)"/>
    <w:basedOn w:val="Normal"/>
    <w:pPr>
      <w:widowControl/>
      <w:numPr>
        <w:ilvl w:val="1"/>
        <w:numId w:val="39"/>
      </w:numPr>
      <w:spacing w:before="120" w:after="120" w:line="240" w:lineRule="auto"/>
      <w:jc w:val="both"/>
    </w:pPr>
    <w:rPr>
      <w:szCs w:val="24"/>
    </w:rPr>
  </w:style>
  <w:style w:type="paragraph" w:customStyle="1" w:styleId="Point1letter">
    <w:name w:val="Point 1 (letter)"/>
    <w:basedOn w:val="Normal"/>
    <w:pPr>
      <w:widowControl/>
      <w:numPr>
        <w:ilvl w:val="3"/>
        <w:numId w:val="39"/>
      </w:numPr>
      <w:spacing w:before="120" w:after="120" w:line="240" w:lineRule="auto"/>
      <w:jc w:val="both"/>
    </w:pPr>
    <w:rPr>
      <w:szCs w:val="24"/>
    </w:rPr>
  </w:style>
  <w:style w:type="paragraph" w:customStyle="1" w:styleId="Point2letter">
    <w:name w:val="Point 2 (letter)"/>
    <w:basedOn w:val="Normal"/>
    <w:pPr>
      <w:widowControl/>
      <w:numPr>
        <w:ilvl w:val="5"/>
        <w:numId w:val="39"/>
      </w:numPr>
      <w:spacing w:before="120" w:after="120" w:line="240" w:lineRule="auto"/>
      <w:jc w:val="both"/>
    </w:pPr>
    <w:rPr>
      <w:szCs w:val="24"/>
    </w:rPr>
  </w:style>
  <w:style w:type="paragraph" w:customStyle="1" w:styleId="Point3letter">
    <w:name w:val="Point 3 (letter)"/>
    <w:basedOn w:val="Normal"/>
    <w:pPr>
      <w:widowControl/>
      <w:numPr>
        <w:ilvl w:val="7"/>
        <w:numId w:val="39"/>
      </w:numPr>
      <w:spacing w:before="120" w:after="120" w:line="240" w:lineRule="auto"/>
      <w:jc w:val="both"/>
    </w:pPr>
    <w:rPr>
      <w:szCs w:val="24"/>
    </w:rPr>
  </w:style>
  <w:style w:type="paragraph" w:customStyle="1" w:styleId="Point4letter">
    <w:name w:val="Point 4 (letter)"/>
    <w:basedOn w:val="Normal"/>
    <w:pPr>
      <w:widowControl/>
      <w:numPr>
        <w:ilvl w:val="8"/>
        <w:numId w:val="39"/>
      </w:numPr>
      <w:spacing w:before="120" w:after="120" w:line="240" w:lineRule="auto"/>
      <w:jc w:val="both"/>
    </w:pPr>
    <w:rPr>
      <w:szCs w:val="24"/>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rPr>
  </w:style>
  <w:style w:type="paragraph" w:customStyle="1" w:styleId="ArticleNumber">
    <w:name w:val="Article Number"/>
    <w:basedOn w:val="Normal"/>
    <w:pPr>
      <w:spacing w:before="720" w:after="240" w:line="240" w:lineRule="auto"/>
      <w:jc w:val="center"/>
    </w:pPr>
    <w:rPr>
      <w:rFonts w:ascii="Georgia" w:eastAsia="SimSun" w:hAnsi="Georgia"/>
      <w:smallCaps/>
      <w:szCs w:val="24"/>
    </w:rPr>
  </w:style>
  <w:style w:type="paragraph" w:customStyle="1" w:styleId="ArticleTitle">
    <w:name w:val="Article Title"/>
    <w:basedOn w:val="Normal"/>
    <w:pPr>
      <w:spacing w:before="120" w:after="480" w:line="240" w:lineRule="auto"/>
      <w:jc w:val="center"/>
    </w:pPr>
    <w:rPr>
      <w:rFonts w:ascii="Georgia" w:eastAsia="SimSun" w:hAnsi="Georgia"/>
      <w:b/>
      <w:bCs/>
      <w:szCs w:val="24"/>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rPr>
  </w:style>
  <w:style w:type="paragraph" w:customStyle="1" w:styleId="ArticleText">
    <w:name w:val="Article Text"/>
    <w:basedOn w:val="Normal"/>
    <w:pPr>
      <w:spacing w:after="240" w:line="240" w:lineRule="auto"/>
    </w:pPr>
    <w:rPr>
      <w:rFonts w:ascii="Georgia" w:eastAsia="SimSun" w:hAnsi="Georgia"/>
      <w:szCs w:val="24"/>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style>
  <w:style w:type="character" w:customStyle="1" w:styleId="subparaChar">
    <w:name w:val="subpara Char"/>
    <w:link w:val="subpara"/>
    <w:locked/>
    <w:rPr>
      <w:sz w:val="24"/>
      <w:lang w:val="sk-SK" w:eastAsia="sk-SK"/>
    </w:rPr>
  </w:style>
  <w:style w:type="character" w:customStyle="1" w:styleId="BodyTextChar1">
    <w:name w:val="Body Text Char1"/>
    <w:rPr>
      <w:sz w:val="22"/>
      <w:lang w:val="sk-SK" w:eastAsia="sk-SK" w:bidi="sk-SK"/>
    </w:rPr>
  </w:style>
  <w:style w:type="paragraph" w:styleId="TOCHeading">
    <w:name w:val="TOC Heading"/>
    <w:basedOn w:val="Normal"/>
    <w:next w:val="Normal"/>
    <w:qFormat/>
    <w:pPr>
      <w:keepNext/>
      <w:widowControl/>
      <w:spacing w:before="240" w:after="240" w:line="240" w:lineRule="auto"/>
      <w:jc w:val="center"/>
    </w:pPr>
    <w:rPr>
      <w:b/>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rPr>
  </w:style>
  <w:style w:type="paragraph" w:customStyle="1" w:styleId="Revision1">
    <w:name w:val="Revision1"/>
    <w:hidden/>
    <w:uiPriority w:val="99"/>
    <w:semiHidden/>
    <w:rPr>
      <w:rFonts w:ascii="Arial" w:eastAsia="SimSun" w:hAnsi="Arial"/>
      <w:szCs w:val="24"/>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rPr>
  </w:style>
  <w:style w:type="paragraph" w:customStyle="1" w:styleId="List0">
    <w:name w:val="List 0"/>
    <w:basedOn w:val="Normal"/>
    <w:pPr>
      <w:widowControl/>
      <w:spacing w:line="240" w:lineRule="auto"/>
      <w:ind w:left="360" w:hanging="360"/>
    </w:pPr>
    <w:rPr>
      <w:rFonts w:ascii="Arial" w:eastAsia="SimSun" w:hAnsi="Arial"/>
      <w:sz w:val="20"/>
      <w:szCs w:val="24"/>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rPr>
  </w:style>
  <w:style w:type="character" w:customStyle="1" w:styleId="Style1Char">
    <w:name w:val="Style1 Char"/>
    <w:link w:val="Style1"/>
    <w:rPr>
      <w:rFonts w:ascii="Arial" w:eastAsia="SimSun" w:hAnsi="Arial"/>
      <w:sz w:val="28"/>
      <w:szCs w:val="24"/>
      <w:lang w:eastAsia="sk-SK"/>
    </w:rPr>
  </w:style>
  <w:style w:type="paragraph" w:customStyle="1" w:styleId="QuestionText">
    <w:name w:val="Question Text"/>
    <w:basedOn w:val="Normal"/>
    <w:next w:val="BodyText"/>
    <w:pPr>
      <w:widowControl/>
      <w:tabs>
        <w:tab w:val="left" w:pos="720"/>
      </w:tabs>
      <w:spacing w:after="240" w:line="240" w:lineRule="auto"/>
      <w:jc w:val="both"/>
    </w:pPr>
    <w:rPr>
      <w:b/>
      <w:sz w:val="22"/>
    </w:rPr>
  </w:style>
  <w:style w:type="paragraph" w:customStyle="1" w:styleId="TableParagraph">
    <w:name w:val="Table Paragraph"/>
    <w:basedOn w:val="Normal"/>
    <w:uiPriority w:val="1"/>
    <w:qFormat/>
    <w:pPr>
      <w:spacing w:line="240" w:lineRule="auto"/>
    </w:pPr>
    <w:rPr>
      <w:rFonts w:ascii="Arial" w:eastAsia="Arial" w:hAnsi="Arial"/>
      <w:sz w:val="22"/>
      <w:szCs w:val="22"/>
    </w:rPr>
  </w:style>
  <w:style w:type="paragraph" w:customStyle="1" w:styleId="Transportable">
    <w:name w:val="Transportable"/>
    <w:basedOn w:val="Normal"/>
    <w:pPr>
      <w:widowControl/>
      <w:spacing w:line="240" w:lineRule="auto"/>
    </w:pPr>
    <w:rPr>
      <w:rFonts w:ascii="Book Antiqua" w:eastAsia="Batang" w:hAnsi="Book Antiqua"/>
      <w:sz w:val="18"/>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sk-SK"/>
    </w:rPr>
  </w:style>
  <w:style w:type="paragraph" w:styleId="Salutation">
    <w:name w:val="Salutation"/>
    <w:basedOn w:val="Normal"/>
    <w:next w:val="Normal"/>
    <w:link w:val="SalutationChar"/>
    <w:pPr>
      <w:widowControl/>
      <w:spacing w:after="240" w:line="240" w:lineRule="auto"/>
      <w:jc w:val="both"/>
    </w:pPr>
    <w:rPr>
      <w:rFonts w:eastAsia="Malgun Gothic"/>
      <w:szCs w:val="24"/>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rPr>
  </w:style>
  <w:style w:type="paragraph" w:customStyle="1" w:styleId="num2">
    <w:name w:val="num2"/>
    <w:basedOn w:val="Normal"/>
    <w:pPr>
      <w:widowControl/>
      <w:spacing w:after="240" w:line="240" w:lineRule="auto"/>
      <w:ind w:left="1700" w:hanging="850"/>
      <w:jc w:val="both"/>
    </w:pPr>
    <w:rPr>
      <w:rFonts w:eastAsia="Malgun Gothic"/>
    </w:rPr>
  </w:style>
  <w:style w:type="character" w:customStyle="1" w:styleId="Text1Char">
    <w:name w:val="Text 1 Char"/>
    <w:rPr>
      <w:sz w:val="24"/>
      <w:szCs w:val="24"/>
      <w:lang w:val="sk-SK" w:eastAsia="sk-SK" w:bidi="sk-SK"/>
    </w:rPr>
  </w:style>
  <w:style w:type="paragraph" w:customStyle="1" w:styleId="StyleHeading114pt">
    <w:name w:val="Style Heading 1 + 14 pt"/>
    <w:basedOn w:val="Heading1"/>
    <w:pPr>
      <w:numPr>
        <w:numId w:val="0"/>
      </w:numPr>
      <w:jc w:val="center"/>
    </w:pPr>
    <w:rPr>
      <w:rFonts w:eastAsia="Batang"/>
      <w:bCs/>
      <w:sz w:val="28"/>
      <w:szCs w:val="32"/>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sk-SK"/>
    </w:rPr>
  </w:style>
  <w:style w:type="paragraph" w:customStyle="1" w:styleId="num">
    <w:name w:val="num"/>
    <w:basedOn w:val="Normal"/>
    <w:pPr>
      <w:widowControl/>
      <w:spacing w:after="240" w:line="240" w:lineRule="auto"/>
      <w:ind w:left="850" w:hanging="850"/>
      <w:jc w:val="both"/>
    </w:p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rPr>
  </w:style>
  <w:style w:type="character" w:customStyle="1" w:styleId="BalloonTextChar1">
    <w:name w:val="Balloon Text Char1"/>
    <w:uiPriority w:val="99"/>
    <w:semiHidden/>
    <w:rPr>
      <w:rFonts w:ascii="Segoe UI" w:eastAsia="Batang" w:hAnsi="Segoe UI" w:cs="Segoe UI"/>
      <w:sz w:val="18"/>
      <w:szCs w:val="18"/>
      <w:lang w:eastAsia="sk-SK"/>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style>
  <w:style w:type="paragraph" w:customStyle="1" w:styleId="articletitle0">
    <w:name w:val="article title"/>
    <w:basedOn w:val="Normal"/>
    <w:pPr>
      <w:keepNext/>
      <w:widowControl/>
      <w:spacing w:before="240" w:after="240" w:line="240" w:lineRule="auto"/>
      <w:jc w:val="both"/>
    </w:pPr>
    <w:rPr>
      <w:b/>
      <w:szCs w:val="24"/>
    </w:rPr>
  </w:style>
  <w:style w:type="paragraph" w:customStyle="1" w:styleId="normal00200028web0029">
    <w:name w:val="normal_0020_0028web_0029"/>
    <w:basedOn w:val="Normal"/>
    <w:pPr>
      <w:widowControl/>
      <w:spacing w:before="100" w:after="100" w:line="240" w:lineRule="auto"/>
    </w:pPr>
    <w:rPr>
      <w:rFonts w:ascii="Gulim" w:eastAsia="Gulim" w:hAnsi="Gulim"/>
      <w:szCs w:val="24"/>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sk-SK"/>
    </w:rPr>
  </w:style>
  <w:style w:type="paragraph" w:customStyle="1" w:styleId="font5">
    <w:name w:val="font5"/>
    <w:basedOn w:val="Normal"/>
    <w:pPr>
      <w:widowControl/>
      <w:spacing w:before="100" w:beforeAutospacing="1" w:after="100" w:afterAutospacing="1" w:line="240" w:lineRule="auto"/>
    </w:pPr>
    <w:rPr>
      <w:color w:val="000000"/>
      <w:sz w:val="20"/>
    </w:rPr>
  </w:style>
  <w:style w:type="paragraph" w:customStyle="1" w:styleId="font6">
    <w:name w:val="font6"/>
    <w:basedOn w:val="Normal"/>
    <w:pPr>
      <w:widowControl/>
      <w:spacing w:before="100" w:beforeAutospacing="1" w:after="100" w:afterAutospacing="1" w:line="240" w:lineRule="auto"/>
    </w:pPr>
    <w:rPr>
      <w:color w:val="000000"/>
      <w:sz w:val="20"/>
    </w:rPr>
  </w:style>
  <w:style w:type="paragraph" w:customStyle="1" w:styleId="font7">
    <w:name w:val="font7"/>
    <w:basedOn w:val="Normal"/>
    <w:pPr>
      <w:widowControl/>
      <w:spacing w:before="100" w:beforeAutospacing="1" w:after="100" w:afterAutospacing="1" w:line="240" w:lineRule="auto"/>
    </w:pPr>
    <w:rPr>
      <w:color w:val="000000"/>
      <w:sz w:val="20"/>
    </w:rPr>
  </w:style>
  <w:style w:type="paragraph" w:customStyle="1" w:styleId="font8">
    <w:name w:val="font8"/>
    <w:basedOn w:val="Normal"/>
    <w:pPr>
      <w:widowControl/>
      <w:spacing w:before="100" w:beforeAutospacing="1" w:after="100" w:afterAutospacing="1" w:line="240" w:lineRule="auto"/>
    </w:pPr>
    <w:rPr>
      <w:color w:val="000000"/>
      <w:sz w:val="20"/>
    </w:rPr>
  </w:style>
  <w:style w:type="paragraph" w:customStyle="1" w:styleId="xl63">
    <w:name w:val="xl63"/>
    <w:basedOn w:val="Normal"/>
    <w:pPr>
      <w:widowControl/>
      <w:spacing w:before="100" w:beforeAutospacing="1" w:after="100" w:afterAutospacing="1" w:line="240" w:lineRule="auto"/>
      <w:textAlignment w:val="top"/>
    </w:pPr>
    <w:rPr>
      <w:sz w:val="20"/>
    </w:rPr>
  </w:style>
  <w:style w:type="paragraph" w:customStyle="1" w:styleId="xl64">
    <w:name w:val="xl64"/>
    <w:basedOn w:val="Normal"/>
    <w:pPr>
      <w:widowControl/>
      <w:spacing w:before="100" w:beforeAutospacing="1" w:after="100" w:afterAutospacing="1" w:line="240" w:lineRule="auto"/>
      <w:jc w:val="center"/>
      <w:textAlignment w:val="top"/>
    </w:pPr>
    <w:rPr>
      <w:sz w:val="20"/>
    </w:rPr>
  </w:style>
  <w:style w:type="paragraph" w:customStyle="1" w:styleId="xl65">
    <w:name w:val="xl6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color w:val="000000"/>
      <w:sz w:val="20"/>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20"/>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color w:val="000000"/>
      <w:sz w:val="20"/>
    </w:rPr>
  </w:style>
  <w:style w:type="paragraph" w:customStyle="1" w:styleId="xl68">
    <w:name w:val="xl6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 w:val="20"/>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rPr>
  </w:style>
  <w:style w:type="paragraph" w:customStyle="1" w:styleId="xl70">
    <w:name w:val="xl7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 w:val="20"/>
    </w:rPr>
  </w:style>
  <w:style w:type="paragraph" w:customStyle="1" w:styleId="xl71">
    <w:name w:val="xl7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0"/>
    </w:rPr>
  </w:style>
  <w:style w:type="paragraph" w:customStyle="1" w:styleId="xl72">
    <w:name w:val="xl7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 w:val="20"/>
    </w:rPr>
  </w:style>
  <w:style w:type="paragraph" w:customStyle="1" w:styleId="xl73">
    <w:name w:val="xl7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color w:val="000000"/>
      <w:sz w:val="20"/>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color w:val="000000"/>
      <w:sz w:val="20"/>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sz w:val="20"/>
    </w:rPr>
  </w:style>
  <w:style w:type="paragraph" w:customStyle="1" w:styleId="xl76">
    <w:name w:val="xl76"/>
    <w:basedOn w:val="Normal"/>
    <w:pPr>
      <w:widowControl/>
      <w:spacing w:before="100" w:beforeAutospacing="1" w:after="100" w:afterAutospacing="1" w:line="240" w:lineRule="auto"/>
      <w:textAlignment w:val="top"/>
    </w:pPr>
    <w:rPr>
      <w:sz w:val="20"/>
    </w:rPr>
  </w:style>
  <w:style w:type="paragraph" w:customStyle="1" w:styleId="Pagedecouverture">
    <w:name w:val="Page de couverture"/>
    <w:basedOn w:val="Normal"/>
    <w:next w:val="Normal"/>
    <w:pPr>
      <w:widowControl/>
      <w:spacing w:line="240" w:lineRule="auto"/>
      <w:jc w:val="both"/>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15.xml"/><Relationship Id="rId21" Type="http://schemas.openxmlformats.org/officeDocument/2006/relationships/footer" Target="footer6.xml"/><Relationship Id="rId34" Type="http://schemas.openxmlformats.org/officeDocument/2006/relationships/header" Target="header13.xml"/><Relationship Id="rId42" Type="http://schemas.openxmlformats.org/officeDocument/2006/relationships/footer" Target="footer16.xml"/><Relationship Id="rId47" Type="http://schemas.openxmlformats.org/officeDocument/2006/relationships/header" Target="header20.xml"/><Relationship Id="rId50" Type="http://schemas.openxmlformats.org/officeDocument/2006/relationships/header" Target="header21.xml"/><Relationship Id="rId55" Type="http://schemas.openxmlformats.org/officeDocument/2006/relationships/footer" Target="footer23.xml"/><Relationship Id="rId63" Type="http://schemas.openxmlformats.org/officeDocument/2006/relationships/footer" Target="footer27.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header" Target="header17.xml"/><Relationship Id="rId54" Type="http://schemas.openxmlformats.org/officeDocument/2006/relationships/footer" Target="footer22.xml"/><Relationship Id="rId62" Type="http://schemas.openxmlformats.org/officeDocument/2006/relationships/header" Target="header2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footer" Target="footer14.xml"/><Relationship Id="rId40" Type="http://schemas.openxmlformats.org/officeDocument/2006/relationships/header" Target="header16.xml"/><Relationship Id="rId45" Type="http://schemas.openxmlformats.org/officeDocument/2006/relationships/footer" Target="footer18.xml"/><Relationship Id="rId53" Type="http://schemas.openxmlformats.org/officeDocument/2006/relationships/header" Target="header23.xml"/><Relationship Id="rId58" Type="http://schemas.openxmlformats.org/officeDocument/2006/relationships/header" Target="header2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3.xml"/><Relationship Id="rId49" Type="http://schemas.openxmlformats.org/officeDocument/2006/relationships/footer" Target="footer20.xml"/><Relationship Id="rId57" Type="http://schemas.openxmlformats.org/officeDocument/2006/relationships/footer" Target="footer24.xml"/><Relationship Id="rId61" Type="http://schemas.openxmlformats.org/officeDocument/2006/relationships/footer" Target="footer26.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footer" Target="footer25.xm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eader" Target="header14.xml"/><Relationship Id="rId43" Type="http://schemas.openxmlformats.org/officeDocument/2006/relationships/footer" Target="footer17.xml"/><Relationship Id="rId48" Type="http://schemas.openxmlformats.org/officeDocument/2006/relationships/footer" Target="footer19.xml"/><Relationship Id="rId56" Type="http://schemas.openxmlformats.org/officeDocument/2006/relationships/header" Target="header24.xm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footer" Target="footer2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 Id="rId46" Type="http://schemas.openxmlformats.org/officeDocument/2006/relationships/header" Target="header19.xml"/><Relationship Id="rId59" Type="http://schemas.openxmlformats.org/officeDocument/2006/relationships/header" Target="head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C20AA-3CA5-4965-A526-632DAC548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38</Pages>
  <Words>9111</Words>
  <Characters>50934</Characters>
  <Application>Microsoft Office Word</Application>
  <DocSecurity>0</DocSecurity>
  <Lines>3395</Lines>
  <Paragraphs>3160</Paragraphs>
  <ScaleCrop>false</ScaleCrop>
  <HeadingPairs>
    <vt:vector size="2" baseType="variant">
      <vt:variant>
        <vt:lpstr>Title</vt:lpstr>
      </vt:variant>
      <vt:variant>
        <vt:i4>1</vt:i4>
      </vt:variant>
    </vt:vector>
  </HeadingPairs>
  <TitlesOfParts>
    <vt:vector size="1" baseType="lpstr">
      <vt:lpstr>GEN</vt:lpstr>
    </vt:vector>
  </TitlesOfParts>
  <Manager/>
  <Company/>
  <LinksUpToDate>false</LinksUpToDate>
  <CharactersWithSpaces>56885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14</cp:revision>
  <cp:lastPrinted>2004-04-02T13:43:00Z</cp:lastPrinted>
  <dcterms:created xsi:type="dcterms:W3CDTF">2018-07-02T14:25:00Z</dcterms:created>
  <dcterms:modified xsi:type="dcterms:W3CDTF">2018-11-09T16:45:00Z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5</vt:lpwstr>
  </property>
  <property fmtid="{D5CDD505-2E9C-101B-9397-08002B2CF9AE}" pid="4" name="Last annex">
    <vt:lpwstr>5</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