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alt="D5D42E75-2069-489A-AC35-C4869317077D" style="width:450.5pt;height:420.5pt">
            <v:imagedata r:id="rId9" o:title=""/>
          </v:shape>
        </w:pict>
      </w:r>
    </w:p>
    <w:p>
      <w:pPr>
        <w:rPr>
          <w:noProof/>
        </w:rPr>
        <w:sectPr>
          <w:footerReference w:type="default" r:id="rId10"/>
          <w:pgSz w:w="11907" w:h="16839"/>
          <w:pgMar w:top="1134" w:right="1417" w:bottom="1134" w:left="1417" w:header="709" w:footer="709" w:gutter="0"/>
          <w:pgNumType w:start="0"/>
          <w:cols w:space="720"/>
          <w:docGrid w:linePitch="360"/>
        </w:sectPr>
      </w:pPr>
    </w:p>
    <w:p>
      <w:pPr>
        <w:pStyle w:val="Exposdesmotifstitre"/>
        <w:rPr>
          <w:noProof/>
        </w:rPr>
      </w:pPr>
      <w:bookmarkStart w:id="0" w:name="_GoBack"/>
      <w:bookmarkEnd w:id="0"/>
      <w:r>
        <w:rPr>
          <w:noProof/>
        </w:rPr>
        <w:lastRenderedPageBreak/>
        <w:t>ОБЯСНИТЕЛЕН МЕМОРАНДУМ</w:t>
      </w:r>
    </w:p>
    <w:p>
      <w:pPr>
        <w:pStyle w:val="ManualHeading1"/>
        <w:rPr>
          <w:rFonts w:eastAsia="Arial Unicode MS"/>
          <w:noProof/>
        </w:rPr>
      </w:pPr>
      <w:r>
        <w:t>1.</w:t>
      </w:r>
      <w:r>
        <w:tab/>
      </w:r>
      <w:r>
        <w:rPr>
          <w:noProof/>
        </w:rPr>
        <w:t>Предмет на предложението</w:t>
      </w:r>
    </w:p>
    <w:p>
      <w:pPr>
        <w:rPr>
          <w:rFonts w:eastAsia="Arial Unicode MS"/>
          <w:noProof/>
        </w:rPr>
      </w:pPr>
      <w:r>
        <w:rPr>
          <w:noProof/>
        </w:rPr>
        <w:t>Настоящото предложение се отнася за решението за установяване на позицията, която трябва да се заеме от името на Съюза в рамките на Комитета за партньорство, създаден по силата на Споразумението за всеобхватно и засилено партньорство между Европейския съюз и Европейската общност за атомна енергия и техните държави членки, от една страна, и Република Армения, от друга страна (наричано по-нататък „споразумението“), във връзка с предвиденото приемане на решение за изменение на списъка на лицата, които да изпълняват функциите на арбитри при процедури за уреждане на спорове.</w:t>
      </w:r>
    </w:p>
    <w:p>
      <w:pPr>
        <w:pStyle w:val="ManualHeading1"/>
        <w:rPr>
          <w:noProof/>
        </w:rPr>
      </w:pPr>
      <w:r>
        <w:t>2.</w:t>
      </w:r>
      <w:r>
        <w:tab/>
      </w:r>
      <w:r>
        <w:rPr>
          <w:noProof/>
        </w:rPr>
        <w:t>Контекст на предложението</w:t>
      </w:r>
    </w:p>
    <w:p>
      <w:pPr>
        <w:pStyle w:val="ManualHeading2"/>
        <w:rPr>
          <w:noProof/>
        </w:rPr>
      </w:pPr>
      <w:r>
        <w:t>2.1.</w:t>
      </w:r>
      <w:r>
        <w:tab/>
      </w:r>
      <w:r>
        <w:rPr>
          <w:noProof/>
        </w:rPr>
        <w:t>Споразумението</w:t>
      </w:r>
    </w:p>
    <w:p>
      <w:pPr>
        <w:rPr>
          <w:noProof/>
        </w:rPr>
      </w:pPr>
      <w:r>
        <w:rPr>
          <w:noProof/>
        </w:rPr>
        <w:t xml:space="preserve">Целта на споразумението е да се задълбочи вече съществуващото широко двустранно сътрудничество в икономическата, търговската и политическата област, както и в секторните политики, като по този начин се осигури дългосрочна основа за по-нататъшното развитие на отношенията между ЕС и Армения. Чрез активизиране на политическия диалог и подобряване на сътрудничеството в широк кръг от области споразумението поставя основите за постигането на по-ефикасни двустранни отношения с Армения. </w:t>
      </w:r>
    </w:p>
    <w:p>
      <w:pPr>
        <w:rPr>
          <w:rFonts w:eastAsia="Arial Unicode MS"/>
          <w:noProof/>
        </w:rPr>
      </w:pPr>
      <w:r>
        <w:rPr>
          <w:noProof/>
        </w:rPr>
        <w:t>С Решение (ЕС) 2018/104 на Съвета от 20 ноември 2017 г. бе одобрено подписването и временното прилагане на споразумението съгласно член 385 от споразумението. То се прилага временно от 1 юни 2018 г.</w:t>
      </w:r>
    </w:p>
    <w:p>
      <w:pPr>
        <w:pStyle w:val="ManualHeading2"/>
        <w:rPr>
          <w:noProof/>
        </w:rPr>
      </w:pPr>
      <w:r>
        <w:t>2.2.</w:t>
      </w:r>
      <w:r>
        <w:tab/>
      </w:r>
      <w:r>
        <w:rPr>
          <w:noProof/>
        </w:rPr>
        <w:t>Комитетът за партньорство</w:t>
      </w:r>
    </w:p>
    <w:p>
      <w:pPr>
        <w:rPr>
          <w:rFonts w:eastAsia="Arial Unicode MS"/>
          <w:noProof/>
        </w:rPr>
      </w:pPr>
      <w:r>
        <w:rPr>
          <w:noProof/>
        </w:rPr>
        <w:t>Комитетът за партньорство и специалният състав, в който той заседава за разглеждането на всякакви въпроси, свързани с дял VI („Търговия и свързани с търговията въпроси“) от споразумението, са уредени в член 363, параграф 7 от споразумението. Съгласно член 363, параграфи 1 и 6 от споразумението Комитетът за партньорство подпомага Съвета за партньорство при изпълнението на неговите задължения и функции. Комитетът за партньорство разполага с правомощието да приема решения в областите, в които Съветът за партньорство му е делегирал правомощия, и в случаите, предвидени в споразумението. Тези решения имат задължителна сила за страните по споразумението, които трябва да предприемат необходимите мерки за изпълнението им.</w:t>
      </w:r>
    </w:p>
    <w:p>
      <w:pPr>
        <w:pStyle w:val="ManualHeading2"/>
        <w:rPr>
          <w:noProof/>
        </w:rPr>
      </w:pPr>
      <w:r>
        <w:t>2.3.</w:t>
      </w:r>
      <w:r>
        <w:tab/>
      </w:r>
      <w:r>
        <w:rPr>
          <w:noProof/>
        </w:rPr>
        <w:t>Предвиденият акт на Комитета за партньорство</w:t>
      </w:r>
    </w:p>
    <w:p>
      <w:pPr>
        <w:rPr>
          <w:noProof/>
        </w:rPr>
      </w:pPr>
      <w:r>
        <w:rPr>
          <w:noProof/>
        </w:rPr>
        <w:t xml:space="preserve">Арбитражната процедура, уредена в дял VI, глава 13 от споразумението, предвижда, че ако страните не успеят да решат спора посредством консултации, страната, която е поискала консултации, може да поиска образуването на арбитражен състав. В член 339, параграф 1 от споразумението се изисква Комитетът за партньорство да състави, въз основа на предложения от страните, списък с най-малко 15 лица, които желаят и могат да изпълняват функциите на арбитри. Списъкът трябва да включва три подсписъка: по един подсписък за всяка от страните и един подсписък с лица, които не са граждани на нито една от страните и които се предвижда да изпълняват функцията на председател на арбитражния състав. Всеки подсписък съдържа най-малко пет лица. Комитетът за </w:t>
      </w:r>
      <w:r>
        <w:rPr>
          <w:noProof/>
        </w:rPr>
        <w:lastRenderedPageBreak/>
        <w:t>партньорство също така следи за това списъкът да се поддържа винаги на това равнище.</w:t>
      </w:r>
    </w:p>
    <w:p>
      <w:pPr>
        <w:rPr>
          <w:noProof/>
        </w:rPr>
      </w:pPr>
      <w:r>
        <w:rPr>
          <w:noProof/>
        </w:rPr>
        <w:t>Арбитрите и председателите, предложени от Съюза и от Република Армения, трябва да притежават експертни познания в областта на правото, международната търговия и други области, свързани с разпоредбите на дял VI от споразумението, и трябва да отговарят на изискването за независимост, определено в член 339, параграф 2 от споразумението.</w:t>
      </w:r>
    </w:p>
    <w:p>
      <w:pPr>
        <w:rPr>
          <w:noProof/>
        </w:rPr>
      </w:pPr>
      <w:r>
        <w:rPr>
          <w:noProof/>
        </w:rPr>
        <w:t>Въз основа на това на 17 октомври 2019 г. списъкът с арбитри беше определен с решение, прието от Комитета за партньорство в състав „Търговия“. Един от петимата кандидати за арбитри от Република Армения обаче вече не отговаря на изискването за независимост, определено в член 339, параграф 2 от споразумението.</w:t>
      </w:r>
    </w:p>
    <w:p>
      <w:pPr>
        <w:rPr>
          <w:noProof/>
        </w:rPr>
      </w:pPr>
      <w:r>
        <w:rPr>
          <w:noProof/>
        </w:rPr>
        <w:t>Република Армения предложи нов кандидат за арбитър, който притежава експертни познания в областта на правото, международната търговия и други области, свързани с разпоредбите на дял VI от споразумението, и от когото се очаква да отговаря на изискването за независимост, определено в член 339, параграф 2 от споразумението.</w:t>
      </w:r>
    </w:p>
    <w:p>
      <w:pPr>
        <w:rPr>
          <w:noProof/>
        </w:rPr>
      </w:pPr>
      <w:r>
        <w:rPr>
          <w:noProof/>
        </w:rPr>
        <w:t xml:space="preserve">Следователно целта на предвидения акт е да се определи позицията на Съюза във връзка с приемането от Комитета за партньорство на решение за изменение на списъка на лицата, които желаят и могат да изпълняват функцията на арбитри при процедури за уреждане на спорове, като единият от петимата кандидати за арбитри от Република Армения, който повече не отговаря на условията по член 339, параграф 2 от споразумението, бъде заменен с нов кандидат, предложен от Република Армения. </w:t>
      </w:r>
    </w:p>
    <w:p>
      <w:pPr>
        <w:pStyle w:val="ManualHeading1"/>
        <w:rPr>
          <w:rFonts w:eastAsia="Arial Unicode MS"/>
          <w:noProof/>
        </w:rPr>
      </w:pPr>
      <w:r>
        <w:t>3.</w:t>
      </w:r>
      <w:r>
        <w:tab/>
      </w:r>
      <w:r>
        <w:rPr>
          <w:noProof/>
        </w:rPr>
        <w:t>Позиция, която трябва да се заеме от името на Съюза</w:t>
      </w:r>
    </w:p>
    <w:p>
      <w:pPr>
        <w:rPr>
          <w:noProof/>
        </w:rPr>
      </w:pPr>
      <w:r>
        <w:rPr>
          <w:noProof/>
        </w:rPr>
        <w:t xml:space="preserve">Целта на позицията, която трябва да се заеме от името на Съюза, е да бъде изменен списъкът на лицата, които желаят и могат да изпълняват функциите на арбитри при процедури за уреждане на спорове. </w:t>
      </w:r>
    </w:p>
    <w:p>
      <w:pPr>
        <w:pStyle w:val="ManualHeading1"/>
        <w:rPr>
          <w:noProof/>
        </w:rPr>
      </w:pPr>
      <w:r>
        <w:t>4.</w:t>
      </w:r>
      <w:r>
        <w:tab/>
      </w:r>
      <w:r>
        <w:rPr>
          <w:noProof/>
        </w:rPr>
        <w:t>Правно основание</w:t>
      </w:r>
    </w:p>
    <w:p>
      <w:pPr>
        <w:pStyle w:val="ManualHeading2"/>
        <w:rPr>
          <w:noProof/>
        </w:rPr>
      </w:pPr>
      <w:r>
        <w:t>4.1.</w:t>
      </w:r>
      <w:r>
        <w:tab/>
      </w:r>
      <w:r>
        <w:rPr>
          <w:noProof/>
        </w:rPr>
        <w:t>Процесуалноправно основание</w:t>
      </w:r>
    </w:p>
    <w:p>
      <w:pPr>
        <w:pStyle w:val="ManualHeading3"/>
        <w:rPr>
          <w:noProof/>
        </w:rPr>
      </w:pPr>
      <w:r>
        <w:t>4.1.1.</w:t>
      </w:r>
      <w:r>
        <w:tab/>
      </w:r>
      <w:r>
        <w:rPr>
          <w:noProof/>
        </w:rPr>
        <w:t>Принципи</w:t>
      </w:r>
    </w:p>
    <w:p>
      <w:pPr>
        <w:rPr>
          <w:noProof/>
        </w:rPr>
      </w:pPr>
      <w:r>
        <w:rPr>
          <w:noProof/>
        </w:rPr>
        <w:t>В член 218, параграф 9 от Договора за функционирането на Европейския съюз (ДФЕС) се предвижда приемането на решения за установяване на „</w:t>
      </w:r>
      <w:r>
        <w:rPr>
          <w:i/>
          <w:iCs/>
          <w:noProof/>
        </w:rPr>
        <w:t>позициите, които трябва да се заемат от името на Съюза в рамките на орган, създаден със споразумение, когато този орган има за задача да приема актове с правно действие, с изключение на актовете за допълнение или изменение на институционалната рамка на споразумението</w:t>
      </w:r>
      <w:r>
        <w:rPr>
          <w:noProof/>
        </w:rPr>
        <w:t>“.</w:t>
      </w:r>
    </w:p>
    <w:p>
      <w:pPr>
        <w:pStyle w:val="ManualHeading3"/>
        <w:rPr>
          <w:noProof/>
        </w:rPr>
      </w:pPr>
      <w:r>
        <w:t>4.1.2.</w:t>
      </w:r>
      <w:r>
        <w:tab/>
      </w:r>
      <w:r>
        <w:rPr>
          <w:noProof/>
        </w:rPr>
        <w:t>Приложение в конкретния случай</w:t>
      </w:r>
    </w:p>
    <w:p>
      <w:pPr>
        <w:rPr>
          <w:noProof/>
        </w:rPr>
      </w:pPr>
      <w:r>
        <w:rPr>
          <w:noProof/>
        </w:rPr>
        <w:t>Комитетът за партньорство е орган, създаден по силата на споразумението. Решението, което Комитетът за партньорство ще приеме, ще бъде обвързващо съгласно международното право в съответствие с член 363, параграф 6 от споразумението. Предвиденият акт не допълва, нито изменя институционалната рамка на споразумението. Поради това процесуалноправното основание за предложеното решение е член 218, параграф 9 от ДФЕС.</w:t>
      </w:r>
    </w:p>
    <w:p>
      <w:pPr>
        <w:pStyle w:val="ManualHeading2"/>
        <w:rPr>
          <w:noProof/>
        </w:rPr>
      </w:pPr>
      <w:r>
        <w:lastRenderedPageBreak/>
        <w:t>4.2.</w:t>
      </w:r>
      <w:r>
        <w:tab/>
      </w:r>
      <w:r>
        <w:rPr>
          <w:noProof/>
        </w:rPr>
        <w:t>Материалноправно основание</w:t>
      </w:r>
    </w:p>
    <w:p>
      <w:pPr>
        <w:pStyle w:val="ManualHeading3"/>
        <w:rPr>
          <w:noProof/>
        </w:rPr>
      </w:pPr>
      <w:r>
        <w:t>4.2.1.</w:t>
      </w:r>
      <w:r>
        <w:tab/>
      </w:r>
      <w:r>
        <w:rPr>
          <w:noProof/>
        </w:rPr>
        <w:t>Принципи</w:t>
      </w:r>
    </w:p>
    <w:p>
      <w:pPr>
        <w:rPr>
          <w:noProof/>
        </w:rPr>
      </w:pPr>
      <w:r>
        <w:rPr>
          <w:noProof/>
        </w:rPr>
        <w:t xml:space="preserve">Материалноправното основание за дадено решение съгласно член 218, параграф 9 от ДФЕС зависи преди всичко от целта и съдържанието на предвидения акт, във връзка с който се заема позиция от името на Съюза. </w:t>
      </w:r>
    </w:p>
    <w:p>
      <w:pPr>
        <w:pStyle w:val="ManualHeading3"/>
        <w:rPr>
          <w:noProof/>
        </w:rPr>
      </w:pPr>
      <w:r>
        <w:t>4.2.2.</w:t>
      </w:r>
      <w:r>
        <w:tab/>
      </w:r>
      <w:r>
        <w:rPr>
          <w:noProof/>
        </w:rPr>
        <w:t>Приложение в конкретния случай</w:t>
      </w:r>
    </w:p>
    <w:p>
      <w:pPr>
        <w:rPr>
          <w:noProof/>
        </w:rPr>
      </w:pPr>
      <w:r>
        <w:rPr>
          <w:noProof/>
        </w:rPr>
        <w:t>Основната цел и съдържание на предвидения акт се отнасят до това да се гарантира прилагането на общата търговска политика на Съюза.</w:t>
      </w:r>
    </w:p>
    <w:p>
      <w:pPr>
        <w:rPr>
          <w:noProof/>
        </w:rPr>
      </w:pPr>
      <w:r>
        <w:rPr>
          <w:noProof/>
        </w:rPr>
        <w:t xml:space="preserve">Поради това материалноправното основание за предложеното решение е член 207, параграф 3 и член 207, параграф 4, първата алинея. </w:t>
      </w:r>
    </w:p>
    <w:p>
      <w:pPr>
        <w:pStyle w:val="ManualHeading2"/>
        <w:rPr>
          <w:noProof/>
        </w:rPr>
      </w:pPr>
      <w:r>
        <w:t>4.3.</w:t>
      </w:r>
      <w:r>
        <w:tab/>
      </w:r>
      <w:r>
        <w:rPr>
          <w:noProof/>
        </w:rPr>
        <w:t>Заключение</w:t>
      </w:r>
    </w:p>
    <w:p>
      <w:pPr>
        <w:rPr>
          <w:noProof/>
        </w:rPr>
      </w:pPr>
      <w:r>
        <w:rPr>
          <w:noProof/>
        </w:rPr>
        <w:t>Правното основание за предложеното решение следва да бъде член 207, параграф 3 и член 207, параграф 4, първа алинея във връзка с член 218, параграф 9 от ДФЕС.</w:t>
      </w:r>
    </w:p>
    <w:p>
      <w:pPr>
        <w:rPr>
          <w:noProof/>
        </w:rPr>
        <w:sectPr>
          <w:footerReference w:type="default" r:id="rId11"/>
          <w:footerReference w:type="first" r:id="rId12"/>
          <w:pgSz w:w="11907" w:h="16839"/>
          <w:pgMar w:top="1134" w:right="1417" w:bottom="1134" w:left="1417" w:header="709" w:footer="709" w:gutter="0"/>
          <w:cols w:space="708"/>
          <w:docGrid w:linePitch="360"/>
        </w:sectPr>
      </w:pPr>
    </w:p>
    <w:p>
      <w:pPr>
        <w:pStyle w:val="Rfrenceinterinstitutionnelle"/>
        <w:rPr>
          <w:noProof/>
        </w:rPr>
      </w:pPr>
      <w:r>
        <w:rPr>
          <w:noProof/>
        </w:rPr>
        <w:lastRenderedPageBreak/>
        <w:t>2020/0270 (NLE)</w:t>
      </w:r>
    </w:p>
    <w:p>
      <w:pPr>
        <w:pStyle w:val="Statut"/>
        <w:rPr>
          <w:noProof/>
        </w:rPr>
      </w:pPr>
      <w:r>
        <w:rPr>
          <w:noProof/>
        </w:rPr>
        <w:t>Предложение за</w:t>
      </w:r>
    </w:p>
    <w:p>
      <w:pPr>
        <w:pStyle w:val="Typedudocument"/>
        <w:rPr>
          <w:noProof/>
        </w:rPr>
      </w:pPr>
      <w:r>
        <w:rPr>
          <w:noProof/>
        </w:rPr>
        <w:t>РЕШЕНИЕ НА СЪВЕТА</w:t>
      </w:r>
    </w:p>
    <w:p>
      <w:pPr>
        <w:pStyle w:val="Titreobjet"/>
        <w:rPr>
          <w:noProof/>
        </w:rPr>
      </w:pPr>
      <w:r>
        <w:rPr>
          <w:noProof/>
        </w:rPr>
        <w:t>относно позицията, която трябва да се заеме от името на Европейския съюз в рамките на Комитета за партньорство, създаден по силата на Споразумението за всеобхватно и засилено партньорство между Европейския съюз и Европейската общност за атомна енергия и техните държави членки, от една страна, и Република Армения, от друга страна, във връзка с изменението на списъка с лицата, които да изпълняват функциите на арбитри при процедури за уреждане на спорове</w:t>
      </w:r>
    </w:p>
    <w:p>
      <w:pPr>
        <w:pStyle w:val="Institutionquiagit"/>
        <w:rPr>
          <w:noProof/>
        </w:rPr>
      </w:pPr>
      <w:r>
        <w:rPr>
          <w:noProof/>
        </w:rPr>
        <w:t>СЪВЕТЪТ НА ЕВРОПЕЙСКИЯ СЪЮЗ,</w:t>
      </w:r>
    </w:p>
    <w:p>
      <w:pPr>
        <w:rPr>
          <w:noProof/>
        </w:rPr>
      </w:pPr>
      <w:r>
        <w:rPr>
          <w:noProof/>
        </w:rPr>
        <w:t>като взе предвид Договора за функционирането на Европейския съюз, и по-специално член 207, параграф 4, първа алинея във връзка с член 218, параграф 9 от него,</w:t>
      </w:r>
    </w:p>
    <w:p>
      <w:pPr>
        <w:rPr>
          <w:noProof/>
        </w:rPr>
      </w:pPr>
      <w:r>
        <w:rPr>
          <w:noProof/>
        </w:rPr>
        <w:t xml:space="preserve">като взе предвид предложението на Европейската комисия, </w:t>
      </w:r>
    </w:p>
    <w:p>
      <w:pPr>
        <w:rPr>
          <w:noProof/>
        </w:rPr>
      </w:pPr>
      <w:r>
        <w:rPr>
          <w:noProof/>
        </w:rPr>
        <w:t>като има предвид, че:</w:t>
      </w:r>
    </w:p>
    <w:p>
      <w:pPr>
        <w:pStyle w:val="ManualConsidrant"/>
        <w:rPr>
          <w:noProof/>
        </w:rPr>
      </w:pPr>
      <w:r>
        <w:t>(1)</w:t>
      </w:r>
      <w:r>
        <w:tab/>
      </w:r>
      <w:r>
        <w:rPr>
          <w:noProof/>
        </w:rPr>
        <w:t>Споразумението за всеобхватно и засилено партньорство между Европейския съюз и Европейската общност за атомна енергия и техните държави членки, от една страна, и Република Армения, от друга страна</w:t>
      </w:r>
      <w:r>
        <w:rPr>
          <w:rStyle w:val="FootnoteReference"/>
          <w:noProof/>
        </w:rPr>
        <w:footnoteReference w:id="1"/>
      </w:r>
      <w:r>
        <w:rPr>
          <w:noProof/>
        </w:rPr>
        <w:t xml:space="preserve"> (наричано по-нататък „споразумението“) бе подписано от името на Съюза в съответствие с Решение (ЕС) 2018/104 на Съвета</w:t>
      </w:r>
      <w:r>
        <w:rPr>
          <w:rStyle w:val="FootnoteReference"/>
          <w:noProof/>
        </w:rPr>
        <w:footnoteReference w:id="2"/>
      </w:r>
      <w:r>
        <w:rPr>
          <w:noProof/>
        </w:rPr>
        <w:t xml:space="preserve"> и се прилага временно от 1 юни 2018 г. </w:t>
      </w:r>
    </w:p>
    <w:p>
      <w:pPr>
        <w:pStyle w:val="ManualConsidrant"/>
        <w:rPr>
          <w:noProof/>
        </w:rPr>
      </w:pPr>
      <w:r>
        <w:t>(2)</w:t>
      </w:r>
      <w:r>
        <w:tab/>
      </w:r>
      <w:r>
        <w:rPr>
          <w:noProof/>
        </w:rPr>
        <w:t>В съответствие с член 339, параграф 1 от споразумението на заседанието си на 17 октомври 2019 г. Комитетът за партньорство състави списък с 15 лица, които желаят и могат да изпълняват функциите на арбитри (наричан по-нататък „списъкът с арбитри“).</w:t>
      </w:r>
    </w:p>
    <w:p>
      <w:pPr>
        <w:pStyle w:val="ManualConsidrant"/>
        <w:rPr>
          <w:noProof/>
        </w:rPr>
      </w:pPr>
      <w:r>
        <w:t>(3)</w:t>
      </w:r>
      <w:r>
        <w:tab/>
      </w:r>
      <w:r>
        <w:rPr>
          <w:noProof/>
        </w:rPr>
        <w:t>Армения уведоми Съюза, че един от арбитрите, които бе предложила, вече не отговаря на условията по член 339, параграф 2 от споразумението, поради което следва да бъде заменен.</w:t>
      </w:r>
    </w:p>
    <w:p>
      <w:pPr>
        <w:pStyle w:val="ManualConsidrant"/>
        <w:rPr>
          <w:noProof/>
        </w:rPr>
      </w:pPr>
      <w:r>
        <w:t>(4)</w:t>
      </w:r>
      <w:r>
        <w:tab/>
      </w:r>
      <w:r>
        <w:rPr>
          <w:noProof/>
        </w:rPr>
        <w:t xml:space="preserve">За да осигури действието на временно прилаганите разпоредби на споразумението, Комитетът за партньорство следва да приеме решение за изменение на списъка с арбитрите. </w:t>
      </w:r>
    </w:p>
    <w:p>
      <w:pPr>
        <w:pStyle w:val="ManualConsidrant"/>
        <w:rPr>
          <w:noProof/>
        </w:rPr>
      </w:pPr>
      <w:r>
        <w:t>(5)</w:t>
      </w:r>
      <w:r>
        <w:tab/>
      </w:r>
      <w:r>
        <w:rPr>
          <w:noProof/>
        </w:rPr>
        <w:t>Целесъобразно е да се установи позицията, която трябва да се заеме от името на Съюза в рамките на Комитета за партньорство, тъй като проекторешението ще бъде обвързващо за Съюза,</w:t>
      </w:r>
    </w:p>
    <w:p>
      <w:pPr>
        <w:pStyle w:val="Formuledadoption"/>
        <w:rPr>
          <w:noProof/>
        </w:rPr>
      </w:pPr>
      <w:r>
        <w:rPr>
          <w:noProof/>
        </w:rPr>
        <w:lastRenderedPageBreak/>
        <w:t>ПРИЕ НАСТОЯЩОТО РЕШЕНИЕ:</w:t>
      </w:r>
    </w:p>
    <w:p>
      <w:pPr>
        <w:pStyle w:val="Titrearticle"/>
        <w:rPr>
          <w:noProof/>
        </w:rPr>
      </w:pPr>
      <w:r>
        <w:rPr>
          <w:noProof/>
        </w:rPr>
        <w:t>Член 1</w:t>
      </w:r>
    </w:p>
    <w:p>
      <w:pPr>
        <w:rPr>
          <w:i/>
          <w:noProof/>
        </w:rPr>
      </w:pPr>
      <w:r>
        <w:rPr>
          <w:noProof/>
        </w:rPr>
        <w:t>Позицията, която трябва да се заеме от името на Съюза в рамките на Комитета за партньорство, създаден по силата на Споразумението за всеобхватно и засилено партньорство между Европейския съюз и Европейската общност за атомна енергия и техните държави членки, от една страна, и Република Армения, от друга страна, във връзка с изменението на списъка на лицата, които желаят и могат да изпълняват функцията на арбитри, в съответствие с член 339, параграфи 1 и 2 от споразумението, се основава на проекторешението на Комитета за партньорство, приложено към настоящото решение.</w:t>
      </w:r>
    </w:p>
    <w:p>
      <w:pPr>
        <w:pStyle w:val="Titrearticle"/>
        <w:rPr>
          <w:noProof/>
        </w:rPr>
      </w:pPr>
      <w:r>
        <w:rPr>
          <w:noProof/>
        </w:rPr>
        <w:t>Член 2</w:t>
      </w:r>
    </w:p>
    <w:p>
      <w:pPr>
        <w:rPr>
          <w:noProof/>
        </w:rPr>
      </w:pPr>
      <w:r>
        <w:rPr>
          <w:noProof/>
        </w:rPr>
        <w:t xml:space="preserve">Адресат на настоящото решение е Комисията. </w:t>
      </w:r>
    </w:p>
    <w:p>
      <w:pPr>
        <w:pStyle w:val="Fait"/>
        <w:rPr>
          <w:noProof/>
        </w:rPr>
      </w:pPr>
      <w:r>
        <w:t xml:space="preserve">Съставено в Брюксел на </w:t>
      </w:r>
      <w:r>
        <w:rPr>
          <w:rStyle w:val="Marker"/>
        </w:rPr>
        <w:t>[…]</w:t>
      </w:r>
      <w:r>
        <w:t xml:space="preserve"> година.</w:t>
      </w:r>
    </w:p>
    <w:p>
      <w:pPr>
        <w:pStyle w:val="Institutionquisigne"/>
        <w:rPr>
          <w:noProof/>
        </w:rPr>
      </w:pPr>
      <w:r>
        <w:rPr>
          <w:noProof/>
        </w:rPr>
        <w:tab/>
        <w:t>За Съвета</w:t>
      </w:r>
    </w:p>
    <w:p>
      <w:pPr>
        <w:pStyle w:val="Personnequisigne"/>
        <w:rPr>
          <w:noProof/>
        </w:rPr>
      </w:pPr>
      <w:r>
        <w:rPr>
          <w:noProof/>
        </w:rPr>
        <w:tab/>
        <w:t>Председател</w:t>
      </w:r>
    </w:p>
    <w:sectPr>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BG</w:t>
    </w:r>
    <w:r>
      <w:rPr>
        <w:rFonts w:ascii="Arial" w:hAnsi="Arial" w:cs="Arial"/>
        <w:b/>
        <w:sz w:val="48"/>
      </w:rPr>
      <w:tab/>
    </w:r>
    <w:r>
      <w:rPr>
        <w:rFonts w:ascii="Arial" w:hAnsi="Arial" w:cs="Arial"/>
        <w:b/>
        <w:sz w:val="48"/>
      </w:rPr>
      <w:tab/>
    </w:r>
    <w:r>
      <w:tab/>
    </w:r>
    <w:r>
      <w:rPr>
        <w:rFonts w:ascii="Arial" w:hAnsi="Arial" w:cs="Arial"/>
        <w:b/>
        <w:sz w:val="48"/>
      </w:rPr>
      <w:t>BG</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BG</w:t>
    </w:r>
    <w:r>
      <w:rPr>
        <w:rFonts w:ascii="Arial" w:hAnsi="Arial" w:cs="Arial"/>
        <w:b/>
        <w:sz w:val="48"/>
      </w:rPr>
      <w:tab/>
    </w:r>
    <w:r>
      <w:fldChar w:fldCharType="begin"/>
    </w:r>
    <w:r>
      <w:instrText xml:space="preserve"> PAGE  \* MERGEFORMAT </w:instrText>
    </w:r>
    <w:r>
      <w:fldChar w:fldCharType="separate"/>
    </w:r>
    <w:r>
      <w:rPr>
        <w:noProof/>
      </w:rPr>
      <w:t>5</w:t>
    </w:r>
    <w:r>
      <w:fldChar w:fldCharType="end"/>
    </w:r>
    <w:r>
      <w:tab/>
    </w:r>
    <w:r>
      <w:tab/>
    </w:r>
    <w:r>
      <w:rPr>
        <w:rFonts w:ascii="Arial" w:hAnsi="Arial" w:cs="Arial"/>
        <w:b/>
        <w:sz w:val="48"/>
      </w:rPr>
      <w:t>BG</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id="1">
    <w:p>
      <w:pPr>
        <w:pStyle w:val="FootnoteText"/>
      </w:pPr>
      <w:r>
        <w:rPr>
          <w:rStyle w:val="FootnoteReference"/>
        </w:rPr>
        <w:footnoteRef/>
      </w:r>
      <w:r>
        <w:tab/>
        <w:t>ОВ L 23, 26.1.2018 г., стр. 4.</w:t>
      </w:r>
    </w:p>
  </w:footnote>
  <w:footnote w:id="2">
    <w:p>
      <w:pPr>
        <w:pStyle w:val="FootnoteText"/>
      </w:pPr>
      <w:r>
        <w:rPr>
          <w:rStyle w:val="FootnoteReference"/>
        </w:rPr>
        <w:footnoteRef/>
      </w:r>
      <w:r>
        <w:tab/>
        <w:t>Решение (ЕС) 2018/104 на Съвета от 20 ноември 2017 г. за подписване, от името на Съюза, и временно прилагане на Споразумението за всеобхватно и засилено партньорство между Европейския съюз и Европейската общност за атомна енергия и техните държави членки, от една страна, и Република Армения, от друга страна (OB L 23, 26.1.2018 г., стр. 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34A4EE4"/>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BBFEB74C"/>
    <w:lvl w:ilvl="0">
      <w:start w:val="1"/>
      <w:numFmt w:val="decimal"/>
      <w:pStyle w:val="ListNumber3"/>
      <w:lvlText w:val="%1."/>
      <w:lvlJc w:val="left"/>
      <w:pPr>
        <w:tabs>
          <w:tab w:val="num" w:pos="926"/>
        </w:tabs>
        <w:ind w:left="926" w:hanging="360"/>
      </w:pPr>
    </w:lvl>
  </w:abstractNum>
  <w:abstractNum w:abstractNumId="2">
    <w:nsid w:val="FFFFFF7F"/>
    <w:multiLevelType w:val="singleLevel"/>
    <w:tmpl w:val="289677CA"/>
    <w:lvl w:ilvl="0">
      <w:start w:val="1"/>
      <w:numFmt w:val="decimal"/>
      <w:pStyle w:val="ListNumber2"/>
      <w:lvlText w:val="%1."/>
      <w:lvlJc w:val="left"/>
      <w:pPr>
        <w:tabs>
          <w:tab w:val="num" w:pos="643"/>
        </w:tabs>
        <w:ind w:left="643" w:hanging="360"/>
      </w:pPr>
    </w:lvl>
  </w:abstractNum>
  <w:abstractNum w:abstractNumId="3">
    <w:nsid w:val="FFFFFF81"/>
    <w:multiLevelType w:val="singleLevel"/>
    <w:tmpl w:val="3BB88736"/>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2AC408AE"/>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9154CA8A"/>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5F1401F2"/>
    <w:lvl w:ilvl="0">
      <w:start w:val="1"/>
      <w:numFmt w:val="decimal"/>
      <w:pStyle w:val="ListNumber"/>
      <w:lvlText w:val="%1."/>
      <w:lvlJc w:val="left"/>
      <w:pPr>
        <w:tabs>
          <w:tab w:val="num" w:pos="360"/>
        </w:tabs>
        <w:ind w:left="360" w:hanging="360"/>
      </w:pPr>
    </w:lvl>
  </w:abstractNum>
  <w:abstractNum w:abstractNumId="7">
    <w:nsid w:val="FFFFFF89"/>
    <w:multiLevelType w:val="singleLevel"/>
    <w:tmpl w:val="8730E0CC"/>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5">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6">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7">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1">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21"/>
    <w:lvlOverride w:ilvl="0">
      <w:startOverride w:val="1"/>
    </w:lvlOverride>
  </w:num>
  <w:num w:numId="2">
    <w:abstractNumId w:val="7"/>
  </w:num>
  <w:num w:numId="3">
    <w:abstractNumId w:val="5"/>
  </w:num>
  <w:num w:numId="4">
    <w:abstractNumId w:val="4"/>
  </w:num>
  <w:num w:numId="5">
    <w:abstractNumId w:val="3"/>
  </w:num>
  <w:num w:numId="6">
    <w:abstractNumId w:val="6"/>
  </w:num>
  <w:num w:numId="7">
    <w:abstractNumId w:val="2"/>
  </w:num>
  <w:num w:numId="8">
    <w:abstractNumId w:val="1"/>
  </w:num>
  <w:num w:numId="9">
    <w:abstractNumId w:val="0"/>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12"/>
  </w:num>
  <w:num w:numId="13">
    <w:abstractNumId w:val="20"/>
  </w:num>
  <w:num w:numId="14">
    <w:abstractNumId w:val="11"/>
  </w:num>
  <w:num w:numId="15">
    <w:abstractNumId w:val="13"/>
  </w:num>
  <w:num w:numId="16">
    <w:abstractNumId w:val="9"/>
  </w:num>
  <w:num w:numId="17">
    <w:abstractNumId w:val="19"/>
  </w:num>
  <w:num w:numId="18">
    <w:abstractNumId w:val="8"/>
  </w:num>
  <w:num w:numId="19">
    <w:abstractNumId w:val="14"/>
  </w:num>
  <w:num w:numId="20">
    <w:abstractNumId w:val="16"/>
  </w:num>
  <w:num w:numId="21">
    <w:abstractNumId w:val="17"/>
  </w:num>
  <w:num w:numId="22">
    <w:abstractNumId w:val="10"/>
  </w:num>
  <w:num w:numId="23">
    <w:abstractNumId w:val="15"/>
  </w:num>
  <w:num w:numId="24">
    <w:abstractNumId w:val="2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attachedTemplate r:id="rId1"/>
  <w:revisionView w:markup="0"/>
  <w:defaultTabStop w:val="720"/>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0-09-17 09:11:04"/>
    <w:docVar w:name="DQCResult_Distribution" w:val="0;1"/>
    <w:docVar w:name="DQCResult_DocumentContent" w:val="0;0"/>
    <w:docVar w:name="DQCResult_DocumentSize" w:val="0;0"/>
    <w:docVar w:name="DQCResult_DocumentVersions" w:val="0;0"/>
    <w:docVar w:name="DQCResult_InvalidFootnotes" w:val="0;0"/>
    <w:docVar w:name="DQCResult_LinkedStyles" w:val="0;0"/>
    <w:docVar w:name="DQCResult_ModifiedMargins" w:val="0;0"/>
    <w:docVar w:name="DQCResult_ModifiedMarkers" w:val="0;0"/>
    <w:docVar w:name="DQCResult_ModifiedNumbering" w:val="0;0"/>
    <w:docVar w:name="DQCResult_Objects" w:val="0;0"/>
    <w:docVar w:name="DQCResult_Sections" w:val="0;0"/>
    <w:docVar w:name="DQCResult_StructureCheck" w:val="0;0"/>
    <w:docVar w:name="DQCResult_SuperfluousWhitespace" w:val="0;0"/>
    <w:docVar w:name="DQCResult_UnknownFonts" w:val="0;0"/>
    <w:docVar w:name="DQCResult_UnknownStyles" w:val="0;0"/>
    <w:docVar w:name="DQCStatus" w:val="Green"/>
    <w:docVar w:name="DQCVersion" w:val="3"/>
    <w:docVar w:name="DQCWithWarnings" w:val="0"/>
    <w:docVar w:name="LW_CORRIGENDUM" w:val="&lt;UNUSED&gt;"/>
    <w:docVar w:name="LW_COVERPAGE_EXISTS" w:val="True"/>
    <w:docVar w:name="LW_COVERPAGE_GUID" w:val="D5D42E75-2069-489A-AC35-C4869317077D"/>
    <w:docVar w:name="LW_COVERPAGE_TYPE" w:val="1"/>
    <w:docVar w:name="LW_CROSSREFERENCE" w:val="&lt;UNUSED&gt;"/>
    <w:docVar w:name="LW_DocType" w:val="COM"/>
    <w:docVar w:name="LW_EMISSION" w:val="24.9.2020"/>
    <w:docVar w:name="LW_EMISSION_ISODATE" w:val="2020-09-24"/>
    <w:docVar w:name="LW_EMISSION_LOCATION" w:val="BRX"/>
    <w:docVar w:name="LW_EMISSION_PREFIX" w:val="Брюксел, "/>
    <w:docVar w:name="LW_EMISSION_SUFFIX" w:val=" \u1075?."/>
    <w:docVar w:name="LW_ID_DOCMODEL" w:val="SJ-043"/>
    <w:docVar w:name="LW_ID_DOCSIGNATURE" w:val="SJ-019"/>
    <w:docVar w:name="LW_ID_DOCSTRUCTURE" w:val="COM/PL/ORG"/>
    <w:docVar w:name="LW_ID_DOCTYPE" w:val="SJ-043"/>
    <w:docVar w:name="LW_ID_EXP.MOTIFS.NEW" w:val="EM_PL2_"/>
    <w:docVar w:name="LW_ID_STATUT" w:val="SJ-019"/>
    <w:docVar w:name="LW_INTERETEEE.CP" w:val="&lt;UNUSED&gt;"/>
    <w:docVar w:name="LW_LANGUE" w:val="BG"/>
    <w:docVar w:name="LW_LEVEL_OF_SENSITIVITY" w:val="Standard treatment"/>
    <w:docVar w:name="LW_NOM.INST" w:val="\u1045?\u1042?\u1056?\u1054?\u1055?\u1045?\u1049?\u1057?\u1050?\u1040? \u1050?\u1054?\u1052?\u1048?\u1057?\u1048?\u1071?"/>
    <w:docVar w:name="LW_NOM.INST_JOINTDOC" w:val="&lt;EMPTY&gt;"/>
    <w:docVar w:name="LW_PART_NBR" w:val="1"/>
    <w:docVar w:name="LW_PART_NBR_TOTAL" w:val="1"/>
    <w:docVar w:name="LW_REF.II.NEW.CP" w:val="NLE"/>
    <w:docVar w:name="LW_REF.II.NEW.CP_NUMBER" w:val="0270"/>
    <w:docVar w:name="LW_REF.II.NEW.CP_YEAR" w:val="2020"/>
    <w:docVar w:name="LW_REF.INST.NEW" w:val="COM"/>
    <w:docVar w:name="LW_REF.INST.NEW_ADOPTED" w:val="final"/>
    <w:docVar w:name="LW_REF.INST.NEW_TEXT" w:val="(2020) 584"/>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u1055?\u1088?\u1077?\u1076?\u1083?\u1086?\u1078?\u1077?\u1085?\u1080?\u1077? \u1079?\u1072?"/>
    <w:docVar w:name="LW_SUPERTITRE" w:val="&lt;UNUSED&gt;"/>
    <w:docVar w:name="LW_TITRE.OBJ.CP" w:val="\u1086?\u1090?\u1085?\u1086?\u1089?\u1085?\u1086? \u1087?\u1086?\u1079?\u1080?\u1094?\u1080?\u1103?\u1090?\u1072?, \u1082?\u1086?\u1103?\u1090?\u1086? \u1090?\u1088?\u1103?\u1073?\u1074?\u1072? \u1076?\u1072? \u1089?\u1077? \u1079?\u1072?\u1077?\u1084?\u1077? \u1086?\u1090? \u1080?\u1084?\u1077?\u1090?\u1086? \u1085?\u1072? \u1045?\u1074?\u1088?\u1086?\u1087?\u1077?\u1081?\u1089?\u1082?\u1080?\u1103? \u1089?\u1098?\u1102?\u1079? \u1074? \u1088?\u1072?\u1084?\u1082?\u1080?\u1090?\u1077? \u1085?\u1072? \u1050?\u1086?\u1084?\u1080?\u1090?\u1077?\u1090?\u1072? \u1079?\u1072? \u1087?\u1072?\u1088?\u1090?\u1085?\u1100?\u1086?\u1088?\u1089?\u1090?\u1074?\u1086?, \u1089?\u1098?\u1079?\u1076?\u1072?\u1076?\u1077?\u1085? \u1087?\u1086? \u1089?\u1080?\u1083?\u1072?\u1090?\u1072? \u1085?\u1072? \u1057?\u1087?\u1086?\u1088?\u1072?\u1079?\u1091?\u1084?\u1077?\u1085?\u1080?\u1077?\u1090?\u1086? \u1079?\u1072? \u1074?\u1089?\u1077?\u1086?\u1073?\u1093?\u1074?\u1072?\u1090?\u1085?\u1086? \u1080? \u1079?\u1072?\u1089?\u1080?\u1083?\u1077?\u1085?\u1086? \u1087?\u1072?\u1088?\u1090?\u1085?\u1100?\u1086?\u1088?\u1089?\u1090?\u1074?\u1086? \u1084?\u1077?\u1078?\u1076?\u1091? \u1045?\u1074?\u1088?\u1086?\u1087?\u1077?\u1081?\u1089?\u1082?\u1080?\u1103? \u1089?\u1098?\u1102?\u1079? \u1080? \u1045?\u1074?\u1088?\u1086?\u1087?\u1077?\u1081?\u1089?\u1082?\u1072?\u1090?\u1072? \u1086?\u1073?\u1097?\u1085?\u1086?\u1089?\u1090? \u1079?\u1072? \u1072?\u1090?\u1086?\u1084?\u1085?\u1072? \u1077?\u1085?\u1077?\u1088?\u1075?\u1080?\u1103? \u1080? \u1090?\u1077?\u1093?\u1085?\u1080?\u1090?\u1077? \u1076?\u1098?\u1088?\u1078?\u1072?\u1074?\u1080? \u1095?\u1083?\u1077?\u1085?\u1082?\u1080?, \u1086?\u1090? \u1077?\u1076?\u1085?\u1072? \u1089?\u1090?\u1088?\u1072?\u1085?\u1072?, \u1080? \u1056?\u1077?\u1087?\u1091?\u1073?\u1083?\u1080?\u1082?\u1072? \u1040?\u1088?\u1084?\u1077?\u1085?\u1080?\u1103?, \u1086?\u1090? \u1076?\u1088?\u1091?\u1075?\u1072? \u1089?\u1090?\u1088?\u1072?\u1085?\u1072?, \u1074?\u1098?\u1074? \u1074?\u1088?\u1098?\u1079?\u1082?\u1072? \u1089? \u1080?\u1079?\u1084?\u1077?\u1085?\u1077?\u1085?\u1080?\u1077?\u1090?\u1086? \u1085?\u1072? \u1089?\u1087?\u1080?\u1089?\u1098?\u1082?\u1072? \u1089? \u1083?\u1080?\u1094?\u1072?\u1090?\u1072?, \u1082?\u1086?\u1080?\u1090?\u1086? \u1076?\u1072? \u1080?\u1079?\u1087?\u1098?\u1083?\u1085?\u1103?\u1074?\u1072?\u1090? \u1092?\u1091?\u1085?\u1082?\u1094?\u1080?\u1080?\u1090?\u1077? \u1085?\u1072? \u1072?\u1088?\u1073?\u1080?\u1090?\u1088?\u1080? \u1087?\u1088?\u1080? \u1087?\u1088?\u1086?\u1094?\u1077?\u1076?\u1091?\u1088?\u1080? \u1079?\u1072? \u1091?\u1088?\u1077?\u1078?\u1076?\u1072?\u1085?\u1077? \u1085?\u1072? \u1089?\u1087?\u1086?\u1088?\u1086?\u1074?\u1077?"/>
    <w:docVar w:name="LW_TYPE.DOC.CP" w:val="\u1056?\u1045?\u1064?\u1045?\u1053?\u1048?\u1045? \u1053?\u1040? \u1057?\u1066?\u1042?\u1045?\u1058?\u1040?"/>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bg-BG"/>
    </w:rPr>
  </w:style>
  <w:style w:type="paragraph" w:styleId="Heading1">
    <w:name w:val="heading 1"/>
    <w:basedOn w:val="Normal"/>
    <w:next w:val="Text1"/>
    <w:link w:val="Heading1Char"/>
    <w:uiPriority w:val="9"/>
    <w:qFormat/>
    <w:pPr>
      <w:keepNext/>
      <w:numPr>
        <w:numId w:val="17"/>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7"/>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7"/>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7"/>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Bullet">
    <w:name w:val="List Bullet"/>
    <w:basedOn w:val="Normal"/>
    <w:uiPriority w:val="99"/>
    <w:semiHidden/>
    <w:unhideWhenUsed/>
    <w:pPr>
      <w:numPr>
        <w:numId w:val="2"/>
      </w:numPr>
      <w:contextualSpacing/>
    </w:pPr>
  </w:style>
  <w:style w:type="paragraph" w:styleId="ListBullet2">
    <w:name w:val="List Bullet 2"/>
    <w:basedOn w:val="Normal"/>
    <w:uiPriority w:val="99"/>
    <w:semiHidden/>
    <w:unhideWhenUsed/>
    <w:pPr>
      <w:numPr>
        <w:numId w:val="3"/>
      </w:numPr>
      <w:contextualSpacing/>
    </w:pPr>
  </w:style>
  <w:style w:type="paragraph" w:styleId="ListBullet3">
    <w:name w:val="List Bullet 3"/>
    <w:basedOn w:val="Normal"/>
    <w:uiPriority w:val="99"/>
    <w:semiHidden/>
    <w:unhideWhenUsed/>
    <w:pPr>
      <w:numPr>
        <w:numId w:val="4"/>
      </w:numPr>
      <w:contextualSpacing/>
    </w:pPr>
  </w:style>
  <w:style w:type="paragraph" w:styleId="ListBullet4">
    <w:name w:val="List Bullet 4"/>
    <w:basedOn w:val="Normal"/>
    <w:uiPriority w:val="99"/>
    <w:semiHidden/>
    <w:unhideWhenUsed/>
    <w:pPr>
      <w:numPr>
        <w:numId w:val="5"/>
      </w:numPr>
      <w:contextualSpacing/>
    </w:pPr>
  </w:style>
  <w:style w:type="paragraph" w:styleId="ListNumber">
    <w:name w:val="List Number"/>
    <w:basedOn w:val="Normal"/>
    <w:uiPriority w:val="99"/>
    <w:semiHidden/>
    <w:unhideWhenUsed/>
    <w:pPr>
      <w:numPr>
        <w:numId w:val="6"/>
      </w:numPr>
      <w:contextualSpacing/>
    </w:pPr>
  </w:style>
  <w:style w:type="paragraph" w:styleId="ListNumber2">
    <w:name w:val="List Number 2"/>
    <w:basedOn w:val="Normal"/>
    <w:uiPriority w:val="99"/>
    <w:semiHidden/>
    <w:unhideWhenUsed/>
    <w:pPr>
      <w:numPr>
        <w:numId w:val="7"/>
      </w:numPr>
      <w:contextualSpacing/>
    </w:pPr>
  </w:style>
  <w:style w:type="paragraph" w:styleId="ListNumber3">
    <w:name w:val="List Number 3"/>
    <w:basedOn w:val="Normal"/>
    <w:uiPriority w:val="99"/>
    <w:semiHidden/>
    <w:unhideWhenUsed/>
    <w:pPr>
      <w:numPr>
        <w:numId w:val="8"/>
      </w:numPr>
      <w:contextualSpacing/>
    </w:pPr>
  </w:style>
  <w:style w:type="paragraph" w:styleId="ListNumber4">
    <w:name w:val="List Number 4"/>
    <w:basedOn w:val="Normal"/>
    <w:uiPriority w:val="99"/>
    <w:semiHidden/>
    <w:unhideWhenUsed/>
    <w:pPr>
      <w:numPr>
        <w:numId w:val="9"/>
      </w:numPr>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bg-BG"/>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bg-BG"/>
    </w:rPr>
  </w:style>
  <w:style w:type="character" w:styleId="Hyperlink">
    <w:name w:val="Hyperlink"/>
    <w:basedOn w:val="DefaultParagraphFont"/>
    <w:uiPriority w:val="99"/>
    <w:unhideWhenUsed/>
    <w:rPr>
      <w:color w:val="0000FF" w:themeColor="hyperlink"/>
      <w:u w:val="single"/>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bg-BG"/>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bg-BG"/>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bg-BG"/>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pPr>
      <w:spacing w:before="0"/>
      <w:jc w:val="right"/>
    </w:pPr>
    <w:rPr>
      <w:sz w:val="28"/>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11"/>
      </w:numPr>
    </w:pPr>
  </w:style>
  <w:style w:type="paragraph" w:customStyle="1" w:styleId="Tiret1">
    <w:name w:val="Tiret 1"/>
    <w:basedOn w:val="Point1"/>
    <w:pPr>
      <w:numPr>
        <w:numId w:val="12"/>
      </w:numPr>
    </w:pPr>
  </w:style>
  <w:style w:type="paragraph" w:customStyle="1" w:styleId="Tiret2">
    <w:name w:val="Tiret 2"/>
    <w:basedOn w:val="Point2"/>
    <w:pPr>
      <w:numPr>
        <w:numId w:val="13"/>
      </w:numPr>
    </w:pPr>
  </w:style>
  <w:style w:type="paragraph" w:customStyle="1" w:styleId="Tiret3">
    <w:name w:val="Tiret 3"/>
    <w:basedOn w:val="Point3"/>
    <w:pPr>
      <w:numPr>
        <w:numId w:val="14"/>
      </w:numPr>
    </w:pPr>
  </w:style>
  <w:style w:type="paragraph" w:customStyle="1" w:styleId="Tiret4">
    <w:name w:val="Tiret 4"/>
    <w:basedOn w:val="Point4"/>
    <w:pPr>
      <w:numPr>
        <w:numId w:val="15"/>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6"/>
      </w:numPr>
    </w:pPr>
  </w:style>
  <w:style w:type="paragraph" w:customStyle="1" w:styleId="NumPar2">
    <w:name w:val="NumPar 2"/>
    <w:basedOn w:val="Normal"/>
    <w:next w:val="Text1"/>
    <w:pPr>
      <w:numPr>
        <w:ilvl w:val="1"/>
        <w:numId w:val="16"/>
      </w:numPr>
    </w:pPr>
  </w:style>
  <w:style w:type="paragraph" w:customStyle="1" w:styleId="NumPar3">
    <w:name w:val="NumPar 3"/>
    <w:basedOn w:val="Normal"/>
    <w:next w:val="Text1"/>
    <w:pPr>
      <w:numPr>
        <w:ilvl w:val="2"/>
        <w:numId w:val="16"/>
      </w:numPr>
    </w:pPr>
  </w:style>
  <w:style w:type="paragraph" w:customStyle="1" w:styleId="NumPar4">
    <w:name w:val="NumPar 4"/>
    <w:basedOn w:val="Normal"/>
    <w:next w:val="Text1"/>
    <w:pPr>
      <w:numPr>
        <w:ilvl w:val="3"/>
        <w:numId w:val="16"/>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8"/>
      </w:numPr>
    </w:pPr>
  </w:style>
  <w:style w:type="paragraph" w:customStyle="1" w:styleId="Point1number">
    <w:name w:val="Point 1 (number)"/>
    <w:basedOn w:val="Normal"/>
    <w:pPr>
      <w:numPr>
        <w:ilvl w:val="2"/>
        <w:numId w:val="18"/>
      </w:numPr>
    </w:pPr>
  </w:style>
  <w:style w:type="paragraph" w:customStyle="1" w:styleId="Point2number">
    <w:name w:val="Point 2 (number)"/>
    <w:basedOn w:val="Normal"/>
    <w:pPr>
      <w:numPr>
        <w:ilvl w:val="4"/>
        <w:numId w:val="18"/>
      </w:numPr>
    </w:pPr>
  </w:style>
  <w:style w:type="paragraph" w:customStyle="1" w:styleId="Point3number">
    <w:name w:val="Point 3 (number)"/>
    <w:basedOn w:val="Normal"/>
    <w:pPr>
      <w:numPr>
        <w:ilvl w:val="6"/>
        <w:numId w:val="18"/>
      </w:numPr>
    </w:pPr>
  </w:style>
  <w:style w:type="paragraph" w:customStyle="1" w:styleId="Point0letter">
    <w:name w:val="Point 0 (letter)"/>
    <w:basedOn w:val="Normal"/>
    <w:pPr>
      <w:numPr>
        <w:ilvl w:val="1"/>
        <w:numId w:val="18"/>
      </w:numPr>
    </w:pPr>
  </w:style>
  <w:style w:type="paragraph" w:customStyle="1" w:styleId="Point1letter">
    <w:name w:val="Point 1 (letter)"/>
    <w:basedOn w:val="Normal"/>
    <w:pPr>
      <w:numPr>
        <w:ilvl w:val="3"/>
        <w:numId w:val="18"/>
      </w:numPr>
    </w:pPr>
  </w:style>
  <w:style w:type="paragraph" w:customStyle="1" w:styleId="Point2letter">
    <w:name w:val="Point 2 (letter)"/>
    <w:basedOn w:val="Normal"/>
    <w:pPr>
      <w:numPr>
        <w:ilvl w:val="5"/>
        <w:numId w:val="18"/>
      </w:numPr>
    </w:pPr>
  </w:style>
  <w:style w:type="paragraph" w:customStyle="1" w:styleId="Point3letter">
    <w:name w:val="Point 3 (letter)"/>
    <w:basedOn w:val="Normal"/>
    <w:pPr>
      <w:numPr>
        <w:ilvl w:val="7"/>
        <w:numId w:val="18"/>
      </w:numPr>
    </w:pPr>
  </w:style>
  <w:style w:type="paragraph" w:customStyle="1" w:styleId="Point4letter">
    <w:name w:val="Point 4 (letter)"/>
    <w:basedOn w:val="Normal"/>
    <w:pPr>
      <w:numPr>
        <w:ilvl w:val="8"/>
        <w:numId w:val="18"/>
      </w:numPr>
    </w:pPr>
  </w:style>
  <w:style w:type="paragraph" w:customStyle="1" w:styleId="Bullet0">
    <w:name w:val="Bullet 0"/>
    <w:basedOn w:val="Normal"/>
    <w:pPr>
      <w:numPr>
        <w:numId w:val="19"/>
      </w:numPr>
    </w:pPr>
  </w:style>
  <w:style w:type="paragraph" w:customStyle="1" w:styleId="Bullet1">
    <w:name w:val="Bullet 1"/>
    <w:basedOn w:val="Normal"/>
    <w:pPr>
      <w:numPr>
        <w:numId w:val="20"/>
      </w:numPr>
    </w:pPr>
  </w:style>
  <w:style w:type="paragraph" w:customStyle="1" w:styleId="Bullet2">
    <w:name w:val="Bullet 2"/>
    <w:basedOn w:val="Normal"/>
    <w:pPr>
      <w:numPr>
        <w:numId w:val="21"/>
      </w:numPr>
    </w:pPr>
  </w:style>
  <w:style w:type="paragraph" w:customStyle="1" w:styleId="Bullet3">
    <w:name w:val="Bullet 3"/>
    <w:basedOn w:val="Normal"/>
    <w:pPr>
      <w:numPr>
        <w:numId w:val="22"/>
      </w:numPr>
    </w:pPr>
  </w:style>
  <w:style w:type="paragraph" w:customStyle="1" w:styleId="Bullet4">
    <w:name w:val="Bullet 4"/>
    <w:basedOn w:val="Normal"/>
    <w:pPr>
      <w:numPr>
        <w:numId w:val="23"/>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4"/>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bg-BG"/>
    </w:rPr>
  </w:style>
  <w:style w:type="paragraph" w:styleId="Heading1">
    <w:name w:val="heading 1"/>
    <w:basedOn w:val="Normal"/>
    <w:next w:val="Text1"/>
    <w:link w:val="Heading1Char"/>
    <w:uiPriority w:val="9"/>
    <w:qFormat/>
    <w:pPr>
      <w:keepNext/>
      <w:numPr>
        <w:numId w:val="17"/>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7"/>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7"/>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7"/>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Bullet">
    <w:name w:val="List Bullet"/>
    <w:basedOn w:val="Normal"/>
    <w:uiPriority w:val="99"/>
    <w:semiHidden/>
    <w:unhideWhenUsed/>
    <w:pPr>
      <w:numPr>
        <w:numId w:val="2"/>
      </w:numPr>
      <w:contextualSpacing/>
    </w:pPr>
  </w:style>
  <w:style w:type="paragraph" w:styleId="ListBullet2">
    <w:name w:val="List Bullet 2"/>
    <w:basedOn w:val="Normal"/>
    <w:uiPriority w:val="99"/>
    <w:semiHidden/>
    <w:unhideWhenUsed/>
    <w:pPr>
      <w:numPr>
        <w:numId w:val="3"/>
      </w:numPr>
      <w:contextualSpacing/>
    </w:pPr>
  </w:style>
  <w:style w:type="paragraph" w:styleId="ListBullet3">
    <w:name w:val="List Bullet 3"/>
    <w:basedOn w:val="Normal"/>
    <w:uiPriority w:val="99"/>
    <w:semiHidden/>
    <w:unhideWhenUsed/>
    <w:pPr>
      <w:numPr>
        <w:numId w:val="4"/>
      </w:numPr>
      <w:contextualSpacing/>
    </w:pPr>
  </w:style>
  <w:style w:type="paragraph" w:styleId="ListBullet4">
    <w:name w:val="List Bullet 4"/>
    <w:basedOn w:val="Normal"/>
    <w:uiPriority w:val="99"/>
    <w:semiHidden/>
    <w:unhideWhenUsed/>
    <w:pPr>
      <w:numPr>
        <w:numId w:val="5"/>
      </w:numPr>
      <w:contextualSpacing/>
    </w:pPr>
  </w:style>
  <w:style w:type="paragraph" w:styleId="ListNumber">
    <w:name w:val="List Number"/>
    <w:basedOn w:val="Normal"/>
    <w:uiPriority w:val="99"/>
    <w:semiHidden/>
    <w:unhideWhenUsed/>
    <w:pPr>
      <w:numPr>
        <w:numId w:val="6"/>
      </w:numPr>
      <w:contextualSpacing/>
    </w:pPr>
  </w:style>
  <w:style w:type="paragraph" w:styleId="ListNumber2">
    <w:name w:val="List Number 2"/>
    <w:basedOn w:val="Normal"/>
    <w:uiPriority w:val="99"/>
    <w:semiHidden/>
    <w:unhideWhenUsed/>
    <w:pPr>
      <w:numPr>
        <w:numId w:val="7"/>
      </w:numPr>
      <w:contextualSpacing/>
    </w:pPr>
  </w:style>
  <w:style w:type="paragraph" w:styleId="ListNumber3">
    <w:name w:val="List Number 3"/>
    <w:basedOn w:val="Normal"/>
    <w:uiPriority w:val="99"/>
    <w:semiHidden/>
    <w:unhideWhenUsed/>
    <w:pPr>
      <w:numPr>
        <w:numId w:val="8"/>
      </w:numPr>
      <w:contextualSpacing/>
    </w:pPr>
  </w:style>
  <w:style w:type="paragraph" w:styleId="ListNumber4">
    <w:name w:val="List Number 4"/>
    <w:basedOn w:val="Normal"/>
    <w:uiPriority w:val="99"/>
    <w:semiHidden/>
    <w:unhideWhenUsed/>
    <w:pPr>
      <w:numPr>
        <w:numId w:val="9"/>
      </w:numPr>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bg-BG"/>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bg-BG"/>
    </w:rPr>
  </w:style>
  <w:style w:type="character" w:styleId="Hyperlink">
    <w:name w:val="Hyperlink"/>
    <w:basedOn w:val="DefaultParagraphFont"/>
    <w:uiPriority w:val="99"/>
    <w:unhideWhenUsed/>
    <w:rPr>
      <w:color w:val="0000FF" w:themeColor="hyperlink"/>
      <w:u w:val="single"/>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bg-BG"/>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bg-BG"/>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bg-BG"/>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pPr>
      <w:spacing w:before="0"/>
      <w:jc w:val="right"/>
    </w:pPr>
    <w:rPr>
      <w:sz w:val="28"/>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11"/>
      </w:numPr>
    </w:pPr>
  </w:style>
  <w:style w:type="paragraph" w:customStyle="1" w:styleId="Tiret1">
    <w:name w:val="Tiret 1"/>
    <w:basedOn w:val="Point1"/>
    <w:pPr>
      <w:numPr>
        <w:numId w:val="12"/>
      </w:numPr>
    </w:pPr>
  </w:style>
  <w:style w:type="paragraph" w:customStyle="1" w:styleId="Tiret2">
    <w:name w:val="Tiret 2"/>
    <w:basedOn w:val="Point2"/>
    <w:pPr>
      <w:numPr>
        <w:numId w:val="13"/>
      </w:numPr>
    </w:pPr>
  </w:style>
  <w:style w:type="paragraph" w:customStyle="1" w:styleId="Tiret3">
    <w:name w:val="Tiret 3"/>
    <w:basedOn w:val="Point3"/>
    <w:pPr>
      <w:numPr>
        <w:numId w:val="14"/>
      </w:numPr>
    </w:pPr>
  </w:style>
  <w:style w:type="paragraph" w:customStyle="1" w:styleId="Tiret4">
    <w:name w:val="Tiret 4"/>
    <w:basedOn w:val="Point4"/>
    <w:pPr>
      <w:numPr>
        <w:numId w:val="15"/>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6"/>
      </w:numPr>
    </w:pPr>
  </w:style>
  <w:style w:type="paragraph" w:customStyle="1" w:styleId="NumPar2">
    <w:name w:val="NumPar 2"/>
    <w:basedOn w:val="Normal"/>
    <w:next w:val="Text1"/>
    <w:pPr>
      <w:numPr>
        <w:ilvl w:val="1"/>
        <w:numId w:val="16"/>
      </w:numPr>
    </w:pPr>
  </w:style>
  <w:style w:type="paragraph" w:customStyle="1" w:styleId="NumPar3">
    <w:name w:val="NumPar 3"/>
    <w:basedOn w:val="Normal"/>
    <w:next w:val="Text1"/>
    <w:pPr>
      <w:numPr>
        <w:ilvl w:val="2"/>
        <w:numId w:val="16"/>
      </w:numPr>
    </w:pPr>
  </w:style>
  <w:style w:type="paragraph" w:customStyle="1" w:styleId="NumPar4">
    <w:name w:val="NumPar 4"/>
    <w:basedOn w:val="Normal"/>
    <w:next w:val="Text1"/>
    <w:pPr>
      <w:numPr>
        <w:ilvl w:val="3"/>
        <w:numId w:val="16"/>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8"/>
      </w:numPr>
    </w:pPr>
  </w:style>
  <w:style w:type="paragraph" w:customStyle="1" w:styleId="Point1number">
    <w:name w:val="Point 1 (number)"/>
    <w:basedOn w:val="Normal"/>
    <w:pPr>
      <w:numPr>
        <w:ilvl w:val="2"/>
        <w:numId w:val="18"/>
      </w:numPr>
    </w:pPr>
  </w:style>
  <w:style w:type="paragraph" w:customStyle="1" w:styleId="Point2number">
    <w:name w:val="Point 2 (number)"/>
    <w:basedOn w:val="Normal"/>
    <w:pPr>
      <w:numPr>
        <w:ilvl w:val="4"/>
        <w:numId w:val="18"/>
      </w:numPr>
    </w:pPr>
  </w:style>
  <w:style w:type="paragraph" w:customStyle="1" w:styleId="Point3number">
    <w:name w:val="Point 3 (number)"/>
    <w:basedOn w:val="Normal"/>
    <w:pPr>
      <w:numPr>
        <w:ilvl w:val="6"/>
        <w:numId w:val="18"/>
      </w:numPr>
    </w:pPr>
  </w:style>
  <w:style w:type="paragraph" w:customStyle="1" w:styleId="Point0letter">
    <w:name w:val="Point 0 (letter)"/>
    <w:basedOn w:val="Normal"/>
    <w:pPr>
      <w:numPr>
        <w:ilvl w:val="1"/>
        <w:numId w:val="18"/>
      </w:numPr>
    </w:pPr>
  </w:style>
  <w:style w:type="paragraph" w:customStyle="1" w:styleId="Point1letter">
    <w:name w:val="Point 1 (letter)"/>
    <w:basedOn w:val="Normal"/>
    <w:pPr>
      <w:numPr>
        <w:ilvl w:val="3"/>
        <w:numId w:val="18"/>
      </w:numPr>
    </w:pPr>
  </w:style>
  <w:style w:type="paragraph" w:customStyle="1" w:styleId="Point2letter">
    <w:name w:val="Point 2 (letter)"/>
    <w:basedOn w:val="Normal"/>
    <w:pPr>
      <w:numPr>
        <w:ilvl w:val="5"/>
        <w:numId w:val="18"/>
      </w:numPr>
    </w:pPr>
  </w:style>
  <w:style w:type="paragraph" w:customStyle="1" w:styleId="Point3letter">
    <w:name w:val="Point 3 (letter)"/>
    <w:basedOn w:val="Normal"/>
    <w:pPr>
      <w:numPr>
        <w:ilvl w:val="7"/>
        <w:numId w:val="18"/>
      </w:numPr>
    </w:pPr>
  </w:style>
  <w:style w:type="paragraph" w:customStyle="1" w:styleId="Point4letter">
    <w:name w:val="Point 4 (letter)"/>
    <w:basedOn w:val="Normal"/>
    <w:pPr>
      <w:numPr>
        <w:ilvl w:val="8"/>
        <w:numId w:val="18"/>
      </w:numPr>
    </w:pPr>
  </w:style>
  <w:style w:type="paragraph" w:customStyle="1" w:styleId="Bullet0">
    <w:name w:val="Bullet 0"/>
    <w:basedOn w:val="Normal"/>
    <w:pPr>
      <w:numPr>
        <w:numId w:val="19"/>
      </w:numPr>
    </w:pPr>
  </w:style>
  <w:style w:type="paragraph" w:customStyle="1" w:styleId="Bullet1">
    <w:name w:val="Bullet 1"/>
    <w:basedOn w:val="Normal"/>
    <w:pPr>
      <w:numPr>
        <w:numId w:val="20"/>
      </w:numPr>
    </w:pPr>
  </w:style>
  <w:style w:type="paragraph" w:customStyle="1" w:styleId="Bullet2">
    <w:name w:val="Bullet 2"/>
    <w:basedOn w:val="Normal"/>
    <w:pPr>
      <w:numPr>
        <w:numId w:val="21"/>
      </w:numPr>
    </w:pPr>
  </w:style>
  <w:style w:type="paragraph" w:customStyle="1" w:styleId="Bullet3">
    <w:name w:val="Bullet 3"/>
    <w:basedOn w:val="Normal"/>
    <w:pPr>
      <w:numPr>
        <w:numId w:val="22"/>
      </w:numPr>
    </w:pPr>
  </w:style>
  <w:style w:type="paragraph" w:customStyle="1" w:styleId="Bullet4">
    <w:name w:val="Bullet 4"/>
    <w:basedOn w:val="Normal"/>
    <w:pPr>
      <w:numPr>
        <w:numId w:val="23"/>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4"/>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E4E01-6316-4566-9C78-870C101B1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0</TotalTime>
  <Pages>6</Pages>
  <Words>1355</Words>
  <Characters>7633</Characters>
  <Application>Microsoft Office Word</Application>
  <DocSecurity>0</DocSecurity>
  <Lines>149</Lines>
  <Paragraphs>61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19</cp:revision>
  <dcterms:created xsi:type="dcterms:W3CDTF">2020-09-01T12:14:00Z</dcterms:created>
  <dcterms:modified xsi:type="dcterms:W3CDTF">2020-09-17T07:11:00Z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7.0.8.0</vt:lpwstr>
  </property>
  <property fmtid="{D5CDD505-2E9C-101B-9397-08002B2CF9AE}" pid="4" name="Last edited using">
    <vt:lpwstr>LW 7.0.1, Build 20190916</vt:lpwstr>
  </property>
  <property fmtid="{D5CDD505-2E9C-101B-9397-08002B2CF9AE}" pid="5" name="Created using">
    <vt:lpwstr>LW 7.0, Build 20190717</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SJ-043</vt:lpwstr>
  </property>
  <property fmtid="{D5CDD505-2E9C-101B-9397-08002B2CF9AE}" pid="10" name="DQCStatus">
    <vt:lpwstr>Green (DQC version 03)</vt:lpwstr>
  </property>
  <property name="OP_sanitized" fmtid="{D5CDD505-2E9C-101B-9397-08002B2CF9AE}" pid="11">
    <vt:lpwstr>True</vt:lpwstr>
  </property>
</Properties>
</file>