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1ACA07C6-3C4D-4F99-8694-B03C4FA17E76" style="width:450.75pt;height:384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BIJLAGE II</w:t>
      </w:r>
    </w:p>
    <w:p>
      <w:pPr>
        <w:jc w:val="center"/>
        <w:rPr>
          <w:b/>
          <w:noProof/>
        </w:rPr>
      </w:pPr>
      <w:r>
        <w:rPr>
          <w:b/>
          <w:noProof/>
        </w:rPr>
        <w:t>MONITORINGINDICATOREN VOOR VERSLAGLEGGING EN HERZIENING</w:t>
      </w:r>
    </w:p>
    <w:p>
      <w:pPr>
        <w:rPr>
          <w:b/>
          <w:noProof/>
          <w:szCs w:val="24"/>
        </w:rPr>
      </w:pPr>
    </w:p>
    <w:p>
      <w:pPr>
        <w:rPr>
          <w:b/>
          <w:noProof/>
        </w:rPr>
      </w:pPr>
      <w:r>
        <w:rPr>
          <w:b/>
          <w:noProof/>
        </w:rPr>
        <w:t xml:space="preserve">1. Toepassingsgebied </w:t>
      </w:r>
    </w:p>
    <w:p>
      <w:pPr>
        <w:rPr>
          <w:noProof/>
        </w:rPr>
      </w:pPr>
      <w:r>
        <w:rPr>
          <w:noProof/>
        </w:rPr>
        <w:t>Overeenkomstig artikel 22 van de verordening en de punten 22 en 23 van het interinstitutioneel akkoord over beter wetgeven van 13 april 2016 is het noodzakelijk deze verordening te evalueren om daadwerkelijk te beoordelen of met de verordening vooruitgang wordt geboekt met het oog op de verwezenlijking van de in overweging 35 en in artikel 1 omschreven doelstellingen.</w:t>
      </w:r>
    </w:p>
    <w:p>
      <w:pPr>
        <w:rPr>
          <w:noProof/>
        </w:rPr>
      </w:pPr>
      <w:r>
        <w:rPr>
          <w:noProof/>
        </w:rPr>
        <w:t xml:space="preserve">Dit zal geschieden op basis van de informatie die verzameld wordt via specifiek monitoringvoorschriften terwijl overregulering en administratieve lasten, met name voor lidstaten, worden vermeden. Deze voorschriften kunnen indien nodig meetbare indicatoren omvatten als basis om de effecten van de verordening in de praktijk te evalueren. </w:t>
      </w:r>
    </w:p>
    <w:p>
      <w:pPr>
        <w:rPr>
          <w:b/>
          <w:noProof/>
        </w:rPr>
      </w:pPr>
      <w:r>
        <w:rPr>
          <w:b/>
          <w:noProof/>
        </w:rPr>
        <w:t>2. Indicatoren</w:t>
      </w:r>
    </w:p>
    <w:p>
      <w:pPr>
        <w:rPr>
          <w:noProof/>
        </w:rPr>
      </w:pPr>
      <w:r>
        <w:rPr>
          <w:noProof/>
        </w:rPr>
        <w:t xml:space="preserve">In het kader van de in artikel 22 bedoelde verslaglegging en herziening kan de Commissie gebruikmaken van de volgende indicatoren voor het evalueren van en het rapporteren over de vooruitgang naar de verwezenlijking van de doelstellingen: </w:t>
      </w:r>
    </w:p>
    <w:p>
      <w:pPr>
        <w:rPr>
          <w:noProof/>
        </w:rPr>
      </w:pPr>
      <w:r>
        <w:rPr>
          <w:noProof/>
        </w:rPr>
        <w:t>a) bbp;</w:t>
      </w:r>
    </w:p>
    <w:p>
      <w:pPr>
        <w:rPr>
          <w:noProof/>
        </w:rPr>
      </w:pPr>
      <w:r>
        <w:rPr>
          <w:noProof/>
        </w:rPr>
        <w:t>b) metingen van de output gap;</w:t>
      </w:r>
    </w:p>
    <w:p>
      <w:pPr>
        <w:rPr>
          <w:noProof/>
        </w:rPr>
      </w:pPr>
      <w:r>
        <w:rPr>
          <w:noProof/>
        </w:rPr>
        <w:t>c) werkgelegenheidscijfer, werkloosheidscijfer, participatiegraad, indicatoren van deeltijdwerk, aantal gewerkte uren;</w:t>
      </w:r>
    </w:p>
    <w:p>
      <w:pPr>
        <w:rPr>
          <w:noProof/>
        </w:rPr>
      </w:pPr>
      <w:r>
        <w:rPr>
          <w:noProof/>
        </w:rPr>
        <w:t>d) bruto-investeringen in vaste activa van de overheid, waaronder sectorgegevens;</w:t>
      </w:r>
    </w:p>
    <w:p>
      <w:pPr>
        <w:rPr>
          <w:noProof/>
        </w:rPr>
      </w:pPr>
      <w:r>
        <w:rPr>
          <w:noProof/>
        </w:rPr>
        <w:t>e) bruto-investeringen in vaste activa gefinancierd door programma's die door de Unie worden gesteund uit hoofde van het Europees Fonds voor regionale ontwikkeling, het Cohesiefonds, het Europees Sociaal Fonds, het Europees Fonds voor maritieme zaken en visserij en het Europees Landbouwfonds voor plattelandsontwikkeling;</w:t>
      </w:r>
    </w:p>
    <w:p>
      <w:pPr>
        <w:rPr>
          <w:noProof/>
        </w:rPr>
      </w:pPr>
      <w:r>
        <w:rPr>
          <w:noProof/>
        </w:rPr>
        <w:t xml:space="preserve">f) overheidsrekeningen, waaronder begrotingssaldo, conjunctuurgezuiverde begrotingssaldo, begrotingskoers, overheidstekort, overheidsschuld, inkomstenpatronen met mee- en tegenvallers, automatische stabilisatoren, rente-uitgaven; </w:t>
      </w:r>
    </w:p>
    <w:p>
      <w:pPr>
        <w:rPr>
          <w:noProof/>
        </w:rPr>
      </w:pPr>
      <w:r>
        <w:rPr>
          <w:noProof/>
        </w:rPr>
        <w:t>g) gegevens over financiële markten, zoals rentevoeten van overheidsobligaties.</w:t>
      </w:r>
    </w:p>
    <w:sectPr>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NL</w:t>
    </w:r>
    <w:r>
      <w:rPr>
        <w:rFonts w:ascii="Arial" w:hAnsi="Arial" w:cs="Arial"/>
        <w:b/>
        <w:sz w:val="48"/>
      </w:rPr>
      <w:tab/>
    </w:r>
    <w:r>
      <w:rPr>
        <w:rFonts w:ascii="Arial" w:hAnsi="Arial" w:cs="Arial"/>
        <w:b/>
        <w:sz w:val="48"/>
      </w:rPr>
      <w:tab/>
    </w:r>
    <w:r>
      <w:tab/>
    </w:r>
    <w:r>
      <w:rPr>
        <w:rFonts w:ascii="Arial" w:hAnsi="Arial" w:cs="Arial"/>
        <w:b/>
        <w:sz w:val="48"/>
      </w:rPr>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NL</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NL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6A7EF9F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287CA11A"/>
    <w:lvl w:ilvl="0">
      <w:start w:val="1"/>
      <w:numFmt w:val="decimal"/>
      <w:pStyle w:val="ListNumber3"/>
      <w:lvlText w:val="%1."/>
      <w:lvlJc w:val="left"/>
      <w:pPr>
        <w:tabs>
          <w:tab w:val="num" w:pos="926"/>
        </w:tabs>
        <w:ind w:left="926" w:hanging="360"/>
      </w:pPr>
    </w:lvl>
  </w:abstractNum>
  <w:abstractNum w:abstractNumId="2">
    <w:nsid w:val="FFFFFF7F"/>
    <w:multiLevelType w:val="singleLevel"/>
    <w:tmpl w:val="C564231A"/>
    <w:lvl w:ilvl="0">
      <w:start w:val="1"/>
      <w:numFmt w:val="decimal"/>
      <w:pStyle w:val="ListNumber2"/>
      <w:lvlText w:val="%1."/>
      <w:lvlJc w:val="left"/>
      <w:pPr>
        <w:tabs>
          <w:tab w:val="num" w:pos="643"/>
        </w:tabs>
        <w:ind w:left="643" w:hanging="360"/>
      </w:pPr>
    </w:lvl>
  </w:abstractNum>
  <w:abstractNum w:abstractNumId="3">
    <w:nsid w:val="FFFFFF81"/>
    <w:multiLevelType w:val="singleLevel"/>
    <w:tmpl w:val="1A80155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699287B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FB66368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05A28AD2"/>
    <w:lvl w:ilvl="0">
      <w:start w:val="1"/>
      <w:numFmt w:val="decimal"/>
      <w:pStyle w:val="ListNumber"/>
      <w:lvlText w:val="%1."/>
      <w:lvlJc w:val="left"/>
      <w:pPr>
        <w:tabs>
          <w:tab w:val="num" w:pos="360"/>
        </w:tabs>
        <w:ind w:left="360" w:hanging="360"/>
      </w:pPr>
    </w:lvl>
  </w:abstractNum>
  <w:abstractNum w:abstractNumId="7">
    <w:nsid w:val="FFFFFF89"/>
    <w:multiLevelType w:val="singleLevel"/>
    <w:tmpl w:val="D552307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 w:numId="23">
    <w:abstractNumId w:val="18"/>
  </w:num>
  <w:num w:numId="24">
    <w:abstractNumId w:val="12"/>
  </w:num>
  <w:num w:numId="25">
    <w:abstractNumId w:val="20"/>
  </w:num>
  <w:num w:numId="26">
    <w:abstractNumId w:val="11"/>
  </w:num>
  <w:num w:numId="27">
    <w:abstractNumId w:val="13"/>
  </w:num>
  <w:num w:numId="28">
    <w:abstractNumId w:val="9"/>
  </w:num>
  <w:num w:numId="29">
    <w:abstractNumId w:val="19"/>
  </w:num>
  <w:num w:numId="30">
    <w:abstractNumId w:val="8"/>
  </w:num>
  <w:num w:numId="31">
    <w:abstractNumId w:val="14"/>
  </w:num>
  <w:num w:numId="32">
    <w:abstractNumId w:val="16"/>
  </w:num>
  <w:num w:numId="33">
    <w:abstractNumId w:val="17"/>
  </w:num>
  <w:num w:numId="34">
    <w:abstractNumId w:val="10"/>
  </w:num>
  <w:num w:numId="35">
    <w:abstractNumId w:val="15"/>
  </w:num>
  <w:num w:numId="36">
    <w:abstractNumId w:val="21"/>
  </w:num>
  <w:num w:numId="37">
    <w:abstractNumId w:val="18"/>
  </w:num>
  <w:num w:numId="38">
    <w:abstractNumId w:val="12"/>
  </w:num>
  <w:num w:numId="39">
    <w:abstractNumId w:val="20"/>
  </w:num>
  <w:num w:numId="40">
    <w:abstractNumId w:val="11"/>
  </w:num>
  <w:num w:numId="41">
    <w:abstractNumId w:val="13"/>
  </w:num>
  <w:num w:numId="42">
    <w:abstractNumId w:val="9"/>
  </w:num>
  <w:num w:numId="43">
    <w:abstractNumId w:val="19"/>
  </w:num>
  <w:num w:numId="44">
    <w:abstractNumId w:val="8"/>
  </w:num>
  <w:num w:numId="45">
    <w:abstractNumId w:val="14"/>
  </w:num>
  <w:num w:numId="46">
    <w:abstractNumId w:val="16"/>
  </w:num>
  <w:num w:numId="47">
    <w:abstractNumId w:val="17"/>
  </w:num>
  <w:num w:numId="48">
    <w:abstractNumId w:val="10"/>
  </w:num>
  <w:num w:numId="49">
    <w:abstractNumId w:val="15"/>
  </w:num>
  <w:num w:numId="5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6-06 16:23:00"/>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Green"/>
    <w:docVar w:name="DQCVersion" w:val="3"/>
    <w:docVar w:name="DQCWithWarnings" w:val="0"/>
    <w:docVar w:name="LW_ACCOMPAGNANT" w:val="bij"/>
    <w:docVar w:name="LW_ACCOMPAGNANT.CP" w:val="bij"/>
    <w:docVar w:name="LW_ANNEX_NBR_FIRST" w:val="2"/>
    <w:docVar w:name="LW_ANNEX_NBR_LAST" w:val="2"/>
    <w:docVar w:name="LW_ANNEX_UNIQUE" w:val="0"/>
    <w:docVar w:name="LW_CORRIGENDUM" w:val="&lt;UNUSED&gt;"/>
    <w:docVar w:name="LW_COVERPAGE_EXISTS" w:val="True"/>
    <w:docVar w:name="LW_COVERPAGE_GUID" w:val="1ACA07C6-3C4D-4F99-8694-B03C4FA17E76"/>
    <w:docVar w:name="LW_COVERPAGE_TYPE" w:val="1"/>
    <w:docVar w:name="LW_CROSSREFERENCE" w:val="{SEC(2018) 277 final}_x000b_{SWD(2018) 297 final}_x000b_{SWD(2018) 298 final}"/>
    <w:docVar w:name="LW_DocType" w:val="ANNEX"/>
    <w:docVar w:name="LW_EMISSION" w:val="31.5.2018"/>
    <w:docVar w:name="LW_EMISSION_ISODATE" w:val="2018-05-31"/>
    <w:docVar w:name="LW_EMISSION_LOCATION" w:val="BRX"/>
    <w:docVar w:name="LW_EMISSION_PREFIX" w:val="Brussel,"/>
    <w:docVar w:name="LW_EMISSION_SUFFIX" w:val="&lt;EMPTY&gt;"/>
    <w:docVar w:name="LW_ID_DOCSTRUCTURE" w:val="COM/ANNEX"/>
    <w:docVar w:name="LW_ID_DOCTYPE" w:val="SG-017"/>
    <w:docVar w:name="LW_LANGUE" w:val="NL"/>
    <w:docVar w:name="LW_LEVEL_OF_SENSITIVITY" w:val="Standard treatment"/>
    <w:docVar w:name="LW_NOM.INST" w:val="EUROPESE COMMISSIE"/>
    <w:docVar w:name="LW_NOM.INST_JOINTDOC" w:val="&lt;EMPTY&gt;"/>
    <w:docVar w:name="LW_OBJETACTEPRINCIPAL" w:val="betreffende de instelling van een Europese stabilisatiefunctie voor investeringen"/>
    <w:docVar w:name="LW_OBJETACTEPRINCIPAL.CP" w:val="betreffende de instelling van een Europese stabilisatiefunctie voor investeringen"/>
    <w:docVar w:name="LW_PART_NBR" w:val="1"/>
    <w:docVar w:name="LW_PART_NBR_TOTAL" w:val="1"/>
    <w:docVar w:name="LW_REF.INST.NEW" w:val="COM"/>
    <w:docVar w:name="LW_REF.INST.NEW_ADOPTED" w:val="final"/>
    <w:docVar w:name="LW_REF.INST.NEW_TEXT" w:val="(2018) 38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BIJLAGE"/>
    <w:docVar w:name="LW_TYPE.DOC.CP" w:val="BIJLAGE"/>
    <w:docVar w:name="LW_TYPEACTEPRINCIPAL" w:val="Voorstel voor een verordening van het Europees Parlement en de Raad "/>
    <w:docVar w:name="LW_TYPEACTEPRINCIPAL.CP" w:val="Voorstel voor een verordening van het Europees Parlement en de Raad "/>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GB"/>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rPr>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paragraph" w:customStyle="1" w:styleId="sti-art">
    <w:name w:val="sti-art"/>
    <w:basedOn w:val="Normal"/>
    <w:pPr>
      <w:spacing w:before="100" w:beforeAutospacing="1" w:after="100" w:afterAutospacing="1"/>
      <w:jc w:val="left"/>
    </w:pPr>
    <w:rPr>
      <w:rFonts w:eastAsia="Times New Roman"/>
      <w:szCs w:val="24"/>
      <w:lang w:eastAsia="en-GB"/>
    </w:rPr>
  </w:style>
  <w:style w:type="paragraph" w:customStyle="1" w:styleId="Normal1">
    <w:name w:val="Normal1"/>
    <w:basedOn w:val="Normal"/>
    <w:pPr>
      <w:spacing w:before="100" w:beforeAutospacing="1" w:after="100" w:afterAutospacing="1"/>
      <w:jc w:val="left"/>
    </w:pPr>
    <w:rPr>
      <w:rFonts w:eastAsia="Times New Roman"/>
      <w:szCs w:val="24"/>
      <w:lang w:eastAsia="en-GB"/>
    </w:rPr>
  </w:style>
  <w:style w:type="character" w:styleId="Hyperlink">
    <w:name w:val="Hyperlink"/>
    <w:basedOn w:val="DefaultParagraphFont"/>
    <w:uiPriority w:val="99"/>
    <w:unhideWhenUsed/>
    <w:rPr>
      <w:color w:val="0000FF"/>
      <w:u w:val="single"/>
    </w:rPr>
  </w:style>
  <w:style w:type="character" w:customStyle="1" w:styleId="super">
    <w:name w:val="super"/>
    <w:basedOn w:val="DefaultParagraphFont"/>
    <w:rPr>
      <w:sz w:val="17"/>
      <w:szCs w:val="17"/>
      <w:vertAlign w:val="superscript"/>
    </w:rPr>
  </w:style>
  <w:style w:type="paragraph" w:customStyle="1" w:styleId="sti-art2">
    <w:name w:val="sti-art2"/>
    <w:basedOn w:val="Normal"/>
    <w:pPr>
      <w:spacing w:before="60" w:line="312" w:lineRule="atLeast"/>
      <w:jc w:val="center"/>
    </w:pPr>
    <w:rPr>
      <w:rFonts w:eastAsia="Times New Roman"/>
      <w:b/>
      <w:bCs/>
      <w:szCs w:val="24"/>
      <w:lang w:eastAsia="en-GB"/>
    </w:rPr>
  </w:style>
  <w:style w:type="paragraph" w:customStyle="1" w:styleId="normal2">
    <w:name w:val="normal2"/>
    <w:basedOn w:val="Normal"/>
    <w:pPr>
      <w:spacing w:after="0" w:line="312" w:lineRule="atLeast"/>
    </w:pPr>
    <w:rPr>
      <w:rFonts w:eastAsia="Times New Roman"/>
      <w:szCs w:val="24"/>
      <w:lang w:eastAsia="en-GB"/>
    </w:rPr>
  </w:style>
  <w:style w:type="paragraph" w:customStyle="1" w:styleId="Titreobjet">
    <w:name w:val="Titre objet"/>
    <w:basedOn w:val="Normal"/>
    <w:next w:val="IntrtEEE"/>
    <w:pPr>
      <w:spacing w:before="360" w:after="360"/>
      <w:jc w:val="center"/>
    </w:pPr>
    <w:rPr>
      <w:b/>
    </w:rPr>
  </w:style>
  <w:style w:type="paragraph" w:customStyle="1" w:styleId="TitreobjetPagedecouverture">
    <w:name w:val="Titre objet (Page de couverture)"/>
    <w:basedOn w:val="Titreobjet"/>
    <w:next w:val="IntrtEEEPagedecouverture"/>
  </w:style>
  <w:style w:type="table" w:customStyle="1" w:styleId="TableGrid1">
    <w:name w:val="Table Grid1"/>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nl-NL"/>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GB"/>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rPr>
  </w:style>
  <w:style w:type="paragraph" w:styleId="Revision">
    <w:name w:val="Revision"/>
    <w:hidden/>
    <w:uiPriority w:val="99"/>
    <w:semiHidden/>
    <w:pPr>
      <w:spacing w:after="0" w:line="240" w:lineRule="auto"/>
    </w:pPr>
    <w:rPr>
      <w:rFonts w:ascii="Times New Roman" w:hAnsi="Times New Roman" w:cs="Times New Roman"/>
      <w:sz w:val="24"/>
      <w:lang w:val="en-GB"/>
    </w:rPr>
  </w:style>
  <w:style w:type="paragraph" w:customStyle="1" w:styleId="sti-art">
    <w:name w:val="sti-art"/>
    <w:basedOn w:val="Normal"/>
    <w:pPr>
      <w:spacing w:before="100" w:beforeAutospacing="1" w:after="100" w:afterAutospacing="1"/>
      <w:jc w:val="left"/>
    </w:pPr>
    <w:rPr>
      <w:rFonts w:eastAsia="Times New Roman"/>
      <w:szCs w:val="24"/>
      <w:lang w:eastAsia="en-GB"/>
    </w:rPr>
  </w:style>
  <w:style w:type="paragraph" w:customStyle="1" w:styleId="Normal1">
    <w:name w:val="Normal1"/>
    <w:basedOn w:val="Normal"/>
    <w:pPr>
      <w:spacing w:before="100" w:beforeAutospacing="1" w:after="100" w:afterAutospacing="1"/>
      <w:jc w:val="left"/>
    </w:pPr>
    <w:rPr>
      <w:rFonts w:eastAsia="Times New Roman"/>
      <w:szCs w:val="24"/>
      <w:lang w:eastAsia="en-GB"/>
    </w:rPr>
  </w:style>
  <w:style w:type="character" w:styleId="Hyperlink">
    <w:name w:val="Hyperlink"/>
    <w:basedOn w:val="DefaultParagraphFont"/>
    <w:uiPriority w:val="99"/>
    <w:unhideWhenUsed/>
    <w:rPr>
      <w:color w:val="0000FF"/>
      <w:u w:val="single"/>
    </w:rPr>
  </w:style>
  <w:style w:type="character" w:customStyle="1" w:styleId="super">
    <w:name w:val="super"/>
    <w:basedOn w:val="DefaultParagraphFont"/>
    <w:rPr>
      <w:sz w:val="17"/>
      <w:szCs w:val="17"/>
      <w:vertAlign w:val="superscript"/>
    </w:rPr>
  </w:style>
  <w:style w:type="paragraph" w:customStyle="1" w:styleId="sti-art2">
    <w:name w:val="sti-art2"/>
    <w:basedOn w:val="Normal"/>
    <w:pPr>
      <w:spacing w:before="60" w:line="312" w:lineRule="atLeast"/>
      <w:jc w:val="center"/>
    </w:pPr>
    <w:rPr>
      <w:rFonts w:eastAsia="Times New Roman"/>
      <w:b/>
      <w:bCs/>
      <w:szCs w:val="24"/>
      <w:lang w:eastAsia="en-GB"/>
    </w:rPr>
  </w:style>
  <w:style w:type="paragraph" w:customStyle="1" w:styleId="normal2">
    <w:name w:val="normal2"/>
    <w:basedOn w:val="Normal"/>
    <w:pPr>
      <w:spacing w:after="0" w:line="312" w:lineRule="atLeast"/>
    </w:pPr>
    <w:rPr>
      <w:rFonts w:eastAsia="Times New Roman"/>
      <w:szCs w:val="24"/>
      <w:lang w:eastAsia="en-GB"/>
    </w:rPr>
  </w:style>
  <w:style w:type="paragraph" w:customStyle="1" w:styleId="Titreobjet">
    <w:name w:val="Titre objet"/>
    <w:basedOn w:val="Normal"/>
    <w:next w:val="IntrtEEE"/>
    <w:pPr>
      <w:spacing w:before="360" w:after="360"/>
      <w:jc w:val="center"/>
    </w:pPr>
    <w:rPr>
      <w:b/>
    </w:rPr>
  </w:style>
  <w:style w:type="paragraph" w:customStyle="1" w:styleId="TitreobjetPagedecouverture">
    <w:name w:val="Titre objet (Page de couverture)"/>
    <w:basedOn w:val="Titreobjet"/>
    <w:next w:val="IntrtEEEPagedecouverture"/>
  </w:style>
  <w:style w:type="table" w:customStyle="1" w:styleId="TableGrid1">
    <w:name w:val="Table Grid1"/>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nl-NL"/>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A1145-10BD-482E-BD04-2E2FBF93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2</Pages>
  <Words>249</Words>
  <Characters>1683</Characters>
  <Application>Microsoft Office Word</Application>
  <DocSecurity>0</DocSecurity>
  <Lines>32</Lines>
  <Paragraphs>16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8</cp:revision>
  <cp:lastPrinted>2017-11-30T16:13:00Z</cp:lastPrinted>
  <dcterms:created xsi:type="dcterms:W3CDTF">2018-06-05T11:45:00Z</dcterms:created>
  <dcterms:modified xsi:type="dcterms:W3CDTF">2018-06-06T14:23:00Z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First annex">
    <vt:lpwstr>2</vt:lpwstr>
  </property>
  <property fmtid="{D5CDD505-2E9C-101B-9397-08002B2CF9AE}" pid="7" name="Last annex">
    <vt:lpwstr>2</vt:lpwstr>
  </property>
  <property fmtid="{D5CDD505-2E9C-101B-9397-08002B2CF9AE}" pid="8" name="Unique annex">
    <vt:lpwstr>0</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