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_Toc368320076"/>
      <w:bookmarkStart w:id="1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DF948B721177476CB4B31988D1A659EE" style="width:450.75pt;height:393.75pt">
            <v:imagedata r:id="rId8" o:title=""/>
          </v:shape>
        </w:pict>
      </w:r>
    </w:p>
    <w:bookmarkEnd w:id="1"/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tabs>
          <w:tab w:val="left" w:pos="1080"/>
        </w:tabs>
        <w:spacing w:after="0" w:line="240" w:lineRule="auto"/>
        <w:ind w:right="-191"/>
        <w:jc w:val="center"/>
        <w:rPr>
          <w:noProof/>
        </w:rPr>
      </w:pPr>
      <w:bookmarkStart w:id="2" w:name="_GoBack"/>
      <w:bookmarkEnd w:id="0"/>
      <w:bookmarkEnd w:id="2"/>
      <w:r>
        <w:rPr>
          <w:rFonts w:ascii="Times New Roman" w:hAnsi="Times New Roman"/>
          <w:b/>
          <w:smallCaps/>
          <w:noProof/>
          <w:sz w:val="24"/>
        </w:rPr>
        <w:lastRenderedPageBreak/>
        <w:t>BIJLAGE I:</w:t>
      </w:r>
      <w:r>
        <w:rPr>
          <w:noProof/>
        </w:rPr>
        <w:tab/>
      </w:r>
      <w:r>
        <w:rPr>
          <w:rFonts w:ascii="Times New Roman" w:hAnsi="Times New Roman"/>
          <w:b/>
          <w:noProof/>
          <w:sz w:val="24"/>
        </w:rPr>
        <w:t xml:space="preserve">EU-Solidariteitsfonds — In </w:t>
      </w:r>
      <w:r>
        <w:rPr>
          <w:rFonts w:ascii="Times New Roman" w:hAnsi="Times New Roman"/>
          <w:b/>
          <w:noProof/>
          <w:sz w:val="24"/>
          <w:u w:val="single"/>
        </w:rPr>
        <w:t>2015</w:t>
      </w:r>
      <w:r>
        <w:rPr>
          <w:rFonts w:ascii="Times New Roman" w:hAnsi="Times New Roman"/>
          <w:b/>
          <w:noProof/>
          <w:sz w:val="24"/>
        </w:rPr>
        <w:t xml:space="preserve"> geldende drempels voor grote rampen</w:t>
      </w:r>
    </w:p>
    <w:p>
      <w:pPr>
        <w:tabs>
          <w:tab w:val="left" w:pos="1080"/>
        </w:tabs>
        <w:spacing w:after="0" w:line="240" w:lineRule="auto"/>
        <w:ind w:right="-191"/>
        <w:jc w:val="center"/>
        <w:rPr>
          <w:rFonts w:ascii="Times New Roman" w:eastAsia="Times New Roman" w:hAnsi="Times New Roman"/>
          <w:noProof/>
          <w:sz w:val="24"/>
        </w:rPr>
      </w:pPr>
      <w:r>
        <w:rPr>
          <w:rFonts w:ascii="Times New Roman" w:hAnsi="Times New Roman"/>
          <w:noProof/>
          <w:sz w:val="24"/>
        </w:rPr>
        <w:t>(gebaseerd op de gegevens van Eurostat uit 2013 voor het bruto nationaal inkomen)</w:t>
      </w:r>
    </w:p>
    <w:p>
      <w:pPr>
        <w:spacing w:after="0" w:line="240" w:lineRule="auto"/>
        <w:ind w:right="252"/>
        <w:jc w:val="both"/>
        <w:rPr>
          <w:rFonts w:ascii="Times New Roman" w:eastAsia="Times New Roman" w:hAnsi="Times New Roman"/>
          <w:noProof/>
        </w:rPr>
      </w:pPr>
    </w:p>
    <w:p>
      <w:pPr>
        <w:spacing w:after="0" w:line="240" w:lineRule="auto"/>
        <w:ind w:right="-191"/>
        <w:jc w:val="both"/>
        <w:rPr>
          <w:rFonts w:ascii="Times New Roman" w:eastAsia="Times New Roman" w:hAnsi="Times New Roman"/>
          <w:noProof/>
          <w:sz w:val="20"/>
          <w:szCs w:val="20"/>
        </w:rPr>
      </w:pPr>
      <w:r>
        <w:rPr>
          <w:rFonts w:ascii="Times New Roman" w:hAnsi="Times New Roman"/>
          <w:noProof/>
          <w:sz w:val="20"/>
        </w:rPr>
        <w:t>Voor de beschikbaarstelling van middelen uit het Solidariteitsfonds</w:t>
      </w:r>
      <w:r>
        <w:rPr>
          <w:rFonts w:ascii="Times New Roman" w:hAnsi="Times New Roman"/>
          <w:noProof/>
          <w:sz w:val="20"/>
          <w:vertAlign w:val="superscript"/>
        </w:rPr>
        <w:footnoteReference w:id="1"/>
      </w:r>
      <w:r>
        <w:rPr>
          <w:rFonts w:ascii="Times New Roman" w:hAnsi="Times New Roman"/>
          <w:noProof/>
          <w:sz w:val="20"/>
        </w:rPr>
        <w:t xml:space="preserve"> gelden landenspecifieke drempels die worden gedefinieerd als totale directe schade die meer bedraagt dan 0,6 % van het bni of 3 miljard EUR, in prijzen van 2011 op basis van geharmoniseerde Eurostat-gegevens. Het laagste bedrag van de twee geldt.</w:t>
      </w:r>
    </w:p>
    <w:p>
      <w:pPr>
        <w:tabs>
          <w:tab w:val="left" w:pos="8400"/>
        </w:tabs>
        <w:spacing w:after="0" w:line="240" w:lineRule="auto"/>
        <w:ind w:right="-191"/>
        <w:jc w:val="both"/>
        <w:rPr>
          <w:rFonts w:ascii="Times New Roman" w:eastAsia="Times New Roman" w:hAnsi="Times New Roman"/>
          <w:noProof/>
          <w:sz w:val="16"/>
          <w:szCs w:val="20"/>
        </w:rPr>
      </w:pPr>
      <w:r>
        <w:rPr>
          <w:noProof/>
        </w:rPr>
        <w:tab/>
      </w:r>
      <w:r>
        <w:rPr>
          <w:rFonts w:ascii="Times New Roman" w:hAnsi="Times New Roman"/>
          <w:noProof/>
          <w:sz w:val="16"/>
        </w:rPr>
        <w:t>(miljoen EUR)</w:t>
      </w:r>
    </w:p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768"/>
        <w:gridCol w:w="2520"/>
        <w:gridCol w:w="1920"/>
        <w:gridCol w:w="1800"/>
        <w:gridCol w:w="2400"/>
      </w:tblGrid>
      <w:tr>
        <w:trPr>
          <w:trHeight w:val="518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D8E4BC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Bni 2013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0,6 % van bni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Drempel grote ramp 2015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AT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ÖSTERREICH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310 887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1 865,324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1 865,324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BE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BELGIË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382 159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2 292,954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2 292,954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BG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BULGARIA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39 145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234,871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234,871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CY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KYPROS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16 159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96,954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96,954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CZ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ČESKÁ REPUBLIKA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139 591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837,545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837,545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DE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DEUTSCHLAND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2 813 780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16 882,680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3 247,296*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DK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DANMARK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258 831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1 552,985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1 552,985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EE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EESTI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18 084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108,502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108,502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EL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ELLADA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181 886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1 091,315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1 091,315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ES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ESPAÑA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1 014 902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6 089,412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3 247,296*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FI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SUOMI/FINLAND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194 581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1 167,486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1 167,486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FR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FRANCE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2 097 227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12 583,362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3 247,296*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HR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HRVATSKA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42 034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252,205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252,205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HU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MAGYARORSZÁG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91 760**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550,558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550,558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IE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ÉIRE/IRELAND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133 864**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803,186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803,186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IT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ITALIA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1 550 648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9 303,886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3 247,296*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LT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LIETUVA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33 499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200,992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200,992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LU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LUXEMBOURG (G.D.)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29 225**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175,347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175,347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LV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LATVIJA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23 317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139,901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139,901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MT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MALTA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6 811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40,865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40,865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NL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NEDERLAND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599 909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3 599,454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3 247,296*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PL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POLSKA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365 188</w:t>
            </w:r>
            <w:r>
              <w:rPr>
                <w:rFonts w:ascii="Times New Roman" w:hAnsi="Times New Roman"/>
                <w:noProof/>
                <w:sz w:val="20"/>
                <w:vertAlign w:val="superscript"/>
              </w:rPr>
              <w:t>**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2 191,125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2 191,125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PT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PORTUGAL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162 238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973,429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973,429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RO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ROMÂNIA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138 706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832,237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832,237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SE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SVERIGE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432 739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2 596,435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2 596,435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SK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SLOVENSKO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70 432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422,589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422,589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SL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SLOVENIJA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35 069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210,411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210,411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UK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UNITED KINGDOM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1 876 390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11 258,340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3 247,296*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ME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MONTENEGRO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3 327***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19,962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19,962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RS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SRBIJA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32 763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196,579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196,579</w:t>
            </w:r>
          </w:p>
        </w:tc>
      </w:tr>
      <w:tr>
        <w:trPr>
          <w:trHeight w:val="300"/>
        </w:trPr>
        <w:tc>
          <w:tcPr>
            <w:tcW w:w="7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TR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9CCFF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both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TÜRKIYE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610 765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3 664,588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ind w:right="252"/>
              <w:jc w:val="right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3 247,296*</w:t>
            </w:r>
          </w:p>
        </w:tc>
      </w:tr>
    </w:tbl>
    <w:p>
      <w:pPr>
        <w:spacing w:after="0" w:line="240" w:lineRule="auto"/>
        <w:ind w:right="252"/>
        <w:jc w:val="both"/>
        <w:rPr>
          <w:rFonts w:ascii="Times New Roman" w:eastAsia="Times New Roman" w:hAnsi="Times New Roman"/>
          <w:noProof/>
          <w:sz w:val="20"/>
          <w:szCs w:val="20"/>
        </w:rPr>
      </w:pPr>
    </w:p>
    <w:p>
      <w:pPr>
        <w:spacing w:after="0" w:line="240" w:lineRule="auto"/>
        <w:ind w:right="252"/>
        <w:rPr>
          <w:rFonts w:ascii="Times New Roman" w:eastAsia="Times New Roman" w:hAnsi="Times New Roman"/>
          <w:noProof/>
          <w:sz w:val="20"/>
          <w:szCs w:val="20"/>
        </w:rPr>
      </w:pPr>
      <w:r>
        <w:rPr>
          <w:rFonts w:ascii="Times New Roman" w:hAnsi="Times New Roman"/>
          <w:noProof/>
          <w:sz w:val="20"/>
        </w:rPr>
        <w:t>* D.w.z. drie miljoen EUR in prijzen van 2011.</w:t>
      </w:r>
    </w:p>
    <w:p>
      <w:pPr>
        <w:spacing w:after="0" w:line="240" w:lineRule="auto"/>
        <w:ind w:right="252"/>
        <w:rPr>
          <w:rFonts w:ascii="Times New Roman" w:eastAsia="Times New Roman" w:hAnsi="Times New Roman"/>
          <w:noProof/>
          <w:sz w:val="20"/>
          <w:szCs w:val="20"/>
        </w:rPr>
      </w:pPr>
      <w:r>
        <w:rPr>
          <w:rFonts w:ascii="Times New Roman" w:hAnsi="Times New Roman"/>
          <w:noProof/>
          <w:sz w:val="20"/>
        </w:rPr>
        <w:t xml:space="preserve">** Bron: bni-cijfers van 2012, geen cijfers beschikbaar voor 2013. </w:t>
      </w:r>
      <w:r>
        <w:rPr>
          <w:rFonts w:ascii="Times New Roman" w:eastAsia="Times New Roman" w:hAnsi="Times New Roman"/>
          <w:noProof/>
          <w:sz w:val="20"/>
          <w:szCs w:val="20"/>
        </w:rPr>
        <w:br/>
      </w:r>
      <w:r>
        <w:rPr>
          <w:rFonts w:ascii="Times New Roman" w:hAnsi="Times New Roman"/>
          <w:noProof/>
          <w:sz w:val="20"/>
        </w:rPr>
        <w:t>*** Bron: bni-cijfers voor Montenegro zijn niet beschikbaar; in plaats daarvan worden bbp-cijfers op basis van de Ameco-gegevensbank (jaarlijkse macro-economische gegevensbank van het directoraat-generaal Economische en Financiële Zaken (DG ECFIN) van de Europese Commissie) gebruikt.</w:t>
      </w:r>
    </w:p>
    <w:p>
      <w:pPr>
        <w:rPr>
          <w:rFonts w:ascii="Times New Roman" w:hAnsi="Times New Roman"/>
          <w:noProof/>
          <w:sz w:val="16"/>
          <w:szCs w:val="16"/>
        </w:rPr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7" w:h="16839"/>
          <w:pgMar w:top="960" w:right="1418" w:bottom="1134" w:left="1320" w:header="138" w:footer="229" w:gutter="0"/>
          <w:pgNumType w:start="2"/>
          <w:cols w:space="708"/>
          <w:docGrid w:linePitch="360"/>
        </w:sectPr>
      </w:pPr>
    </w:p>
    <w:p>
      <w:pPr>
        <w:pStyle w:val="ManualHeading1"/>
        <w:spacing w:before="480" w:after="240"/>
        <w:jc w:val="center"/>
        <w:rPr>
          <w:noProof/>
        </w:rPr>
      </w:pPr>
      <w:bookmarkStart w:id="3" w:name="_Toc368320077"/>
      <w:r>
        <w:rPr>
          <w:noProof/>
        </w:rPr>
        <w:t>BIJLAGE II: EU-Solidariteitsfonds — beschikbaarstelling van middelen 2015 (inclusief aanvragen van 2014)</w:t>
      </w:r>
      <w:bookmarkEnd w:id="3"/>
    </w:p>
    <w:tbl>
      <w:tblPr>
        <w:tblW w:w="147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1660"/>
        <w:gridCol w:w="1660"/>
        <w:gridCol w:w="1660"/>
        <w:gridCol w:w="1620"/>
        <w:gridCol w:w="1700"/>
        <w:gridCol w:w="1660"/>
        <w:gridCol w:w="1660"/>
        <w:gridCol w:w="20"/>
      </w:tblGrid>
      <w:tr>
        <w:trPr>
          <w:trHeight w:val="255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Jaar gebeurtenis</w:t>
            </w:r>
          </w:p>
        </w:tc>
        <w:tc>
          <w:tcPr>
            <w:tcW w:w="66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6D9F1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2014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DDD9C3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2015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tcBorders>
              <w:top w:val="single" w:sz="4" w:space="0" w:color="auto"/>
            </w:tcBorders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Aanvragende staat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RO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RO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BG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IT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DDD9C3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GR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GR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BG</w:t>
            </w:r>
          </w:p>
        </w:tc>
      </w:tr>
      <w:tr>
        <w:trPr>
          <w:gridAfter w:val="1"/>
          <w:wAfter w:w="20" w:type="dxa"/>
          <w:trHeight w:val="690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Naam en aard</w:t>
            </w: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noProof/>
                <w:sz w:val="20"/>
              </w:rPr>
              <w:t>van ramp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 xml:space="preserve">Voorjaars- </w:t>
            </w: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noProof/>
                <w:sz w:val="20"/>
              </w:rPr>
              <w:t>overstromingen</w:t>
            </w:r>
          </w:p>
        </w:tc>
        <w:tc>
          <w:tcPr>
            <w:tcW w:w="1660" w:type="dxa"/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Zomer-overstromingen</w:t>
            </w:r>
          </w:p>
        </w:tc>
        <w:tc>
          <w:tcPr>
            <w:tcW w:w="1660" w:type="dxa"/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Zomer-overstromingen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C6D9F1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Najaars-overstromingen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shd w:val="clear" w:color="auto" w:fill="DDD9C3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Overstromingen in Centraal Griekenland</w:t>
            </w:r>
          </w:p>
        </w:tc>
        <w:tc>
          <w:tcPr>
            <w:tcW w:w="1660" w:type="dxa"/>
            <w:shd w:val="clear" w:color="auto" w:fill="DDD9C3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Overstromingen in Evros</w:t>
            </w:r>
          </w:p>
        </w:tc>
        <w:tc>
          <w:tcPr>
            <w:tcW w:w="1660" w:type="dxa"/>
            <w:shd w:val="clear" w:color="auto" w:fill="DDD9C3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Streng winterweer 2015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Datum eerste schade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14.5.2014</w:t>
            </w:r>
            <w:r>
              <w:rPr>
                <w:rStyle w:val="FootnoteReference"/>
                <w:rFonts w:ascii="Times New Roman" w:hAnsi="Times New Roman"/>
                <w:noProof/>
                <w:sz w:val="20"/>
              </w:rPr>
              <w:footnoteReference w:id="2"/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28.7.2014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31.7.2014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9.10.2014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1.2.2015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4.2.2015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30.1.2015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Termijn voor indiening aanvraag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6.8.2014</w:t>
            </w:r>
            <w:r>
              <w:rPr>
                <w:rStyle w:val="FootnoteReference"/>
                <w:rFonts w:ascii="Times New Roman" w:hAnsi="Times New Roman"/>
                <w:noProof/>
                <w:sz w:val="20"/>
              </w:rPr>
              <w:footnoteReference w:id="3"/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20.10.2014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23.10.2014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1.1.2015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26.4.2015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29.4.2015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24.4.2015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 xml:space="preserve">Datum aanvraag </w:t>
            </w: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noProof/>
                <w:sz w:val="20"/>
              </w:rPr>
              <w:t>(ontvangst door de Commissie)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9.7.2014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3.10.2014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23.10.2014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23.12.2014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23.4.2015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23.4.2015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24.4.2015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 xml:space="preserve">Volledige informatie </w:t>
            </w: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noProof/>
                <w:sz w:val="20"/>
              </w:rPr>
              <w:t>beschikbaar op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29.9.2014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13.1.2015</w:t>
            </w:r>
          </w:p>
        </w:tc>
        <w:tc>
          <w:tcPr>
            <w:tcW w:w="1660" w:type="dxa"/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12.11.2014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3.2.2015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~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~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~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 xml:space="preserve">Drempel grote ramp </w:t>
            </w:r>
          </w:p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(miljoen EUR)</w:t>
            </w:r>
          </w:p>
        </w:tc>
        <w:tc>
          <w:tcPr>
            <w:tcW w:w="332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783,738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232,502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3 183,624</w:t>
            </w:r>
          </w:p>
        </w:tc>
        <w:tc>
          <w:tcPr>
            <w:tcW w:w="3360" w:type="dxa"/>
            <w:gridSpan w:val="2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1 091,315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234,871</w:t>
            </w:r>
          </w:p>
        </w:tc>
      </w:tr>
      <w:tr>
        <w:trPr>
          <w:gridAfter w:val="1"/>
          <w:wAfter w:w="20" w:type="dxa"/>
          <w:trHeight w:val="300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hAnsi="Times New Roman"/>
                <w:b/>
                <w:noProof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 xml:space="preserve">Door Commissie aanvaarde </w:t>
            </w: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br/>
            </w:r>
            <w:r>
              <w:rPr>
                <w:rFonts w:ascii="Times New Roman" w:hAnsi="Times New Roman"/>
                <w:b/>
                <w:noProof/>
                <w:sz w:val="20"/>
              </w:rPr>
              <w:t xml:space="preserve">totale directe schade </w:t>
            </w:r>
          </w:p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(miljoen EUR)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167,927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171,911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79,344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2 241,052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263,424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132,454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243,305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Categorie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buurland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regionaal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regionaal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regionaal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regionaal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regionaal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groot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Schade/drempel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21,43 %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21,93 %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34,13 %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70,39 %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24,14 %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12,14 %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103,59 %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Schade/bni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0,13 %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0,13 %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0,20 %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0,14 %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0,145 %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0,073 %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0,622 %</w:t>
            </w:r>
          </w:p>
        </w:tc>
      </w:tr>
      <w:tr>
        <w:trPr>
          <w:gridAfter w:val="1"/>
          <w:wAfter w:w="20" w:type="dxa"/>
          <w:trHeight w:val="28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Openbare schade (miljoen EUR)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146,820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ind w:firstLineChars="100" w:firstLine="200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140,782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69,108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1 678,558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231,421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123,333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239,281</w:t>
            </w:r>
          </w:p>
        </w:tc>
      </w:tr>
      <w:tr>
        <w:trPr>
          <w:gridAfter w:val="1"/>
          <w:wAfter w:w="20" w:type="dxa"/>
          <w:trHeight w:val="28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Openbare/totale schade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87,43 %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81,89 %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87,10 %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74,90 %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87,85 %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93,11 %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98,35 %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Kosten van voor steun in aanmerking komende concrete acties (miljoen EUR)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145,527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93,955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69,108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434,314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218,265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90,180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239,225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In aanmerking komende kosten/totale schade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86,66 %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54,65 %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87,10 %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19,38 %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82,86 %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68,08 %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98,32 %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Steun/in aanmerking komende kosten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2,88 %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4,57 %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2,87 %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12,90 %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3,02 %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7,30 %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2,67 %</w:t>
            </w:r>
          </w:p>
        </w:tc>
      </w:tr>
      <w:tr>
        <w:trPr>
          <w:gridAfter w:val="1"/>
          <w:wAfter w:w="20" w:type="dxa"/>
          <w:trHeight w:val="255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Steunpercentage (% van totale schade)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2,50 %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2,50 %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2,50 %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2,50 %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2,50 %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2,50 %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noProof/>
                <w:sz w:val="20"/>
              </w:rPr>
              <w:t>2,62 %</w:t>
            </w:r>
          </w:p>
        </w:tc>
      </w:tr>
      <w:tr>
        <w:trPr>
          <w:gridAfter w:val="1"/>
          <w:wAfter w:w="20" w:type="dxa"/>
          <w:trHeight w:val="488"/>
        </w:trPr>
        <w:tc>
          <w:tcPr>
            <w:tcW w:w="3120" w:type="dxa"/>
            <w:shd w:val="clear" w:color="auto" w:fill="D9D9D9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Datum toekenningsbesluit voorschot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n.v.t.</w:t>
            </w:r>
          </w:p>
        </w:tc>
        <w:tc>
          <w:tcPr>
            <w:tcW w:w="1660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n.v.t.</w:t>
            </w:r>
          </w:p>
        </w:tc>
        <w:tc>
          <w:tcPr>
            <w:tcW w:w="1660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n.v.t.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n.v.t.</w:t>
            </w:r>
          </w:p>
        </w:tc>
        <w:tc>
          <w:tcPr>
            <w:tcW w:w="1700" w:type="dxa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24.6.2015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24.6.2015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24.6.2015</w:t>
            </w:r>
          </w:p>
        </w:tc>
      </w:tr>
      <w:tr>
        <w:trPr>
          <w:gridAfter w:val="1"/>
          <w:wAfter w:w="20" w:type="dxa"/>
          <w:trHeight w:val="278"/>
        </w:trPr>
        <w:tc>
          <w:tcPr>
            <w:tcW w:w="3120" w:type="dxa"/>
            <w:shd w:val="clear" w:color="auto" w:fill="D9D9D9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Datum van de mededeling</w:t>
            </w:r>
          </w:p>
        </w:tc>
        <w:tc>
          <w:tcPr>
            <w:tcW w:w="660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09.4.2015</w:t>
            </w:r>
            <w:r>
              <w:rPr>
                <w:rStyle w:val="FootnoteReference"/>
                <w:rFonts w:ascii="Times New Roman" w:hAnsi="Times New Roman"/>
                <w:noProof/>
                <w:sz w:val="20"/>
              </w:rPr>
              <w:footnoteReference w:id="4"/>
            </w:r>
          </w:p>
        </w:tc>
        <w:tc>
          <w:tcPr>
            <w:tcW w:w="5020" w:type="dxa"/>
            <w:gridSpan w:val="3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10.7.2015</w:t>
            </w:r>
            <w:r>
              <w:rPr>
                <w:rStyle w:val="FootnoteReference"/>
                <w:rFonts w:ascii="Times New Roman" w:hAnsi="Times New Roman"/>
                <w:noProof/>
                <w:sz w:val="20"/>
              </w:rPr>
              <w:footnoteReference w:id="5"/>
            </w:r>
          </w:p>
        </w:tc>
      </w:tr>
      <w:tr>
        <w:trPr>
          <w:gridAfter w:val="1"/>
          <w:wAfter w:w="20" w:type="dxa"/>
          <w:trHeight w:val="278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Datum toekenningsbesluit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5.8.2015</w:t>
            </w:r>
          </w:p>
        </w:tc>
        <w:tc>
          <w:tcPr>
            <w:tcW w:w="1660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6.8.2015</w:t>
            </w:r>
          </w:p>
        </w:tc>
        <w:tc>
          <w:tcPr>
            <w:tcW w:w="1660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5.8.2015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10.9.2015</w:t>
            </w:r>
          </w:p>
        </w:tc>
        <w:tc>
          <w:tcPr>
            <w:tcW w:w="3360" w:type="dxa"/>
            <w:gridSpan w:val="2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11.11.2015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t>11.11.2015</w:t>
            </w:r>
          </w:p>
        </w:tc>
      </w:tr>
      <w:tr>
        <w:trPr>
          <w:gridAfter w:val="1"/>
          <w:wAfter w:w="20" w:type="dxa"/>
          <w:trHeight w:val="266"/>
        </w:trPr>
        <w:tc>
          <w:tcPr>
            <w:tcW w:w="3120" w:type="dxa"/>
            <w:shd w:val="clear" w:color="auto" w:fill="D9D9D9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Financiële steun SFEU (EUR)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4 198 175</w:t>
            </w:r>
          </w:p>
        </w:tc>
        <w:tc>
          <w:tcPr>
            <w:tcW w:w="1660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4 297 775</w:t>
            </w:r>
          </w:p>
        </w:tc>
        <w:tc>
          <w:tcPr>
            <w:tcW w:w="1660" w:type="dxa"/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1 983 600</w:t>
            </w:r>
          </w:p>
        </w:tc>
        <w:tc>
          <w:tcPr>
            <w:tcW w:w="162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56 026 300</w:t>
            </w:r>
          </w:p>
        </w:tc>
        <w:tc>
          <w:tcPr>
            <w:tcW w:w="3360" w:type="dxa"/>
            <w:gridSpan w:val="2"/>
            <w:tcBorders>
              <w:left w:val="single" w:sz="12" w:space="0" w:color="auto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9 896 950</w:t>
            </w:r>
          </w:p>
        </w:tc>
        <w:tc>
          <w:tcPr>
            <w:tcW w:w="1660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</w:rPr>
              <w:t>6 377 815</w:t>
            </w:r>
          </w:p>
        </w:tc>
      </w:tr>
    </w:tbl>
    <w:p>
      <w:pPr>
        <w:spacing w:after="0" w:line="240" w:lineRule="auto"/>
        <w:ind w:right="-191"/>
        <w:jc w:val="both"/>
        <w:rPr>
          <w:rFonts w:ascii="Times New Roman" w:eastAsia="Times New Roman" w:hAnsi="Times New Roman"/>
          <w:noProof/>
          <w:sz w:val="20"/>
          <w:szCs w:val="20"/>
        </w:rPr>
      </w:pPr>
      <w:bookmarkStart w:id="4" w:name="_CopyToNewDocument_"/>
      <w:bookmarkEnd w:id="4"/>
    </w:p>
    <w:p>
      <w:pPr>
        <w:spacing w:before="120" w:after="0" w:line="240" w:lineRule="auto"/>
        <w:ind w:right="-191"/>
        <w:jc w:val="center"/>
        <w:rPr>
          <w:rFonts w:ascii="Times New Roman" w:eastAsia="Times New Roman" w:hAnsi="Times New Roman"/>
          <w:noProof/>
          <w:sz w:val="24"/>
          <w:szCs w:val="20"/>
        </w:rPr>
      </w:pPr>
      <w:r>
        <w:rPr>
          <w:rFonts w:ascii="Times New Roman" w:hAnsi="Times New Roman"/>
          <w:b/>
          <w:noProof/>
          <w:sz w:val="24"/>
        </w:rPr>
        <w:t>Een overzicht van alle behandelde gevallen van het EU-Solidariteitsfonds sinds 2002 is beschikbaar via de volgende link:</w:t>
      </w:r>
      <w:r>
        <w:rPr>
          <w:rFonts w:ascii="Times New Roman" w:hAnsi="Times New Roman"/>
          <w:noProof/>
          <w:sz w:val="24"/>
        </w:rPr>
        <w:t xml:space="preserve"> </w:t>
      </w:r>
      <w:hyperlink r:id="rId21">
        <w:r>
          <w:rPr>
            <w:rStyle w:val="Hyperlink"/>
            <w:rFonts w:ascii="Times New Roman" w:hAnsi="Times New Roman"/>
            <w:noProof/>
            <w:sz w:val="24"/>
          </w:rPr>
          <w:t>http://ec.europa.eu/regional_policy/index.cfm/nl/funding/solidarity-fund/</w:t>
        </w:r>
      </w:hyperlink>
    </w:p>
    <w:p>
      <w:pPr>
        <w:spacing w:after="0" w:line="240" w:lineRule="auto"/>
        <w:ind w:right="-191"/>
        <w:jc w:val="center"/>
        <w:rPr>
          <w:rFonts w:ascii="Times New Roman" w:eastAsia="Times New Roman" w:hAnsi="Times New Roman"/>
          <w:noProof/>
          <w:sz w:val="24"/>
          <w:szCs w:val="20"/>
        </w:rPr>
      </w:pPr>
    </w:p>
    <w:sectPr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9" w:h="11907" w:orient="landscape"/>
      <w:pgMar w:top="990" w:right="1134" w:bottom="960" w:left="1134" w:header="4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NL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NL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Footnote"/>
        <w:ind w:left="240" w:hanging="240"/>
      </w:pPr>
      <w:r>
        <w:rPr>
          <w:rStyle w:val="FootnoteReference"/>
          <w:vertAlign w:val="baseline"/>
        </w:rPr>
        <w:footnoteRef/>
      </w:r>
      <w:r>
        <w:t xml:space="preserve"> </w:t>
      </w:r>
      <w:r>
        <w:tab/>
        <w:t>Verordening (EG) nr. 2012/2002 van de Raad tot oprichting van het Solidariteitsfonds van de Europese Unie, zoals gewijzigd bij Verordening (EU) nr. 661/2014 van het Europees Parlement en de Raad van 15 mei 2014 houdende wijziging (PB L 189/143 van 27.6.2014).</w:t>
      </w:r>
    </w:p>
    <w:p>
      <w:pPr>
        <w:pStyle w:val="FootnoteText"/>
      </w:pPr>
    </w:p>
  </w:footnote>
  <w:footnote w:id="2">
    <w:p>
      <w:pPr>
        <w:pStyle w:val="FootnoteText"/>
        <w:rPr>
          <w:i/>
          <w:sz w:val="18"/>
        </w:rPr>
      </w:pPr>
      <w:r>
        <w:rPr>
          <w:rStyle w:val="FootnoteReference"/>
          <w:i/>
          <w:sz w:val="18"/>
        </w:rPr>
        <w:footnoteRef/>
      </w:r>
      <w:r>
        <w:rPr>
          <w:i/>
          <w:sz w:val="18"/>
        </w:rPr>
        <w:t xml:space="preserve"> Door de Commissie aanvaarde datum.</w:t>
      </w:r>
    </w:p>
  </w:footnote>
  <w:footnote w:id="3">
    <w:p>
      <w:pPr>
        <w:pStyle w:val="FootnoteText"/>
        <w:rPr>
          <w:i/>
          <w:sz w:val="18"/>
        </w:rPr>
      </w:pPr>
      <w:r>
        <w:rPr>
          <w:rStyle w:val="FootnoteReference"/>
          <w:i/>
          <w:sz w:val="18"/>
        </w:rPr>
        <w:footnoteRef/>
      </w:r>
      <w:r>
        <w:rPr>
          <w:i/>
          <w:sz w:val="18"/>
        </w:rPr>
        <w:t xml:space="preserve"> De uiterste indieningstermijn van 6.8.2014 is gebaseerd op de aanvaarde datum van eerste schade van 14.5.2014.</w:t>
      </w:r>
    </w:p>
  </w:footnote>
  <w:footnote w:id="4">
    <w:p>
      <w:pPr>
        <w:pStyle w:val="FootnoteText"/>
        <w:ind w:left="142" w:hanging="142"/>
        <w:rPr>
          <w:rStyle w:val="FootnoteReference"/>
          <w:rFonts w:ascii="Calibri" w:eastAsia="Calibri" w:hAnsi="Calibri"/>
          <w:i/>
          <w:sz w:val="18"/>
          <w:szCs w:val="22"/>
          <w:vertAlign w:val="baseline"/>
        </w:rPr>
      </w:pPr>
      <w:r>
        <w:rPr>
          <w:rStyle w:val="FootnoteReference"/>
          <w:i/>
          <w:sz w:val="18"/>
        </w:rPr>
        <w:footnoteRef/>
      </w:r>
      <w:r>
        <w:rPr>
          <w:i/>
          <w:sz w:val="18"/>
        </w:rPr>
        <w:t xml:space="preserve"> </w:t>
      </w:r>
      <w:r>
        <w:rPr>
          <w:rStyle w:val="FootnoteReference"/>
          <w:i/>
          <w:sz w:val="18"/>
          <w:vertAlign w:val="baseline"/>
        </w:rPr>
        <w:t>C(2015) 2285 on four applications for a financial contribution from the European Union Solidarity Fund presented by Romania, Bulgaria and Italy relating to flooding events in 2014.</w:t>
      </w:r>
    </w:p>
  </w:footnote>
  <w:footnote w:id="5">
    <w:p>
      <w:pPr>
        <w:pStyle w:val="FootnoteText"/>
        <w:rPr>
          <w:rStyle w:val="FootnoteReference"/>
          <w:i/>
          <w:sz w:val="18"/>
          <w:vertAlign w:val="baseline"/>
        </w:rPr>
      </w:pPr>
      <w:r>
        <w:rPr>
          <w:rStyle w:val="FootnoteReference"/>
          <w:i/>
          <w:sz w:val="18"/>
        </w:rPr>
        <w:footnoteRef/>
      </w:r>
      <w:r>
        <w:rPr>
          <w:rStyle w:val="FootnoteReference"/>
          <w:i/>
          <w:sz w:val="18"/>
          <w:vertAlign w:val="baseline"/>
        </w:rPr>
        <w:t xml:space="preserve"> C(2015) 4627</w:t>
      </w:r>
      <w:r>
        <w:rPr>
          <w:i/>
          <w:sz w:val="18"/>
        </w:rPr>
        <w:t xml:space="preserve"> </w:t>
      </w:r>
      <w:r>
        <w:rPr>
          <w:rStyle w:val="FootnoteReference"/>
          <w:i/>
          <w:sz w:val="18"/>
          <w:vertAlign w:val="baseline"/>
        </w:rPr>
        <w:t xml:space="preserve">on three applications for a financial contribution from the European Union Solidarity Fund presented by Greece relating to flooding events </w:t>
      </w:r>
    </w:p>
    <w:p>
      <w:pPr>
        <w:pStyle w:val="FootnoteText"/>
        <w:tabs>
          <w:tab w:val="left" w:pos="142"/>
        </w:tabs>
        <w:ind w:left="142" w:hanging="142"/>
        <w:rPr>
          <w:rStyle w:val="FootnoteReference"/>
          <w:i/>
          <w:sz w:val="18"/>
          <w:vertAlign w:val="baseline"/>
        </w:rPr>
      </w:pPr>
      <w:r>
        <w:rPr>
          <w:i/>
          <w:sz w:val="18"/>
        </w:rPr>
        <w:tab/>
      </w:r>
      <w:r>
        <w:rPr>
          <w:rStyle w:val="FootnoteReference"/>
          <w:i/>
          <w:sz w:val="18"/>
          <w:vertAlign w:val="baseline"/>
        </w:rPr>
        <w:t>and to Bulgaria relating to severe winter conditions of 2015</w:t>
      </w:r>
      <w:r>
        <w:rPr>
          <w:i/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  <w:jc w:val="right"/>
      <w:rPr>
        <w:color w:val="00B05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revisionView w:markup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ocStatus" w:val="Green"/>
    <w:docVar w:name="LW_ACCOMPAGNANT.CP" w:val="bij het"/>
    <w:docVar w:name="LW_ANNEX_NBR_FIRST" w:val="1"/>
    <w:docVar w:name="LW_ANNEX_NBR_LAST" w:val="2"/>
    <w:docVar w:name="LW_CONFIDENCE" w:val=" "/>
    <w:docVar w:name="LW_CONST_RESTREINT_UE" w:val="RESTREINT UE"/>
    <w:docVar w:name="LW_CORRIGENDUM" w:val="&lt;UNUSED&gt;"/>
    <w:docVar w:name="LW_COVERPAGE_GUID" w:val="DF948B721177476CB4B31988D1A659EE"/>
    <w:docVar w:name="LW_CROSSREFERENCE" w:val="&lt;UNUSED&gt;"/>
    <w:docVar w:name="LW_DocType" w:val="NORMAL"/>
    <w:docVar w:name="LW_EMISSION" w:val="30.8.2016"/>
    <w:docVar w:name="LW_EMISSION_ISODATE" w:val="2016-08-30"/>
    <w:docVar w:name="LW_EMISSION_LOCATION" w:val="BRX"/>
    <w:docVar w:name="LW_EMISSION_PREFIX" w:val="Brussel, "/>
    <w:docVar w:name="LW_EMISSION_SUFFIX" w:val=" "/>
    <w:docVar w:name="LW_ID_DOCTYPE_NONLW" w:val="CP-039"/>
    <w:docVar w:name="LW_LANGUE" w:val="NL"/>
    <w:docVar w:name="LW_MARKING" w:val="&lt;UNUSED&gt;"/>
    <w:docVar w:name="LW_NOM.INST" w:val="EUROPESE COMMISSIE"/>
    <w:docVar w:name="LW_NOM.INST_JOINTDOC" w:val="&lt;EMPTY&gt;"/>
    <w:docVar w:name="LW_OBJETACTEPRINCIPAL.CP" w:val="Solidariteitsfonds van de Europese Unie _x000b_Jaarverslag 2015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16) 546"/>
    <w:docVar w:name="LW_REF.INTERNE" w:val="&lt;UNUSED&gt;"/>
    <w:docVar w:name="LW_SUPERTITRE" w:val="&lt;UNUSED&gt;"/>
    <w:docVar w:name="LW_TITRE.OBJ.CP" w:val="&lt;UNUSED&gt;"/>
    <w:docVar w:name="LW_TYPE.DOC.CP" w:val="BIJLAGEN_x000b_"/>
    <w:docVar w:name="LW_TYPEACTEPRINCIPAL.CP" w:val="verslag van de Commissie aan het Europees Parlement en de Raad_x000b_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nl-NL" w:eastAsia="nl-NL" w:bidi="nl-N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nualHeading1">
    <w:name w:val="Manual Heading 1"/>
    <w:basedOn w:val="Normal"/>
    <w:next w:val="Normal"/>
    <w:link w:val="ManualHeading1Char"/>
    <w:pPr>
      <w:keepNext/>
      <w:tabs>
        <w:tab w:val="left" w:pos="850"/>
      </w:tabs>
      <w:spacing w:before="360" w:after="120" w:line="240" w:lineRule="auto"/>
      <w:ind w:left="850" w:hanging="850"/>
      <w:jc w:val="both"/>
      <w:outlineLvl w:val="0"/>
    </w:pPr>
    <w:rPr>
      <w:rFonts w:ascii="Times New Roman" w:eastAsia="Times New Roman" w:hAnsi="Times New Roman"/>
      <w:b/>
      <w:smallCaps/>
      <w:sz w:val="24"/>
      <w:szCs w:val="24"/>
    </w:rPr>
  </w:style>
  <w:style w:type="character" w:styleId="FootnoteReference">
    <w:name w:val="footnote reference"/>
    <w:semiHidden/>
    <w:rPr>
      <w:shd w:val="clear" w:color="auto" w:fill="auto"/>
      <w:vertAlign w:val="superscript"/>
    </w:rPr>
  </w:style>
  <w:style w:type="character" w:customStyle="1" w:styleId="Marker">
    <w:name w:val="Marker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Pr>
      <w:sz w:val="22"/>
      <w:szCs w:val="22"/>
      <w:lang w:eastAsia="nl-NL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Pr>
      <w:sz w:val="22"/>
      <w:szCs w:val="22"/>
      <w:lang w:eastAsia="nl-NL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eastAsia="Times New Roman" w:hAnsi="Times New Roman"/>
      <w:sz w:val="24"/>
    </w:rPr>
  </w:style>
  <w:style w:type="character" w:customStyle="1" w:styleId="ManualHeading1Char">
    <w:name w:val="Manual Heading 1 Char"/>
    <w:link w:val="ManualHeading1"/>
    <w:rPr>
      <w:rFonts w:ascii="Times New Roman" w:eastAsia="Times New Roman" w:hAnsi="Times New Roman"/>
      <w:b/>
      <w:smallCaps/>
      <w:sz w:val="24"/>
      <w:szCs w:val="24"/>
      <w:lang w:eastAsia="nl-NL"/>
    </w:rPr>
  </w:style>
  <w:style w:type="character" w:customStyle="1" w:styleId="FooterCoverPageChar">
    <w:name w:val="Footer Cover Page Char"/>
    <w:link w:val="FooterCoverPage"/>
    <w:rPr>
      <w:rFonts w:ascii="Times New Roman" w:eastAsia="Times New Roman" w:hAnsi="Times New Roman"/>
      <w:sz w:val="24"/>
      <w:szCs w:val="22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eastAsia="Times New Roman" w:hAnsi="Times New Roman"/>
      <w:sz w:val="24"/>
    </w:rPr>
  </w:style>
  <w:style w:type="character" w:customStyle="1" w:styleId="HeaderCoverPageChar">
    <w:name w:val="Header Cover Page Char"/>
    <w:link w:val="HeaderCoverPage"/>
    <w:rPr>
      <w:rFonts w:ascii="Times New Roman" w:eastAsia="Times New Roman" w:hAnsi="Times New Roman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nl-NL"/>
    </w:rPr>
  </w:style>
  <w:style w:type="paragraph" w:styleId="FootnoteText">
    <w:name w:val="footnote text"/>
    <w:basedOn w:val="Normal"/>
    <w:link w:val="FootnoteTextChar"/>
    <w:semiHidden/>
    <w:pPr>
      <w:spacing w:after="0" w:line="240" w:lineRule="auto"/>
      <w:ind w:left="720" w:hanging="720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semiHidden/>
    <w:rPr>
      <w:rFonts w:ascii="Times New Roman" w:eastAsia="Times New Roman" w:hAnsi="Times New Roman"/>
      <w:lang w:eastAsia="nl-NL"/>
    </w:r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 w:line="240" w:lineRule="auto"/>
      <w:ind w:left="-567" w:right="-567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Pr>
      <w:lang w:eastAsia="nl-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b/>
      <w:bCs/>
      <w:lang w:eastAsia="nl-NL"/>
    </w:rPr>
  </w:style>
  <w:style w:type="paragraph" w:customStyle="1" w:styleId="Footnote">
    <w:name w:val="Footnote"/>
    <w:basedOn w:val="FootnoteText"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nl-NL" w:eastAsia="nl-NL" w:bidi="nl-N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nualHeading1">
    <w:name w:val="Manual Heading 1"/>
    <w:basedOn w:val="Normal"/>
    <w:next w:val="Normal"/>
    <w:link w:val="ManualHeading1Char"/>
    <w:pPr>
      <w:keepNext/>
      <w:tabs>
        <w:tab w:val="left" w:pos="850"/>
      </w:tabs>
      <w:spacing w:before="360" w:after="120" w:line="240" w:lineRule="auto"/>
      <w:ind w:left="850" w:hanging="850"/>
      <w:jc w:val="both"/>
      <w:outlineLvl w:val="0"/>
    </w:pPr>
    <w:rPr>
      <w:rFonts w:ascii="Times New Roman" w:eastAsia="Times New Roman" w:hAnsi="Times New Roman"/>
      <w:b/>
      <w:smallCaps/>
      <w:sz w:val="24"/>
      <w:szCs w:val="24"/>
    </w:rPr>
  </w:style>
  <w:style w:type="character" w:styleId="FootnoteReference">
    <w:name w:val="footnote reference"/>
    <w:semiHidden/>
    <w:rPr>
      <w:shd w:val="clear" w:color="auto" w:fill="auto"/>
      <w:vertAlign w:val="superscript"/>
    </w:rPr>
  </w:style>
  <w:style w:type="character" w:customStyle="1" w:styleId="Marker">
    <w:name w:val="Marker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Pr>
      <w:sz w:val="22"/>
      <w:szCs w:val="22"/>
      <w:lang w:eastAsia="nl-NL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Pr>
      <w:sz w:val="22"/>
      <w:szCs w:val="22"/>
      <w:lang w:eastAsia="nl-NL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eastAsia="Times New Roman" w:hAnsi="Times New Roman"/>
      <w:sz w:val="24"/>
    </w:rPr>
  </w:style>
  <w:style w:type="character" w:customStyle="1" w:styleId="ManualHeading1Char">
    <w:name w:val="Manual Heading 1 Char"/>
    <w:link w:val="ManualHeading1"/>
    <w:rPr>
      <w:rFonts w:ascii="Times New Roman" w:eastAsia="Times New Roman" w:hAnsi="Times New Roman"/>
      <w:b/>
      <w:smallCaps/>
      <w:sz w:val="24"/>
      <w:szCs w:val="24"/>
      <w:lang w:eastAsia="nl-NL"/>
    </w:rPr>
  </w:style>
  <w:style w:type="character" w:customStyle="1" w:styleId="FooterCoverPageChar">
    <w:name w:val="Footer Cover Page Char"/>
    <w:link w:val="FooterCoverPage"/>
    <w:rPr>
      <w:rFonts w:ascii="Times New Roman" w:eastAsia="Times New Roman" w:hAnsi="Times New Roman"/>
      <w:sz w:val="24"/>
      <w:szCs w:val="22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eastAsia="Times New Roman" w:hAnsi="Times New Roman"/>
      <w:sz w:val="24"/>
    </w:rPr>
  </w:style>
  <w:style w:type="character" w:customStyle="1" w:styleId="HeaderCoverPageChar">
    <w:name w:val="Header Cover Page Char"/>
    <w:link w:val="HeaderCoverPage"/>
    <w:rPr>
      <w:rFonts w:ascii="Times New Roman" w:eastAsia="Times New Roman" w:hAnsi="Times New Roman"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nl-NL"/>
    </w:rPr>
  </w:style>
  <w:style w:type="paragraph" w:styleId="FootnoteText">
    <w:name w:val="footnote text"/>
    <w:basedOn w:val="Normal"/>
    <w:link w:val="FootnoteTextChar"/>
    <w:semiHidden/>
    <w:pPr>
      <w:spacing w:after="0" w:line="240" w:lineRule="auto"/>
      <w:ind w:left="720" w:hanging="720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semiHidden/>
    <w:rPr>
      <w:rFonts w:ascii="Times New Roman" w:eastAsia="Times New Roman" w:hAnsi="Times New Roman"/>
      <w:lang w:eastAsia="nl-NL"/>
    </w:r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after="120" w:line="240" w:lineRule="auto"/>
      <w:jc w:val="both"/>
    </w:pPr>
    <w:rPr>
      <w:rFonts w:ascii="Times New Roman" w:hAnsi="Times New Roman"/>
      <w:sz w:val="24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 w:line="240" w:lineRule="auto"/>
      <w:ind w:left="-567" w:right="-567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Pr>
      <w:lang w:eastAsia="nl-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b/>
      <w:bCs/>
      <w:lang w:eastAsia="nl-NL"/>
    </w:rPr>
  </w:style>
  <w:style w:type="paragraph" w:customStyle="1" w:styleId="Footnote">
    <w:name w:val="Footnote"/>
    <w:basedOn w:val="FootnoteText"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9.xml"/><Relationship Id="rId3" Type="http://schemas.microsoft.com/office/2007/relationships/stylesWithEffects" Target="stylesWithEffects.xml"/><Relationship Id="rId21" Type="http://schemas.openxmlformats.org/officeDocument/2006/relationships/hyperlink" Target="http://ec.europa.eu/regional_policy/index.cfm/nl/funding/solidarity-fund/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E1B12-9BC0-4F17-9145-B9112FC2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705</Words>
  <Characters>3832</Characters>
  <Application>Microsoft Office Word</Application>
  <DocSecurity>0</DocSecurity>
  <Lines>383</Lines>
  <Paragraphs>378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4159</CharactersWithSpaces>
  <SharedDoc>false</SharedDoc>
  <HLinks>
    <vt:vector size="6" baseType="variant">
      <vt:variant>
        <vt:i4>4849779</vt:i4>
      </vt:variant>
      <vt:variant>
        <vt:i4>0</vt:i4>
      </vt:variant>
      <vt:variant>
        <vt:i4>0</vt:i4>
      </vt:variant>
      <vt:variant>
        <vt:i4>5</vt:i4>
      </vt:variant>
      <vt:variant>
        <vt:lpwstr>http://ec.europa.eu/regional_policy/index.cfm/en/funding/solidarity-fund/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10</cp:revision>
  <cp:lastPrinted>2016-08-18T09:48:00Z</cp:lastPrinted>
  <dcterms:created xsi:type="dcterms:W3CDTF">2016-08-18T11:36:00Z</dcterms:created>
  <dcterms:modified xsi:type="dcterms:W3CDTF">2016-08-26T10:57:00Z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 annex">
    <vt:lpwstr>1</vt:lpwstr>
  </property>
  <property fmtid="{D5CDD505-2E9C-101B-9397-08002B2CF9AE}" pid="3" name="Last annex">
    <vt:lpwstr>2</vt:lpwstr>
  </property>
  <property fmtid="{D5CDD505-2E9C-101B-9397-08002B2CF9AE}" pid="4" name="Part">
    <vt:lpwstr>&lt;UNUSED&gt;</vt:lpwstr>
  </property>
  <property fmtid="{D5CDD505-2E9C-101B-9397-08002B2CF9AE}" pid="5" name="Total parts">
    <vt:lpwstr>&lt;UNUSED&gt;</vt:lpwstr>
  </property>
  <property fmtid="{D5CDD505-2E9C-101B-9397-08002B2CF9AE}" pid="6" name="DocStatus">
    <vt:lpwstr>Green</vt:lpwstr>
  </property>
  <property fmtid="{D5CDD505-2E9C-101B-9397-08002B2CF9AE}" pid="7" name="Classification">
    <vt:lpwstr> </vt:lpwstr>
  </property>
  <property name="OP_sanitized" fmtid="{D5CDD505-2E9C-101B-9397-08002B2CF9AE}" pid="8">
    <vt:lpwstr>True</vt:lpwstr>
  </property>
</Properties>
</file>