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73CFA1" w14:textId="16E3DDD6" w:rsidR="00FA104A" w:rsidRPr="003955F0" w:rsidRDefault="004D63FD" w:rsidP="004D63FD">
      <w:pPr>
        <w:pStyle w:val="Pagedecouverture"/>
        <w:rPr>
          <w:rStyle w:val="normaltextrun"/>
          <w:b/>
          <w:bCs/>
          <w:noProof/>
          <w:color w:val="000000"/>
          <w:sz w:val="20"/>
          <w:szCs w:val="20"/>
          <w:shd w:val="clear" w:color="auto" w:fill="FFFFFF"/>
        </w:rPr>
      </w:pPr>
      <w:bookmarkStart w:id="0" w:name="LW_BM_COVERPAGE"/>
      <w:r>
        <w:rPr>
          <w:rStyle w:val="normaltextrun"/>
          <w:b/>
          <w:bCs/>
          <w:noProof/>
          <w:color w:val="000000"/>
          <w:sz w:val="20"/>
          <w:szCs w:val="20"/>
          <w:shd w:val="clear" w:color="auto" w:fill="FFFFFF"/>
        </w:rPr>
        <w:pict w14:anchorId="03C8E0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AEA662FE-6B57-4275-8116-B28836D81855" style="width:455.25pt;height:365.25pt">
            <v:imagedata r:id="rId8" o:title=""/>
          </v:shape>
        </w:pict>
      </w:r>
    </w:p>
    <w:bookmarkEnd w:id="0"/>
    <w:p w14:paraId="3A989C05" w14:textId="77777777" w:rsidR="008D0AD2" w:rsidRPr="003955F0" w:rsidRDefault="008D0AD2" w:rsidP="0023570B">
      <w:pPr>
        <w:spacing w:before="120" w:after="120" w:line="276" w:lineRule="auto"/>
        <w:rPr>
          <w:rStyle w:val="normaltextrun"/>
          <w:rFonts w:ascii="Times New Roman" w:hAnsi="Times New Roman" w:cs="Times New Roman"/>
          <w:b/>
          <w:noProof/>
          <w:color w:val="000000"/>
          <w:shd w:val="clear" w:color="auto" w:fill="FFFFFF"/>
          <w:lang w:val="en-GB"/>
        </w:rPr>
        <w:sectPr w:rsidR="008D0AD2" w:rsidRPr="003955F0" w:rsidSect="004D63FD">
          <w:headerReference w:type="even" r:id="rId9"/>
          <w:headerReference w:type="default" r:id="rId10"/>
          <w:footerReference w:type="even" r:id="rId11"/>
          <w:footerReference w:type="default" r:id="rId12"/>
          <w:headerReference w:type="first" r:id="rId13"/>
          <w:footerReference w:type="first" r:id="rId14"/>
          <w:pgSz w:w="11906" w:h="16838"/>
          <w:pgMar w:top="1134" w:right="1417" w:bottom="1134" w:left="1417" w:header="709" w:footer="709" w:gutter="0"/>
          <w:pgNumType w:start="0"/>
          <w:cols w:space="720"/>
          <w:docGrid w:linePitch="360"/>
        </w:sectPr>
      </w:pPr>
    </w:p>
    <w:p w14:paraId="7F977566" w14:textId="573F8FF9" w:rsidR="00472771" w:rsidRPr="003955F0" w:rsidRDefault="0048234C" w:rsidP="007A29BC">
      <w:pPr>
        <w:pStyle w:val="ListParagraph"/>
        <w:numPr>
          <w:ilvl w:val="0"/>
          <w:numId w:val="4"/>
        </w:numPr>
        <w:tabs>
          <w:tab w:val="num" w:pos="720"/>
        </w:tabs>
        <w:spacing w:before="120" w:after="120" w:line="276" w:lineRule="auto"/>
        <w:ind w:left="357" w:hanging="357"/>
        <w:jc w:val="both"/>
        <w:rPr>
          <w:rStyle w:val="eop"/>
          <w:rFonts w:ascii="Times New Roman" w:hAnsi="Times New Roman" w:cs="Times New Roman"/>
          <w:b/>
          <w:noProof/>
          <w:color w:val="000000"/>
          <w:shd w:val="clear" w:color="auto" w:fill="FFFFFF"/>
        </w:rPr>
      </w:pPr>
      <w:bookmarkStart w:id="1" w:name="_GoBack"/>
      <w:bookmarkEnd w:id="1"/>
      <w:r>
        <w:rPr>
          <w:rStyle w:val="normaltextrun"/>
          <w:rFonts w:ascii="Times New Roman" w:hAnsi="Times New Roman"/>
          <w:b/>
          <w:noProof/>
          <w:color w:val="000000"/>
          <w:shd w:val="clear" w:color="auto" w:fill="FFFFFF"/>
        </w:rPr>
        <w:lastRenderedPageBreak/>
        <w:t>INTRODUZZJONI</w:t>
      </w:r>
    </w:p>
    <w:p w14:paraId="73D15E85" w14:textId="7697232A" w:rsidR="00CA00F7" w:rsidRPr="003955F0" w:rsidRDefault="0049449C" w:rsidP="007A29BC">
      <w:pPr>
        <w:spacing w:before="120" w:after="120" w:line="240" w:lineRule="auto"/>
        <w:jc w:val="both"/>
        <w:rPr>
          <w:rFonts w:ascii="Times New Roman" w:hAnsi="Times New Roman" w:cs="Times New Roman"/>
          <w:noProof/>
        </w:rPr>
      </w:pPr>
      <w:r>
        <w:rPr>
          <w:rFonts w:ascii="Times New Roman" w:hAnsi="Times New Roman"/>
          <w:b/>
          <w:noProof/>
        </w:rPr>
        <w:t>Il-politika dwar l-enerġija hija kritika għall-kompetittività, is-sigurtà u d-dekarbonizzazzjoni tal-Ewropa lejn in-newtralità klimatika sal-2050</w:t>
      </w:r>
      <w:r>
        <w:rPr>
          <w:rFonts w:ascii="Times New Roman" w:hAnsi="Times New Roman"/>
          <w:noProof/>
        </w:rPr>
        <w:t>, kif ukoll biex jintlaħqu l-objettivi ta’ tniġġis żero, tal-protezzjoni tal-bijodiversità u tal-ekonomija ċirkolari. Skont il-Patt Ekoloġiku Ewropew, l-UE stabbiliet qafas ta’ politika dwar l-enerġija stabbli u ambizzjuż, li jirrifletti l-fatt li l-enerġija tirrappreżenta madwar 75 % tal-emissjonijiet ta’ gassijiet serra (GHG, greenhouse gas).</w:t>
      </w:r>
    </w:p>
    <w:p w14:paraId="73B5848B" w14:textId="2B9683B4" w:rsidR="00AA63E8" w:rsidRPr="003955F0" w:rsidRDefault="00281719" w:rsidP="007A29BC">
      <w:pPr>
        <w:spacing w:before="120" w:after="120" w:line="240" w:lineRule="auto"/>
        <w:jc w:val="both"/>
        <w:rPr>
          <w:rFonts w:ascii="Times New Roman" w:hAnsi="Times New Roman" w:cs="Times New Roman"/>
          <w:noProof/>
        </w:rPr>
      </w:pPr>
      <w:r>
        <w:rPr>
          <w:rFonts w:ascii="Times New Roman" w:hAnsi="Times New Roman"/>
          <w:noProof/>
        </w:rPr>
        <w:t>Fl-2023 u l-2024, il-Kummissjoni kkonsolidat il-qafas ta’ politika meħtieġ biex jintlaħqu l-impenji internazzjonali tagħna, u l-miri tal-enerġija u tal-klima tal-Unjoni. Billi laħqet ftehimiet politiċi dwar il-fajls leġiżlattivi ewlenin kollha fil-</w:t>
      </w:r>
      <w:r>
        <w:rPr>
          <w:rFonts w:ascii="Times New Roman" w:hAnsi="Times New Roman"/>
          <w:b/>
          <w:noProof/>
        </w:rPr>
        <w:t>Pakkett “Lesti għall-mira ta’ 55 %”</w:t>
      </w:r>
      <w:r w:rsidR="008F2268">
        <w:rPr>
          <w:rStyle w:val="FootnoteReference"/>
          <w:rFonts w:ascii="Times New Roman" w:hAnsi="Times New Roman" w:cs="Times New Roman"/>
          <w:noProof/>
          <w:lang w:val="en-GB"/>
        </w:rPr>
        <w:footnoteReference w:id="2"/>
      </w:r>
      <w:r>
        <w:rPr>
          <w:rFonts w:ascii="Times New Roman" w:hAnsi="Times New Roman"/>
          <w:noProof/>
        </w:rPr>
        <w:t>, l-Unjoni Ewropea wittiet triq ċara lejn il-miri tagħha għall-2030.</w:t>
      </w:r>
    </w:p>
    <w:p w14:paraId="7557204F" w14:textId="53912528" w:rsidR="00CA00F7" w:rsidRPr="003955F0" w:rsidRDefault="0049449C" w:rsidP="007A29BC">
      <w:pPr>
        <w:spacing w:before="120" w:after="120" w:line="240" w:lineRule="auto"/>
        <w:jc w:val="both"/>
        <w:rPr>
          <w:rFonts w:ascii="Times New Roman" w:hAnsi="Times New Roman" w:cs="Times New Roman"/>
          <w:noProof/>
        </w:rPr>
      </w:pPr>
      <w:r>
        <w:rPr>
          <w:rFonts w:ascii="Times New Roman" w:hAnsi="Times New Roman"/>
          <w:noProof/>
        </w:rPr>
        <w:t>Il-gwerra ta’ aggressjoni tar-Russja kontra l-Ukrajna u l-użu tal-enerġija bħala arma min-naħa tagħha, heddew is-sigurtà tal-enerġija tal-Ewropa u, b’hekk, is-sigurtà ekonomika tagħha. B’rispons għal dan, l-UE nediet il-</w:t>
      </w:r>
      <w:r>
        <w:rPr>
          <w:rFonts w:ascii="Times New Roman" w:hAnsi="Times New Roman"/>
          <w:b/>
          <w:noProof/>
        </w:rPr>
        <w:t>pjan REPowerEU</w:t>
      </w:r>
      <w:r>
        <w:rPr>
          <w:rFonts w:ascii="Times New Roman" w:hAnsi="Times New Roman"/>
          <w:noProof/>
        </w:rPr>
        <w:t xml:space="preserve"> biex telimina d-dipendenza fuq il-fjuwils fossili Russi gradwalment u ħadet l-azzjonijiet ta’ emerġenza meħtieġa biex tinkiseb is-sigurtà tal-enerġija u jiġu stabbilizzati s-swieq.</w:t>
      </w:r>
    </w:p>
    <w:p w14:paraId="5A5E4095" w14:textId="142566F5" w:rsidR="00987B78" w:rsidRDefault="0049449C" w:rsidP="3632040D">
      <w:pPr>
        <w:spacing w:before="120" w:after="120" w:line="240" w:lineRule="auto"/>
        <w:jc w:val="both"/>
        <w:rPr>
          <w:rFonts w:ascii="Times New Roman" w:hAnsi="Times New Roman" w:cs="Times New Roman"/>
          <w:noProof/>
        </w:rPr>
      </w:pPr>
      <w:r>
        <w:rPr>
          <w:rFonts w:ascii="Times New Roman" w:hAnsi="Times New Roman"/>
          <w:noProof/>
        </w:rPr>
        <w:t>Matul dawn l-aħħar ftit snin, ir-ritmu tal-installazzjoni tal-enerġija rinnovabbli kien l-ogħla li qatt kien. L-UE naqqset ukoll id-dipendenza tagħha fuq il-gass naturali mir-Russja, u l-iffrankar enerġetiku llimita l-konsum. Madankollu, is-sigurtà tal-enerġija tal-UE għadha qed tiffaċċja sfidi li jvarjaw mid-dipendenza fuq l-importazzjoni u r-riskji għas-sigurtà għal theddid li dejjem jikber impost mit-tibdil fil-klima u d-degradazzjoni ambjentali. L-industrija Ewropea qed tiffaċċja sfida sinifikanti għall-kompetittività tagħha minħabba ż-żieda fil-kompetizzjoni miċ-Ċina, differenzi fil-prezzijiet tal-enerġija kbar ħafna meta mqabbla ma’ kompetituri industrijali oħra bħall-Istati Uniti, u dipendenzi strateġiċi potenzjali fuq teknoloġiji tal-enerġija nadifa. Bl-istess mod, iċ-ċittadini jiffaċċjaw kontijiet għoljin tal-enerġija, li, flimkien maż-żieda fl-għoli tal-ħajja, ikomplu jnaqqsu l-kapaċità tal-akkwist tagħhom.</w:t>
      </w:r>
    </w:p>
    <w:p w14:paraId="2F05D7F6" w14:textId="231ADB00" w:rsidR="0049449C" w:rsidRPr="003955F0" w:rsidRDefault="008B534F" w:rsidP="3632040D">
      <w:pPr>
        <w:spacing w:before="120" w:after="120" w:line="240" w:lineRule="auto"/>
        <w:jc w:val="both"/>
        <w:rPr>
          <w:rFonts w:ascii="Times New Roman" w:hAnsi="Times New Roman" w:cs="Times New Roman"/>
          <w:noProof/>
        </w:rPr>
      </w:pPr>
      <w:r>
        <w:rPr>
          <w:rFonts w:ascii="Times New Roman" w:hAnsi="Times New Roman"/>
          <w:noProof/>
        </w:rPr>
        <w:t>Barra minn hekk, il-pass lejn l-effiċjenza enerġetika u l-miri rinnovabbli tal-UE jrid jitħaffef aktar biex jiġi żgurat li dawn jintlaħqu.</w:t>
      </w:r>
    </w:p>
    <w:p w14:paraId="270B4F9E" w14:textId="6456B20C" w:rsidR="00CA00F7" w:rsidRPr="003955F0" w:rsidRDefault="0049449C" w:rsidP="007A29BC">
      <w:pPr>
        <w:spacing w:before="120" w:after="120" w:line="240" w:lineRule="auto"/>
        <w:jc w:val="both"/>
        <w:rPr>
          <w:rFonts w:ascii="Times New Roman" w:hAnsi="Times New Roman" w:cs="Times New Roman"/>
          <w:noProof/>
        </w:rPr>
      </w:pPr>
      <w:r>
        <w:rPr>
          <w:rFonts w:ascii="Times New Roman" w:hAnsi="Times New Roman"/>
          <w:b/>
          <w:noProof/>
        </w:rPr>
        <w:t>It-tranżizzjoni lejn enerġija nadifa hija kruċjali biex tiġi żgurata enerġija sostenibbli, kompetittiva u affordabbli</w:t>
      </w:r>
      <w:r>
        <w:rPr>
          <w:rFonts w:ascii="Times New Roman" w:hAnsi="Times New Roman"/>
          <w:noProof/>
        </w:rPr>
        <w:t xml:space="preserve"> għan-negozji u ċ-ċittadini biex l-industrija (b’mod partikolari s-setturi industrijali u tat-trasport diffiċli sabiex jitrażżnu u s-setturi tat-teknoloġija nadifa b’mod partikolari) u l-impjiegi ta’ kwalità jinżammu fl-UE u għas-sigurtà ekonomika tal-Ewropa. Il-kuntest ġeoekonomiku ġenerali jirrikjedi li l-Kummissjoni u l-UE jiksbu riżultati konkreti.</w:t>
      </w:r>
    </w:p>
    <w:p w14:paraId="54A3BCB4" w14:textId="664099E0" w:rsidR="009117B7" w:rsidRPr="003955F0" w:rsidRDefault="00F060F3" w:rsidP="007A29BC">
      <w:pPr>
        <w:spacing w:before="120" w:after="120" w:line="240" w:lineRule="auto"/>
        <w:jc w:val="both"/>
        <w:rPr>
          <w:rFonts w:ascii="Times New Roman" w:eastAsia="Times New Roman" w:hAnsi="Times New Roman" w:cs="Times New Roman"/>
          <w:noProof/>
        </w:rPr>
      </w:pPr>
      <w:r>
        <w:rPr>
          <w:rFonts w:ascii="Times New Roman" w:hAnsi="Times New Roman"/>
          <w:noProof/>
        </w:rPr>
        <w:t>Biex tilħaq in-newtralità klimatika sal-2050, l-UE stabbiliet mira intermedja għall-2030 ta’ tnaqqis ta’ mill-inqas 55 % tal-gassijiet serra netti meta mqabbla mal-1990</w:t>
      </w:r>
      <w:r w:rsidR="006E5E41" w:rsidRPr="003955F0">
        <w:rPr>
          <w:rStyle w:val="FootnoteReference"/>
          <w:rFonts w:ascii="Times New Roman" w:hAnsi="Times New Roman" w:cs="Times New Roman"/>
          <w:noProof/>
          <w:lang w:val="en-GB"/>
        </w:rPr>
        <w:footnoteReference w:id="3"/>
      </w:r>
      <w:r>
        <w:rPr>
          <w:rFonts w:ascii="Times New Roman" w:hAnsi="Times New Roman"/>
          <w:noProof/>
        </w:rPr>
        <w:t xml:space="preserve"> b’qafas ta’ politika sħiħ dwar l-enerġija u l-klima “Lesti għall-mira ta’ 55 %”, u l-Kummissjoni Ewropea rrakkomandat mira klimatika intermedja għall-2040 ta’ 90 %</w:t>
      </w:r>
      <w:r w:rsidR="003A4205" w:rsidRPr="003955F0">
        <w:rPr>
          <w:rStyle w:val="FootnoteReference"/>
          <w:rFonts w:ascii="Times New Roman" w:hAnsi="Times New Roman" w:cs="Times New Roman"/>
          <w:noProof/>
          <w:lang w:val="en-GB"/>
        </w:rPr>
        <w:footnoteReference w:id="4"/>
      </w:r>
      <w:r>
        <w:rPr>
          <w:rFonts w:ascii="Times New Roman" w:hAnsi="Times New Roman"/>
          <w:noProof/>
        </w:rPr>
        <w:t xml:space="preserve">. Bħala parti mill-impenn tagħna li nkunu l-ewwel kontinent newtrali għall-klima sal-2050, </w:t>
      </w:r>
      <w:r>
        <w:rPr>
          <w:rFonts w:ascii="Times New Roman" w:hAnsi="Times New Roman"/>
          <w:b/>
          <w:noProof/>
        </w:rPr>
        <w:t>l-Unjoni Ewropea u l-Istati Membri tagħha qed jaħdmu biex jilħqu l-objettivi għall-klima u l-enerġija għall-2030, b’riżultati pożittivi viżibbli għaċ-ċittadini u għan-negozji</w:t>
      </w:r>
      <w:r>
        <w:rPr>
          <w:rFonts w:ascii="Times New Roman" w:hAnsi="Times New Roman"/>
          <w:noProof/>
        </w:rPr>
        <w:t>.</w:t>
      </w:r>
    </w:p>
    <w:p w14:paraId="082C5C20" w14:textId="36CC33A8" w:rsidR="00373E41" w:rsidRPr="003955F0" w:rsidRDefault="001B5C96" w:rsidP="007A29BC">
      <w:pPr>
        <w:spacing w:before="120" w:after="120" w:line="240" w:lineRule="auto"/>
        <w:jc w:val="both"/>
        <w:rPr>
          <w:rFonts w:ascii="Times New Roman" w:eastAsia="Times New Roman" w:hAnsi="Times New Roman" w:cs="Times New Roman"/>
          <w:noProof/>
        </w:rPr>
      </w:pPr>
      <w:r>
        <w:rPr>
          <w:rFonts w:ascii="Times New Roman" w:hAnsi="Times New Roman"/>
          <w:noProof/>
        </w:rPr>
        <w:t>Ir-</w:t>
      </w:r>
      <w:r>
        <w:rPr>
          <w:rFonts w:ascii="Times New Roman" w:hAnsi="Times New Roman"/>
          <w:b/>
          <w:noProof/>
        </w:rPr>
        <w:t>rapport annwali dwar l-Istat tal-Unjoni tal-Enerġija jkejjel il-progress tal-UE lejn l-objettivi tal-Unjoni tal-Enerġija, il-Pjan REPowerEU</w:t>
      </w:r>
      <w:r>
        <w:rPr>
          <w:rFonts w:ascii="Times New Roman" w:hAnsi="Times New Roman"/>
          <w:noProof/>
        </w:rPr>
        <w:t xml:space="preserve"> u t-</w:t>
      </w:r>
      <w:r>
        <w:rPr>
          <w:rFonts w:ascii="Times New Roman" w:hAnsi="Times New Roman"/>
          <w:b/>
          <w:noProof/>
        </w:rPr>
        <w:t>tranżizzjoni lejn enerġija nadifa</w:t>
      </w:r>
      <w:r>
        <w:rPr>
          <w:rFonts w:ascii="Times New Roman" w:hAnsi="Times New Roman"/>
          <w:noProof/>
        </w:rPr>
        <w:t xml:space="preserve"> f’konformità mal-miri tal-enerġija u tal-klima.</w:t>
      </w:r>
    </w:p>
    <w:p w14:paraId="3D040CD9" w14:textId="5D4BB9B0" w:rsidR="00BC4D16" w:rsidRPr="003955F0" w:rsidRDefault="0062448C" w:rsidP="007A29BC">
      <w:pPr>
        <w:spacing w:before="120" w:after="120" w:line="240" w:lineRule="auto"/>
        <w:jc w:val="both"/>
        <w:rPr>
          <w:rFonts w:ascii="Times New Roman" w:hAnsi="Times New Roman" w:cs="Times New Roman"/>
          <w:i/>
          <w:noProof/>
        </w:rPr>
      </w:pPr>
      <w:r>
        <w:rPr>
          <w:rFonts w:ascii="Times New Roman" w:hAnsi="Times New Roman"/>
          <w:noProof/>
        </w:rPr>
        <w:t>Wara r-rapport dwar l-Istat tal-Unjoni tal-Enerġija</w:t>
      </w:r>
      <w:r w:rsidR="00F545B6" w:rsidRPr="003955F0">
        <w:rPr>
          <w:rStyle w:val="FootnoteReference"/>
          <w:rFonts w:ascii="Times New Roman" w:eastAsia="Times New Roman" w:hAnsi="Times New Roman" w:cs="Times New Roman"/>
          <w:noProof/>
          <w:lang w:val="en-GB"/>
        </w:rPr>
        <w:footnoteReference w:id="5"/>
      </w:r>
      <w:r>
        <w:rPr>
          <w:rFonts w:ascii="Times New Roman" w:hAnsi="Times New Roman"/>
          <w:noProof/>
        </w:rPr>
        <w:t xml:space="preserve"> tas-sena l-oħra li jittratta l-isfidi u l-kisbiet fl-2020–2023, ir-rapport ta’ din is-sena jaġġorna </w:t>
      </w:r>
      <w:r>
        <w:rPr>
          <w:rFonts w:ascii="Times New Roman" w:hAnsi="Times New Roman"/>
          <w:b/>
          <w:noProof/>
        </w:rPr>
        <w:t>kif l-UE aġixxiet b’suċċess fuq żviluppi u sfidi bla preċedent</w:t>
      </w:r>
      <w:r>
        <w:rPr>
          <w:rFonts w:ascii="Times New Roman" w:hAnsi="Times New Roman"/>
          <w:noProof/>
        </w:rPr>
        <w:t xml:space="preserve"> fl-aħħar sena tal-mandat ta’ din il-Kummissjoni. Ir-rapport huwa strutturat f’żewġ partijiet. L-ewwel parti turi kif l-ambizzjoni għolja tal-enerġija u tal-klima skont il-Patt Ekoloġiku Ewropew u l-Pjan REPowerEU pprovdew il-bażi għall-istrateġija tal-UE ta’ rispons għall-kriżijiet. Din tiddeskrivi wkoll il-passi biex tissaħħaħ il-kompetittività tal-industrija Ewropea. It-tieni parti tanalizza s-sitwazzjoni attwali fl-implimentazzjoni tal-Unjoni tal-Enerġija fil-ħames dimensjonijiet kollha tagħha: id-dekarbonizzazzjoni; l-effiċjenza enerġetika; is-sigurtà tal-enerġija; is-suq intern tal-enerġija; ir-riċerka, l-innovazzjoni u l-kompetittività.</w:t>
      </w:r>
    </w:p>
    <w:tbl>
      <w:tblPr>
        <w:tblStyle w:val="TableGrid"/>
        <w:tblW w:w="0" w:type="auto"/>
        <w:tblLayout w:type="fixed"/>
        <w:tblLook w:val="04A0" w:firstRow="1" w:lastRow="0" w:firstColumn="1" w:lastColumn="0" w:noHBand="0" w:noVBand="1"/>
      </w:tblPr>
      <w:tblGrid>
        <w:gridCol w:w="9350"/>
      </w:tblGrid>
      <w:tr w:rsidR="40507496" w:rsidRPr="003955F0" w14:paraId="033F15F3" w14:textId="77777777" w:rsidTr="1D65091E">
        <w:trPr>
          <w:trHeight w:val="300"/>
        </w:trPr>
        <w:tc>
          <w:tcPr>
            <w:tcW w:w="9350"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14138D40" w14:textId="4512459D" w:rsidR="40507496" w:rsidRPr="003955F0" w:rsidRDefault="40507496" w:rsidP="0023570B">
            <w:pPr>
              <w:spacing w:before="120" w:after="120" w:line="276" w:lineRule="auto"/>
              <w:jc w:val="both"/>
              <w:rPr>
                <w:rFonts w:ascii="Times New Roman" w:eastAsia="Times New Roman" w:hAnsi="Times New Roman" w:cs="Times New Roman"/>
                <w:b/>
                <w:i/>
                <w:noProof/>
                <w:color w:val="000000" w:themeColor="text1"/>
              </w:rPr>
            </w:pPr>
            <w:r>
              <w:rPr>
                <w:rFonts w:ascii="Times New Roman" w:hAnsi="Times New Roman"/>
                <w:b/>
                <w:i/>
                <w:noProof/>
              </w:rPr>
              <w:t xml:space="preserve">Stat tal-Unjoni tal-Enerġija – </w:t>
            </w:r>
            <w:r>
              <w:rPr>
                <w:rFonts w:ascii="Times New Roman" w:hAnsi="Times New Roman"/>
                <w:b/>
                <w:i/>
                <w:noProof/>
                <w:color w:val="000000" w:themeColor="text1"/>
              </w:rPr>
              <w:t>kisbiet</w:t>
            </w:r>
            <w:r>
              <w:rPr>
                <w:rFonts w:ascii="Times New Roman" w:hAnsi="Times New Roman"/>
                <w:b/>
                <w:i/>
                <w:noProof/>
              </w:rPr>
              <w:t xml:space="preserve"> ewlenin</w:t>
            </w:r>
            <w:r>
              <w:rPr>
                <w:rFonts w:ascii="Times New Roman" w:hAnsi="Times New Roman"/>
                <w:b/>
                <w:i/>
                <w:noProof/>
                <w:color w:val="000000" w:themeColor="text1"/>
              </w:rPr>
              <w:t xml:space="preserve"> </w:t>
            </w:r>
          </w:p>
          <w:p w14:paraId="4BC1B35B" w14:textId="5467B6E8" w:rsidR="00CE06E3" w:rsidRPr="003E05E8" w:rsidRDefault="00937C7C" w:rsidP="003E05E8">
            <w:pPr>
              <w:pStyle w:val="ListParagraph"/>
              <w:numPr>
                <w:ilvl w:val="0"/>
                <w:numId w:val="23"/>
              </w:numPr>
              <w:spacing w:before="120" w:after="120" w:line="276" w:lineRule="auto"/>
              <w:jc w:val="both"/>
              <w:rPr>
                <w:rFonts w:ascii="Times New Roman" w:eastAsia="Times New Roman" w:hAnsi="Times New Roman" w:cs="Times New Roman"/>
                <w:i/>
                <w:iCs/>
                <w:noProof/>
                <w:color w:val="000000" w:themeColor="text1"/>
                <w:sz w:val="20"/>
                <w:szCs w:val="20"/>
              </w:rPr>
            </w:pPr>
            <w:r>
              <w:rPr>
                <w:rFonts w:ascii="Times New Roman" w:hAnsi="Times New Roman"/>
                <w:b/>
                <w:i/>
                <w:noProof/>
                <w:color w:val="000000" w:themeColor="text1"/>
                <w:sz w:val="20"/>
              </w:rPr>
              <w:t>L-UE adottat il-fajls ewlenin kollha dwar l-enerġija u l-klima taħt il-pakkett “Lesti għall-mira ta’ 55 %”, inkluż</w:t>
            </w:r>
            <w:r>
              <w:rPr>
                <w:rFonts w:ascii="Times New Roman" w:hAnsi="Times New Roman"/>
                <w:i/>
                <w:noProof/>
                <w:color w:val="000000" w:themeColor="text1"/>
                <w:sz w:val="20"/>
              </w:rPr>
              <w:t xml:space="preserve"> emendi li jirriżultaw mill-pjan REPowerEU biex ittemm id-dipendenzi tagħna malajr, u r-reviżjoni tal-EU ETS, li issa tapplika għall-emissjonijiet tat-trasport marittimu, temenda r-regoli għall-allokazzjoni bla ħlas biex tinċentiva d-dekarbonizzazzjoni industrijali, u tagħti mandat lill-Istati Membri biex jonfqu d-dħul kollu għall-finijiet ta’ klima u enerġija. </w:t>
            </w:r>
          </w:p>
          <w:p w14:paraId="0C7CE2A8" w14:textId="5A09536B" w:rsidR="45367FAD" w:rsidRDefault="00CE06E3" w:rsidP="003E05E8">
            <w:pPr>
              <w:pStyle w:val="ListParagraph"/>
              <w:numPr>
                <w:ilvl w:val="0"/>
                <w:numId w:val="23"/>
              </w:numPr>
              <w:spacing w:before="120" w:after="120" w:line="276" w:lineRule="auto"/>
              <w:jc w:val="both"/>
              <w:rPr>
                <w:rFonts w:ascii="Times New Roman" w:eastAsia="Times New Roman" w:hAnsi="Times New Roman" w:cs="Times New Roman"/>
                <w:i/>
                <w:iCs/>
                <w:noProof/>
                <w:color w:val="000000" w:themeColor="text1"/>
                <w:sz w:val="20"/>
                <w:szCs w:val="20"/>
              </w:rPr>
            </w:pPr>
            <w:r>
              <w:rPr>
                <w:rFonts w:ascii="Times New Roman" w:hAnsi="Times New Roman"/>
                <w:i/>
                <w:noProof/>
                <w:color w:val="000000" w:themeColor="text1"/>
                <w:sz w:val="20"/>
              </w:rPr>
              <w:t>L-</w:t>
            </w:r>
            <w:r>
              <w:rPr>
                <w:rFonts w:ascii="Times New Roman" w:hAnsi="Times New Roman"/>
                <w:b/>
                <w:i/>
                <w:noProof/>
                <w:color w:val="000000" w:themeColor="text1"/>
                <w:sz w:val="20"/>
              </w:rPr>
              <w:t xml:space="preserve">emissjonijiet ta’ gassijiet serra tal-UE diġà naqsu bi 32,5 </w:t>
            </w:r>
            <w:r w:rsidRPr="00CE06E3">
              <w:rPr>
                <w:b/>
                <w:bCs/>
                <w:noProof/>
                <w:vertAlign w:val="superscript"/>
                <w:lang w:val="en-GB"/>
              </w:rPr>
              <w:footnoteReference w:id="6"/>
            </w:r>
            <w:r>
              <w:rPr>
                <w:rFonts w:ascii="Times New Roman" w:hAnsi="Times New Roman"/>
                <w:b/>
                <w:i/>
                <w:noProof/>
                <w:color w:val="000000" w:themeColor="text1"/>
                <w:sz w:val="20"/>
              </w:rPr>
              <w:t>% meta mqabbla mal-1990</w:t>
            </w:r>
            <w:r>
              <w:rPr>
                <w:rFonts w:ascii="Times New Roman" w:hAnsi="Times New Roman"/>
                <w:i/>
                <w:noProof/>
                <w:color w:val="000000" w:themeColor="text1"/>
                <w:sz w:val="20"/>
              </w:rPr>
              <w:t>, filwaqt li l-ekonomija tal-UE kibret b’madwar 67 % fl-istess perjodu, u b’hekk it-tkabbir ġie separat mill-emissjonijiet.</w:t>
            </w:r>
          </w:p>
          <w:p w14:paraId="326A0C44" w14:textId="1F420F18" w:rsidR="00D45240" w:rsidRPr="003E05E8" w:rsidRDefault="00D45240" w:rsidP="003E05E8">
            <w:pPr>
              <w:pStyle w:val="ListParagraph"/>
              <w:numPr>
                <w:ilvl w:val="0"/>
                <w:numId w:val="23"/>
              </w:numPr>
              <w:spacing w:before="120" w:after="120" w:line="276" w:lineRule="auto"/>
              <w:jc w:val="both"/>
              <w:rPr>
                <w:rFonts w:ascii="Times New Roman" w:eastAsia="Times New Roman" w:hAnsi="Times New Roman" w:cs="Times New Roman"/>
                <w:i/>
                <w:iCs/>
                <w:noProof/>
                <w:color w:val="000000" w:themeColor="text1"/>
                <w:sz w:val="20"/>
                <w:szCs w:val="20"/>
              </w:rPr>
            </w:pPr>
            <w:r>
              <w:rPr>
                <w:rFonts w:ascii="Times New Roman" w:hAnsi="Times New Roman"/>
                <w:i/>
                <w:noProof/>
                <w:color w:val="000000" w:themeColor="text1"/>
                <w:sz w:val="20"/>
              </w:rPr>
              <w:t>Għall-emissjonijiet koperti mill-ETS, id-</w:t>
            </w:r>
            <w:r>
              <w:rPr>
                <w:rFonts w:ascii="Times New Roman" w:hAnsi="Times New Roman"/>
                <w:i/>
                <w:iCs/>
                <w:noProof/>
                <w:color w:val="000000" w:themeColor="text1"/>
                <w:sz w:val="20"/>
              </w:rPr>
              <w:t>data</w:t>
            </w:r>
            <w:r>
              <w:rPr>
                <w:rFonts w:ascii="Times New Roman" w:hAnsi="Times New Roman"/>
                <w:i/>
                <w:noProof/>
                <w:color w:val="000000" w:themeColor="text1"/>
                <w:sz w:val="20"/>
              </w:rPr>
              <w:t xml:space="preserve"> rrappurtata mill-Istati Membri tal-UE sat-2 ta’ April 2024 turi tnaqqis ta’ 15,5 % fl-emissjonijiet fl-2023, meta mqabbla mal-livelli tal-2022. B’dan l-iżvilupp, l-emissjonijiet tal-ETS issa huma madwar 47 % taħt il-livelli tal-2005 u jinsabu fit-triq it-tajba biex tintlaħaq il-mira għall-2030 ta’ -62 %.</w:t>
            </w:r>
          </w:p>
          <w:p w14:paraId="08CFD842" w14:textId="6779ED66" w:rsidR="0006117B" w:rsidRPr="003E05E8" w:rsidRDefault="3A81D0AE" w:rsidP="003E05E8">
            <w:pPr>
              <w:pStyle w:val="ListParagraph"/>
              <w:numPr>
                <w:ilvl w:val="0"/>
                <w:numId w:val="23"/>
              </w:numPr>
              <w:spacing w:before="120" w:after="120" w:line="276" w:lineRule="auto"/>
              <w:jc w:val="both"/>
              <w:rPr>
                <w:rFonts w:ascii="Times New Roman" w:eastAsia="Times New Roman" w:hAnsi="Times New Roman" w:cs="Times New Roman"/>
                <w:i/>
                <w:iCs/>
                <w:noProof/>
                <w:color w:val="000000" w:themeColor="text1"/>
                <w:sz w:val="20"/>
                <w:szCs w:val="20"/>
              </w:rPr>
            </w:pPr>
            <w:r>
              <w:rPr>
                <w:rFonts w:ascii="Times New Roman" w:hAnsi="Times New Roman"/>
                <w:i/>
                <w:noProof/>
                <w:color w:val="000000" w:themeColor="text1"/>
                <w:sz w:val="20"/>
              </w:rPr>
              <w:t>Il-miżuri fil-livell tal-UE u dak nazzjonali nfdew u l-</w:t>
            </w:r>
            <w:r>
              <w:rPr>
                <w:rFonts w:ascii="Times New Roman" w:hAnsi="Times New Roman"/>
                <w:b/>
                <w:i/>
                <w:noProof/>
                <w:color w:val="000000" w:themeColor="text1"/>
                <w:sz w:val="20"/>
              </w:rPr>
              <w:t xml:space="preserve">prezzijiet tal-elettriku u tal-gass naqsu </w:t>
            </w:r>
            <w:r>
              <w:rPr>
                <w:rFonts w:ascii="Times New Roman" w:hAnsi="Times New Roman"/>
                <w:b/>
                <w:i/>
                <w:noProof/>
                <w:sz w:val="20"/>
              </w:rPr>
              <w:t>drastikament</w:t>
            </w:r>
            <w:r>
              <w:rPr>
                <w:rFonts w:ascii="Times New Roman" w:hAnsi="Times New Roman"/>
                <w:i/>
                <w:noProof/>
                <w:sz w:val="20"/>
              </w:rPr>
              <w:t xml:space="preserve"> meta mqabbla mal-ogħla livelli fl-2022, kemm fis-swieq tal-operaturi kif ukoll f’dawk bl-imnut. Madankollu, dawn baqgħu għoljin.</w:t>
            </w:r>
          </w:p>
          <w:p w14:paraId="508D63E6" w14:textId="5363D2BA" w:rsidR="00A96651" w:rsidRPr="003E05E8" w:rsidRDefault="53F768E7" w:rsidP="003E05E8">
            <w:pPr>
              <w:pStyle w:val="ListParagraph"/>
              <w:numPr>
                <w:ilvl w:val="0"/>
                <w:numId w:val="23"/>
              </w:numPr>
              <w:spacing w:before="120" w:after="120" w:line="276" w:lineRule="auto"/>
              <w:jc w:val="both"/>
              <w:rPr>
                <w:rFonts w:ascii="Times New Roman" w:eastAsia="Times New Roman" w:hAnsi="Times New Roman" w:cs="Times New Roman"/>
                <w:i/>
                <w:iCs/>
                <w:noProof/>
                <w:color w:val="000000" w:themeColor="text1"/>
                <w:sz w:val="20"/>
                <w:szCs w:val="20"/>
              </w:rPr>
            </w:pPr>
            <w:r>
              <w:rPr>
                <w:rFonts w:ascii="Times New Roman" w:hAnsi="Times New Roman"/>
                <w:b/>
                <w:i/>
                <w:noProof/>
                <w:color w:val="000000" w:themeColor="text1"/>
                <w:sz w:val="20"/>
              </w:rPr>
              <w:t>L-UE kisbet tnaqqis ta’ 18 % fid-domanda għall-gass bejn Awwissu 2022 u Mejju 2024.  Dan irriżulta f’madwar 138 biljun metru kubu (bcm) ta’ gass iffrankat</w:t>
            </w:r>
            <w:r>
              <w:rPr>
                <w:rFonts w:ascii="Times New Roman" w:hAnsi="Times New Roman"/>
                <w:i/>
                <w:noProof/>
                <w:color w:val="000000" w:themeColor="text1"/>
                <w:sz w:val="20"/>
              </w:rPr>
              <w:t>. Bis-sanzjonijiet tal-UE li jipprojbixxu l-importazzjonijiet bil-baħar taż-</w:t>
            </w:r>
            <w:r>
              <w:rPr>
                <w:rFonts w:ascii="Times New Roman" w:hAnsi="Times New Roman"/>
                <w:b/>
                <w:i/>
                <w:noProof/>
                <w:color w:val="000000" w:themeColor="text1"/>
                <w:sz w:val="20"/>
              </w:rPr>
              <w:t>żejt mhux maħdum Russu</w:t>
            </w:r>
            <w:r>
              <w:rPr>
                <w:rFonts w:ascii="Times New Roman" w:hAnsi="Times New Roman"/>
                <w:i/>
                <w:noProof/>
                <w:color w:val="000000" w:themeColor="text1"/>
                <w:sz w:val="20"/>
              </w:rPr>
              <w:t xml:space="preserve"> u tal-</w:t>
            </w:r>
            <w:r>
              <w:rPr>
                <w:rFonts w:ascii="Times New Roman" w:hAnsi="Times New Roman"/>
                <w:b/>
                <w:i/>
                <w:noProof/>
                <w:color w:val="000000" w:themeColor="text1"/>
                <w:sz w:val="20"/>
              </w:rPr>
              <w:t xml:space="preserve">prodotti tal-petroleum raffinat </w:t>
            </w:r>
            <w:r>
              <w:rPr>
                <w:rFonts w:ascii="Times New Roman" w:hAnsi="Times New Roman"/>
                <w:i/>
                <w:noProof/>
                <w:color w:val="000000" w:themeColor="text1"/>
                <w:sz w:val="20"/>
              </w:rPr>
              <w:t>kif ukoll tal-</w:t>
            </w:r>
            <w:r>
              <w:rPr>
                <w:rFonts w:ascii="Times New Roman" w:hAnsi="Times New Roman"/>
                <w:b/>
                <w:i/>
                <w:noProof/>
                <w:color w:val="000000" w:themeColor="text1"/>
                <w:sz w:val="20"/>
              </w:rPr>
              <w:t>faħam Russu</w:t>
            </w:r>
            <w:r>
              <w:rPr>
                <w:rFonts w:ascii="Times New Roman" w:hAnsi="Times New Roman"/>
                <w:i/>
                <w:noProof/>
                <w:color w:val="000000" w:themeColor="text1"/>
                <w:sz w:val="20"/>
              </w:rPr>
              <w:t xml:space="preserve">, </w:t>
            </w:r>
            <w:r>
              <w:rPr>
                <w:rFonts w:ascii="Times New Roman" w:hAnsi="Times New Roman"/>
                <w:b/>
                <w:i/>
                <w:noProof/>
                <w:color w:val="000000" w:themeColor="text1"/>
                <w:sz w:val="20"/>
              </w:rPr>
              <w:t>l-importazzjonijiet tal-gass Russu (bil-pipeline u LNG (gass naturali likwifikat)naqsu minn sehem ta’ 45 % tal-importazzjonijiet globali tal-gass tal-UE fl-2021, għal 18 %</w:t>
            </w:r>
            <w:r>
              <w:rPr>
                <w:rFonts w:ascii="Times New Roman" w:hAnsi="Times New Roman"/>
                <w:i/>
                <w:noProof/>
                <w:color w:val="000000" w:themeColor="text1"/>
                <w:sz w:val="20"/>
              </w:rPr>
              <w:t xml:space="preserve"> biss sa Awwissu 2024.</w:t>
            </w:r>
          </w:p>
          <w:p w14:paraId="0B24C2A4" w14:textId="3A0618DD" w:rsidR="00251663" w:rsidRPr="003E05E8" w:rsidRDefault="00251663" w:rsidP="003E05E8">
            <w:pPr>
              <w:pStyle w:val="ListParagraph"/>
              <w:numPr>
                <w:ilvl w:val="0"/>
                <w:numId w:val="23"/>
              </w:numPr>
              <w:spacing w:before="120" w:after="120" w:line="276" w:lineRule="auto"/>
              <w:jc w:val="both"/>
              <w:rPr>
                <w:rFonts w:ascii="Times New Roman" w:eastAsia="Times New Roman" w:hAnsi="Times New Roman" w:cs="Times New Roman"/>
                <w:i/>
                <w:iCs/>
                <w:noProof/>
                <w:color w:val="000000" w:themeColor="text1"/>
                <w:sz w:val="20"/>
                <w:szCs w:val="20"/>
              </w:rPr>
            </w:pPr>
            <w:r>
              <w:rPr>
                <w:rFonts w:ascii="Times New Roman" w:hAnsi="Times New Roman"/>
                <w:i/>
                <w:noProof/>
                <w:color w:val="000000" w:themeColor="text1"/>
                <w:sz w:val="20"/>
              </w:rPr>
              <w:t xml:space="preserve">Biex </w:t>
            </w:r>
            <w:r>
              <w:rPr>
                <w:rFonts w:ascii="Times New Roman" w:hAnsi="Times New Roman"/>
                <w:b/>
                <w:i/>
                <w:noProof/>
                <w:color w:val="000000" w:themeColor="text1"/>
                <w:sz w:val="20"/>
              </w:rPr>
              <w:t>tissostitwixxi malajr il-provvista tal-gass Russa u tiżgura s-sigurtà tal-enerġija tal-Ewropa fuq perjodu qasir/medju ta’ żmien, l-UE kkuntattjat fornituri internazzjonali oħra</w:t>
            </w:r>
            <w:r>
              <w:rPr>
                <w:rFonts w:ascii="Times New Roman" w:hAnsi="Times New Roman"/>
                <w:i/>
                <w:noProof/>
                <w:color w:val="000000" w:themeColor="text1"/>
                <w:sz w:val="20"/>
              </w:rPr>
              <w:t>. In-</w:t>
            </w:r>
            <w:r>
              <w:rPr>
                <w:rFonts w:ascii="Times New Roman" w:hAnsi="Times New Roman"/>
                <w:b/>
                <w:i/>
                <w:noProof/>
                <w:color w:val="000000" w:themeColor="text1"/>
                <w:sz w:val="20"/>
              </w:rPr>
              <w:t>Norveġja</w:t>
            </w:r>
            <w:r>
              <w:rPr>
                <w:rFonts w:ascii="Times New Roman" w:hAnsi="Times New Roman"/>
                <w:i/>
                <w:noProof/>
                <w:color w:val="000000" w:themeColor="text1"/>
                <w:sz w:val="20"/>
              </w:rPr>
              <w:t xml:space="preserve"> u l-</w:t>
            </w:r>
            <w:r>
              <w:rPr>
                <w:rFonts w:ascii="Times New Roman" w:hAnsi="Times New Roman"/>
                <w:b/>
                <w:i/>
                <w:noProof/>
                <w:color w:val="000000" w:themeColor="text1"/>
                <w:sz w:val="20"/>
              </w:rPr>
              <w:t>Istati Uniti</w:t>
            </w:r>
            <w:r>
              <w:rPr>
                <w:rFonts w:ascii="Times New Roman" w:hAnsi="Times New Roman"/>
                <w:i/>
                <w:noProof/>
                <w:color w:val="000000" w:themeColor="text1"/>
                <w:sz w:val="20"/>
              </w:rPr>
              <w:t xml:space="preserve"> saru l-</w:t>
            </w:r>
            <w:r>
              <w:rPr>
                <w:rFonts w:ascii="Times New Roman" w:hAnsi="Times New Roman"/>
                <w:b/>
                <w:i/>
                <w:noProof/>
                <w:color w:val="000000" w:themeColor="text1"/>
                <w:sz w:val="20"/>
              </w:rPr>
              <w:t>akbar fornituri tal-gass tal-UE</w:t>
            </w:r>
            <w:r>
              <w:rPr>
                <w:rFonts w:ascii="Times New Roman" w:hAnsi="Times New Roman"/>
                <w:i/>
                <w:noProof/>
                <w:color w:val="000000" w:themeColor="text1"/>
                <w:sz w:val="20"/>
              </w:rPr>
              <w:t xml:space="preserve"> — għall-gass bil-pipeline u l-LNG rispettivament — u pprovdew 34 % u 18 % tal-importazzjonijiet tal-gass tal-UE fl-ewwel nofs tal-2024. </w:t>
            </w:r>
          </w:p>
          <w:p w14:paraId="330E97B9" w14:textId="6DE8748E" w:rsidR="00A96651" w:rsidRPr="003E05E8" w:rsidRDefault="00A96651" w:rsidP="003E05E8">
            <w:pPr>
              <w:pStyle w:val="ListParagraph"/>
              <w:numPr>
                <w:ilvl w:val="0"/>
                <w:numId w:val="23"/>
              </w:numPr>
              <w:spacing w:before="120" w:after="120" w:line="276" w:lineRule="auto"/>
              <w:jc w:val="both"/>
              <w:rPr>
                <w:rFonts w:ascii="Times New Roman" w:eastAsia="Times New Roman" w:hAnsi="Times New Roman" w:cs="Times New Roman"/>
                <w:i/>
                <w:noProof/>
                <w:color w:val="000000" w:themeColor="text1"/>
                <w:sz w:val="20"/>
                <w:szCs w:val="20"/>
              </w:rPr>
            </w:pPr>
            <w:r>
              <w:rPr>
                <w:rFonts w:ascii="Times New Roman" w:hAnsi="Times New Roman"/>
                <w:i/>
                <w:noProof/>
                <w:color w:val="000000" w:themeColor="text1"/>
                <w:sz w:val="20"/>
              </w:rPr>
              <w:t xml:space="preserve">Rekord ta’ </w:t>
            </w:r>
            <w:r>
              <w:rPr>
                <w:rFonts w:ascii="Times New Roman" w:hAnsi="Times New Roman"/>
                <w:b/>
                <w:i/>
                <w:noProof/>
                <w:color w:val="000000" w:themeColor="text1"/>
                <w:sz w:val="20"/>
              </w:rPr>
              <w:t>tnax-il terminal ġdid tal-LNG u sitt proġetti ta’ espansjoni ta’ terminals eżistenti</w:t>
            </w:r>
            <w:r>
              <w:rPr>
                <w:rFonts w:ascii="Times New Roman" w:hAnsi="Times New Roman"/>
                <w:i/>
                <w:noProof/>
                <w:color w:val="000000" w:themeColor="text1"/>
                <w:sz w:val="20"/>
              </w:rPr>
              <w:t xml:space="preserve"> ġew ikkummissjonati bejn l-2022 u l-2024. B’mod kumplessiv, dawn huma mistennija li jżidu l-kapaċità tal-importazzjoni tal-LNG tal-UE b’70 bcm sa 284 bcm sal-2024.</w:t>
            </w:r>
          </w:p>
          <w:p w14:paraId="2905C6CE" w14:textId="12DA027D" w:rsidR="002C757B" w:rsidRPr="003E05E8" w:rsidRDefault="28824CEE" w:rsidP="003E05E8">
            <w:pPr>
              <w:pStyle w:val="ListParagraph"/>
              <w:numPr>
                <w:ilvl w:val="0"/>
                <w:numId w:val="23"/>
              </w:numPr>
              <w:spacing w:before="120" w:after="120" w:line="276" w:lineRule="auto"/>
              <w:jc w:val="both"/>
              <w:rPr>
                <w:rFonts w:ascii="Times New Roman" w:eastAsia="Times New Roman" w:hAnsi="Times New Roman" w:cs="Times New Roman"/>
                <w:i/>
                <w:iCs/>
                <w:noProof/>
                <w:color w:val="000000" w:themeColor="text1"/>
                <w:sz w:val="20"/>
                <w:szCs w:val="20"/>
              </w:rPr>
            </w:pPr>
            <w:r>
              <w:rPr>
                <w:rFonts w:ascii="Times New Roman" w:hAnsi="Times New Roman"/>
                <w:b/>
                <w:i/>
                <w:noProof/>
                <w:color w:val="000000" w:themeColor="text1"/>
                <w:sz w:val="20"/>
              </w:rPr>
              <w:t>Il-Pjattaforma tal-Enerġija tal-UE</w:t>
            </w:r>
            <w:r>
              <w:rPr>
                <w:rFonts w:ascii="Times New Roman" w:hAnsi="Times New Roman"/>
                <w:i/>
                <w:noProof/>
                <w:color w:val="000000" w:themeColor="text1"/>
                <w:sz w:val="20"/>
              </w:rPr>
              <w:t xml:space="preserve"> kkontribwiet għall-għanijiet ta’ diversifikazzjoni tal-UE. Attirat aktar minn 180 kumpanija biex jagħmlu l-offerti u qabblet lix-xerrejja Ewropej ma’ fornituri esterni għal aktar minn 75 bcm ta’ gass naturali bejn l-2023 u l-2024.</w:t>
            </w:r>
          </w:p>
          <w:p w14:paraId="58718980" w14:textId="0F9CE36C" w:rsidR="002C757B" w:rsidRPr="003E05E8" w:rsidRDefault="34DECAD3" w:rsidP="003E05E8">
            <w:pPr>
              <w:pStyle w:val="ListParagraph"/>
              <w:numPr>
                <w:ilvl w:val="0"/>
                <w:numId w:val="23"/>
              </w:numPr>
              <w:spacing w:before="120" w:after="120" w:line="276" w:lineRule="auto"/>
              <w:jc w:val="both"/>
              <w:rPr>
                <w:rFonts w:ascii="Times New Roman" w:eastAsia="Times New Roman" w:hAnsi="Times New Roman" w:cs="Times New Roman"/>
                <w:i/>
                <w:iCs/>
                <w:noProof/>
                <w:color w:val="000000" w:themeColor="text1"/>
                <w:sz w:val="20"/>
                <w:szCs w:val="20"/>
              </w:rPr>
            </w:pPr>
            <w:r>
              <w:rPr>
                <w:rFonts w:ascii="Times New Roman" w:hAnsi="Times New Roman"/>
                <w:i/>
                <w:noProof/>
                <w:color w:val="000000" w:themeColor="text1"/>
                <w:sz w:val="20"/>
              </w:rPr>
              <w:t>Il-</w:t>
            </w:r>
            <w:r>
              <w:rPr>
                <w:rFonts w:ascii="Times New Roman" w:hAnsi="Times New Roman"/>
                <w:b/>
                <w:i/>
                <w:noProof/>
                <w:color w:val="000000" w:themeColor="text1"/>
                <w:sz w:val="20"/>
              </w:rPr>
              <w:t xml:space="preserve">livelli tal-ħżin tal-gass tal-UE </w:t>
            </w:r>
            <w:r>
              <w:rPr>
                <w:rFonts w:ascii="Times New Roman" w:hAnsi="Times New Roman"/>
                <w:i/>
                <w:noProof/>
                <w:color w:val="000000" w:themeColor="text1"/>
                <w:sz w:val="20"/>
              </w:rPr>
              <w:t xml:space="preserve">kienu f’kapaċità ta’ 59 % fl-1 ta’ April 2024, u </w:t>
            </w:r>
            <w:r>
              <w:rPr>
                <w:rFonts w:ascii="Times New Roman" w:hAnsi="Times New Roman"/>
                <w:b/>
                <w:i/>
                <w:noProof/>
                <w:color w:val="000000" w:themeColor="text1"/>
                <w:sz w:val="20"/>
              </w:rPr>
              <w:t>laħqu</w:t>
            </w:r>
            <w:r>
              <w:rPr>
                <w:rFonts w:ascii="Times New Roman" w:hAnsi="Times New Roman"/>
                <w:i/>
                <w:noProof/>
                <w:color w:val="000000" w:themeColor="text1"/>
                <w:sz w:val="20"/>
              </w:rPr>
              <w:t xml:space="preserve"> rekord għoli ġdid għal tmiem l-istaġun tax-xitwa; fid-19 ta’ Awwissu 2024, l-UE laħqet il-mira tal-kapaċità ta’ ħżin tal-gass ta’ 90 %, aktar minn xahrejn qabel l-iskadenza tal-1 ta’ Novembru.</w:t>
            </w:r>
          </w:p>
          <w:p w14:paraId="1987E080" w14:textId="1DBD745F" w:rsidR="003714A1" w:rsidRPr="003E05E8" w:rsidRDefault="00CE477E" w:rsidP="003E05E8">
            <w:pPr>
              <w:pStyle w:val="ListParagraph"/>
              <w:numPr>
                <w:ilvl w:val="0"/>
                <w:numId w:val="23"/>
              </w:numPr>
              <w:spacing w:before="120" w:after="120" w:line="276" w:lineRule="auto"/>
              <w:jc w:val="both"/>
              <w:rPr>
                <w:rFonts w:ascii="Times New Roman" w:eastAsia="Times New Roman" w:hAnsi="Times New Roman" w:cs="Times New Roman"/>
                <w:noProof/>
                <w:sz w:val="20"/>
                <w:szCs w:val="20"/>
              </w:rPr>
            </w:pPr>
            <w:r>
              <w:rPr>
                <w:rFonts w:ascii="Times New Roman" w:hAnsi="Times New Roman"/>
                <w:b/>
                <w:i/>
                <w:noProof/>
                <w:sz w:val="20"/>
              </w:rPr>
              <w:t>L-ewwel lista tal-Unjoni ta’ Proġetti ta’ Interess Komuni (PCIs, projects of common interest) u ta’ Proġetti ta’ Interess Reċiproku (PMIs, projects of mutual interest)</w:t>
            </w:r>
            <w:r w:rsidR="001D4BA4" w:rsidRPr="003714A1">
              <w:rPr>
                <w:rStyle w:val="FootnoteReference"/>
                <w:rFonts w:ascii="Times New Roman" w:hAnsi="Times New Roman" w:cs="Times New Roman"/>
                <w:i/>
                <w:iCs/>
                <w:noProof/>
                <w:sz w:val="20"/>
                <w:szCs w:val="20"/>
                <w:lang w:val="en-GB"/>
              </w:rPr>
              <w:footnoteReference w:id="7"/>
            </w:r>
            <w:r>
              <w:rPr>
                <w:rFonts w:ascii="Times New Roman" w:hAnsi="Times New Roman"/>
                <w:i/>
                <w:noProof/>
                <w:sz w:val="20"/>
              </w:rPr>
              <w:t xml:space="preserve"> ġiet adottata mill-Kummissjoni f’Novembru 2023 biex tgħin fil-bini ta’ network tal-infrastruttura madwar l-Ewropa li huwa adattat għall-objettivi ambizzjużi tagħna ta’ diversifikazzjoni u dekarbonizzazzjoni.</w:t>
            </w:r>
            <w:r>
              <w:rPr>
                <w:rFonts w:ascii="Times New Roman" w:hAnsi="Times New Roman"/>
                <w:noProof/>
                <w:sz w:val="20"/>
              </w:rPr>
              <w:t xml:space="preserve"> </w:t>
            </w:r>
          </w:p>
          <w:p w14:paraId="68BF5D18" w14:textId="08E77C18" w:rsidR="007A789F" w:rsidRPr="003E05E8" w:rsidRDefault="007A789F" w:rsidP="003E05E8">
            <w:pPr>
              <w:pStyle w:val="ListParagraph"/>
              <w:numPr>
                <w:ilvl w:val="0"/>
                <w:numId w:val="23"/>
              </w:numPr>
              <w:spacing w:before="240" w:after="120"/>
              <w:jc w:val="both"/>
              <w:rPr>
                <w:rFonts w:ascii="Times New Roman" w:eastAsia="Times New Roman" w:hAnsi="Times New Roman" w:cs="Times New Roman"/>
                <w:i/>
                <w:noProof/>
                <w:color w:val="000000" w:themeColor="text1"/>
                <w:sz w:val="20"/>
                <w:szCs w:val="20"/>
              </w:rPr>
            </w:pPr>
            <w:r>
              <w:rPr>
                <w:rFonts w:ascii="Times New Roman" w:hAnsi="Times New Roman"/>
                <w:i/>
                <w:noProof/>
                <w:color w:val="000000" w:themeColor="text1"/>
                <w:sz w:val="20"/>
              </w:rPr>
              <w:t>Il-</w:t>
            </w:r>
            <w:r>
              <w:rPr>
                <w:rFonts w:ascii="Times New Roman" w:hAnsi="Times New Roman"/>
                <w:b/>
                <w:i/>
                <w:noProof/>
                <w:color w:val="000000" w:themeColor="text1"/>
                <w:sz w:val="20"/>
              </w:rPr>
              <w:t>Pjan ta’ Azzjoni għall-Grilji</w:t>
            </w:r>
            <w:r>
              <w:rPr>
                <w:rFonts w:ascii="Times New Roman" w:hAnsi="Times New Roman"/>
                <w:i/>
                <w:noProof/>
                <w:color w:val="000000" w:themeColor="text1"/>
                <w:sz w:val="20"/>
              </w:rPr>
              <w:t xml:space="preserve"> ġie mressaq u se jindirizza l-isfidi ewlenin fl-espansjoni, fid-diġitalizzazzjoni u fl-użu aħjar tal-grilji tat-trażmissjoni u tad-distribuzzjoni tal-elettriku tal-UE. </w:t>
            </w:r>
          </w:p>
          <w:p w14:paraId="080CADB1" w14:textId="4A3A733F" w:rsidR="00D64747" w:rsidRPr="003E05E8" w:rsidRDefault="4E380793" w:rsidP="003E05E8">
            <w:pPr>
              <w:pStyle w:val="ListParagraph"/>
              <w:numPr>
                <w:ilvl w:val="0"/>
                <w:numId w:val="23"/>
              </w:numPr>
              <w:spacing w:before="120" w:after="120" w:line="276" w:lineRule="auto"/>
              <w:jc w:val="both"/>
              <w:rPr>
                <w:rFonts w:ascii="Times New Roman" w:eastAsia="Times New Roman" w:hAnsi="Times New Roman" w:cs="Times New Roman"/>
                <w:i/>
                <w:iCs/>
                <w:noProof/>
                <w:color w:val="000000" w:themeColor="text1"/>
                <w:sz w:val="20"/>
                <w:szCs w:val="20"/>
              </w:rPr>
            </w:pPr>
            <w:r>
              <w:rPr>
                <w:rFonts w:ascii="Times New Roman" w:hAnsi="Times New Roman"/>
                <w:i/>
                <w:noProof/>
                <w:color w:val="000000" w:themeColor="text1"/>
                <w:sz w:val="20"/>
              </w:rPr>
              <w:t>L-</w:t>
            </w:r>
            <w:r>
              <w:rPr>
                <w:rFonts w:ascii="Times New Roman" w:hAnsi="Times New Roman"/>
                <w:b/>
                <w:i/>
                <w:noProof/>
                <w:color w:val="000000" w:themeColor="text1"/>
                <w:sz w:val="20"/>
              </w:rPr>
              <w:t xml:space="preserve">Att dwar l-Industrija b’Emissjonijiet Żero Netti </w:t>
            </w:r>
            <w:r>
              <w:rPr>
                <w:rFonts w:ascii="Times New Roman" w:hAnsi="Times New Roman"/>
                <w:i/>
                <w:noProof/>
                <w:color w:val="000000" w:themeColor="text1"/>
                <w:sz w:val="20"/>
              </w:rPr>
              <w:t xml:space="preserve">u l-Att dwar il-Materja Prima Kritika, li daħlu fis-seħħ fl-2024, se jgħinu biex </w:t>
            </w:r>
            <w:r>
              <w:rPr>
                <w:rFonts w:ascii="Times New Roman" w:hAnsi="Times New Roman"/>
                <w:b/>
                <w:i/>
                <w:noProof/>
                <w:color w:val="000000" w:themeColor="text1"/>
                <w:sz w:val="20"/>
              </w:rPr>
              <w:t xml:space="preserve">tissaħħaħ ir-reżiljenza tal-katina tal-provvista </w:t>
            </w:r>
            <w:r>
              <w:rPr>
                <w:rFonts w:ascii="Times New Roman" w:hAnsi="Times New Roman"/>
                <w:i/>
                <w:noProof/>
                <w:color w:val="000000" w:themeColor="text1"/>
                <w:sz w:val="20"/>
              </w:rPr>
              <w:t>permezz ta’ akkwist diversifikat</w:t>
            </w:r>
            <w:r>
              <w:rPr>
                <w:rFonts w:ascii="Times New Roman" w:hAnsi="Times New Roman"/>
                <w:b/>
                <w:i/>
                <w:noProof/>
                <w:color w:val="000000" w:themeColor="text1"/>
                <w:sz w:val="20"/>
              </w:rPr>
              <w:t xml:space="preserve"> u tinbena bażi b’saħħitha tal-manifattura domestika għal teknoloġiji b’emissjonijiet żero netti</w:t>
            </w:r>
            <w:r>
              <w:rPr>
                <w:rFonts w:ascii="Times New Roman" w:hAnsi="Times New Roman"/>
                <w:i/>
                <w:noProof/>
                <w:color w:val="000000" w:themeColor="text1"/>
                <w:sz w:val="20"/>
              </w:rPr>
              <w:t>. Ir-</w:t>
            </w:r>
            <w:r>
              <w:rPr>
                <w:rFonts w:ascii="Times New Roman" w:hAnsi="Times New Roman"/>
                <w:b/>
                <w:i/>
                <w:noProof/>
                <w:color w:val="000000" w:themeColor="text1"/>
                <w:sz w:val="20"/>
              </w:rPr>
              <w:t>regoli armonizzati l-ġodda tal-UE għall-ekodisinn</w:t>
            </w:r>
            <w:r>
              <w:rPr>
                <w:rFonts w:ascii="Times New Roman" w:hAnsi="Times New Roman"/>
                <w:i/>
                <w:noProof/>
                <w:color w:val="000000" w:themeColor="text1"/>
                <w:sz w:val="20"/>
              </w:rPr>
              <w:t xml:space="preserve"> se jikkontribwixxu wkoll għat-tnaqqis tal-kostijiet tal-enerġija għan-negozji u ċittadini Ewropej.</w:t>
            </w:r>
          </w:p>
          <w:p w14:paraId="33F97EF1" w14:textId="58DB1126" w:rsidR="003C22E1" w:rsidRPr="003E05E8" w:rsidRDefault="00824460" w:rsidP="1D65091E">
            <w:pPr>
              <w:pStyle w:val="ListParagraph"/>
              <w:numPr>
                <w:ilvl w:val="0"/>
                <w:numId w:val="23"/>
              </w:numPr>
              <w:spacing w:before="120" w:after="120" w:line="276" w:lineRule="auto"/>
              <w:jc w:val="both"/>
              <w:rPr>
                <w:rFonts w:ascii="Times New Roman" w:eastAsia="Times New Roman" w:hAnsi="Times New Roman" w:cs="Times New Roman"/>
                <w:i/>
                <w:iCs/>
                <w:noProof/>
                <w:color w:val="000000" w:themeColor="text1"/>
                <w:sz w:val="20"/>
                <w:szCs w:val="20"/>
              </w:rPr>
            </w:pPr>
            <w:r>
              <w:rPr>
                <w:rFonts w:ascii="Times New Roman" w:hAnsi="Times New Roman"/>
                <w:i/>
                <w:noProof/>
                <w:color w:val="000000" w:themeColor="text1"/>
                <w:sz w:val="20"/>
              </w:rPr>
              <w:t>L-enerġija mir-riħ qabżet il-produzzjoni tal-gass biex saret it-tieni l-akbar sors tal-elettriku tal-UE wara l-enerġija nukleari.  B’56 GW ta’ kapaċità ġdida ta’ enerġija solari installata fl-2023, l-</w:t>
            </w:r>
            <w:r>
              <w:rPr>
                <w:rFonts w:ascii="Times New Roman" w:hAnsi="Times New Roman"/>
                <w:b/>
                <w:i/>
                <w:noProof/>
                <w:color w:val="000000" w:themeColor="text1"/>
                <w:sz w:val="20"/>
              </w:rPr>
              <w:t>UE stabbiliet rekord ieħor</w:t>
            </w:r>
            <w:r>
              <w:rPr>
                <w:rFonts w:ascii="Times New Roman" w:hAnsi="Times New Roman"/>
                <w:i/>
                <w:noProof/>
                <w:color w:val="000000" w:themeColor="text1"/>
                <w:sz w:val="20"/>
              </w:rPr>
              <w:t xml:space="preserve"> bl-40 GW addizzjonali installati fl-2022. </w:t>
            </w:r>
            <w:r>
              <w:rPr>
                <w:rFonts w:ascii="Times New Roman" w:hAnsi="Times New Roman"/>
                <w:b/>
                <w:i/>
                <w:noProof/>
                <w:color w:val="000000" w:themeColor="text1"/>
                <w:sz w:val="20"/>
              </w:rPr>
              <w:t>L-enerġija mir-riħ fuq l-art u lil hinn mill-kosta</w:t>
            </w:r>
            <w:r>
              <w:rPr>
                <w:rFonts w:ascii="Times New Roman" w:hAnsi="Times New Roman"/>
                <w:i/>
                <w:noProof/>
                <w:color w:val="000000" w:themeColor="text1"/>
                <w:sz w:val="20"/>
              </w:rPr>
              <w:t xml:space="preserve"> fl-UE kellha </w:t>
            </w:r>
            <w:r>
              <w:rPr>
                <w:rFonts w:ascii="Times New Roman" w:hAnsi="Times New Roman"/>
                <w:b/>
                <w:i/>
                <w:noProof/>
                <w:color w:val="000000" w:themeColor="text1"/>
                <w:sz w:val="20"/>
              </w:rPr>
              <w:t>kapaċità installata kumulattiva totali ta’ 221 GW</w:t>
            </w:r>
            <w:r>
              <w:rPr>
                <w:rFonts w:ascii="Times New Roman" w:hAnsi="Times New Roman"/>
                <w:i/>
                <w:noProof/>
                <w:color w:val="000000" w:themeColor="text1"/>
                <w:sz w:val="20"/>
              </w:rPr>
              <w:t xml:space="preserve"> (201 GW fuq l-art; 19 GW lil hinn mill-kosta), b’16 GW installati fl-2023.</w:t>
            </w:r>
            <w:r w:rsidR="00D44224">
              <w:rPr>
                <w:rStyle w:val="FootnoteReference"/>
                <w:rFonts w:ascii="Times New Roman" w:eastAsia="Times New Roman" w:hAnsi="Times New Roman" w:cs="Times New Roman"/>
                <w:i/>
                <w:iCs/>
                <w:noProof/>
                <w:color w:val="000000" w:themeColor="text1"/>
                <w:sz w:val="20"/>
                <w:szCs w:val="20"/>
                <w:lang w:val="en-GB"/>
              </w:rPr>
              <w:footnoteReference w:id="8"/>
            </w:r>
            <w:r>
              <w:rPr>
                <w:rFonts w:ascii="Times New Roman" w:hAnsi="Times New Roman"/>
                <w:i/>
                <w:noProof/>
                <w:color w:val="000000" w:themeColor="text1"/>
                <w:sz w:val="20"/>
              </w:rPr>
              <w:t xml:space="preserve"> </w:t>
            </w:r>
          </w:p>
          <w:p w14:paraId="40016849" w14:textId="1FF96DA1" w:rsidR="00593E29" w:rsidRPr="003E05E8" w:rsidRDefault="00593E29" w:rsidP="003E05E8">
            <w:pPr>
              <w:pStyle w:val="ListParagraph"/>
              <w:numPr>
                <w:ilvl w:val="0"/>
                <w:numId w:val="23"/>
              </w:numPr>
              <w:spacing w:before="120" w:after="120" w:line="276" w:lineRule="auto"/>
              <w:jc w:val="both"/>
              <w:rPr>
                <w:rFonts w:ascii="Times New Roman" w:eastAsia="Times New Roman" w:hAnsi="Times New Roman" w:cs="Times New Roman"/>
                <w:i/>
                <w:noProof/>
                <w:color w:val="000000" w:themeColor="text1"/>
                <w:sz w:val="20"/>
                <w:szCs w:val="20"/>
              </w:rPr>
            </w:pPr>
            <w:r>
              <w:rPr>
                <w:rFonts w:ascii="Times New Roman" w:hAnsi="Times New Roman"/>
                <w:i/>
                <w:noProof/>
                <w:color w:val="000000" w:themeColor="text1"/>
                <w:sz w:val="20"/>
              </w:rPr>
              <w:t>Il-</w:t>
            </w:r>
            <w:r>
              <w:rPr>
                <w:rFonts w:ascii="Times New Roman" w:hAnsi="Times New Roman"/>
                <w:b/>
                <w:i/>
                <w:noProof/>
                <w:color w:val="000000" w:themeColor="text1"/>
                <w:sz w:val="20"/>
              </w:rPr>
              <w:t>Bank Ewropew tal-Idroġenu</w:t>
            </w:r>
            <w:r>
              <w:rPr>
                <w:rFonts w:ascii="Times New Roman" w:hAnsi="Times New Roman"/>
                <w:i/>
                <w:noProof/>
                <w:color w:val="000000" w:themeColor="text1"/>
                <w:sz w:val="20"/>
              </w:rPr>
              <w:t xml:space="preserve">, iffinanzjat mill-Fond għall-Innovazzjoni tal-EU ETS, ġie stabbilit u wettaq l-ewwel ċiklu ta’ rkantijiet tal-UE li rnexxielu jagħti kważi EUR 720 miljun lil seba’ proġetti tal-idroġenu rinnovabbli fl-Ewropa. </w:t>
            </w:r>
          </w:p>
          <w:p w14:paraId="13F9621E" w14:textId="73C049B6" w:rsidR="00F549B8" w:rsidRPr="003E05E8" w:rsidRDefault="35F67AFA" w:rsidP="003E05E8">
            <w:pPr>
              <w:pStyle w:val="ListParagraph"/>
              <w:numPr>
                <w:ilvl w:val="0"/>
                <w:numId w:val="23"/>
              </w:numPr>
              <w:spacing w:before="120" w:after="120" w:line="276" w:lineRule="auto"/>
              <w:jc w:val="both"/>
              <w:rPr>
                <w:rFonts w:ascii="Times New Roman" w:eastAsia="Times New Roman" w:hAnsi="Times New Roman" w:cs="Times New Roman"/>
                <w:i/>
                <w:noProof/>
                <w:color w:val="000000" w:themeColor="text1"/>
                <w:sz w:val="20"/>
                <w:szCs w:val="20"/>
              </w:rPr>
            </w:pPr>
            <w:r>
              <w:rPr>
                <w:rFonts w:ascii="Times New Roman" w:hAnsi="Times New Roman"/>
                <w:i/>
                <w:noProof/>
                <w:color w:val="000000" w:themeColor="text1"/>
                <w:sz w:val="20"/>
              </w:rPr>
              <w:t>Fil-bidu ta’ Frar, il-Kummissjoni nediet l-</w:t>
            </w:r>
            <w:r>
              <w:rPr>
                <w:rFonts w:ascii="Times New Roman" w:hAnsi="Times New Roman"/>
                <w:b/>
                <w:i/>
                <w:noProof/>
                <w:color w:val="000000" w:themeColor="text1"/>
                <w:sz w:val="20"/>
              </w:rPr>
              <w:t>Alleanza Industrijali Ewropea għar-Reatturi Modulari Żgħar</w:t>
            </w:r>
            <w:r>
              <w:rPr>
                <w:rFonts w:ascii="Times New Roman" w:hAnsi="Times New Roman"/>
                <w:i/>
                <w:noProof/>
                <w:color w:val="000000" w:themeColor="text1"/>
                <w:sz w:val="20"/>
              </w:rPr>
              <w:t xml:space="preserve"> (SMRs, small modular reactors) li se tħaffef l-iżvilupp, id-dimostrazzjoni u l-varar tal-ewwel proġetti tal-SMR fl-UE sal-bidu tal-2030.</w:t>
            </w:r>
          </w:p>
          <w:p w14:paraId="67BC8368" w14:textId="5BEA6DA3" w:rsidR="3632040D" w:rsidRPr="003E05E8" w:rsidRDefault="24A16562" w:rsidP="003E05E8">
            <w:pPr>
              <w:pStyle w:val="ListParagraph"/>
              <w:numPr>
                <w:ilvl w:val="0"/>
                <w:numId w:val="23"/>
              </w:numPr>
              <w:spacing w:before="120" w:after="120"/>
              <w:rPr>
                <w:rFonts w:ascii="Times New Roman" w:eastAsia="Times New Roman" w:hAnsi="Times New Roman" w:cs="Times New Roman"/>
                <w:i/>
                <w:iCs/>
                <w:noProof/>
                <w:color w:val="000000" w:themeColor="text1"/>
                <w:sz w:val="20"/>
                <w:szCs w:val="20"/>
              </w:rPr>
            </w:pPr>
            <w:r>
              <w:rPr>
                <w:rFonts w:ascii="Times New Roman" w:hAnsi="Times New Roman"/>
                <w:i/>
                <w:noProof/>
                <w:color w:val="000000" w:themeColor="text1"/>
                <w:sz w:val="20"/>
              </w:rPr>
              <w:t>F’Ottubru 2023, il-Kummissjoni ppubblikat Komunikazzjoni dwar ir-reviżjoni tal-</w:t>
            </w:r>
            <w:r>
              <w:rPr>
                <w:rFonts w:ascii="Times New Roman" w:hAnsi="Times New Roman"/>
                <w:b/>
                <w:i/>
                <w:noProof/>
                <w:color w:val="000000" w:themeColor="text1"/>
                <w:sz w:val="20"/>
              </w:rPr>
              <w:t>Pjan Strateġiku għat-Teknoloġija tal-Enerġija (SET, strategic energy technology)</w:t>
            </w:r>
            <w:r>
              <w:rPr>
                <w:rFonts w:ascii="Times New Roman" w:hAnsi="Times New Roman"/>
                <w:i/>
                <w:noProof/>
                <w:color w:val="000000" w:themeColor="text1"/>
                <w:sz w:val="20"/>
              </w:rPr>
              <w:t>, l-istrument ewlieni għall-implimentazzjoni tal-pilastru tar-riċerka, l-innovazzjoni u l-kompetittività tal-Unjoni tal-Enerġija.</w:t>
            </w:r>
          </w:p>
          <w:p w14:paraId="50CCBA2A" w14:textId="2038D7BD" w:rsidR="40507496" w:rsidRPr="003E05E8" w:rsidRDefault="7F2C827C" w:rsidP="003E05E8">
            <w:pPr>
              <w:pStyle w:val="ListParagraph"/>
              <w:numPr>
                <w:ilvl w:val="0"/>
                <w:numId w:val="23"/>
              </w:numPr>
              <w:spacing w:before="120" w:after="120" w:line="276" w:lineRule="auto"/>
              <w:jc w:val="both"/>
              <w:rPr>
                <w:rFonts w:ascii="Times New Roman" w:eastAsia="Times New Roman" w:hAnsi="Times New Roman" w:cs="Times New Roman"/>
                <w:i/>
                <w:iCs/>
                <w:noProof/>
                <w:color w:val="000000" w:themeColor="text1"/>
                <w:sz w:val="20"/>
                <w:szCs w:val="20"/>
              </w:rPr>
            </w:pPr>
            <w:r>
              <w:rPr>
                <w:rFonts w:ascii="Times New Roman" w:hAnsi="Times New Roman"/>
                <w:i/>
                <w:noProof/>
                <w:color w:val="000000" w:themeColor="text1"/>
                <w:sz w:val="20"/>
              </w:rPr>
              <w:t>Fir-rigward tal-</w:t>
            </w:r>
            <w:r>
              <w:rPr>
                <w:rFonts w:ascii="Times New Roman" w:hAnsi="Times New Roman"/>
                <w:b/>
                <w:i/>
                <w:noProof/>
                <w:color w:val="000000" w:themeColor="text1"/>
                <w:sz w:val="20"/>
              </w:rPr>
              <w:t>implimentazzjoni</w:t>
            </w:r>
            <w:r>
              <w:rPr>
                <w:rFonts w:ascii="Times New Roman" w:hAnsi="Times New Roman"/>
                <w:i/>
                <w:noProof/>
                <w:color w:val="000000" w:themeColor="text1"/>
                <w:sz w:val="20"/>
              </w:rPr>
              <w:t xml:space="preserve"> </w:t>
            </w:r>
            <w:r>
              <w:rPr>
                <w:rFonts w:ascii="Times New Roman" w:hAnsi="Times New Roman"/>
                <w:b/>
                <w:i/>
                <w:noProof/>
                <w:color w:val="000000" w:themeColor="text1"/>
                <w:sz w:val="20"/>
              </w:rPr>
              <w:t>tal-Pjanijiet Nazzjonali għall-Irkupru u r-Reżiljenza (RRPs, recovery and resilience plans)</w:t>
            </w:r>
            <w:r>
              <w:rPr>
                <w:rFonts w:ascii="Times New Roman" w:hAnsi="Times New Roman"/>
                <w:i/>
                <w:noProof/>
                <w:color w:val="000000" w:themeColor="text1"/>
                <w:sz w:val="20"/>
              </w:rPr>
              <w:t>, sa nofs Ġunju 2024, l-UE qassmet aktar minn EUR 240 biljun lill-Istati Membri biex jimplimentaw il-miżuri fil-pjanijiet tagħhom. Aktar minn EUR 184 biljun ġew allokati minn Stati Membri biex jappoġġjaw riformi u investimenti relatati mal-enerġija mit-tnedija tal-Faċilità għall-Irkupru u r-Reżiljenza.</w:t>
            </w:r>
          </w:p>
          <w:p w14:paraId="61EF7DCF" w14:textId="477EE58E" w:rsidR="005F57A5" w:rsidRDefault="005F57A5" w:rsidP="00ED58EC">
            <w:pPr>
              <w:pStyle w:val="ListParagraph"/>
              <w:numPr>
                <w:ilvl w:val="0"/>
                <w:numId w:val="23"/>
              </w:numPr>
              <w:spacing w:before="120" w:after="120"/>
              <w:jc w:val="both"/>
              <w:rPr>
                <w:rFonts w:ascii="Times New Roman" w:eastAsia="Times New Roman" w:hAnsi="Times New Roman" w:cs="Times New Roman"/>
                <w:i/>
                <w:iCs/>
                <w:noProof/>
                <w:color w:val="000000" w:themeColor="text1"/>
                <w:sz w:val="20"/>
                <w:szCs w:val="20"/>
              </w:rPr>
            </w:pPr>
            <w:r>
              <w:rPr>
                <w:rFonts w:ascii="Times New Roman" w:hAnsi="Times New Roman"/>
                <w:i/>
                <w:noProof/>
                <w:color w:val="000000" w:themeColor="text1"/>
                <w:sz w:val="20"/>
              </w:rPr>
              <w:t>Il-programmi tal-</w:t>
            </w:r>
            <w:r>
              <w:rPr>
                <w:rFonts w:ascii="Times New Roman" w:hAnsi="Times New Roman"/>
                <w:b/>
                <w:i/>
                <w:noProof/>
                <w:color w:val="000000" w:themeColor="text1"/>
                <w:sz w:val="20"/>
              </w:rPr>
              <w:t>Politika ta’ Koeżjoni</w:t>
            </w:r>
            <w:r>
              <w:rPr>
                <w:rFonts w:ascii="Times New Roman" w:hAnsi="Times New Roman"/>
                <w:i/>
                <w:noProof/>
                <w:color w:val="000000" w:themeColor="text1"/>
                <w:sz w:val="20"/>
              </w:rPr>
              <w:t xml:space="preserve"> 2021–2027 komplew jipprovdu appoġġ kruċjali għall-investimenti fis-settur tal-enerġija, b’total ta’ EUR 83 biljun (inkluż il-kofinanzjament nazzjonali) allokati għall-prijoritajiet tal-Unjoni tal-Enerġija. It-teknoloġiji nodfa jistgħu jiġu appoġġjati aktar minn fondi ta’ koeżjoni bil-Pjattaforma tat-Teknoloġiji Strateġiċi għall-Ewropa.</w:t>
            </w:r>
          </w:p>
          <w:p w14:paraId="3A642AB9" w14:textId="4FF2C936" w:rsidR="00B65FB3" w:rsidRPr="00831686" w:rsidRDefault="00B65FB3" w:rsidP="00831686">
            <w:pPr>
              <w:pStyle w:val="ListParagraph"/>
              <w:numPr>
                <w:ilvl w:val="0"/>
                <w:numId w:val="23"/>
              </w:numPr>
              <w:spacing w:after="160" w:line="259" w:lineRule="auto"/>
              <w:rPr>
                <w:rFonts w:ascii="Times New Roman" w:eastAsia="Times New Roman" w:hAnsi="Times New Roman" w:cs="Times New Roman"/>
                <w:i/>
                <w:iCs/>
                <w:noProof/>
                <w:color w:val="000000" w:themeColor="text1"/>
                <w:sz w:val="20"/>
                <w:szCs w:val="20"/>
              </w:rPr>
            </w:pPr>
            <w:r>
              <w:rPr>
                <w:rFonts w:ascii="Times New Roman" w:hAnsi="Times New Roman"/>
                <w:i/>
                <w:noProof/>
                <w:color w:val="000000" w:themeColor="text1"/>
                <w:sz w:val="20"/>
              </w:rPr>
              <w:t>Il-miżuri ta’ appoġġ introdotti bil-għan li jipprovdu għajnuna għall-unitajiet domestiċi u n-negozji kontra l-prezzijiet għoljin tal-enerġija għenu biex jittaffew l-impatti tal-kriżi tal-enerġija fuq il-kostijiet tal-għajxien.</w:t>
            </w:r>
          </w:p>
          <w:p w14:paraId="1E82DD0F" w14:textId="27D3B568" w:rsidR="003B0980" w:rsidRPr="003E05E8" w:rsidRDefault="00682984" w:rsidP="003E05E8">
            <w:pPr>
              <w:pStyle w:val="ListParagraph"/>
              <w:numPr>
                <w:ilvl w:val="0"/>
                <w:numId w:val="23"/>
              </w:numPr>
              <w:spacing w:before="120" w:after="120" w:line="276" w:lineRule="auto"/>
              <w:jc w:val="both"/>
              <w:rPr>
                <w:rFonts w:ascii="Times New Roman" w:eastAsia="Times New Roman" w:hAnsi="Times New Roman" w:cs="Times New Roman"/>
                <w:i/>
                <w:iCs/>
                <w:noProof/>
                <w:color w:val="000000" w:themeColor="text1"/>
                <w:sz w:val="20"/>
                <w:szCs w:val="20"/>
              </w:rPr>
            </w:pPr>
            <w:r>
              <w:rPr>
                <w:rFonts w:ascii="Times New Roman" w:hAnsi="Times New Roman"/>
                <w:i/>
                <w:noProof/>
                <w:color w:val="000000" w:themeColor="text1"/>
                <w:sz w:val="20"/>
              </w:rPr>
              <w:t>Waqt li l-valutazzjoni tal-</w:t>
            </w:r>
            <w:r>
              <w:rPr>
                <w:rFonts w:ascii="Times New Roman" w:hAnsi="Times New Roman"/>
                <w:b/>
                <w:i/>
                <w:noProof/>
                <w:color w:val="000000" w:themeColor="text1"/>
                <w:sz w:val="20"/>
              </w:rPr>
              <w:t>abbozzi aġġornati tal-pjanijiet nazzjonali għall-enerġija u l-klima (NECPs, national energy and climate plans)</w:t>
            </w:r>
            <w:r>
              <w:rPr>
                <w:rFonts w:ascii="Times New Roman" w:hAnsi="Times New Roman"/>
                <w:i/>
                <w:noProof/>
                <w:color w:val="000000" w:themeColor="text1"/>
                <w:sz w:val="20"/>
              </w:rPr>
              <w:t xml:space="preserve"> f’Diċembru 2023 uriet id-determinazzjoni tal-Istati Membri li jżidu l-azzjoni fil-livell nazzjonali u reġjonali biex jintlaħqu l-għanijiet “Lesti għall-mira ta’ 55 %” u tar-REPowerEU, hemm diskrepanzi fl-ambizzjoni, inklużi l-punti ta’ konġestjoni u r-rabtiet neqsin għall-infrastrutturi integrati lejn il-miri tal-Unjoni għall-2030 u biex tissaħħaħ ir-reżiljenza għall-impatti tal-klima.  Il-Kummissjoni għamlet ir-rakkomandazzjonijiet u qed taħdem mill-qrib mal-Istati Membri biex tappoġġja t-twettiq f’waqtu tal-miri tal-Unjoni għall-2030 fl-NECPs aġġornati finali.</w:t>
            </w:r>
          </w:p>
          <w:p w14:paraId="7BCBCDC3" w14:textId="1E79CAB9" w:rsidR="00D64747" w:rsidRPr="003E05E8" w:rsidRDefault="257B3242" w:rsidP="003E05E8">
            <w:pPr>
              <w:pStyle w:val="ListParagraph"/>
              <w:numPr>
                <w:ilvl w:val="0"/>
                <w:numId w:val="23"/>
              </w:numPr>
              <w:spacing w:before="120" w:after="120" w:line="276" w:lineRule="auto"/>
              <w:jc w:val="both"/>
              <w:rPr>
                <w:rFonts w:ascii="Times New Roman" w:eastAsia="Times New Roman" w:hAnsi="Times New Roman" w:cs="Times New Roman"/>
                <w:i/>
                <w:iCs/>
                <w:noProof/>
                <w:sz w:val="20"/>
                <w:szCs w:val="20"/>
              </w:rPr>
            </w:pPr>
            <w:r>
              <w:rPr>
                <w:rFonts w:ascii="Times New Roman" w:hAnsi="Times New Roman"/>
                <w:b/>
                <w:i/>
                <w:noProof/>
                <w:sz w:val="20"/>
              </w:rPr>
              <w:t>Nappoġġjaw lill-Ukrajna, inkluż is-settur tal-enerġija tagħha,</w:t>
            </w:r>
            <w:r>
              <w:rPr>
                <w:rFonts w:ascii="Times New Roman" w:hAnsi="Times New Roman"/>
                <w:i/>
                <w:noProof/>
                <w:sz w:val="20"/>
              </w:rPr>
              <w:t xml:space="preserve"> kompla jkun prijorità ewlenija għall-Kummissjoni u għal kull wieħed mis-27 Stat Membru. Il-Mekkaniżmu tal-Unjoni għall-Protezzjoni Ċivili (UCPM, Union Civil Protection Mechanism) ipprovda madwar EUR 900 miljun f’appoġġ lill-Ukrajna. Il-</w:t>
            </w:r>
            <w:r>
              <w:rPr>
                <w:rFonts w:ascii="Times New Roman" w:hAnsi="Times New Roman"/>
                <w:b/>
                <w:i/>
                <w:noProof/>
                <w:sz w:val="20"/>
              </w:rPr>
              <w:t>Fond ta’ Appoġġ għall-Enerġija tal-Ukrajna</w:t>
            </w:r>
            <w:r>
              <w:rPr>
                <w:rFonts w:ascii="Times New Roman" w:hAnsi="Times New Roman"/>
                <w:i/>
                <w:noProof/>
                <w:sz w:val="20"/>
              </w:rPr>
              <w:t xml:space="preserve"> (UESF, Ukraine Energy Support Fund) stabbilixxa ruħu bħala għodda ewlenija ta’ appoġġ għall-akkwist ta’ tagħmir tal-enerġija, bħall-kunsinna ta’ eluf ta’ ġeneraturi u transformers tal-elettriku u mmobilizza aktar minn EUR 500 miljun sa Awwissu 2024. Il-</w:t>
            </w:r>
            <w:r>
              <w:rPr>
                <w:rFonts w:ascii="Times New Roman" w:hAnsi="Times New Roman"/>
                <w:b/>
                <w:i/>
                <w:noProof/>
                <w:sz w:val="20"/>
              </w:rPr>
              <w:t>Faċilità għall-Ukrajna</w:t>
            </w:r>
            <w:r>
              <w:rPr>
                <w:rFonts w:ascii="Times New Roman" w:hAnsi="Times New Roman"/>
                <w:i/>
                <w:noProof/>
                <w:sz w:val="20"/>
              </w:rPr>
              <w:t xml:space="preserve"> tal-UE b’valur ta’ EUR 50 biljun, mirfuda mill-Pjan għall-Ukrajna, se tipprovdi finanzjament konsistenti biex tgħin fl-irkupru tal-Ukrajna u ssaħħaħ it-tkabbir ekonomiku sostenibbli sal-2027 u finanzjament separat ta’ EUR 96 miljun lill-UESF b’fondi addizzjonali għax-xitwa tal-2024, biex tipprovdi appoġġ għas-sistema tal-enerġija tal-Ukrajna.</w:t>
            </w:r>
          </w:p>
          <w:p w14:paraId="065853CE" w14:textId="08260EE7" w:rsidR="002C757B" w:rsidRPr="00DD2EB5" w:rsidRDefault="00C74B92" w:rsidP="00DD2EB5">
            <w:pPr>
              <w:pStyle w:val="ListParagraph"/>
              <w:numPr>
                <w:ilvl w:val="0"/>
                <w:numId w:val="23"/>
              </w:numPr>
              <w:spacing w:before="120" w:after="120" w:line="276" w:lineRule="auto"/>
              <w:jc w:val="both"/>
              <w:rPr>
                <w:rFonts w:ascii="Times New Roman" w:eastAsia="Times New Roman" w:hAnsi="Times New Roman" w:cs="Times New Roman"/>
                <w:i/>
                <w:iCs/>
                <w:noProof/>
                <w:color w:val="000000" w:themeColor="text1"/>
                <w:sz w:val="20"/>
                <w:szCs w:val="20"/>
              </w:rPr>
            </w:pPr>
            <w:bookmarkStart w:id="2" w:name="_Hlk175666459"/>
            <w:r>
              <w:rPr>
                <w:rFonts w:ascii="Times New Roman" w:hAnsi="Times New Roman"/>
                <w:i/>
                <w:noProof/>
                <w:sz w:val="20"/>
              </w:rPr>
              <w:t>L-UE kompliet bl-</w:t>
            </w:r>
            <w:r>
              <w:rPr>
                <w:rFonts w:ascii="Times New Roman" w:hAnsi="Times New Roman"/>
                <w:b/>
                <w:i/>
                <w:noProof/>
                <w:sz w:val="20"/>
              </w:rPr>
              <w:t>isforzi ta’ diplomazija internazzjonali dwar l-enerġija u l-klima</w:t>
            </w:r>
            <w:r>
              <w:rPr>
                <w:rFonts w:ascii="Times New Roman" w:hAnsi="Times New Roman"/>
                <w:i/>
                <w:noProof/>
                <w:sz w:val="20"/>
              </w:rPr>
              <w:t xml:space="preserve"> biex tiddiversifika l-importazzjonijiet tal-enerġija u ssaħħaħ ir-relazzjonijiet mas-sħab internazzjonali u biex tappoġġja lis-sħab tagħha fit-tranżizzjoni u l-aċċess tagħhom għall-enerġija. Fil-COP 28, l-UE ħabbret il-wegħda globali dwar it-triplikar tal-kapaċità tal-enerġija rinnovabbli u l-irduppjar tar-rata ta’ titjib fl-effiċjenza enerġetika sal-2030, li ġiet approvata minn 132 pajjiż, u l-objettivi tagħha ġew rikonoxxuti mid-deċiżjoni dwar l-ewwel Rendikont Globali. Barra minn hekk, fil-COP 28 l-UE impenjat ruħha li tneħħi gradwalment is-sussidji ineffiċjenti għall-fjuwils fossili, u ħabbret wegħda ta’ Tim Ewropa ta’ aktar minn EUR 20 biljun għall-Inizjattiva Afrika–UE dwar l-Enerġija Ekoloġika (AEGEI, Africa–EU Green Energy Initiative)</w:t>
            </w:r>
            <w:r w:rsidR="00AD7FEF" w:rsidRPr="00DD2EB5">
              <w:rPr>
                <w:rFonts w:ascii="Times New Roman" w:eastAsia="Times New Roman" w:hAnsi="Times New Roman" w:cs="Times New Roman"/>
                <w:i/>
                <w:iCs/>
                <w:noProof/>
                <w:sz w:val="20"/>
                <w:szCs w:val="20"/>
                <w:vertAlign w:val="superscript"/>
                <w:lang w:val="en-GB"/>
              </w:rPr>
              <w:footnoteReference w:id="9"/>
            </w:r>
            <w:r>
              <w:rPr>
                <w:rFonts w:ascii="Times New Roman" w:hAnsi="Times New Roman"/>
                <w:i/>
                <w:noProof/>
                <w:sz w:val="20"/>
              </w:rPr>
              <w:t xml:space="preserve"> bħala parti mill-Pakkett ta’ Investiment tal-Global Gateway Afrika–Ewropa. Fl-istess ħin, 25 pajjiż, inkluż 12-il Stat Membru, impenjaw ruħhom ukoll li jittripplikaw il-kapaċità tal-enerġija nukleari sal-2050.</w:t>
            </w:r>
          </w:p>
          <w:bookmarkEnd w:id="2"/>
          <w:p w14:paraId="637268AF" w14:textId="36014DE8" w:rsidR="00D64747" w:rsidRPr="00EB647D" w:rsidRDefault="00F541BB" w:rsidP="003E05E8">
            <w:pPr>
              <w:pStyle w:val="ListParagraph"/>
              <w:numPr>
                <w:ilvl w:val="0"/>
                <w:numId w:val="23"/>
              </w:numPr>
              <w:spacing w:before="120" w:after="120" w:line="276" w:lineRule="auto"/>
              <w:jc w:val="both"/>
              <w:rPr>
                <w:rFonts w:ascii="Times New Roman" w:eastAsia="Times New Roman" w:hAnsi="Times New Roman" w:cs="Times New Roman"/>
                <w:i/>
                <w:iCs/>
                <w:noProof/>
                <w:color w:val="000000" w:themeColor="text1"/>
                <w:sz w:val="20"/>
                <w:szCs w:val="20"/>
              </w:rPr>
            </w:pPr>
            <w:r>
              <w:rPr>
                <w:rFonts w:ascii="Times New Roman" w:hAnsi="Times New Roman"/>
                <w:i/>
                <w:noProof/>
                <w:sz w:val="20"/>
              </w:rPr>
              <w:t xml:space="preserve">L-UE tmexxi l-isforzi globali biex </w:t>
            </w:r>
            <w:r>
              <w:rPr>
                <w:rFonts w:ascii="Times New Roman" w:hAnsi="Times New Roman"/>
                <w:b/>
                <w:i/>
                <w:noProof/>
                <w:sz w:val="20"/>
              </w:rPr>
              <w:t>jitnaqqsu l-emissjonijiet tal-metan</w:t>
            </w:r>
            <w:r>
              <w:rPr>
                <w:rFonts w:ascii="Times New Roman" w:hAnsi="Times New Roman"/>
                <w:i/>
                <w:noProof/>
                <w:sz w:val="20"/>
              </w:rPr>
              <w:t xml:space="preserve"> mis-settur tal-enerġija permezz tal-Wegħda Globali b’rabta mal-Metan. L-ispinoff tagħha, l-inizjattiva </w:t>
            </w:r>
            <w:r>
              <w:rPr>
                <w:rFonts w:ascii="Times New Roman" w:hAnsi="Times New Roman"/>
                <w:b/>
                <w:i/>
                <w:noProof/>
                <w:sz w:val="20"/>
              </w:rPr>
              <w:t>Lowering Organic Methane (LOW-Methane)</w:t>
            </w:r>
            <w:r>
              <w:rPr>
                <w:rFonts w:ascii="Times New Roman" w:hAnsi="Times New Roman"/>
                <w:i/>
                <w:noProof/>
                <w:sz w:val="20"/>
              </w:rPr>
              <w:t>, li tindirizza l-emissjonijiet tal-metan mis-settur tal-iskart, tnediet fil-COP 29. Barra minn hekk, l-UE kompliet taqdi rwol ewlieni fil-</w:t>
            </w:r>
            <w:r>
              <w:rPr>
                <w:rFonts w:ascii="Times New Roman" w:hAnsi="Times New Roman"/>
                <w:b/>
                <w:i/>
                <w:noProof/>
                <w:sz w:val="20"/>
              </w:rPr>
              <w:t>Missjoni Innovazzjoni</w:t>
            </w:r>
            <w:r>
              <w:rPr>
                <w:rFonts w:ascii="Times New Roman" w:hAnsi="Times New Roman"/>
                <w:i/>
                <w:noProof/>
                <w:sz w:val="20"/>
              </w:rPr>
              <w:t>, il-forum globali ewlieni tagħha biex tistimula l-azzjoni u l-investiment fir-riċerka, l-iżvilupp u d-dimostrazzjoni biex tagħmel l-enerġija nadifa affordabbli, attraenti u aċċessibbli għal kulħadd.</w:t>
            </w:r>
          </w:p>
          <w:p w14:paraId="0779E3A4" w14:textId="4BE50488" w:rsidR="00EB647D" w:rsidRPr="003E05E8" w:rsidRDefault="00EB647D" w:rsidP="003E05E8">
            <w:pPr>
              <w:pStyle w:val="ListParagraph"/>
              <w:numPr>
                <w:ilvl w:val="0"/>
                <w:numId w:val="23"/>
              </w:numPr>
              <w:spacing w:before="120" w:after="120" w:line="276" w:lineRule="auto"/>
              <w:jc w:val="both"/>
              <w:rPr>
                <w:rFonts w:ascii="Times New Roman" w:eastAsia="Times New Roman" w:hAnsi="Times New Roman" w:cs="Times New Roman"/>
                <w:i/>
                <w:iCs/>
                <w:noProof/>
                <w:color w:val="000000" w:themeColor="text1"/>
                <w:sz w:val="20"/>
                <w:szCs w:val="20"/>
              </w:rPr>
            </w:pPr>
            <w:r>
              <w:rPr>
                <w:rFonts w:ascii="Times New Roman" w:hAnsi="Times New Roman"/>
                <w:i/>
                <w:noProof/>
                <w:sz w:val="20"/>
              </w:rPr>
              <w:t>Bl-istess mod, ir-rwol tal-UE kien essenzjali biex jiġi adottat il-</w:t>
            </w:r>
            <w:r>
              <w:rPr>
                <w:rFonts w:ascii="Times New Roman" w:hAnsi="Times New Roman"/>
                <w:b/>
                <w:i/>
                <w:noProof/>
                <w:sz w:val="20"/>
              </w:rPr>
              <w:t>Qafas Globali tal-Bijodiversità ta’ Kunming-Montreal</w:t>
            </w:r>
            <w:r>
              <w:rPr>
                <w:rFonts w:ascii="Times New Roman" w:hAnsi="Times New Roman"/>
                <w:i/>
                <w:noProof/>
                <w:sz w:val="20"/>
              </w:rPr>
              <w:t>, biex jiġi indirizzat it-telf tal-bijodiversità, li huwa essenzjali għall-mitigazzjoni tat-tibdil fil-klima u l-adattament għall-klima.</w:t>
            </w:r>
          </w:p>
        </w:tc>
      </w:tr>
    </w:tbl>
    <w:p w14:paraId="259D661E" w14:textId="106D8553" w:rsidR="009B7DE5" w:rsidRPr="003955F0" w:rsidRDefault="00E92FEF" w:rsidP="76DFBDC0">
      <w:pPr>
        <w:pStyle w:val="ListParagraph"/>
        <w:numPr>
          <w:ilvl w:val="0"/>
          <w:numId w:val="4"/>
        </w:numPr>
        <w:spacing w:before="120" w:after="120" w:line="276" w:lineRule="auto"/>
        <w:jc w:val="both"/>
        <w:rPr>
          <w:rFonts w:ascii="Times New Roman" w:hAnsi="Times New Roman" w:cs="Times New Roman"/>
          <w:b/>
          <w:noProof/>
        </w:rPr>
      </w:pPr>
      <w:r>
        <w:rPr>
          <w:rFonts w:ascii="Times New Roman" w:hAnsi="Times New Roman"/>
          <w:b/>
          <w:noProof/>
        </w:rPr>
        <w:t>ŻGURAR TA’ TRANŻIZZJONI TAL-ENERĠIJA U TAL-KLIMA SIGURA U KOMPETITTIVA PERMEZZ TAL-PATT EKOLOĠIKU EWROPEW U L-PJAN REPOWEREU</w:t>
      </w:r>
    </w:p>
    <w:p w14:paraId="0EFF38FE" w14:textId="6FEAB0A9" w:rsidR="001D4796" w:rsidRPr="003955F0" w:rsidRDefault="0040669E" w:rsidP="0023570B">
      <w:pPr>
        <w:pStyle w:val="Text1"/>
        <w:spacing w:before="120" w:after="120" w:line="276" w:lineRule="auto"/>
        <w:ind w:left="0"/>
        <w:rPr>
          <w:noProof/>
          <w:sz w:val="22"/>
          <w:szCs w:val="22"/>
        </w:rPr>
      </w:pPr>
      <w:r>
        <w:rPr>
          <w:noProof/>
          <w:sz w:val="22"/>
        </w:rPr>
        <w:t>F’Mejju 2022, il-Kummissjoni rrispondiet għat-talba tal-Kunsill Ewropew biex titneħħa gradwalment id-dipendenza tal-Ewropa fuq l-importazzjonijiet tal-enerġija Russi malajr kemm jista’ jkun billi adottat il-</w:t>
      </w:r>
      <w:hyperlink r:id="rId15" w:anchor=":~:text=REPowerEU%20is%20the%20European%20Commission%E2%80%99s%20plan%20to%20make,as%20a%20Union%2C%20Europe%20can%20achieve%20this%20faster." w:history="1">
        <w:r>
          <w:rPr>
            <w:rStyle w:val="Hyperlink"/>
            <w:b/>
            <w:noProof/>
            <w:sz w:val="22"/>
          </w:rPr>
          <w:t>Pjan REPowerEU</w:t>
        </w:r>
      </w:hyperlink>
      <w:r>
        <w:rPr>
          <w:noProof/>
          <w:sz w:val="22"/>
        </w:rPr>
        <w:t>. L-objettiv kien li titnaqqas malajr id-dipendenza tal-UE fuq il-fjuwils fossili Russi mhux biss billi tiġi ffrankata l-enerġija u jiġu diversifikati l-provvisti tagħna, iżda speċjalment billi naħdmu lejn l-objettiv fit-tul li tinkiseb aktar malajr it-tranżizzjoni nadifa</w:t>
      </w:r>
      <w:r>
        <w:rPr>
          <w:rFonts w:asciiTheme="minorHAnsi" w:hAnsiTheme="minorHAnsi"/>
          <w:noProof/>
          <w:sz w:val="22"/>
        </w:rPr>
        <w:t xml:space="preserve"> </w:t>
      </w:r>
      <w:r>
        <w:rPr>
          <w:noProof/>
          <w:sz w:val="22"/>
        </w:rPr>
        <w:t>permezz tal-aċċellerazzjoni tal-varar tal-enerġija rinnovabbli u tal-miżuri tal-effiċjenza enerġetika, filwaqt li ssir ħidma kollettiva biex tinkiseb sistema tal-enerġija aktar reżiljenti u Unjoni tal-Enerġija reali. L-istess talba kienet saret miċ-ċittadini fil-kuntest tal-</w:t>
      </w:r>
      <w:hyperlink r:id="rId16" w:history="1">
        <w:r>
          <w:rPr>
            <w:rStyle w:val="Hyperlink"/>
            <w:noProof/>
            <w:sz w:val="22"/>
          </w:rPr>
          <w:t>Konferenza dwar il-Futur tal-Ewropa.</w:t>
        </w:r>
        <w:r w:rsidR="007A3018">
          <w:rPr>
            <w:rStyle w:val="FootnoteReference"/>
            <w:noProof/>
            <w:sz w:val="22"/>
            <w:szCs w:val="22"/>
            <w:lang w:val="en-US"/>
          </w:rPr>
          <w:footnoteReference w:id="10"/>
        </w:r>
      </w:hyperlink>
      <w:r>
        <w:rPr>
          <w:noProof/>
          <w:sz w:val="22"/>
        </w:rPr>
        <w:t xml:space="preserve">. </w:t>
      </w:r>
    </w:p>
    <w:p w14:paraId="703A3406" w14:textId="51F91ED9" w:rsidR="001D4796" w:rsidRPr="003955F0" w:rsidRDefault="001D4796" w:rsidP="0023570B">
      <w:pPr>
        <w:pStyle w:val="Text1"/>
        <w:spacing w:before="120" w:after="120" w:line="276" w:lineRule="auto"/>
        <w:ind w:left="0"/>
        <w:rPr>
          <w:noProof/>
          <w:sz w:val="22"/>
          <w:szCs w:val="22"/>
        </w:rPr>
      </w:pPr>
      <w:r>
        <w:rPr>
          <w:noProof/>
          <w:color w:val="000000" w:themeColor="text1"/>
          <w:sz w:val="22"/>
        </w:rPr>
        <w:t xml:space="preserve">B’mod parallel, </w:t>
      </w:r>
      <w:r>
        <w:rPr>
          <w:noProof/>
          <w:sz w:val="22"/>
        </w:rPr>
        <w:t xml:space="preserve">l-UE adottat il-biċċa l-kbira tal-fajls “Lesti għall-mira ta’ 55 %” u tar-REPowerEU dwar il-klima u l-enerġija, li jippermettu l-kisba tal-miri tal-klima u tal-enerġija għall-2030 kif imsaħħa mir-REPowerEU. Dan huwa kruċjali biex l-Ewropa tibqa’ fit-triq it-tajba lejn in-newtralità klimatika, sabiex isir progress fl-adattament għat-tibdil fil-klima f’konformità mal-Liġi Ewropea dwar il-Klima, u biex jittejbu r-reżiljenza, il-kompetittività, u l-awtonomija strateġika tal-ekonomija tal-UE fid-dawl ta’ tellieqa globali għal teknoloġiji nodfa. Barra minn hekk, permezz tal-Istrument ta’ Appoġġ Tekniku, il-Kummissjoni </w:t>
      </w:r>
      <w:r>
        <w:rPr>
          <w:noProof/>
        </w:rPr>
        <w:t>assistiet lil</w:t>
      </w:r>
      <w:r w:rsidR="001B179C">
        <w:rPr>
          <w:rStyle w:val="FootnoteReference"/>
          <w:noProof/>
          <w:sz w:val="22"/>
          <w:szCs w:val="22"/>
          <w:lang w:val="en-US"/>
        </w:rPr>
        <w:footnoteReference w:id="11"/>
      </w:r>
      <w:r>
        <w:rPr>
          <w:noProof/>
          <w:sz w:val="22"/>
        </w:rPr>
        <w:t xml:space="preserve"> 17-il Stat Membru fl-implimentazzjoni tar-REPowerEU billi identifikat riformi u investimenti biex bil-mod il-mod telimina l-importazzjonijiet tal-fjuwils fossili mir-Russja.</w:t>
      </w:r>
    </w:p>
    <w:p w14:paraId="3FC7A740" w14:textId="37A45301" w:rsidR="00F05369" w:rsidRDefault="001D4796" w:rsidP="00F306C7">
      <w:pPr>
        <w:pStyle w:val="Text1"/>
        <w:spacing w:before="120" w:after="120" w:line="276" w:lineRule="auto"/>
        <w:ind w:left="0"/>
        <w:rPr>
          <w:noProof/>
          <w:sz w:val="22"/>
          <w:szCs w:val="22"/>
        </w:rPr>
      </w:pPr>
      <w:r>
        <w:rPr>
          <w:noProof/>
          <w:sz w:val="22"/>
        </w:rPr>
        <w:t xml:space="preserve">Bis-saħħa tal-azzjonijiet li diġà ttieħdu u l-unità u d-determinazzjoni murija waqt il-ġestjoni tal-kriżi, l-UE sa issa kollettivament </w:t>
      </w:r>
      <w:r>
        <w:rPr>
          <w:b/>
          <w:noProof/>
          <w:sz w:val="22"/>
        </w:rPr>
        <w:t>ssuperat il-biċċa l-kbira tal-miri tar-REPowerEU fuq terminu qasir, bħat-tnaqqis drastiku tal-importazzjonijiet Russi</w:t>
      </w:r>
      <w:r>
        <w:rPr>
          <w:noProof/>
          <w:sz w:val="22"/>
        </w:rPr>
        <w:t>, u ħadet miżuri f’waqthom li jistabbilixxu bażi solida għall-kisba tal-</w:t>
      </w:r>
      <w:r>
        <w:rPr>
          <w:b/>
          <w:noProof/>
          <w:sz w:val="22"/>
        </w:rPr>
        <w:t>objettivi</w:t>
      </w:r>
      <w:r>
        <w:rPr>
          <w:noProof/>
          <w:sz w:val="22"/>
        </w:rPr>
        <w:t xml:space="preserve"> tal-Patt Ekoloġiku Ewropew fuq terminu medju sa terminu itwal. Madankollu, minkejja ż-żieda fl-ambizzjonijiet, għadhom meħtieġa sforzi skont il-valutazzjoni tal-Kummissjoni tal-abbozzi tal-NECPs aġġornati ppreżentati fl-2023, li jidentifikaw diskrepanza fl-ambizzjoni biex jintlaħqu l-miri klimatiċi, tal-enerġija rinnovabbli u tal-effiċjenza enerġetika għall-2030</w:t>
      </w:r>
      <w:r w:rsidR="006176E3">
        <w:rPr>
          <w:rStyle w:val="FootnoteReference"/>
          <w:noProof/>
          <w:sz w:val="22"/>
          <w:szCs w:val="22"/>
        </w:rPr>
        <w:footnoteReference w:id="12"/>
      </w:r>
      <w:r>
        <w:rPr>
          <w:noProof/>
          <w:sz w:val="22"/>
        </w:rPr>
        <w:t xml:space="preserve">. Barra minn hekk, 10 Stati Membri biss ippreżentaw il-pjanijiet finali tagħhom sal-lum u dan iqajjem tħassib kbir. </w:t>
      </w:r>
    </w:p>
    <w:p w14:paraId="03826F6D" w14:textId="77777777" w:rsidR="00F306C7" w:rsidRPr="00F306C7" w:rsidRDefault="00F306C7" w:rsidP="00F306C7">
      <w:pPr>
        <w:pStyle w:val="Text1"/>
        <w:spacing w:before="120" w:after="120" w:line="276" w:lineRule="auto"/>
        <w:ind w:left="0"/>
        <w:rPr>
          <w:noProof/>
          <w:sz w:val="22"/>
          <w:szCs w:val="22"/>
        </w:rPr>
      </w:pPr>
    </w:p>
    <w:p w14:paraId="781B2087" w14:textId="0AAC9195" w:rsidR="00455556" w:rsidRPr="003955F0" w:rsidRDefault="00D5778B" w:rsidP="31867852">
      <w:pPr>
        <w:pStyle w:val="ListParagraph"/>
        <w:numPr>
          <w:ilvl w:val="1"/>
          <w:numId w:val="4"/>
        </w:numPr>
        <w:spacing w:before="120" w:after="120" w:line="276" w:lineRule="auto"/>
        <w:jc w:val="both"/>
        <w:rPr>
          <w:rFonts w:ascii="Times New Roman" w:hAnsi="Times New Roman" w:cs="Times New Roman"/>
          <w:b/>
          <w:bCs/>
          <w:noProof/>
        </w:rPr>
      </w:pPr>
      <w:r>
        <w:rPr>
          <w:rFonts w:ascii="Times New Roman" w:hAnsi="Times New Roman"/>
          <w:b/>
          <w:noProof/>
        </w:rPr>
        <w:t xml:space="preserve"> Iffrankar enerġetiku u tnaqqis tal-importazzjonijiet tal-fjuwils fossili Russi</w:t>
      </w:r>
    </w:p>
    <w:p w14:paraId="28DA44AC" w14:textId="0A78C8FE" w:rsidR="000E5792" w:rsidRPr="003955F0" w:rsidRDefault="000E5792" w:rsidP="0023570B">
      <w:pPr>
        <w:pStyle w:val="Text1"/>
        <w:spacing w:before="120" w:after="120" w:line="276" w:lineRule="auto"/>
        <w:ind w:left="0"/>
        <w:rPr>
          <w:noProof/>
          <w:sz w:val="22"/>
          <w:szCs w:val="22"/>
        </w:rPr>
      </w:pPr>
      <w:r>
        <w:rPr>
          <w:noProof/>
          <w:sz w:val="22"/>
        </w:rPr>
        <w:t xml:space="preserve">L-azzjonijiet immedjati ffukaw fuq l-iffrankar enerġetiku u t-titjib tal-effiċjenza enerġetika bħala l-aktar mod nadif u rħis biex tiġi indirizzata l-kriżi tal-enerġija. L-azzjonijiet meħuda skont ir-REPowerEU ppermettew wieħed mill-akbar tnaqqisiet fid-domanda għall-gass fl-istorja. </w:t>
      </w:r>
    </w:p>
    <w:p w14:paraId="0472AA89" w14:textId="012A49DA" w:rsidR="00E8085D" w:rsidRDefault="00251663" w:rsidP="0023570B">
      <w:pPr>
        <w:spacing w:before="120" w:after="120" w:line="276" w:lineRule="auto"/>
        <w:jc w:val="both"/>
        <w:rPr>
          <w:rFonts w:ascii="Times New Roman" w:hAnsi="Times New Roman" w:cs="Times New Roman"/>
          <w:noProof/>
        </w:rPr>
      </w:pPr>
      <w:r>
        <w:rPr>
          <w:rFonts w:ascii="Times New Roman" w:hAnsi="Times New Roman"/>
          <w:noProof/>
        </w:rPr>
        <w:t>B’mod parallel mas-sanzjonijiet tal-UE li jipprojbixxu l-importazzjonijiet bil-baħar taż-żejt mhux maħdum Russu u tal-prodotti tal-petroleum raffinat</w:t>
      </w:r>
      <w:r w:rsidR="00B91E7E">
        <w:rPr>
          <w:rStyle w:val="FootnoteReference"/>
          <w:rFonts w:ascii="Times New Roman" w:hAnsi="Times New Roman" w:cs="Times New Roman"/>
          <w:noProof/>
          <w:lang w:val="en-GB"/>
        </w:rPr>
        <w:footnoteReference w:id="13"/>
      </w:r>
      <w:r>
        <w:rPr>
          <w:rFonts w:ascii="Times New Roman" w:hAnsi="Times New Roman"/>
          <w:noProof/>
        </w:rPr>
        <w:t xml:space="preserve"> kif ukoll tal-faħam Russu, l-importazzjonijiet tal-</w:t>
      </w:r>
      <w:r>
        <w:rPr>
          <w:rFonts w:ascii="Times New Roman" w:hAnsi="Times New Roman"/>
          <w:b/>
          <w:noProof/>
        </w:rPr>
        <w:t>gass Russu (bil-pipeline u LNG) naqsu minn sehem ta’ 45 % tal-importazzjonijiet kumplessivi tal-gass tal-UE fl-2021 għal 18 % biss fl-ewwel nofs tal-2024</w:t>
      </w:r>
      <w:r>
        <w:rPr>
          <w:rFonts w:ascii="Times New Roman" w:hAnsi="Times New Roman"/>
          <w:noProof/>
        </w:rPr>
        <w:t xml:space="preserve"> (minn 150,2 għal 25,4 bcm),</w:t>
      </w:r>
      <w:r>
        <w:rPr>
          <w:rFonts w:ascii="Times New Roman" w:hAnsi="Times New Roman"/>
          <w:b/>
          <w:noProof/>
        </w:rPr>
        <w:t xml:space="preserve"> u l-ammont annwali importat fl-2023 naqas b’ 72 % mill-2021</w:t>
      </w:r>
      <w:r>
        <w:rPr>
          <w:rFonts w:ascii="Times New Roman" w:hAnsi="Times New Roman"/>
          <w:noProof/>
        </w:rPr>
        <w:t>.</w:t>
      </w:r>
      <w:r>
        <w:rPr>
          <w:rFonts w:ascii="Times New Roman" w:hAnsi="Times New Roman"/>
          <w:b/>
          <w:noProof/>
        </w:rPr>
        <w:t xml:space="preserve"> </w:t>
      </w:r>
      <w:r>
        <w:rPr>
          <w:rFonts w:ascii="Times New Roman" w:hAnsi="Times New Roman"/>
          <w:noProof/>
        </w:rPr>
        <w:t>Dawn huma kisbiet sinifikanti, li jpoġġu lill-UE fit-triq it-tajba biex bil-mod il-mod telimina l-importazzjonijiet tal-fjuwils fossili Russi malajr kemm jista’ jkun. Dan kellu wkoll riperkussjonijiet kbar fuq ir-Russja, li d-dħul tagħha mill-bejgħ tal-gass bil-pipeline kif ukoll tal-LNG lill-UE naqas b’aktar minn 70 % mill-ogħla livell tal-kriżi fl-2022. Dan l-aħħar, ittieħdet azzjoni biex id-dħul Russu mil-LNG jiġi mmirat b’mod aktar speċifiku.</w:t>
      </w:r>
      <w:r>
        <w:rPr>
          <w:rFonts w:ascii="Times New Roman" w:hAnsi="Times New Roman"/>
          <w:i/>
          <w:noProof/>
          <w:color w:val="000000" w:themeColor="text1"/>
          <w:sz w:val="20"/>
        </w:rPr>
        <w:t xml:space="preserve"> </w:t>
      </w:r>
      <w:r>
        <w:rPr>
          <w:rFonts w:ascii="Times New Roman" w:hAnsi="Times New Roman"/>
          <w:noProof/>
        </w:rPr>
        <w:t>Wara l-</w:t>
      </w:r>
      <w:r>
        <w:rPr>
          <w:rFonts w:ascii="Times New Roman" w:hAnsi="Times New Roman"/>
          <w:b/>
          <w:noProof/>
        </w:rPr>
        <w:t>14-il pakkett ta’ sanzjonijiet</w:t>
      </w:r>
      <w:r>
        <w:rPr>
          <w:rFonts w:ascii="Times New Roman" w:hAnsi="Times New Roman"/>
          <w:noProof/>
        </w:rPr>
        <w:t xml:space="preserve"> adottat fl-24 ta’ Ġunju 2024, </w:t>
      </w:r>
      <w:r>
        <w:rPr>
          <w:rFonts w:ascii="Times New Roman" w:hAnsi="Times New Roman"/>
          <w:b/>
          <w:noProof/>
        </w:rPr>
        <w:t>l-UE se tipprojbixxi servizzi ta’ tagħbija mill-ġdid tal-LNG Russu fit-territorju tal-UE</w:t>
      </w:r>
      <w:r>
        <w:rPr>
          <w:rFonts w:ascii="Times New Roman" w:hAnsi="Times New Roman"/>
          <w:noProof/>
        </w:rPr>
        <w:t xml:space="preserve"> għall-fini ta’ operazzjonijiet tat-trażbord lejn pajjiżi terzi, u </w:t>
      </w:r>
      <w:r>
        <w:rPr>
          <w:rFonts w:ascii="Times New Roman" w:hAnsi="Times New Roman"/>
          <w:b/>
          <w:noProof/>
        </w:rPr>
        <w:t>se tipprojbixxi investimenti ġodda,</w:t>
      </w:r>
      <w:r>
        <w:rPr>
          <w:rFonts w:ascii="Times New Roman" w:hAnsi="Times New Roman"/>
          <w:noProof/>
        </w:rPr>
        <w:t xml:space="preserve"> kif ukoll il-forniment ta’ oġġetti, teknoloġiji u servizzi </w:t>
      </w:r>
      <w:r>
        <w:rPr>
          <w:rFonts w:ascii="Times New Roman" w:hAnsi="Times New Roman"/>
          <w:b/>
          <w:noProof/>
        </w:rPr>
        <w:t>għat-tlestija ta’ proġetti Russi tal-LNG li qed jinbnew</w:t>
      </w:r>
      <w:r>
        <w:rPr>
          <w:rFonts w:ascii="Times New Roman" w:hAnsi="Times New Roman"/>
          <w:noProof/>
        </w:rPr>
        <w:t xml:space="preserve">, bħal Arctic LNG 2 u Murmansk LNG. </w:t>
      </w:r>
    </w:p>
    <w:p w14:paraId="3A334B23" w14:textId="1CD34C85" w:rsidR="00D816DC" w:rsidRDefault="001F1C02" w:rsidP="001F7D0E">
      <w:pPr>
        <w:spacing w:before="120" w:after="0" w:line="276" w:lineRule="auto"/>
        <w:jc w:val="both"/>
        <w:rPr>
          <w:rFonts w:ascii="Times New Roman" w:hAnsi="Times New Roman" w:cs="Times New Roman"/>
          <w:noProof/>
        </w:rPr>
      </w:pPr>
      <w:r>
        <w:rPr>
          <w:rFonts w:ascii="Times New Roman" w:hAnsi="Times New Roman"/>
          <w:noProof/>
        </w:rPr>
        <w:t>L-UE qabżet il-mira volontarja tagħha li tnaqqas id-domanda għall-gass bi 15 % kif stabbilit bir-</w:t>
      </w:r>
      <w:hyperlink r:id="rId17">
        <w:r>
          <w:rPr>
            <w:rFonts w:ascii="Times New Roman" w:hAnsi="Times New Roman"/>
            <w:b/>
            <w:noProof/>
          </w:rPr>
          <w:t>Regolament ta’ emerġenza dwar miżuri kkoordinati tal-UE għal tnaqqis fid-domanda għall-gass</w:t>
        </w:r>
        <w:r w:rsidR="007A3179" w:rsidRPr="003955F0">
          <w:rPr>
            <w:rFonts w:ascii="Times New Roman" w:hAnsi="Times New Roman" w:cs="Times New Roman"/>
            <w:noProof/>
            <w:vertAlign w:val="superscript"/>
            <w:lang w:val="en-GB"/>
          </w:rPr>
          <w:footnoteReference w:id="14"/>
        </w:r>
      </w:hyperlink>
      <w:r>
        <w:rPr>
          <w:rFonts w:ascii="Times New Roman" w:hAnsi="Times New Roman"/>
          <w:noProof/>
        </w:rPr>
        <w:t>. B’mod kumplessiv, l-UE naqqset id-domanda tagħha għall-gass b’18 % minn Awwissu 2022 sa Mejju 2024 b’138 biljun metru kubu (bcm) ta’ gass iffrankat</w:t>
      </w:r>
      <w:r w:rsidR="00076AF8">
        <w:rPr>
          <w:rStyle w:val="FootnoteReference"/>
          <w:rFonts w:ascii="Times New Roman" w:hAnsi="Times New Roman" w:cs="Times New Roman"/>
          <w:noProof/>
          <w:lang w:val="en-GB"/>
        </w:rPr>
        <w:footnoteReference w:id="15"/>
      </w:r>
      <w:r>
        <w:rPr>
          <w:rFonts w:ascii="Times New Roman" w:hAnsi="Times New Roman"/>
          <w:noProof/>
        </w:rPr>
        <w:t>. Dan l-iffrankar huwa r-riżultati kkombinati tal-isforzi tal-Istati Membri, tan-negozji u taċ-ċittadini, li għenu biex jiġu evitati nuqqasijiet fil-provvista u tiġi żgurata s-sigurtà tal-provvista. L-isforzi għat-tnaqqis fid-domanda għall-gass ġew estiżi permezz ta’ Rakkomandazzjoni tal-Kunsill</w:t>
      </w:r>
      <w:r w:rsidR="003632B5" w:rsidRPr="003955F0">
        <w:rPr>
          <w:rStyle w:val="FootnoteReference"/>
          <w:rFonts w:ascii="Times New Roman" w:eastAsia="Times New Roman" w:hAnsi="Times New Roman" w:cs="Times New Roman"/>
          <w:noProof/>
          <w:lang w:val="en-GB"/>
        </w:rPr>
        <w:footnoteReference w:id="16"/>
      </w:r>
      <w:r>
        <w:rPr>
          <w:rFonts w:ascii="Times New Roman" w:hAnsi="Times New Roman"/>
          <w:noProof/>
        </w:rPr>
        <w:t>.</w:t>
      </w:r>
    </w:p>
    <w:p w14:paraId="3E660A18" w14:textId="4776368A" w:rsidR="00FA0509" w:rsidRPr="003955F0" w:rsidRDefault="005512AC" w:rsidP="00423F01">
      <w:pPr>
        <w:spacing w:before="120" w:after="120" w:line="276" w:lineRule="auto"/>
        <w:jc w:val="center"/>
        <w:rPr>
          <w:rFonts w:ascii="Times New Roman" w:hAnsi="Times New Roman" w:cs="Times New Roman"/>
          <w:noProof/>
        </w:rPr>
      </w:pPr>
      <w:r>
        <w:rPr>
          <w:noProof/>
          <w:lang w:val="en-GB" w:eastAsia="en-GB"/>
        </w:rPr>
        <w:drawing>
          <wp:inline distT="0" distB="0" distL="0" distR="0" wp14:anchorId="4B136180" wp14:editId="69A95A3A">
            <wp:extent cx="4662309" cy="2235787"/>
            <wp:effectExtent l="0" t="0" r="5080" b="0"/>
            <wp:docPr id="128001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01086" name=""/>
                    <pic:cNvPicPr/>
                  </pic:nvPicPr>
                  <pic:blipFill rotWithShape="1">
                    <a:blip r:embed="rId18"/>
                    <a:srcRect l="646" t="2085" b="-1"/>
                    <a:stretch/>
                  </pic:blipFill>
                  <pic:spPr bwMode="auto">
                    <a:xfrm>
                      <a:off x="0" y="0"/>
                      <a:ext cx="4681824" cy="2245145"/>
                    </a:xfrm>
                    <a:prstGeom prst="rect">
                      <a:avLst/>
                    </a:prstGeom>
                    <a:ln>
                      <a:noFill/>
                    </a:ln>
                    <a:extLst>
                      <a:ext uri="{53640926-AAD7-44D8-BBD7-CCE9431645EC}">
                        <a14:shadowObscured xmlns:a14="http://schemas.microsoft.com/office/drawing/2010/main"/>
                      </a:ext>
                    </a:extLst>
                  </pic:spPr>
                </pic:pic>
              </a:graphicData>
            </a:graphic>
          </wp:inline>
        </w:drawing>
      </w:r>
    </w:p>
    <w:p w14:paraId="012B7ED4" w14:textId="6B168CDB" w:rsidR="004F5919" w:rsidRPr="00DA786C" w:rsidRDefault="004F5919" w:rsidP="3F7883FE">
      <w:pPr>
        <w:spacing w:before="120" w:after="120" w:line="276" w:lineRule="auto"/>
        <w:jc w:val="both"/>
        <w:rPr>
          <w:rFonts w:ascii="Times New Roman" w:hAnsi="Times New Roman" w:cs="Times New Roman"/>
          <w:b/>
          <w:bCs/>
          <w:noProof/>
          <w:sz w:val="18"/>
          <w:szCs w:val="18"/>
        </w:rPr>
      </w:pPr>
      <w:r>
        <w:rPr>
          <w:rFonts w:ascii="Times New Roman" w:hAnsi="Times New Roman"/>
          <w:b/>
          <w:noProof/>
          <w:sz w:val="18"/>
        </w:rPr>
        <w:t>Illustrazzjoni 1. Tnaqqis fid-Domanda għall-Gass Naturali</w:t>
      </w:r>
      <w:r w:rsidR="001E0580" w:rsidRPr="00DA786C">
        <w:rPr>
          <w:rStyle w:val="FootnoteReference"/>
          <w:rFonts w:ascii="Times New Roman" w:hAnsi="Times New Roman" w:cs="Times New Roman"/>
          <w:b/>
          <w:bCs/>
          <w:noProof/>
          <w:sz w:val="18"/>
          <w:szCs w:val="18"/>
          <w:lang w:val="en-GB"/>
        </w:rPr>
        <w:footnoteReference w:id="17"/>
      </w:r>
      <w:r>
        <w:rPr>
          <w:rFonts w:ascii="Times New Roman" w:hAnsi="Times New Roman"/>
          <w:b/>
          <w:noProof/>
          <w:sz w:val="18"/>
        </w:rPr>
        <w:t xml:space="preserve"> </w:t>
      </w:r>
    </w:p>
    <w:p w14:paraId="3F2FBA46" w14:textId="090E6026" w:rsidR="00B632A2" w:rsidRPr="003955F0" w:rsidRDefault="00B70AC2" w:rsidP="3F7883FE">
      <w:pPr>
        <w:spacing w:before="120" w:after="120" w:line="276" w:lineRule="auto"/>
        <w:jc w:val="both"/>
        <w:rPr>
          <w:rFonts w:ascii="Times New Roman" w:hAnsi="Times New Roman" w:cs="Times New Roman"/>
          <w:noProof/>
          <w:sz w:val="18"/>
          <w:szCs w:val="18"/>
        </w:rPr>
      </w:pPr>
      <w:r>
        <w:rPr>
          <w:rFonts w:ascii="Times New Roman" w:hAnsi="Times New Roman"/>
          <w:noProof/>
          <w:sz w:val="18"/>
        </w:rPr>
        <w:t xml:space="preserve">Sors: Il-Kummissjoni Ewropea abbażi tal-Eurostat </w:t>
      </w:r>
    </w:p>
    <w:p w14:paraId="1E34B5F2" w14:textId="6EB1AB83" w:rsidR="00D23273" w:rsidRPr="003955F0" w:rsidRDefault="00D23273" w:rsidP="0023570B">
      <w:pPr>
        <w:pStyle w:val="Text1"/>
        <w:spacing w:before="120" w:after="120" w:line="276" w:lineRule="auto"/>
        <w:ind w:left="0"/>
        <w:rPr>
          <w:noProof/>
          <w:sz w:val="22"/>
          <w:szCs w:val="22"/>
        </w:rPr>
      </w:pPr>
      <w:r>
        <w:rPr>
          <w:noProof/>
          <w:sz w:val="22"/>
        </w:rPr>
        <w:t xml:space="preserve">Barra minn hekk, l-UE malajr adottat </w:t>
      </w:r>
      <w:r>
        <w:rPr>
          <w:b/>
          <w:noProof/>
          <w:sz w:val="22"/>
        </w:rPr>
        <w:t>miri obbligatorji għall-mili tal-ħażniet tal-gass</w:t>
      </w:r>
      <w:r>
        <w:rPr>
          <w:noProof/>
          <w:sz w:val="22"/>
        </w:rPr>
        <w:t xml:space="preserve"> biex tibqa’ mħejjija għall-istaġuni tax-xitwa tal-2023 u tal-2024, li jipprovdu serħan il-moħħ qawwi kemm għas-sigurtà tal-provvista kif ukoll għas-suq. Ir-Regolament dwar il-Ħżin tal-Gass</w:t>
      </w:r>
      <w:r w:rsidRPr="003955F0">
        <w:rPr>
          <w:noProof/>
          <w:sz w:val="22"/>
          <w:szCs w:val="22"/>
          <w:vertAlign w:val="superscript"/>
        </w:rPr>
        <w:footnoteReference w:id="18"/>
      </w:r>
      <w:r>
        <w:rPr>
          <w:noProof/>
          <w:sz w:val="22"/>
        </w:rPr>
        <w:t xml:space="preserve">, kien jirrikjedi li l-faċilitajiet ta’ ħżin ta’ gass taħt l-art tal-Istati Membri jimtlew sa mill-inqas 80 % tal-kapaċità tagħhom sal-1 ta’ Novembru 2022, u bil-minimu jitla’ għal 90 % mill-2023 ’il quddiem. Fl-1 ta’ April 2024, il-livelli tal-ħżin tal-gass kienu f’kapaċità ta’ 59 %, rekord għall-għeluq tal-istaġun tax-xitwa, u fid-19 ta’ Awwissu l-UE laħqet il-mira tal-kapaċità ta’ ħżin ta’ 90 % f’xahrejn qabel l-iskadenza tal-1 ta’ Novembru. </w:t>
      </w:r>
    </w:p>
    <w:p w14:paraId="1EC55E3A" w14:textId="5427C77B" w:rsidR="00D64747" w:rsidRPr="003955F0" w:rsidRDefault="0066046E" w:rsidP="0023570B">
      <w:pPr>
        <w:pStyle w:val="Text1"/>
        <w:spacing w:before="120" w:after="120" w:line="276" w:lineRule="auto"/>
        <w:ind w:left="0"/>
        <w:rPr>
          <w:noProof/>
          <w:sz w:val="22"/>
          <w:szCs w:val="22"/>
        </w:rPr>
      </w:pPr>
      <w:r>
        <w:rPr>
          <w:noProof/>
          <w:sz w:val="22"/>
        </w:rPr>
        <w:t xml:space="preserve">Matul is-snin, il-Kummissjoni flimkien mal-Istati Membri wettqu wkoll ħidma kollaborattiva u koordinazzjoni b’saħħitha, b’mod partikolari permezz tal-Grupp ta’ Koordinazzjoni dwar il-Gass u l-Grupp għall-Koordinazzjoni tal-Elettriku, biex </w:t>
      </w:r>
      <w:r>
        <w:rPr>
          <w:b/>
          <w:noProof/>
          <w:sz w:val="22"/>
        </w:rPr>
        <w:t>jiżguraw it-tħejjija tal-UE għax-xitwa</w:t>
      </w:r>
      <w:r>
        <w:rPr>
          <w:noProof/>
          <w:sz w:val="22"/>
        </w:rPr>
        <w:t xml:space="preserve"> fi spirtu ta’ unità u solidarjetà. </w:t>
      </w:r>
    </w:p>
    <w:p w14:paraId="71E0A216" w14:textId="6A5F3268" w:rsidR="006C4585" w:rsidRPr="003955F0" w:rsidRDefault="006C4585" w:rsidP="0023570B">
      <w:pPr>
        <w:spacing w:before="120" w:after="120" w:line="276" w:lineRule="auto"/>
        <w:jc w:val="both"/>
        <w:rPr>
          <w:rFonts w:ascii="Times New Roman" w:hAnsi="Times New Roman" w:cs="Times New Roman"/>
          <w:noProof/>
        </w:rPr>
      </w:pPr>
      <w:r>
        <w:rPr>
          <w:rFonts w:ascii="Times New Roman" w:hAnsi="Times New Roman"/>
          <w:noProof/>
        </w:rPr>
        <w:t xml:space="preserve">Iż-żewġ miżuri, flimkien mal-inizjattivi leġiżlattivi </w:t>
      </w:r>
      <w:r>
        <w:rPr>
          <w:rFonts w:ascii="Times New Roman" w:hAnsi="Times New Roman"/>
          <w:b/>
          <w:noProof/>
        </w:rPr>
        <w:t>“Lesti għall-mira ta’ 55 %”</w:t>
      </w:r>
      <w:r>
        <w:rPr>
          <w:rFonts w:ascii="Times New Roman" w:hAnsi="Times New Roman"/>
          <w:noProof/>
        </w:rPr>
        <w:t xml:space="preserve"> u </w:t>
      </w:r>
      <w:r>
        <w:rPr>
          <w:rFonts w:ascii="Times New Roman" w:hAnsi="Times New Roman"/>
          <w:b/>
          <w:noProof/>
        </w:rPr>
        <w:t>inizjattivi leġiżlattivi ta’ emerġenza</w:t>
      </w:r>
      <w:r w:rsidRPr="19378220">
        <w:rPr>
          <w:rStyle w:val="FootnoteReference"/>
          <w:rFonts w:ascii="Times New Roman" w:hAnsi="Times New Roman" w:cs="Times New Roman"/>
          <w:b/>
          <w:bCs/>
          <w:noProof/>
          <w:lang w:val="en-GB"/>
        </w:rPr>
        <w:footnoteReference w:id="19"/>
      </w:r>
      <w:r>
        <w:rPr>
          <w:rFonts w:ascii="Times New Roman" w:hAnsi="Times New Roman"/>
          <w:noProof/>
        </w:rPr>
        <w:t>, ikkontribwew għall-istabbilizzazzjoni tal-prezzijiet tal-enerġija. Filwaqt li l-prezzijiet bl-imnut tal-gass u tal-elettriku għadhom ogħla mil-livelli ta’ qabel il-kriżi, dawn naqsu sostanzjalment meta mqabbla mal-ogħla livelli fl-2022.</w:t>
      </w:r>
    </w:p>
    <w:p w14:paraId="6483A2AB" w14:textId="09245ABD" w:rsidR="006B52D6" w:rsidRPr="003955F0" w:rsidRDefault="21F6DEA3" w:rsidP="0023570B">
      <w:pPr>
        <w:spacing w:before="120" w:after="120" w:line="276" w:lineRule="auto"/>
        <w:jc w:val="both"/>
        <w:rPr>
          <w:rFonts w:ascii="Times New Roman" w:hAnsi="Times New Roman" w:cs="Times New Roman"/>
          <w:noProof/>
        </w:rPr>
      </w:pPr>
      <w:r>
        <w:rPr>
          <w:rFonts w:ascii="Times New Roman" w:hAnsi="Times New Roman"/>
          <w:noProof/>
        </w:rPr>
        <w:t xml:space="preserve">Dawn il-miżuri ta’ emerġenza kienu akkumpanjati minn progress sinifikanti lejn l-objettivi fit-tul tal-UE, li jallinja l-leġiżlazzjoni ewlenija “Lesti għall-mira ta’ 55 %” ma’ żieda fl-ambizzjoni tal-Pjan REPowerEU. </w:t>
      </w:r>
    </w:p>
    <w:p w14:paraId="452A2530" w14:textId="5B268F1D" w:rsidR="007A56AC" w:rsidRPr="007A56AC" w:rsidRDefault="694C00D2" w:rsidP="007A56AC">
      <w:pPr>
        <w:spacing w:before="120" w:after="120" w:line="276" w:lineRule="auto"/>
        <w:jc w:val="both"/>
        <w:rPr>
          <w:rFonts w:ascii="Times New Roman" w:hAnsi="Times New Roman" w:cs="Times New Roman"/>
          <w:noProof/>
        </w:rPr>
      </w:pPr>
      <w:r>
        <w:rPr>
          <w:rFonts w:ascii="Times New Roman" w:hAnsi="Times New Roman"/>
          <w:noProof/>
        </w:rPr>
        <w:t>Wara l-adozzjoni tad-</w:t>
      </w:r>
      <w:r>
        <w:rPr>
          <w:rFonts w:ascii="Times New Roman" w:hAnsi="Times New Roman"/>
          <w:b/>
          <w:noProof/>
        </w:rPr>
        <w:t>Direttiva riformulata dwar l-Effiċjenza Enerġetika</w:t>
      </w:r>
      <w:r>
        <w:rPr>
          <w:rFonts w:ascii="Times New Roman" w:hAnsi="Times New Roman"/>
          <w:noProof/>
        </w:rPr>
        <w:t xml:space="preserve"> f’Settembru 2023, il-Kummissjoni adottat sensiela ta’ </w:t>
      </w:r>
      <w:r>
        <w:rPr>
          <w:rFonts w:ascii="Times New Roman" w:hAnsi="Times New Roman"/>
          <w:b/>
          <w:noProof/>
        </w:rPr>
        <w:t>rakkomandazzjonijiet</w:t>
      </w:r>
      <w:r>
        <w:rPr>
          <w:rFonts w:ascii="Times New Roman" w:hAnsi="Times New Roman"/>
          <w:noProof/>
        </w:rPr>
        <w:t xml:space="preserve"> biex tiżgura l-implimentazzjoni u tgħin lill-Istati Membri fil-proċess ta’ traspożizzjoni. Il-Kummissjoni qed timpenja ruħha wkoll malajr fl-implimentazzjoni tad-</w:t>
      </w:r>
      <w:r>
        <w:rPr>
          <w:rFonts w:ascii="Times New Roman" w:hAnsi="Times New Roman"/>
          <w:b/>
          <w:noProof/>
        </w:rPr>
        <w:t>Direttiva dwar ir-Rendiment tal-Bini fl-Użu tal-Enerġija</w:t>
      </w:r>
      <w:r>
        <w:rPr>
          <w:rFonts w:ascii="Times New Roman" w:hAnsi="Times New Roman"/>
          <w:noProof/>
        </w:rPr>
        <w:t xml:space="preserve"> adottata f’April 2024, li malajr se tippermetti d-dekarbonizzazzjoni tal-istokk tal-bini tagħna, li għadu responsabbli għal madwar 40 % tal-konsum totali tal-enerġija tal-UE, u fl-aħħar mill-aħħar iżżid is-sigurtà tal-enerġija tagħna u tnaqqas id-dipendenza tagħna fuq il-fjuwils fossili importati. Il-</w:t>
      </w:r>
      <w:r>
        <w:rPr>
          <w:rFonts w:ascii="Times New Roman" w:hAnsi="Times New Roman"/>
          <w:b/>
          <w:noProof/>
        </w:rPr>
        <w:t>Missjoni Ewropea dwar bliet newtrali għall-klima u intelliġenti</w:t>
      </w:r>
      <w:r>
        <w:rPr>
          <w:rFonts w:ascii="Times New Roman" w:hAnsi="Times New Roman"/>
          <w:noProof/>
        </w:rPr>
        <w:t xml:space="preserve"> kompliet tikkontribwixxi b’mod sinifikanti għall-miri tal-iffrankar enerġetiku tal-Pjan REPowerEU. Tlieta u tletin belt issa rċevew Tikketta tal-Missjoni, li tirrikonoxxi l-miżuri klimatiċi u l-pjan ta’ investimenti tagħhom biex jilħqu n-newtralità klimatika sal-2030.</w:t>
      </w:r>
    </w:p>
    <w:p w14:paraId="4E9ECBF3" w14:textId="79AC2264" w:rsidR="0045762D" w:rsidRPr="003955F0" w:rsidRDefault="0045762D" w:rsidP="0023570B">
      <w:pPr>
        <w:pStyle w:val="ListParagraph"/>
        <w:numPr>
          <w:ilvl w:val="1"/>
          <w:numId w:val="4"/>
        </w:numPr>
        <w:spacing w:before="120" w:after="120" w:line="276" w:lineRule="auto"/>
        <w:contextualSpacing w:val="0"/>
        <w:jc w:val="both"/>
        <w:rPr>
          <w:rFonts w:ascii="Times New Roman" w:hAnsi="Times New Roman" w:cs="Times New Roman"/>
          <w:b/>
          <w:noProof/>
        </w:rPr>
      </w:pPr>
      <w:r>
        <w:rPr>
          <w:rFonts w:ascii="Times New Roman" w:hAnsi="Times New Roman"/>
          <w:b/>
          <w:noProof/>
        </w:rPr>
        <w:t xml:space="preserve"> Avvanz rapidu tat-tranżizzjoni lejn enerġija nadifa</w:t>
      </w:r>
    </w:p>
    <w:p w14:paraId="41F295D3" w14:textId="0A29E5CD" w:rsidR="007E74A0" w:rsidRPr="003955F0" w:rsidRDefault="009D2739" w:rsidP="0023570B">
      <w:pPr>
        <w:spacing w:before="120" w:after="120" w:line="276" w:lineRule="auto"/>
        <w:jc w:val="both"/>
        <w:rPr>
          <w:rFonts w:ascii="Times New Roman" w:hAnsi="Times New Roman" w:cs="Times New Roman"/>
          <w:noProof/>
        </w:rPr>
      </w:pPr>
      <w:r>
        <w:rPr>
          <w:rFonts w:ascii="Times New Roman" w:hAnsi="Times New Roman"/>
          <w:noProof/>
        </w:rPr>
        <w:t>Matul l-2023 u l-2024, l-UE għamlet progress sinifikanti fit-trawwim tat-tranżizzjoni lejn enerġija nadifa bl-adozzjoni mill-koleġiżlaturi ta’ leġiżlazzjoni ewlenija fi ħdan il-</w:t>
      </w:r>
      <w:r>
        <w:rPr>
          <w:rFonts w:ascii="Times New Roman" w:hAnsi="Times New Roman"/>
          <w:b/>
          <w:noProof/>
        </w:rPr>
        <w:t>pakkett “Lesti għall-mira ta’ 55 %”</w:t>
      </w:r>
      <w:r w:rsidR="00CA5142" w:rsidRPr="003955F0">
        <w:rPr>
          <w:rStyle w:val="FootnoteReference"/>
          <w:rFonts w:ascii="Times New Roman" w:hAnsi="Times New Roman" w:cs="Times New Roman"/>
          <w:noProof/>
          <w:lang w:val="en-GB"/>
        </w:rPr>
        <w:footnoteReference w:id="20"/>
      </w:r>
      <w:r>
        <w:rPr>
          <w:rFonts w:ascii="Times New Roman" w:hAnsi="Times New Roman"/>
          <w:noProof/>
        </w:rPr>
        <w:t xml:space="preserve"> u l-istabbiliment ta’ stadji importanti lejn il-kisba tal-</w:t>
      </w:r>
      <w:r>
        <w:rPr>
          <w:rFonts w:ascii="Times New Roman" w:hAnsi="Times New Roman"/>
          <w:b/>
          <w:noProof/>
        </w:rPr>
        <w:t>objettivi tar-REPowerEU</w:t>
      </w:r>
      <w:r>
        <w:rPr>
          <w:rFonts w:ascii="Times New Roman" w:hAnsi="Times New Roman"/>
          <w:noProof/>
        </w:rPr>
        <w:t xml:space="preserve">. </w:t>
      </w:r>
    </w:p>
    <w:p w14:paraId="6CFA21DE" w14:textId="714D388E" w:rsidR="00A46336" w:rsidRPr="003955F0" w:rsidRDefault="00EB6FE6" w:rsidP="0023570B">
      <w:pPr>
        <w:spacing w:before="120" w:after="120" w:line="276" w:lineRule="auto"/>
        <w:jc w:val="both"/>
        <w:rPr>
          <w:rFonts w:ascii="Times New Roman" w:hAnsi="Times New Roman" w:cs="Times New Roman"/>
          <w:noProof/>
        </w:rPr>
      </w:pPr>
      <w:r>
        <w:rPr>
          <w:rFonts w:ascii="Times New Roman" w:hAnsi="Times New Roman"/>
          <w:noProof/>
        </w:rPr>
        <w:t>B’mod partikolari, iż-</w:t>
      </w:r>
      <w:r>
        <w:rPr>
          <w:rFonts w:ascii="Times New Roman" w:hAnsi="Times New Roman"/>
          <w:b/>
          <w:noProof/>
        </w:rPr>
        <w:t>żieda fil-produzzjoni tal-enerġija rinnovabbli</w:t>
      </w:r>
      <w:r>
        <w:rPr>
          <w:rFonts w:ascii="Times New Roman" w:hAnsi="Times New Roman"/>
          <w:noProof/>
        </w:rPr>
        <w:t xml:space="preserve"> kienet fil-qalba tal-objettiv tal-Pjan REPowerEU li tinbena sistema tal-enerġija sigura u dekarbonizzata fl-UE. L-aktar </w:t>
      </w:r>
      <w:r>
        <w:rPr>
          <w:rFonts w:ascii="Times New Roman" w:hAnsi="Times New Roman"/>
          <w:i/>
          <w:iCs/>
          <w:noProof/>
        </w:rPr>
        <w:t>data</w:t>
      </w:r>
      <w:r>
        <w:rPr>
          <w:rFonts w:ascii="Times New Roman" w:hAnsi="Times New Roman"/>
          <w:noProof/>
        </w:rPr>
        <w:t xml:space="preserve"> reċenti turi riżultati eċċellenti biż-żieda fil-</w:t>
      </w:r>
      <w:r>
        <w:rPr>
          <w:rFonts w:ascii="Times New Roman" w:hAnsi="Times New Roman"/>
          <w:b/>
          <w:noProof/>
        </w:rPr>
        <w:t>kapaċità tar-riħ u solari</w:t>
      </w:r>
      <w:r>
        <w:rPr>
          <w:rFonts w:ascii="Times New Roman" w:hAnsi="Times New Roman"/>
          <w:noProof/>
        </w:rPr>
        <w:t xml:space="preserve"> installata b’36 % bejn l-2021 u l-2023</w:t>
      </w:r>
      <w:r w:rsidR="00EC348D" w:rsidRPr="003955F0">
        <w:rPr>
          <w:rStyle w:val="FootnoteReference"/>
          <w:rFonts w:ascii="Times New Roman" w:hAnsi="Times New Roman" w:cs="Times New Roman"/>
          <w:noProof/>
          <w:lang w:val="en-GB"/>
        </w:rPr>
        <w:footnoteReference w:id="21"/>
      </w:r>
      <w:r>
        <w:rPr>
          <w:rFonts w:ascii="Times New Roman" w:hAnsi="Times New Roman"/>
          <w:noProof/>
        </w:rPr>
        <w:t>, li tiffranka madwar 35 biljun metru kubu (bcm) ta’ gass fuq sentejn. B’</w:t>
      </w:r>
      <w:r>
        <w:rPr>
          <w:rFonts w:ascii="Times New Roman" w:hAnsi="Times New Roman"/>
          <w:b/>
          <w:noProof/>
        </w:rPr>
        <w:t>56 GW ta’ kapaċità ġdida ta’ enerġija solari</w:t>
      </w:r>
      <w:r>
        <w:rPr>
          <w:rFonts w:ascii="Times New Roman" w:hAnsi="Times New Roman"/>
          <w:noProof/>
        </w:rPr>
        <w:t xml:space="preserve"> installata fl-2023</w:t>
      </w:r>
      <w:r w:rsidR="009F47C8" w:rsidRPr="003955F0">
        <w:rPr>
          <w:rStyle w:val="FootnoteReference"/>
          <w:rFonts w:ascii="Times New Roman" w:hAnsi="Times New Roman" w:cs="Times New Roman"/>
          <w:noProof/>
          <w:lang w:val="en-GB"/>
        </w:rPr>
        <w:footnoteReference w:id="22"/>
      </w:r>
      <w:r>
        <w:rPr>
          <w:rFonts w:ascii="Times New Roman" w:hAnsi="Times New Roman"/>
          <w:noProof/>
        </w:rPr>
        <w:t xml:space="preserve">, </w:t>
      </w:r>
      <w:r>
        <w:rPr>
          <w:rFonts w:ascii="Times New Roman" w:hAnsi="Times New Roman"/>
          <w:b/>
          <w:noProof/>
        </w:rPr>
        <w:t>l-UE stabbiliet rekord ieħor</w:t>
      </w:r>
      <w:r>
        <w:rPr>
          <w:rFonts w:ascii="Times New Roman" w:hAnsi="Times New Roman"/>
          <w:noProof/>
        </w:rPr>
        <w:t xml:space="preserve"> li qabeż l-40 GW addizzjonali installati fl-2022. Dawn iċ-ċifri jirrappreżentaw passi importanti fid-direzzjoni t-tajba, iżda hemm bżonn li jitħaffu aktar biex jintlaħqu l-miri tar-REPowerEU skont l-</w:t>
      </w:r>
      <w:r>
        <w:rPr>
          <w:rFonts w:ascii="Times New Roman" w:hAnsi="Times New Roman"/>
          <w:b/>
          <w:noProof/>
        </w:rPr>
        <w:t>Istrateġija tal-UE dwar l-Enerġija Solari</w:t>
      </w:r>
      <w:r w:rsidR="63BBDDF8" w:rsidRPr="003955F0">
        <w:rPr>
          <w:rStyle w:val="FootnoteReference"/>
          <w:rFonts w:ascii="Times New Roman" w:hAnsi="Times New Roman" w:cs="Times New Roman"/>
          <w:noProof/>
          <w:lang w:val="en-GB"/>
        </w:rPr>
        <w:footnoteReference w:id="23"/>
      </w:r>
      <w:r>
        <w:rPr>
          <w:rFonts w:ascii="Times New Roman" w:hAnsi="Times New Roman"/>
          <w:noProof/>
        </w:rPr>
        <w:t xml:space="preserve"> u tintlaħaq kapaċità totali ta’ mill-inqas 700 GW sal-2030, żieda mill-263 GW stmati installati fi tmiem l-2023. Matul dawn l-aħħar snin, l-UE ħadet diversi inizjattivi biex issaħħaħ l-appoġġ għas-settur Ewropew tal-manifattura fotovoltajka billi nediet l-</w:t>
      </w:r>
      <w:r>
        <w:rPr>
          <w:rFonts w:ascii="Times New Roman" w:hAnsi="Times New Roman"/>
          <w:b/>
          <w:noProof/>
        </w:rPr>
        <w:t>Alleanza Ewropea għall-Industrija Fotovoltajka Solari</w:t>
      </w:r>
      <w:r w:rsidR="11FF2195" w:rsidRPr="003955F0">
        <w:rPr>
          <w:rStyle w:val="FootnoteReference"/>
          <w:rFonts w:ascii="Times New Roman" w:hAnsi="Times New Roman" w:cs="Times New Roman"/>
          <w:noProof/>
          <w:lang w:val="en-GB"/>
        </w:rPr>
        <w:footnoteReference w:id="24"/>
      </w:r>
      <w:r>
        <w:rPr>
          <w:rFonts w:ascii="Times New Roman" w:hAnsi="Times New Roman"/>
          <w:b/>
          <w:noProof/>
        </w:rPr>
        <w:t>, adottat Karta Solari, u stabbiliet sħubija koprogrammata pubblika-privata biex tappoġġja l-isforzi kkoordinati tagħha fir-R&amp;I</w:t>
      </w:r>
      <w:r>
        <w:rPr>
          <w:rFonts w:ascii="Times New Roman" w:hAnsi="Times New Roman"/>
          <w:noProof/>
        </w:rPr>
        <w:t>. Fir-rigward tal-</w:t>
      </w:r>
      <w:r>
        <w:rPr>
          <w:rFonts w:ascii="Times New Roman" w:hAnsi="Times New Roman"/>
          <w:b/>
          <w:noProof/>
        </w:rPr>
        <w:t>enerġija mir-riħ</w:t>
      </w:r>
      <w:r>
        <w:rPr>
          <w:rFonts w:ascii="Times New Roman" w:hAnsi="Times New Roman"/>
          <w:noProof/>
        </w:rPr>
        <w:t>, 16-il GW ta’ kapaċità</w:t>
      </w:r>
      <w:r>
        <w:rPr>
          <w:rFonts w:ascii="Times New Roman" w:hAnsi="Times New Roman"/>
          <w:b/>
          <w:noProof/>
        </w:rPr>
        <w:t xml:space="preserve"> </w:t>
      </w:r>
      <w:r>
        <w:rPr>
          <w:rFonts w:ascii="Times New Roman" w:hAnsi="Times New Roman"/>
          <w:noProof/>
        </w:rPr>
        <w:t>ġdida ġew installati fl-UE fl-2023, biex intlaħaq total ta’ 221 GW</w:t>
      </w:r>
      <w:r w:rsidR="00F413D8" w:rsidRPr="003955F0">
        <w:rPr>
          <w:rStyle w:val="FootnoteReference"/>
          <w:rFonts w:ascii="Times New Roman" w:hAnsi="Times New Roman" w:cs="Times New Roman"/>
          <w:noProof/>
          <w:lang w:val="en-GB"/>
        </w:rPr>
        <w:footnoteReference w:id="25"/>
      </w:r>
      <w:r>
        <w:rPr>
          <w:rFonts w:ascii="Times New Roman" w:hAnsi="Times New Roman"/>
          <w:noProof/>
        </w:rPr>
        <w:t>. Filwaqt li dan juri progress tajjeb, is-settur tal-enerġija jeħtieġ li jħaffef il-pass tal-installazzjoni biex jintlaħqu l-miri ambizzjużi tal-enerġija rinnovabbli tal-UE, sfida li l-Kummissjoni wieġbet għaliha bl-adozzjoni tal-</w:t>
      </w:r>
      <w:r>
        <w:rPr>
          <w:rFonts w:ascii="Times New Roman" w:hAnsi="Times New Roman"/>
          <w:b/>
          <w:noProof/>
        </w:rPr>
        <w:t>Pakkett dwar l-Enerġija mir-Riħ</w:t>
      </w:r>
      <w:r w:rsidR="1572ECC1" w:rsidRPr="003955F0">
        <w:rPr>
          <w:rStyle w:val="FootnoteReference"/>
          <w:rFonts w:ascii="Times New Roman" w:hAnsi="Times New Roman" w:cs="Times New Roman"/>
          <w:noProof/>
          <w:lang w:val="en-GB"/>
        </w:rPr>
        <w:footnoteReference w:id="26"/>
      </w:r>
      <w:r>
        <w:rPr>
          <w:rFonts w:ascii="Times New Roman" w:hAnsi="Times New Roman"/>
          <w:noProof/>
        </w:rPr>
        <w:t xml:space="preserve">, filwaqt li tistinka għal varar bilanċjat b’kollaborazzjoni maċ-ċittadini lokali biex jiġi evitat li t-tranżizzjoni tal-enerġija tiġi mhedda minħabba tħassib dwar il-pajsaġġi, il-bijodiversità, il-wirt kulturali u l-istili tal-ħajja, speċjalment fiż-żoni rurali. </w:t>
      </w:r>
    </w:p>
    <w:p w14:paraId="34AAD708" w14:textId="0BE52491" w:rsidR="00A46336" w:rsidRPr="003955F0" w:rsidRDefault="0017388C" w:rsidP="0023570B">
      <w:pPr>
        <w:spacing w:before="120" w:after="120" w:line="276" w:lineRule="auto"/>
        <w:jc w:val="center"/>
        <w:rPr>
          <w:rFonts w:ascii="Times New Roman" w:hAnsi="Times New Roman" w:cs="Times New Roman"/>
          <w:noProof/>
        </w:rPr>
      </w:pPr>
      <w:r>
        <w:rPr>
          <w:noProof/>
          <w:lang w:val="en-GB" w:eastAsia="en-GB"/>
        </w:rPr>
        <w:drawing>
          <wp:inline distT="0" distB="0" distL="0" distR="0" wp14:anchorId="70B88346" wp14:editId="19EA3408">
            <wp:extent cx="4689031" cy="2286000"/>
            <wp:effectExtent l="0" t="0" r="0" b="0"/>
            <wp:docPr id="858763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763290" name=""/>
                    <pic:cNvPicPr/>
                  </pic:nvPicPr>
                  <pic:blipFill>
                    <a:blip r:embed="rId19"/>
                    <a:stretch>
                      <a:fillRect/>
                    </a:stretch>
                  </pic:blipFill>
                  <pic:spPr>
                    <a:xfrm>
                      <a:off x="0" y="0"/>
                      <a:ext cx="4695573" cy="2289189"/>
                    </a:xfrm>
                    <a:prstGeom prst="rect">
                      <a:avLst/>
                    </a:prstGeom>
                  </pic:spPr>
                </pic:pic>
              </a:graphicData>
            </a:graphic>
          </wp:inline>
        </w:drawing>
      </w:r>
    </w:p>
    <w:p w14:paraId="4744FB3A" w14:textId="3A7F8471" w:rsidR="004F5919" w:rsidRPr="00DA786C" w:rsidRDefault="004F5919" w:rsidP="3F7883FE">
      <w:pPr>
        <w:spacing w:before="120" w:after="120" w:line="276" w:lineRule="auto"/>
        <w:jc w:val="both"/>
        <w:rPr>
          <w:rFonts w:ascii="Times New Roman" w:hAnsi="Times New Roman" w:cs="Times New Roman"/>
          <w:b/>
          <w:bCs/>
          <w:noProof/>
          <w:sz w:val="18"/>
          <w:szCs w:val="18"/>
        </w:rPr>
      </w:pPr>
      <w:r>
        <w:rPr>
          <w:rFonts w:ascii="Times New Roman" w:hAnsi="Times New Roman"/>
          <w:b/>
          <w:noProof/>
          <w:sz w:val="18"/>
        </w:rPr>
        <w:t>Illustrazzjoni 2. Kapaċità tar-Riħ u Solari installata</w:t>
      </w:r>
    </w:p>
    <w:p w14:paraId="2860D1DA" w14:textId="07B91479" w:rsidR="0082331A" w:rsidRPr="003955F0" w:rsidRDefault="0082331A" w:rsidP="3F7883FE">
      <w:pPr>
        <w:spacing w:before="120" w:after="120" w:line="276" w:lineRule="auto"/>
        <w:jc w:val="both"/>
        <w:rPr>
          <w:rFonts w:ascii="Times New Roman" w:hAnsi="Times New Roman" w:cs="Times New Roman"/>
          <w:noProof/>
          <w:sz w:val="18"/>
          <w:szCs w:val="18"/>
        </w:rPr>
      </w:pPr>
      <w:r>
        <w:rPr>
          <w:rFonts w:ascii="Times New Roman" w:hAnsi="Times New Roman"/>
          <w:noProof/>
          <w:sz w:val="18"/>
        </w:rPr>
        <w:t>Sors: Il-Kummissjoni Ewropea abbażi tal-Eurostat, WindEurope, Solar Power Europe</w:t>
      </w:r>
    </w:p>
    <w:p w14:paraId="3CE59E7E" w14:textId="2FBA290F" w:rsidR="00EF1F38" w:rsidRDefault="00A46336" w:rsidP="00244115">
      <w:pPr>
        <w:spacing w:before="120" w:after="120" w:line="276" w:lineRule="auto"/>
        <w:jc w:val="both"/>
        <w:rPr>
          <w:rFonts w:ascii="Times New Roman" w:hAnsi="Times New Roman" w:cs="Times New Roman"/>
          <w:noProof/>
        </w:rPr>
      </w:pPr>
      <w:r>
        <w:rPr>
          <w:rFonts w:ascii="Times New Roman" w:hAnsi="Times New Roman"/>
          <w:noProof/>
        </w:rPr>
        <w:t>Abbażi tal-ambizzjonijiet u l-projezzjonijiet stabbiliti fl-abbozz aġġornat tal-Pjanijiet Nazzjonali għall-Enerġija u l-Klima tal-Istati Membri tal-UE ppreżentati 2023/24, il-produzzjoni tal-bijogass u tal-bijometan tista’ tilħaq firxa ta’ 30–32 bcm sal-2030. Filwaqt li dan jiddeskrivi xejra pożittiva, huma meħtieġa aktar sforzi biex tintlaħaq il-mira tar-REPowerEU li jiġu prodotti 35 biljun metru kubu (bcm) fis-sena sal-2030. Abbażi tad-</w:t>
      </w:r>
      <w:r>
        <w:rPr>
          <w:rFonts w:ascii="Times New Roman" w:hAnsi="Times New Roman"/>
          <w:i/>
          <w:iCs/>
          <w:noProof/>
        </w:rPr>
        <w:t>data</w:t>
      </w:r>
      <w:r>
        <w:rPr>
          <w:rFonts w:ascii="Times New Roman" w:hAnsi="Times New Roman"/>
          <w:noProof/>
        </w:rPr>
        <w:t xml:space="preserve"> disponibbli mill-industrija għall-2022, il-produzzjoni kkombinata tal-bijogass u tal-bijometan hija rrappurtata li hija ta’ 21 bcm li minnhom madwar 4,2 bcm ta’ bijometan, li laħqet 5,2 bcm fl-2024</w:t>
      </w:r>
      <w:r w:rsidR="000824D0" w:rsidRPr="000824D0">
        <w:rPr>
          <w:rFonts w:ascii="Times New Roman" w:hAnsi="Times New Roman" w:cs="Times New Roman"/>
          <w:noProof/>
          <w:vertAlign w:val="superscript"/>
          <w:lang w:val="en-GB"/>
        </w:rPr>
        <w:footnoteReference w:id="27"/>
      </w:r>
      <w:r>
        <w:rPr>
          <w:rFonts w:ascii="Times New Roman" w:hAnsi="Times New Roman"/>
          <w:noProof/>
        </w:rPr>
        <w:t>.</w:t>
      </w:r>
    </w:p>
    <w:p w14:paraId="47F48A43" w14:textId="6C57EA1F" w:rsidR="00735575" w:rsidRPr="003955F0" w:rsidRDefault="6F779AA0" w:rsidP="00244115">
      <w:pPr>
        <w:spacing w:before="120" w:after="120" w:line="276" w:lineRule="auto"/>
        <w:jc w:val="both"/>
        <w:rPr>
          <w:rFonts w:ascii="Times New Roman" w:hAnsi="Times New Roman" w:cs="Times New Roman"/>
          <w:noProof/>
        </w:rPr>
      </w:pPr>
      <w:r>
        <w:rPr>
          <w:rFonts w:ascii="Times New Roman" w:hAnsi="Times New Roman"/>
          <w:noProof/>
        </w:rPr>
        <w:t>Is-</w:t>
      </w:r>
      <w:r>
        <w:rPr>
          <w:rFonts w:ascii="Times New Roman" w:hAnsi="Times New Roman"/>
          <w:b/>
          <w:noProof/>
        </w:rPr>
        <w:t>suq tal-pompi tas-sħana</w:t>
      </w:r>
      <w:r>
        <w:rPr>
          <w:rFonts w:ascii="Times New Roman" w:hAnsi="Times New Roman"/>
          <w:noProof/>
        </w:rPr>
        <w:t xml:space="preserve"> ilu jikber għall-aħħar 10 snin b’aċċellerazzjoni fl-2021 u l-2022 relatata mal-prezzijiet tal-gass u l-gwerra tal-Ukrajna: il-bejgħ żdied minn madwar 700 000 unità fl-2015 għal 1,5 miljun fl-2020 u żdied għal 2,75 miljun fl-2022</w:t>
      </w:r>
      <w:r w:rsidR="005A6BA1">
        <w:rPr>
          <w:rStyle w:val="FootnoteReference"/>
          <w:rFonts w:ascii="Times New Roman" w:hAnsi="Times New Roman" w:cs="Times New Roman"/>
          <w:noProof/>
        </w:rPr>
        <w:footnoteReference w:id="28"/>
      </w:r>
      <w:r>
        <w:rPr>
          <w:rFonts w:ascii="Times New Roman" w:hAnsi="Times New Roman"/>
          <w:noProof/>
        </w:rPr>
        <w:t>. Fl-2023, il-bejgħ żamm valuri simili (2,77 miljun unità)</w:t>
      </w:r>
      <w:r w:rsidR="00783944">
        <w:rPr>
          <w:rStyle w:val="FootnoteReference"/>
          <w:rFonts w:ascii="Times New Roman" w:hAnsi="Times New Roman" w:cs="Times New Roman"/>
          <w:noProof/>
        </w:rPr>
        <w:footnoteReference w:id="29"/>
      </w:r>
      <w:r>
        <w:rPr>
          <w:rFonts w:ascii="Times New Roman" w:hAnsi="Times New Roman"/>
          <w:noProof/>
        </w:rPr>
        <w:t xml:space="preserve">, milquta mit-tnaqqis fil-prezzijiet tal-gass u minn settur tal-bini f’depressjoni. Minkejja dan it-tkabbir kostanti, il-bejgħ tal-bojlers tal-fjuwils fossili għadu jiddomina s-suq għat-tagħmir għat-tisħin.  </w:t>
      </w:r>
    </w:p>
    <w:p w14:paraId="4A010901" w14:textId="7B81392C" w:rsidR="00A05351" w:rsidRPr="003955F0" w:rsidRDefault="005B1D7E" w:rsidP="00244115">
      <w:pPr>
        <w:spacing w:before="120" w:after="120" w:line="276" w:lineRule="auto"/>
        <w:jc w:val="both"/>
        <w:rPr>
          <w:rFonts w:ascii="Times New Roman" w:hAnsi="Times New Roman" w:cs="Times New Roman"/>
          <w:noProof/>
        </w:rPr>
      </w:pPr>
      <w:r>
        <w:rPr>
          <w:rFonts w:ascii="Times New Roman" w:hAnsi="Times New Roman"/>
          <w:b/>
          <w:noProof/>
        </w:rPr>
        <w:t xml:space="preserve">Fir-rigward tal-idroġenu, </w:t>
      </w:r>
      <w:r>
        <w:rPr>
          <w:rFonts w:ascii="Times New Roman" w:hAnsi="Times New Roman"/>
          <w:noProof/>
        </w:rPr>
        <w:t>li huwa kruċjali għas-setturi industrijali u tat-trasport diffiċli sabiex jitrażżnu, l-Ewropa għandha l-akbar riżerva ta’ proġetti tal-idroġenu mħabbra fid-dinja, aġġornata reċentement taħt l-Alleanza Ewropea għall-Idroġenu Nadif. Sa tmiem l-2024, l-UE tista’ tilħaq 0,8 GW ta’ kapaċità ġdida tal-elettrolizzaturi. Barra minn hekk, il-konsumaturi industrijali Ewropej nedew offerti ta’ akkwist għal madwar miljun tunnellata ta’ idroġenu rinnovabbli u b’livell baxx ta’ emissjonijiet tal-karbonju minn Settembru 2023</w:t>
      </w:r>
      <w:r w:rsidR="00F0315C">
        <w:rPr>
          <w:rStyle w:val="FootnoteReference"/>
          <w:rFonts w:ascii="Times New Roman" w:hAnsi="Times New Roman" w:cs="Times New Roman"/>
          <w:noProof/>
          <w:lang w:val="en-GB"/>
        </w:rPr>
        <w:footnoteReference w:id="30"/>
      </w:r>
      <w:r>
        <w:rPr>
          <w:rFonts w:ascii="Times New Roman" w:hAnsi="Times New Roman"/>
          <w:noProof/>
        </w:rPr>
        <w:t>. Minkejja żieda reċenti fi proġetti ffinalizzati u deċiżjonijiet finali li ttieħdu dwar l-investiment, xorta għad hemm ftit wisq proġetti li jgħaddu mid-deċiżjoni finali dwar l-investiment min-naħa tal-provvista, b’mod partikolari minħabba domanda aktar baxxa milli mistennija għal idroġenu ekoloġiku. L-approvazzjoni tal-erba’ mewġiet ta’ Proġetti Importanti ta’ Interess Ewropew Komuni (jiġifieri Hy2Tech, Hy2Use, Hy2Infra u Hy2Move) li jikkorrispondu għal investiment pubbliku ta’ 18,9 biljun se jappoġġjaw l-varar ta’ proġetti fuq skala kbira. Sabiex jistimula kemm id-domanda kif ukoll il-provvista, il-Bank Ewropew tal-Idroġenu wettaq l-ewwel irkant tal-idroġenu rinnovabbli fl-UE kollha permezz tal-Fond għall-Innovazzjoni, iffinanzjat mid-dħul tal-EU ETS, b’baġit ta’ EUR 800 miljun. L-irkant attira 132 offerta li jammontaw għal 8,8 miljun tunnellata ta’ kapaċità tal-produzzjoni tal-idroġenu rinnovabbli u l-ħruġ maħsub tagħhom biex ikunu operattivi sa mhux aktar tard mill-2029.</w:t>
      </w:r>
      <w:r>
        <w:rPr>
          <w:rFonts w:ascii="Times New Roman" w:hAnsi="Times New Roman"/>
          <w:b/>
          <w:noProof/>
        </w:rPr>
        <w:t xml:space="preserve"> </w:t>
      </w:r>
      <w:r>
        <w:rPr>
          <w:rFonts w:ascii="Times New Roman" w:hAnsi="Times New Roman"/>
          <w:noProof/>
        </w:rPr>
        <w:t>Is-seba’ proġetti li ngħataw huma mistennija jipproduċu 1,6 miljun tunnellata ta’ idroġenu rinnovabbli fl-ewwel 10 snin ta’ operazzjoni. Il-Kummissjoni qed tippjana li torganizza t-tieni rkant qabel tmiem is-sena b’baġit akbar ta’ EUR 1,2 biljun biex tappoġġja l-ekosistema industrijali tal-idroġenu Ewropea. Il-kapaċità Ewropea tal-manifattura tal-elettrolizzaturi għoliet minn 4,2 GW fl-2022 għal 6,8 GW fl-2023, u mistennija tilħaq 12,4 GW sa tmiem l-2024</w:t>
      </w:r>
      <w:r w:rsidR="00F0315C">
        <w:rPr>
          <w:rStyle w:val="FootnoteReference"/>
          <w:rFonts w:ascii="Times New Roman" w:hAnsi="Times New Roman" w:cs="Times New Roman"/>
          <w:noProof/>
          <w:lang w:val="en-GB"/>
        </w:rPr>
        <w:footnoteReference w:id="31"/>
      </w:r>
      <w:r>
        <w:rPr>
          <w:rFonts w:ascii="Times New Roman" w:hAnsi="Times New Roman"/>
          <w:noProof/>
        </w:rPr>
        <w:t>.  Barra minn hekk, il-Kummissjoni qed taħdem fuq mekkaniżmu pilota biex tappoġġja l-iżvilupp tas-</w:t>
      </w:r>
      <w:r>
        <w:rPr>
          <w:rFonts w:ascii="Times New Roman" w:hAnsi="Times New Roman"/>
          <w:b/>
          <w:noProof/>
        </w:rPr>
        <w:t>suq Ewropew tal-idroġenu</w:t>
      </w:r>
      <w:r>
        <w:rPr>
          <w:rFonts w:ascii="Times New Roman" w:hAnsi="Times New Roman"/>
          <w:noProof/>
        </w:rPr>
        <w:t xml:space="preserve"> u toħloq trasparenza tas-suq. Il-mekkaniżmu se jkun fis-seħħ għal 5 snin u se jkun parti mill-</w:t>
      </w:r>
      <w:r>
        <w:rPr>
          <w:rFonts w:ascii="Times New Roman" w:hAnsi="Times New Roman"/>
          <w:b/>
          <w:noProof/>
        </w:rPr>
        <w:t>Bank Ewropew tal-Idroġenu</w:t>
      </w:r>
      <w:r>
        <w:rPr>
          <w:rFonts w:ascii="Times New Roman" w:hAnsi="Times New Roman"/>
          <w:noProof/>
        </w:rPr>
        <w:t>. Barra minn hekk, il-prijoritajiet u l-azzjonijiet strateġiċi li qed jiġu implimentati biex mill-inqas 50 Wied tal-Idroġenu</w:t>
      </w:r>
      <w:r w:rsidR="000C319D">
        <w:rPr>
          <w:rStyle w:val="FootnoteReference"/>
          <w:rFonts w:ascii="Times New Roman" w:hAnsi="Times New Roman" w:cs="Times New Roman"/>
          <w:noProof/>
          <w:lang w:val="en"/>
        </w:rPr>
        <w:footnoteReference w:id="32"/>
      </w:r>
      <w:r>
        <w:rPr>
          <w:rFonts w:ascii="Times New Roman" w:hAnsi="Times New Roman"/>
          <w:noProof/>
        </w:rPr>
        <w:t xml:space="preserve"> jkunu qed jinbnew jew ikunu operattivi sal-2030 fi ħdan l-UE jsaħħu l-isforzi tal-UE biex toħloq suq tal-idroġenu</w:t>
      </w:r>
      <w:r w:rsidR="00E00669">
        <w:rPr>
          <w:rStyle w:val="FootnoteReference"/>
          <w:rFonts w:ascii="Times New Roman" w:hAnsi="Times New Roman" w:cs="Times New Roman"/>
          <w:noProof/>
          <w:lang w:val="en-GB"/>
        </w:rPr>
        <w:footnoteReference w:id="33"/>
      </w:r>
      <w:r>
        <w:rPr>
          <w:rFonts w:ascii="Times New Roman" w:hAnsi="Times New Roman"/>
          <w:noProof/>
        </w:rPr>
        <w:t>. Filwaqt li l-progress lejn suq tal-idroġenu fuq skala Ewropea ġie rikonoxxut mill-Qorti Ewropea tal-Awdituri (QEA), rapport ippubblikat reċentement jindika kwistjonijiet tul il-katina tal-valur kollha, bħall-ħtieġa li jitlesta l-qafas regolatorju bl-adozzjoni tal-Att Delegat dwar idroġenu b’livell baxx ta’ emissjonijiet tal-karbonju</w:t>
      </w:r>
      <w:r>
        <w:rPr>
          <w:rFonts w:ascii="Times New Roman" w:hAnsi="Times New Roman"/>
          <w:noProof/>
          <w:vertAlign w:val="superscript"/>
        </w:rPr>
        <w:t xml:space="preserve"> </w:t>
      </w:r>
      <w:r w:rsidR="00A05351" w:rsidRPr="00A05351">
        <w:rPr>
          <w:rFonts w:ascii="Times New Roman" w:hAnsi="Times New Roman" w:cs="Times New Roman"/>
          <w:noProof/>
          <w:vertAlign w:val="superscript"/>
          <w:lang w:val="en-GB"/>
        </w:rPr>
        <w:footnoteReference w:id="34"/>
      </w:r>
      <w:r>
        <w:rPr>
          <w:rFonts w:ascii="Times New Roman" w:hAnsi="Times New Roman"/>
          <w:noProof/>
        </w:rPr>
        <w:t>.</w:t>
      </w:r>
    </w:p>
    <w:p w14:paraId="03D93682" w14:textId="416F4F0C" w:rsidR="00B649B7" w:rsidRPr="003955F0" w:rsidRDefault="1745B056" w:rsidP="0023570B">
      <w:pPr>
        <w:spacing w:before="120" w:after="120" w:line="276" w:lineRule="auto"/>
        <w:jc w:val="both"/>
        <w:rPr>
          <w:rFonts w:ascii="Times New Roman" w:hAnsi="Times New Roman" w:cs="Times New Roman"/>
          <w:b/>
          <w:noProof/>
        </w:rPr>
      </w:pPr>
      <w:r>
        <w:rPr>
          <w:rFonts w:ascii="Times New Roman" w:hAnsi="Times New Roman"/>
          <w:noProof/>
        </w:rPr>
        <w:t xml:space="preserve">Minbarra dawn l-azzjonijiet speċifiċi għas-settur, f’Diċembru 2023 il-Kunsill qabel li </w:t>
      </w:r>
      <w:r>
        <w:rPr>
          <w:rFonts w:ascii="Times New Roman" w:hAnsi="Times New Roman"/>
          <w:b/>
          <w:noProof/>
        </w:rPr>
        <w:t>jestendi ċerti miżuri ta’ emerġenza dwar l-għoti tal-permessi</w:t>
      </w:r>
      <w:r>
        <w:rPr>
          <w:rFonts w:ascii="Times New Roman" w:hAnsi="Times New Roman"/>
          <w:noProof/>
        </w:rPr>
        <w:t>, bl-għan li jitqassru u jitħaffew il-proċessi għall-għoti tal-permessi għall-proġetti tal-enerġija rinnovabbli. F’Mejju 2024, ġie adottat “pakkett” ġdid, inklużi tliet miżuri mmirati biex ikomplu jħaffu l-varar ta’ sorsi ta’ enerġija rinnovabbli fl-UE: Rakkomandazzjoni tal-Kummissjoni u gwida dwar id-disinn tal-</w:t>
      </w:r>
      <w:r>
        <w:rPr>
          <w:rFonts w:ascii="Times New Roman" w:hAnsi="Times New Roman"/>
          <w:b/>
          <w:noProof/>
        </w:rPr>
        <w:t>irkanti tal-enerġija rinnovabbli</w:t>
      </w:r>
      <w:r>
        <w:rPr>
          <w:rFonts w:ascii="Times New Roman" w:hAnsi="Times New Roman"/>
          <w:noProof/>
        </w:rPr>
        <w:t xml:space="preserve">; Rakkomandazzjoni u gwida aġġornati dwar tħaffif </w:t>
      </w:r>
      <w:r>
        <w:rPr>
          <w:rFonts w:ascii="Times New Roman" w:hAnsi="Times New Roman"/>
          <w:b/>
          <w:noProof/>
        </w:rPr>
        <w:t>tal-proċeduri tal-għoti tal-permessi</w:t>
      </w:r>
      <w:r>
        <w:rPr>
          <w:rFonts w:ascii="Times New Roman" w:hAnsi="Times New Roman"/>
          <w:noProof/>
        </w:rPr>
        <w:t xml:space="preserve"> għall-proġetti tal-enerġija rinnovabbli; u gwida dwar id-deżinjazzjoni ta’ </w:t>
      </w:r>
      <w:r>
        <w:rPr>
          <w:rFonts w:ascii="Times New Roman" w:hAnsi="Times New Roman"/>
          <w:b/>
          <w:noProof/>
        </w:rPr>
        <w:t>żoni ta’ aċċelerazzjoni għall-enerġija rinnovabbli</w:t>
      </w:r>
      <w:r>
        <w:rPr>
          <w:rFonts w:ascii="Times New Roman" w:hAnsi="Times New Roman"/>
          <w:noProof/>
        </w:rPr>
        <w:t>.</w:t>
      </w:r>
      <w:r>
        <w:rPr>
          <w:rFonts w:ascii="Times New Roman" w:hAnsi="Times New Roman"/>
          <w:b/>
          <w:noProof/>
        </w:rPr>
        <w:t xml:space="preserve"> </w:t>
      </w:r>
      <w:r>
        <w:rPr>
          <w:rFonts w:ascii="Times New Roman" w:hAnsi="Times New Roman"/>
          <w:noProof/>
        </w:rPr>
        <w:t>Fi tmiem l-2023, il-Kummissjoni nediet inizjattiva biex tappoġġja t-traspożizzjoni f’waqtha tad-Direttiva riveduta dwar l-Enerġija Rinnovabbli fl-Istati Membri (Accele-RES)</w:t>
      </w:r>
      <w:r w:rsidR="00BD44D9">
        <w:rPr>
          <w:rStyle w:val="FootnoteReference"/>
          <w:rFonts w:ascii="Times New Roman" w:eastAsia="Times New Roman" w:hAnsi="Times New Roman" w:cs="Times New Roman"/>
          <w:noProof/>
          <w:lang w:val="en-GB"/>
        </w:rPr>
        <w:footnoteReference w:id="35"/>
      </w:r>
      <w:r>
        <w:rPr>
          <w:rFonts w:ascii="Times New Roman" w:hAnsi="Times New Roman"/>
          <w:noProof/>
        </w:rPr>
        <w:t xml:space="preserve">, inklużi laqgħat bilaterali mal-Istati Membri biex jiġi diskuss il-progress tat-traspożizzjoni u biex jiġu identifikati oqsma diffiċli fejn il-Kummissjoni tista’ toffri appoġġ. Taħt it-Task Force għall-Infurzar fis-Suq Uniku, il-Kummissjoni u l-Istati Membri indirizzaw madwar 60 % tal-ostakli relatati mal-proċess identifikati fil-proċeduri nazzjonali tal-għoti tal-permessi. </w:t>
      </w:r>
      <w:r>
        <w:rPr>
          <w:rFonts w:ascii="Times New Roman" w:hAnsi="Times New Roman"/>
          <w:b/>
          <w:noProof/>
        </w:rPr>
        <w:t xml:space="preserve"> </w:t>
      </w:r>
      <w:r>
        <w:rPr>
          <w:rFonts w:ascii="Times New Roman" w:hAnsi="Times New Roman"/>
          <w:noProof/>
        </w:rPr>
        <w:t>Madankollu, dawn il-miżuri ma jsolvux il-problemi kollha. Il-persunal jew il-kapaċitajiet insuffiċjenti tal-amministrazzjonijiet pubbliċi biex iwasslu l-permessi jibqgħu kwistjoni ewlenija. Il-Kummissjoni kontinwament tistieden lill-Istati Membri biex isaħħu tali kapaċitajiet.</w:t>
      </w:r>
    </w:p>
    <w:p w14:paraId="2DE80BF5" w14:textId="1598A78A" w:rsidR="00EC641D" w:rsidRPr="00DD2EB5" w:rsidRDefault="2A5327B2" w:rsidP="0023570B">
      <w:pPr>
        <w:spacing w:before="120" w:after="120" w:line="276" w:lineRule="auto"/>
        <w:jc w:val="both"/>
        <w:rPr>
          <w:rFonts w:ascii="Times New Roman" w:hAnsi="Times New Roman" w:cs="Times New Roman"/>
          <w:noProof/>
        </w:rPr>
      </w:pPr>
      <w:r>
        <w:rPr>
          <w:rFonts w:ascii="Times New Roman" w:hAnsi="Times New Roman"/>
          <w:noProof/>
        </w:rPr>
        <w:t xml:space="preserve">Biex jissaħħu l-viżibbiltà u l-prevedibbiltà għall-katina tal-valur kollha, tnediet </w:t>
      </w:r>
      <w:r>
        <w:rPr>
          <w:rFonts w:ascii="Times New Roman" w:hAnsi="Times New Roman"/>
          <w:b/>
          <w:noProof/>
        </w:rPr>
        <w:t>pjattaforma tal-irkant tal-enerġija rinnovabbli fl-UE kollha</w:t>
      </w:r>
      <w:r>
        <w:rPr>
          <w:rFonts w:ascii="Times New Roman" w:hAnsi="Times New Roman"/>
          <w:noProof/>
        </w:rPr>
        <w:t xml:space="preserve"> bħala parti mill-pakkett, bl-għan li tiġi kkonsolidata l-informazzjoni dwar l-irkanti ppjanati tal-enerġija rinnovabbli fil-Pajjiżi kollha tal-UE.</w:t>
      </w:r>
    </w:p>
    <w:p w14:paraId="7C1DD0A9" w14:textId="1C6013F4" w:rsidR="001970E4" w:rsidRDefault="001970E4" w:rsidP="001970E4">
      <w:pPr>
        <w:spacing w:before="120" w:after="120" w:line="276" w:lineRule="auto"/>
        <w:jc w:val="both"/>
        <w:rPr>
          <w:rFonts w:ascii="Times New Roman" w:hAnsi="Times New Roman" w:cs="Times New Roman"/>
          <w:noProof/>
        </w:rPr>
      </w:pPr>
      <w:r>
        <w:rPr>
          <w:rFonts w:ascii="Times New Roman" w:hAnsi="Times New Roman"/>
          <w:noProof/>
        </w:rPr>
        <w:t xml:space="preserve">Barra minn hekk, biex tindirizza l-isfidi ewlenin fl-espansjoni, id-diġitalizzazzjoni u l-użu aħjar tal-grilji tat-trażmissjoni u tad-distribuzzjoni tal-elettriku tal-UE, inkluż l-interkonnessjonijiet transfruntieri — kundizzjoni indispensabbli għat-tlestija tal-Unjoni tal-Enerġija f’Novembru — il-Kummissjoni ppubblikat </w:t>
      </w:r>
      <w:r>
        <w:rPr>
          <w:rFonts w:ascii="Times New Roman" w:hAnsi="Times New Roman"/>
          <w:b/>
          <w:noProof/>
        </w:rPr>
        <w:t>Pjan ta’ Azzjoni għall-Grilji</w:t>
      </w:r>
      <w:r w:rsidR="00795DFD">
        <w:rPr>
          <w:rStyle w:val="FootnoteReference"/>
          <w:rFonts w:ascii="Times New Roman" w:hAnsi="Times New Roman" w:cs="Times New Roman"/>
          <w:b/>
          <w:bCs/>
          <w:noProof/>
          <w:lang w:val="en-GB"/>
        </w:rPr>
        <w:footnoteReference w:id="36"/>
      </w:r>
      <w:r>
        <w:rPr>
          <w:rFonts w:ascii="Times New Roman" w:hAnsi="Times New Roman"/>
          <w:b/>
          <w:noProof/>
        </w:rPr>
        <w:t>,</w:t>
      </w:r>
      <w:r>
        <w:rPr>
          <w:rFonts w:ascii="Times New Roman" w:hAnsi="Times New Roman"/>
          <w:noProof/>
        </w:rPr>
        <w:t xml:space="preserve"> li l-Kunsill, fil-konklużjonijiet tiegħu ta’ Mejju 2024, appella lill-Istati Membri biex jimplimentawh malajr. </w:t>
      </w:r>
    </w:p>
    <w:p w14:paraId="0643C4A8" w14:textId="707C317F" w:rsidR="005F075D" w:rsidRPr="007F7A3F" w:rsidRDefault="00105254" w:rsidP="005F075D">
      <w:pPr>
        <w:spacing w:before="120" w:after="120" w:line="276" w:lineRule="auto"/>
        <w:jc w:val="both"/>
        <w:rPr>
          <w:rFonts w:ascii="Times New Roman" w:hAnsi="Times New Roman" w:cs="Times New Roman"/>
          <w:noProof/>
        </w:rPr>
      </w:pPr>
      <w:r>
        <w:rPr>
          <w:rFonts w:ascii="Times New Roman" w:hAnsi="Times New Roman"/>
          <w:noProof/>
        </w:rPr>
        <w:t>Il-Pjan jidentifika azzjonijiet konkreti u mfassla apposta biex tiġi indirizzata l-kwistjoni kruċjali tat-titjib tal-aċċess għall-finanzjament għall-proġetti tal-grilji, billi tiżdied il-viżibbiltà dwar l-opportunitajiet għall-programmi ta’ finanzjament tal-UE. L-operaturi tal-grilji, kemm fil-livelli ta’ trażmissjoni kif ukoll ta’ distribuzzjoni, qed iħabbtu wiċċhom ma’ żieda bla preċedent fil-ħtiġijiet ta’ investiment, meħtieġa wkoll biex tinkiseb il-mira ta’ interkonnessjoni ta’ 15 % sal-2030, u għalhekk bil-volum tan-nefqa kapitali tagħhom. Għall-elettriku EUR 584 biljun fl-investimenti kumplessivi sal-2030, li minnhom 375–425 biljun ta’ investiment fil-grilji tad-distribuzzjoni. Iż-żieda qawwija mistennija fl-investiment fil-grilja</w:t>
      </w:r>
      <w:r>
        <w:rPr>
          <w:noProof/>
        </w:rPr>
        <w:t xml:space="preserve"> </w:t>
      </w:r>
      <w:r>
        <w:rPr>
          <w:rFonts w:ascii="Times New Roman" w:hAnsi="Times New Roman"/>
          <w:noProof/>
        </w:rPr>
        <w:t xml:space="preserve">tista’ tpoġġi l-mudell attwali ta’ rifinanzjament ta’ dawn l-investimenti permezz ta’ tariffi tal-konsumatur taħt pressjoni. </w:t>
      </w:r>
    </w:p>
    <w:p w14:paraId="6144781E" w14:textId="176AE534" w:rsidR="00E575F7" w:rsidRPr="003955F0" w:rsidRDefault="045C4CD8" w:rsidP="00251663">
      <w:pPr>
        <w:spacing w:before="120" w:after="120" w:line="276" w:lineRule="auto"/>
        <w:jc w:val="both"/>
        <w:rPr>
          <w:rFonts w:ascii="Times New Roman" w:hAnsi="Times New Roman" w:cs="Times New Roman"/>
          <w:b/>
          <w:noProof/>
        </w:rPr>
      </w:pPr>
      <w:r>
        <w:rPr>
          <w:rFonts w:ascii="Times New Roman" w:hAnsi="Times New Roman"/>
          <w:noProof/>
        </w:rPr>
        <w:t>Id-</w:t>
      </w:r>
      <w:r>
        <w:rPr>
          <w:rFonts w:ascii="Times New Roman" w:hAnsi="Times New Roman"/>
          <w:b/>
          <w:noProof/>
        </w:rPr>
        <w:t>Direttiva riveduta dwar l-Iskema għall-Iskambju ta’ Kwoti tal-Emissjonijiet (ETS, emissions trading system)</w:t>
      </w:r>
      <w:r>
        <w:rPr>
          <w:rFonts w:ascii="Times New Roman" w:hAnsi="Times New Roman"/>
          <w:noProof/>
        </w:rPr>
        <w:t xml:space="preserve"> saħħet l-appoġġ finanzjarju lill-Istati Membri b’introjtu aktar baxx biex jimmodernizzaw is-sistemi tal-enerġija tagħhom u jtejbu l-effiċjenza enerġetika permezz tal-Fond għall-Modernizzazzjoni. L-appoġġ totali li nġabar minn dan il-Fond kien 750 miljun kwota, żieda ta’ 110 miljun kwota (li jirrappreżentaw madwar EUR 60 biljun). Barra minn hekk, tliet Stati Membri oħra saru eliġibbli għall-Fond, u b’hekk l-għadd totali ta’ benefiċjarji tela’ għal 13. L-iżborżi totali mill-Fond għall-Modernizzazzjoni minn meta ġie stabbilit jammontaw għal madwar EUR 12,7 biljun. </w:t>
      </w:r>
    </w:p>
    <w:p w14:paraId="42788F8A" w14:textId="570DEFFC" w:rsidR="00251663" w:rsidRPr="00C80058" w:rsidRDefault="00251663" w:rsidP="00C80058">
      <w:pPr>
        <w:pStyle w:val="ListParagraph"/>
        <w:numPr>
          <w:ilvl w:val="1"/>
          <w:numId w:val="4"/>
        </w:numPr>
        <w:spacing w:before="120" w:after="120" w:line="276" w:lineRule="auto"/>
        <w:jc w:val="both"/>
        <w:rPr>
          <w:rFonts w:ascii="Times New Roman" w:hAnsi="Times New Roman" w:cs="Times New Roman"/>
          <w:b/>
          <w:noProof/>
          <w:kern w:val="0"/>
          <w14:ligatures w14:val="none"/>
        </w:rPr>
      </w:pPr>
      <w:r>
        <w:rPr>
          <w:rFonts w:ascii="Times New Roman" w:hAnsi="Times New Roman"/>
          <w:b/>
          <w:noProof/>
        </w:rPr>
        <w:t xml:space="preserve">Diversifikazzjoni tal-provvisti tal-enerġija tagħna permezz ta’ sħubijiet imsaħħa </w:t>
      </w:r>
    </w:p>
    <w:p w14:paraId="412CFDD6" w14:textId="3F10595F" w:rsidR="00204871" w:rsidRPr="00EF1F38" w:rsidRDefault="00B401FE" w:rsidP="003955F0">
      <w:pPr>
        <w:spacing w:before="120" w:after="120" w:line="276" w:lineRule="auto"/>
        <w:jc w:val="both"/>
        <w:rPr>
          <w:rFonts w:ascii="Times New Roman" w:hAnsi="Times New Roman" w:cs="Times New Roman"/>
          <w:noProof/>
        </w:rPr>
      </w:pPr>
      <w:r>
        <w:rPr>
          <w:rFonts w:ascii="Times New Roman" w:hAnsi="Times New Roman"/>
          <w:b/>
          <w:noProof/>
        </w:rPr>
        <w:t>L-UE ddiversifikat l-importazzjonijiet tal-enerġija tagħha billi ssostitwiet il-provvista tal-gass mir-Russja b’importazzjonijiet minn fornituri internazzjonali oħra</w:t>
      </w:r>
      <w:r>
        <w:rPr>
          <w:rFonts w:ascii="Times New Roman" w:hAnsi="Times New Roman"/>
          <w:noProof/>
        </w:rPr>
        <w:t xml:space="preserve">, filwaqt li bbenefikat mill-eżistenza ta’ diversi terminals ta’ unitajiet ta’ rigassifikazzjoni tal-ħżin li jżommu f’wiċċ l-ilma (FSRUs, floating storage regasification units) mibnija ġodda u t-titjib tan-networks trans-Ewropej tal-gass. </w:t>
      </w:r>
    </w:p>
    <w:p w14:paraId="64C82ED4" w14:textId="189EEF9B" w:rsidR="00CC432C" w:rsidRPr="00EF1F38" w:rsidRDefault="00CC432C" w:rsidP="003955F0">
      <w:pPr>
        <w:spacing w:before="120" w:after="120" w:line="276" w:lineRule="auto"/>
        <w:jc w:val="both"/>
        <w:rPr>
          <w:rFonts w:ascii="Times New Roman" w:hAnsi="Times New Roman" w:cs="Times New Roman"/>
          <w:b/>
          <w:noProof/>
        </w:rPr>
      </w:pPr>
      <w:r>
        <w:rPr>
          <w:rFonts w:ascii="Times New Roman" w:hAnsi="Times New Roman"/>
          <w:noProof/>
        </w:rPr>
        <w:t xml:space="preserve">Rekord ta’ </w:t>
      </w:r>
      <w:r>
        <w:rPr>
          <w:rFonts w:ascii="Times New Roman" w:hAnsi="Times New Roman"/>
          <w:b/>
          <w:noProof/>
        </w:rPr>
        <w:t>tnax-il terminal ġdid tal-LNG u sitt proġetti ta’ espansjoni</w:t>
      </w:r>
      <w:r>
        <w:rPr>
          <w:rFonts w:ascii="Times New Roman" w:hAnsi="Times New Roman"/>
          <w:noProof/>
        </w:rPr>
        <w:t xml:space="preserve"> ġew ikkummissjonati bejn l-2022 u l-2024. B’mod kumplessiv, dawn mistennija jżidu l-kapaċità tal-importazzjoni tal-LNG tal-UE b’70 bcm sal-2024. </w:t>
      </w:r>
      <w:r>
        <w:rPr>
          <w:rFonts w:ascii="Times New Roman" w:hAnsi="Times New Roman"/>
          <w:b/>
          <w:noProof/>
        </w:rPr>
        <w:t>In-Norveġja u l-Istati Uniti saru l-akbar fornituri tal-gass tal-UE</w:t>
      </w:r>
      <w:r>
        <w:rPr>
          <w:rFonts w:ascii="Times New Roman" w:hAnsi="Times New Roman"/>
          <w:noProof/>
        </w:rPr>
        <w:t xml:space="preserve"> — għall-gass bil-pipeline u l-LNG rispettivament — li jipprovdu 34 % u 18 % tal-importazzjonijiet tal-gass tal-UE sa Ġunju 2024</w:t>
      </w:r>
      <w:r w:rsidR="00274863" w:rsidRPr="00EF1F38">
        <w:rPr>
          <w:rStyle w:val="FootnoteReference"/>
          <w:rFonts w:ascii="Times New Roman" w:hAnsi="Times New Roman" w:cs="Times New Roman"/>
          <w:noProof/>
          <w:lang w:val="en-GB"/>
        </w:rPr>
        <w:footnoteReference w:id="37"/>
      </w:r>
      <w:r>
        <w:rPr>
          <w:rFonts w:ascii="Times New Roman" w:hAnsi="Times New Roman"/>
          <w:noProof/>
        </w:rPr>
        <w:t>.</w:t>
      </w:r>
    </w:p>
    <w:p w14:paraId="7F2DFCED" w14:textId="18222EBD" w:rsidR="006A40EF" w:rsidRPr="00EF1F38" w:rsidRDefault="006A40EF" w:rsidP="3632040D">
      <w:pPr>
        <w:spacing w:before="120" w:after="120" w:line="276" w:lineRule="auto"/>
        <w:jc w:val="both"/>
        <w:rPr>
          <w:rFonts w:ascii="Times New Roman" w:hAnsi="Times New Roman" w:cs="Times New Roman"/>
          <w:noProof/>
        </w:rPr>
      </w:pPr>
      <w:r>
        <w:rPr>
          <w:rFonts w:ascii="Times New Roman" w:hAnsi="Times New Roman"/>
          <w:noProof/>
        </w:rPr>
        <w:t xml:space="preserve">L-aggregazzjoni tad-domanda u x-xiri konġunt tal-gass naturali komplew fl-2024 taħt </w:t>
      </w:r>
      <w:r>
        <w:rPr>
          <w:rFonts w:ascii="Times New Roman" w:hAnsi="Times New Roman"/>
          <w:b/>
          <w:noProof/>
        </w:rPr>
        <w:t>AggregateEU</w:t>
      </w:r>
      <w:r>
        <w:rPr>
          <w:rFonts w:ascii="Times New Roman" w:hAnsi="Times New Roman"/>
          <w:noProof/>
        </w:rPr>
        <w:t>. Il-mekkaniżmu kien ta’ suċċess b’mod kumplessiv, billi attira aktar minn 180 kumpanija u qabbel ix-xerrejja Ewropej ma’ fornituri esterni għal aktar minn 75 bcm ta’ gass naturali bejn l-2023 u l-2024. Abbażi ta’ dan is-suċċess, l-aggregazzjoni tad-domanda u x-xiri konġunt ġew inkorporati bħala għodda volontarja permanenti taħt il-</w:t>
      </w:r>
      <w:r>
        <w:rPr>
          <w:rFonts w:ascii="Times New Roman" w:hAnsi="Times New Roman"/>
          <w:b/>
          <w:noProof/>
        </w:rPr>
        <w:t>pakkett dwar is-swieq tal-idroġenu u tal-gass dekarbonizzat</w:t>
      </w:r>
      <w:r>
        <w:rPr>
          <w:rFonts w:ascii="Times New Roman" w:hAnsi="Times New Roman"/>
          <w:noProof/>
        </w:rPr>
        <w:t xml:space="preserve">. F’Ġunju 2024, il-Kummissjoni nediet l-akkwist għall-fornitur tal-IT għal </w:t>
      </w:r>
      <w:r>
        <w:rPr>
          <w:rFonts w:ascii="Times New Roman" w:hAnsi="Times New Roman"/>
          <w:b/>
          <w:noProof/>
        </w:rPr>
        <w:t>Pjattaforma Ewropea permanenti għal Diversi Prodotti</w:t>
      </w:r>
      <w:r>
        <w:rPr>
          <w:rFonts w:ascii="Times New Roman" w:hAnsi="Times New Roman"/>
          <w:noProof/>
        </w:rPr>
        <w:t xml:space="preserve"> għax-xiri konġunt ta’ komoditajiet strateġiċi li se jinkludu l-mekkaniżmu volontarju futur għall-gass naturali, il-proġett pilota separat għall-</w:t>
      </w:r>
      <w:r>
        <w:rPr>
          <w:rFonts w:ascii="Times New Roman" w:hAnsi="Times New Roman"/>
          <w:b/>
          <w:noProof/>
        </w:rPr>
        <w:t>idroġenu</w:t>
      </w:r>
      <w:r>
        <w:rPr>
          <w:rFonts w:ascii="Times New Roman" w:hAnsi="Times New Roman"/>
          <w:noProof/>
        </w:rPr>
        <w:t xml:space="preserve"> u mekkaniżmu ġdid għall-</w:t>
      </w:r>
      <w:r>
        <w:rPr>
          <w:rFonts w:ascii="Times New Roman" w:hAnsi="Times New Roman"/>
          <w:b/>
          <w:noProof/>
        </w:rPr>
        <w:t>Materja Prima Strateġika</w:t>
      </w:r>
      <w:r>
        <w:rPr>
          <w:rFonts w:ascii="Times New Roman" w:hAnsi="Times New Roman"/>
          <w:noProof/>
        </w:rPr>
        <w:t xml:space="preserve">.   </w:t>
      </w:r>
    </w:p>
    <w:p w14:paraId="241EA5B2" w14:textId="06D57B53" w:rsidR="00F24586" w:rsidRPr="00EF1F38" w:rsidRDefault="009E7D6C" w:rsidP="003955F0">
      <w:pPr>
        <w:spacing w:before="120" w:after="120" w:line="276" w:lineRule="auto"/>
        <w:jc w:val="both"/>
        <w:rPr>
          <w:rFonts w:ascii="Times New Roman" w:eastAsia="Times New Roman" w:hAnsi="Times New Roman" w:cs="Times New Roman"/>
          <w:noProof/>
        </w:rPr>
      </w:pPr>
      <w:r>
        <w:rPr>
          <w:rFonts w:ascii="Times New Roman" w:hAnsi="Times New Roman"/>
          <w:noProof/>
        </w:rPr>
        <w:t>Il-Kummissjoni ħadmet ukoll fuq it-tisħiħ tar-relazzjonijiet mas-</w:t>
      </w:r>
      <w:r>
        <w:rPr>
          <w:rFonts w:ascii="Times New Roman" w:hAnsi="Times New Roman"/>
          <w:b/>
          <w:noProof/>
        </w:rPr>
        <w:t>sħab internazzjonali</w:t>
      </w:r>
      <w:r>
        <w:rPr>
          <w:rFonts w:ascii="Times New Roman" w:hAnsi="Times New Roman"/>
          <w:noProof/>
        </w:rPr>
        <w:t xml:space="preserve"> biex jiġu indirizzati l-ħtiġijiet li jirriżultaw mit-tnaqqis fl-importazzjonijiet tal-gass Russu. L-UE ffirmat 14-il Memorandum ta’ Ftehim (MtQ) mal-viċinat dirett tagħha (il-Marokk, l-Eġittu, in-Norveġja, l-Ukrajna) u lil hinn (l-Ażerbajġan, il-Każakistan, in-Namibja, il-Ġappun, l-Arġentina u l-Urugwaj). Ġiet stabbilita wkoll </w:t>
      </w:r>
      <w:r>
        <w:rPr>
          <w:rFonts w:ascii="Times New Roman" w:hAnsi="Times New Roman"/>
          <w:b/>
          <w:noProof/>
        </w:rPr>
        <w:t xml:space="preserve">Sħubija Strateġika mal-Ukrajna </w:t>
      </w:r>
      <w:r>
        <w:rPr>
          <w:rFonts w:ascii="Times New Roman" w:hAnsi="Times New Roman"/>
          <w:noProof/>
        </w:rPr>
        <w:t xml:space="preserve">dwar il-gassijiet rinnovabbli u l-MtQ dwar is-Sħubija Strateġika bejn l-UE u l-Ukrajna dwar il-Bijometan, l-Idroġenu u Gassijiet Sintetiċi oħra ġiet ffirmata fit-2 ta’ Frar 2023.  </w:t>
      </w:r>
    </w:p>
    <w:p w14:paraId="5A2FCC4A" w14:textId="2CEA41AC" w:rsidR="00240722" w:rsidRPr="00EF1F38" w:rsidRDefault="00240722" w:rsidP="003955F0">
      <w:pPr>
        <w:spacing w:before="120" w:after="120" w:line="276" w:lineRule="auto"/>
        <w:jc w:val="both"/>
        <w:rPr>
          <w:rFonts w:ascii="Times New Roman" w:hAnsi="Times New Roman" w:cs="Times New Roman"/>
          <w:noProof/>
        </w:rPr>
      </w:pPr>
      <w:r>
        <w:rPr>
          <w:rFonts w:ascii="Times New Roman" w:hAnsi="Times New Roman"/>
          <w:noProof/>
        </w:rPr>
        <w:t>Il-Kummissjoni u l-Aġenzija Fornitriċi tal-Euratom (ESA, Euratom Supply Agency) komplew isegwu l-objettiv tad-diversifikazzjoni tal-provvista fir-rigward tal-fjuwil nukleari, servizzi relatati taċ-ċiklu tal-fjuwil nukleari u l-ispare parts. Fl-2023 u l-2024, żewġ reatturi nukleari EPR ġodda bdew joperaw fl-UE, li se jkunu jistgħu jiġġeneraw elettriku mingħajr karbonju biex ikopru l-konsum ta’ 6 miljun dar. Barra minn hekk, din is-sena fi Frar il-Kummissjoni nediet l-</w:t>
      </w:r>
      <w:r>
        <w:rPr>
          <w:rFonts w:ascii="Times New Roman" w:hAnsi="Times New Roman"/>
          <w:b/>
          <w:noProof/>
        </w:rPr>
        <w:t>Alleanza Industrijali Ewropea għar-Reatturi Modulari Żgħar (SMRs, small modular reactors)</w:t>
      </w:r>
      <w:r>
        <w:rPr>
          <w:rFonts w:ascii="Times New Roman" w:hAnsi="Times New Roman"/>
          <w:noProof/>
        </w:rPr>
        <w:t>, li tiġbor flimkien madwar 300 membru li għandhom l-għan li jiffaċilitaw il-varar tal-ewwel proġetti tal-SMRs fl-Ewropa sal-bidu tas-snin 2030. Barra minn hekk, il-</w:t>
      </w:r>
      <w:r>
        <w:rPr>
          <w:rFonts w:ascii="Times New Roman" w:hAnsi="Times New Roman"/>
          <w:b/>
          <w:noProof/>
        </w:rPr>
        <w:t>Programm ta’ Riċerka u Taħriġ tal-Euratom</w:t>
      </w:r>
      <w:r>
        <w:rPr>
          <w:rFonts w:ascii="Times New Roman" w:hAnsi="Times New Roman"/>
          <w:noProof/>
        </w:rPr>
        <w:t xml:space="preserve"> jappoġġja żewġ proġetti li jikkontribwixxu għall-iżvilupp u l-varar rapidi u siguri ta’ soluzzjoni tal-fjuwil Ewropea għall-hekk imsejjaħ reattur enerġetiku ilma-ilma (VVER, water-water energetic reactor) biex tiġi ffaċilitata d-diversifikazzjoni lil hinn mill-fjuwils Russi u tiġi promossa s-sigurtà tal-provvista tal-fjuwil nukleari.</w:t>
      </w:r>
    </w:p>
    <w:p w14:paraId="43B64160" w14:textId="77777777" w:rsidR="00EF1F38" w:rsidRPr="00EF1F38" w:rsidRDefault="00611607" w:rsidP="003955F0">
      <w:pPr>
        <w:spacing w:before="120" w:after="120" w:line="276" w:lineRule="auto"/>
        <w:jc w:val="both"/>
        <w:rPr>
          <w:rFonts w:ascii="Times New Roman" w:hAnsi="Times New Roman" w:cs="Times New Roman"/>
          <w:noProof/>
        </w:rPr>
      </w:pPr>
      <w:r>
        <w:rPr>
          <w:rFonts w:ascii="Times New Roman" w:hAnsi="Times New Roman"/>
          <w:noProof/>
        </w:rPr>
        <w:t>Mill-bidu tal-invażjoni fuq skala sħiħa tar-Russja, l-appoġġ lill-Ukrajna kien prijorità ewlenija għall-Unjoni Ewropea, u l-Kummissjoni kompliet l-appoġġ sod tagħha għas-settur tal-enerġija tal-Ukrajna biex tiżgura l-operat tagħha minkejja l-attakki kontinwi fuq l-infrastruttura. Sal-31 ta’ Lulju 2024, aktar minn 40 % tad-donazzjonijiet tal-Istati Membri kollha kienu ddedikati għas-settur tal-enerġija. Intbagħtu aktar minn 8 189 ġeneratur tal-enerġija u 3 348 transformer, flimkien ma’ miljuni ta’ biċċiet ta’ tagħmir tal-enerġija, bil-kontribuzzjoni totali tal-</w:t>
      </w:r>
      <w:r>
        <w:rPr>
          <w:rFonts w:ascii="Times New Roman" w:hAnsi="Times New Roman"/>
          <w:b/>
          <w:noProof/>
        </w:rPr>
        <w:t>Mekkaniżmu tal-Unjoni għall-Protezzjoni Ċivili</w:t>
      </w:r>
      <w:r>
        <w:rPr>
          <w:rFonts w:ascii="Times New Roman" w:hAnsi="Times New Roman"/>
          <w:noProof/>
        </w:rPr>
        <w:t xml:space="preserve"> stmata għal aktar minn EUR 900 miljun.</w:t>
      </w:r>
    </w:p>
    <w:p w14:paraId="128EC3ED" w14:textId="66305BEC" w:rsidR="00CE477E" w:rsidRDefault="00251663" w:rsidP="00EF1F38">
      <w:pPr>
        <w:spacing w:before="120" w:after="120" w:line="240" w:lineRule="auto"/>
        <w:jc w:val="both"/>
        <w:rPr>
          <w:rFonts w:ascii="Times New Roman" w:eastAsia="Calibri" w:hAnsi="Times New Roman" w:cs="Times New Roman"/>
          <w:noProof/>
        </w:rPr>
      </w:pPr>
      <w:r>
        <w:rPr>
          <w:rFonts w:ascii="Times New Roman" w:hAnsi="Times New Roman"/>
          <w:noProof/>
        </w:rPr>
        <w:t>Il-</w:t>
      </w:r>
      <w:r>
        <w:rPr>
          <w:rFonts w:ascii="Times New Roman" w:hAnsi="Times New Roman"/>
          <w:b/>
          <w:noProof/>
        </w:rPr>
        <w:t>Fond ta’ Appoġġ għall-Enerġija tal-Ukrajna</w:t>
      </w:r>
      <w:r>
        <w:rPr>
          <w:rFonts w:ascii="Times New Roman" w:hAnsi="Times New Roman"/>
          <w:noProof/>
        </w:rPr>
        <w:t xml:space="preserve"> (UESF, Ukraine Energy Support Fund), li ġie stabbilit taħt l-awspiċji tal-Kummissjoni u huwa ġestit mis-Segretarjat tal-Komunità tal-Enerġija, stabbilixxa lilu nnifsu bħala għodda ewlenija ta’ appoġġ għall-akkwist ta’ tagħmir tal-enerġija u mmobilizza aktar minn EUR 500 miljun sa Awwissu 2024. Il-Faċilità tal-UE għall-Ukrajna ta’ EUR 50 biljun, mirfuda mill-Pjan għall-Ukrajna, se tipprovdi finanzjament konsistenti biex tgħin fl-irkupru tal-Ukrajna u ssaħħaħ it-tkabbir ekonomiku sostenibbli sal-2027. Fl-2022, is-sinkronizzazzjoni tal-grilji tal-Ukrajna u tal-Moldova man-Network Kontinentali Ewropew stabbilizzat is-sistema tal-elettriku tal-Ukrajna matul l-ewwel xhur tal-gwerra. Illum dan jiffaċilita kollaborazzjoni mill-qrib mal-ENTSO-E biex tiġi żgurata u tiżdied il-kapaċità għall-iskambji tal-elettriku, illum stabbiliti għal 1,7 GW għan-negozjar kummerċjali. Dan ippermetta wkoll lill-Ukrajna tuża importazzjonijiet ta’ emerġenza, b’mod partikolari wara attakki reċenti fuq l-infrastruttura tal-enerġija tagħha. B’mod kumplessiv, qed issir koordinazzjoni mill-qrib dwar l-esportazzjonijiet tal-elettriku u dwar ir-restawr mas-sħab (b’mod partikolari l-Istati Uniti) biex jipprovdu biżżejjed ġenerazzjoni għax-xitwa li jmiss. B’għotja tal-UE ta’ EUR 96 miljun u kontribuzzjonijiet tal-Istati Membri u donaturi privati permezz tal-Mekkaniżmu tal-Unjoni għall-Protezzjoni Ċivili huwa mistenni li jerġa’ jġib il-kapaċità għal 2,7GW. Il-Pjan Nazzjonali għall-Enerġija u l-Klima tal-Ukrajna se jkun dokument strateġiku ewlieni għat-trasformazzjoni tas-setturi tal-enerġija u ekonomiċi, li jallinjaha mal-istandards tal-UE u jappoġġja l-adeżjoni mal-UE.</w:t>
      </w:r>
    </w:p>
    <w:p w14:paraId="33D89A7C" w14:textId="1B0F7E47" w:rsidR="00624B0F" w:rsidRDefault="00624B0F" w:rsidP="00EF1F38">
      <w:pPr>
        <w:spacing w:before="120" w:after="120" w:line="240" w:lineRule="auto"/>
        <w:jc w:val="both"/>
        <w:rPr>
          <w:rFonts w:ascii="Times New Roman" w:eastAsia="Calibri" w:hAnsi="Times New Roman" w:cs="Times New Roman"/>
          <w:noProof/>
        </w:rPr>
      </w:pPr>
      <w:r>
        <w:rPr>
          <w:rFonts w:ascii="Times New Roman" w:hAnsi="Times New Roman"/>
          <w:noProof/>
        </w:rPr>
        <w:t>L-UE pprovdiet ukoll pakkett ta’ appoġġ għall-enerġija ta’ EUR biljun lill-Balkani tal-Punent fl-2023 biex tgħin lir-reġjun jiffaċċja l-kriżi tal-enerġija.</w:t>
      </w:r>
    </w:p>
    <w:p w14:paraId="5EDFB29A" w14:textId="77777777" w:rsidR="00DD2EB5" w:rsidRPr="009E53D0" w:rsidRDefault="00DD2EB5" w:rsidP="00EF1F38">
      <w:pPr>
        <w:spacing w:before="120" w:after="120" w:line="240" w:lineRule="auto"/>
        <w:jc w:val="both"/>
        <w:rPr>
          <w:rFonts w:ascii="Times New Roman" w:eastAsia="Calibri" w:hAnsi="Times New Roman" w:cs="Times New Roman"/>
          <w:noProof/>
        </w:rPr>
      </w:pPr>
    </w:p>
    <w:p w14:paraId="4C854C68" w14:textId="68435B8D" w:rsidR="00163A75" w:rsidRPr="003955F0" w:rsidRDefault="00D70CB2" w:rsidP="3F7883FE">
      <w:pPr>
        <w:pStyle w:val="ListParagraph"/>
        <w:numPr>
          <w:ilvl w:val="1"/>
          <w:numId w:val="4"/>
        </w:numPr>
        <w:spacing w:before="120" w:after="120" w:line="276" w:lineRule="auto"/>
        <w:jc w:val="both"/>
        <w:rPr>
          <w:rFonts w:ascii="Times New Roman" w:hAnsi="Times New Roman" w:cs="Times New Roman"/>
          <w:noProof/>
        </w:rPr>
      </w:pPr>
      <w:r>
        <w:rPr>
          <w:rFonts w:ascii="Times New Roman" w:hAnsi="Times New Roman"/>
          <w:b/>
          <w:noProof/>
        </w:rPr>
        <w:t xml:space="preserve">Kompetittività u s-settur tal-enerġija nadifa </w:t>
      </w:r>
    </w:p>
    <w:p w14:paraId="7A7490B0" w14:textId="19412D53" w:rsidR="00867545" w:rsidRDefault="004B2619" w:rsidP="3F7883FE">
      <w:pPr>
        <w:tabs>
          <w:tab w:val="left" w:pos="1008"/>
        </w:tabs>
        <w:spacing w:before="120" w:after="120" w:line="276" w:lineRule="auto"/>
        <w:jc w:val="both"/>
        <w:rPr>
          <w:rFonts w:ascii="Times New Roman" w:hAnsi="Times New Roman" w:cs="Times New Roman"/>
          <w:noProof/>
        </w:rPr>
      </w:pPr>
      <w:r>
        <w:rPr>
          <w:rFonts w:ascii="Times New Roman" w:hAnsi="Times New Roman"/>
          <w:b/>
          <w:noProof/>
        </w:rPr>
        <w:t>It-tranżizzjoni lejn enerġija</w:t>
      </w:r>
      <w:r>
        <w:rPr>
          <w:rFonts w:ascii="Times New Roman" w:hAnsi="Times New Roman"/>
          <w:noProof/>
        </w:rPr>
        <w:t xml:space="preserve"> </w:t>
      </w:r>
      <w:r>
        <w:rPr>
          <w:rFonts w:ascii="Times New Roman" w:hAnsi="Times New Roman"/>
          <w:b/>
          <w:noProof/>
        </w:rPr>
        <w:t>nadifa hija essenzjali għal enerġija sigura, sostenibbli, kompetittiva u affordabbli għan-negozji u ċ-ċittadini</w:t>
      </w:r>
      <w:r>
        <w:rPr>
          <w:rFonts w:ascii="Times New Roman" w:hAnsi="Times New Roman"/>
          <w:noProof/>
        </w:rPr>
        <w:t>, biex l-industrija u l-impjiegi jinżammu fl-Ewropa u għas-sigurtà ekonomika tal-Ewropa. Filwaqt li l-azzjoni politika naqqset b’mod sinifikanti, il-prezzijiet tal-enerġija mill-ogħla livelli fl-2022, il-prezzijiet bl-imnut industrijali tal-elettriku tal-UE għadhom minn darbtejn sa tliet darbiet ogħla milli fl-Istati Uniti (2021 sa 2023) filwaqt li storikament kienu minn darba u nofs sa darbtejn ogħla mill-prezzijiet tal-Istati Uniti. Il-prezzijiet tal-gass huma bejn tlieta u sitt darbiet ogħla minn dawk fl-Istati Uniti, filwaqt li storikament kienu minn darbtejn sa tliet darbiet ogħla.</w:t>
      </w:r>
    </w:p>
    <w:p w14:paraId="613163BE" w14:textId="3BD176F4" w:rsidR="0093441D" w:rsidRPr="00EF1F38" w:rsidRDefault="004B2619" w:rsidP="3F7883FE">
      <w:pPr>
        <w:tabs>
          <w:tab w:val="left" w:pos="1008"/>
        </w:tabs>
        <w:spacing w:before="120" w:after="120" w:line="276" w:lineRule="auto"/>
        <w:jc w:val="both"/>
        <w:rPr>
          <w:rFonts w:ascii="Times New Roman" w:hAnsi="Times New Roman" w:cs="Times New Roman"/>
          <w:noProof/>
        </w:rPr>
      </w:pPr>
      <w:r>
        <w:rPr>
          <w:rFonts w:ascii="Times New Roman" w:hAnsi="Times New Roman"/>
          <w:noProof/>
        </w:rPr>
        <w:t xml:space="preserve">Il-firxa għolja tal-prezzijiet tal-enerġija industrijali tal-UE fil-konfront ta’ pajjiżi bħall-Istati Uniti u ċ-Ċina tisfida l-kompetittività tal-Ewropa, speċjalment għall-industriji li jużaw ħafna l-enerġija, u tirriskja li żżid id-dipendenzi kritiċi. </w:t>
      </w:r>
      <w:r>
        <w:rPr>
          <w:rFonts w:ascii="Times New Roman" w:hAnsi="Times New Roman"/>
          <w:b/>
          <w:noProof/>
        </w:rPr>
        <w:t>Biex iċ-ċittadini u n-negozji tagħna jiġu pprovduti enerġija affordabbli, huwa ta’ importanza kbira li titħaffef l-introduzzjoni ta’ enerġija nadifa kompetittiva.</w:t>
      </w:r>
      <w:r>
        <w:rPr>
          <w:rFonts w:ascii="Times New Roman" w:hAnsi="Times New Roman"/>
          <w:noProof/>
        </w:rPr>
        <w:t xml:space="preserve"> L-UE ħadet azzjoni biex tbaxxi l-prezzijiet tal-enerġija strutturalment, fost l-oħrajn permezz ta’ integrazzjoni aħjar tas-suq, ta’ investiment f’interkonnessjonijiet transfruntieri u tar-</w:t>
      </w:r>
      <w:r>
        <w:rPr>
          <w:rFonts w:ascii="Times New Roman" w:hAnsi="Times New Roman"/>
          <w:noProof/>
          <w:color w:val="000000" w:themeColor="text1"/>
        </w:rPr>
        <w:t xml:space="preserve">riforma reċenti tad-Disinn tas-Suq tal-Elettriku (EMD, Electricity Market Design) li </w:t>
      </w:r>
      <w:r>
        <w:rPr>
          <w:rFonts w:ascii="Times New Roman" w:hAnsi="Times New Roman"/>
          <w:noProof/>
        </w:rPr>
        <w:t xml:space="preserve">tirrappreżenta pass fundamentali biex jitħaffu l-varar u l-integrazzjoni ta’ aktar enerġija rinnovabbli fis-sistema tal-enerġija, jiġu promossi l-istabbiltà, il-prevedibbiltà u l-affordabbiltà tal-prezzijiet tal-enerġija u b’hekk tikkontribwixxi għall-kompetittività tal-industrija tal-UE. </w:t>
      </w:r>
    </w:p>
    <w:p w14:paraId="34E8DD1C" w14:textId="0E20D4A8" w:rsidR="00B74401" w:rsidRPr="00EF1F38" w:rsidRDefault="00174AE3" w:rsidP="003955F0">
      <w:pPr>
        <w:tabs>
          <w:tab w:val="left" w:pos="3402"/>
        </w:tabs>
        <w:spacing w:before="120" w:after="120" w:line="276" w:lineRule="auto"/>
        <w:jc w:val="both"/>
        <w:rPr>
          <w:rFonts w:ascii="Times New Roman" w:hAnsi="Times New Roman" w:cs="Times New Roman"/>
          <w:noProof/>
        </w:rPr>
      </w:pPr>
      <w:r>
        <w:rPr>
          <w:rFonts w:ascii="Times New Roman" w:hAnsi="Times New Roman"/>
          <w:noProof/>
        </w:rPr>
        <w:t xml:space="preserve">Il-kompetittività se tkompli tkun objettiv ewlieni fis-snin li ġejjin, u l-Kunsill Ewropew appella għal </w:t>
      </w:r>
      <w:r>
        <w:rPr>
          <w:rFonts w:ascii="Times New Roman" w:hAnsi="Times New Roman"/>
          <w:b/>
          <w:noProof/>
        </w:rPr>
        <w:t>Patt ġdid dwar il-Kompetittività Ewropea</w:t>
      </w:r>
      <w:r>
        <w:rPr>
          <w:rFonts w:ascii="Times New Roman" w:hAnsi="Times New Roman"/>
          <w:noProof/>
        </w:rPr>
        <w:t xml:space="preserve">. Fil-linji gwida politiċi tagħha, il-President tal-Kummissjoni von der Leyen indikat </w:t>
      </w:r>
      <w:r>
        <w:rPr>
          <w:rFonts w:ascii="Times New Roman" w:hAnsi="Times New Roman"/>
          <w:b/>
          <w:noProof/>
        </w:rPr>
        <w:t>Patt għal Industrija Nadifa</w:t>
      </w:r>
      <w:r>
        <w:rPr>
          <w:rFonts w:ascii="Times New Roman" w:hAnsi="Times New Roman"/>
          <w:noProof/>
        </w:rPr>
        <w:t xml:space="preserve"> biex id-dekarbonizzazzjoni u l-kompetittività jitwaħħdu. L-enfasi sħiħa tiegħu se tkun fuq l-appoġġ u l-ħolqien tal-kundizzjonijiet tajba għall-kumpaniji biex jirnexxu fl-Ewropa, billi jissimplifika l-ambjent regolatorju, inaqqas il-kostijiet tal-enerġija, jinvesti f’teknoloġiji nodfa, u jiżgura aċċess għal provvisti tal-enerġija u materja prima rħas, sostenibbli u siguri. Ir-</w:t>
      </w:r>
      <w:r>
        <w:rPr>
          <w:rFonts w:ascii="Times New Roman" w:hAnsi="Times New Roman"/>
          <w:b/>
          <w:noProof/>
        </w:rPr>
        <w:t>Rapport</w:t>
      </w:r>
      <w:r>
        <w:rPr>
          <w:rFonts w:ascii="Times New Roman" w:hAnsi="Times New Roman"/>
          <w:noProof/>
        </w:rPr>
        <w:t xml:space="preserve"> ta’ </w:t>
      </w:r>
      <w:r>
        <w:rPr>
          <w:rFonts w:ascii="Times New Roman" w:hAnsi="Times New Roman"/>
          <w:b/>
          <w:noProof/>
        </w:rPr>
        <w:t>Mario Draghi</w:t>
      </w:r>
      <w:r>
        <w:rPr>
          <w:rFonts w:ascii="Times New Roman" w:hAnsi="Times New Roman"/>
          <w:noProof/>
        </w:rPr>
        <w:t xml:space="preserve"> dwar il-kompetittività u r-</w:t>
      </w:r>
      <w:r>
        <w:rPr>
          <w:rFonts w:ascii="Times New Roman" w:hAnsi="Times New Roman"/>
          <w:b/>
          <w:noProof/>
        </w:rPr>
        <w:t xml:space="preserve">Rapport </w:t>
      </w:r>
      <w:r>
        <w:rPr>
          <w:rFonts w:ascii="Times New Roman" w:hAnsi="Times New Roman"/>
          <w:noProof/>
        </w:rPr>
        <w:t xml:space="preserve">ta’ </w:t>
      </w:r>
      <w:r>
        <w:rPr>
          <w:rFonts w:ascii="Times New Roman" w:hAnsi="Times New Roman"/>
          <w:b/>
          <w:noProof/>
        </w:rPr>
        <w:t xml:space="preserve">Enrico Letta </w:t>
      </w:r>
      <w:r>
        <w:rPr>
          <w:rFonts w:ascii="Times New Roman" w:hAnsi="Times New Roman"/>
          <w:noProof/>
        </w:rPr>
        <w:t>dwar</w:t>
      </w:r>
      <w:r>
        <w:rPr>
          <w:rFonts w:ascii="Times New Roman" w:hAnsi="Times New Roman"/>
          <w:b/>
          <w:noProof/>
        </w:rPr>
        <w:t xml:space="preserve"> </w:t>
      </w:r>
      <w:r>
        <w:rPr>
          <w:rFonts w:ascii="Times New Roman" w:hAnsi="Times New Roman"/>
          <w:noProof/>
        </w:rPr>
        <w:t>“</w:t>
      </w:r>
      <w:r>
        <w:rPr>
          <w:rFonts w:ascii="Times New Roman" w:hAnsi="Times New Roman"/>
          <w:i/>
          <w:noProof/>
        </w:rPr>
        <w:t>Empowering the Single Market to deliver a sustainable future and prosperity for all EU Citizens</w:t>
      </w:r>
      <w:r>
        <w:rPr>
          <w:rFonts w:ascii="Times New Roman" w:hAnsi="Times New Roman"/>
          <w:noProof/>
        </w:rPr>
        <w:t>”</w:t>
      </w:r>
      <w:r>
        <w:rPr>
          <w:rFonts w:ascii="Times New Roman" w:hAnsi="Times New Roman"/>
          <w:b/>
          <w:noProof/>
        </w:rPr>
        <w:t xml:space="preserve"> </w:t>
      </w:r>
      <w:r>
        <w:rPr>
          <w:rFonts w:ascii="Times New Roman" w:hAnsi="Times New Roman"/>
          <w:noProof/>
        </w:rPr>
        <w:t xml:space="preserve">enfasizzaw ukoll, </w:t>
      </w:r>
      <w:r>
        <w:rPr>
          <w:rFonts w:ascii="Times New Roman" w:hAnsi="Times New Roman"/>
          <w:i/>
          <w:noProof/>
        </w:rPr>
        <w:t>inter alia</w:t>
      </w:r>
      <w:r>
        <w:rPr>
          <w:rFonts w:ascii="Times New Roman" w:hAnsi="Times New Roman"/>
          <w:noProof/>
        </w:rPr>
        <w:t xml:space="preserve">, il-ħtieġa li tissaħħaħ id-dimensjoni tas-Suq Uniku għall-enerġija u l-importanza li jsir </w:t>
      </w:r>
      <w:r>
        <w:rPr>
          <w:rFonts w:ascii="Times New Roman" w:hAnsi="Times New Roman"/>
          <w:b/>
          <w:noProof/>
        </w:rPr>
        <w:t>investiment fin-networks infrastrutturali tal-Ewropa</w:t>
      </w:r>
      <w:r>
        <w:rPr>
          <w:rFonts w:ascii="Times New Roman" w:hAnsi="Times New Roman"/>
          <w:noProof/>
        </w:rPr>
        <w:t xml:space="preserve">, it-titjib tal-interkonnessjonijiet transfruntieri, it-titjib tal-grilji tat-trażmissjoni u tad-distribuzzjoni tal-elettriku u l-espansjoni tal-għażliet ta’ provvisti tal-enerġija għall-industrija. </w:t>
      </w:r>
    </w:p>
    <w:p w14:paraId="16B6AE68" w14:textId="0FD6A879" w:rsidR="00245CCE" w:rsidRPr="00EF1F38" w:rsidRDefault="00245CCE" w:rsidP="00E961F1">
      <w:pPr>
        <w:jc w:val="both"/>
        <w:rPr>
          <w:rFonts w:ascii="Times New Roman" w:hAnsi="Times New Roman" w:cs="Times New Roman"/>
          <w:noProof/>
        </w:rPr>
      </w:pPr>
      <w:r>
        <w:rPr>
          <w:rFonts w:ascii="Times New Roman" w:hAnsi="Times New Roman"/>
          <w:noProof/>
        </w:rPr>
        <w:t>Abbażi tal-iskrinjar tal-obbligi tal-ippjanar, tar-rappurtar u tal-monitoraġġ skont id-dritt tal-UE dwar l-enerġija u l-klima, il-Kummissjoni identifikat diversi azzjonijiet ewlenin fil-pjanijiet ta’ razzjonalizzazzjoni biex tidentifika miżuri ġodda biex jitnaqqsu l-piżijiet tar-rappurtar, inkluż it-tħassir tal-obbligi ta’ rappurtar dwar il-ħażniet taż-żejt</w:t>
      </w:r>
      <w:r w:rsidRPr="00EF1F38">
        <w:rPr>
          <w:rStyle w:val="FootnoteReference"/>
          <w:rFonts w:ascii="Times New Roman" w:hAnsi="Times New Roman" w:cs="Times New Roman"/>
          <w:noProof/>
        </w:rPr>
        <w:footnoteReference w:id="38"/>
      </w:r>
      <w:r>
        <w:rPr>
          <w:rFonts w:ascii="Times New Roman" w:hAnsi="Times New Roman"/>
          <w:noProof/>
        </w:rPr>
        <w:t>, ir-rieżami tal-leġiżlazzjoni dwar is-sigurtà tal-provvista tal-gass</w:t>
      </w:r>
      <w:r w:rsidRPr="00EF1F38">
        <w:rPr>
          <w:rStyle w:val="FootnoteReference"/>
          <w:rFonts w:ascii="Times New Roman" w:hAnsi="Times New Roman" w:cs="Times New Roman"/>
          <w:noProof/>
        </w:rPr>
        <w:footnoteReference w:id="39"/>
      </w:r>
      <w:r>
        <w:rPr>
          <w:rFonts w:ascii="Times New Roman" w:hAnsi="Times New Roman"/>
          <w:noProof/>
        </w:rPr>
        <w:t>, u l-leġiżlazzjoni terzjarja skont il-leġiżlazzjoni tas-suq intern tal-gass u tal-elettriku u r-Regolament dwar l-Integrità u t-Trasparenza tas-Swieq tal-Enerġija bl-Ingrossa</w:t>
      </w:r>
      <w:r w:rsidRPr="00EF1F38">
        <w:rPr>
          <w:rStyle w:val="FootnoteReference"/>
          <w:rFonts w:ascii="Times New Roman" w:hAnsi="Times New Roman" w:cs="Times New Roman"/>
          <w:noProof/>
        </w:rPr>
        <w:footnoteReference w:id="40"/>
      </w:r>
      <w:r>
        <w:rPr>
          <w:rFonts w:ascii="Times New Roman" w:hAnsi="Times New Roman"/>
          <w:noProof/>
        </w:rPr>
        <w:t>. Dan huwa kkomplementat minn diversi miżuri ta’ appoġġ biex tiġi ffaċilitata l-konformità. Il-pjanijiet ta’ razzjonalizzazzjoni nnutaw ukoll ir-reviżjoni possibbli tar-Regolament dwar il-Governanza bħala mezz biex tittejjeb aktar l-effiċjenza.</w:t>
      </w:r>
    </w:p>
    <w:p w14:paraId="517F9F74" w14:textId="1C8ADF57" w:rsidR="006D2DF8" w:rsidRPr="006D2DF8" w:rsidRDefault="0093441D" w:rsidP="006D2DF8">
      <w:pPr>
        <w:spacing w:before="120" w:after="120" w:line="276" w:lineRule="auto"/>
        <w:jc w:val="both"/>
        <w:rPr>
          <w:rFonts w:ascii="Times New Roman" w:hAnsi="Times New Roman" w:cs="Times New Roman"/>
          <w:noProof/>
        </w:rPr>
      </w:pPr>
      <w:r>
        <w:rPr>
          <w:rFonts w:ascii="Times New Roman" w:hAnsi="Times New Roman"/>
          <w:noProof/>
        </w:rPr>
        <w:t>Il-kuntest ġeopolitiku attwali żied l-importanza tar-reżiljenza u s-sigurtà fl-</w:t>
      </w:r>
      <w:r>
        <w:rPr>
          <w:rFonts w:ascii="Times New Roman" w:hAnsi="Times New Roman"/>
          <w:b/>
          <w:noProof/>
        </w:rPr>
        <w:t>industrija b’emissjonijiet żero netti</w:t>
      </w:r>
      <w:r>
        <w:rPr>
          <w:rFonts w:ascii="Times New Roman" w:hAnsi="Times New Roman"/>
          <w:noProof/>
        </w:rPr>
        <w:t>, li r-rilevanza ekonomika tagħha qed tiżdied ukoll drastikament mas-suq globali għal teknoloġiji ewlenin, minn manifatturi tal-massa, b’emissjonijiet żero netti mistennija li jittripplaw sal-2030 b’valur annwali ta’ madwar EUR 600 biljun. Il-manifatturi Ewropej qed jiffaċċjaw kompetizzjoni intensiva f’dawn is-swieq globali li qed jikbru. It-teknoloġiji tal-enerġija huma wieħed mill-għaxar oqsma teknoloġiċi kritiċi għas-sigurtà ekonomika tal-UE</w:t>
      </w:r>
      <w:r w:rsidR="006D2DF8" w:rsidRPr="006D2DF8">
        <w:rPr>
          <w:rFonts w:ascii="Times New Roman" w:hAnsi="Times New Roman" w:cs="Times New Roman"/>
          <w:noProof/>
          <w:vertAlign w:val="superscript"/>
          <w:lang w:val="en-GB"/>
        </w:rPr>
        <w:footnoteReference w:id="41"/>
      </w:r>
      <w:r>
        <w:rPr>
          <w:rFonts w:ascii="Times New Roman" w:hAnsi="Times New Roman"/>
          <w:noProof/>
        </w:rPr>
        <w:t>.</w:t>
      </w:r>
    </w:p>
    <w:p w14:paraId="15848F4F" w14:textId="65409671" w:rsidR="00E64EAA" w:rsidRDefault="0093441D" w:rsidP="00F319A5">
      <w:pPr>
        <w:spacing w:before="120" w:after="120" w:line="276" w:lineRule="auto"/>
        <w:jc w:val="both"/>
        <w:rPr>
          <w:rFonts w:ascii="Times New Roman" w:eastAsia="Times New Roman" w:hAnsi="Times New Roman" w:cs="Times New Roman"/>
          <w:noProof/>
          <w:color w:val="000000" w:themeColor="text1"/>
        </w:rPr>
      </w:pPr>
      <w:r>
        <w:rPr>
          <w:rFonts w:ascii="Times New Roman" w:hAnsi="Times New Roman"/>
          <w:noProof/>
        </w:rPr>
        <w:t>Bl-</w:t>
      </w:r>
      <w:r>
        <w:rPr>
          <w:rFonts w:ascii="Times New Roman" w:hAnsi="Times New Roman"/>
          <w:b/>
          <w:noProof/>
        </w:rPr>
        <w:t>Att dwar l-Industrija b’Emissjonijiet Żero Netti (NZIA, Net-Zero Industry Act)</w:t>
      </w:r>
      <w:r>
        <w:rPr>
          <w:rFonts w:ascii="Times New Roman" w:hAnsi="Times New Roman"/>
          <w:noProof/>
        </w:rPr>
        <w:t xml:space="preserve"> u l-</w:t>
      </w:r>
      <w:r>
        <w:rPr>
          <w:rFonts w:ascii="Times New Roman" w:hAnsi="Times New Roman"/>
          <w:b/>
          <w:noProof/>
        </w:rPr>
        <w:t>Att dwar il-Materja Prima Kritika</w:t>
      </w:r>
      <w:r>
        <w:rPr>
          <w:rFonts w:ascii="Times New Roman" w:hAnsi="Times New Roman"/>
          <w:noProof/>
        </w:rPr>
        <w:t>, l-UE ħadet azzjoni biex issaħħaħ il-kompetittività u r-reżiljenza tal-ktajjen tal-provvista tal-manifatturi tat-teknoloġiji tal-enerġija nadifa tagħha. Ir-reżiljenza tas-sistemi tal-enerġija futuri se titkejjel permezz ta’ aċċess sigur għat-teknoloġiji li se jħaddmu dawk is-sistemi — it-turbini eoliċi, l-elettrolizzaturi, il-batteriji, is-sistemi fotovoltajċi solari, il-pompi tas-sħana, it-teknoloġiji tal-grilja u oħrajn. L-NZIA se jgħin lill-UE tiddiversifika s-sorsi tal-provvista tagħha għal teknoloġiji nodfa u tibni kapaċità b’saħħitha tal-manifattura domestika ta’ teknoloġiji nodfa, filwaqt li ssaħħaħ il-kompetittività hekk kif qed infittxu li nilħqu n-newtralità klimatika sal-2050.</w:t>
      </w:r>
      <w:r>
        <w:rPr>
          <w:noProof/>
        </w:rPr>
        <w:t xml:space="preserve"> </w:t>
      </w:r>
      <w:r>
        <w:rPr>
          <w:rFonts w:ascii="Times New Roman" w:hAnsi="Times New Roman"/>
          <w:noProof/>
        </w:rPr>
        <w:t>Il-Fond għall-Innovazzjoni ilu mill-2022 jappoġġja l-introduzzjoni tal-manifattura tat-teknoloġija nadifa b’pakkett baġitarju ddedikat fis-sejħiet annwali tiegħu. It-teknoloġiji tal-enerġija nadifa diġà appoġġjati mill-Fond għall-Innovazzjoni huma mistennija jwasslu għal żieda sostanzjali fil-kapaċità fil-produzzjoni solari u tal-batteriji kif ukoll fl-elettrolizzaturi.</w:t>
      </w:r>
      <w:r>
        <w:rPr>
          <w:rFonts w:ascii="Times New Roman" w:hAnsi="Times New Roman"/>
          <w:noProof/>
          <w:color w:val="000000" w:themeColor="text1"/>
        </w:rPr>
        <w:t xml:space="preserve"> Il-</w:t>
      </w:r>
      <w:r>
        <w:rPr>
          <w:rFonts w:ascii="Times New Roman" w:hAnsi="Times New Roman"/>
          <w:b/>
          <w:noProof/>
          <w:color w:val="000000" w:themeColor="text1"/>
        </w:rPr>
        <w:t>Pjattaforma tat-Teknoloġiji Strateġiċi għall-Ewropa</w:t>
      </w:r>
      <w:r>
        <w:rPr>
          <w:rFonts w:ascii="Times New Roman" w:hAnsi="Times New Roman"/>
          <w:noProof/>
          <w:color w:val="000000" w:themeColor="text1"/>
        </w:rPr>
        <w:t xml:space="preserve"> (STEP, Strategic Technologies for Europe Platform) qed tikkontribwixxi għall-iżvilupp u l-manifattura ta’ teknoloġiji nodfa avvanzati fl-UE, tnaqqas id-dipendenzi strateġiċi u ssaħħaħ l-innovazzjoni Ewropea f’teknoloġiji kritiċi bħal dawn.  </w:t>
      </w:r>
    </w:p>
    <w:p w14:paraId="0CAD65A6" w14:textId="77777777" w:rsidR="00E64EAA" w:rsidRPr="00EF1F38" w:rsidRDefault="00E64EAA" w:rsidP="00E64EAA">
      <w:pPr>
        <w:spacing w:before="120" w:after="120" w:line="276" w:lineRule="auto"/>
        <w:jc w:val="both"/>
        <w:rPr>
          <w:rFonts w:ascii="Times New Roman" w:eastAsia="Times New Roman" w:hAnsi="Times New Roman" w:cs="Times New Roman"/>
          <w:noProof/>
          <w:color w:val="000000" w:themeColor="text1"/>
        </w:rPr>
      </w:pPr>
      <w:r>
        <w:rPr>
          <w:rFonts w:ascii="Times New Roman" w:hAnsi="Times New Roman"/>
          <w:noProof/>
          <w:color w:val="000000" w:themeColor="text1"/>
        </w:rPr>
        <w:t>Hekk kif l-UE tagħmel progress lejn futur b’emissjonijiet żero netti, se jkun importanti li jiġu indirizzati d-</w:t>
      </w:r>
      <w:r>
        <w:rPr>
          <w:rFonts w:ascii="Times New Roman" w:hAnsi="Times New Roman"/>
          <w:b/>
          <w:noProof/>
          <w:color w:val="000000" w:themeColor="text1"/>
        </w:rPr>
        <w:t>dipendenzi emerġenti fuq materjali kritiċi</w:t>
      </w:r>
      <w:r>
        <w:rPr>
          <w:rFonts w:ascii="Times New Roman" w:hAnsi="Times New Roman"/>
          <w:noProof/>
          <w:color w:val="000000" w:themeColor="text1"/>
        </w:rPr>
        <w:t xml:space="preserve"> u fjuwils nukleari biex tkun tista’ ssir it-tranżizzjoni tal-enerġija u tiġi żgurata s-sigurtà ekonomika tal-UE.</w:t>
      </w:r>
    </w:p>
    <w:p w14:paraId="7D0A934F" w14:textId="1799667E" w:rsidR="00143766" w:rsidRPr="00EF1F38" w:rsidRDefault="00F319A5" w:rsidP="00C90CB9">
      <w:pPr>
        <w:spacing w:before="120" w:after="120" w:line="276" w:lineRule="auto"/>
        <w:jc w:val="both"/>
        <w:rPr>
          <w:rFonts w:ascii="Times New Roman" w:eastAsia="Times New Roman" w:hAnsi="Times New Roman" w:cs="Times New Roman"/>
          <w:noProof/>
          <w:color w:val="000000" w:themeColor="text1"/>
        </w:rPr>
      </w:pPr>
      <w:r>
        <w:rPr>
          <w:rFonts w:ascii="Times New Roman" w:hAnsi="Times New Roman"/>
          <w:noProof/>
          <w:color w:val="000000" w:themeColor="text1"/>
        </w:rPr>
        <w:t>Is-</w:t>
      </w:r>
      <w:r>
        <w:rPr>
          <w:rFonts w:ascii="Times New Roman" w:hAnsi="Times New Roman"/>
          <w:b/>
          <w:noProof/>
          <w:color w:val="000000" w:themeColor="text1"/>
        </w:rPr>
        <w:t>Sħubijiet Strateġiċi dwar il-ktajjen tal-valur tal-materja prima sostenibbli</w:t>
      </w:r>
      <w:r>
        <w:rPr>
          <w:rFonts w:ascii="Times New Roman" w:hAnsi="Times New Roman"/>
          <w:noProof/>
          <w:color w:val="000000" w:themeColor="text1"/>
        </w:rPr>
        <w:t xml:space="preserve"> li l-UE qed tikkonkludi ma’ pajjiżi terzi huma parti integrali mid-dimensjoni esterna tal-Att dwar il-Materja Prima Kritika biex tiġi żgurata u diversifikata l-provvista tal-UE dwar materja prima kritika filwaqt li tiġi żgurata żieda fil-valur lokali fil-pajjiżi sħab. Sal-lum, l-UE ffirmat 14-il Sħubija Strateġika</w:t>
      </w:r>
      <w:r w:rsidRPr="00F319A5">
        <w:rPr>
          <w:rFonts w:ascii="Times New Roman" w:eastAsia="Times New Roman" w:hAnsi="Times New Roman" w:cs="Times New Roman"/>
          <w:noProof/>
          <w:color w:val="000000" w:themeColor="text1"/>
          <w:vertAlign w:val="superscript"/>
        </w:rPr>
        <w:footnoteReference w:id="42"/>
      </w:r>
      <w:r>
        <w:rPr>
          <w:rFonts w:ascii="Times New Roman" w:hAnsi="Times New Roman"/>
          <w:noProof/>
          <w:color w:val="000000" w:themeColor="text1"/>
        </w:rPr>
        <w:t>.  Matul is-sena li għaddiet, id-diversifikazzjoni tal-ktajjen tal-provvista globali għal materja prima kritika kompliet tavvanza permezz ta’ seba’ sħubijiet ta’ benefiċċju reċiproku stabbiliti ġodda inkluż ma’ pajjiżi sħab vitali tal-enerġija bħan-Norveġja, l-Awstralja jew is-Serbja</w:t>
      </w:r>
      <w:r w:rsidR="00115567" w:rsidRPr="00115567">
        <w:rPr>
          <w:rFonts w:ascii="Times New Roman" w:eastAsia="Times New Roman" w:hAnsi="Times New Roman" w:cs="Times New Roman"/>
          <w:noProof/>
          <w:color w:val="000000" w:themeColor="text1"/>
          <w:vertAlign w:val="superscript"/>
          <w:lang w:val="en-GB"/>
        </w:rPr>
        <w:footnoteReference w:id="43"/>
      </w:r>
      <w:r>
        <w:rPr>
          <w:rFonts w:ascii="Times New Roman" w:hAnsi="Times New Roman"/>
          <w:noProof/>
          <w:color w:val="000000" w:themeColor="text1"/>
        </w:rPr>
        <w:t>. Il-</w:t>
      </w:r>
      <w:r>
        <w:rPr>
          <w:rFonts w:ascii="Times New Roman" w:hAnsi="Times New Roman"/>
          <w:b/>
          <w:noProof/>
          <w:color w:val="000000" w:themeColor="text1"/>
        </w:rPr>
        <w:t>Panel imlaqqa’ min-Nazzjonijiet Uniti dwar il-minerali kritiċi għat-tranżizzjoni tal-enerġija</w:t>
      </w:r>
      <w:r>
        <w:rPr>
          <w:rFonts w:ascii="Times New Roman" w:hAnsi="Times New Roman"/>
          <w:noProof/>
          <w:color w:val="000000" w:themeColor="text1"/>
        </w:rPr>
        <w:t xml:space="preserve">, imniedi f’April 2024 u kopresedut mis-servizzi tal-Kummissjoni, se jlaqqa’ flimkien il-gvernijiet u partijiet ikkonċernati oħra attivi fl-industriji estrattivi biex jindirizzaw kwistjonijiet relatati mal-ekwità, it-trasparenza, l-investiment, is-sostenibbiltà u d-drittijiet tal-bniedem fil-ktajjen tal-provvista tal-minerali kritiċi, biex jiġi żgurat li d-domanda dejjem akbar għal minerali kritiċi ma tiggravax it-tensjonijiet ġeopolitiċi iżda minflok trawwem tranżizzjoni tal-enerġija ġusta u bbilanċjata.  </w:t>
      </w:r>
    </w:p>
    <w:p w14:paraId="3AB3CF99" w14:textId="514E1E3E" w:rsidR="00283AFD" w:rsidRPr="00EF1F38" w:rsidRDefault="00F91AE0" w:rsidP="00072911">
      <w:pPr>
        <w:pStyle w:val="paragraph"/>
        <w:spacing w:before="120" w:beforeAutospacing="0" w:after="120" w:afterAutospacing="0" w:line="276" w:lineRule="auto"/>
        <w:jc w:val="both"/>
        <w:textAlignment w:val="baseline"/>
        <w:rPr>
          <w:rStyle w:val="normaltextrun"/>
          <w:rFonts w:asciiTheme="minorHAnsi" w:eastAsiaTheme="minorEastAsia" w:hAnsiTheme="minorHAnsi" w:cstheme="minorBidi"/>
          <w:noProof/>
          <w:kern w:val="2"/>
          <w:sz w:val="22"/>
          <w:szCs w:val="22"/>
          <w14:ligatures w14:val="standardContextual"/>
        </w:rPr>
      </w:pPr>
      <w:r>
        <w:rPr>
          <w:rStyle w:val="normaltextrun"/>
          <w:noProof/>
          <w:sz w:val="22"/>
        </w:rPr>
        <w:t xml:space="preserve">Fit-tranżizzjoni lejn ekonomija aktar ekoloġika, </w:t>
      </w:r>
      <w:r>
        <w:rPr>
          <w:rStyle w:val="findhit"/>
          <w:b/>
          <w:noProof/>
          <w:sz w:val="22"/>
        </w:rPr>
        <w:t>il-ħiliet</w:t>
      </w:r>
      <w:r>
        <w:rPr>
          <w:rStyle w:val="normaltextrun"/>
          <w:b/>
          <w:noProof/>
          <w:sz w:val="22"/>
        </w:rPr>
        <w:t xml:space="preserve"> huma faċilitatur importanti għall-kompetittività</w:t>
      </w:r>
      <w:r>
        <w:rPr>
          <w:rStyle w:val="normaltextrun"/>
          <w:noProof/>
          <w:sz w:val="22"/>
        </w:rPr>
        <w:t xml:space="preserve"> u l-innovazzjoni tal-Ewropa peress li l-bidla lejn teknoloġiji tal-enerġija nadifa teħtieġ forza tax-xogħol b’ħiliet addizzjonali</w:t>
      </w:r>
      <w:r>
        <w:rPr>
          <w:rFonts w:asciiTheme="minorHAnsi" w:hAnsiTheme="minorHAnsi"/>
          <w:noProof/>
          <w:sz w:val="22"/>
        </w:rPr>
        <w:t xml:space="preserve"> </w:t>
      </w:r>
      <w:r>
        <w:rPr>
          <w:noProof/>
          <w:sz w:val="22"/>
        </w:rPr>
        <w:t>meta mqabbla mas-setturi tal-enerġija tradizzjonali.</w:t>
      </w:r>
      <w:r>
        <w:rPr>
          <w:rStyle w:val="normaltextrun"/>
          <w:noProof/>
          <w:sz w:val="22"/>
        </w:rPr>
        <w:t xml:space="preserve"> Skont l-Att dwar l-Industrija b’Emissjonijiet Żero Netti, l-</w:t>
      </w:r>
      <w:r>
        <w:rPr>
          <w:rStyle w:val="normaltextrun"/>
          <w:b/>
          <w:noProof/>
          <w:sz w:val="22"/>
        </w:rPr>
        <w:t>Akkademji Ewropej tal-industrija b’emissjonijiet żero netti</w:t>
      </w:r>
      <w:r w:rsidR="00795DFD">
        <w:rPr>
          <w:rStyle w:val="FootnoteReference"/>
          <w:b/>
          <w:bCs/>
          <w:noProof/>
          <w:sz w:val="22"/>
          <w:szCs w:val="22"/>
          <w:lang w:val="en-GB"/>
        </w:rPr>
        <w:footnoteReference w:id="44"/>
      </w:r>
      <w:r>
        <w:rPr>
          <w:rStyle w:val="normaltextrun"/>
          <w:noProof/>
          <w:sz w:val="22"/>
        </w:rPr>
        <w:t xml:space="preserve"> </w:t>
      </w:r>
      <w:r>
        <w:rPr>
          <w:noProof/>
          <w:sz w:val="22"/>
        </w:rPr>
        <w:t>diġà huma</w:t>
      </w:r>
      <w:r>
        <w:rPr>
          <w:rStyle w:val="normaltextrun"/>
          <w:noProof/>
          <w:sz w:val="22"/>
        </w:rPr>
        <w:t xml:space="preserve"> mnedija jew fil-proċess li jiġu stabbiliti biex jindirizzaw il-kwistjoni billi jiżviluppaw kontenut ta’ apprendiment fl-Istati Membri f’setturi bħall-enerġija solari, l-idroġenu, u l-batteriji, b’aktar akkademji fil-materja prima u l-enerġija mir-riħ li għandhom jiġu segwiti fil-futur. L-Akkademji jibnu fuq inizjattivi bħall-Pjanijiet ta’ Azzjoni għal Kooperazzjoni Settorjali dwar il-Ħiliet</w:t>
      </w:r>
      <w:r w:rsidR="00756940" w:rsidRPr="00EF1F38">
        <w:rPr>
          <w:rStyle w:val="FootnoteReference"/>
          <w:noProof/>
          <w:sz w:val="22"/>
          <w:szCs w:val="22"/>
          <w:lang w:val="en-GB"/>
        </w:rPr>
        <w:footnoteReference w:id="45"/>
      </w:r>
      <w:r>
        <w:rPr>
          <w:rStyle w:val="normaltextrun"/>
          <w:noProof/>
          <w:sz w:val="22"/>
        </w:rPr>
        <w:t xml:space="preserve"> u l-Patt tal-UE għall-Ħiliet</w:t>
      </w:r>
      <w:r w:rsidR="001A747C" w:rsidRPr="00EF1F38">
        <w:rPr>
          <w:rStyle w:val="FootnoteReference"/>
          <w:noProof/>
          <w:sz w:val="22"/>
          <w:szCs w:val="22"/>
          <w:lang w:val="en-GB"/>
        </w:rPr>
        <w:footnoteReference w:id="46"/>
      </w:r>
      <w:r>
        <w:rPr>
          <w:rStyle w:val="normaltextrun"/>
          <w:noProof/>
          <w:sz w:val="22"/>
        </w:rPr>
        <w:t>, bit-tliet Sħubijiet tiegħu dwar il-Ħiliet fuq Skala Kbira fl-ekosistema tal-enerġija rinnovabbli. L-iżgurar li l-ħaddiema jiksbu l-ħiliet li hemm bżonn</w:t>
      </w:r>
      <w:r>
        <w:rPr>
          <w:rStyle w:val="normaltextrun"/>
          <w:noProof/>
        </w:rPr>
        <w:t xml:space="preserve"> </w:t>
      </w:r>
      <w:r>
        <w:rPr>
          <w:rStyle w:val="normaltextrun"/>
          <w:noProof/>
          <w:sz w:val="22"/>
        </w:rPr>
        <w:t>se jippermetti li jinkiseb il-potenzjal sħiħ ta’ impjieg tal-miri tar-REPowerEU li huma stmati li joħolqu aktar minn 3,5 miljun impjieg sal-2030</w:t>
      </w:r>
      <w:r w:rsidR="00795DFD">
        <w:rPr>
          <w:rStyle w:val="FootnoteReference"/>
          <w:noProof/>
          <w:sz w:val="22"/>
          <w:szCs w:val="22"/>
          <w:lang w:val="en-GB"/>
        </w:rPr>
        <w:footnoteReference w:id="47"/>
      </w:r>
      <w:r>
        <w:rPr>
          <w:rStyle w:val="normaltextrun"/>
          <w:noProof/>
          <w:sz w:val="22"/>
        </w:rPr>
        <w:t>.</w:t>
      </w:r>
    </w:p>
    <w:p w14:paraId="25897971" w14:textId="6A42E9D9" w:rsidR="0048234C" w:rsidRPr="003955F0" w:rsidRDefault="00D71466" w:rsidP="0023570B">
      <w:pPr>
        <w:pStyle w:val="ListParagraph"/>
        <w:numPr>
          <w:ilvl w:val="0"/>
          <w:numId w:val="4"/>
        </w:numPr>
        <w:spacing w:before="120" w:after="120" w:line="276" w:lineRule="auto"/>
        <w:contextualSpacing w:val="0"/>
        <w:jc w:val="both"/>
        <w:rPr>
          <w:rFonts w:ascii="Times New Roman" w:hAnsi="Times New Roman" w:cs="Times New Roman"/>
          <w:b/>
          <w:noProof/>
        </w:rPr>
      </w:pPr>
      <w:r>
        <w:rPr>
          <w:rFonts w:ascii="Times New Roman" w:hAnsi="Times New Roman"/>
          <w:b/>
          <w:noProof/>
        </w:rPr>
        <w:t>EVALWAZZJONI TAL-PROGRESS LEJN L-GĦANIJIET U L-AMBIZZJONI TAL-POLITIKA DWAR L-ENERĠIJA U L-KLIMA GĦALL-2030</w:t>
      </w:r>
    </w:p>
    <w:p w14:paraId="36D3349D" w14:textId="0DC9720A" w:rsidR="005E7F21" w:rsidRPr="001A747C" w:rsidRDefault="005E7F21" w:rsidP="00F67CD2">
      <w:pPr>
        <w:pStyle w:val="ListParagraph"/>
        <w:numPr>
          <w:ilvl w:val="1"/>
          <w:numId w:val="4"/>
        </w:numPr>
        <w:spacing w:before="120" w:after="120" w:line="276" w:lineRule="auto"/>
        <w:jc w:val="both"/>
        <w:rPr>
          <w:rFonts w:ascii="Times New Roman" w:eastAsia="Times New Roman" w:hAnsi="Times New Roman" w:cs="Times New Roman"/>
          <w:b/>
          <w:bCs/>
          <w:i/>
          <w:iCs/>
          <w:noProof/>
        </w:rPr>
      </w:pPr>
      <w:r>
        <w:rPr>
          <w:rFonts w:ascii="Times New Roman" w:hAnsi="Times New Roman"/>
          <w:b/>
          <w:i/>
          <w:noProof/>
        </w:rPr>
        <w:t xml:space="preserve">Dekarbonizzazzjoni </w:t>
      </w:r>
    </w:p>
    <w:p w14:paraId="7E89F0F3" w14:textId="6A24C380" w:rsidR="00626749" w:rsidRPr="003955F0" w:rsidRDefault="00626749" w:rsidP="0023570B">
      <w:pPr>
        <w:spacing w:before="120" w:after="120" w:line="276" w:lineRule="auto"/>
        <w:jc w:val="both"/>
        <w:rPr>
          <w:rFonts w:ascii="Times New Roman" w:hAnsi="Times New Roman" w:cs="Times New Roman"/>
          <w:noProof/>
        </w:rPr>
      </w:pPr>
      <w:r>
        <w:rPr>
          <w:rFonts w:ascii="Times New Roman" w:hAnsi="Times New Roman"/>
          <w:noProof/>
        </w:rPr>
        <w:t>Fl-2022</w:t>
      </w:r>
      <w:r w:rsidRPr="003955F0">
        <w:rPr>
          <w:rStyle w:val="FootnoteReference"/>
          <w:rFonts w:ascii="Times New Roman" w:hAnsi="Times New Roman" w:cs="Times New Roman"/>
          <w:noProof/>
          <w:lang w:val="en-GB"/>
        </w:rPr>
        <w:footnoteReference w:id="48"/>
      </w:r>
      <w:r>
        <w:rPr>
          <w:rFonts w:ascii="Times New Roman" w:hAnsi="Times New Roman"/>
          <w:noProof/>
        </w:rPr>
        <w:t xml:space="preserve">, </w:t>
      </w:r>
      <w:r>
        <w:rPr>
          <w:rFonts w:ascii="Times New Roman" w:hAnsi="Times New Roman"/>
          <w:b/>
          <w:noProof/>
        </w:rPr>
        <w:t>l-emissjonijiet domestiċi netti tal-gassijiet serra,</w:t>
      </w:r>
      <w:r>
        <w:rPr>
          <w:rFonts w:ascii="Times New Roman" w:hAnsi="Times New Roman"/>
          <w:noProof/>
        </w:rPr>
        <w:t xml:space="preserve"> inkluż l-użu tal-art, it-tibdil fl-użu tal-art, u l-forestrija (LULUCF, land-use, land-use change and forestry) u bl-esklużjoni tal-emissjonijiet tat-trasport internazzjonali, </w:t>
      </w:r>
      <w:r>
        <w:rPr>
          <w:rFonts w:ascii="Times New Roman" w:hAnsi="Times New Roman"/>
          <w:b/>
          <w:noProof/>
        </w:rPr>
        <w:t>naqsu b’2,5 % meta mqabbla mal-2021.</w:t>
      </w:r>
      <w:r w:rsidRPr="19378220">
        <w:rPr>
          <w:rStyle w:val="FootnoteReference"/>
          <w:rFonts w:ascii="Times New Roman" w:hAnsi="Times New Roman" w:cs="Times New Roman"/>
          <w:b/>
          <w:bCs/>
          <w:noProof/>
          <w:lang w:val="en-GB"/>
        </w:rPr>
        <w:footnoteReference w:id="49"/>
      </w:r>
      <w:r>
        <w:rPr>
          <w:rFonts w:ascii="Times New Roman" w:hAnsi="Times New Roman"/>
          <w:noProof/>
        </w:rPr>
        <w:t xml:space="preserve"> Dan jissarraf fi tnaqqis fl-emissjonijiet netti ta’ GHG ta’ 32,5 % meta mqabbel mas-sena bażi, l-1990. Matul l-istess perjodu, kien hemm tnaqqis żgħir fl-assorbimenti netti ta’ gassijiet serra mil-LULUCF irrappurtati ta’ 4 miljun tunnellata ta’ ekwivalenti ta’ CO2 meta mqabbel mal-2021.</w:t>
      </w:r>
    </w:p>
    <w:p w14:paraId="1861D6F9" w14:textId="29F889B2" w:rsidR="00847C48" w:rsidRPr="003955F0" w:rsidRDefault="004D7AAF" w:rsidP="0023570B">
      <w:pPr>
        <w:spacing w:before="120" w:after="120" w:line="276" w:lineRule="auto"/>
        <w:jc w:val="both"/>
        <w:rPr>
          <w:rFonts w:ascii="Times New Roman" w:hAnsi="Times New Roman" w:cs="Times New Roman"/>
          <w:noProof/>
          <w:color w:val="000000"/>
        </w:rPr>
      </w:pPr>
      <w:r>
        <w:rPr>
          <w:rFonts w:ascii="Times New Roman" w:hAnsi="Times New Roman"/>
          <w:noProof/>
          <w:color w:val="000000"/>
        </w:rPr>
        <w:t>Għall-emissjonijiet koperti mill-ETS, id-</w:t>
      </w:r>
      <w:r>
        <w:rPr>
          <w:rFonts w:ascii="Times New Roman" w:hAnsi="Times New Roman"/>
          <w:i/>
          <w:iCs/>
          <w:noProof/>
          <w:color w:val="000000"/>
        </w:rPr>
        <w:t>data</w:t>
      </w:r>
      <w:r>
        <w:rPr>
          <w:rFonts w:ascii="Times New Roman" w:hAnsi="Times New Roman"/>
          <w:noProof/>
          <w:color w:val="000000"/>
        </w:rPr>
        <w:t xml:space="preserve"> rrappurtata mill-Istati Membri tal-UE sat-2 ta’ April 2024 turi tnaqqis ta’ 15,5 % fl-emissjonijiet fl-2023, meta mqabbla mal-livelli tal-2022. B’dan l-iżvilupp, l-emissjonijiet tal-ETS issa huma madwar 47 % taħt il-livelli tal-2005 u jinsabu fit-triq it-tajba biex tintlaħaq il-mira għall-2030 ta’ -62 %.</w:t>
      </w:r>
    </w:p>
    <w:p w14:paraId="0CED8D98" w14:textId="6811C6CE" w:rsidR="00626749" w:rsidRPr="00E961F1" w:rsidRDefault="00626749" w:rsidP="0023570B">
      <w:pPr>
        <w:spacing w:before="120" w:after="120" w:line="276" w:lineRule="auto"/>
        <w:jc w:val="both"/>
        <w:rPr>
          <w:rFonts w:ascii="Times New Roman" w:eastAsia="Times New Roman" w:hAnsi="Times New Roman" w:cs="Times New Roman"/>
          <w:noProof/>
          <w:color w:val="000000" w:themeColor="text1"/>
        </w:rPr>
      </w:pPr>
      <w:r>
        <w:rPr>
          <w:rFonts w:ascii="Times New Roman" w:hAnsi="Times New Roman"/>
          <w:noProof/>
          <w:color w:val="000000" w:themeColor="text1"/>
        </w:rPr>
        <w:t xml:space="preserve">Madankollu, il-projezzjonijiet tal-emissjonijiet ta’ gassijiet serra fl-ekonomija kollha, ippreżentati reċentement mill-Istati Membri, huma mistennija juru </w:t>
      </w:r>
      <w:r>
        <w:rPr>
          <w:rFonts w:ascii="Times New Roman" w:hAnsi="Times New Roman"/>
          <w:b/>
          <w:noProof/>
          <w:color w:val="000000" w:themeColor="text1"/>
        </w:rPr>
        <w:t>xi</w:t>
      </w:r>
      <w:r>
        <w:rPr>
          <w:rFonts w:ascii="Times New Roman" w:hAnsi="Times New Roman"/>
          <w:noProof/>
          <w:color w:val="000000" w:themeColor="text1"/>
        </w:rPr>
        <w:t xml:space="preserve"> </w:t>
      </w:r>
      <w:r>
        <w:rPr>
          <w:rFonts w:ascii="Times New Roman" w:hAnsi="Times New Roman"/>
          <w:b/>
          <w:noProof/>
          <w:color w:val="000000" w:themeColor="text1"/>
        </w:rPr>
        <w:t>diskrepanza mal-ambizzjoni klimatika tal-UE</w:t>
      </w:r>
      <w:r>
        <w:rPr>
          <w:rFonts w:ascii="Times New Roman" w:hAnsi="Times New Roman"/>
          <w:noProof/>
          <w:color w:val="000000" w:themeColor="text1"/>
        </w:rPr>
        <w:t>. Sabiex tibqa’ konformi mal-mira tal-UE għat-tnaqqis sal-2030 u n-newtralità klimatika sal-2050, jeħtieġ li l-UE tħaffef ir-ritmu tal-bidla u żżid l-enfasi fuq l-oqsma fejn it-tnaqqis meħtieġ tal-emissjonijiet huwa sinifikanti (eż. il-bini u t-trasport) u treġġa’ lura x-xejra ta’ tnaqqis tal-bir nett tal-LULUCF. Il-</w:t>
      </w:r>
      <w:r>
        <w:rPr>
          <w:rFonts w:ascii="Times New Roman" w:hAnsi="Times New Roman"/>
          <w:b/>
          <w:noProof/>
          <w:color w:val="000000" w:themeColor="text1"/>
        </w:rPr>
        <w:t>Liġi dwar ir-Restawr tan-Natura</w:t>
      </w:r>
      <w:r>
        <w:rPr>
          <w:rFonts w:ascii="Times New Roman" w:hAnsi="Times New Roman"/>
          <w:noProof/>
          <w:color w:val="000000" w:themeColor="text1"/>
        </w:rPr>
        <w:t xml:space="preserve"> u l-implimentazzjoni tagħha huma kritiċi biex tiġi żgurata l-kisba tal-miri tal-LULUCF, li huma essenzjali biex jitneħħew l-emissjonijiet inevitabbli minn setturi diffiċli sabiex jitrażżnu, u biex jitjieb l-adattament.</w:t>
      </w:r>
    </w:p>
    <w:p w14:paraId="425D1F6D" w14:textId="77E836DF" w:rsidR="00D475CA" w:rsidRPr="003955F0" w:rsidRDefault="00D475CA" w:rsidP="0023570B">
      <w:pPr>
        <w:spacing w:before="120" w:after="120" w:line="276" w:lineRule="auto"/>
        <w:jc w:val="both"/>
        <w:rPr>
          <w:rFonts w:ascii="Times New Roman" w:hAnsi="Times New Roman" w:cs="Times New Roman"/>
          <w:noProof/>
          <w:color w:val="000000"/>
        </w:rPr>
      </w:pPr>
      <w:r>
        <w:rPr>
          <w:rFonts w:ascii="Times New Roman" w:hAnsi="Times New Roman"/>
          <w:noProof/>
          <w:color w:val="000000" w:themeColor="text1"/>
        </w:rPr>
        <w:t>Il-valutazzjoni tal-abbozzi tal-NECPs aġġornati f’Diċembru 2023 turi li l-Istati Membri ħadu pass fid-direzzjoni t-tajba, iżda dan għadu mhuwiex biżżejjed biex l-emissjonijiet netti ta’ gassijiet serra jitnaqqsu b’mill-inqas 55 % sal-2030. L-abbozzi tal-NECPs aġġornati jwasslu għal tnaqqis tal-emissjonijiet ta’ gassijiet serra ta’ -51 %, distakk ta’ 4 punti perċentwali. Dan huwa rifless ukoll fid-diskrepanzi lejn il-miri għall-2030 tal-Kondiviżjoni tal-Isforzi u tat-Tibdil fl-Użu tal-Art u l-Forestrija, li juru l-ħtieġa għal miżuri u implimentazzjoni aktar robusti fl-NECPs finali biex jibqgħu fit-triq it-tajba lejn l-2030. Barra minn hekk, ftit Stati Membri biss inkludew fl-abbozzi tal-NECPs aġġornati tagħhom pjanijiet dettaljati biex jikkunsidraw l-adattament għat-tibdil fil-klima fil-kuntest tar-reżiljenza tas-sistemi tal-enerġija tagħhom.</w:t>
      </w:r>
    </w:p>
    <w:p w14:paraId="6137AC45" w14:textId="7D44B530" w:rsidR="005E7F21" w:rsidRPr="003955F0" w:rsidRDefault="00251663" w:rsidP="0023570B">
      <w:pPr>
        <w:spacing w:before="120" w:after="120" w:line="276" w:lineRule="auto"/>
        <w:jc w:val="both"/>
        <w:rPr>
          <w:rFonts w:ascii="Times New Roman" w:eastAsia="Times New Roman" w:hAnsi="Times New Roman" w:cs="Times New Roman"/>
          <w:noProof/>
          <w:color w:val="000000" w:themeColor="text1"/>
        </w:rPr>
      </w:pPr>
      <w:r>
        <w:rPr>
          <w:rFonts w:ascii="Times New Roman" w:hAnsi="Times New Roman"/>
          <w:noProof/>
        </w:rPr>
        <w:t>Fl-2022</w:t>
      </w:r>
      <w:r w:rsidR="00D45240">
        <w:rPr>
          <w:rStyle w:val="FootnoteReference"/>
          <w:rFonts w:ascii="Times New Roman" w:eastAsia="Times New Roman" w:hAnsi="Times New Roman" w:cs="Times New Roman"/>
          <w:noProof/>
          <w:lang w:val="en-GB"/>
        </w:rPr>
        <w:footnoteReference w:id="50"/>
      </w:r>
      <w:r>
        <w:rPr>
          <w:rFonts w:ascii="Times New Roman" w:hAnsi="Times New Roman"/>
          <w:noProof/>
        </w:rPr>
        <w:t xml:space="preserve">, l-UE laħqet sehem ta’ </w:t>
      </w:r>
      <w:r>
        <w:rPr>
          <w:rFonts w:ascii="Times New Roman" w:hAnsi="Times New Roman"/>
          <w:b/>
          <w:noProof/>
        </w:rPr>
        <w:t>23,0 %</w:t>
      </w:r>
      <w:r>
        <w:rPr>
          <w:rFonts w:ascii="Times New Roman" w:hAnsi="Times New Roman"/>
          <w:noProof/>
        </w:rPr>
        <w:t xml:space="preserve"> </w:t>
      </w:r>
      <w:r>
        <w:rPr>
          <w:rFonts w:ascii="Times New Roman" w:hAnsi="Times New Roman"/>
          <w:b/>
          <w:noProof/>
        </w:rPr>
        <w:t>tal-enerġija rinnovabbli</w:t>
      </w:r>
      <w:r>
        <w:rPr>
          <w:rFonts w:ascii="Times New Roman" w:hAnsi="Times New Roman"/>
          <w:noProof/>
        </w:rPr>
        <w:t xml:space="preserve"> fil-konsum finali gross tal-enerġija, żieda ta’ 1,1 punti perċentwali meta </w:t>
      </w:r>
      <w:r>
        <w:rPr>
          <w:rFonts w:ascii="Times New Roman" w:hAnsi="Times New Roman"/>
          <w:b/>
          <w:noProof/>
        </w:rPr>
        <w:t>mqabbla mal-2021</w:t>
      </w:r>
      <w:r>
        <w:rPr>
          <w:rFonts w:ascii="Times New Roman" w:hAnsi="Times New Roman"/>
          <w:noProof/>
        </w:rPr>
        <w:t xml:space="preserve"> (21,9 %).</w:t>
      </w:r>
      <w:r w:rsidRPr="003955F0">
        <w:rPr>
          <w:rStyle w:val="FootnoteReference"/>
          <w:rFonts w:ascii="Times New Roman" w:eastAsia="Times New Roman" w:hAnsi="Times New Roman" w:cs="Times New Roman"/>
          <w:noProof/>
          <w:lang w:val="en-GB"/>
        </w:rPr>
        <w:footnoteReference w:id="51"/>
      </w:r>
      <w:r>
        <w:rPr>
          <w:rFonts w:ascii="Times New Roman" w:hAnsi="Times New Roman"/>
          <w:noProof/>
        </w:rPr>
        <w:t xml:space="preserve"> </w:t>
      </w:r>
      <w:r>
        <w:rPr>
          <w:rFonts w:ascii="Times New Roman" w:hAnsi="Times New Roman"/>
          <w:noProof/>
          <w:color w:val="000000" w:themeColor="text1"/>
        </w:rPr>
        <w:t>Fil-kuntest tal-perkors lejn l-2030, is-sehem tal-2022 huwa kemxejn ogħla mis-sehem tat-trajettorja vinkolanti interim ta’ 22,2 % għall-2022</w:t>
      </w:r>
      <w:r>
        <w:rPr>
          <w:rFonts w:ascii="Times New Roman" w:hAnsi="Times New Roman"/>
          <w:noProof/>
          <w:color w:val="000000" w:themeColor="text1"/>
          <w:vertAlign w:val="superscript"/>
        </w:rPr>
        <w:t xml:space="preserve"> </w:t>
      </w:r>
      <w:r>
        <w:rPr>
          <w:rFonts w:ascii="Times New Roman" w:hAnsi="Times New Roman"/>
          <w:noProof/>
          <w:color w:val="000000" w:themeColor="text1"/>
        </w:rPr>
        <w:t>abbażi tal-mira preċedenti ta’ 32 % għall-2030</w:t>
      </w:r>
      <w:r w:rsidRPr="003955F0">
        <w:rPr>
          <w:rStyle w:val="FootnoteReference"/>
          <w:rFonts w:ascii="Times New Roman" w:eastAsia="Times New Roman" w:hAnsi="Times New Roman" w:cs="Times New Roman"/>
          <w:noProof/>
          <w:color w:val="000000" w:themeColor="text1"/>
          <w:lang w:val="en-GB"/>
        </w:rPr>
        <w:footnoteReference w:id="52"/>
      </w:r>
      <w:r>
        <w:rPr>
          <w:rFonts w:ascii="Times New Roman" w:hAnsi="Times New Roman"/>
          <w:noProof/>
          <w:color w:val="000000" w:themeColor="text1"/>
        </w:rPr>
        <w:t>.</w:t>
      </w:r>
    </w:p>
    <w:p w14:paraId="2FD8B18D" w14:textId="3370E092" w:rsidR="005E7F21" w:rsidRPr="003955F0" w:rsidRDefault="005E7F21" w:rsidP="0023570B">
      <w:pPr>
        <w:spacing w:before="120" w:after="120" w:line="276" w:lineRule="auto"/>
        <w:jc w:val="both"/>
        <w:rPr>
          <w:rFonts w:ascii="Times New Roman" w:eastAsia="Times New Roman" w:hAnsi="Times New Roman" w:cs="Times New Roman"/>
          <w:noProof/>
          <w:color w:val="000000" w:themeColor="text1"/>
          <w:highlight w:val="cyan"/>
        </w:rPr>
      </w:pPr>
      <w:r>
        <w:rPr>
          <w:rFonts w:ascii="Times New Roman" w:hAnsi="Times New Roman"/>
          <w:noProof/>
          <w:color w:val="000000" w:themeColor="text1"/>
        </w:rPr>
        <w:t>Bħala medja, is-sehem kumplessiv tal-enerġija rinnovabbli żdied b’0,7 punt perċentwali fis-sena matul l-aħħar 10 snin. Il-progress kien b’saħħtu fis-</w:t>
      </w:r>
      <w:r>
        <w:rPr>
          <w:rFonts w:ascii="Times New Roman" w:hAnsi="Times New Roman"/>
          <w:b/>
          <w:noProof/>
          <w:color w:val="000000" w:themeColor="text1"/>
        </w:rPr>
        <w:t>settur tal-elettriku</w:t>
      </w:r>
      <w:r>
        <w:rPr>
          <w:rFonts w:ascii="Times New Roman" w:hAnsi="Times New Roman"/>
          <w:noProof/>
          <w:color w:val="000000" w:themeColor="text1"/>
        </w:rPr>
        <w:t>, b’żieda fis-sehem tas-sorsi rinnovabbli minn 25,1 % fl-2012 għal 41,2 % fl-2022. Il-progress fit-</w:t>
      </w:r>
      <w:r>
        <w:rPr>
          <w:rFonts w:ascii="Times New Roman" w:hAnsi="Times New Roman"/>
          <w:b/>
          <w:noProof/>
          <w:color w:val="000000" w:themeColor="text1"/>
        </w:rPr>
        <w:t xml:space="preserve">tisħin u t-tkessiħ </w:t>
      </w:r>
      <w:r>
        <w:rPr>
          <w:rFonts w:ascii="Times New Roman" w:hAnsi="Times New Roman"/>
          <w:noProof/>
          <w:color w:val="000000" w:themeColor="text1"/>
        </w:rPr>
        <w:t>(minn 18,6 % għal 24,9 %)</w:t>
      </w:r>
      <w:r>
        <w:rPr>
          <w:rFonts w:ascii="Times New Roman" w:hAnsi="Times New Roman"/>
          <w:b/>
          <w:noProof/>
          <w:color w:val="000000" w:themeColor="text1"/>
        </w:rPr>
        <w:t xml:space="preserve"> u fit-trasport</w:t>
      </w:r>
      <w:r>
        <w:rPr>
          <w:rFonts w:ascii="Times New Roman" w:hAnsi="Times New Roman"/>
          <w:noProof/>
          <w:color w:val="000000" w:themeColor="text1"/>
        </w:rPr>
        <w:t xml:space="preserve"> (minn 5,8 % għal 9,6 %) kien aktar modest. Il-mira l-ġdida tal-UE għall-2030 ta’ 42,5 % (u aktar u aktar il-mira ta’ aspirazzjoni ta’ 45 %) se tkun teħtieġ tkabbir ħafna aktar mgħaġġel fis-snin li ġejjin. Il-valutazzjoni tal-Kummissjoni tal-abbozzi tal-NECPs aġġornati identifikat diskrepanza fl-ambizzjoni fil-konsum tal-enerġija rinnovabbli sal-2030, b’kontributi ta’ 3–4 punti perċentwali aktar baxxi mill-mira vinkolanti riveduta tal-UE ta’ 42,5 %</w:t>
      </w:r>
      <w:r w:rsidR="00091DDF">
        <w:rPr>
          <w:rStyle w:val="FootnoteReference"/>
          <w:rFonts w:ascii="Times New Roman" w:eastAsia="Times New Roman" w:hAnsi="Times New Roman" w:cs="Times New Roman"/>
          <w:noProof/>
          <w:color w:val="000000" w:themeColor="text1"/>
          <w:lang w:val="en-GB"/>
        </w:rPr>
        <w:footnoteReference w:id="53"/>
      </w:r>
      <w:r>
        <w:rPr>
          <w:rFonts w:ascii="Times New Roman" w:hAnsi="Times New Roman"/>
          <w:noProof/>
          <w:color w:val="000000" w:themeColor="text1"/>
        </w:rPr>
        <w:t xml:space="preserve">. </w:t>
      </w:r>
    </w:p>
    <w:p w14:paraId="272049F0" w14:textId="29254C8B" w:rsidR="005E7F21" w:rsidRPr="003955F0" w:rsidRDefault="005E7F21" w:rsidP="003955F0">
      <w:pPr>
        <w:spacing w:before="120" w:after="120" w:line="276" w:lineRule="auto"/>
        <w:jc w:val="both"/>
        <w:rPr>
          <w:rFonts w:ascii="Times New Roman" w:eastAsia="Times New Roman" w:hAnsi="Times New Roman" w:cs="Times New Roman"/>
          <w:noProof/>
          <w:highlight w:val="cyan"/>
        </w:rPr>
      </w:pPr>
      <w:r>
        <w:rPr>
          <w:rFonts w:ascii="Times New Roman" w:hAnsi="Times New Roman"/>
          <w:noProof/>
        </w:rPr>
        <w:t xml:space="preserve">L-ishma tal-enerġija rinnovabbli fl-2022 għadhom ivarjaw ħafna bejn l-Istati Membri, u dan jirrifletti l-pożizzjonijiet inizjali u l-miri nazzjonali differenti stabbiliti għal kull Stat Membru fid-Direttiva dwar l-Enerġija Rinnovabbli oriġinali u l-kontributi nazzjonali stabbiliti fil-pjanijiet nazzjonali għall-enerġija u l-klima. L-Iżvezja kisbet l-akbar sehem ta’ enerġija rinnovabbli fl-2022 (66 %), segwita mill-Finlandja (47,9 %), il-Latvja (43,3 %) u d-Danimarka (41,6 %). B’ishma ta’ inqas minn 14 %, il-Belġju, l-Irlanda, il-Lussemburgu u Malta kellhom l-iżgħar ishma. </w:t>
      </w:r>
    </w:p>
    <w:p w14:paraId="1CC13C41" w14:textId="64A55F3E" w:rsidR="005E7F21" w:rsidRPr="003955F0" w:rsidRDefault="005E7F21" w:rsidP="003955F0">
      <w:pPr>
        <w:spacing w:before="120" w:after="120" w:line="276" w:lineRule="auto"/>
        <w:jc w:val="both"/>
        <w:rPr>
          <w:rFonts w:ascii="Times New Roman" w:eastAsia="Times New Roman" w:hAnsi="Times New Roman" w:cs="Times New Roman"/>
          <w:noProof/>
        </w:rPr>
      </w:pPr>
      <w:r>
        <w:rPr>
          <w:rFonts w:ascii="Times New Roman" w:hAnsi="Times New Roman"/>
          <w:noProof/>
        </w:rPr>
        <w:t xml:space="preserve">Meta wieħed iqis kemm il-konsum nazzjonali kif ukoll it-trasferimenti statistiċi notifikati bħalissa, tliet </w:t>
      </w:r>
      <w:r>
        <w:rPr>
          <w:rFonts w:ascii="Times New Roman" w:hAnsi="Times New Roman"/>
          <w:b/>
          <w:noProof/>
        </w:rPr>
        <w:t>Stati Membri kellhom sehem fl-2022 li kien għadu taħt il-mira vinkolanti tagħhom tal-enerġija rinnovabbli għall-2020 skont id-Direttiva oriġinali dwar l-Enerġija Rinnovabbli: Franza (2,7 punti perċentwali inqas mill-mira tal-2020), l-Irlanda (2 pp) u l-Awstrija (0,2 pp).</w:t>
      </w:r>
      <w:r>
        <w:rPr>
          <w:rFonts w:ascii="Times New Roman" w:hAnsi="Times New Roman"/>
          <w:noProof/>
        </w:rPr>
        <w:t xml:space="preserve"> Għaldaqstant, dawn l-Istati Membri se jkollhom jieħdu, fi żmien sena, miżuri addizzjonali sabiex ikopru d-distakk fis-sena li ġejja</w:t>
      </w:r>
      <w:r w:rsidR="00791B5B" w:rsidRPr="003955F0">
        <w:rPr>
          <w:rStyle w:val="FootnoteReference"/>
          <w:rFonts w:ascii="Times New Roman" w:eastAsia="Times New Roman" w:hAnsi="Times New Roman" w:cs="Times New Roman"/>
          <w:noProof/>
          <w:lang w:val="en-GB"/>
        </w:rPr>
        <w:footnoteReference w:id="54"/>
      </w:r>
      <w:r>
        <w:rPr>
          <w:rFonts w:ascii="Times New Roman" w:hAnsi="Times New Roman"/>
          <w:noProof/>
        </w:rPr>
        <w:t xml:space="preserve">. Barra minn hekk, diversi Stati Membri </w:t>
      </w:r>
      <w:r>
        <w:rPr>
          <w:rFonts w:ascii="Times New Roman" w:hAnsi="Times New Roman"/>
          <w:b/>
          <w:noProof/>
        </w:rPr>
        <w:t>ma ssodisfawx il-punt ta’ referenza tagħhom għas-sena 2022</w:t>
      </w:r>
      <w:r w:rsidR="00175718" w:rsidRPr="003955F0">
        <w:rPr>
          <w:rStyle w:val="FootnoteReference"/>
          <w:rFonts w:ascii="Times New Roman" w:eastAsia="Times New Roman" w:hAnsi="Times New Roman" w:cs="Times New Roman"/>
          <w:b/>
          <w:bCs/>
          <w:noProof/>
          <w:lang w:val="en-GB"/>
        </w:rPr>
        <w:footnoteReference w:id="55"/>
      </w:r>
      <w:r>
        <w:rPr>
          <w:rFonts w:ascii="Times New Roman" w:hAnsi="Times New Roman"/>
          <w:noProof/>
        </w:rPr>
        <w:t>. Dawk l-Istati Membri huma mistennija jispjegaw fir-rapport ta’ progress integrat tagħhom li jmiss kif biħsiebhom inaqqsu d-distakk.</w:t>
      </w:r>
    </w:p>
    <w:p w14:paraId="49BEF8FB" w14:textId="4DDC6931" w:rsidR="005E7F21" w:rsidRPr="003955F0" w:rsidRDefault="005E7F21" w:rsidP="003955F0">
      <w:pPr>
        <w:spacing w:before="120" w:after="120" w:line="276" w:lineRule="auto"/>
        <w:jc w:val="both"/>
        <w:rPr>
          <w:rFonts w:ascii="Times New Roman" w:eastAsia="Times New Roman" w:hAnsi="Times New Roman" w:cs="Times New Roman"/>
          <w:noProof/>
          <w:color w:val="000000" w:themeColor="text1"/>
        </w:rPr>
      </w:pPr>
      <w:r>
        <w:rPr>
          <w:rFonts w:ascii="Times New Roman" w:hAnsi="Times New Roman"/>
          <w:noProof/>
          <w:color w:val="000000" w:themeColor="text1"/>
        </w:rPr>
        <w:t xml:space="preserve">Il-Kummissjoni bħalissa qed torganizza t-tieni sejħa għal proposti taħt </w:t>
      </w:r>
      <w:r>
        <w:rPr>
          <w:rFonts w:ascii="Times New Roman" w:hAnsi="Times New Roman"/>
          <w:b/>
          <w:noProof/>
          <w:color w:val="000000" w:themeColor="text1"/>
        </w:rPr>
        <w:t>il-mekkaniżmu ta’ finanzjament tal-enerġija rinnovabbli tal-UE</w:t>
      </w:r>
      <w:r>
        <w:rPr>
          <w:rFonts w:ascii="Times New Roman" w:hAnsi="Times New Roman"/>
          <w:noProof/>
          <w:color w:val="000000" w:themeColor="text1"/>
        </w:rPr>
        <w:t>. Il-Lussemburgu se jerġa’ jipparteċipa bħala l-pajjiż kontribwenti li jinvesti mill-ġdid it-EUR 12,5 miljun mhux żborżati tal-impenn preċedenti tiegħu u se jżid EUR 40 miljun oħra fil-mekkaniżmu. Il-pajjiżi ospitanti huma l-Finlandja li se tospita proġetti fotovoltajċi solari, u l-Estonja li se tospita proġetti tal-enerġija mir-riħ fuq l-art.</w:t>
      </w:r>
    </w:p>
    <w:p w14:paraId="1BCDB33F" w14:textId="25A7A87B" w:rsidR="00752829" w:rsidRPr="003955F0" w:rsidRDefault="00752829" w:rsidP="003955F0">
      <w:pPr>
        <w:spacing w:before="120" w:after="120" w:line="276" w:lineRule="auto"/>
        <w:jc w:val="both"/>
        <w:rPr>
          <w:rFonts w:ascii="Times New Roman" w:hAnsi="Times New Roman" w:cs="Times New Roman"/>
          <w:noProof/>
          <w:color w:val="000000"/>
        </w:rPr>
      </w:pPr>
      <w:r>
        <w:rPr>
          <w:rFonts w:ascii="Times New Roman" w:hAnsi="Times New Roman"/>
          <w:noProof/>
          <w:color w:val="000000" w:themeColor="text1"/>
        </w:rPr>
        <w:t>Mill-2021 ’l hawn, il-</w:t>
      </w:r>
      <w:r>
        <w:rPr>
          <w:rFonts w:ascii="Times New Roman" w:hAnsi="Times New Roman"/>
          <w:b/>
          <w:noProof/>
          <w:color w:val="000000" w:themeColor="text1"/>
        </w:rPr>
        <w:t xml:space="preserve">FNE għall-Enerġija </w:t>
      </w:r>
      <w:r>
        <w:rPr>
          <w:rFonts w:ascii="Times New Roman" w:hAnsi="Times New Roman"/>
          <w:noProof/>
          <w:color w:val="000000" w:themeColor="text1"/>
        </w:rPr>
        <w:t>għandha</w:t>
      </w:r>
      <w:r>
        <w:rPr>
          <w:rFonts w:ascii="Times New Roman" w:hAnsi="Times New Roman"/>
          <w:b/>
          <w:noProof/>
          <w:color w:val="000000" w:themeColor="text1"/>
        </w:rPr>
        <w:t xml:space="preserve"> tieqa ddedikata għal proġetti transfruntiera tal-enerġija rinnovabbli</w:t>
      </w:r>
      <w:r>
        <w:rPr>
          <w:rFonts w:ascii="Times New Roman" w:hAnsi="Times New Roman"/>
          <w:noProof/>
          <w:color w:val="000000" w:themeColor="text1"/>
        </w:rPr>
        <w:t xml:space="preserve"> (CB-RES, cross-border renewable energy projects). Fl-2023, il-Kummissjoni organizzat żewġ sejħiet għal proposti biex taġġorna l-lista CB-RES u biex tikkofinanzja xogħlijiet u studji. L-evalwazzjoni ta’ dawn is-sejħiet għal proposti għadha għaddejja, iżda l-għadd dejjem jikber ta’ applikazzjonijiet jindika żieda fl-adozzjoni tal-programm.</w:t>
      </w:r>
    </w:p>
    <w:p w14:paraId="7BF9E89D" w14:textId="1995F3F7" w:rsidR="00DC10D0" w:rsidRDefault="00095D1A" w:rsidP="003955F0">
      <w:pPr>
        <w:spacing w:before="120" w:after="120" w:line="276" w:lineRule="auto"/>
        <w:jc w:val="both"/>
        <w:rPr>
          <w:rFonts w:ascii="Times New Roman" w:hAnsi="Times New Roman" w:cs="Times New Roman"/>
          <w:noProof/>
          <w:color w:val="000000" w:themeColor="text1"/>
        </w:rPr>
      </w:pPr>
      <w:r>
        <w:rPr>
          <w:rFonts w:ascii="Times New Roman" w:hAnsi="Times New Roman"/>
          <w:noProof/>
          <w:color w:val="000000" w:themeColor="text1"/>
        </w:rPr>
        <w:t>Fis-settur tat-trasport, ir-Regolamenti ReFuelEU Aviation u FuelEU Maritime ġew adottati fi tmiem l-2023, li se jissostitwixxu l-fjuwils fossili bi fjuwils rinnovabbli u fjuwils b’livell baxx ta’ emissjonijiet tal-karbonju u se jiddekarbonizzaw dawk iż-żewġ setturi tat-trasport diffiċli sabiex jitrażżnu. Fl-2022 il-Kummissjoni nediet ukoll l-Alleanza Industrijali tal-Katina tal-Valur tal-Fjuwils Rinnovabbli u b’Livell Baxx ta’ Emissjonijiet tal-Karbonju, li hija inizjattiva ġdida ddedikata għall-avvanz tal-produzzjoni u l-provvista ta’ dawk il-fjuwils li għalihom is-swieq jinsabu fi stadju bikri ta’ maturità u jeħtieġu investiment sostantiv biex jilħqu l-miri mill-2030 ’il quddiem.</w:t>
      </w:r>
    </w:p>
    <w:p w14:paraId="0C8F8BAF" w14:textId="7CCB36FA" w:rsidR="00DC10D0" w:rsidRDefault="00DC10D0" w:rsidP="00DC10D0">
      <w:pPr>
        <w:spacing w:before="120" w:after="120" w:line="276" w:lineRule="auto"/>
        <w:jc w:val="both"/>
        <w:rPr>
          <w:rFonts w:ascii="Times New Roman" w:eastAsia="Times New Roman" w:hAnsi="Times New Roman" w:cs="Times New Roman"/>
          <w:noProof/>
          <w:color w:val="000000" w:themeColor="text1"/>
        </w:rPr>
      </w:pPr>
      <w:r>
        <w:rPr>
          <w:rFonts w:ascii="Times New Roman" w:hAnsi="Times New Roman"/>
          <w:noProof/>
          <w:color w:val="000000" w:themeColor="text1"/>
        </w:rPr>
        <w:t>Ir-reviżjoni miftiehma tad-</w:t>
      </w:r>
      <w:r>
        <w:rPr>
          <w:rFonts w:ascii="Times New Roman" w:hAnsi="Times New Roman"/>
          <w:b/>
          <w:noProof/>
          <w:color w:val="000000" w:themeColor="text1"/>
        </w:rPr>
        <w:t>Direttiva dwar it-Trattament tal-Ilma Urban Mormi (UWWTD, Urban Wastewater Treatment Directive)</w:t>
      </w:r>
      <w:r>
        <w:rPr>
          <w:rFonts w:ascii="Times New Roman" w:hAnsi="Times New Roman"/>
          <w:noProof/>
          <w:color w:val="000000" w:themeColor="text1"/>
        </w:rPr>
        <w:t xml:space="preserve"> tinkludi objettiv legalment vinkolanti biex tintlaħaq in-newtralità enerġetika</w:t>
      </w:r>
      <w:r>
        <w:rPr>
          <w:rStyle w:val="FootnoteReference"/>
          <w:rFonts w:ascii="Times New Roman" w:eastAsia="Times New Roman" w:hAnsi="Times New Roman" w:cs="Times New Roman"/>
          <w:noProof/>
          <w:color w:val="000000" w:themeColor="text1"/>
          <w:lang w:val="en-GB"/>
        </w:rPr>
        <w:footnoteReference w:id="56"/>
      </w:r>
      <w:r>
        <w:rPr>
          <w:rFonts w:ascii="Times New Roman" w:hAnsi="Times New Roman"/>
          <w:noProof/>
          <w:color w:val="000000" w:themeColor="text1"/>
        </w:rPr>
        <w:t xml:space="preserve"> għas-settur sal-2045 b’miri interim. </w:t>
      </w:r>
    </w:p>
    <w:p w14:paraId="148CAB27" w14:textId="579BCA78" w:rsidR="00D0002C" w:rsidRPr="00F827D4" w:rsidRDefault="009C1D31" w:rsidP="00DC10D0">
      <w:pPr>
        <w:spacing w:before="120" w:after="120" w:line="276" w:lineRule="auto"/>
        <w:jc w:val="both"/>
        <w:rPr>
          <w:rFonts w:ascii="Times New Roman" w:eastAsia="Times New Roman" w:hAnsi="Times New Roman" w:cs="Times New Roman"/>
          <w:noProof/>
          <w:color w:val="000000" w:themeColor="text1"/>
        </w:rPr>
      </w:pPr>
      <w:r>
        <w:rPr>
          <w:rFonts w:ascii="Times New Roman" w:hAnsi="Times New Roman"/>
          <w:noProof/>
          <w:color w:val="000000" w:themeColor="text1"/>
        </w:rPr>
        <w:t>F’Mejju 2024, ġie adottat ir-</w:t>
      </w:r>
      <w:r>
        <w:rPr>
          <w:rFonts w:ascii="Times New Roman" w:hAnsi="Times New Roman"/>
          <w:b/>
          <w:noProof/>
          <w:color w:val="000000" w:themeColor="text1"/>
        </w:rPr>
        <w:t>Regolament il-ġdid dwar il-Metan</w:t>
      </w:r>
      <w:r>
        <w:rPr>
          <w:rFonts w:ascii="Times New Roman" w:hAnsi="Times New Roman"/>
          <w:noProof/>
          <w:color w:val="000000" w:themeColor="text1"/>
        </w:rPr>
        <w:t>, li introduċa rekwiżiti ġodda dwar il-kejl, ir-rappurtar u l-verifika tal-emissjonijiet tal-metan fis-settur tal-enerġija.</w:t>
      </w:r>
    </w:p>
    <w:p w14:paraId="6806F47A" w14:textId="77777777" w:rsidR="005E7F21" w:rsidRPr="003955F0" w:rsidRDefault="005E7F21" w:rsidP="003955F0">
      <w:pPr>
        <w:spacing w:before="120" w:after="120" w:line="276" w:lineRule="auto"/>
        <w:jc w:val="both"/>
        <w:rPr>
          <w:rFonts w:ascii="Times New Roman" w:eastAsia="Times New Roman" w:hAnsi="Times New Roman" w:cs="Times New Roman"/>
          <w:b/>
          <w:bCs/>
          <w:i/>
          <w:iCs/>
          <w:noProof/>
        </w:rPr>
      </w:pPr>
      <w:r>
        <w:rPr>
          <w:rFonts w:ascii="Times New Roman" w:hAnsi="Times New Roman"/>
          <w:b/>
          <w:i/>
          <w:noProof/>
        </w:rPr>
        <w:t>Effiċjenza enerġetika</w:t>
      </w:r>
    </w:p>
    <w:p w14:paraId="7099EF86" w14:textId="30187E5E" w:rsidR="005B47FA" w:rsidRPr="003955F0" w:rsidRDefault="005E7F21" w:rsidP="003955F0">
      <w:pPr>
        <w:spacing w:before="120" w:after="120" w:line="276" w:lineRule="auto"/>
        <w:jc w:val="both"/>
        <w:rPr>
          <w:rFonts w:ascii="Times New Roman" w:eastAsia="Times New Roman" w:hAnsi="Times New Roman" w:cs="Times New Roman"/>
          <w:noProof/>
        </w:rPr>
      </w:pPr>
      <w:r>
        <w:rPr>
          <w:rFonts w:ascii="Times New Roman" w:hAnsi="Times New Roman"/>
          <w:noProof/>
        </w:rPr>
        <w:t>L-UE laħqet il-miri tal-</w:t>
      </w:r>
      <w:r>
        <w:rPr>
          <w:rFonts w:ascii="Times New Roman" w:hAnsi="Times New Roman"/>
          <w:b/>
          <w:noProof/>
        </w:rPr>
        <w:t>effiċjenza enerġetika</w:t>
      </w:r>
      <w:r>
        <w:rPr>
          <w:rFonts w:ascii="Times New Roman" w:hAnsi="Times New Roman"/>
          <w:noProof/>
        </w:rPr>
        <w:t xml:space="preserve"> għall-2020, kemm f’termini ta’ konsum primarju tal-enerġija kif ukoll ta’ konsum finali tal-enerġija. </w:t>
      </w:r>
      <w:r>
        <w:rPr>
          <w:rFonts w:ascii="Times New Roman" w:hAnsi="Times New Roman"/>
          <w:b/>
          <w:noProof/>
        </w:rPr>
        <w:t>Wara rkupru konsiderevoli fl-2021 hekk kif l-ekonomija Ewropea kienet qed toħroġ mil-lockdown, fl-2022 l-UE rnexxielha turi tnaqqis sistemiku fil-konsum tal-enerġija tagħha</w:t>
      </w:r>
      <w:r>
        <w:rPr>
          <w:rFonts w:ascii="Times New Roman" w:hAnsi="Times New Roman"/>
          <w:noProof/>
        </w:rPr>
        <w:t xml:space="preserve"> konsistenti max-xejra ’l isfel tal-aħħar 15-il sena, li jirrifletti wkoll l-isforz kollettiv tal-UE biex tnaqqas id-domanda għall-enerġija wara l-gwerra ta’ aggressjoni tar-Russja kontra l-Ukrajna.</w:t>
      </w:r>
    </w:p>
    <w:p w14:paraId="725AE9CB" w14:textId="451D6706" w:rsidR="005E7F21" w:rsidRPr="003955F0" w:rsidRDefault="005E7F21" w:rsidP="003955F0">
      <w:pPr>
        <w:spacing w:before="120" w:after="120" w:line="276" w:lineRule="auto"/>
        <w:jc w:val="both"/>
        <w:rPr>
          <w:rFonts w:ascii="Times New Roman" w:eastAsia="Times New Roman" w:hAnsi="Times New Roman" w:cs="Times New Roman"/>
          <w:b/>
          <w:bCs/>
          <w:noProof/>
        </w:rPr>
      </w:pPr>
      <w:r>
        <w:rPr>
          <w:rFonts w:ascii="Times New Roman" w:hAnsi="Times New Roman"/>
          <w:noProof/>
        </w:rPr>
        <w:t xml:space="preserve">Fl-2022, il-konsum primarju tal-enerġija fl-UE laħaq 1 257 miljun tunnellata tal-ekwivalenti taż-żejt (Mtoe), tnaqqis ta’ 4,1 % meta mqabbel mal-2021, </w:t>
      </w:r>
      <w:r>
        <w:rPr>
          <w:rFonts w:ascii="Times New Roman" w:hAnsi="Times New Roman"/>
          <w:b/>
          <w:noProof/>
        </w:rPr>
        <w:t>u mexa eqreb lejn il-mira l-ġdida għall-2030 ta’ 992,5 Mtoe bid-distakk li jonqos għal 26,7 % mill-mira għall-2030.</w:t>
      </w:r>
    </w:p>
    <w:p w14:paraId="28D4DC52" w14:textId="4E6EE1EE" w:rsidR="005E7F21" w:rsidRDefault="005E7F21" w:rsidP="003955F0">
      <w:pPr>
        <w:spacing w:before="120" w:after="120" w:line="276" w:lineRule="auto"/>
        <w:jc w:val="both"/>
        <w:rPr>
          <w:rFonts w:ascii="Times New Roman" w:eastAsia="Times New Roman" w:hAnsi="Times New Roman" w:cs="Times New Roman"/>
          <w:noProof/>
        </w:rPr>
      </w:pPr>
      <w:r>
        <w:rPr>
          <w:rFonts w:ascii="Times New Roman" w:hAnsi="Times New Roman"/>
          <w:noProof/>
        </w:rPr>
        <w:t>Il-konsum finali tal-enerġija laħaq 940 Mtoe fl-2022, tnaqqis ta’ 2,8 % meta mqabbel mal-2021. Fl-2022, il-konsum finali tal-enerġija kien 23,3 % lil hinn mill-mira l-ġdida għall-2030 (763 Mtoe). L-isforzi tal-effiċjenza enerġetika se jeħtieġu żieda ulterjuri biex tintlaħaq il-mira ta’ tnaqqis tal-konsum finali tal-enerġija ta’ 11,7 % sal-2030, peress li l-valutazzjoni tal-2023 madwar l-UE kollha tal-abbozzi aġġornati tal-NECPs identifikat tnaqqis ta’ 5,8 % biss meta mqabbel mal-projezzjonijiet tal-2030.</w:t>
      </w:r>
      <w:r>
        <w:rPr>
          <w:rStyle w:val="FootnoteReference"/>
          <w:rFonts w:ascii="Times New Roman" w:eastAsia="Times New Roman" w:hAnsi="Times New Roman" w:cs="Times New Roman"/>
          <w:noProof/>
          <w:lang w:val="en-GB"/>
        </w:rPr>
        <w:footnoteReference w:id="57"/>
      </w:r>
      <w:r>
        <w:rPr>
          <w:rFonts w:ascii="Times New Roman" w:hAnsi="Times New Roman"/>
          <w:noProof/>
        </w:rPr>
        <w:t xml:space="preserve"> Fl-2022, il-konsum finali tal-enerġija naqas b’19,6 Mtoe (-7,5 %) fis-settur tal-bini residenzjali tal-UE u b’8,7 Mtoe (-6,7 %) fis-settur tas-servizzi meta mqabbel mal-livelli tal-2021. Madankollu, it-tnaqqis huwa kkawżat l-aktar minn xitwa aktar moderata u tnaqqis fil-konsum, aktar milli minn titjib fil-prestazzjoni tal-bini nnifsu, li jindika li hemm lok għal titjib fl-implimentazzjoni tal-istrateġiji nazzjonali tar-Rinnovazzjoni fit-Tul. Fil-prattika, </w:t>
      </w:r>
      <w:r>
        <w:rPr>
          <w:rFonts w:ascii="Times New Roman" w:hAnsi="Times New Roman"/>
          <w:b/>
          <w:noProof/>
        </w:rPr>
        <w:t>ir-rati tar-rinnovazzjoni u l-elettrifikazzjoni tat-tagħmir għat-tisħin b’mod ġenerali għadhom baxxi wisq u l-miżuri nazzjonali mhumiex biżżejjed biex jintlaħaq stokk tal-bini dekarbonizzat sal-2050</w:t>
      </w:r>
      <w:r>
        <w:rPr>
          <w:rFonts w:ascii="Times New Roman" w:hAnsi="Times New Roman"/>
          <w:noProof/>
        </w:rPr>
        <w:t>, li għalih l-implimentazzjoni rapida tad-direttiva riveduta għar-rendiment tal-bini fl-użu tal-enerġija se tkun assolutament essenzjali.</w:t>
      </w:r>
    </w:p>
    <w:p w14:paraId="6D462256" w14:textId="007607AD" w:rsidR="001E4B13" w:rsidRPr="003955F0" w:rsidRDefault="001E4B13" w:rsidP="003955F0">
      <w:pPr>
        <w:spacing w:before="120" w:after="120" w:line="276" w:lineRule="auto"/>
        <w:jc w:val="both"/>
        <w:rPr>
          <w:rFonts w:ascii="Times New Roman" w:eastAsia="Times New Roman" w:hAnsi="Times New Roman" w:cs="Times New Roman"/>
          <w:noProof/>
        </w:rPr>
      </w:pPr>
      <w:r>
        <w:rPr>
          <w:rFonts w:ascii="Times New Roman" w:hAnsi="Times New Roman"/>
          <w:noProof/>
        </w:rPr>
        <w:t xml:space="preserve">Fir-rigward tal-iffrankar tal-enerġija miksub fl-2021 bl-implimentazzjoni ta’ </w:t>
      </w:r>
      <w:r>
        <w:rPr>
          <w:rFonts w:ascii="Times New Roman" w:hAnsi="Times New Roman"/>
          <w:b/>
          <w:noProof/>
        </w:rPr>
        <w:t>skemi ta’ obbligi b’rabta mal-effiċjenza enerġetika</w:t>
      </w:r>
      <w:r>
        <w:rPr>
          <w:rFonts w:ascii="Times New Roman" w:hAnsi="Times New Roman"/>
          <w:noProof/>
        </w:rPr>
        <w:t>, miżuri politiċi alternattivi, jew it-tnejn li huma, diversi Stati Membri rrappurtaw iffrankar li kien inqas minn 60 % tal-iffrankar meħtieġ, li jeħtieġ li jiġi kkumpensat fis-snin li jifdal sal-2030.</w:t>
      </w:r>
    </w:p>
    <w:p w14:paraId="4DD4168F" w14:textId="5C3F84E8" w:rsidR="007A4A41" w:rsidRDefault="005E7F21" w:rsidP="003955F0">
      <w:pPr>
        <w:spacing w:before="120" w:after="120" w:line="276" w:lineRule="auto"/>
        <w:jc w:val="both"/>
        <w:rPr>
          <w:rFonts w:ascii="Times New Roman" w:eastAsia="Times New Roman" w:hAnsi="Times New Roman" w:cs="Times New Roman"/>
          <w:noProof/>
        </w:rPr>
      </w:pPr>
      <w:r>
        <w:rPr>
          <w:rFonts w:ascii="Times New Roman" w:hAnsi="Times New Roman"/>
          <w:b/>
          <w:noProof/>
        </w:rPr>
        <w:t>L-ekodisinn u t-tikkettar tal-enerġija</w:t>
      </w:r>
      <w:r>
        <w:rPr>
          <w:rFonts w:ascii="Times New Roman" w:hAnsi="Times New Roman"/>
          <w:noProof/>
        </w:rPr>
        <w:t xml:space="preserve"> huma strumenti ta’ politika ewlenin addizzjonali li jixprunaw l-effiċjenza enerġetika fl-UE. Madwar 50 regolament li jkopru 30 grupp ta’ prodotti huma stmati li jiffrankaw 1 418 TWh ta’ enerġija primarja fis-sena u 139 MtCO</w:t>
      </w:r>
      <w:r>
        <w:rPr>
          <w:rFonts w:ascii="Times New Roman" w:hAnsi="Times New Roman"/>
          <w:noProof/>
          <w:vertAlign w:val="subscript"/>
        </w:rPr>
        <w:t>2</w:t>
      </w:r>
      <w:r>
        <w:rPr>
          <w:rFonts w:ascii="Times New Roman" w:hAnsi="Times New Roman"/>
          <w:noProof/>
        </w:rPr>
        <w:t>eq fl-2030, kif ukoll EUR 157 biljun għall-klijenti</w:t>
      </w:r>
      <w:r w:rsidR="007A29BC" w:rsidRPr="003955F0">
        <w:rPr>
          <w:rStyle w:val="FootnoteReference"/>
          <w:rFonts w:ascii="Times New Roman" w:eastAsia="Times New Roman" w:hAnsi="Times New Roman" w:cs="Times New Roman"/>
          <w:noProof/>
          <w:lang w:val="en-GB"/>
        </w:rPr>
        <w:footnoteReference w:id="58"/>
      </w:r>
      <w:r>
        <w:rPr>
          <w:rFonts w:ascii="Times New Roman" w:hAnsi="Times New Roman"/>
          <w:noProof/>
        </w:rPr>
        <w:t>. Dan jikkorrispondi bejn wieħed u ieħor għall-konsum tal-enerġija ta’ Spanja fl-2022. Ir-Regolament il-ġdid dwar l-Ekodisinn għal Prodotti Sostenibbli (ir-Regolament (UE) 2024/1781) qed jespandi l-kamp ta’ applikazzjoni possibbli lil hinn mill-prodotti relatati mal-enerġija u jippermetti l-introduzzjoni ta’ rekwiżiti ġodda li jiffukaw fuq l-effiċjenza fir-riżorsi, iċ-ċirkolarità, u s-sostenibbiltà.</w:t>
      </w:r>
    </w:p>
    <w:p w14:paraId="09150451" w14:textId="0ADB9318" w:rsidR="005E7F21" w:rsidRPr="003955F0" w:rsidRDefault="005E7F21" w:rsidP="003955F0">
      <w:pPr>
        <w:spacing w:before="120" w:after="120" w:line="276" w:lineRule="auto"/>
        <w:jc w:val="both"/>
        <w:rPr>
          <w:rFonts w:ascii="Times New Roman" w:eastAsia="Times New Roman" w:hAnsi="Times New Roman" w:cs="Times New Roman"/>
          <w:noProof/>
        </w:rPr>
      </w:pPr>
      <w:r>
        <w:rPr>
          <w:rFonts w:ascii="Times New Roman" w:hAnsi="Times New Roman"/>
          <w:noProof/>
        </w:rPr>
        <w:t xml:space="preserve">Madankollu, feġġ tħassib dwar il-konformità ta’ prodotti relatati mal-enerġija mar-rekwiżiti. Sabiex jiġu żgurati l-benefiċċji enerġetiċi, ambjentali u finanzjarji tal-politika, jiġu żgurati kundizzjonijiet ekwi fost l-operaturi ekonomiċi, u jiġu protetti l-konsumaturi, se jkun kruċjali li </w:t>
      </w:r>
      <w:r>
        <w:rPr>
          <w:rFonts w:ascii="Times New Roman" w:hAnsi="Times New Roman"/>
          <w:b/>
          <w:noProof/>
        </w:rPr>
        <w:t>jiġu segwiti u intensifikati l-isforzi lejn konformità aħjar</w:t>
      </w:r>
      <w:r>
        <w:rPr>
          <w:rFonts w:ascii="Times New Roman" w:hAnsi="Times New Roman"/>
          <w:noProof/>
        </w:rPr>
        <w:t>, kemm għall-prodotti relatati mal-enerġija prodotti fl-UE kif ukoll għall-importazzjonijiet, f’kollaborazzjoni mal-Istati Membri, u f’konformità mas-sejħa tar-rapport ta’ Letta biex jissaħħaħ l-infurzar biex tinżamm l-integrità tas-Suq Uniku</w:t>
      </w:r>
      <w:r w:rsidR="007A29BC" w:rsidRPr="003955F0">
        <w:rPr>
          <w:rStyle w:val="FootnoteReference"/>
          <w:rFonts w:ascii="Times New Roman" w:eastAsia="Times New Roman" w:hAnsi="Times New Roman" w:cs="Times New Roman"/>
          <w:noProof/>
          <w:lang w:val="en-GB"/>
        </w:rPr>
        <w:footnoteReference w:id="59"/>
      </w:r>
      <w:r>
        <w:rPr>
          <w:rFonts w:ascii="Times New Roman" w:hAnsi="Times New Roman"/>
          <w:noProof/>
        </w:rPr>
        <w:t>.</w:t>
      </w:r>
    </w:p>
    <w:p w14:paraId="644FF5A7" w14:textId="18F90A3E" w:rsidR="00581AFB" w:rsidRPr="00E961F1" w:rsidRDefault="00581AFB" w:rsidP="003955F0">
      <w:pPr>
        <w:spacing w:before="120" w:after="120" w:line="276" w:lineRule="auto"/>
        <w:jc w:val="both"/>
        <w:rPr>
          <w:rFonts w:ascii="Times New Roman" w:eastAsia="Times New Roman" w:hAnsi="Times New Roman" w:cs="Times New Roman"/>
          <w:noProof/>
          <w:color w:val="000000" w:themeColor="text1"/>
        </w:rPr>
      </w:pPr>
      <w:r>
        <w:rPr>
          <w:rFonts w:ascii="Times New Roman" w:hAnsi="Times New Roman"/>
          <w:noProof/>
          <w:color w:val="000000" w:themeColor="text1"/>
        </w:rPr>
        <w:t>Ir-reviżjoni miftiehma tad-</w:t>
      </w:r>
      <w:r>
        <w:rPr>
          <w:rFonts w:ascii="Times New Roman" w:hAnsi="Times New Roman"/>
          <w:b/>
          <w:noProof/>
          <w:color w:val="000000" w:themeColor="text1"/>
        </w:rPr>
        <w:t>Direttiva tal-UE dwar l-Emissjonijiet Industrijali</w:t>
      </w:r>
      <w:r>
        <w:rPr>
          <w:rFonts w:ascii="Times New Roman" w:hAnsi="Times New Roman"/>
          <w:noProof/>
          <w:color w:val="000000" w:themeColor="text1"/>
        </w:rPr>
        <w:t xml:space="preserve"> tappoġġja aħjar l-installazzjonijiet industrijali tal-UE biex isiru aktar effiċjenti fl-użu tal-enerġija, fost l-oħrajn, u b’hekk tikkontribwixxi biex tiġi indirizzata l-kriżi planetarja tripla.</w:t>
      </w:r>
    </w:p>
    <w:p w14:paraId="065358B1" w14:textId="77777777" w:rsidR="005E7F21" w:rsidRPr="003955F0" w:rsidRDefault="005E7F21" w:rsidP="003955F0">
      <w:pPr>
        <w:spacing w:before="120" w:after="120" w:line="276" w:lineRule="auto"/>
        <w:jc w:val="both"/>
        <w:rPr>
          <w:rFonts w:ascii="Times New Roman" w:eastAsia="Times New Roman" w:hAnsi="Times New Roman" w:cs="Times New Roman"/>
          <w:b/>
          <w:bCs/>
          <w:i/>
          <w:iCs/>
          <w:noProof/>
          <w:color w:val="000000" w:themeColor="text1"/>
        </w:rPr>
      </w:pPr>
      <w:r>
        <w:rPr>
          <w:rFonts w:ascii="Times New Roman" w:hAnsi="Times New Roman"/>
          <w:b/>
          <w:i/>
          <w:noProof/>
          <w:color w:val="000000" w:themeColor="text1"/>
        </w:rPr>
        <w:t>Sigurtà tal-enerġija</w:t>
      </w:r>
    </w:p>
    <w:p w14:paraId="7790CF6B" w14:textId="406CFFBD" w:rsidR="005E7F21" w:rsidRPr="003955F0" w:rsidRDefault="000C7467" w:rsidP="003955F0">
      <w:pPr>
        <w:spacing w:before="120" w:after="120" w:line="276" w:lineRule="auto"/>
        <w:jc w:val="both"/>
        <w:rPr>
          <w:rFonts w:ascii="Times New Roman" w:eastAsia="Times New Roman" w:hAnsi="Times New Roman" w:cs="Times New Roman"/>
          <w:noProof/>
        </w:rPr>
      </w:pPr>
      <w:r>
        <w:rPr>
          <w:rFonts w:ascii="Times New Roman" w:hAnsi="Times New Roman"/>
          <w:noProof/>
        </w:rPr>
        <w:t xml:space="preserve">Wara sentejn diffiċli ħafna fl-2022 u l-2023, l-2024 sa issa kienet sena ta’ stabbilizzazzjoni għas-sistema tal-enerġija tal-UE. </w:t>
      </w:r>
      <w:r>
        <w:rPr>
          <w:rFonts w:ascii="Times New Roman" w:hAnsi="Times New Roman"/>
          <w:b/>
          <w:noProof/>
        </w:rPr>
        <w:t>Is-sigurtà tal-provvista fis-settur tal-gass żdiedet b’mod sostanzjali</w:t>
      </w:r>
      <w:r>
        <w:rPr>
          <w:rFonts w:ascii="Times New Roman" w:hAnsi="Times New Roman"/>
          <w:noProof/>
        </w:rPr>
        <w:t xml:space="preserve"> u l-elementi fundamentali tas-suq issa huma ħafna aktar stabbli. Dan huwa l-aktar bis-saħħa tat-tnaqqis fid-domanda u l-implimentazzjoni ulterjuri tal-Pjan REPowerEU, li ppermetta lill-UE tnaqqas id-dipendenza tagħha fuq il-fjuwils fossili Russi. L-UE għaddiet mill-aħħar xitwa mingħajr ebda interruzzjoni maġġuri tal-provvista, minkejja l-indisponibbiltà tal-konnettur Baltiku bejn il-Finlandja u l-Estonja u t-taqlib ġeopolitiku fil-Lvant Nofsani. </w:t>
      </w:r>
    </w:p>
    <w:p w14:paraId="09723230" w14:textId="33950054" w:rsidR="005E7F21" w:rsidRPr="003955F0" w:rsidRDefault="005E7F21" w:rsidP="003955F0">
      <w:pPr>
        <w:spacing w:before="120" w:after="120" w:line="276" w:lineRule="auto"/>
        <w:jc w:val="both"/>
        <w:rPr>
          <w:rFonts w:ascii="Times New Roman" w:eastAsia="Times New Roman" w:hAnsi="Times New Roman" w:cs="Times New Roman"/>
          <w:noProof/>
        </w:rPr>
      </w:pPr>
      <w:r>
        <w:rPr>
          <w:rFonts w:ascii="Times New Roman" w:hAnsi="Times New Roman"/>
          <w:noProof/>
        </w:rPr>
        <w:t>It-titjib fis-sigurtà tal-provvista tal-gass tal-UE huwa rifless ukoll fid-</w:t>
      </w:r>
      <w:r>
        <w:rPr>
          <w:rFonts w:ascii="Times New Roman" w:hAnsi="Times New Roman"/>
          <w:b/>
          <w:noProof/>
        </w:rPr>
        <w:t>deċiżjoni ta’ diversi Stati Membri (l-Estonja, il-Finlandja, l-Iżvezja u d-Danimarka) li jnaqqsu l-livelli ta’ kriżi tagħhom</w:t>
      </w:r>
      <w:r>
        <w:rPr>
          <w:rFonts w:ascii="Times New Roman" w:hAnsi="Times New Roman"/>
          <w:noProof/>
        </w:rPr>
        <w:t>. Bħalissa, għad hemm tmien Stati Membri fit-twissija bikrija, u wieħed fil-livell ta’ allert.</w:t>
      </w:r>
      <w:r w:rsidR="00801170">
        <w:rPr>
          <w:rStyle w:val="FootnoteReference"/>
          <w:rFonts w:ascii="Times New Roman" w:eastAsia="Times New Roman" w:hAnsi="Times New Roman" w:cs="Times New Roman"/>
          <w:noProof/>
          <w:lang w:val="en-GB"/>
        </w:rPr>
        <w:footnoteReference w:id="60"/>
      </w:r>
      <w:r>
        <w:rPr>
          <w:rFonts w:ascii="Times New Roman" w:hAnsi="Times New Roman"/>
          <w:noProof/>
        </w:rPr>
        <w:t xml:space="preserve"> Filwaqt li tibni fuq it-tagħlimiet meħuda u qafas imsaħħaħ għas-sigurtà tal-provvista, l-UE hija ppreparata tajjeb għax-xitwa li jmiss u t-tmiem tal-ftehim dwar it-tranżitu tal-gass bejn ir-Russja u l-Ukrajna.</w:t>
      </w:r>
    </w:p>
    <w:p w14:paraId="7CFC07B7" w14:textId="763A6544" w:rsidR="005E7F21" w:rsidRPr="003955F0" w:rsidRDefault="005E7F21" w:rsidP="003955F0">
      <w:pPr>
        <w:spacing w:before="120" w:after="120" w:line="276" w:lineRule="auto"/>
        <w:jc w:val="both"/>
        <w:rPr>
          <w:rFonts w:ascii="Times New Roman" w:eastAsia="Times New Roman" w:hAnsi="Times New Roman" w:cs="Times New Roman"/>
          <w:noProof/>
          <w:color w:val="000000" w:themeColor="text1"/>
        </w:rPr>
      </w:pPr>
      <w:r>
        <w:rPr>
          <w:rFonts w:ascii="Times New Roman" w:hAnsi="Times New Roman"/>
          <w:noProof/>
          <w:color w:val="000000" w:themeColor="text1"/>
        </w:rPr>
        <w:t>Il-Kummissjoni taħdem mill-qrib fuq is-sigurtà internazzjonali tal-provvista tal-gass mas-sħab strateġiċi tagħha, b’mod partikolari l-membri tal-AIE. Proġett pilota għat-tisħiħ tal-komunikazzjoni dwar kwistjonijiet ta’ sigurtà tal-gass fi ħdan il-grupp beda fil-ħarifa tal-2023 bl-għan li jinbena fehim kondiviż tal-problemi u l-effetti tagħhom fuq is-sħab. Il-Kummissjoni timmonitorja u tiddiskuti b’mod attiv il-kondotti tas-suq ta’ diversi atturi fis-swieq tal-LNG tal-UE u dawk globali.</w:t>
      </w:r>
    </w:p>
    <w:p w14:paraId="77C89936" w14:textId="09F27A9F" w:rsidR="008C2A15" w:rsidRPr="003955F0" w:rsidRDefault="008C2A15" w:rsidP="008C2A15">
      <w:pPr>
        <w:spacing w:before="120" w:after="120" w:line="276" w:lineRule="auto"/>
        <w:jc w:val="both"/>
        <w:rPr>
          <w:rFonts w:ascii="Times New Roman" w:eastAsia="Times New Roman" w:hAnsi="Times New Roman" w:cs="Times New Roman"/>
          <w:noProof/>
        </w:rPr>
      </w:pPr>
      <w:r>
        <w:rPr>
          <w:rFonts w:ascii="Times New Roman" w:hAnsi="Times New Roman"/>
          <w:noProof/>
        </w:rPr>
        <w:t>Il-Komunikazzjoni tal-Kummissjoni ta’ Marzu 2024 dwar il-ġestjoni tar-riskji klimatiċi tenfasizza r-riskji akbar għas-sigurtà tal-enerġija, b’mod partikolari t-tfixkil fl-elettriku minħabba s-sħana, in-nirien fis-selvaġġ, in-nixfiet, u l-għargħar li jaffettwaw id-domanda massima u li kollha jħallu impatt fuq il-produzzjoni, il-ħżin, it-trasport u d-distribuzzjoni</w:t>
      </w:r>
      <w:r w:rsidRPr="00970B18">
        <w:rPr>
          <w:rFonts w:ascii="Times New Roman" w:eastAsia="Times New Roman" w:hAnsi="Times New Roman" w:cs="Times New Roman"/>
          <w:noProof/>
          <w:vertAlign w:val="superscript"/>
          <w:lang w:val="en-GB"/>
        </w:rPr>
        <w:footnoteReference w:id="61"/>
      </w:r>
      <w:r>
        <w:rPr>
          <w:rFonts w:ascii="Times New Roman" w:hAnsi="Times New Roman"/>
          <w:noProof/>
        </w:rPr>
        <w:t>. L-ippjanar għar-riskju klimatiku jeħtieġ li jissaħħaħ fis-settur tal-enerġija.</w:t>
      </w:r>
    </w:p>
    <w:p w14:paraId="6BA0150B" w14:textId="309BC190" w:rsidR="005E7F21" w:rsidRDefault="003424DF" w:rsidP="003955F0">
      <w:pPr>
        <w:spacing w:before="120" w:after="120" w:line="276" w:lineRule="auto"/>
        <w:jc w:val="both"/>
        <w:rPr>
          <w:rFonts w:ascii="Times New Roman" w:eastAsia="Times New Roman" w:hAnsi="Times New Roman" w:cs="Times New Roman"/>
          <w:noProof/>
        </w:rPr>
      </w:pPr>
      <w:r>
        <w:rPr>
          <w:rFonts w:ascii="Times New Roman" w:hAnsi="Times New Roman"/>
          <w:noProof/>
        </w:rPr>
        <w:t xml:space="preserve">Għalkemm xi avvenimenti lokali, minħabba kundizzjonijiet estremi tat-temp (eż. maltempati tax-xitwa) jew falliment f’xi elementi tal-infrastruttura rriżultaw f’disturbi f’xi reġjuni, </w:t>
      </w:r>
      <w:r>
        <w:rPr>
          <w:rFonts w:ascii="Times New Roman" w:hAnsi="Times New Roman"/>
          <w:b/>
          <w:noProof/>
        </w:rPr>
        <w:t xml:space="preserve">matul l-aħħar sena, ma ġew osservati l-ebda inċidenti kbar tal-elettriku jew kwistjonijiet ta’ adegwatezza li jheddu s-sigurtà tal-provvista tal-elettriku fil-livell tal-UE. </w:t>
      </w:r>
      <w:r>
        <w:rPr>
          <w:rFonts w:ascii="Times New Roman" w:hAnsi="Times New Roman"/>
          <w:noProof/>
        </w:rPr>
        <w:t xml:space="preserve">Minħabba kooperazzjoni u koordinazzjoni tajba bejn il-partijiet ikkonċernati kollha madwar l-UE, dawn l-avvenimenti lokali ma nfirxux. Iż-żieda fil-kapaċitajiet rinnovabbli tgħin biex jiġu żgurati l-produzzjoni tal-enerġija lokali u s-sigurtà tal-provvista billi jitnaqqsu l-importazzjonijiet tal-fjuwils fossili fl-UE. Fl-istess ħin, id-disponibbiltà tal-ġenerazzjoni nukleari sa issa kienet tajba, u l-istess jista’ jingħad dwar l-enerġija idroelettrika. Qed titwettaq il-valutazzjoni tar-riskju tal-perjodu tax-xitwa. </w:t>
      </w:r>
    </w:p>
    <w:p w14:paraId="369B91F7" w14:textId="6C93F120" w:rsidR="005E7F21" w:rsidRDefault="005E7F21" w:rsidP="003955F0">
      <w:pPr>
        <w:spacing w:before="120" w:after="120" w:line="276" w:lineRule="auto"/>
        <w:jc w:val="both"/>
        <w:rPr>
          <w:rFonts w:ascii="Times New Roman" w:hAnsi="Times New Roman" w:cs="Times New Roman"/>
          <w:noProof/>
        </w:rPr>
      </w:pPr>
      <w:r>
        <w:rPr>
          <w:rFonts w:ascii="Times New Roman" w:hAnsi="Times New Roman"/>
          <w:noProof/>
        </w:rPr>
        <w:t xml:space="preserve">Fis-settur tal-enerġija, </w:t>
      </w:r>
      <w:r>
        <w:rPr>
          <w:rFonts w:ascii="Times New Roman" w:hAnsi="Times New Roman"/>
          <w:b/>
          <w:noProof/>
        </w:rPr>
        <w:t>il-volum tal-inċidenti taċ-ċibersigurtà baqa’ stabbli mingħajr ma ġew irrappurtati avvenimenti jew inċidenti notevoli ta’ impatt sinifikanti matul l-aħħar sena.</w:t>
      </w:r>
      <w:r>
        <w:rPr>
          <w:rFonts w:ascii="Times New Roman" w:hAnsi="Times New Roman"/>
          <w:noProof/>
        </w:rPr>
        <w:t xml:space="preserve"> Fir-rigward tal-infrastruttura, il-konnessjoni bil-kejbil tat-trażmissjoni tal-elettriku Estlink 2 bejn il-Finlandja u l-Estonja ġiet skonnettjata mill-grilja fis-26 ta’ Jannar minħabba ħsara. Il-kejbil huwa mistenni li jissewwa sa nofs Settembru. Id-Direttiva NIS 2 adottata reċentement u d-Direttiva dwar ir-Reżiljenza tal-Entitajiet Kritiċi se jikkontribwixxu biex tiżdied ir-reżiljenza tal-infrastruttura tal-enerġija. Barra minn hekk, il-Kummissjoni analizzat ir-rapporti tas-simulazzjonijiet ta’ kriżi fis-settur tal-enerġija mwettqa mill-Istati Membri u pproponiet azzjonijiet ta’ segwitu lill-Istati Membri, li se jiddeċiedu dwar it-triq ’il quddiem.</w:t>
      </w:r>
    </w:p>
    <w:p w14:paraId="30E1B531" w14:textId="79531BE4" w:rsidR="00AD4124" w:rsidRPr="003955F0" w:rsidRDefault="003E67C7" w:rsidP="003955F0">
      <w:pPr>
        <w:spacing w:before="120" w:after="120" w:line="276" w:lineRule="auto"/>
        <w:jc w:val="both"/>
        <w:rPr>
          <w:rFonts w:ascii="Times New Roman" w:eastAsia="Times New Roman" w:hAnsi="Times New Roman" w:cs="Times New Roman"/>
          <w:noProof/>
          <w:color w:val="000000" w:themeColor="text1"/>
        </w:rPr>
      </w:pPr>
      <w:r>
        <w:rPr>
          <w:rFonts w:ascii="Times New Roman" w:hAnsi="Times New Roman"/>
          <w:noProof/>
          <w:color w:val="000000" w:themeColor="text1"/>
        </w:rPr>
        <w:t xml:space="preserve">Biex issaħħaħ ir-reżiljenza u l-protezzjoni tal-infrastruttura marittima kritika, inkluż fost l-oħrajn pipelines taħt il-baħar, kontra theddid ibridu u ċibernetiku, il-Kummissjoni rrevediet l-Istrateġija dwar is-Sigurtà Marittima tal-UE u l-Pjan ta’ Azzjoni tagħha f’Ottubru 2023. </w:t>
      </w:r>
    </w:p>
    <w:p w14:paraId="6F6E5FC3" w14:textId="24620363" w:rsidR="004000F6" w:rsidRPr="004000F6" w:rsidRDefault="004000F6" w:rsidP="004000F6">
      <w:pPr>
        <w:spacing w:before="120" w:after="120" w:line="276" w:lineRule="auto"/>
        <w:jc w:val="both"/>
        <w:rPr>
          <w:rFonts w:ascii="Times New Roman" w:eastAsia="Times New Roman" w:hAnsi="Times New Roman" w:cs="Times New Roman"/>
          <w:noProof/>
          <w:color w:val="000000" w:themeColor="text1"/>
        </w:rPr>
      </w:pPr>
      <w:r>
        <w:rPr>
          <w:rFonts w:ascii="Times New Roman" w:hAnsi="Times New Roman"/>
          <w:noProof/>
          <w:color w:val="000000" w:themeColor="text1"/>
        </w:rPr>
        <w:t xml:space="preserve">Minħabba l-importanza sinifikanti tas-soċjetà u ekonomika tas-sigurtà tal-enerġija, l-enerġija hija espliċitament prijoritizzata wkoll fil-kuntest tal-Istrateġija tal-Kummissjoni Konġunta/Rappreżentant Għoli tas-Sigurtà Ekonomika Ewropea. Minn Ġunju 2023, kemm ir-reżiljenza tal-ktajjen tal-provvista kif ukoll is-sigurtà fiżika u ċibernetika tal-infrastruttura kritika ġew ipprijoritizzati fi Strateġija bħal din. </w:t>
      </w:r>
    </w:p>
    <w:p w14:paraId="093B8EEB" w14:textId="171EC6B1" w:rsidR="005E7F21" w:rsidRPr="003955F0" w:rsidRDefault="00933145" w:rsidP="003955F0">
      <w:pPr>
        <w:spacing w:before="120" w:after="120" w:line="276" w:lineRule="auto"/>
        <w:jc w:val="both"/>
        <w:rPr>
          <w:rFonts w:ascii="Times New Roman" w:eastAsia="Times New Roman" w:hAnsi="Times New Roman" w:cs="Times New Roman"/>
          <w:b/>
          <w:bCs/>
          <w:i/>
          <w:iCs/>
          <w:noProof/>
          <w:color w:val="000000" w:themeColor="text1"/>
        </w:rPr>
      </w:pPr>
      <w:r>
        <w:rPr>
          <w:rFonts w:ascii="Times New Roman" w:hAnsi="Times New Roman"/>
          <w:b/>
          <w:i/>
          <w:noProof/>
          <w:color w:val="000000" w:themeColor="text1"/>
        </w:rPr>
        <w:t>3.4. Swieq tal-enerġija, inkluż faqar enerġetiku</w:t>
      </w:r>
    </w:p>
    <w:p w14:paraId="4CE68D36" w14:textId="53F89847" w:rsidR="005E7F21" w:rsidRPr="003955F0" w:rsidRDefault="005E7F21" w:rsidP="003955F0">
      <w:pPr>
        <w:spacing w:before="120" w:after="120" w:line="276" w:lineRule="auto"/>
        <w:jc w:val="both"/>
        <w:rPr>
          <w:rFonts w:ascii="Times New Roman" w:hAnsi="Times New Roman" w:cs="Times New Roman"/>
          <w:noProof/>
          <w:color w:val="000000" w:themeColor="text1"/>
        </w:rPr>
      </w:pPr>
      <w:r>
        <w:rPr>
          <w:rFonts w:ascii="Times New Roman" w:hAnsi="Times New Roman"/>
          <w:b/>
          <w:noProof/>
          <w:color w:val="000000" w:themeColor="text1"/>
        </w:rPr>
        <w:t>Matul dawn l-aħħar ftit snin, il-Kummissjoni mexxiet riformi sinifikanti u estensivi għall-organizzazzjoni tas-suq tal-enerġija Ewropew</w:t>
      </w:r>
      <w:r>
        <w:rPr>
          <w:rFonts w:ascii="Times New Roman" w:hAnsi="Times New Roman"/>
          <w:noProof/>
          <w:color w:val="000000" w:themeColor="text1"/>
        </w:rPr>
        <w:t xml:space="preserve"> fil-forma tar-riforma reċenti tad-Disinn tas-Suq tal-Elettriku (EMD), il-Pakkett dwar is-Swieq tal-Idroġenu u tal-Gass Dekarbonizzat u r-riforma tar-Regolament dwar l-Integrità u t-Trasparenza tas-Swieq tal-Enerġija bl-Ingrossa (REMIT, Regulation on Wholesale Energy Market Integrity and Transparency). </w:t>
      </w:r>
      <w:r>
        <w:rPr>
          <w:rFonts w:ascii="Times New Roman" w:hAnsi="Times New Roman"/>
          <w:b/>
          <w:noProof/>
          <w:color w:val="000000" w:themeColor="text1"/>
        </w:rPr>
        <w:t>Il-pakketti leġiżlattivi reċenti kollha se jeħtieġu reviżjonijiet estensivi tal-leġiżlazzjoni terzjarja biex jiskattaw il-bidliet meħtieġa fil-prattika.</w:t>
      </w:r>
      <w:r>
        <w:rPr>
          <w:rFonts w:ascii="Times New Roman" w:hAnsi="Times New Roman"/>
          <w:noProof/>
          <w:color w:val="000000" w:themeColor="text1"/>
        </w:rPr>
        <w:t xml:space="preserve"> Għall-gass, dan jikkonċerna l-oqsma tal-allokazzjoni tal-kapaċità, il-ġestjoni tal-konġestjoni u t-tariffi. Għall-elettriku, qed tiġi żviluppata leġiżlazzjoni terzjarja ġdida dwar ir-rispons tad-domanda fis-swieq tal-elettriku bl-ingrossa u l-użu ta’ soluzzjonijiet ta’ flessibbiltà mill-operaturi tal-grilja. Biex tkompli ssaħħaħ l-iżvilupp tal-flessibbiltà fis-sistema u fis-swieq tal-elettriku, il-Kummissjoni involviet ruħha mill-qrib mal-Istati Membri biex issegwi l-implimentazzjoni tad-Direttiva dwar l-Elettriku, b’mod partikolari d-dispożizzjonijiet relatati mal-flessibbiltà orjentata lejn id-domanda.</w:t>
      </w:r>
    </w:p>
    <w:p w14:paraId="43C4212A" w14:textId="17404C71" w:rsidR="005E7F21" w:rsidRPr="003955F0" w:rsidRDefault="005E7F21" w:rsidP="003955F0">
      <w:pPr>
        <w:pStyle w:val="ecl-u-type-paragraph"/>
        <w:shd w:val="clear" w:color="auto" w:fill="FFFFFF"/>
        <w:spacing w:before="120" w:beforeAutospacing="0" w:after="120" w:afterAutospacing="0" w:line="276" w:lineRule="auto"/>
        <w:jc w:val="both"/>
        <w:rPr>
          <w:rFonts w:ascii="Times New Roman" w:eastAsia="Times New Roman" w:hAnsi="Times New Roman" w:cs="Times New Roman"/>
          <w:noProof/>
          <w:color w:val="000000" w:themeColor="text1"/>
          <w:kern w:val="0"/>
          <w:sz w:val="22"/>
          <w:szCs w:val="22"/>
          <w14:ligatures w14:val="none"/>
        </w:rPr>
      </w:pPr>
      <w:r>
        <w:rPr>
          <w:rFonts w:ascii="Times New Roman" w:hAnsi="Times New Roman"/>
          <w:b/>
          <w:noProof/>
          <w:color w:val="000000" w:themeColor="text1"/>
          <w:sz w:val="22"/>
        </w:rPr>
        <w:t>Diversi politiki ewlenin ġew stabbiliti bl-għan li jidentifikaw u jħaffu l-iżvilupp tal-infrastruttura transfruntiera u nazzjonali.</w:t>
      </w:r>
      <w:r>
        <w:rPr>
          <w:rFonts w:ascii="Times New Roman" w:hAnsi="Times New Roman"/>
          <w:noProof/>
          <w:color w:val="000000" w:themeColor="text1"/>
          <w:sz w:val="22"/>
        </w:rPr>
        <w:t xml:space="preserve"> In-Network Ewropew tal-Operaturi ta’ Network għall-Idroġenu nħoloq biex jiżviluppa pjanijiet ta’ 10 snin għall-iżvilupp tan-network tal-idroġenu tal-UE mmirati u mingħajr preġudizzju. Il-pjan ta’ azzjoni tal-UE għall-grilji u l-ewwel lista ta’ Proġetti ta’ Interess Komuni u Reċiproku ġew adottati u ġew stabbiliti dispożizzjonijiet aċċellerati dwar l-għoti tal-permessi permezz ta’ Regolamenti ta’ Emerġenza, ir-rekwiżiti riveduti tal-REDIII u tat-TEN-E.</w:t>
      </w:r>
    </w:p>
    <w:p w14:paraId="1A03E940" w14:textId="4EB384BC" w:rsidR="00DB0D09" w:rsidRPr="00DB1CA6" w:rsidRDefault="00944601" w:rsidP="00E961F1">
      <w:pPr>
        <w:spacing w:before="120" w:after="120" w:line="276" w:lineRule="auto"/>
        <w:jc w:val="both"/>
        <w:rPr>
          <w:rFonts w:ascii="Times New Roman" w:hAnsi="Times New Roman" w:cs="Times New Roman"/>
          <w:noProof/>
          <w:kern w:val="0"/>
          <w14:ligatures w14:val="none"/>
        </w:rPr>
      </w:pPr>
      <w:r>
        <w:rPr>
          <w:rFonts w:ascii="Times New Roman" w:hAnsi="Times New Roman"/>
          <w:b/>
          <w:noProof/>
        </w:rPr>
        <w:t>Fir-rigward tal-faqar enerġetiku, fl-2023, 10,6 % tal-popolazzjoni tal-UE ddikjaraw li ma setgħux iżommu darhom imsaħħna b’mod adegwat.</w:t>
      </w:r>
      <w:r>
        <w:rPr>
          <w:rFonts w:ascii="Times New Roman" w:hAnsi="Times New Roman"/>
          <w:noProof/>
        </w:rPr>
        <w:t xml:space="preserve"> Meta mqabbel mal-2022, dan is-sehem żdied b’1,3 punti perċentwali</w:t>
      </w:r>
      <w:r w:rsidR="0053651F" w:rsidRPr="0053651F">
        <w:rPr>
          <w:rFonts w:ascii="Times New Roman" w:hAnsi="Times New Roman" w:cs="Times New Roman"/>
          <w:noProof/>
          <w:vertAlign w:val="superscript"/>
          <w:lang w:val="en-GB"/>
        </w:rPr>
        <w:footnoteReference w:id="62"/>
      </w:r>
      <w:r>
        <w:rPr>
          <w:rFonts w:ascii="Times New Roman" w:hAnsi="Times New Roman"/>
          <w:noProof/>
        </w:rPr>
        <w:t>, f’kuntest ta’ kriżi tal-enerġija u tal-inflazzjoni.</w:t>
      </w:r>
      <w:r>
        <w:rPr>
          <w:rFonts w:ascii="Times New Roman" w:hAnsi="Times New Roman"/>
          <w:noProof/>
          <w:vertAlign w:val="superscript"/>
        </w:rPr>
        <w:t xml:space="preserve"> </w:t>
      </w:r>
      <w:r>
        <w:rPr>
          <w:rFonts w:ascii="Times New Roman" w:hAnsi="Times New Roman"/>
          <w:noProof/>
        </w:rPr>
        <w:t xml:space="preserve"> Is-sitwazzjoni varjat madwar il-pajjiżi tal-UE li jippromwovu miżuri għall-protezzjoni tal-familji.</w:t>
      </w:r>
      <w:r w:rsidR="00DB0D09" w:rsidRPr="6DF61B62">
        <w:rPr>
          <w:rStyle w:val="FootnoteReference"/>
          <w:rFonts w:ascii="Times New Roman" w:hAnsi="Times New Roman" w:cs="Times New Roman"/>
          <w:noProof/>
          <w:kern w:val="0"/>
        </w:rPr>
        <w:footnoteReference w:id="63"/>
      </w:r>
      <w:r>
        <w:rPr>
          <w:rFonts w:ascii="Times New Roman" w:hAnsi="Times New Roman"/>
          <w:noProof/>
        </w:rPr>
        <w:t xml:space="preserve"> Il-leġiżlazzjoni l-ġdida dwar is-suq tal-enerġija se tissalvagwardja aħjar dawk l-aktar vulnerabbli u dawk affettwati mill-faqar enerġetiku mill-qtugħ. F’każ ta’ kriżi fil-prezz tal-gass naturali, miżuri ta’ emerġenza fil-livell tal-UE jistgħu jgħinu biex jipproteġu lill-konsumaturi permezz ta’ interventi fuq il-limiti massimi tal-prezzijiet bl-imnut.  L-Istati Membri jistgħu wkoll jaġixxu biex jiżguraw aċċess għal servizzi essenzjali u jipproteġu lill-konsumaturi vulnerabbli minn kostijiet eċċessivi, u jindirizzaw il-faqar enerġetiku direttament.</w:t>
      </w:r>
    </w:p>
    <w:p w14:paraId="56392C36" w14:textId="150D2C12" w:rsidR="005E7F21" w:rsidRPr="003955F0" w:rsidRDefault="009B3A02" w:rsidP="003955F0">
      <w:pPr>
        <w:pStyle w:val="ecl-u-type-paragraph"/>
        <w:shd w:val="clear" w:color="auto" w:fill="FFFFFF" w:themeFill="background1"/>
        <w:spacing w:before="120" w:beforeAutospacing="0" w:after="120" w:afterAutospacing="0" w:line="276" w:lineRule="auto"/>
        <w:jc w:val="both"/>
        <w:rPr>
          <w:rFonts w:ascii="Times New Roman" w:hAnsi="Times New Roman" w:cs="Times New Roman"/>
          <w:noProof/>
          <w:sz w:val="22"/>
          <w:szCs w:val="22"/>
        </w:rPr>
      </w:pPr>
      <w:r>
        <w:rPr>
          <w:rFonts w:ascii="Times New Roman" w:hAnsi="Times New Roman"/>
          <w:noProof/>
          <w:sz w:val="22"/>
        </w:rPr>
        <w:t>Il-Fond Soċjali għall-Klima, li daħal fis-seħħ fl-2024, se jimmobilizza mill-inqas EUR 86,7 biljun ta’ dħul tal-EU ETS għall-perjodu 2026–2032, inkluż kofinanzjament ta’ 25 % mill-Istati Membri, biex jikkontribwixxi għal tranżizzjoni soċjalment ġusta lejn in-newtralità klimatika. Il-Fond se jiffinanzja miżuri u investimenti li l-Istati Membri se jikkompilaw fil-Pjanijiet Soċjali għall-Klima tagħhom sa Ġunju 2025 u għandu jgħin biex jikkumpensa ż-żieda mistennija fil-kontijiet tal-enerġija minħabba l-introduzzjoni tal-ipprezzar tal-karbonju għat-tisħin u t-trasport. Il-Kummissjoni stabbiliet grupp ta’ esperti, fejn il-Kummissjoni u l-Istati Membri jikkondividu prattiki tajbin u jiskambjaw fehmiet dwar it-tħejjija tal-Fond. Minn Ġunju 2024, il-Kummissjoni tipprovdi appoġġ lil 10 Stati Membri għat-tħejjija tal-Pjanijiet Soċjali għall-Klima tagħhom permezz tal-Istrument ta’ Appoġġ Tekniku.</w:t>
      </w:r>
    </w:p>
    <w:p w14:paraId="6A61F94B" w14:textId="39B729CF" w:rsidR="005E7F21" w:rsidRPr="003955F0" w:rsidRDefault="005E7F21" w:rsidP="003955F0">
      <w:pPr>
        <w:spacing w:before="120" w:after="120" w:line="276" w:lineRule="auto"/>
        <w:jc w:val="both"/>
        <w:rPr>
          <w:rFonts w:ascii="Times New Roman" w:eastAsia="Times New Roman" w:hAnsi="Times New Roman" w:cs="Times New Roman"/>
          <w:i/>
          <w:iCs/>
          <w:noProof/>
          <w:color w:val="000000" w:themeColor="text1"/>
          <w:highlight w:val="yellow"/>
        </w:rPr>
      </w:pPr>
      <w:r>
        <w:rPr>
          <w:rFonts w:ascii="Times New Roman" w:hAnsi="Times New Roman"/>
          <w:b/>
          <w:i/>
          <w:noProof/>
          <w:color w:val="000000" w:themeColor="text1"/>
        </w:rPr>
        <w:t>Riċerka, innovazzjoni u kompetittività</w:t>
      </w:r>
    </w:p>
    <w:p w14:paraId="0208C03C" w14:textId="7F0B1EA2" w:rsidR="5E43C01B" w:rsidRPr="00FA7426" w:rsidRDefault="5E43C01B" w:rsidP="00E961F1">
      <w:pPr>
        <w:spacing w:line="257" w:lineRule="auto"/>
        <w:jc w:val="both"/>
        <w:rPr>
          <w:rFonts w:ascii="Times New Roman" w:eastAsia="Times New Roman" w:hAnsi="Times New Roman" w:cs="Times New Roman"/>
          <w:noProof/>
        </w:rPr>
      </w:pPr>
      <w:r>
        <w:rPr>
          <w:rFonts w:ascii="Times New Roman" w:hAnsi="Times New Roman"/>
          <w:b/>
          <w:noProof/>
        </w:rPr>
        <w:t xml:space="preserve">Il-manifatturi tal-UE jiffaċċjaw kompetizzjoni dejjem akbar f’teknoloġiji b’emissjonijiet żero netti fis-swieq globali u domestiċi. </w:t>
      </w:r>
      <w:r>
        <w:rPr>
          <w:rFonts w:ascii="Times New Roman" w:hAnsi="Times New Roman"/>
          <w:noProof/>
        </w:rPr>
        <w:t>Meta mqabbel mal-2022, il-valur tal-produzzjoni tal-UE tal-batteriji tal-litju u tal-pompi tas-sħana żdied l-aktar fl-2023 (madwar 30 %), segwit minn ċelluli tal-fjuwil (18 %), teknoloġiji tal-enerġija mill-oċeani, bijofjuwils (etanol) u CCUS (kważi 10 %)</w:t>
      </w:r>
      <w:r w:rsidR="00ED2877" w:rsidRPr="00FA7426">
        <w:rPr>
          <w:rStyle w:val="FootnoteReference"/>
          <w:rFonts w:ascii="Times New Roman" w:eastAsia="Times New Roman" w:hAnsi="Times New Roman" w:cs="Times New Roman"/>
          <w:noProof/>
          <w:lang w:val="en-GB"/>
        </w:rPr>
        <w:footnoteReference w:id="64"/>
      </w:r>
      <w:r>
        <w:rPr>
          <w:rFonts w:ascii="Times New Roman" w:hAnsi="Times New Roman"/>
          <w:noProof/>
        </w:rPr>
        <w:t>. Filwaqt li l-batteriji tal-jon tal-litju għandhom l-ogħla valur tal-produzzjoni fl-UE fl-2023 (EUR 21 biljun), l-UE kellha wkoll l-akbar defiċit kummerċjali tagħha f’din it-teknoloġija (kważi EUR 19-il biljun). Is-sistemi fotovoltajċi solari wrew defiċit simili, iżda b’valur tal-produzzjoni ferm iżgħar tal-UE (EUR 2,1 biljun). Fil-każ tal-batteriji, id-defiċit kummerċjali żdied b’21 % meta mqabbel mal-2022, filwaqt li għas-sistemi fotovoltajċi solari naqas bi 13 %. Mit-teknoloġiji b’emissjonijiet żero netti b’surplus kummerċjali fl-2023, l-aktar prominenti kien ir-riħ (EUR 1,7 biljun), fejn l-importazzjonijiet naqsu b’65 % u l-esportazzjonijiet żdiedu b’50 % meta mqabbla mas-sena preċedenti. In-networks tat-tisħin u t-tkessiħ kellhom it-tieni l-akbar surplus (EUR 1,3 biljun) segwit mill-enerġija idroelettrika (EUR 0,2 biljun). Matul l-2021–2023, l-esportazzjonijiet tal-UE ta’ rotors tar-riħ kellhom l-akbar sehem fl-esportazzjonijiet globali tat-teknoloġija (67 %), segwiti minn teknoloġiji solari termali u idroelettriċi b’madwar 40 %.</w:t>
      </w:r>
    </w:p>
    <w:p w14:paraId="496DD48D" w14:textId="062A66CA" w:rsidR="00055F6D" w:rsidRDefault="00055F6D" w:rsidP="00E961F1">
      <w:pPr>
        <w:spacing w:after="0" w:line="257" w:lineRule="auto"/>
        <w:jc w:val="both"/>
        <w:rPr>
          <w:rFonts w:ascii="Times New Roman" w:eastAsia="Times New Roman" w:hAnsi="Times New Roman" w:cs="Times New Roman"/>
          <w:noProof/>
          <w:color w:val="000000" w:themeColor="text1"/>
        </w:rPr>
      </w:pPr>
      <w:r>
        <w:rPr>
          <w:rFonts w:ascii="Times New Roman" w:hAnsi="Times New Roman"/>
          <w:noProof/>
          <w:color w:val="000000" w:themeColor="text1"/>
        </w:rPr>
        <w:t>Il-Kummissjoni rrevediet il-Pjan SET fl-2023 u inkludietu fl-Att dwar l-Industrija b’Emissjonijiet Żero Netti, filwaqt li saħħet ir-rwol tagħha fl-implimentazzjoni tal-pilastru tar-riċerka, l-innovazzjoni u l-kompetittività tal-Unjoni tal-Enerġija u rrikonoxxiet il-kontribut tiegħu għall-kapaċità tal-manifattura tal-UE tat-teknoloġiji strateġiċi b’emissjonijiet żero netti.</w:t>
      </w:r>
    </w:p>
    <w:p w14:paraId="0343F991" w14:textId="77777777" w:rsidR="005F299D" w:rsidRPr="009E53D0" w:rsidRDefault="005F299D" w:rsidP="00E961F1">
      <w:pPr>
        <w:spacing w:after="0" w:line="257" w:lineRule="auto"/>
        <w:jc w:val="both"/>
        <w:rPr>
          <w:rFonts w:ascii="Times New Roman" w:eastAsia="Times New Roman" w:hAnsi="Times New Roman" w:cs="Times New Roman"/>
          <w:noProof/>
          <w:color w:val="008080"/>
          <w:u w:val="single"/>
        </w:rPr>
      </w:pPr>
    </w:p>
    <w:p w14:paraId="73EA82A1" w14:textId="50D26618" w:rsidR="00055F6D" w:rsidRPr="00FA7426" w:rsidRDefault="544699A1" w:rsidP="00E961F1">
      <w:pPr>
        <w:spacing w:after="0" w:line="276" w:lineRule="auto"/>
        <w:jc w:val="both"/>
        <w:rPr>
          <w:noProof/>
        </w:rPr>
      </w:pPr>
      <w:r>
        <w:rPr>
          <w:rFonts w:ascii="Times New Roman" w:hAnsi="Times New Roman"/>
          <w:b/>
          <w:noProof/>
        </w:rPr>
        <w:t>Ir-riċerka u l-innovazzjoni (R&amp;I, research &amp; innovation) tibqa’ essenzjali biex tiġi żgurata l-kompetittività futura tal-kumpaniji tal-UE</w:t>
      </w:r>
      <w:r>
        <w:rPr>
          <w:rFonts w:ascii="Times New Roman" w:hAnsi="Times New Roman"/>
          <w:noProof/>
        </w:rPr>
        <w:t xml:space="preserve"> f’teknoloġiji avvanzati tal-industrija b’emissjonijiet żero netti. F’dan il-kuntest, l-implimentazzjoni kontinwa tal-Pjan ta’ Azzjoni tal-UE tal-2022 dwar id-Diġitalizzazzjoni tas-sistema tal-enerġija</w:t>
      </w:r>
      <w:r w:rsidR="00E35B15" w:rsidRPr="00FA7426">
        <w:rPr>
          <w:rStyle w:val="FootnoteReference"/>
          <w:rFonts w:ascii="Times New Roman" w:eastAsia="Times New Roman" w:hAnsi="Times New Roman" w:cs="Times New Roman"/>
          <w:noProof/>
          <w:lang w:val="en-GB"/>
        </w:rPr>
        <w:footnoteReference w:id="65"/>
      </w:r>
      <w:r>
        <w:rPr>
          <w:rFonts w:ascii="Times New Roman" w:hAnsi="Times New Roman"/>
          <w:noProof/>
        </w:rPr>
        <w:t xml:space="preserve"> kkontribwiet għat-trawwim tal-innovazzjoni diġitali fl-UE, pereżempju billi żviluppat tewmi diġitali tal-grilja tal-elettriku tal-UE u billi ddefiniet indikaturi tal-grilja intelliġenti biex tippromwovi adozzjoni aktar mgħaġġla ta’ teknoloġiji tal-grilja intelliġenti u innovattivi. </w:t>
      </w:r>
    </w:p>
    <w:p w14:paraId="444AF42D" w14:textId="77777777" w:rsidR="00EB647D" w:rsidRDefault="00427E3E" w:rsidP="003955F0">
      <w:pPr>
        <w:spacing w:before="120" w:after="120" w:line="276" w:lineRule="auto"/>
        <w:jc w:val="both"/>
        <w:rPr>
          <w:rFonts w:ascii="Times New Roman" w:eastAsia="Times New Roman" w:hAnsi="Times New Roman" w:cs="Times New Roman"/>
          <w:noProof/>
          <w:color w:val="000000" w:themeColor="text1"/>
        </w:rPr>
      </w:pPr>
      <w:r>
        <w:rPr>
          <w:rFonts w:ascii="Times New Roman" w:hAnsi="Times New Roman"/>
          <w:noProof/>
          <w:color w:val="000000" w:themeColor="text1"/>
        </w:rPr>
        <w:t>Biex jitnaqqas id-</w:t>
      </w:r>
      <w:r>
        <w:rPr>
          <w:rFonts w:ascii="Times New Roman" w:hAnsi="Times New Roman"/>
          <w:b/>
          <w:noProof/>
          <w:color w:val="000000" w:themeColor="text1"/>
        </w:rPr>
        <w:t>distakk bejn ir-riċerka u l-innovazzjoni (R&amp;I) u l-adozzjoni mis-suq</w:t>
      </w:r>
      <w:r>
        <w:rPr>
          <w:rFonts w:ascii="Times New Roman" w:hAnsi="Times New Roman"/>
          <w:noProof/>
          <w:color w:val="000000" w:themeColor="text1"/>
        </w:rPr>
        <w:t xml:space="preserve"> f’setturi ġodda jew fi stadju bikri tat-teknoloġija nadifa, il-Kummissjoni se tkompli tappoġġja r-</w:t>
      </w:r>
      <w:r>
        <w:rPr>
          <w:rFonts w:ascii="Times New Roman" w:hAnsi="Times New Roman"/>
          <w:b/>
          <w:noProof/>
          <w:color w:val="000000" w:themeColor="text1"/>
        </w:rPr>
        <w:t>riċerka u l-innovazzjoni</w:t>
      </w:r>
      <w:r>
        <w:rPr>
          <w:rFonts w:ascii="Times New Roman" w:hAnsi="Times New Roman"/>
          <w:noProof/>
          <w:color w:val="000000" w:themeColor="text1"/>
        </w:rPr>
        <w:t xml:space="preserve"> fi sħubija mill-qrib mal-Istati Membri permezz tal-Pjan Strateġiku Ewropew għat-Teknoloġija tal-Enerġija (SET) u l-Gruppi ta’ Ħidma ta’ Implimentazzjoni tiegħu biex tiddefinixxi aġendi konġunti ta’ riċerka u innovazzjoni f’setturi strateġiċi bħal dak ippubblikat reċentement dwar it-teknoloġiji solari</w:t>
      </w:r>
      <w:r>
        <w:rPr>
          <w:rStyle w:val="FootnoteReference"/>
          <w:rFonts w:ascii="Times New Roman" w:eastAsia="Times New Roman" w:hAnsi="Times New Roman" w:cs="Times New Roman"/>
          <w:noProof/>
          <w:color w:val="000000" w:themeColor="text1"/>
          <w:lang w:val="en-GB"/>
        </w:rPr>
        <w:footnoteReference w:id="66"/>
      </w:r>
      <w:r>
        <w:rPr>
          <w:rFonts w:ascii="Times New Roman" w:hAnsi="Times New Roman"/>
          <w:noProof/>
          <w:color w:val="000000" w:themeColor="text1"/>
        </w:rPr>
        <w:t>. Huwa kruċjali wkoll li jitrawmu sħubijiet mas-setturi industrijali u tat-trasport biex jitħaffef l-iżvilupp ta’ teknoloġiji b’emissjonijiet żero netti, titħaffef l-adozzjoni mis-suq tar-riżultati tar-R&amp;I u tissaħħaħ il-bażi tal-manifattura tal-UE, pereżempju billi jiġu żviluppati rabtiet b’saħħithom bejn il-Pjattaformi Ewropej tat-Teknoloġija u l-Innovazzjoni u l-alleanzi industrijali (l-Alleanza Ewropea tal-Batteriji, l-Alleanza Ewropea għall-Idroġenu Nadif u l-Alleanza għall-Industrija tas-Sistemi Fotovoltajċi Solari), biex jiġi promoss l-iżvilupp ta’ proġetti ta’ investiment vijabbli u l-kapaċità tal-manifattura f’teknoloġiji tal-enerġija nadifa fl-UE, u biex jiġu indirizzati l-ostakli tas-suq, regolatorji, infrastrutturali u teknoloġiċi għall-użu fuq skala kbira tagħhom. Il-Fond għall-Innovazzjoni, bil-baġit stmat tiegħu ta’ madwar EUR 40 biljun sal-2030 mill-bejgħ tal-kwoti tal-EU ETS, għandu rwol kruċjali f’dan ir-rigward. Id-djalogu ta’ tranżizzjoni lejn enerġija nadifa</w:t>
      </w:r>
      <w:r>
        <w:rPr>
          <w:rFonts w:ascii="Times New Roman" w:hAnsi="Times New Roman"/>
          <w:noProof/>
          <w:color w:val="000000" w:themeColor="text1"/>
          <w:vertAlign w:val="superscript"/>
        </w:rPr>
        <w:t>2</w:t>
      </w:r>
      <w:r>
        <w:rPr>
          <w:rFonts w:ascii="Times New Roman" w:hAnsi="Times New Roman"/>
          <w:noProof/>
          <w:color w:val="000000" w:themeColor="text1"/>
        </w:rPr>
        <w:t xml:space="preserve"> mal-industrija u mas-sħab soċjali għen biex tissaħħaħ u tiġi appoġġjata l-implimentazzjoni tal-Patt Ekoloġiku Ewropew, u b’hekk ikkontribwixxa għal approċċ industrijali msaħħaħ.</w:t>
      </w:r>
    </w:p>
    <w:p w14:paraId="43B4E20D" w14:textId="77777777" w:rsidR="00EB647D" w:rsidRPr="00EB647D" w:rsidRDefault="00EB647D" w:rsidP="00EB647D">
      <w:pPr>
        <w:spacing w:before="120" w:after="120" w:line="276" w:lineRule="auto"/>
        <w:jc w:val="both"/>
        <w:rPr>
          <w:rFonts w:ascii="Times New Roman" w:hAnsi="Times New Roman" w:cs="Times New Roman"/>
          <w:b/>
          <w:bCs/>
          <w:noProof/>
        </w:rPr>
      </w:pPr>
      <w:r>
        <w:rPr>
          <w:rFonts w:ascii="Times New Roman" w:hAnsi="Times New Roman"/>
          <w:b/>
          <w:noProof/>
        </w:rPr>
        <w:t>Kobenefiċċji tat-tranżizzjoni tal-enerġija</w:t>
      </w:r>
    </w:p>
    <w:p w14:paraId="2822C6ED" w14:textId="640EAF04" w:rsidR="005E7F21" w:rsidRDefault="00EB647D" w:rsidP="003955F0">
      <w:pPr>
        <w:spacing w:before="120" w:after="120" w:line="276" w:lineRule="auto"/>
        <w:jc w:val="both"/>
        <w:rPr>
          <w:rFonts w:ascii="Times New Roman" w:eastAsia="Times New Roman" w:hAnsi="Times New Roman" w:cs="Times New Roman"/>
          <w:noProof/>
          <w:color w:val="000000" w:themeColor="text1"/>
        </w:rPr>
      </w:pPr>
      <w:r>
        <w:rPr>
          <w:rFonts w:ascii="Times New Roman" w:hAnsi="Times New Roman"/>
          <w:noProof/>
        </w:rPr>
        <w:t>Lil hinn mid-dekarbonizzazzjoni, iż-żieda fl-effiċjenza enerġetika u l-użu ta’ sorsi ta’ enerġija rinnovabbli li ma jinħarqux jgħinu biex jitnaqqas it-tniġġis f’konformità mal-għanijiet stabbiliti fil-Pjan ta’ Azzjoni ta’ Tniġġis Żero</w:t>
      </w:r>
      <w:r w:rsidRPr="00EB647D">
        <w:rPr>
          <w:rStyle w:val="FootnoteReference"/>
          <w:rFonts w:ascii="Times New Roman" w:hAnsi="Times New Roman" w:cs="Times New Roman"/>
          <w:noProof/>
          <w:lang w:val="en-IE"/>
        </w:rPr>
        <w:footnoteReference w:id="67"/>
      </w:r>
      <w:r>
        <w:rPr>
          <w:rFonts w:ascii="Times New Roman" w:hAnsi="Times New Roman"/>
          <w:noProof/>
        </w:rPr>
        <w:t>, eż. billi jiġi indirizzat it-</w:t>
      </w:r>
      <w:r>
        <w:rPr>
          <w:rFonts w:ascii="Times New Roman" w:hAnsi="Times New Roman"/>
          <w:b/>
          <w:noProof/>
        </w:rPr>
        <w:t>tniġġis tal-arja</w:t>
      </w:r>
      <w:r>
        <w:rPr>
          <w:rFonts w:ascii="Times New Roman" w:hAnsi="Times New Roman"/>
          <w:noProof/>
        </w:rPr>
        <w:t xml:space="preserve"> u jitnaqqsu l-imwiet prematuri assoċjati u l-impatti tal-ekosistema. Miżuri ambizzjużi għalhekk se jgħinu lill-Istati Membri biex iwettqu miri marbuta mal-arja nadifa, inklużi l-istandards aktar ambizzjużi tal-kwalità tal-arja tad-Direttiva riveduta dwar il-Kwalità tal-Arja fl-Ambjent. L-evalwazzjonijiet (kontinwi) tar-Regolament dwar il-Governanza u tad-Direttiva tal-Impenji għat-Tnaqqis tal-Emissjonijiet Nazzjonali 2016/2284 huma opportunità biex jiġu ssimplifikati aktar ir-rabtiet bejn l-enerġija u l-klima u l-politika dwar l-arja nadifa.</w:t>
      </w:r>
      <w:r w:rsidRPr="00EB647D">
        <w:rPr>
          <w:rStyle w:val="FootnoteReference"/>
          <w:rFonts w:ascii="Times New Roman" w:hAnsi="Times New Roman" w:cs="Times New Roman"/>
          <w:noProof/>
          <w:lang w:val="en-IE"/>
        </w:rPr>
        <w:footnoteReference w:id="68"/>
      </w:r>
      <w:r>
        <w:rPr>
          <w:rFonts w:ascii="Times New Roman" w:hAnsi="Times New Roman"/>
          <w:noProof/>
        </w:rPr>
        <w:t xml:space="preserve"> </w:t>
      </w:r>
    </w:p>
    <w:p w14:paraId="414AE349" w14:textId="7B99D423" w:rsidR="7352656F" w:rsidRPr="003955F0" w:rsidRDefault="003955F0" w:rsidP="003955F0">
      <w:pPr>
        <w:pStyle w:val="ListParagraph"/>
        <w:numPr>
          <w:ilvl w:val="0"/>
          <w:numId w:val="4"/>
        </w:numPr>
        <w:spacing w:before="120" w:after="120" w:line="276" w:lineRule="auto"/>
        <w:contextualSpacing w:val="0"/>
        <w:jc w:val="both"/>
        <w:rPr>
          <w:rFonts w:ascii="Times New Roman" w:hAnsi="Times New Roman" w:cs="Times New Roman"/>
          <w:b/>
          <w:noProof/>
        </w:rPr>
      </w:pPr>
      <w:r>
        <w:rPr>
          <w:rFonts w:ascii="Times New Roman" w:hAnsi="Times New Roman"/>
          <w:b/>
          <w:noProof/>
        </w:rPr>
        <w:t>KONKLUŻJONIJIET</w:t>
      </w:r>
    </w:p>
    <w:p w14:paraId="71C73E02" w14:textId="2F55CA32" w:rsidR="00EB1DE6" w:rsidRPr="003955F0" w:rsidRDefault="009E676A" w:rsidP="003955F0">
      <w:pPr>
        <w:spacing w:before="120" w:after="120" w:line="276" w:lineRule="auto"/>
        <w:jc w:val="both"/>
        <w:rPr>
          <w:rFonts w:ascii="Times New Roman" w:eastAsia="Times New Roman" w:hAnsi="Times New Roman" w:cs="Times New Roman"/>
          <w:noProof/>
        </w:rPr>
      </w:pPr>
      <w:r>
        <w:rPr>
          <w:rFonts w:ascii="Times New Roman" w:hAnsi="Times New Roman"/>
          <w:noProof/>
        </w:rPr>
        <w:t xml:space="preserve">Matul dawn l-aħħar snin, l-UE wriet li onorat l-impenji tagħha, billi ħadet azzjonijiet determinati biex tiżgura s-sigurtà tagħha, il-progress fit-tranżizzjoni lejn enerġija nadifa u s-solidarjetà bla waqfien mal-Ukrajna. Aġixxiet b’mod unit biex jintlaħqu l-objettivi tal-Pjan REPowerEU, bil-ħsieb li tinbena sistema tal-enerġija aktar sigura u dekarbonizzata għall-Ewropej kollha. </w:t>
      </w:r>
    </w:p>
    <w:p w14:paraId="56B6EAA6" w14:textId="4BEDBEA8" w:rsidR="006205B9" w:rsidRPr="003955F0" w:rsidRDefault="006205B9" w:rsidP="003955F0">
      <w:pPr>
        <w:spacing w:before="120" w:after="120" w:line="276" w:lineRule="auto"/>
        <w:jc w:val="both"/>
        <w:rPr>
          <w:rFonts w:ascii="Times New Roman" w:eastAsia="Times New Roman" w:hAnsi="Times New Roman" w:cs="Times New Roman"/>
          <w:noProof/>
        </w:rPr>
      </w:pPr>
      <w:r>
        <w:rPr>
          <w:rFonts w:ascii="Times New Roman" w:hAnsi="Times New Roman"/>
          <w:noProof/>
        </w:rPr>
        <w:t>Tali objettiv xejn mhuwa faċli, speċjalment fid-dawl tal-kuntest ġeopolitiku li qed jevolvi malajr u l-kriżijiet bla preċedent li tiffaċċja l-UE. Madankollu, kif muri mid-</w:t>
      </w:r>
      <w:r>
        <w:rPr>
          <w:rFonts w:ascii="Times New Roman" w:hAnsi="Times New Roman"/>
          <w:i/>
          <w:iCs/>
          <w:noProof/>
        </w:rPr>
        <w:t>data</w:t>
      </w:r>
      <w:r>
        <w:rPr>
          <w:rFonts w:ascii="Times New Roman" w:hAnsi="Times New Roman"/>
          <w:noProof/>
        </w:rPr>
        <w:t xml:space="preserve"> ppreżentata f’dan ir-rapport, l-azzjoni f’waqtha u miftiehma fil-livelli tal-Istati Membri, tal-UE u taċ-ċittadini, evitat l-agħar effetti tal-kriżi tal-enerġija billi ffrankat l-enerġija, iddiversifikat il-provvisti tagħna u ħadet azzjoni biex tindirizza l-fatturi li wasslu għad-dgħufijiet strutturali tal-UE billi saħħet il-miżuri lejn in-newtralità klimatika, u unjoni tal-enerġija ġenwina, iċċentrata fuq iż-żieda tal-enerġija nadifa. </w:t>
      </w:r>
    </w:p>
    <w:p w14:paraId="6126086B" w14:textId="7CDD7438" w:rsidR="00371327" w:rsidRPr="003955F0" w:rsidRDefault="00573869" w:rsidP="003955F0">
      <w:pPr>
        <w:spacing w:before="120" w:after="120" w:line="276" w:lineRule="auto"/>
        <w:jc w:val="both"/>
        <w:rPr>
          <w:rFonts w:ascii="Times New Roman" w:eastAsia="Times New Roman" w:hAnsi="Times New Roman" w:cs="Times New Roman"/>
          <w:noProof/>
        </w:rPr>
      </w:pPr>
      <w:r>
        <w:rPr>
          <w:rFonts w:ascii="Times New Roman" w:hAnsi="Times New Roman"/>
          <w:noProof/>
        </w:rPr>
        <w:t>F’dinja dejjem aktar maqsuma mil-lat ġeopolitiku, l-importanza tal-kwistjonijiet tas-sigurtà tal-provvista, tas-sigurtà tal-enerġija, tas-sostenibbiltà u tar-reżiljenza flimkien ma’ impatti dejjem akbar tat-tibdil fil-klima fuq it-tħejjija fis-settur tal-enerġija, ġew enfasizzati, bħall-isfida għall-kompetittività tal-industrija, it-trasport u l-provvista ta’ materja prima kritika tal-UE. Hawnhekk l-UE aġixxiet malajr billi saħħet is-sħubijiet internazzjonali tagħha u billi adottat l-NZIA u l-Att dwar il-Materja Prima Kritika, iżda wkoll billi talbet riflessjonijiet strateġiċi minn Mario Draghi u Enrico Letta.</w:t>
      </w:r>
    </w:p>
    <w:p w14:paraId="28C323C2" w14:textId="225D0F36" w:rsidR="00302DDF" w:rsidRDefault="001172B0" w:rsidP="003955F0">
      <w:pPr>
        <w:spacing w:before="120" w:after="120" w:line="276" w:lineRule="auto"/>
        <w:jc w:val="both"/>
        <w:rPr>
          <w:rFonts w:ascii="Times New Roman" w:eastAsia="Times New Roman" w:hAnsi="Times New Roman" w:cs="Times New Roman"/>
          <w:noProof/>
        </w:rPr>
      </w:pPr>
      <w:r>
        <w:rPr>
          <w:rFonts w:ascii="Times New Roman" w:hAnsi="Times New Roman"/>
          <w:noProof/>
        </w:rPr>
        <w:t xml:space="preserve">Permezz ta’ pedament sod imsawwar minn kooperazzjoni u solidarjetà bla waqfien, l-UE hija ppreparata aħjar biex tinnaviga l-bidliet qawwija u l-isfidi li ġejjin, </w:t>
      </w:r>
    </w:p>
    <w:p w14:paraId="2C87254F" w14:textId="25CFA318" w:rsidR="00815EDF" w:rsidRDefault="00302DDF" w:rsidP="003955F0">
      <w:pPr>
        <w:spacing w:before="120" w:after="120" w:line="276" w:lineRule="auto"/>
        <w:jc w:val="both"/>
        <w:rPr>
          <w:rFonts w:ascii="Times New Roman" w:eastAsia="Times New Roman" w:hAnsi="Times New Roman" w:cs="Times New Roman"/>
          <w:noProof/>
        </w:rPr>
      </w:pPr>
      <w:r>
        <w:rPr>
          <w:rFonts w:ascii="Times New Roman" w:hAnsi="Times New Roman"/>
          <w:noProof/>
        </w:rPr>
        <w:t xml:space="preserve">Madankollu, sfidi ġodda u emerġenti bħad-diskrepanza fl-ambizzjoni fl-enerġija rinnovabbli u l-miri tal-effiċjenza enerġetika, iż-żieda fil-faqar enerġetiku, id-differenza fil-prezzijiet tal-enerġija meta mqabbla ma’ kompetituri globali oħra u r-riskju ta’ dipendenzi kritiċi strateġiċi ġodda jeħtieġu fis-snin li ġejjin rispons politiku deċiżiv u bidla radikali fl-isforzi kemm fil-livell tal-UE kif ukoll tal-Istati Membri, permezz ta’ aktar koordinazzjoni, integrazzjoni tas-suq u azzjoni konġunta. </w:t>
      </w:r>
    </w:p>
    <w:p w14:paraId="4402DB56" w14:textId="4A38F27F" w:rsidR="005564DC" w:rsidRPr="003955F0" w:rsidRDefault="00DB0D09" w:rsidP="003955F0">
      <w:pPr>
        <w:spacing w:before="120" w:after="120" w:line="276" w:lineRule="auto"/>
        <w:jc w:val="both"/>
        <w:rPr>
          <w:rFonts w:ascii="Times New Roman" w:eastAsia="Times New Roman" w:hAnsi="Times New Roman" w:cs="Times New Roman"/>
          <w:noProof/>
        </w:rPr>
      </w:pPr>
      <w:r>
        <w:rPr>
          <w:rFonts w:ascii="Times New Roman" w:hAnsi="Times New Roman"/>
          <w:noProof/>
        </w:rPr>
        <w:t>Is-sottomissjoni tal-Istati Membri tal-Pjanijiet Nazzjonali għall-Enerġija u l-Klima (NECPs) aġġornati finali tagħhom tippreżenta pass importanti f’dan ir-rigward peress li t-tnejn li huma se jkollhom jissodisfaw l-ambizzjoni tal-miri tal-UE għall-2030 u jkomplu jħaffu l-implimentazzjoni lejn dawn il-miri u għalhekk huma fiċ-ċentru tal-istrateġija tat-twettiq tal-UE u tal-Istati Membri lejn l-objettivi tal-Unjoni tal-Enerġija.  Fil-kuntest ta’ enfasi dejjem akbar fuq l-implimentazzjoni tal-leġiżlazzjoni tal-UE dwar il-klima u l-enerġija, l-Istati Membri kollha jridu jżidu l-isforzi biex jiżguraw livell suffiċjenti ta’ ambizzjoni u jiżguraw li l-Unjoni Ewropea tkun fit-triq it-tajba lejn il-miri kollettivi tagħha dwar l-enerġija u l-klima għall-2030. Il-Kummissjoni tħeġġeġ lill-Istati Membri li għad fadal biex jippreżentaw il-pjanijiet tagħhom mingħajr dewmien ħalli tkun tista’ ssir valutazzjoni rapida u komprensiva fil-livell tal-UE, filwaqt li ntwerew li jagħtu spinta soda biex jiġu indirizzati l-punti fejn weħilna, jiġu diskussi l-aħjar prattiki, u tittejjeb il-koordinazzjoni reġjonali u jsir possibbli l-ilħuq rapidu u flessibbli tal-objettivi tagħna għall-2030.</w:t>
      </w:r>
    </w:p>
    <w:p w14:paraId="1E3A1D65" w14:textId="77777777" w:rsidR="00181DDC" w:rsidRPr="009E53D0" w:rsidRDefault="00181DDC" w:rsidP="00213064">
      <w:pPr>
        <w:spacing w:before="120" w:after="120" w:line="276" w:lineRule="auto"/>
        <w:jc w:val="both"/>
        <w:rPr>
          <w:rFonts w:ascii="Times New Roman" w:eastAsia="Times New Roman" w:hAnsi="Times New Roman" w:cs="Times New Roman"/>
          <w:noProof/>
        </w:rPr>
      </w:pPr>
    </w:p>
    <w:p w14:paraId="6BA343C4" w14:textId="373C925E" w:rsidR="00FA76C0" w:rsidRPr="009E53D0" w:rsidRDefault="00FA76C0" w:rsidP="0023570B">
      <w:pPr>
        <w:spacing w:before="120" w:after="120" w:line="276" w:lineRule="auto"/>
        <w:rPr>
          <w:rFonts w:ascii="Times New Roman" w:eastAsia="Times New Roman" w:hAnsi="Times New Roman" w:cs="Times New Roman"/>
          <w:noProof/>
        </w:rPr>
      </w:pPr>
    </w:p>
    <w:sectPr w:rsidR="00FA76C0" w:rsidRPr="009E53D0" w:rsidSect="00F306C7">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C9A8FD" w14:textId="77777777" w:rsidR="00AA725D" w:rsidRDefault="00AA725D" w:rsidP="009F47C8">
      <w:pPr>
        <w:spacing w:after="0" w:line="240" w:lineRule="auto"/>
      </w:pPr>
      <w:r>
        <w:separator/>
      </w:r>
    </w:p>
  </w:endnote>
  <w:endnote w:type="continuationSeparator" w:id="0">
    <w:p w14:paraId="79195AAC" w14:textId="77777777" w:rsidR="00AA725D" w:rsidRDefault="00AA725D" w:rsidP="009F47C8">
      <w:pPr>
        <w:spacing w:after="0" w:line="240" w:lineRule="auto"/>
      </w:pPr>
      <w:r>
        <w:continuationSeparator/>
      </w:r>
    </w:p>
  </w:endnote>
  <w:endnote w:type="continuationNotice" w:id="1">
    <w:p w14:paraId="284BF41B" w14:textId="77777777" w:rsidR="00AA725D" w:rsidRDefault="00AA72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quot;Aptos&quot;,sans-serif">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1B3612" w14:textId="6CDBD974" w:rsidR="004D63FD" w:rsidRPr="004D63FD" w:rsidRDefault="004D63FD" w:rsidP="004D63FD">
    <w:pPr>
      <w:pStyle w:val="FooterCoverPage"/>
      <w:rPr>
        <w:rFonts w:ascii="Arial" w:hAnsi="Arial" w:cs="Arial"/>
        <w:b/>
        <w:sz w:val="48"/>
      </w:rPr>
    </w:pPr>
    <w:r w:rsidRPr="004D63FD">
      <w:rPr>
        <w:rFonts w:ascii="Arial" w:hAnsi="Arial" w:cs="Arial"/>
        <w:b/>
        <w:sz w:val="48"/>
      </w:rPr>
      <w:t>MT</w:t>
    </w:r>
    <w:r w:rsidRPr="004D63FD">
      <w:rPr>
        <w:rFonts w:ascii="Arial" w:hAnsi="Arial" w:cs="Arial"/>
        <w:b/>
        <w:sz w:val="48"/>
      </w:rPr>
      <w:tab/>
    </w:r>
    <w:r w:rsidRPr="004D63FD">
      <w:rPr>
        <w:rFonts w:ascii="Arial" w:hAnsi="Arial" w:cs="Arial"/>
        <w:b/>
        <w:sz w:val="48"/>
      </w:rPr>
      <w:tab/>
    </w:r>
    <w:r w:rsidRPr="004D63FD">
      <w:tab/>
    </w:r>
    <w:r w:rsidRPr="004D63FD">
      <w:rPr>
        <w:rFonts w:ascii="Arial" w:hAnsi="Arial" w:cs="Arial"/>
        <w:b/>
        <w:sz w:val="48"/>
      </w:rPr>
      <w:t>MT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68758B" w14:textId="56BADC5A" w:rsidR="004D63FD" w:rsidRPr="004D63FD" w:rsidRDefault="004D63FD" w:rsidP="004D63FD">
    <w:pPr>
      <w:pStyle w:val="FooterCoverPage"/>
      <w:rPr>
        <w:rFonts w:ascii="Arial" w:hAnsi="Arial" w:cs="Arial"/>
        <w:b/>
        <w:sz w:val="48"/>
      </w:rPr>
    </w:pPr>
    <w:r w:rsidRPr="004D63FD">
      <w:rPr>
        <w:rFonts w:ascii="Arial" w:hAnsi="Arial" w:cs="Arial"/>
        <w:b/>
        <w:sz w:val="48"/>
      </w:rPr>
      <w:t>MT</w:t>
    </w:r>
    <w:r w:rsidRPr="004D63FD">
      <w:rPr>
        <w:rFonts w:ascii="Arial" w:hAnsi="Arial" w:cs="Arial"/>
        <w:b/>
        <w:sz w:val="48"/>
      </w:rPr>
      <w:tab/>
    </w:r>
    <w:r w:rsidRPr="004D63FD">
      <w:rPr>
        <w:rFonts w:ascii="Arial" w:hAnsi="Arial" w:cs="Arial"/>
        <w:b/>
        <w:sz w:val="48"/>
      </w:rPr>
      <w:tab/>
    </w:r>
    <w:r w:rsidRPr="004D63FD">
      <w:tab/>
    </w:r>
    <w:r w:rsidRPr="004D63FD">
      <w:rPr>
        <w:rFonts w:ascii="Arial" w:hAnsi="Arial" w:cs="Arial"/>
        <w:b/>
        <w:sz w:val="48"/>
      </w:rPr>
      <w:t>MT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135278" w14:textId="77777777" w:rsidR="004D63FD" w:rsidRPr="004D63FD" w:rsidRDefault="004D63FD" w:rsidP="004D63FD">
    <w:pPr>
      <w:pStyle w:val="FooterCoverPag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62E1F0" w14:textId="77777777" w:rsidR="00493378" w:rsidRDefault="0049337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1716066"/>
      <w:docPartObj>
        <w:docPartGallery w:val="Page Numbers (Bottom of Page)"/>
        <w:docPartUnique/>
      </w:docPartObj>
    </w:sdtPr>
    <w:sdtEndPr>
      <w:rPr>
        <w:noProof/>
      </w:rPr>
    </w:sdtEndPr>
    <w:sdtContent>
      <w:p w14:paraId="0ABB7BB9" w14:textId="36331721" w:rsidR="00F566BC" w:rsidRDefault="00F566BC">
        <w:pPr>
          <w:pStyle w:val="Footer"/>
          <w:jc w:val="center"/>
        </w:pPr>
        <w:r>
          <w:fldChar w:fldCharType="begin"/>
        </w:r>
        <w:r>
          <w:instrText xml:space="preserve"> PAGE   \* MERGEFORMAT </w:instrText>
        </w:r>
        <w:r>
          <w:fldChar w:fldCharType="separate"/>
        </w:r>
        <w:r w:rsidR="004D63FD">
          <w:rPr>
            <w:noProof/>
          </w:rPr>
          <w:t>1</w:t>
        </w:r>
        <w:r>
          <w:fldChar w:fldCharType="end"/>
        </w:r>
      </w:p>
    </w:sdtContent>
  </w:sdt>
  <w:p w14:paraId="41A4CB1C" w14:textId="77777777" w:rsidR="00493378" w:rsidRDefault="00493378">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0E5CAF" w14:textId="77777777" w:rsidR="00493378" w:rsidRDefault="004933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ADD256" w14:textId="77777777" w:rsidR="00AA725D" w:rsidRDefault="00AA725D" w:rsidP="009F47C8">
      <w:pPr>
        <w:spacing w:after="0" w:line="240" w:lineRule="auto"/>
      </w:pPr>
      <w:r>
        <w:separator/>
      </w:r>
    </w:p>
  </w:footnote>
  <w:footnote w:type="continuationSeparator" w:id="0">
    <w:p w14:paraId="58AD6343" w14:textId="77777777" w:rsidR="00AA725D" w:rsidRDefault="00AA725D" w:rsidP="009F47C8">
      <w:pPr>
        <w:spacing w:after="0" w:line="240" w:lineRule="auto"/>
      </w:pPr>
      <w:r>
        <w:continuationSeparator/>
      </w:r>
    </w:p>
  </w:footnote>
  <w:footnote w:type="continuationNotice" w:id="1">
    <w:p w14:paraId="58A6F7AC" w14:textId="77777777" w:rsidR="00AA725D" w:rsidRDefault="00AA725D">
      <w:pPr>
        <w:spacing w:after="0" w:line="240" w:lineRule="auto"/>
      </w:pPr>
    </w:p>
  </w:footnote>
  <w:footnote w:id="2">
    <w:p w14:paraId="1BC88FB0" w14:textId="1CE848C2" w:rsidR="008F2268" w:rsidRPr="00E961F1" w:rsidRDefault="008F2268">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Ir-Reviżjoni tad-Direttiva dwar it-Tassazzjoni fuq l-Enerġija qed tiġi diskussa fil-Kunsill.  </w:t>
      </w:r>
    </w:p>
  </w:footnote>
  <w:footnote w:id="3">
    <w:p w14:paraId="0E2EB263" w14:textId="599847B5" w:rsidR="006E5E41" w:rsidRPr="00912589" w:rsidRDefault="006E5E41" w:rsidP="001B0D59">
      <w:pPr>
        <w:pStyle w:val="FootnoteText"/>
        <w:ind w:left="357" w:hanging="357"/>
        <w:jc w:val="both"/>
        <w:rPr>
          <w:rFonts w:ascii="Times New Roman" w:hAnsi="Times New Roman" w:cs="Times New Roman"/>
        </w:rPr>
      </w:pPr>
      <w:r>
        <w:rPr>
          <w:rStyle w:val="FootnoteReference"/>
          <w:rFonts w:ascii="Times New Roman" w:hAnsi="Times New Roman" w:cs="Times New Roman"/>
          <w:lang w:val="en-GB"/>
        </w:rPr>
        <w:footnoteRef/>
      </w:r>
      <w:r>
        <w:rPr>
          <w:rFonts w:ascii="Times New Roman" w:hAnsi="Times New Roman"/>
        </w:rPr>
        <w:t xml:space="preserve"> </w:t>
      </w:r>
      <w:r>
        <w:rPr>
          <w:rFonts w:ascii="Times New Roman" w:hAnsi="Times New Roman"/>
        </w:rPr>
        <w:tab/>
        <w:t>Ir-Regolament (UE) 2021/1119, l-Artikolu 4</w:t>
      </w:r>
    </w:p>
  </w:footnote>
  <w:footnote w:id="4">
    <w:p w14:paraId="29D347EF" w14:textId="692F608F" w:rsidR="003A4205" w:rsidRPr="00912589" w:rsidRDefault="003A4205" w:rsidP="001B0D59">
      <w:pPr>
        <w:pStyle w:val="FootnoteText"/>
        <w:ind w:left="357" w:hanging="357"/>
        <w:jc w:val="both"/>
        <w:rPr>
          <w:rFonts w:ascii="Times New Roman" w:hAnsi="Times New Roman" w:cs="Times New Roman"/>
        </w:rPr>
      </w:pPr>
      <w:r>
        <w:rPr>
          <w:rStyle w:val="FootnoteReference"/>
          <w:rFonts w:ascii="Times New Roman" w:hAnsi="Times New Roman" w:cs="Times New Roman"/>
          <w:lang w:val="en-GB"/>
        </w:rPr>
        <w:footnoteRef/>
      </w:r>
      <w:r>
        <w:rPr>
          <w:rFonts w:ascii="Times New Roman" w:hAnsi="Times New Roman"/>
        </w:rPr>
        <w:t xml:space="preserve"> </w:t>
      </w:r>
      <w:r>
        <w:rPr>
          <w:rFonts w:ascii="Times New Roman" w:hAnsi="Times New Roman"/>
        </w:rPr>
        <w:tab/>
        <w:t>COM(2024) 63 final</w:t>
      </w:r>
    </w:p>
  </w:footnote>
  <w:footnote w:id="5">
    <w:p w14:paraId="6A2467FE" w14:textId="4203CAF6" w:rsidR="00F545B6" w:rsidRPr="006B0F06" w:rsidRDefault="00F545B6" w:rsidP="001B0D59">
      <w:pPr>
        <w:pStyle w:val="FootnoteText"/>
        <w:ind w:left="357" w:hanging="357"/>
        <w:jc w:val="both"/>
        <w:rPr>
          <w:rFonts w:ascii="Times New Roman" w:hAnsi="Times New Roman" w:cs="Times New Roman"/>
        </w:rPr>
      </w:pPr>
      <w:r>
        <w:rPr>
          <w:rStyle w:val="FootnoteReference"/>
          <w:rFonts w:ascii="Times New Roman" w:hAnsi="Times New Roman" w:cs="Times New Roman"/>
          <w:lang w:val="en-GB"/>
        </w:rPr>
        <w:footnoteRef/>
      </w:r>
      <w:r>
        <w:rPr>
          <w:rFonts w:ascii="Times New Roman" w:hAnsi="Times New Roman"/>
        </w:rPr>
        <w:t xml:space="preserve"> </w:t>
      </w:r>
      <w:r>
        <w:rPr>
          <w:rFonts w:ascii="Times New Roman" w:hAnsi="Times New Roman"/>
        </w:rPr>
        <w:tab/>
        <w:t>COM(2023) 650 final</w:t>
      </w:r>
    </w:p>
  </w:footnote>
  <w:footnote w:id="6">
    <w:p w14:paraId="5AE8985B" w14:textId="77777777" w:rsidR="00CE06E3" w:rsidRPr="002D4F97" w:rsidRDefault="00CE06E3" w:rsidP="00CE06E3">
      <w:pPr>
        <w:pStyle w:val="FootnoteText"/>
        <w:ind w:left="357" w:hanging="357"/>
        <w:jc w:val="both"/>
        <w:rPr>
          <w:rFonts w:ascii="Times New Roman" w:hAnsi="Times New Roman" w:cs="Times New Roman"/>
        </w:rPr>
      </w:pPr>
      <w:r>
        <w:rPr>
          <w:rStyle w:val="FootnoteReference"/>
          <w:rFonts w:ascii="Times New Roman" w:hAnsi="Times New Roman" w:cs="Times New Roman"/>
          <w:lang w:val="en-GB"/>
        </w:rPr>
        <w:footnoteRef/>
      </w:r>
      <w:r>
        <w:rPr>
          <w:rFonts w:ascii="Times New Roman" w:hAnsi="Times New Roman"/>
        </w:rPr>
        <w:t xml:space="preserve"> </w:t>
      </w:r>
      <w:r>
        <w:rPr>
          <w:rFonts w:ascii="Times New Roman" w:hAnsi="Times New Roman"/>
        </w:rPr>
        <w:tab/>
        <w:t>L-emissjonijiet tal-avjazzjoni internazzjonali u dawk marittimi esklużi</w:t>
      </w:r>
    </w:p>
  </w:footnote>
  <w:footnote w:id="7">
    <w:p w14:paraId="3851760D" w14:textId="37E5F919" w:rsidR="001D4BA4" w:rsidRPr="006B0F06" w:rsidRDefault="001D4BA4" w:rsidP="001B0D59">
      <w:pPr>
        <w:pStyle w:val="FootnoteText"/>
        <w:ind w:left="357" w:hanging="357"/>
        <w:jc w:val="both"/>
      </w:pPr>
      <w:r>
        <w:rPr>
          <w:rStyle w:val="FootnoteReference"/>
          <w:rFonts w:ascii="Times New Roman" w:hAnsi="Times New Roman" w:cs="Times New Roman"/>
        </w:rPr>
        <w:footnoteRef/>
      </w:r>
      <w:r>
        <w:rPr>
          <w:rFonts w:ascii="Times New Roman" w:hAnsi="Times New Roman"/>
        </w:rPr>
        <w:t xml:space="preserve"> </w:t>
      </w:r>
      <w:r>
        <w:rPr>
          <w:rFonts w:ascii="Times New Roman" w:hAnsi="Times New Roman"/>
        </w:rPr>
        <w:tab/>
      </w:r>
      <w:hyperlink r:id="rId1" w:history="1">
        <w:r>
          <w:rPr>
            <w:rStyle w:val="Hyperlink"/>
            <w:rFonts w:ascii="Times New Roman" w:hAnsi="Times New Roman"/>
          </w:rPr>
          <w:t>https://energy.ec.europa.eu/topics/infrastructure/projects-common-interest-and-projects-mutual-interest/key-cross-border-infrastructure-projects_mt</w:t>
        </w:r>
      </w:hyperlink>
      <w:r>
        <w:rPr>
          <w:rFonts w:ascii="Times New Roman" w:hAnsi="Times New Roman"/>
        </w:rPr>
        <w:t xml:space="preserve"> </w:t>
      </w:r>
    </w:p>
  </w:footnote>
  <w:footnote w:id="8">
    <w:p w14:paraId="3035A469" w14:textId="29213A6F" w:rsidR="00DD2EB5" w:rsidRPr="00DD2EB5" w:rsidRDefault="00D44224" w:rsidP="00D44224">
      <w:pPr>
        <w:pStyle w:val="FootnoteText"/>
        <w:jc w:val="both"/>
        <w:rPr>
          <w:rFonts w:ascii="Times New Roman" w:eastAsia="Times New Roman" w:hAnsi="Times New Roman" w:cs="Times New Roman"/>
          <w:color w:val="000000" w:themeColor="text1"/>
        </w:rPr>
      </w:pPr>
      <w:r>
        <w:rPr>
          <w:rStyle w:val="FootnoteReference"/>
          <w:rFonts w:ascii="Times New Roman" w:hAnsi="Times New Roman" w:cs="Times New Roman"/>
        </w:rPr>
        <w:footnoteRef/>
      </w:r>
      <w:r>
        <w:rPr>
          <w:rFonts w:ascii="Times New Roman" w:hAnsi="Times New Roman"/>
        </w:rPr>
        <w:t xml:space="preserve"> </w:t>
      </w:r>
      <w:r>
        <w:rPr>
          <w:rFonts w:ascii="Times New Roman" w:hAnsi="Times New Roman"/>
          <w:color w:val="000000" w:themeColor="text1"/>
        </w:rPr>
        <w:t>L-indikazzjonijiet bikrija (Ember) juru li fl-ewwel nofs tal-2024 madwar 50 % tal-ġenerazzjoni tal-elettriku ġiet minn sorsi rinnovabbli. Barra minn hekk, l-enerġija mir-riħ u solari ġġeneraw aktar elettriku mill-fjuwils fossili kollha flimkien.</w:t>
      </w:r>
    </w:p>
  </w:footnote>
  <w:footnote w:id="9">
    <w:p w14:paraId="294A5983" w14:textId="77777777" w:rsidR="00AD7FEF" w:rsidRPr="006704E5" w:rsidRDefault="00AD7FEF" w:rsidP="006704E5">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L-AEGEI hija Inizjattiva ta’ Tim Ewropa mmexxija mill-Kummissjoni Ewropea, li impenjat EUR 3,4 biljun f’għotjiet bejn l-2021 u l-2027, u hija appoġġjata minn 12-il Stat Membru (l-Awstrija, il-Belġju, id-Danimarka, il-Finlandja, Franza, il-Ġermanja, il-Greċja, l-Italja, in-Netherlands, il-Portugall, Spanja u l-Iżvezja), kif ukoll il-Bank Ewropew tal-Investiment (BEI) u l-Bank Ewropew għar-Rikostruzzjoni u l-Iżvilupp (BERŻ). Din l-Inizjattiva ta’ Tim Ewropa għandha l-għan li tappoġġja l-varar ta’ mill-inqas 50 GW ta’ elettriku rinnovabbli fl-Afrika u li tipprovdi aċċess għall-elettriku għal mill-inqas 100 miljun ruħ sal-2030.</w:t>
      </w:r>
    </w:p>
  </w:footnote>
  <w:footnote w:id="10">
    <w:p w14:paraId="2294D83C" w14:textId="51601785" w:rsidR="007A3018" w:rsidRPr="006704E5" w:rsidRDefault="007A3018">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Notevolment, il-proposta 18: “It-tnaqqis tad-dipendenza tal-UE minn atturi barranin fl-enerġija”.</w:t>
      </w:r>
    </w:p>
  </w:footnote>
  <w:footnote w:id="11">
    <w:p w14:paraId="4BFFA040" w14:textId="417A21C4" w:rsidR="001B179C" w:rsidRPr="00C43F02" w:rsidRDefault="001B179C" w:rsidP="00C43F02">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hyperlink r:id="rId2" w:history="1">
        <w:r>
          <w:rPr>
            <w:rStyle w:val="Hyperlink"/>
            <w:rFonts w:ascii="Times New Roman" w:hAnsi="Times New Roman"/>
          </w:rPr>
          <w:t>Appoġġ għal REPowerEU:</w:t>
        </w:r>
      </w:hyperlink>
      <w:hyperlink r:id="rId3" w:history="1">
        <w:r>
          <w:rPr>
            <w:rStyle w:val="Hyperlink"/>
            <w:rFonts w:ascii="Times New Roman" w:hAnsi="Times New Roman"/>
          </w:rPr>
          <w:t xml:space="preserve"> enerġija affordabbli, sigura u sostenibbli għall-Ewropa – Il-Kummissjoni Ewropea (europa.eu)</w:t>
        </w:r>
      </w:hyperlink>
    </w:p>
  </w:footnote>
  <w:footnote w:id="12">
    <w:p w14:paraId="157AC807" w14:textId="4E8B7197" w:rsidR="006176E3" w:rsidRPr="006176E3" w:rsidRDefault="006176E3" w:rsidP="00C43F02">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Il-valutazzjoni taf tevolvi wara l-NECPs aġġornati finali li għandhom jiġu ppreżentati mill-Istati Membri sat-30 ta’ Ġunju 2024.</w:t>
      </w:r>
    </w:p>
  </w:footnote>
  <w:footnote w:id="13">
    <w:p w14:paraId="2F41A921" w14:textId="57084DD8" w:rsidR="00B91E7E" w:rsidRPr="0095303F" w:rsidRDefault="00B91E7E" w:rsidP="006E3AD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Bħala riżultat ta’ dan, 3 % biss tal-importazzjonijiet kollha taż-żejt mhux maħdum tal-UE fi Frar 2024 ġew mill-Federazzjoni Russa meta mqabbla ma’ 27,2 % fit-tieni trimestru tal-2022.  Il-prospettiva għas-sigurtà tal-provvista taż-żejt u l-prezzijiet taż-żejt hija stabbli, peress li r-riġidità tas-suq kienet parzjalment ibbilanċjata miż-żieda fil-produzzjoni minn pajjiżi mhux tal-OPEC+, prinċipalment l-Istati Uniti. Madankollu, it-tensjonijiet ġeopolitiċi fil-Lvant Nofsani u fl-Ukrajna jenfasizzaw il-vulnerabbiltà tas-swieq globali taż-żejt.  Reċentement, l-UE adottat l-14-il pakkett ta’ sanzjonijiet immirat lejn tankers li huma parti mill-flotta mistura tar-Russja.</w:t>
      </w:r>
    </w:p>
  </w:footnote>
  <w:footnote w:id="14">
    <w:p w14:paraId="7284E9F8" w14:textId="03857CCD" w:rsidR="007A3179" w:rsidRPr="006B0F06" w:rsidRDefault="007A3179" w:rsidP="001B0D59">
      <w:pPr>
        <w:pStyle w:val="FootnoteText"/>
        <w:ind w:left="357" w:hanging="357"/>
        <w:jc w:val="both"/>
        <w:rPr>
          <w:rFonts w:ascii="Times New Roman" w:hAnsi="Times New Roman" w:cs="Times New Roman"/>
        </w:rPr>
      </w:pPr>
      <w:r>
        <w:rPr>
          <w:rStyle w:val="FootnoteReference"/>
          <w:rFonts w:ascii="Times New Roman" w:hAnsi="Times New Roman" w:cs="Times New Roman"/>
          <w:lang w:val="en-GB"/>
        </w:rPr>
        <w:footnoteRef/>
      </w:r>
      <w:r>
        <w:rPr>
          <w:rFonts w:ascii="Times New Roman" w:hAnsi="Times New Roman"/>
        </w:rPr>
        <w:t xml:space="preserve"> COM(2022) 361 — Ir-Regolament tal-Kunsill (UE) 2022/1369.</w:t>
      </w:r>
    </w:p>
  </w:footnote>
  <w:footnote w:id="15">
    <w:p w14:paraId="09790156" w14:textId="6CD200C7" w:rsidR="00076AF8" w:rsidRPr="00B872F4" w:rsidRDefault="00076AF8">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Sors: Eurostat. </w:t>
      </w:r>
    </w:p>
  </w:footnote>
  <w:footnote w:id="16">
    <w:p w14:paraId="2FB54400" w14:textId="331180F1" w:rsidR="003632B5" w:rsidRPr="00B27FFC" w:rsidRDefault="003632B5" w:rsidP="003632B5">
      <w:pPr>
        <w:pStyle w:val="FootnoteText"/>
        <w:ind w:left="357" w:hanging="357"/>
        <w:jc w:val="both"/>
        <w:rPr>
          <w:rFonts w:ascii="Times New Roman" w:hAnsi="Times New Roman" w:cs="Times New Roman"/>
        </w:rPr>
      </w:pPr>
      <w:r>
        <w:rPr>
          <w:rStyle w:val="FootnoteReference"/>
          <w:rFonts w:ascii="Times New Roman" w:hAnsi="Times New Roman" w:cs="Times New Roman"/>
          <w:lang w:val="en-GB"/>
        </w:rPr>
        <w:footnoteRef/>
      </w:r>
      <w:r>
        <w:rPr>
          <w:rFonts w:ascii="Times New Roman" w:hAnsi="Times New Roman"/>
        </w:rPr>
        <w:t xml:space="preserve"> C/2024/2476.</w:t>
      </w:r>
    </w:p>
  </w:footnote>
  <w:footnote w:id="17">
    <w:p w14:paraId="20F44B30" w14:textId="3CFAFB3F" w:rsidR="001E0580" w:rsidRPr="00795DFD" w:rsidRDefault="001E0580" w:rsidP="00795DFD">
      <w:pPr>
        <w:spacing w:after="0" w:line="240" w:lineRule="auto"/>
        <w:jc w:val="both"/>
        <w:rPr>
          <w:rFonts w:ascii="Times New Roman" w:hAnsi="Times New Roman" w:cs="Times New Roman"/>
          <w:sz w:val="20"/>
          <w:szCs w:val="20"/>
        </w:rPr>
      </w:pPr>
      <w:r>
        <w:rPr>
          <w:rStyle w:val="FootnoteReference"/>
          <w:rFonts w:ascii="Times New Roman" w:hAnsi="Times New Roman" w:cs="Times New Roman"/>
          <w:sz w:val="20"/>
          <w:szCs w:val="20"/>
        </w:rPr>
        <w:footnoteRef/>
      </w:r>
      <w:r>
        <w:rPr>
          <w:rFonts w:ascii="Times New Roman" w:hAnsi="Times New Roman"/>
          <w:sz w:val="20"/>
        </w:rPr>
        <w:t xml:space="preserve"> Il-perjodu ta’ referenza huwa definit bħala l-medja tal-5 snin preċedenti għall-perjodu minn Awwissu 2022 sa Mejju 2023 (kif stabbilit fir-regolament dwar it-tnaqqis fid-domanda). Għalhekk, għal Awwissu–Diċembru jirreferi għall-2017–2021, iżda għal Jannar–Mejju għall-2018–2022.</w:t>
      </w:r>
    </w:p>
  </w:footnote>
  <w:footnote w:id="18">
    <w:p w14:paraId="363583EA" w14:textId="537573CE" w:rsidR="00D23273" w:rsidRPr="00795DFD" w:rsidRDefault="00D23273" w:rsidP="001B0D59">
      <w:pPr>
        <w:pStyle w:val="FootnoteText"/>
        <w:ind w:left="357" w:hanging="357"/>
        <w:jc w:val="both"/>
        <w:rPr>
          <w:rFonts w:ascii="Times New Roman" w:hAnsi="Times New Roman" w:cs="Times New Roman"/>
        </w:rPr>
      </w:pPr>
      <w:r>
        <w:rPr>
          <w:rStyle w:val="FootnoteReference"/>
          <w:rFonts w:ascii="Times New Roman" w:hAnsi="Times New Roman" w:cs="Times New Roman"/>
          <w:lang w:val="en-GB"/>
        </w:rPr>
        <w:footnoteRef/>
      </w:r>
      <w:r>
        <w:rPr>
          <w:rFonts w:ascii="Times New Roman" w:hAnsi="Times New Roman"/>
        </w:rPr>
        <w:t xml:space="preserve"> </w:t>
      </w:r>
      <w:r>
        <w:rPr>
          <w:rFonts w:ascii="Times New Roman" w:hAnsi="Times New Roman"/>
        </w:rPr>
        <w:tab/>
        <w:t>COM(2022) 135 — Ir-Regolament (UE) 2017/1938</w:t>
      </w:r>
    </w:p>
  </w:footnote>
  <w:footnote w:id="19">
    <w:p w14:paraId="51B71B67" w14:textId="5BE87928" w:rsidR="006C4585" w:rsidRPr="00795DFD" w:rsidRDefault="006C4585" w:rsidP="001B0D59">
      <w:pPr>
        <w:pStyle w:val="FootnoteText"/>
        <w:ind w:left="357" w:hanging="357"/>
        <w:jc w:val="both"/>
        <w:rPr>
          <w:rFonts w:ascii="Times New Roman" w:hAnsi="Times New Roman" w:cs="Times New Roman"/>
        </w:rPr>
      </w:pPr>
      <w:r>
        <w:rPr>
          <w:rStyle w:val="FootnoteReference"/>
          <w:rFonts w:ascii="Times New Roman" w:hAnsi="Times New Roman" w:cs="Times New Roman"/>
          <w:lang w:val="en-GB"/>
        </w:rPr>
        <w:footnoteRef/>
      </w:r>
      <w:r>
        <w:rPr>
          <w:rFonts w:ascii="Times New Roman" w:hAnsi="Times New Roman"/>
        </w:rPr>
        <w:t xml:space="preserve"> </w:t>
      </w:r>
      <w:r>
        <w:rPr>
          <w:rFonts w:ascii="Times New Roman" w:hAnsi="Times New Roman"/>
        </w:rPr>
        <w:tab/>
        <w:t>COM(2022) 473 — Ir-Regolament tal-Kunsill (UE) 2022/1854, COM(2022) 549 — Ir-Regolament tal-Kunsill (UE) 2022/2576, COM(2022) 668 — Ir-Regolament tal-Kunsill (UE) 2022/2758</w:t>
      </w:r>
    </w:p>
  </w:footnote>
  <w:footnote w:id="20">
    <w:p w14:paraId="4949C3E2" w14:textId="1A39D869" w:rsidR="00CA5142" w:rsidRPr="003955F0" w:rsidRDefault="00CA5142" w:rsidP="00E834C5">
      <w:pPr>
        <w:pStyle w:val="FootnoteText"/>
        <w:ind w:left="357" w:hanging="357"/>
        <w:jc w:val="both"/>
        <w:rPr>
          <w:rFonts w:ascii="Times New Roman" w:hAnsi="Times New Roman" w:cs="Times New Roman"/>
        </w:rPr>
      </w:pPr>
      <w:r>
        <w:rPr>
          <w:rStyle w:val="FootnoteReference"/>
          <w:rFonts w:ascii="Times New Roman" w:hAnsi="Times New Roman" w:cs="Times New Roman"/>
          <w:lang w:val="en-GB"/>
        </w:rPr>
        <w:footnoteRef/>
      </w:r>
      <w:r>
        <w:rPr>
          <w:rFonts w:ascii="Times New Roman" w:hAnsi="Times New Roman"/>
        </w:rPr>
        <w:t xml:space="preserve"> </w:t>
      </w:r>
      <w:r>
        <w:rPr>
          <w:rFonts w:ascii="Times New Roman" w:hAnsi="Times New Roman"/>
        </w:rPr>
        <w:tab/>
        <w:t>Id-</w:t>
      </w:r>
      <w:hyperlink r:id="rId4" w:history="1">
        <w:r>
          <w:rPr>
            <w:rStyle w:val="Hyperlink"/>
            <w:rFonts w:ascii="Times New Roman" w:hAnsi="Times New Roman"/>
          </w:rPr>
          <w:t>Direttiva (UE) 2024/1275</w:t>
        </w:r>
      </w:hyperlink>
      <w:r>
        <w:rPr>
          <w:rFonts w:ascii="Times New Roman" w:hAnsi="Times New Roman"/>
        </w:rPr>
        <w:t xml:space="preserve"> tal-Parlament Ewropew u tal-Kunsill dwar ir-rendiment tal-bini fl-użu tal-enerġija (riformulazzjoni); id-</w:t>
      </w:r>
      <w:hyperlink r:id="rId5" w:history="1">
        <w:r>
          <w:rPr>
            <w:rStyle w:val="Hyperlink"/>
            <w:rFonts w:ascii="Times New Roman" w:hAnsi="Times New Roman"/>
          </w:rPr>
          <w:t>Direttiva</w:t>
        </w:r>
      </w:hyperlink>
      <w:r>
        <w:rPr>
          <w:rFonts w:ascii="Times New Roman" w:hAnsi="Times New Roman"/>
        </w:rPr>
        <w:t xml:space="preserve"> tal-Parlament Ewropew u tal-Kunsill dwar ir-regoli komuni għas-swieq interni tal-gass rinnovabbli, il-gass naturali u l-idroġenu, li temenda d-Direttiva (UE) 2023/1791 u li tħassar id-Direttiva 2009/73/KE (riformulazzjoni); ir-</w:t>
      </w:r>
      <w:hyperlink r:id="rId6" w:history="1">
        <w:r>
          <w:rPr>
            <w:rStyle w:val="Hyperlink"/>
            <w:rFonts w:ascii="Times New Roman" w:hAnsi="Times New Roman"/>
          </w:rPr>
          <w:t>Regolament</w:t>
        </w:r>
      </w:hyperlink>
      <w:r>
        <w:rPr>
          <w:rFonts w:ascii="Times New Roman" w:hAnsi="Times New Roman"/>
        </w:rPr>
        <w:t xml:space="preserve"> tal-Parlament Ewropew u tal-Kunsill dwar is-swieq interni tal-gass rinnovabbli, tal-gass naturali u tal-idroġenu, li jemenda r-Regolamenti (UE) Nru 1227/2011, (UE) 2017/1938, (UE) 2019/942 u (UE) 2022/869 u d-Deċiżjoni (UE) 2017/684 u li jħassar ir-Regolament (KE) Nru 715/2009 (riformulazzjoni). ir-Regolament (UE) 2023/2405 tal-Parlament Ewropew u tal-Kunsill tat-18 ta’ Ottubru 2023 dwar l-iżgurar ta’ kundizzjonijiet ekwi għal transport bl-ajru sostenibbli (ReFuelEU Aviation); ir-Regolament (UE) 2023/1805 tal-Parlament Ewropew u tal-Kunsill tat-13 ta’ Settembru 2023 dwar l-użu ta’ karburanti rinnovabbli u b’livell baxx ta’ emissjonijiet tal-karbonju fit-trasport marittimu, u li jemenda d-Direttiva 2009/16/KE.</w:t>
      </w:r>
    </w:p>
  </w:footnote>
  <w:footnote w:id="21">
    <w:p w14:paraId="42171B40" w14:textId="3A9B2472" w:rsidR="00EC348D" w:rsidRPr="002D4F97" w:rsidRDefault="00EC348D" w:rsidP="001B0D59">
      <w:pPr>
        <w:pStyle w:val="FootnoteText"/>
        <w:ind w:left="357" w:hanging="357"/>
        <w:jc w:val="both"/>
        <w:rPr>
          <w:rFonts w:ascii="Times New Roman" w:hAnsi="Times New Roman" w:cs="Times New Roman"/>
        </w:rPr>
      </w:pPr>
      <w:r>
        <w:rPr>
          <w:rStyle w:val="FootnoteReference"/>
          <w:rFonts w:ascii="Times New Roman" w:hAnsi="Times New Roman" w:cs="Times New Roman"/>
          <w:lang w:val="en-GB"/>
        </w:rPr>
        <w:footnoteRef/>
      </w:r>
      <w:r>
        <w:rPr>
          <w:rFonts w:ascii="Times New Roman" w:hAnsi="Times New Roman"/>
        </w:rPr>
        <w:t xml:space="preserve"> </w:t>
      </w:r>
      <w:r>
        <w:rPr>
          <w:rFonts w:ascii="Times New Roman" w:hAnsi="Times New Roman"/>
        </w:rPr>
        <w:tab/>
        <w:t>Stimi tal-industrija.</w:t>
      </w:r>
    </w:p>
  </w:footnote>
  <w:footnote w:id="22">
    <w:p w14:paraId="5D4BD017" w14:textId="4D43BC49" w:rsidR="009F47C8" w:rsidRPr="002D4F97" w:rsidRDefault="009F47C8" w:rsidP="001B0D59">
      <w:pPr>
        <w:pStyle w:val="FootnoteText"/>
        <w:ind w:left="357" w:hanging="357"/>
        <w:jc w:val="both"/>
        <w:rPr>
          <w:rFonts w:ascii="Times New Roman" w:hAnsi="Times New Roman" w:cs="Times New Roman"/>
        </w:rPr>
      </w:pPr>
      <w:r>
        <w:rPr>
          <w:rStyle w:val="FootnoteReference"/>
          <w:rFonts w:ascii="Times New Roman" w:hAnsi="Times New Roman" w:cs="Times New Roman"/>
          <w:lang w:val="en-GB"/>
        </w:rPr>
        <w:footnoteRef/>
      </w:r>
      <w:r>
        <w:rPr>
          <w:rFonts w:ascii="Times New Roman" w:hAnsi="Times New Roman"/>
        </w:rPr>
        <w:t xml:space="preserve"> </w:t>
      </w:r>
      <w:r>
        <w:rPr>
          <w:rFonts w:ascii="Times New Roman" w:hAnsi="Times New Roman"/>
        </w:rPr>
        <w:tab/>
        <w:t>Enerġija Solari fl-Ewropa.</w:t>
      </w:r>
    </w:p>
  </w:footnote>
  <w:footnote w:id="23">
    <w:p w14:paraId="4C8C8145" w14:textId="77FA004B" w:rsidR="751E320D" w:rsidRPr="006B0F06" w:rsidRDefault="751E320D" w:rsidP="001B0D59">
      <w:pPr>
        <w:pStyle w:val="FootnoteText"/>
        <w:ind w:left="357" w:hanging="357"/>
        <w:jc w:val="both"/>
        <w:rPr>
          <w:rFonts w:ascii="Times New Roman" w:hAnsi="Times New Roman" w:cs="Times New Roman"/>
        </w:rPr>
      </w:pPr>
      <w:r>
        <w:rPr>
          <w:rStyle w:val="FootnoteReference"/>
          <w:rFonts w:ascii="Times New Roman" w:hAnsi="Times New Roman" w:cs="Times New Roman"/>
          <w:lang w:val="en-GB"/>
        </w:rPr>
        <w:footnoteRef/>
      </w:r>
      <w:r>
        <w:rPr>
          <w:rFonts w:ascii="Times New Roman" w:hAnsi="Times New Roman"/>
        </w:rPr>
        <w:t xml:space="preserve"> </w:t>
      </w:r>
      <w:r>
        <w:rPr>
          <w:rFonts w:ascii="Times New Roman" w:hAnsi="Times New Roman"/>
        </w:rPr>
        <w:tab/>
      </w:r>
      <w:hyperlink r:id="rId7" w:history="1">
        <w:r>
          <w:rPr>
            <w:rStyle w:val="Hyperlink"/>
            <w:rFonts w:ascii="Times New Roman" w:hAnsi="Times New Roman"/>
          </w:rPr>
          <w:t>EUR-Lex - 52022DC0221 - MT - EUR-Lex (europa.eu)</w:t>
        </w:r>
      </w:hyperlink>
    </w:p>
  </w:footnote>
  <w:footnote w:id="24">
    <w:p w14:paraId="49A87544" w14:textId="4CEA4398" w:rsidR="022B0A80" w:rsidRPr="003955F0" w:rsidRDefault="022B0A80" w:rsidP="001B0D59">
      <w:pPr>
        <w:pStyle w:val="FootnoteText"/>
        <w:ind w:left="357" w:hanging="357"/>
        <w:jc w:val="both"/>
        <w:rPr>
          <w:rFonts w:ascii="Times New Roman" w:hAnsi="Times New Roman" w:cs="Times New Roman"/>
        </w:rPr>
      </w:pPr>
      <w:r>
        <w:rPr>
          <w:rStyle w:val="FootnoteReference"/>
          <w:rFonts w:ascii="Times New Roman" w:hAnsi="Times New Roman" w:cs="Times New Roman"/>
          <w:lang w:val="en-GB"/>
        </w:rPr>
        <w:footnoteRef/>
      </w:r>
      <w:r>
        <w:rPr>
          <w:rFonts w:ascii="Times New Roman" w:hAnsi="Times New Roman"/>
        </w:rPr>
        <w:t xml:space="preserve"> </w:t>
      </w:r>
      <w:r>
        <w:rPr>
          <w:rFonts w:ascii="Times New Roman" w:hAnsi="Times New Roman"/>
        </w:rPr>
        <w:tab/>
      </w:r>
      <w:hyperlink r:id="rId8" w:history="1">
        <w:r>
          <w:rPr>
            <w:rStyle w:val="Hyperlink"/>
            <w:rFonts w:ascii="Times New Roman" w:hAnsi="Times New Roman"/>
          </w:rPr>
          <w:t>Paġna ewlenija – Alleanza Ewropea għall-Industrija Fotovoltajka Solari (solaralliance.eu)</w:t>
        </w:r>
      </w:hyperlink>
    </w:p>
  </w:footnote>
  <w:footnote w:id="25">
    <w:p w14:paraId="6C0423F8" w14:textId="7189C47C" w:rsidR="00F413D8" w:rsidRPr="00E33306" w:rsidRDefault="00F413D8" w:rsidP="001B0D59">
      <w:pPr>
        <w:pStyle w:val="FootnoteText"/>
        <w:ind w:left="357" w:hanging="357"/>
        <w:jc w:val="both"/>
        <w:rPr>
          <w:rFonts w:ascii="Times New Roman" w:hAnsi="Times New Roman" w:cs="Times New Roman"/>
        </w:rPr>
      </w:pPr>
      <w:r>
        <w:rPr>
          <w:rStyle w:val="FootnoteReference"/>
          <w:rFonts w:ascii="Times New Roman" w:hAnsi="Times New Roman" w:cs="Times New Roman"/>
          <w:lang w:val="en-GB"/>
        </w:rPr>
        <w:footnoteRef/>
      </w:r>
      <w:r>
        <w:rPr>
          <w:rFonts w:ascii="Times New Roman" w:hAnsi="Times New Roman"/>
        </w:rPr>
        <w:t xml:space="preserve"> </w:t>
      </w:r>
      <w:r>
        <w:rPr>
          <w:rFonts w:ascii="Times New Roman" w:hAnsi="Times New Roman"/>
        </w:rPr>
        <w:tab/>
        <w:t>WindEurope.</w:t>
      </w:r>
    </w:p>
  </w:footnote>
  <w:footnote w:id="26">
    <w:p w14:paraId="31CEA4B7" w14:textId="1CC4F75C" w:rsidR="6D7432D4" w:rsidRPr="00E33306" w:rsidRDefault="6D7432D4" w:rsidP="001B0D59">
      <w:pPr>
        <w:pStyle w:val="FootnoteText"/>
        <w:ind w:left="357" w:hanging="357"/>
        <w:jc w:val="both"/>
        <w:rPr>
          <w:rFonts w:ascii="Times New Roman" w:hAnsi="Times New Roman" w:cs="Times New Roman"/>
        </w:rPr>
      </w:pPr>
      <w:r>
        <w:rPr>
          <w:rStyle w:val="FootnoteReference"/>
          <w:rFonts w:ascii="Times New Roman" w:hAnsi="Times New Roman" w:cs="Times New Roman"/>
          <w:lang w:val="en-GB"/>
        </w:rPr>
        <w:footnoteRef/>
      </w:r>
      <w:r>
        <w:rPr>
          <w:rFonts w:ascii="Times New Roman" w:hAnsi="Times New Roman"/>
        </w:rPr>
        <w:t xml:space="preserve">  </w:t>
      </w:r>
      <w:r>
        <w:rPr>
          <w:rFonts w:ascii="Times New Roman" w:hAnsi="Times New Roman"/>
        </w:rPr>
        <w:tab/>
        <w:t>Il-Pjan ta’ Azzjoni Ewropew għall-Enerġija mir-Riħ, COM(2023) 669 final, u l-Komunikazzjoni dwar it-twettiq tal-ambizzjonijiet tal-UE rigward l-enerġija rinnovabbli lil hinn mill-kosta, COM(2023) 668 final.</w:t>
      </w:r>
    </w:p>
  </w:footnote>
  <w:footnote w:id="27">
    <w:p w14:paraId="480112DB" w14:textId="77777777" w:rsidR="000824D0" w:rsidRPr="004E5CFA" w:rsidRDefault="000824D0" w:rsidP="001F7D0E">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L-aħħar Mappa tal-Bijometan ippubblikata mill-Assoċjazzjoni Ewropea tal-Bijogass www.europeanbiogas.eu/european-biomethane-map-2024/</w:t>
      </w:r>
    </w:p>
  </w:footnote>
  <w:footnote w:id="28">
    <w:p w14:paraId="1DD31942" w14:textId="17E64E3B" w:rsidR="005A6BA1" w:rsidRPr="00795DFD" w:rsidRDefault="005A6BA1" w:rsidP="001F7D0E">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Ir-RAPPORT TAL-KUMMISSJONI LILL-PARLAMENT EWROPEW U LILL-KUNSILL Il-progress dwar il-kompetittività tat-teknoloġiji tal-enerġija nadifa, COM(2023) 652.</w:t>
      </w:r>
    </w:p>
  </w:footnote>
  <w:footnote w:id="29">
    <w:p w14:paraId="49896559" w14:textId="100FC8B3" w:rsidR="00783944" w:rsidRPr="00C6498C" w:rsidRDefault="00783944" w:rsidP="001F7D0E">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L-Assoċjazzjoni Ewropea tal-Pompi tas-Sħana (EHPA, European Heat Pump Association), Market Report 2024, limitat għal AT, BE, CZ, DE, DK, EE, ES, FI, FR, HU, IE, IT, LT, NL, PL, PT, SE, SK. Inkluż prinċipalment tisħin tal-post u pompi tas-sħana tal-ilma sħun sanitarju. </w:t>
      </w:r>
    </w:p>
  </w:footnote>
  <w:footnote w:id="30">
    <w:p w14:paraId="577435FE" w14:textId="5370A16D" w:rsidR="00F0315C" w:rsidRPr="001F7D0E" w:rsidRDefault="00F0315C" w:rsidP="001F7D0E">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AIE (2024) Global Hydrogen Review.</w:t>
      </w:r>
    </w:p>
  </w:footnote>
  <w:footnote w:id="31">
    <w:p w14:paraId="1F22295C" w14:textId="0616B88A" w:rsidR="00F0315C" w:rsidRPr="001F7D0E" w:rsidRDefault="00F0315C">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rPr>
          <w:rFonts w:ascii="Times New Roman" w:hAnsi="Times New Roman"/>
          <w:i/>
          <w:iCs/>
        </w:rPr>
        <w:t>Data</w:t>
      </w:r>
      <w:r>
        <w:rPr>
          <w:rFonts w:ascii="Times New Roman" w:hAnsi="Times New Roman"/>
        </w:rPr>
        <w:t xml:space="preserve"> mir-rapport Electrolyser Manufacturing 2024 ta’ BloombergNEF mis-26 ta’ Marzu 2024.</w:t>
      </w:r>
    </w:p>
  </w:footnote>
  <w:footnote w:id="32">
    <w:p w14:paraId="731D5B9B" w14:textId="2E8F4FCD" w:rsidR="000C319D" w:rsidRPr="00792721" w:rsidRDefault="000C319D">
      <w:pPr>
        <w:pStyle w:val="FootnoteText"/>
      </w:pPr>
      <w:r>
        <w:rPr>
          <w:rStyle w:val="FootnoteReference"/>
        </w:rPr>
        <w:footnoteRef/>
      </w:r>
      <w:r>
        <w:t xml:space="preserve"> </w:t>
      </w:r>
      <w:r>
        <w:rPr>
          <w:rFonts w:ascii="Times New Roman" w:hAnsi="Times New Roman"/>
        </w:rPr>
        <w:t>Il-Widien tal-Idroġenu huma ekosistemi tal-idroġenu li jkopru ġeografija speċifika li tvarja minn fokus lokali jew reġjonali (eż. raggruppament industrijali, portijiet, ajruporti, eċċ.).</w:t>
      </w:r>
    </w:p>
  </w:footnote>
  <w:footnote w:id="33">
    <w:p w14:paraId="4FB3B8CF" w14:textId="71AD0176" w:rsidR="00E00669" w:rsidRPr="00C6498C" w:rsidRDefault="00E00669">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hyperlink r:id="rId9" w:history="1">
        <w:r>
          <w:rPr>
            <w:rStyle w:val="Hyperlink"/>
            <w:rFonts w:ascii="Times New Roman" w:hAnsi="Times New Roman"/>
          </w:rPr>
          <w:t>DOKUMENT TA’ ĦIDMA TAL-PERSUNAL TAL-KUMMISSJONI Lejn pjan direzzjonali għall-aċċellerazzjoni tal-varar tal-Widien tal-Idroġenu madwar l-Ewropa:</w:t>
        </w:r>
      </w:hyperlink>
      <w:hyperlink r:id="rId10" w:history="1">
        <w:r>
          <w:rPr>
            <w:rStyle w:val="Hyperlink"/>
            <w:rFonts w:ascii="Times New Roman" w:hAnsi="Times New Roman"/>
          </w:rPr>
          <w:t xml:space="preserve"> sfidi u opportunitajiet</w:t>
        </w:r>
      </w:hyperlink>
    </w:p>
  </w:footnote>
  <w:footnote w:id="34">
    <w:p w14:paraId="00B0A0D9" w14:textId="77777777" w:rsidR="00A05351" w:rsidRPr="00C6498C" w:rsidRDefault="00A05351" w:rsidP="00A05351">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hyperlink r:id="rId11" w:history="1">
        <w:r>
          <w:rPr>
            <w:rStyle w:val="Hyperlink"/>
            <w:rFonts w:ascii="Times New Roman" w:hAnsi="Times New Roman"/>
          </w:rPr>
          <w:t>https://www.eca.europa.eu/mt/publications/SR-2024-11</w:t>
        </w:r>
      </w:hyperlink>
      <w:r>
        <w:rPr>
          <w:rFonts w:ascii="Times New Roman" w:hAnsi="Times New Roman"/>
        </w:rPr>
        <w:t xml:space="preserve"> </w:t>
      </w:r>
    </w:p>
  </w:footnote>
  <w:footnote w:id="35">
    <w:p w14:paraId="006CE891" w14:textId="5F87A31F" w:rsidR="00BD44D9" w:rsidRPr="00795DFD" w:rsidRDefault="00BD44D9">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Pjan ta’ Azzjoni Ewropew għall-Enerġija mir-Riħ, COM(2023)669 final.</w:t>
      </w:r>
    </w:p>
  </w:footnote>
  <w:footnote w:id="36">
    <w:p w14:paraId="28835F9E" w14:textId="7EB421F5" w:rsidR="00795DFD" w:rsidRPr="00795DFD" w:rsidRDefault="00795DFD">
      <w:pPr>
        <w:pStyle w:val="FootnoteText"/>
      </w:pPr>
      <w:r>
        <w:rPr>
          <w:rStyle w:val="FootnoteReference"/>
          <w:rFonts w:ascii="Times New Roman" w:hAnsi="Times New Roman" w:cs="Times New Roman"/>
        </w:rPr>
        <w:footnoteRef/>
      </w:r>
      <w:r>
        <w:rPr>
          <w:rFonts w:ascii="Times New Roman" w:hAnsi="Times New Roman"/>
        </w:rPr>
        <w:t xml:space="preserve"> Pjan ta’ Azzjoni tal-UE għall-Grilji, COM(2023) 757 final.</w:t>
      </w:r>
    </w:p>
  </w:footnote>
  <w:footnote w:id="37">
    <w:p w14:paraId="7BCBDBDD" w14:textId="25A15866" w:rsidR="00274863" w:rsidRPr="00795DFD" w:rsidRDefault="00274863">
      <w:pPr>
        <w:pStyle w:val="FootnoteText"/>
      </w:pPr>
      <w:r>
        <w:rPr>
          <w:rStyle w:val="FootnoteReference"/>
          <w:rFonts w:ascii="Times New Roman" w:hAnsi="Times New Roman" w:cs="Times New Roman"/>
        </w:rPr>
        <w:footnoteRef/>
      </w:r>
      <w:r>
        <w:rPr>
          <w:rFonts w:ascii="Times New Roman" w:hAnsi="Times New Roman"/>
        </w:rPr>
        <w:t xml:space="preserve"> COM(2024)63 final,</w:t>
      </w:r>
      <w:r>
        <w:rPr>
          <w:rFonts w:ascii="Roboto" w:hAnsi="Roboto"/>
          <w:b/>
          <w:color w:val="333333"/>
          <w:shd w:val="clear" w:color="auto" w:fill="FFFFFF"/>
        </w:rPr>
        <w:t xml:space="preserve"> </w:t>
      </w:r>
      <w:r>
        <w:rPr>
          <w:rFonts w:ascii="Times New Roman" w:hAnsi="Times New Roman"/>
        </w:rPr>
        <w:t>Niżguraw il-futur tagħna Il-mira klimatika tal-Ewropa għall-2040 u l-perkors għan-newtralità klimatika sal-2050 aħna u nibnu soċjetà sostenibbli, prospera u ġusta.</w:t>
      </w:r>
    </w:p>
  </w:footnote>
  <w:footnote w:id="38">
    <w:p w14:paraId="577C54FD" w14:textId="63A531B4" w:rsidR="00245CCE" w:rsidRPr="00070812" w:rsidRDefault="00245CCE" w:rsidP="00070812">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Skont l-Artikolu 6(2) u 9(4) tad-Direttiva tal-Kunsill 2009/119/KE (</w:t>
      </w:r>
      <w:hyperlink r:id="rId12" w:history="1">
        <w:r>
          <w:rPr>
            <w:rStyle w:val="Hyperlink"/>
            <w:rFonts w:ascii="Times New Roman" w:hAnsi="Times New Roman"/>
          </w:rPr>
          <w:t>Id-Direttiva – 2009/119 – MT – EUR-Lex (europa.eu)</w:t>
        </w:r>
      </w:hyperlink>
      <w:r>
        <w:rPr>
          <w:rFonts w:ascii="Times New Roman" w:hAnsi="Times New Roman"/>
        </w:rPr>
        <w:t>), u l-Artikolu 26(1)a) tar-Regolament (UE) 2018/1999 (</w:t>
      </w:r>
      <w:hyperlink r:id="rId13" w:history="1">
        <w:r>
          <w:rPr>
            <w:rStyle w:val="Hyperlink"/>
            <w:rFonts w:ascii="Times New Roman" w:hAnsi="Times New Roman"/>
          </w:rPr>
          <w:t>Ir-Regolament – 2018/1999 – MT – EUR-Lex (europa.eu)</w:t>
        </w:r>
      </w:hyperlink>
    </w:p>
  </w:footnote>
  <w:footnote w:id="39">
    <w:p w14:paraId="57D5566F" w14:textId="095D8432" w:rsidR="00245CCE" w:rsidRPr="00070812" w:rsidRDefault="00245CCE" w:rsidP="00070812">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Ir-Regolament (UE) 2017/1938 tal-Parlament Ewropew u tal-Kunsill tal-25 ta’ Ottubru 2017 dwar miżuri għas-salvagwardja tas-sigurtà tal-provvista tal-gass u li jħassar ir-Regolament (UE) Nru 994/2010 (</w:t>
      </w:r>
      <w:hyperlink r:id="rId14" w:history="1">
        <w:r>
          <w:rPr>
            <w:rStyle w:val="Hyperlink"/>
            <w:rFonts w:ascii="Times New Roman" w:hAnsi="Times New Roman"/>
          </w:rPr>
          <w:t>Ir-Regolament – 2017/1938 – EN – EUR-Lex (europa.eu)</w:t>
        </w:r>
      </w:hyperlink>
      <w:r>
        <w:rPr>
          <w:rFonts w:ascii="Times New Roman" w:hAnsi="Times New Roman"/>
        </w:rPr>
        <w:t>).</w:t>
      </w:r>
    </w:p>
  </w:footnote>
  <w:footnote w:id="40">
    <w:p w14:paraId="2E61C913" w14:textId="3398D62E" w:rsidR="00245CCE" w:rsidRPr="00795DFD" w:rsidRDefault="00245CCE" w:rsidP="00795DFD">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Ir-Regolament (UE) Nru 1227/2011 tal-Parlament Ewropew u tal-Kunsill tal-25 ta’ Ottubru 2011 dwar l-integrità u t-trasparenza tas-swieq tal-enerġija bl-ingrossa Test b’rilevanza għaż-ŻEE (</w:t>
      </w:r>
      <w:hyperlink r:id="rId15" w:tooltip="Jagħti aċċess għal dan id-dokument permezz tal-URI tal-ELI tiegħu." w:history="1">
        <w:r>
          <w:rPr>
            <w:rStyle w:val="Hyperlink"/>
            <w:rFonts w:ascii="Times New Roman" w:hAnsi="Times New Roman"/>
            <w:color w:val="337AB7"/>
            <w:shd w:val="clear" w:color="auto" w:fill="FFFFFF"/>
          </w:rPr>
          <w:t>http://data.europa.eu/eli/reg/2011/1227/2024-05-07</w:t>
        </w:r>
      </w:hyperlink>
      <w:r>
        <w:rPr>
          <w:rFonts w:ascii="Times New Roman" w:hAnsi="Times New Roman"/>
        </w:rPr>
        <w:t>).</w:t>
      </w:r>
    </w:p>
  </w:footnote>
  <w:footnote w:id="41">
    <w:p w14:paraId="4C60A87F" w14:textId="77777777" w:rsidR="006D2DF8" w:rsidRPr="00DB1CA6" w:rsidRDefault="006D2DF8" w:rsidP="006D2DF8">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Kif identifikat fl-Anness tar-Rakkomandazzjoni tal-Kummissjoni tat-3 ta’ Ottubru 2023 dwar oqsma teknoloġiċi kritiċi għas-sigurtà ekonomika tal-UE</w:t>
      </w:r>
    </w:p>
  </w:footnote>
  <w:footnote w:id="42">
    <w:p w14:paraId="2318A4AC" w14:textId="77777777" w:rsidR="00F319A5" w:rsidRPr="00DB1CA6" w:rsidRDefault="00F319A5" w:rsidP="00DB1CA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Sal-lum ġew iffirmati Sħubijiet Strateġiċi mal-Kanada, l-Ukrajna, in-Namibja, il-Każakistan, l-Arġentina, iċ-Ċilì, ir-Repubblika Demokratika tal-Kongo, iż-Żambja, Greenland, ir-Rwanda, in-Norveġja, l-Użbekistan, l-Awstralja, is-Serbja. </w:t>
      </w:r>
    </w:p>
  </w:footnote>
  <w:footnote w:id="43">
    <w:p w14:paraId="6A69FAD8" w14:textId="77777777" w:rsidR="00115567" w:rsidRPr="00DB1CA6" w:rsidRDefault="00115567" w:rsidP="00DB1CA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Fl-2024, id-diversifikazzjoni tal-ktajjen tal-provvista globali ta’ materja prima kritika kompliet tavvanza f’konformità mal-Istrateġija Esterna tal-UE dwar l-Enerġija permezz ta’ ħames sħubijiet ta’ benefiċċju reċiproku ma’ pajjiżi bħall-Awstralja, in-Norveġja u s-Serbja li għadhom kif jiġu stabbiliti. Dawn is-sħubijiet huma wkoll strateġikament importanti għat-tneħħija gradwali ta’ dipendenzi oħra tal-enerġija tal-UE.</w:t>
      </w:r>
    </w:p>
  </w:footnote>
  <w:footnote w:id="44">
    <w:p w14:paraId="4293813B" w14:textId="40F96246" w:rsidR="00795DFD" w:rsidRPr="00795DFD" w:rsidRDefault="00795DFD" w:rsidP="00DB1CA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Att dwar l-Industrija b’Emissjonijiet Żero Netti </w:t>
      </w:r>
    </w:p>
  </w:footnote>
  <w:footnote w:id="45">
    <w:p w14:paraId="37E39428" w14:textId="17F43A32" w:rsidR="00756940" w:rsidRPr="00E603F4" w:rsidRDefault="00756940" w:rsidP="00DB1CA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Pjan ta’ azzjoni għal kooperazzjoni settorjali dwar il-ħiliet – Impjiegi, Affarijiet Soċjali u Inklużjoni – Il-Kummissjoni Ewropea (europa.eu)</w:t>
      </w:r>
    </w:p>
  </w:footnote>
  <w:footnote w:id="46">
    <w:p w14:paraId="07B1911E" w14:textId="168DEC29" w:rsidR="001A747C" w:rsidRPr="00E603F4" w:rsidRDefault="001A747C" w:rsidP="00795DFD">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rPr>
          <w:rFonts w:ascii="Times New Roman" w:hAnsi="Times New Roman"/>
          <w:u w:val="single"/>
        </w:rPr>
        <w:t>Patt għall-Ħiliet – Impjiegi, Affarijiet Soċjali u Inklużjoni – Il-Kummissjoni Ewropea (europa.eu)</w:t>
      </w:r>
    </w:p>
  </w:footnote>
  <w:footnote w:id="47">
    <w:p w14:paraId="6823B33E" w14:textId="5458D263" w:rsidR="00795DFD" w:rsidRPr="001F7D0E" w:rsidRDefault="00795DFD" w:rsidP="00795DFD">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Għal aktar informazzjoni: Patt għall-Ħiliet, </w:t>
      </w:r>
      <w:hyperlink r:id="rId16" w:history="1">
        <w:r>
          <w:rPr>
            <w:rStyle w:val="Hyperlink"/>
            <w:rFonts w:ascii="Times New Roman" w:hAnsi="Times New Roman"/>
          </w:rPr>
          <w:t>Tnedija ta’ sħubija fuq skala kbira għall-ħiliet fl-enerġija rinnovabbli (europa.eu)</w:t>
        </w:r>
      </w:hyperlink>
      <w:r>
        <w:rPr>
          <w:rFonts w:ascii="Times New Roman" w:hAnsi="Times New Roman"/>
        </w:rPr>
        <w:t> </w:t>
      </w:r>
    </w:p>
  </w:footnote>
  <w:footnote w:id="48">
    <w:p w14:paraId="105DC8AD" w14:textId="5DF6C771" w:rsidR="00626749" w:rsidRPr="00E603F4" w:rsidRDefault="00626749" w:rsidP="001F7D0E">
      <w:pPr>
        <w:pStyle w:val="FootnoteText1"/>
        <w:ind w:left="357" w:hanging="357"/>
        <w:rPr>
          <w:rFonts w:cs="Times New Roman"/>
          <w:sz w:val="20"/>
          <w:szCs w:val="20"/>
        </w:rPr>
      </w:pPr>
      <w:r>
        <w:rPr>
          <w:rStyle w:val="FootnoteReference"/>
          <w:rFonts w:cs="Times New Roman"/>
          <w:sz w:val="20"/>
          <w:szCs w:val="20"/>
          <w:lang w:val="en-GB"/>
        </w:rPr>
        <w:footnoteRef/>
      </w:r>
      <w:r>
        <w:rPr>
          <w:sz w:val="20"/>
        </w:rPr>
        <w:t xml:space="preserve"> Id-</w:t>
      </w:r>
      <w:r>
        <w:rPr>
          <w:i/>
          <w:iCs/>
          <w:sz w:val="20"/>
        </w:rPr>
        <w:t>data</w:t>
      </w:r>
      <w:r>
        <w:rPr>
          <w:sz w:val="20"/>
        </w:rPr>
        <w:t xml:space="preserve"> proviżorja għall-2023 se tiġi ppreżentata fir-Rapport ta’ Progress dwar l-Azzjoni Klimatika tal-2024.</w:t>
      </w:r>
    </w:p>
  </w:footnote>
  <w:footnote w:id="49">
    <w:p w14:paraId="05E2DF05" w14:textId="45E3922B" w:rsidR="00626749" w:rsidRPr="003955F0" w:rsidRDefault="00626749" w:rsidP="001F7D0E">
      <w:pPr>
        <w:pStyle w:val="FootnoteText1"/>
        <w:ind w:left="357" w:hanging="357"/>
        <w:rPr>
          <w:rFonts w:cs="Times New Roman"/>
          <w:sz w:val="20"/>
          <w:szCs w:val="20"/>
        </w:rPr>
      </w:pPr>
      <w:r>
        <w:rPr>
          <w:rStyle w:val="FootnoteReference"/>
          <w:rFonts w:cs="Times New Roman"/>
          <w:sz w:val="20"/>
          <w:szCs w:val="20"/>
          <w:lang w:val="en-GB"/>
        </w:rPr>
        <w:footnoteRef/>
      </w:r>
      <w:r>
        <w:rPr>
          <w:sz w:val="20"/>
        </w:rPr>
        <w:t xml:space="preserve"> </w:t>
      </w:r>
      <w:r>
        <w:rPr>
          <w:sz w:val="20"/>
        </w:rPr>
        <w:tab/>
        <w:t>L-emissjonijiet u l-assorbimenti ta’ gassijiet serra għall-1990–2022 huma bbażati fuq l-inventarju tal-gassijiet serra tal-2024 kif ippreżentat mill-Istati Membri tal-UE lill-Kummissjoni sal-15 ta’ Marzu 2024. Madankollu, fl-2024, l-iskeda ta’ żmien għar-rappurtar tal-inventarju hija estiża b’mod eċċezzjonali sat-tieni nofs tas-sena minħabba t-twettiq tal-għodda ta’ rappurtar tal-Qafas ta’ Trasparenza Msaħħaħ (ETF, enhanced transparency framework) tal-UNFCCC. L-Istati Membri se jkunu jistgħu jippreżentaw inventarji finali aġġornati tal-gassijiet serra lill-EEA sal-15 ta’ Settembru. Għalhekk, iċ-ċifri jistgħu jinbidlu wara sottomissjonijiet mill-ġdid possibbli li jirriżultaw minn rieżamijiet aktar tard. Flimkien mad-</w:t>
      </w:r>
      <w:r>
        <w:rPr>
          <w:i/>
          <w:iCs/>
          <w:sz w:val="20"/>
        </w:rPr>
        <w:t>data</w:t>
      </w:r>
      <w:r>
        <w:rPr>
          <w:sz w:val="20"/>
        </w:rPr>
        <w:t xml:space="preserve"> aggregata dwar l-emissjonijiet fil-livell tal-UE, l-inventarju tal-gassijiet serra se jiġi ppreżentat lill-UNFCCC skont ir-Regolament (UE) Nru 525/2013 sal-15 ta’ Diċembru 2024. </w:t>
      </w:r>
    </w:p>
  </w:footnote>
  <w:footnote w:id="50">
    <w:p w14:paraId="4FE7FBDB" w14:textId="13B388E1" w:rsidR="00D45240" w:rsidRPr="00DB1CA6" w:rsidRDefault="00D45240">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L-aktar </w:t>
      </w:r>
      <w:r>
        <w:rPr>
          <w:rFonts w:ascii="Times New Roman" w:hAnsi="Times New Roman"/>
          <w:i/>
          <w:iCs/>
        </w:rPr>
        <w:t>data</w:t>
      </w:r>
      <w:r>
        <w:rPr>
          <w:rFonts w:ascii="Times New Roman" w:hAnsi="Times New Roman"/>
        </w:rPr>
        <w:t xml:space="preserve"> reċenti disponibbli mill-Eurostat hija mill-2022.</w:t>
      </w:r>
    </w:p>
  </w:footnote>
  <w:footnote w:id="51">
    <w:p w14:paraId="2156E68B" w14:textId="466B481F" w:rsidR="00251663" w:rsidRPr="003955F0" w:rsidRDefault="00251663" w:rsidP="001B0D59">
      <w:pPr>
        <w:pStyle w:val="FootnoteText"/>
        <w:ind w:left="357" w:hanging="357"/>
        <w:jc w:val="both"/>
        <w:rPr>
          <w:rFonts w:ascii="Times New Roman" w:hAnsi="Times New Roman" w:cs="Times New Roman"/>
        </w:rPr>
      </w:pPr>
      <w:r>
        <w:rPr>
          <w:rStyle w:val="FootnoteReference"/>
          <w:rFonts w:ascii="Times New Roman" w:hAnsi="Times New Roman" w:cs="Times New Roman"/>
          <w:lang w:val="en-GB"/>
        </w:rPr>
        <w:footnoteRef/>
      </w:r>
      <w:r>
        <w:rPr>
          <w:rFonts w:ascii="Times New Roman" w:hAnsi="Times New Roman"/>
        </w:rPr>
        <w:t xml:space="preserve"> </w:t>
      </w:r>
      <w:r>
        <w:rPr>
          <w:rFonts w:ascii="Times New Roman" w:hAnsi="Times New Roman"/>
        </w:rPr>
        <w:tab/>
        <w:t>Kif irrappurtat mill-Istati Membri f’konformità mal-Eurostat SHARES.</w:t>
      </w:r>
    </w:p>
  </w:footnote>
  <w:footnote w:id="52">
    <w:p w14:paraId="1DD717B3" w14:textId="18935F6A" w:rsidR="00251663" w:rsidRPr="003955F0" w:rsidRDefault="00251663" w:rsidP="001B0D59">
      <w:pPr>
        <w:pStyle w:val="FootnoteText"/>
        <w:ind w:left="357" w:hanging="357"/>
        <w:jc w:val="both"/>
        <w:rPr>
          <w:rFonts w:ascii="Times New Roman" w:hAnsi="Times New Roman" w:cs="Times New Roman"/>
        </w:rPr>
      </w:pPr>
      <w:r>
        <w:rPr>
          <w:rStyle w:val="FootnoteReference"/>
          <w:rFonts w:ascii="Times New Roman" w:hAnsi="Times New Roman" w:cs="Times New Roman"/>
          <w:lang w:val="en-GB"/>
        </w:rPr>
        <w:footnoteRef/>
      </w:r>
      <w:r>
        <w:rPr>
          <w:rFonts w:ascii="Times New Roman" w:hAnsi="Times New Roman"/>
        </w:rPr>
        <w:t xml:space="preserve"> </w:t>
      </w:r>
      <w:r>
        <w:rPr>
          <w:rFonts w:ascii="Times New Roman" w:hAnsi="Times New Roman"/>
        </w:rPr>
        <w:tab/>
        <w:t>Punt ta’ referenza kif stabbilit fl-Artikolu 4 tar-Regolament dwar il-Governanza bbażat fuq il-mira preċedenti fil-livell tal-UE qabel id-dħul fis-seħħ tad-Direttiva riveduta dwar l-Enerġija Rinnovabbli.</w:t>
      </w:r>
    </w:p>
  </w:footnote>
  <w:footnote w:id="53">
    <w:p w14:paraId="3EBAA5D1" w14:textId="77777777" w:rsidR="00091DDF" w:rsidRPr="00795DFD" w:rsidRDefault="00091DDF" w:rsidP="00091DDF">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Il-valutazzjoni taf tevolvi wara l-NECPs aġġornati finali li għandhom jiġu ppreżentati mill-Istati Membri sat-30 ta’ Ġunju 2024.</w:t>
      </w:r>
    </w:p>
  </w:footnote>
  <w:footnote w:id="54">
    <w:p w14:paraId="63C9C206" w14:textId="098E2899" w:rsidR="00791B5B" w:rsidRPr="00795DFD" w:rsidRDefault="00791B5B" w:rsidP="001B0D59">
      <w:pPr>
        <w:pStyle w:val="FootnoteText"/>
        <w:ind w:left="357" w:hanging="357"/>
        <w:jc w:val="both"/>
        <w:rPr>
          <w:rFonts w:ascii="Times New Roman" w:hAnsi="Times New Roman" w:cs="Times New Roman"/>
        </w:rPr>
      </w:pPr>
      <w:r>
        <w:rPr>
          <w:rStyle w:val="FootnoteReference"/>
          <w:rFonts w:ascii="Times New Roman" w:hAnsi="Times New Roman" w:cs="Times New Roman"/>
          <w:lang w:val="en-GB"/>
        </w:rPr>
        <w:footnoteRef/>
      </w:r>
      <w:r>
        <w:rPr>
          <w:rFonts w:ascii="Times New Roman" w:hAnsi="Times New Roman"/>
        </w:rPr>
        <w:t xml:space="preserve"> F’konformità mal-Artikolu 32(4) tar-Regolament dwar il-Governanza.</w:t>
      </w:r>
    </w:p>
  </w:footnote>
  <w:footnote w:id="55">
    <w:p w14:paraId="5ED62A24" w14:textId="0CD6EF39" w:rsidR="00175718" w:rsidRPr="00795DFD" w:rsidRDefault="00175718" w:rsidP="001B0D59">
      <w:pPr>
        <w:pStyle w:val="FootnoteText"/>
        <w:ind w:left="357" w:hanging="357"/>
        <w:jc w:val="both"/>
        <w:rPr>
          <w:rFonts w:ascii="Times New Roman" w:hAnsi="Times New Roman" w:cs="Times New Roman"/>
        </w:rPr>
      </w:pPr>
      <w:r>
        <w:rPr>
          <w:rStyle w:val="FootnoteReference"/>
          <w:rFonts w:ascii="Times New Roman" w:hAnsi="Times New Roman" w:cs="Times New Roman"/>
          <w:lang w:val="en-GB"/>
        </w:rPr>
        <w:footnoteRef/>
      </w:r>
      <w:r>
        <w:rPr>
          <w:rFonts w:ascii="Times New Roman" w:hAnsi="Times New Roman"/>
        </w:rPr>
        <w:t xml:space="preserve"> L-Irlanda (li tonqos b’5,9 pp), Franza (4,7 pp), l-Awstrija (3,2 pp), is-Slovenja (2 pp), ir-Rumanija (1,9 pp), il-Belġju, (1,2 pp), in-Netherlands (1 pp) u l-Polonja (0,1 p). Punt ta’ referenza kif stabbilit fl-Artikolu 4 tar-Regolament dwar il-Governanza bbażat fuq il-mira preċedenti fil-livell tal-UE qabel id-dħul fis-seħħ tad-Direttiva riveduta dwar l-Enerġija Rinnovabbli.</w:t>
      </w:r>
    </w:p>
  </w:footnote>
  <w:footnote w:id="56">
    <w:p w14:paraId="03786ED4" w14:textId="37953457" w:rsidR="00DC10D0" w:rsidRPr="005E3CB8" w:rsidRDefault="00DC10D0">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L-enerġija ġġenerata minn sorsi rinnovabbli hija ugwali għall-enerġija użata fl-impjanti tat-trattament tal-ilma urban mormi.</w:t>
      </w:r>
    </w:p>
  </w:footnote>
  <w:footnote w:id="57">
    <w:p w14:paraId="15E3C98B" w14:textId="301ED64C" w:rsidR="3F7883FE" w:rsidRPr="005E3CB8" w:rsidRDefault="3F7883F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Il-valutazzjoni taf tevolvi wara l-NECPs aġġornati finali li għandhom jiġu ppreżentati mill-Istati Membri sat-30 ta’ Ġunju 2024.</w:t>
      </w:r>
    </w:p>
  </w:footnote>
  <w:footnote w:id="58">
    <w:p w14:paraId="4CFB84EE" w14:textId="1256086E" w:rsidR="007A29BC" w:rsidRPr="003955F0" w:rsidRDefault="007A29BC" w:rsidP="001B0D59">
      <w:pPr>
        <w:pStyle w:val="FootnoteText"/>
        <w:ind w:left="357" w:hanging="357"/>
        <w:jc w:val="both"/>
        <w:rPr>
          <w:rFonts w:ascii="Times New Roman" w:hAnsi="Times New Roman" w:cs="Times New Roman"/>
        </w:rPr>
      </w:pPr>
      <w:r>
        <w:rPr>
          <w:rStyle w:val="FootnoteReference"/>
          <w:rFonts w:ascii="Times New Roman" w:hAnsi="Times New Roman" w:cs="Times New Roman"/>
          <w:lang w:val="en-GB"/>
        </w:rPr>
        <w:footnoteRef/>
      </w:r>
      <w:r>
        <w:rPr>
          <w:rFonts w:ascii="Times New Roman" w:hAnsi="Times New Roman"/>
        </w:rPr>
        <w:t xml:space="preserve"> Ecodesign Impact Accounting Overview Report 2023. </w:t>
      </w:r>
      <w:hyperlink r:id="rId17" w:history="1">
        <w:hyperlink r:id="rId18" w:history="1">
          <w:r>
            <w:rPr>
              <w:rStyle w:val="Hyperlink"/>
              <w:rFonts w:ascii="Times New Roman" w:hAnsi="Times New Roman"/>
            </w:rPr>
            <w:t>https://europa.eu/!3cfvJd</w:t>
          </w:r>
        </w:hyperlink>
      </w:hyperlink>
    </w:p>
  </w:footnote>
  <w:footnote w:id="59">
    <w:p w14:paraId="463FE38A" w14:textId="57772F14" w:rsidR="007A29BC" w:rsidRPr="00C94C74" w:rsidRDefault="007A29BC" w:rsidP="001B0D59">
      <w:pPr>
        <w:spacing w:after="0" w:line="240" w:lineRule="auto"/>
        <w:ind w:left="357" w:hanging="357"/>
        <w:jc w:val="both"/>
        <w:rPr>
          <w:rFonts w:ascii="Times New Roman" w:hAnsi="Times New Roman" w:cs="Times New Roman"/>
          <w:sz w:val="20"/>
          <w:szCs w:val="20"/>
        </w:rPr>
      </w:pPr>
      <w:r>
        <w:rPr>
          <w:rStyle w:val="FootnoteReference"/>
          <w:rFonts w:ascii="Times New Roman" w:hAnsi="Times New Roman" w:cs="Times New Roman"/>
          <w:sz w:val="20"/>
          <w:szCs w:val="20"/>
          <w:lang w:val="en-GB"/>
        </w:rPr>
        <w:footnoteRef/>
      </w:r>
      <w:r>
        <w:rPr>
          <w:rFonts w:ascii="Times New Roman" w:hAnsi="Times New Roman"/>
          <w:sz w:val="20"/>
        </w:rPr>
        <w:t xml:space="preserve"> </w:t>
      </w:r>
      <w:hyperlink r:id="rId19" w:history="1">
        <w:hyperlink r:id="rId20" w:history="1">
          <w:r>
            <w:rPr>
              <w:rStyle w:val="Hyperlink"/>
              <w:rFonts w:ascii="Times New Roman" w:hAnsi="Times New Roman"/>
              <w:color w:val="auto"/>
              <w:sz w:val="20"/>
            </w:rPr>
            <w:t>Enrico Letta – Much more than a market (April 2024) (europa.eu)</w:t>
          </w:r>
        </w:hyperlink>
      </w:hyperlink>
      <w:r>
        <w:rPr>
          <w:rFonts w:ascii="Times New Roman" w:hAnsi="Times New Roman"/>
          <w:sz w:val="20"/>
          <w:u w:val="single"/>
        </w:rPr>
        <w:t>, b’mod partikolari p. 128–129.</w:t>
      </w:r>
    </w:p>
  </w:footnote>
  <w:footnote w:id="60">
    <w:p w14:paraId="78DE3B02" w14:textId="45D5E382" w:rsidR="00801170" w:rsidRPr="00C94C74" w:rsidRDefault="00801170">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Ir-Regolament dwar is-sigurtà tal-provvista tal-gass jippermetti lill-Istati Membri jattivaw tliet livelli differenti ta’ kriżi: “twissija bikrija” (x’aktarx li jseħħ avveniment), “allert” (seħħ tfixkil iżda s-suq jista’ jlaħħaq) u “emerġenza” (il-provvista tal-gass mhijiex biżżejjed u huma meħtieġa miżuri mhux ibbażati fuq is-suq).</w:t>
      </w:r>
    </w:p>
  </w:footnote>
  <w:footnote w:id="61">
    <w:p w14:paraId="65AAB0B7" w14:textId="77777777" w:rsidR="008C2A15" w:rsidRPr="00B27FFC" w:rsidRDefault="008C2A15" w:rsidP="008C2A15">
      <w:pPr>
        <w:pStyle w:val="FootnoteText"/>
      </w:pPr>
      <w:r>
        <w:rPr>
          <w:rStyle w:val="FootnoteReference"/>
          <w:rFonts w:ascii="Times New Roman" w:hAnsi="Times New Roman" w:cs="Times New Roman"/>
        </w:rPr>
        <w:footnoteRef/>
      </w:r>
      <w:r>
        <w:rPr>
          <w:rFonts w:ascii="Times New Roman" w:hAnsi="Times New Roman"/>
        </w:rPr>
        <w:t xml:space="preserve"> COM(2024) 91 final.</w:t>
      </w:r>
    </w:p>
  </w:footnote>
  <w:footnote w:id="62">
    <w:p w14:paraId="6ACE87F1" w14:textId="125A18A6" w:rsidR="0053651F" w:rsidRPr="00B27FFC" w:rsidRDefault="0053651F" w:rsidP="0053651F">
      <w:pPr>
        <w:pStyle w:val="FootnoteText"/>
        <w:ind w:left="357" w:hanging="357"/>
        <w:jc w:val="both"/>
        <w:rPr>
          <w:rFonts w:ascii="Times New Roman" w:hAnsi="Times New Roman" w:cs="Times New Roman"/>
        </w:rPr>
      </w:pPr>
      <w:r>
        <w:rPr>
          <w:rStyle w:val="FootnoteReference"/>
          <w:rFonts w:ascii="Times New Roman" w:hAnsi="Times New Roman" w:cs="Times New Roman"/>
          <w:lang w:val="en-GB"/>
        </w:rPr>
        <w:footnoteRef/>
      </w:r>
      <w:r>
        <w:rPr>
          <w:rFonts w:ascii="Times New Roman" w:hAnsi="Times New Roman"/>
        </w:rPr>
        <w:t xml:space="preserve"> </w:t>
      </w:r>
      <w:r>
        <w:tab/>
      </w:r>
      <w:r>
        <w:rPr>
          <w:rFonts w:ascii="Times New Roman" w:hAnsi="Times New Roman"/>
        </w:rPr>
        <w:t xml:space="preserve">Sors </w:t>
      </w:r>
      <w:hyperlink r:id="rId21" w:history="1">
        <w:hyperlink r:id="rId22" w:history="1">
          <w:hyperlink r:id="rId23" w:history="1">
            <w:r>
              <w:rPr>
                <w:rStyle w:val="Hyperlink"/>
                <w:rFonts w:ascii="Times New Roman" w:hAnsi="Times New Roman"/>
              </w:rPr>
              <w:t>Stħarriġ UE SILC</w:t>
            </w:r>
          </w:hyperlink>
        </w:hyperlink>
      </w:hyperlink>
      <w:r>
        <w:rPr>
          <w:rFonts w:ascii="Times New Roman" w:hAnsi="Times New Roman"/>
        </w:rPr>
        <w:t>.</w:t>
      </w:r>
    </w:p>
  </w:footnote>
  <w:footnote w:id="63">
    <w:p w14:paraId="2D645430" w14:textId="545B0B32" w:rsidR="00DB0D09" w:rsidRPr="003955F0" w:rsidRDefault="00DB0D09" w:rsidP="001B0D59">
      <w:pPr>
        <w:pStyle w:val="FootnoteText"/>
        <w:ind w:left="357" w:hanging="357"/>
        <w:jc w:val="both"/>
      </w:pPr>
      <w:r>
        <w:rPr>
          <w:rStyle w:val="FootnoteReference"/>
          <w:rFonts w:ascii="Times New Roman" w:hAnsi="Times New Roman" w:cs="Times New Roman"/>
          <w:lang w:val="en-GB"/>
        </w:rPr>
        <w:footnoteRef/>
      </w:r>
      <w:r>
        <w:rPr>
          <w:rFonts w:ascii="Times New Roman" w:hAnsi="Times New Roman"/>
        </w:rPr>
        <w:t xml:space="preserve"> </w:t>
      </w:r>
      <w:r>
        <w:rPr>
          <w:rFonts w:ascii="Times New Roman" w:hAnsi="Times New Roman"/>
        </w:rPr>
        <w:tab/>
        <w:t>L-ogħla ishma ta’ persuni li ma jistgħux iżommu darhom imsaħħna b’mod adegwat ġew irrappurtati fi Spanja (20,8 %), fil-Portugall (20,8 %), fil-Bulgarija (20,7 %) u fil-Litwanja (20,0 %). B’kuntrast ma’ dan, il-Lussemburgu (2,1 %), il-Finlandja (2,6 %), is-Slovenja (3,6 %) u l-Awstrija (3,9 %) irrappurtaw l-inqas ishma.</w:t>
      </w:r>
    </w:p>
  </w:footnote>
  <w:footnote w:id="64">
    <w:p w14:paraId="4623F7DC" w14:textId="28779413" w:rsidR="00ED2877" w:rsidRPr="00795DFD" w:rsidRDefault="00ED28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Kalkoli għar-rapporti li jmiss tal-2024 tal-Osservatorju tat-Teknoloġija tal-Enerġija Nadifa (CETO, Clean Energy Technology Observatory). Għal aktar informazzjoni: L-Osservatorju tat-Teknoloġija tal-Enerġija Nadifa.</w:t>
      </w:r>
    </w:p>
  </w:footnote>
  <w:footnote w:id="65">
    <w:p w14:paraId="03696130" w14:textId="64FFAEA4" w:rsidR="00E35B15" w:rsidRPr="00795DFD" w:rsidRDefault="00E35B15">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COM(2022) 552 final.</w:t>
      </w:r>
    </w:p>
  </w:footnote>
  <w:footnote w:id="66">
    <w:p w14:paraId="6A2932D0" w14:textId="2B42C47B" w:rsidR="00427E3E" w:rsidRDefault="00427E3E">
      <w:pPr>
        <w:pStyle w:val="FootnoteText"/>
      </w:pPr>
      <w:r>
        <w:rPr>
          <w:rStyle w:val="FootnoteReference"/>
          <w:rFonts w:ascii="Times New Roman" w:hAnsi="Times New Roman" w:cs="Times New Roman"/>
        </w:rPr>
        <w:footnoteRef/>
      </w:r>
      <w:r>
        <w:rPr>
          <w:rFonts w:ascii="Times New Roman" w:hAnsi="Times New Roman"/>
        </w:rPr>
        <w:t>DOKUMENT TA’ ĦIDMA TAL-PERSUNAL TAL-KUMMISSJONI Aġenda konġunta tar-riċerka u l-innovazzjoni dwar l-enerġija solari mal-Istati Membri fil-kuntest taż-Żona Ewropea tar-Riċerka (ŻER).</w:t>
      </w:r>
      <w:r>
        <w:t xml:space="preserve"> </w:t>
      </w:r>
    </w:p>
  </w:footnote>
  <w:footnote w:id="67">
    <w:p w14:paraId="27195CFF" w14:textId="77777777" w:rsidR="00EB647D" w:rsidRPr="00792721" w:rsidRDefault="00EB647D" w:rsidP="00792721">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COM(2021) 400</w:t>
      </w:r>
    </w:p>
  </w:footnote>
  <w:footnote w:id="68">
    <w:p w14:paraId="3068CCCE" w14:textId="61BF40DE" w:rsidR="00EB647D" w:rsidRPr="00677983" w:rsidRDefault="00EB647D" w:rsidP="00792721">
      <w:pPr>
        <w:pStyle w:val="FootnoteText"/>
        <w:jc w:val="both"/>
      </w:pPr>
      <w:r>
        <w:rPr>
          <w:rStyle w:val="FootnoteReference"/>
          <w:rFonts w:ascii="Times New Roman" w:hAnsi="Times New Roman" w:cs="Times New Roman"/>
        </w:rPr>
        <w:footnoteRef/>
      </w:r>
      <w:r>
        <w:rPr>
          <w:rFonts w:ascii="Times New Roman" w:hAnsi="Times New Roman"/>
        </w:rPr>
        <w:t xml:space="preserve"> Aktar evidenza se tiġi ppubblikata fi</w:t>
      </w:r>
      <w:r w:rsidR="00FC0428">
        <w:rPr>
          <w:rFonts w:ascii="Times New Roman" w:hAnsi="Times New Roman"/>
        </w:rPr>
        <w:t>r-</w:t>
      </w:r>
      <w:r>
        <w:rPr>
          <w:rFonts w:ascii="Times New Roman" w:hAnsi="Times New Roman"/>
        </w:rPr>
        <w:t xml:space="preserve">Rapport dwar il-Monitoraġġ u l-Prospettiva ta’ Tniġġis Żero li jmiss skedat għall-aħħar tal-2024.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DEE98F" w14:textId="77777777" w:rsidR="004D63FD" w:rsidRPr="004D63FD" w:rsidRDefault="004D63FD" w:rsidP="004D63FD">
    <w:pPr>
      <w:pStyle w:val="HeaderCoverPag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E5368C" w14:textId="77777777" w:rsidR="004D63FD" w:rsidRPr="004D63FD" w:rsidRDefault="004D63FD" w:rsidP="004D63FD">
    <w:pPr>
      <w:pStyle w:val="HeaderCoverPag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8B30D" w14:textId="77777777" w:rsidR="004D63FD" w:rsidRPr="004D63FD" w:rsidRDefault="004D63FD" w:rsidP="004D63FD">
    <w:pPr>
      <w:pStyle w:val="HeaderCoverPag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8CC178" w14:textId="77777777" w:rsidR="00493378" w:rsidRDefault="0049337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21BA5" w14:textId="77777777" w:rsidR="00493378" w:rsidRDefault="0049337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925CEC" w14:textId="77777777" w:rsidR="00493378" w:rsidRDefault="004933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207FF"/>
    <w:multiLevelType w:val="hybridMultilevel"/>
    <w:tmpl w:val="D6B0AF92"/>
    <w:lvl w:ilvl="0" w:tplc="ECD41536">
      <w:start w:val="1"/>
      <w:numFmt w:val="bullet"/>
      <w:lvlText w:val=""/>
      <w:lvlJc w:val="left"/>
      <w:pPr>
        <w:ind w:left="720" w:hanging="360"/>
      </w:pPr>
      <w:rPr>
        <w:rFonts w:ascii="Symbol" w:hAnsi="Symbol"/>
      </w:rPr>
    </w:lvl>
    <w:lvl w:ilvl="1" w:tplc="0D6A0444">
      <w:start w:val="1"/>
      <w:numFmt w:val="bullet"/>
      <w:lvlText w:val=""/>
      <w:lvlJc w:val="left"/>
      <w:pPr>
        <w:ind w:left="720" w:hanging="360"/>
      </w:pPr>
      <w:rPr>
        <w:rFonts w:ascii="Symbol" w:hAnsi="Symbol"/>
      </w:rPr>
    </w:lvl>
    <w:lvl w:ilvl="2" w:tplc="040EE62E">
      <w:start w:val="1"/>
      <w:numFmt w:val="bullet"/>
      <w:lvlText w:val=""/>
      <w:lvlJc w:val="left"/>
      <w:pPr>
        <w:ind w:left="720" w:hanging="360"/>
      </w:pPr>
      <w:rPr>
        <w:rFonts w:ascii="Symbol" w:hAnsi="Symbol"/>
      </w:rPr>
    </w:lvl>
    <w:lvl w:ilvl="3" w:tplc="3476FEE8">
      <w:start w:val="1"/>
      <w:numFmt w:val="bullet"/>
      <w:lvlText w:val=""/>
      <w:lvlJc w:val="left"/>
      <w:pPr>
        <w:ind w:left="720" w:hanging="360"/>
      </w:pPr>
      <w:rPr>
        <w:rFonts w:ascii="Symbol" w:hAnsi="Symbol"/>
      </w:rPr>
    </w:lvl>
    <w:lvl w:ilvl="4" w:tplc="C12EB9C0">
      <w:start w:val="1"/>
      <w:numFmt w:val="bullet"/>
      <w:lvlText w:val=""/>
      <w:lvlJc w:val="left"/>
      <w:pPr>
        <w:ind w:left="720" w:hanging="360"/>
      </w:pPr>
      <w:rPr>
        <w:rFonts w:ascii="Symbol" w:hAnsi="Symbol"/>
      </w:rPr>
    </w:lvl>
    <w:lvl w:ilvl="5" w:tplc="6EB0AFEA">
      <w:start w:val="1"/>
      <w:numFmt w:val="bullet"/>
      <w:lvlText w:val=""/>
      <w:lvlJc w:val="left"/>
      <w:pPr>
        <w:ind w:left="720" w:hanging="360"/>
      </w:pPr>
      <w:rPr>
        <w:rFonts w:ascii="Symbol" w:hAnsi="Symbol"/>
      </w:rPr>
    </w:lvl>
    <w:lvl w:ilvl="6" w:tplc="347840A0">
      <w:start w:val="1"/>
      <w:numFmt w:val="bullet"/>
      <w:lvlText w:val=""/>
      <w:lvlJc w:val="left"/>
      <w:pPr>
        <w:ind w:left="720" w:hanging="360"/>
      </w:pPr>
      <w:rPr>
        <w:rFonts w:ascii="Symbol" w:hAnsi="Symbol"/>
      </w:rPr>
    </w:lvl>
    <w:lvl w:ilvl="7" w:tplc="C93A73AE">
      <w:start w:val="1"/>
      <w:numFmt w:val="bullet"/>
      <w:lvlText w:val=""/>
      <w:lvlJc w:val="left"/>
      <w:pPr>
        <w:ind w:left="720" w:hanging="360"/>
      </w:pPr>
      <w:rPr>
        <w:rFonts w:ascii="Symbol" w:hAnsi="Symbol"/>
      </w:rPr>
    </w:lvl>
    <w:lvl w:ilvl="8" w:tplc="689A377A">
      <w:start w:val="1"/>
      <w:numFmt w:val="bullet"/>
      <w:lvlText w:val=""/>
      <w:lvlJc w:val="left"/>
      <w:pPr>
        <w:ind w:left="720" w:hanging="360"/>
      </w:pPr>
      <w:rPr>
        <w:rFonts w:ascii="Symbol" w:hAnsi="Symbol"/>
      </w:rPr>
    </w:lvl>
  </w:abstractNum>
  <w:abstractNum w:abstractNumId="1" w15:restartNumberingAfterBreak="0">
    <w:nsid w:val="08F15654"/>
    <w:multiLevelType w:val="hybridMultilevel"/>
    <w:tmpl w:val="639A97A4"/>
    <w:lvl w:ilvl="0" w:tplc="F410B484">
      <w:start w:val="1"/>
      <w:numFmt w:val="bullet"/>
      <w:lvlText w:val="-"/>
      <w:lvlJc w:val="left"/>
      <w:pPr>
        <w:ind w:left="720" w:hanging="360"/>
      </w:pPr>
      <w:rPr>
        <w:rFonts w:ascii="&quot;Aptos&quot;,sans-serif" w:hAnsi="&quot;Aptos&quot;,sans-serif" w:hint="default"/>
      </w:rPr>
    </w:lvl>
    <w:lvl w:ilvl="1" w:tplc="A734F508">
      <w:start w:val="1"/>
      <w:numFmt w:val="bullet"/>
      <w:lvlText w:val="o"/>
      <w:lvlJc w:val="left"/>
      <w:pPr>
        <w:ind w:left="1440" w:hanging="360"/>
      </w:pPr>
      <w:rPr>
        <w:rFonts w:ascii="Courier New" w:hAnsi="Courier New" w:hint="default"/>
      </w:rPr>
    </w:lvl>
    <w:lvl w:ilvl="2" w:tplc="EB48D24A">
      <w:start w:val="1"/>
      <w:numFmt w:val="bullet"/>
      <w:lvlText w:val=""/>
      <w:lvlJc w:val="left"/>
      <w:pPr>
        <w:ind w:left="2160" w:hanging="360"/>
      </w:pPr>
      <w:rPr>
        <w:rFonts w:ascii="Wingdings" w:hAnsi="Wingdings" w:hint="default"/>
      </w:rPr>
    </w:lvl>
    <w:lvl w:ilvl="3" w:tplc="F5684E12">
      <w:start w:val="1"/>
      <w:numFmt w:val="bullet"/>
      <w:lvlText w:val=""/>
      <w:lvlJc w:val="left"/>
      <w:pPr>
        <w:ind w:left="2880" w:hanging="360"/>
      </w:pPr>
      <w:rPr>
        <w:rFonts w:ascii="Symbol" w:hAnsi="Symbol" w:hint="default"/>
      </w:rPr>
    </w:lvl>
    <w:lvl w:ilvl="4" w:tplc="6AEE83C6">
      <w:start w:val="1"/>
      <w:numFmt w:val="bullet"/>
      <w:lvlText w:val="o"/>
      <w:lvlJc w:val="left"/>
      <w:pPr>
        <w:ind w:left="3600" w:hanging="360"/>
      </w:pPr>
      <w:rPr>
        <w:rFonts w:ascii="Courier New" w:hAnsi="Courier New" w:hint="default"/>
      </w:rPr>
    </w:lvl>
    <w:lvl w:ilvl="5" w:tplc="D4F414B0">
      <w:start w:val="1"/>
      <w:numFmt w:val="bullet"/>
      <w:lvlText w:val=""/>
      <w:lvlJc w:val="left"/>
      <w:pPr>
        <w:ind w:left="4320" w:hanging="360"/>
      </w:pPr>
      <w:rPr>
        <w:rFonts w:ascii="Wingdings" w:hAnsi="Wingdings" w:hint="default"/>
      </w:rPr>
    </w:lvl>
    <w:lvl w:ilvl="6" w:tplc="0B063562">
      <w:start w:val="1"/>
      <w:numFmt w:val="bullet"/>
      <w:lvlText w:val=""/>
      <w:lvlJc w:val="left"/>
      <w:pPr>
        <w:ind w:left="5040" w:hanging="360"/>
      </w:pPr>
      <w:rPr>
        <w:rFonts w:ascii="Symbol" w:hAnsi="Symbol" w:hint="default"/>
      </w:rPr>
    </w:lvl>
    <w:lvl w:ilvl="7" w:tplc="4FBEC31C">
      <w:start w:val="1"/>
      <w:numFmt w:val="bullet"/>
      <w:lvlText w:val="o"/>
      <w:lvlJc w:val="left"/>
      <w:pPr>
        <w:ind w:left="5760" w:hanging="360"/>
      </w:pPr>
      <w:rPr>
        <w:rFonts w:ascii="Courier New" w:hAnsi="Courier New" w:hint="default"/>
      </w:rPr>
    </w:lvl>
    <w:lvl w:ilvl="8" w:tplc="8E1C5AFC">
      <w:start w:val="1"/>
      <w:numFmt w:val="bullet"/>
      <w:lvlText w:val=""/>
      <w:lvlJc w:val="left"/>
      <w:pPr>
        <w:ind w:left="6480" w:hanging="360"/>
      </w:pPr>
      <w:rPr>
        <w:rFonts w:ascii="Wingdings" w:hAnsi="Wingdings" w:hint="default"/>
      </w:rPr>
    </w:lvl>
  </w:abstractNum>
  <w:abstractNum w:abstractNumId="2" w15:restartNumberingAfterBreak="0">
    <w:nsid w:val="10F40E11"/>
    <w:multiLevelType w:val="hybridMultilevel"/>
    <w:tmpl w:val="A9F4932A"/>
    <w:lvl w:ilvl="0" w:tplc="F410B484">
      <w:start w:val="1"/>
      <w:numFmt w:val="bullet"/>
      <w:lvlText w:val="-"/>
      <w:lvlJc w:val="left"/>
      <w:pPr>
        <w:ind w:left="720" w:hanging="360"/>
      </w:pPr>
      <w:rPr>
        <w:rFonts w:ascii="&quot;Aptos&quot;,sans-serif" w:hAnsi="&quot;Aptos&quot;,sans-serif"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DF1880A"/>
    <w:multiLevelType w:val="hybridMultilevel"/>
    <w:tmpl w:val="FFFFFFFF"/>
    <w:lvl w:ilvl="0" w:tplc="2E70E772">
      <w:start w:val="1"/>
      <w:numFmt w:val="bullet"/>
      <w:lvlText w:val=""/>
      <w:lvlJc w:val="left"/>
      <w:pPr>
        <w:ind w:left="720" w:hanging="360"/>
      </w:pPr>
      <w:rPr>
        <w:rFonts w:ascii="Symbol" w:hAnsi="Symbol" w:hint="default"/>
      </w:rPr>
    </w:lvl>
    <w:lvl w:ilvl="1" w:tplc="BDF27674">
      <w:start w:val="1"/>
      <w:numFmt w:val="bullet"/>
      <w:lvlText w:val="o"/>
      <w:lvlJc w:val="left"/>
      <w:pPr>
        <w:ind w:left="1440" w:hanging="360"/>
      </w:pPr>
      <w:rPr>
        <w:rFonts w:ascii="Courier New" w:hAnsi="Courier New" w:hint="default"/>
      </w:rPr>
    </w:lvl>
    <w:lvl w:ilvl="2" w:tplc="A4D4FD30">
      <w:start w:val="1"/>
      <w:numFmt w:val="bullet"/>
      <w:lvlText w:val=""/>
      <w:lvlJc w:val="left"/>
      <w:pPr>
        <w:ind w:left="2160" w:hanging="360"/>
      </w:pPr>
      <w:rPr>
        <w:rFonts w:ascii="Wingdings" w:hAnsi="Wingdings" w:hint="default"/>
      </w:rPr>
    </w:lvl>
    <w:lvl w:ilvl="3" w:tplc="A8E2820A">
      <w:start w:val="1"/>
      <w:numFmt w:val="bullet"/>
      <w:lvlText w:val=""/>
      <w:lvlJc w:val="left"/>
      <w:pPr>
        <w:ind w:left="2880" w:hanging="360"/>
      </w:pPr>
      <w:rPr>
        <w:rFonts w:ascii="Symbol" w:hAnsi="Symbol" w:hint="default"/>
      </w:rPr>
    </w:lvl>
    <w:lvl w:ilvl="4" w:tplc="20FCA59C">
      <w:start w:val="1"/>
      <w:numFmt w:val="bullet"/>
      <w:lvlText w:val="o"/>
      <w:lvlJc w:val="left"/>
      <w:pPr>
        <w:ind w:left="3600" w:hanging="360"/>
      </w:pPr>
      <w:rPr>
        <w:rFonts w:ascii="Courier New" w:hAnsi="Courier New" w:hint="default"/>
      </w:rPr>
    </w:lvl>
    <w:lvl w:ilvl="5" w:tplc="EB0E2B48">
      <w:start w:val="1"/>
      <w:numFmt w:val="bullet"/>
      <w:lvlText w:val=""/>
      <w:lvlJc w:val="left"/>
      <w:pPr>
        <w:ind w:left="4320" w:hanging="360"/>
      </w:pPr>
      <w:rPr>
        <w:rFonts w:ascii="Wingdings" w:hAnsi="Wingdings" w:hint="default"/>
      </w:rPr>
    </w:lvl>
    <w:lvl w:ilvl="6" w:tplc="B08A27A6">
      <w:start w:val="1"/>
      <w:numFmt w:val="bullet"/>
      <w:lvlText w:val=""/>
      <w:lvlJc w:val="left"/>
      <w:pPr>
        <w:ind w:left="5040" w:hanging="360"/>
      </w:pPr>
      <w:rPr>
        <w:rFonts w:ascii="Symbol" w:hAnsi="Symbol" w:hint="default"/>
      </w:rPr>
    </w:lvl>
    <w:lvl w:ilvl="7" w:tplc="81704300">
      <w:start w:val="1"/>
      <w:numFmt w:val="bullet"/>
      <w:lvlText w:val="o"/>
      <w:lvlJc w:val="left"/>
      <w:pPr>
        <w:ind w:left="5760" w:hanging="360"/>
      </w:pPr>
      <w:rPr>
        <w:rFonts w:ascii="Courier New" w:hAnsi="Courier New" w:hint="default"/>
      </w:rPr>
    </w:lvl>
    <w:lvl w:ilvl="8" w:tplc="C9322D3E">
      <w:start w:val="1"/>
      <w:numFmt w:val="bullet"/>
      <w:lvlText w:val=""/>
      <w:lvlJc w:val="left"/>
      <w:pPr>
        <w:ind w:left="6480" w:hanging="360"/>
      </w:pPr>
      <w:rPr>
        <w:rFonts w:ascii="Wingdings" w:hAnsi="Wingdings" w:hint="default"/>
      </w:rPr>
    </w:lvl>
  </w:abstractNum>
  <w:abstractNum w:abstractNumId="4" w15:restartNumberingAfterBreak="0">
    <w:nsid w:val="3284C01A"/>
    <w:multiLevelType w:val="hybridMultilevel"/>
    <w:tmpl w:val="FFFFFFFF"/>
    <w:lvl w:ilvl="0" w:tplc="DD244D50">
      <w:start w:val="1"/>
      <w:numFmt w:val="bullet"/>
      <w:lvlText w:val="-"/>
      <w:lvlJc w:val="left"/>
      <w:pPr>
        <w:ind w:left="717" w:hanging="360"/>
      </w:pPr>
      <w:rPr>
        <w:rFonts w:ascii="Aptos" w:hAnsi="Aptos" w:hint="default"/>
      </w:rPr>
    </w:lvl>
    <w:lvl w:ilvl="1" w:tplc="6E38E94A">
      <w:start w:val="1"/>
      <w:numFmt w:val="bullet"/>
      <w:lvlText w:val="o"/>
      <w:lvlJc w:val="left"/>
      <w:pPr>
        <w:ind w:left="1437" w:hanging="360"/>
      </w:pPr>
      <w:rPr>
        <w:rFonts w:ascii="Courier New" w:hAnsi="Courier New" w:hint="default"/>
      </w:rPr>
    </w:lvl>
    <w:lvl w:ilvl="2" w:tplc="6AB884B8">
      <w:start w:val="1"/>
      <w:numFmt w:val="bullet"/>
      <w:lvlText w:val=""/>
      <w:lvlJc w:val="left"/>
      <w:pPr>
        <w:ind w:left="2157" w:hanging="360"/>
      </w:pPr>
      <w:rPr>
        <w:rFonts w:ascii="Wingdings" w:hAnsi="Wingdings" w:hint="default"/>
      </w:rPr>
    </w:lvl>
    <w:lvl w:ilvl="3" w:tplc="F8ECFAB6">
      <w:start w:val="1"/>
      <w:numFmt w:val="bullet"/>
      <w:lvlText w:val=""/>
      <w:lvlJc w:val="left"/>
      <w:pPr>
        <w:ind w:left="2877" w:hanging="360"/>
      </w:pPr>
      <w:rPr>
        <w:rFonts w:ascii="Symbol" w:hAnsi="Symbol" w:hint="default"/>
      </w:rPr>
    </w:lvl>
    <w:lvl w:ilvl="4" w:tplc="C1161C2C">
      <w:start w:val="1"/>
      <w:numFmt w:val="bullet"/>
      <w:lvlText w:val="o"/>
      <w:lvlJc w:val="left"/>
      <w:pPr>
        <w:ind w:left="3597" w:hanging="360"/>
      </w:pPr>
      <w:rPr>
        <w:rFonts w:ascii="Courier New" w:hAnsi="Courier New" w:hint="default"/>
      </w:rPr>
    </w:lvl>
    <w:lvl w:ilvl="5" w:tplc="0C86BAF4">
      <w:start w:val="1"/>
      <w:numFmt w:val="bullet"/>
      <w:lvlText w:val=""/>
      <w:lvlJc w:val="left"/>
      <w:pPr>
        <w:ind w:left="4317" w:hanging="360"/>
      </w:pPr>
      <w:rPr>
        <w:rFonts w:ascii="Wingdings" w:hAnsi="Wingdings" w:hint="default"/>
      </w:rPr>
    </w:lvl>
    <w:lvl w:ilvl="6" w:tplc="DA020FBC">
      <w:start w:val="1"/>
      <w:numFmt w:val="bullet"/>
      <w:lvlText w:val=""/>
      <w:lvlJc w:val="left"/>
      <w:pPr>
        <w:ind w:left="5037" w:hanging="360"/>
      </w:pPr>
      <w:rPr>
        <w:rFonts w:ascii="Symbol" w:hAnsi="Symbol" w:hint="default"/>
      </w:rPr>
    </w:lvl>
    <w:lvl w:ilvl="7" w:tplc="187A43AA">
      <w:start w:val="1"/>
      <w:numFmt w:val="bullet"/>
      <w:lvlText w:val="o"/>
      <w:lvlJc w:val="left"/>
      <w:pPr>
        <w:ind w:left="5757" w:hanging="360"/>
      </w:pPr>
      <w:rPr>
        <w:rFonts w:ascii="Courier New" w:hAnsi="Courier New" w:hint="default"/>
      </w:rPr>
    </w:lvl>
    <w:lvl w:ilvl="8" w:tplc="608C56A2">
      <w:start w:val="1"/>
      <w:numFmt w:val="bullet"/>
      <w:lvlText w:val=""/>
      <w:lvlJc w:val="left"/>
      <w:pPr>
        <w:ind w:left="6477" w:hanging="360"/>
      </w:pPr>
      <w:rPr>
        <w:rFonts w:ascii="Wingdings" w:hAnsi="Wingdings" w:hint="default"/>
      </w:rPr>
    </w:lvl>
  </w:abstractNum>
  <w:abstractNum w:abstractNumId="5" w15:restartNumberingAfterBreak="0">
    <w:nsid w:val="35FE0BFE"/>
    <w:multiLevelType w:val="hybridMultilevel"/>
    <w:tmpl w:val="FFFFFFFF"/>
    <w:lvl w:ilvl="0" w:tplc="7A22C6EC">
      <w:start w:val="1"/>
      <w:numFmt w:val="bullet"/>
      <w:lvlText w:val="-"/>
      <w:lvlJc w:val="left"/>
      <w:pPr>
        <w:ind w:left="720" w:hanging="360"/>
      </w:pPr>
      <w:rPr>
        <w:rFonts w:ascii="Calibri" w:hAnsi="Calibri" w:hint="default"/>
      </w:rPr>
    </w:lvl>
    <w:lvl w:ilvl="1" w:tplc="C012E500">
      <w:start w:val="1"/>
      <w:numFmt w:val="bullet"/>
      <w:lvlText w:val="o"/>
      <w:lvlJc w:val="left"/>
      <w:pPr>
        <w:ind w:left="1440" w:hanging="360"/>
      </w:pPr>
      <w:rPr>
        <w:rFonts w:ascii="Courier New" w:hAnsi="Courier New" w:hint="default"/>
      </w:rPr>
    </w:lvl>
    <w:lvl w:ilvl="2" w:tplc="D85A830C">
      <w:start w:val="1"/>
      <w:numFmt w:val="bullet"/>
      <w:lvlText w:val=""/>
      <w:lvlJc w:val="left"/>
      <w:pPr>
        <w:ind w:left="2160" w:hanging="360"/>
      </w:pPr>
      <w:rPr>
        <w:rFonts w:ascii="Wingdings" w:hAnsi="Wingdings" w:hint="default"/>
      </w:rPr>
    </w:lvl>
    <w:lvl w:ilvl="3" w:tplc="DAA6993A">
      <w:start w:val="1"/>
      <w:numFmt w:val="bullet"/>
      <w:lvlText w:val=""/>
      <w:lvlJc w:val="left"/>
      <w:pPr>
        <w:ind w:left="2880" w:hanging="360"/>
      </w:pPr>
      <w:rPr>
        <w:rFonts w:ascii="Symbol" w:hAnsi="Symbol" w:hint="default"/>
      </w:rPr>
    </w:lvl>
    <w:lvl w:ilvl="4" w:tplc="E2F21A9A">
      <w:start w:val="1"/>
      <w:numFmt w:val="bullet"/>
      <w:lvlText w:val="o"/>
      <w:lvlJc w:val="left"/>
      <w:pPr>
        <w:ind w:left="3600" w:hanging="360"/>
      </w:pPr>
      <w:rPr>
        <w:rFonts w:ascii="Courier New" w:hAnsi="Courier New" w:hint="default"/>
      </w:rPr>
    </w:lvl>
    <w:lvl w:ilvl="5" w:tplc="C50278BE">
      <w:start w:val="1"/>
      <w:numFmt w:val="bullet"/>
      <w:lvlText w:val=""/>
      <w:lvlJc w:val="left"/>
      <w:pPr>
        <w:ind w:left="4320" w:hanging="360"/>
      </w:pPr>
      <w:rPr>
        <w:rFonts w:ascii="Wingdings" w:hAnsi="Wingdings" w:hint="default"/>
      </w:rPr>
    </w:lvl>
    <w:lvl w:ilvl="6" w:tplc="9D820FB8">
      <w:start w:val="1"/>
      <w:numFmt w:val="bullet"/>
      <w:lvlText w:val=""/>
      <w:lvlJc w:val="left"/>
      <w:pPr>
        <w:ind w:left="5040" w:hanging="360"/>
      </w:pPr>
      <w:rPr>
        <w:rFonts w:ascii="Symbol" w:hAnsi="Symbol" w:hint="default"/>
      </w:rPr>
    </w:lvl>
    <w:lvl w:ilvl="7" w:tplc="6ADE60BE">
      <w:start w:val="1"/>
      <w:numFmt w:val="bullet"/>
      <w:lvlText w:val="o"/>
      <w:lvlJc w:val="left"/>
      <w:pPr>
        <w:ind w:left="5760" w:hanging="360"/>
      </w:pPr>
      <w:rPr>
        <w:rFonts w:ascii="Courier New" w:hAnsi="Courier New" w:hint="default"/>
      </w:rPr>
    </w:lvl>
    <w:lvl w:ilvl="8" w:tplc="DE90DEA2">
      <w:start w:val="1"/>
      <w:numFmt w:val="bullet"/>
      <w:lvlText w:val=""/>
      <w:lvlJc w:val="left"/>
      <w:pPr>
        <w:ind w:left="6480" w:hanging="360"/>
      </w:pPr>
      <w:rPr>
        <w:rFonts w:ascii="Wingdings" w:hAnsi="Wingdings" w:hint="default"/>
      </w:rPr>
    </w:lvl>
  </w:abstractNum>
  <w:abstractNum w:abstractNumId="6" w15:restartNumberingAfterBreak="0">
    <w:nsid w:val="50BA318E"/>
    <w:multiLevelType w:val="multilevel"/>
    <w:tmpl w:val="7046C618"/>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50DD81E9"/>
    <w:multiLevelType w:val="hybridMultilevel"/>
    <w:tmpl w:val="FFFFFFFF"/>
    <w:lvl w:ilvl="0" w:tplc="85D83BDC">
      <w:start w:val="1"/>
      <w:numFmt w:val="bullet"/>
      <w:lvlText w:val="-"/>
      <w:lvlJc w:val="left"/>
      <w:pPr>
        <w:ind w:left="720" w:hanging="360"/>
      </w:pPr>
      <w:rPr>
        <w:rFonts w:ascii="Calibri" w:hAnsi="Calibri" w:hint="default"/>
      </w:rPr>
    </w:lvl>
    <w:lvl w:ilvl="1" w:tplc="E564AF80">
      <w:start w:val="1"/>
      <w:numFmt w:val="bullet"/>
      <w:lvlText w:val="o"/>
      <w:lvlJc w:val="left"/>
      <w:pPr>
        <w:ind w:left="1440" w:hanging="360"/>
      </w:pPr>
      <w:rPr>
        <w:rFonts w:ascii="Courier New" w:hAnsi="Courier New" w:hint="default"/>
      </w:rPr>
    </w:lvl>
    <w:lvl w:ilvl="2" w:tplc="31ACFC9A">
      <w:start w:val="1"/>
      <w:numFmt w:val="bullet"/>
      <w:lvlText w:val=""/>
      <w:lvlJc w:val="left"/>
      <w:pPr>
        <w:ind w:left="2160" w:hanging="360"/>
      </w:pPr>
      <w:rPr>
        <w:rFonts w:ascii="Wingdings" w:hAnsi="Wingdings" w:hint="default"/>
      </w:rPr>
    </w:lvl>
    <w:lvl w:ilvl="3" w:tplc="54025F6C">
      <w:start w:val="1"/>
      <w:numFmt w:val="bullet"/>
      <w:lvlText w:val=""/>
      <w:lvlJc w:val="left"/>
      <w:pPr>
        <w:ind w:left="2880" w:hanging="360"/>
      </w:pPr>
      <w:rPr>
        <w:rFonts w:ascii="Symbol" w:hAnsi="Symbol" w:hint="default"/>
      </w:rPr>
    </w:lvl>
    <w:lvl w:ilvl="4" w:tplc="1A06B16E">
      <w:start w:val="1"/>
      <w:numFmt w:val="bullet"/>
      <w:lvlText w:val="o"/>
      <w:lvlJc w:val="left"/>
      <w:pPr>
        <w:ind w:left="3600" w:hanging="360"/>
      </w:pPr>
      <w:rPr>
        <w:rFonts w:ascii="Courier New" w:hAnsi="Courier New" w:hint="default"/>
      </w:rPr>
    </w:lvl>
    <w:lvl w:ilvl="5" w:tplc="4192D00A">
      <w:start w:val="1"/>
      <w:numFmt w:val="bullet"/>
      <w:lvlText w:val=""/>
      <w:lvlJc w:val="left"/>
      <w:pPr>
        <w:ind w:left="4320" w:hanging="360"/>
      </w:pPr>
      <w:rPr>
        <w:rFonts w:ascii="Wingdings" w:hAnsi="Wingdings" w:hint="default"/>
      </w:rPr>
    </w:lvl>
    <w:lvl w:ilvl="6" w:tplc="C9125770">
      <w:start w:val="1"/>
      <w:numFmt w:val="bullet"/>
      <w:lvlText w:val=""/>
      <w:lvlJc w:val="left"/>
      <w:pPr>
        <w:ind w:left="5040" w:hanging="360"/>
      </w:pPr>
      <w:rPr>
        <w:rFonts w:ascii="Symbol" w:hAnsi="Symbol" w:hint="default"/>
      </w:rPr>
    </w:lvl>
    <w:lvl w:ilvl="7" w:tplc="B8844898">
      <w:start w:val="1"/>
      <w:numFmt w:val="bullet"/>
      <w:lvlText w:val="o"/>
      <w:lvlJc w:val="left"/>
      <w:pPr>
        <w:ind w:left="5760" w:hanging="360"/>
      </w:pPr>
      <w:rPr>
        <w:rFonts w:ascii="Courier New" w:hAnsi="Courier New" w:hint="default"/>
      </w:rPr>
    </w:lvl>
    <w:lvl w:ilvl="8" w:tplc="3DFEBB5A">
      <w:start w:val="1"/>
      <w:numFmt w:val="bullet"/>
      <w:lvlText w:val=""/>
      <w:lvlJc w:val="left"/>
      <w:pPr>
        <w:ind w:left="6480" w:hanging="360"/>
      </w:pPr>
      <w:rPr>
        <w:rFonts w:ascii="Wingdings" w:hAnsi="Wingdings" w:hint="default"/>
      </w:rPr>
    </w:lvl>
  </w:abstractNum>
  <w:abstractNum w:abstractNumId="8" w15:restartNumberingAfterBreak="0">
    <w:nsid w:val="516EF144"/>
    <w:multiLevelType w:val="hybridMultilevel"/>
    <w:tmpl w:val="FFFFFFFF"/>
    <w:lvl w:ilvl="0" w:tplc="324E2CE0">
      <w:start w:val="1"/>
      <w:numFmt w:val="bullet"/>
      <w:lvlText w:val="-"/>
      <w:lvlJc w:val="left"/>
      <w:pPr>
        <w:ind w:left="720" w:hanging="360"/>
      </w:pPr>
      <w:rPr>
        <w:rFonts w:ascii="Aptos" w:hAnsi="Aptos" w:hint="default"/>
      </w:rPr>
    </w:lvl>
    <w:lvl w:ilvl="1" w:tplc="F58EDDAE">
      <w:start w:val="1"/>
      <w:numFmt w:val="bullet"/>
      <w:lvlText w:val="o"/>
      <w:lvlJc w:val="left"/>
      <w:pPr>
        <w:ind w:left="1440" w:hanging="360"/>
      </w:pPr>
      <w:rPr>
        <w:rFonts w:ascii="Courier New" w:hAnsi="Courier New" w:hint="default"/>
      </w:rPr>
    </w:lvl>
    <w:lvl w:ilvl="2" w:tplc="F9908F18">
      <w:start w:val="1"/>
      <w:numFmt w:val="bullet"/>
      <w:lvlText w:val=""/>
      <w:lvlJc w:val="left"/>
      <w:pPr>
        <w:ind w:left="2160" w:hanging="360"/>
      </w:pPr>
      <w:rPr>
        <w:rFonts w:ascii="Wingdings" w:hAnsi="Wingdings" w:hint="default"/>
      </w:rPr>
    </w:lvl>
    <w:lvl w:ilvl="3" w:tplc="13A4F198">
      <w:start w:val="1"/>
      <w:numFmt w:val="bullet"/>
      <w:lvlText w:val=""/>
      <w:lvlJc w:val="left"/>
      <w:pPr>
        <w:ind w:left="2880" w:hanging="360"/>
      </w:pPr>
      <w:rPr>
        <w:rFonts w:ascii="Symbol" w:hAnsi="Symbol" w:hint="default"/>
      </w:rPr>
    </w:lvl>
    <w:lvl w:ilvl="4" w:tplc="14AECD00">
      <w:start w:val="1"/>
      <w:numFmt w:val="bullet"/>
      <w:lvlText w:val="o"/>
      <w:lvlJc w:val="left"/>
      <w:pPr>
        <w:ind w:left="3600" w:hanging="360"/>
      </w:pPr>
      <w:rPr>
        <w:rFonts w:ascii="Courier New" w:hAnsi="Courier New" w:hint="default"/>
      </w:rPr>
    </w:lvl>
    <w:lvl w:ilvl="5" w:tplc="2644776A">
      <w:start w:val="1"/>
      <w:numFmt w:val="bullet"/>
      <w:lvlText w:val=""/>
      <w:lvlJc w:val="left"/>
      <w:pPr>
        <w:ind w:left="4320" w:hanging="360"/>
      </w:pPr>
      <w:rPr>
        <w:rFonts w:ascii="Wingdings" w:hAnsi="Wingdings" w:hint="default"/>
      </w:rPr>
    </w:lvl>
    <w:lvl w:ilvl="6" w:tplc="BDB0A9B4">
      <w:start w:val="1"/>
      <w:numFmt w:val="bullet"/>
      <w:lvlText w:val=""/>
      <w:lvlJc w:val="left"/>
      <w:pPr>
        <w:ind w:left="5040" w:hanging="360"/>
      </w:pPr>
      <w:rPr>
        <w:rFonts w:ascii="Symbol" w:hAnsi="Symbol" w:hint="default"/>
      </w:rPr>
    </w:lvl>
    <w:lvl w:ilvl="7" w:tplc="F63850B2">
      <w:start w:val="1"/>
      <w:numFmt w:val="bullet"/>
      <w:lvlText w:val="o"/>
      <w:lvlJc w:val="left"/>
      <w:pPr>
        <w:ind w:left="5760" w:hanging="360"/>
      </w:pPr>
      <w:rPr>
        <w:rFonts w:ascii="Courier New" w:hAnsi="Courier New" w:hint="default"/>
      </w:rPr>
    </w:lvl>
    <w:lvl w:ilvl="8" w:tplc="1B36385A">
      <w:start w:val="1"/>
      <w:numFmt w:val="bullet"/>
      <w:lvlText w:val=""/>
      <w:lvlJc w:val="left"/>
      <w:pPr>
        <w:ind w:left="6480" w:hanging="360"/>
      </w:pPr>
      <w:rPr>
        <w:rFonts w:ascii="Wingdings" w:hAnsi="Wingdings" w:hint="default"/>
      </w:rPr>
    </w:lvl>
  </w:abstractNum>
  <w:abstractNum w:abstractNumId="9" w15:restartNumberingAfterBreak="0">
    <w:nsid w:val="5DF01D55"/>
    <w:multiLevelType w:val="hybridMultilevel"/>
    <w:tmpl w:val="06647BB2"/>
    <w:lvl w:ilvl="0" w:tplc="FFFFFFFF">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10" w15:restartNumberingAfterBreak="0">
    <w:nsid w:val="5EF22E7E"/>
    <w:multiLevelType w:val="multilevel"/>
    <w:tmpl w:val="CBA046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6D0227"/>
    <w:multiLevelType w:val="hybridMultilevel"/>
    <w:tmpl w:val="A62A2FE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76FD0BD6"/>
    <w:multiLevelType w:val="multilevel"/>
    <w:tmpl w:val="6700D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9D38CB"/>
    <w:multiLevelType w:val="hybridMultilevel"/>
    <w:tmpl w:val="BE96FD68"/>
    <w:lvl w:ilvl="0" w:tplc="55EA560E">
      <w:numFmt w:val="bullet"/>
      <w:lvlText w:val="-"/>
      <w:lvlJc w:val="left"/>
      <w:pPr>
        <w:ind w:left="643"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F4D47EE"/>
    <w:multiLevelType w:val="hybridMultilevel"/>
    <w:tmpl w:val="EFF4F444"/>
    <w:lvl w:ilvl="0" w:tplc="6B7616E6">
      <w:start w:val="1"/>
      <w:numFmt w:val="bullet"/>
      <w:lvlText w:val=""/>
      <w:lvlJc w:val="left"/>
      <w:pPr>
        <w:ind w:left="720" w:hanging="360"/>
      </w:pPr>
      <w:rPr>
        <w:rFonts w:ascii="Symbol" w:hAnsi="Symbol" w:hint="default"/>
      </w:rPr>
    </w:lvl>
    <w:lvl w:ilvl="1" w:tplc="F71A348C">
      <w:start w:val="1"/>
      <w:numFmt w:val="bullet"/>
      <w:lvlText w:val="o"/>
      <w:lvlJc w:val="left"/>
      <w:pPr>
        <w:ind w:left="1440" w:hanging="360"/>
      </w:pPr>
      <w:rPr>
        <w:rFonts w:ascii="Courier New" w:hAnsi="Courier New" w:hint="default"/>
      </w:rPr>
    </w:lvl>
    <w:lvl w:ilvl="2" w:tplc="5CCC9996">
      <w:start w:val="1"/>
      <w:numFmt w:val="bullet"/>
      <w:lvlText w:val=""/>
      <w:lvlJc w:val="left"/>
      <w:pPr>
        <w:ind w:left="2160" w:hanging="360"/>
      </w:pPr>
      <w:rPr>
        <w:rFonts w:ascii="Wingdings" w:hAnsi="Wingdings" w:hint="default"/>
      </w:rPr>
    </w:lvl>
    <w:lvl w:ilvl="3" w:tplc="83609638">
      <w:start w:val="1"/>
      <w:numFmt w:val="bullet"/>
      <w:lvlText w:val=""/>
      <w:lvlJc w:val="left"/>
      <w:pPr>
        <w:ind w:left="2880" w:hanging="360"/>
      </w:pPr>
      <w:rPr>
        <w:rFonts w:ascii="Symbol" w:hAnsi="Symbol" w:hint="default"/>
      </w:rPr>
    </w:lvl>
    <w:lvl w:ilvl="4" w:tplc="5CDC0172">
      <w:start w:val="1"/>
      <w:numFmt w:val="bullet"/>
      <w:lvlText w:val="o"/>
      <w:lvlJc w:val="left"/>
      <w:pPr>
        <w:ind w:left="3600" w:hanging="360"/>
      </w:pPr>
      <w:rPr>
        <w:rFonts w:ascii="Courier New" w:hAnsi="Courier New" w:hint="default"/>
      </w:rPr>
    </w:lvl>
    <w:lvl w:ilvl="5" w:tplc="BB54357C">
      <w:start w:val="1"/>
      <w:numFmt w:val="bullet"/>
      <w:lvlText w:val=""/>
      <w:lvlJc w:val="left"/>
      <w:pPr>
        <w:ind w:left="4320" w:hanging="360"/>
      </w:pPr>
      <w:rPr>
        <w:rFonts w:ascii="Wingdings" w:hAnsi="Wingdings" w:hint="default"/>
      </w:rPr>
    </w:lvl>
    <w:lvl w:ilvl="6" w:tplc="5314B384">
      <w:start w:val="1"/>
      <w:numFmt w:val="bullet"/>
      <w:lvlText w:val=""/>
      <w:lvlJc w:val="left"/>
      <w:pPr>
        <w:ind w:left="5040" w:hanging="360"/>
      </w:pPr>
      <w:rPr>
        <w:rFonts w:ascii="Symbol" w:hAnsi="Symbol" w:hint="default"/>
      </w:rPr>
    </w:lvl>
    <w:lvl w:ilvl="7" w:tplc="6254B628">
      <w:start w:val="1"/>
      <w:numFmt w:val="bullet"/>
      <w:lvlText w:val="o"/>
      <w:lvlJc w:val="left"/>
      <w:pPr>
        <w:ind w:left="5760" w:hanging="360"/>
      </w:pPr>
      <w:rPr>
        <w:rFonts w:ascii="Courier New" w:hAnsi="Courier New" w:hint="default"/>
      </w:rPr>
    </w:lvl>
    <w:lvl w:ilvl="8" w:tplc="8F46D7A6">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5"/>
  </w:num>
  <w:num w:numId="4">
    <w:abstractNumId w:val="6"/>
  </w:num>
  <w:num w:numId="5">
    <w:abstractNumId w:val="13"/>
  </w:num>
  <w:num w:numId="6">
    <w:abstractNumId w:val="3"/>
  </w:num>
  <w:num w:numId="7">
    <w:abstractNumId w:val="4"/>
  </w:num>
  <w:num w:numId="8">
    <w:abstractNumId w:val="8"/>
  </w:num>
  <w:num w:numId="9">
    <w:abstractNumId w:val="14"/>
  </w:num>
  <w:num w:numId="10">
    <w:abstractNumId w:val="4"/>
  </w:num>
  <w:num w:numId="11">
    <w:abstractNumId w:val="0"/>
  </w:num>
  <w:num w:numId="12">
    <w:abstractNumId w:val="10"/>
  </w:num>
  <w:num w:numId="13">
    <w:abstractNumId w:val="10"/>
    <w:lvlOverride w:ilvl="1">
      <w:lvl w:ilvl="1">
        <w:numFmt w:val="bullet"/>
        <w:lvlText w:val=""/>
        <w:lvlJc w:val="left"/>
        <w:pPr>
          <w:tabs>
            <w:tab w:val="num" w:pos="1440"/>
          </w:tabs>
          <w:ind w:left="1440" w:hanging="360"/>
        </w:pPr>
        <w:rPr>
          <w:rFonts w:ascii="Symbol" w:hAnsi="Symbol" w:hint="default"/>
          <w:sz w:val="20"/>
        </w:rPr>
      </w:lvl>
    </w:lvlOverride>
  </w:num>
  <w:num w:numId="14">
    <w:abstractNumId w:val="10"/>
    <w:lvlOverride w:ilvl="1">
      <w:lvl w:ilvl="1">
        <w:numFmt w:val="bullet"/>
        <w:lvlText w:val=""/>
        <w:lvlJc w:val="left"/>
        <w:pPr>
          <w:tabs>
            <w:tab w:val="num" w:pos="1440"/>
          </w:tabs>
          <w:ind w:left="1440" w:hanging="360"/>
        </w:pPr>
        <w:rPr>
          <w:rFonts w:ascii="Symbol" w:hAnsi="Symbol" w:hint="default"/>
          <w:sz w:val="20"/>
        </w:rPr>
      </w:lvl>
    </w:lvlOverride>
  </w:num>
  <w:num w:numId="15">
    <w:abstractNumId w:val="10"/>
    <w:lvlOverride w:ilvl="1">
      <w:lvl w:ilvl="1">
        <w:numFmt w:val="bullet"/>
        <w:lvlText w:val=""/>
        <w:lvlJc w:val="left"/>
        <w:pPr>
          <w:tabs>
            <w:tab w:val="num" w:pos="1440"/>
          </w:tabs>
          <w:ind w:left="1440" w:hanging="360"/>
        </w:pPr>
        <w:rPr>
          <w:rFonts w:ascii="Symbol" w:hAnsi="Symbol" w:hint="default"/>
          <w:sz w:val="20"/>
        </w:rPr>
      </w:lvl>
    </w:lvlOverride>
  </w:num>
  <w:num w:numId="16">
    <w:abstractNumId w:val="10"/>
    <w:lvlOverride w:ilvl="1">
      <w:lvl w:ilvl="1">
        <w:numFmt w:val="bullet"/>
        <w:lvlText w:val=""/>
        <w:lvlJc w:val="left"/>
        <w:pPr>
          <w:tabs>
            <w:tab w:val="num" w:pos="1440"/>
          </w:tabs>
          <w:ind w:left="1440" w:hanging="360"/>
        </w:pPr>
        <w:rPr>
          <w:rFonts w:ascii="Symbol" w:hAnsi="Symbol" w:hint="default"/>
          <w:sz w:val="20"/>
        </w:rPr>
      </w:lvl>
    </w:lvlOverride>
  </w:num>
  <w:num w:numId="17">
    <w:abstractNumId w:val="9"/>
  </w:num>
  <w:num w:numId="18">
    <w:abstractNumId w:val="12"/>
  </w:num>
  <w:num w:numId="19">
    <w:abstractNumId w:val="5"/>
  </w:num>
  <w:num w:numId="20">
    <w:abstractNumId w:val="4"/>
  </w:num>
  <w:num w:numId="21">
    <w:abstractNumId w:val="0"/>
  </w:num>
  <w:num w:numId="22">
    <w:abstractNumId w:val="11"/>
  </w:num>
  <w:num w:numId="2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movePersonalInformation/>
  <w:removeDateAndTime/>
  <w:hideSpellingErrors/>
  <w:hideGrammaticalErrors/>
  <w:revisionView w:markup="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ocStatus" w:val="Green"/>
    <w:docVar w:name="LW_ACCOMPAGNANT.CP" w:val="&lt;UNUSED&gt;"/>
    <w:docVar w:name="LW_CORRIGENDUM" w:val="&lt;UNUSED&gt;"/>
    <w:docVar w:name="LW_COVERPAGE_EXISTS" w:val="True"/>
    <w:docVar w:name="LW_COVERPAGE_GUID" w:val="AEA662FE-6B57-4275-8116-B28836D81855"/>
    <w:docVar w:name="LW_COVERPAGE_TYPE" w:val="1"/>
    <w:docVar w:name="LW_CROSSREFERENCE" w:val="&lt;UNUSED&gt;"/>
    <w:docVar w:name="LW_DATE.ADOPT.CP_ISODATE" w:val="&lt;EMPTY&gt;"/>
    <w:docVar w:name="LW_DocType" w:val="NORMAL"/>
    <w:docVar w:name="LW_EMISSION" w:val="11.9.2024"/>
    <w:docVar w:name="LW_EMISSION_ISODATE" w:val="2024-09-11"/>
    <w:docVar w:name="LW_EMISSION_LOCATION" w:val="BRX"/>
    <w:docVar w:name="LW_EMISSION_PREFIX" w:val="Brussell, "/>
    <w:docVar w:name="LW_EMISSION_SUFFIX" w:val=" "/>
    <w:docVar w:name="LW_ID_DOCTYPE_NONLW" w:val="CP-008"/>
    <w:docVar w:name="LW_INTERETEEE.CP" w:val="&lt;UNUSED&gt;"/>
    <w:docVar w:name="LW_LANGUE" w:val="MT"/>
    <w:docVar w:name="LW_LANGUESFAISANTFOI.CP" w:val="&lt;UNUSED&gt;"/>
    <w:docVar w:name="LW_LEVEL_OF_SENSITIVITY" w:val="Standard treatment"/>
    <w:docVar w:name="LW_NOM.INST" w:val="IL-KUMMISSJONI EWROPEA"/>
    <w:docVar w:name="LW_NOM.INST_JOINTDOC" w:val="&lt;EMPTY&gt;"/>
    <w:docVar w:name="LW_OBJETACTEPRINCIPAL.CP" w:val="&lt;UNUSED&gt;"/>
    <w:docVar w:name="LW_PART_NBR" w:val="1"/>
    <w:docVar w:name="LW_PART_NBR_TOTAL" w:val="1"/>
    <w:docVar w:name="LW_REF.II.NEW.CP" w:val="&lt;UNUSED&gt;"/>
    <w:docVar w:name="LW_REF.II.NEW.CP_NUMBER" w:val="&lt;UNUSED&gt;"/>
    <w:docVar w:name="LW_REF.II.NEW.CP_YEAR" w:val="2024"/>
    <w:docVar w:name="LW_REF.INST.NEW" w:val="COM"/>
    <w:docVar w:name="LW_REF.INST.NEW_ADOPTED" w:val="final"/>
    <w:docVar w:name="LW_REF.INST.NEW_TEXT" w:val="(2024) 404"/>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ITRE.OBJ.CP" w:val="Rapport dwar l-Istat tal-Unjoni tal-Ener\u289?ija 2024_x000d__x000d__x000d__x000d__x000b__x000d__x000d__x000d__x000d__x000b_(skont ir-Regolament (UE) 2018/1999 dwar il-Governanza tal-Unjoni tal-Ener\u289?ija u tal-Azzjoni Klimatika)"/>
    <w:docVar w:name="LW_TYPE.DOC.CP" w:val="RAPPORT TAL-KUMMISSJONI LILL-PARLAMENT EWROPEW, LILL-KUNSILL, LILL-KUMITAT EKONOMIKU U SO\u266?JALI EWROPEW U LILL-KUMITAT TAR-RE\u288?JUNI"/>
    <w:docVar w:name="LW_TYPEACTEPRINCIPAL.CP" w:val="&lt;UNUSED&gt;"/>
    <w:docVar w:name="LwApiVersions" w:val="LW4CoDe 1.24.5.0; LW 9.0, Build 20240221"/>
  </w:docVars>
  <w:rsids>
    <w:rsidRoot w:val="0048234C"/>
    <w:rsid w:val="00000BA6"/>
    <w:rsid w:val="00000E11"/>
    <w:rsid w:val="0000161E"/>
    <w:rsid w:val="0000175F"/>
    <w:rsid w:val="0000185E"/>
    <w:rsid w:val="00001D40"/>
    <w:rsid w:val="000021FA"/>
    <w:rsid w:val="00002426"/>
    <w:rsid w:val="00002487"/>
    <w:rsid w:val="00002A60"/>
    <w:rsid w:val="00002A77"/>
    <w:rsid w:val="0000338A"/>
    <w:rsid w:val="000036C0"/>
    <w:rsid w:val="00003BDA"/>
    <w:rsid w:val="00003ED0"/>
    <w:rsid w:val="0000412D"/>
    <w:rsid w:val="00004437"/>
    <w:rsid w:val="00004891"/>
    <w:rsid w:val="00004946"/>
    <w:rsid w:val="0000502F"/>
    <w:rsid w:val="000055F9"/>
    <w:rsid w:val="00005AB7"/>
    <w:rsid w:val="00005EE2"/>
    <w:rsid w:val="00006357"/>
    <w:rsid w:val="00006595"/>
    <w:rsid w:val="00006A12"/>
    <w:rsid w:val="00006E40"/>
    <w:rsid w:val="000070D2"/>
    <w:rsid w:val="000070EB"/>
    <w:rsid w:val="00007258"/>
    <w:rsid w:val="00007ADF"/>
    <w:rsid w:val="00007E8A"/>
    <w:rsid w:val="00007E9C"/>
    <w:rsid w:val="00007FCF"/>
    <w:rsid w:val="00010102"/>
    <w:rsid w:val="000102F3"/>
    <w:rsid w:val="00010466"/>
    <w:rsid w:val="00010585"/>
    <w:rsid w:val="00010883"/>
    <w:rsid w:val="000110D0"/>
    <w:rsid w:val="0001158A"/>
    <w:rsid w:val="000115A4"/>
    <w:rsid w:val="00011622"/>
    <w:rsid w:val="00011AF0"/>
    <w:rsid w:val="00011B65"/>
    <w:rsid w:val="00011FB0"/>
    <w:rsid w:val="0001208A"/>
    <w:rsid w:val="00012447"/>
    <w:rsid w:val="000125F7"/>
    <w:rsid w:val="000127F2"/>
    <w:rsid w:val="00012AC2"/>
    <w:rsid w:val="0001304E"/>
    <w:rsid w:val="00013190"/>
    <w:rsid w:val="00013E0D"/>
    <w:rsid w:val="000141BC"/>
    <w:rsid w:val="00014698"/>
    <w:rsid w:val="00014B8A"/>
    <w:rsid w:val="00014FD6"/>
    <w:rsid w:val="00015180"/>
    <w:rsid w:val="0001540A"/>
    <w:rsid w:val="00015827"/>
    <w:rsid w:val="000159A1"/>
    <w:rsid w:val="00015BEF"/>
    <w:rsid w:val="00015D3A"/>
    <w:rsid w:val="00015E99"/>
    <w:rsid w:val="000161DA"/>
    <w:rsid w:val="00016686"/>
    <w:rsid w:val="00016893"/>
    <w:rsid w:val="00016AB6"/>
    <w:rsid w:val="00016C60"/>
    <w:rsid w:val="00016E8D"/>
    <w:rsid w:val="00017B2C"/>
    <w:rsid w:val="00017C72"/>
    <w:rsid w:val="0002048B"/>
    <w:rsid w:val="0002052B"/>
    <w:rsid w:val="0002068C"/>
    <w:rsid w:val="000210EF"/>
    <w:rsid w:val="00021694"/>
    <w:rsid w:val="000216E1"/>
    <w:rsid w:val="00021888"/>
    <w:rsid w:val="00022011"/>
    <w:rsid w:val="0002236E"/>
    <w:rsid w:val="00022381"/>
    <w:rsid w:val="00022DE4"/>
    <w:rsid w:val="000230ED"/>
    <w:rsid w:val="000232A5"/>
    <w:rsid w:val="000233F4"/>
    <w:rsid w:val="00023FBF"/>
    <w:rsid w:val="000240E4"/>
    <w:rsid w:val="00024293"/>
    <w:rsid w:val="00024396"/>
    <w:rsid w:val="00024776"/>
    <w:rsid w:val="000247AD"/>
    <w:rsid w:val="00024F42"/>
    <w:rsid w:val="0002540D"/>
    <w:rsid w:val="0002578D"/>
    <w:rsid w:val="00025804"/>
    <w:rsid w:val="000260E5"/>
    <w:rsid w:val="000263E5"/>
    <w:rsid w:val="000264B6"/>
    <w:rsid w:val="000264CE"/>
    <w:rsid w:val="00026533"/>
    <w:rsid w:val="00026D0E"/>
    <w:rsid w:val="0002725C"/>
    <w:rsid w:val="0002774B"/>
    <w:rsid w:val="000277D9"/>
    <w:rsid w:val="000277FF"/>
    <w:rsid w:val="00027842"/>
    <w:rsid w:val="00027873"/>
    <w:rsid w:val="00027922"/>
    <w:rsid w:val="000279F6"/>
    <w:rsid w:val="00027F56"/>
    <w:rsid w:val="00030536"/>
    <w:rsid w:val="00030D4A"/>
    <w:rsid w:val="00030E15"/>
    <w:rsid w:val="000312B4"/>
    <w:rsid w:val="000321DA"/>
    <w:rsid w:val="0003247F"/>
    <w:rsid w:val="00032551"/>
    <w:rsid w:val="00032A6F"/>
    <w:rsid w:val="00032B55"/>
    <w:rsid w:val="000330FB"/>
    <w:rsid w:val="00033660"/>
    <w:rsid w:val="000336E3"/>
    <w:rsid w:val="0003372C"/>
    <w:rsid w:val="00033A9F"/>
    <w:rsid w:val="00033AAF"/>
    <w:rsid w:val="00033DF8"/>
    <w:rsid w:val="000342A6"/>
    <w:rsid w:val="000343BE"/>
    <w:rsid w:val="0003468E"/>
    <w:rsid w:val="00035027"/>
    <w:rsid w:val="0003542D"/>
    <w:rsid w:val="0003545D"/>
    <w:rsid w:val="000354A2"/>
    <w:rsid w:val="000354C1"/>
    <w:rsid w:val="000354E1"/>
    <w:rsid w:val="000355F8"/>
    <w:rsid w:val="0003577C"/>
    <w:rsid w:val="00035B65"/>
    <w:rsid w:val="00035F3D"/>
    <w:rsid w:val="000360D1"/>
    <w:rsid w:val="0003628D"/>
    <w:rsid w:val="000362E1"/>
    <w:rsid w:val="00036811"/>
    <w:rsid w:val="0003691B"/>
    <w:rsid w:val="0003703E"/>
    <w:rsid w:val="000370BD"/>
    <w:rsid w:val="00037176"/>
    <w:rsid w:val="00037779"/>
    <w:rsid w:val="00037833"/>
    <w:rsid w:val="0003784E"/>
    <w:rsid w:val="00037BC8"/>
    <w:rsid w:val="00037BDF"/>
    <w:rsid w:val="000381D3"/>
    <w:rsid w:val="0003F33A"/>
    <w:rsid w:val="00040418"/>
    <w:rsid w:val="0004087B"/>
    <w:rsid w:val="00040A7E"/>
    <w:rsid w:val="00040C1A"/>
    <w:rsid w:val="00040E62"/>
    <w:rsid w:val="0004101E"/>
    <w:rsid w:val="000415BF"/>
    <w:rsid w:val="000419DE"/>
    <w:rsid w:val="00041AC9"/>
    <w:rsid w:val="00041B15"/>
    <w:rsid w:val="00041E79"/>
    <w:rsid w:val="000420DC"/>
    <w:rsid w:val="00042220"/>
    <w:rsid w:val="0004293B"/>
    <w:rsid w:val="00042BF3"/>
    <w:rsid w:val="00042DB9"/>
    <w:rsid w:val="00043137"/>
    <w:rsid w:val="00043188"/>
    <w:rsid w:val="00043497"/>
    <w:rsid w:val="00043591"/>
    <w:rsid w:val="00043A3B"/>
    <w:rsid w:val="00043B10"/>
    <w:rsid w:val="00043BEE"/>
    <w:rsid w:val="00043C80"/>
    <w:rsid w:val="00043CFA"/>
    <w:rsid w:val="00043D82"/>
    <w:rsid w:val="000442C3"/>
    <w:rsid w:val="000448B5"/>
    <w:rsid w:val="00044ABA"/>
    <w:rsid w:val="00044BEA"/>
    <w:rsid w:val="00044CB3"/>
    <w:rsid w:val="00044CF3"/>
    <w:rsid w:val="00044F41"/>
    <w:rsid w:val="00044F82"/>
    <w:rsid w:val="00045210"/>
    <w:rsid w:val="00045A64"/>
    <w:rsid w:val="00045B2F"/>
    <w:rsid w:val="00045BAB"/>
    <w:rsid w:val="00045DBA"/>
    <w:rsid w:val="000460B5"/>
    <w:rsid w:val="000467CA"/>
    <w:rsid w:val="0004691A"/>
    <w:rsid w:val="00046E0B"/>
    <w:rsid w:val="00046E6A"/>
    <w:rsid w:val="00047237"/>
    <w:rsid w:val="00047531"/>
    <w:rsid w:val="000476E9"/>
    <w:rsid w:val="00047AF8"/>
    <w:rsid w:val="00047D39"/>
    <w:rsid w:val="000503D5"/>
    <w:rsid w:val="00050C7F"/>
    <w:rsid w:val="00050ED7"/>
    <w:rsid w:val="00051102"/>
    <w:rsid w:val="000511F5"/>
    <w:rsid w:val="000516E4"/>
    <w:rsid w:val="00051D1C"/>
    <w:rsid w:val="000523D9"/>
    <w:rsid w:val="00052DF1"/>
    <w:rsid w:val="00052F7E"/>
    <w:rsid w:val="000530AD"/>
    <w:rsid w:val="00053493"/>
    <w:rsid w:val="0005357A"/>
    <w:rsid w:val="000544D0"/>
    <w:rsid w:val="0005456B"/>
    <w:rsid w:val="0005463C"/>
    <w:rsid w:val="0005488E"/>
    <w:rsid w:val="00054EA4"/>
    <w:rsid w:val="000551C8"/>
    <w:rsid w:val="00055259"/>
    <w:rsid w:val="0005535E"/>
    <w:rsid w:val="0005538A"/>
    <w:rsid w:val="0005549E"/>
    <w:rsid w:val="000556B3"/>
    <w:rsid w:val="00055D50"/>
    <w:rsid w:val="00055E98"/>
    <w:rsid w:val="00055F6D"/>
    <w:rsid w:val="00055F89"/>
    <w:rsid w:val="00056CB6"/>
    <w:rsid w:val="00056DA4"/>
    <w:rsid w:val="000573E1"/>
    <w:rsid w:val="00057563"/>
    <w:rsid w:val="0005768B"/>
    <w:rsid w:val="00057899"/>
    <w:rsid w:val="00057AE1"/>
    <w:rsid w:val="00057F83"/>
    <w:rsid w:val="000601EA"/>
    <w:rsid w:val="00060310"/>
    <w:rsid w:val="00060365"/>
    <w:rsid w:val="000608C1"/>
    <w:rsid w:val="0006097C"/>
    <w:rsid w:val="00060FE6"/>
    <w:rsid w:val="0006117B"/>
    <w:rsid w:val="000617C1"/>
    <w:rsid w:val="00062036"/>
    <w:rsid w:val="0006268A"/>
    <w:rsid w:val="00062739"/>
    <w:rsid w:val="0006294B"/>
    <w:rsid w:val="0006295B"/>
    <w:rsid w:val="000629BA"/>
    <w:rsid w:val="00062BB8"/>
    <w:rsid w:val="00063690"/>
    <w:rsid w:val="00063977"/>
    <w:rsid w:val="0006399D"/>
    <w:rsid w:val="0006430E"/>
    <w:rsid w:val="000643D1"/>
    <w:rsid w:val="0006483A"/>
    <w:rsid w:val="00064E6C"/>
    <w:rsid w:val="00064EC2"/>
    <w:rsid w:val="00065052"/>
    <w:rsid w:val="00065105"/>
    <w:rsid w:val="00065410"/>
    <w:rsid w:val="00065B6F"/>
    <w:rsid w:val="00066080"/>
    <w:rsid w:val="000665C2"/>
    <w:rsid w:val="000666E1"/>
    <w:rsid w:val="00066A0E"/>
    <w:rsid w:val="00066A39"/>
    <w:rsid w:val="00066A7B"/>
    <w:rsid w:val="00066AA8"/>
    <w:rsid w:val="00066BBE"/>
    <w:rsid w:val="000677EE"/>
    <w:rsid w:val="00067AAF"/>
    <w:rsid w:val="00067C1D"/>
    <w:rsid w:val="00067CE2"/>
    <w:rsid w:val="0006B6CB"/>
    <w:rsid w:val="00070784"/>
    <w:rsid w:val="00070812"/>
    <w:rsid w:val="00070C0C"/>
    <w:rsid w:val="00070F26"/>
    <w:rsid w:val="00070FEF"/>
    <w:rsid w:val="000712AD"/>
    <w:rsid w:val="000712F2"/>
    <w:rsid w:val="0007173F"/>
    <w:rsid w:val="00071A16"/>
    <w:rsid w:val="00071A52"/>
    <w:rsid w:val="00071CB3"/>
    <w:rsid w:val="00072142"/>
    <w:rsid w:val="00072228"/>
    <w:rsid w:val="000723F0"/>
    <w:rsid w:val="00072870"/>
    <w:rsid w:val="00072911"/>
    <w:rsid w:val="00072E10"/>
    <w:rsid w:val="00072E16"/>
    <w:rsid w:val="00072E76"/>
    <w:rsid w:val="00072F9D"/>
    <w:rsid w:val="000732D2"/>
    <w:rsid w:val="0007341A"/>
    <w:rsid w:val="000734B8"/>
    <w:rsid w:val="00073A37"/>
    <w:rsid w:val="00073AB4"/>
    <w:rsid w:val="00074455"/>
    <w:rsid w:val="00074926"/>
    <w:rsid w:val="00074950"/>
    <w:rsid w:val="00074DDA"/>
    <w:rsid w:val="00075271"/>
    <w:rsid w:val="00075549"/>
    <w:rsid w:val="00075698"/>
    <w:rsid w:val="00075928"/>
    <w:rsid w:val="00075B07"/>
    <w:rsid w:val="0007626B"/>
    <w:rsid w:val="0007629F"/>
    <w:rsid w:val="000763B4"/>
    <w:rsid w:val="00076A38"/>
    <w:rsid w:val="00076AF8"/>
    <w:rsid w:val="0007714D"/>
    <w:rsid w:val="00077716"/>
    <w:rsid w:val="0007787A"/>
    <w:rsid w:val="0007900C"/>
    <w:rsid w:val="0008016F"/>
    <w:rsid w:val="00080509"/>
    <w:rsid w:val="000807DA"/>
    <w:rsid w:val="0008089F"/>
    <w:rsid w:val="000808C9"/>
    <w:rsid w:val="000811AC"/>
    <w:rsid w:val="000812AA"/>
    <w:rsid w:val="000812F4"/>
    <w:rsid w:val="000817AB"/>
    <w:rsid w:val="00081A8B"/>
    <w:rsid w:val="00081EDB"/>
    <w:rsid w:val="000824AE"/>
    <w:rsid w:val="000824D0"/>
    <w:rsid w:val="000826CB"/>
    <w:rsid w:val="00082772"/>
    <w:rsid w:val="0008287A"/>
    <w:rsid w:val="00082902"/>
    <w:rsid w:val="00082C13"/>
    <w:rsid w:val="00082D8D"/>
    <w:rsid w:val="000834EF"/>
    <w:rsid w:val="000841C3"/>
    <w:rsid w:val="0008435E"/>
    <w:rsid w:val="00084681"/>
    <w:rsid w:val="0008495A"/>
    <w:rsid w:val="000851FD"/>
    <w:rsid w:val="0008533E"/>
    <w:rsid w:val="00085341"/>
    <w:rsid w:val="00085902"/>
    <w:rsid w:val="000859DE"/>
    <w:rsid w:val="00085A07"/>
    <w:rsid w:val="00085D34"/>
    <w:rsid w:val="00085DDE"/>
    <w:rsid w:val="00086248"/>
    <w:rsid w:val="000864E8"/>
    <w:rsid w:val="000867F4"/>
    <w:rsid w:val="0008686F"/>
    <w:rsid w:val="00086F67"/>
    <w:rsid w:val="00087254"/>
    <w:rsid w:val="00087342"/>
    <w:rsid w:val="00087343"/>
    <w:rsid w:val="00087417"/>
    <w:rsid w:val="00087B89"/>
    <w:rsid w:val="00087C36"/>
    <w:rsid w:val="00087F4D"/>
    <w:rsid w:val="0009042E"/>
    <w:rsid w:val="00090A41"/>
    <w:rsid w:val="00091248"/>
    <w:rsid w:val="0009128A"/>
    <w:rsid w:val="00091DDF"/>
    <w:rsid w:val="0009238E"/>
    <w:rsid w:val="0009241D"/>
    <w:rsid w:val="000924D2"/>
    <w:rsid w:val="00092547"/>
    <w:rsid w:val="00092580"/>
    <w:rsid w:val="000928A5"/>
    <w:rsid w:val="00092C10"/>
    <w:rsid w:val="00092D07"/>
    <w:rsid w:val="00093269"/>
    <w:rsid w:val="00093436"/>
    <w:rsid w:val="000935D6"/>
    <w:rsid w:val="00093971"/>
    <w:rsid w:val="00093D88"/>
    <w:rsid w:val="00093DE6"/>
    <w:rsid w:val="00094176"/>
    <w:rsid w:val="000943F5"/>
    <w:rsid w:val="00094482"/>
    <w:rsid w:val="000947E4"/>
    <w:rsid w:val="0009491F"/>
    <w:rsid w:val="00094959"/>
    <w:rsid w:val="00094B4F"/>
    <w:rsid w:val="00094D86"/>
    <w:rsid w:val="00094DA4"/>
    <w:rsid w:val="00094E8B"/>
    <w:rsid w:val="0009525F"/>
    <w:rsid w:val="00095587"/>
    <w:rsid w:val="00095A87"/>
    <w:rsid w:val="00095B83"/>
    <w:rsid w:val="00095D1A"/>
    <w:rsid w:val="00095FCE"/>
    <w:rsid w:val="00096926"/>
    <w:rsid w:val="0009697E"/>
    <w:rsid w:val="00096A57"/>
    <w:rsid w:val="00096B89"/>
    <w:rsid w:val="00096E93"/>
    <w:rsid w:val="00097519"/>
    <w:rsid w:val="0009794D"/>
    <w:rsid w:val="00097D6B"/>
    <w:rsid w:val="00097EB1"/>
    <w:rsid w:val="000A018A"/>
    <w:rsid w:val="000A01EB"/>
    <w:rsid w:val="000A08E1"/>
    <w:rsid w:val="000A095F"/>
    <w:rsid w:val="000A0FAA"/>
    <w:rsid w:val="000A11EE"/>
    <w:rsid w:val="000A1330"/>
    <w:rsid w:val="000A139E"/>
    <w:rsid w:val="000A18D8"/>
    <w:rsid w:val="000A1CF4"/>
    <w:rsid w:val="000A202A"/>
    <w:rsid w:val="000A20B0"/>
    <w:rsid w:val="000A2321"/>
    <w:rsid w:val="000A2559"/>
    <w:rsid w:val="000A25CA"/>
    <w:rsid w:val="000A2CD8"/>
    <w:rsid w:val="000A30C3"/>
    <w:rsid w:val="000A314F"/>
    <w:rsid w:val="000A34D1"/>
    <w:rsid w:val="000A3500"/>
    <w:rsid w:val="000A3ACD"/>
    <w:rsid w:val="000A3FAD"/>
    <w:rsid w:val="000A4147"/>
    <w:rsid w:val="000A4A35"/>
    <w:rsid w:val="000A4B39"/>
    <w:rsid w:val="000A4F8D"/>
    <w:rsid w:val="000A50D8"/>
    <w:rsid w:val="000A5509"/>
    <w:rsid w:val="000A5666"/>
    <w:rsid w:val="000A57CF"/>
    <w:rsid w:val="000A58CD"/>
    <w:rsid w:val="000A5D25"/>
    <w:rsid w:val="000A5D3F"/>
    <w:rsid w:val="000A6739"/>
    <w:rsid w:val="000A6A7C"/>
    <w:rsid w:val="000A6E87"/>
    <w:rsid w:val="000A707D"/>
    <w:rsid w:val="000A7219"/>
    <w:rsid w:val="000A742D"/>
    <w:rsid w:val="000A7870"/>
    <w:rsid w:val="000A7D72"/>
    <w:rsid w:val="000ABC93"/>
    <w:rsid w:val="000B03ED"/>
    <w:rsid w:val="000B0890"/>
    <w:rsid w:val="000B090E"/>
    <w:rsid w:val="000B0F88"/>
    <w:rsid w:val="000B0FBC"/>
    <w:rsid w:val="000B10E4"/>
    <w:rsid w:val="000B12EE"/>
    <w:rsid w:val="000B1477"/>
    <w:rsid w:val="000B16A5"/>
    <w:rsid w:val="000B1B14"/>
    <w:rsid w:val="000B22B2"/>
    <w:rsid w:val="000B2372"/>
    <w:rsid w:val="000B2452"/>
    <w:rsid w:val="000B2707"/>
    <w:rsid w:val="000B29D5"/>
    <w:rsid w:val="000B2AA4"/>
    <w:rsid w:val="000B2AC5"/>
    <w:rsid w:val="000B2B21"/>
    <w:rsid w:val="000B2C5C"/>
    <w:rsid w:val="000B3353"/>
    <w:rsid w:val="000B346A"/>
    <w:rsid w:val="000B382E"/>
    <w:rsid w:val="000B388B"/>
    <w:rsid w:val="000B3894"/>
    <w:rsid w:val="000B3B98"/>
    <w:rsid w:val="000B3BE1"/>
    <w:rsid w:val="000B3C1B"/>
    <w:rsid w:val="000B3D0F"/>
    <w:rsid w:val="000B3DBD"/>
    <w:rsid w:val="000B430D"/>
    <w:rsid w:val="000B48F9"/>
    <w:rsid w:val="000B4B61"/>
    <w:rsid w:val="000B4ECE"/>
    <w:rsid w:val="000B54AD"/>
    <w:rsid w:val="000B5A47"/>
    <w:rsid w:val="000B5D68"/>
    <w:rsid w:val="000B6031"/>
    <w:rsid w:val="000B60CC"/>
    <w:rsid w:val="000B6453"/>
    <w:rsid w:val="000B6526"/>
    <w:rsid w:val="000B664D"/>
    <w:rsid w:val="000B6A0F"/>
    <w:rsid w:val="000B6A80"/>
    <w:rsid w:val="000B6B22"/>
    <w:rsid w:val="000B6E4D"/>
    <w:rsid w:val="000B7006"/>
    <w:rsid w:val="000B744B"/>
    <w:rsid w:val="000B7965"/>
    <w:rsid w:val="000B7B20"/>
    <w:rsid w:val="000B7D2C"/>
    <w:rsid w:val="000C00B7"/>
    <w:rsid w:val="000C020D"/>
    <w:rsid w:val="000C074C"/>
    <w:rsid w:val="000C0A01"/>
    <w:rsid w:val="000C0A69"/>
    <w:rsid w:val="000C0E2A"/>
    <w:rsid w:val="000C10FF"/>
    <w:rsid w:val="000C14FE"/>
    <w:rsid w:val="000C2039"/>
    <w:rsid w:val="000C2089"/>
    <w:rsid w:val="000C20EF"/>
    <w:rsid w:val="000C2154"/>
    <w:rsid w:val="000C249A"/>
    <w:rsid w:val="000C25D2"/>
    <w:rsid w:val="000C2855"/>
    <w:rsid w:val="000C2880"/>
    <w:rsid w:val="000C28CE"/>
    <w:rsid w:val="000C2E33"/>
    <w:rsid w:val="000C2FA7"/>
    <w:rsid w:val="000C319D"/>
    <w:rsid w:val="000C3338"/>
    <w:rsid w:val="000C386D"/>
    <w:rsid w:val="000C392F"/>
    <w:rsid w:val="000C3BC2"/>
    <w:rsid w:val="000C41BA"/>
    <w:rsid w:val="000C4559"/>
    <w:rsid w:val="000C49DF"/>
    <w:rsid w:val="000C50DC"/>
    <w:rsid w:val="000C53C0"/>
    <w:rsid w:val="000C5968"/>
    <w:rsid w:val="000C59F8"/>
    <w:rsid w:val="000C5C52"/>
    <w:rsid w:val="000C5DCA"/>
    <w:rsid w:val="000C5F1B"/>
    <w:rsid w:val="000C610E"/>
    <w:rsid w:val="000C65B8"/>
    <w:rsid w:val="000C67E9"/>
    <w:rsid w:val="000C681E"/>
    <w:rsid w:val="000C7194"/>
    <w:rsid w:val="000C73FE"/>
    <w:rsid w:val="000C7467"/>
    <w:rsid w:val="000C7DA0"/>
    <w:rsid w:val="000D0010"/>
    <w:rsid w:val="000D0A7F"/>
    <w:rsid w:val="000D0BF6"/>
    <w:rsid w:val="000D0CD7"/>
    <w:rsid w:val="000D1276"/>
    <w:rsid w:val="000D15FA"/>
    <w:rsid w:val="000D1F3C"/>
    <w:rsid w:val="000D232D"/>
    <w:rsid w:val="000D2CDF"/>
    <w:rsid w:val="000D32DC"/>
    <w:rsid w:val="000D42A3"/>
    <w:rsid w:val="000D4740"/>
    <w:rsid w:val="000D4AFF"/>
    <w:rsid w:val="000D4D5D"/>
    <w:rsid w:val="000D4F3C"/>
    <w:rsid w:val="000D5707"/>
    <w:rsid w:val="000D5777"/>
    <w:rsid w:val="000D5857"/>
    <w:rsid w:val="000D5CFE"/>
    <w:rsid w:val="000D5D0C"/>
    <w:rsid w:val="000D615A"/>
    <w:rsid w:val="000D63A6"/>
    <w:rsid w:val="000D65CE"/>
    <w:rsid w:val="000D6729"/>
    <w:rsid w:val="000D6927"/>
    <w:rsid w:val="000D6CCE"/>
    <w:rsid w:val="000D70AC"/>
    <w:rsid w:val="000D70F6"/>
    <w:rsid w:val="000D763C"/>
    <w:rsid w:val="000D76D8"/>
    <w:rsid w:val="000D76E7"/>
    <w:rsid w:val="000D7719"/>
    <w:rsid w:val="000D7898"/>
    <w:rsid w:val="000D7934"/>
    <w:rsid w:val="000E00B3"/>
    <w:rsid w:val="000E0680"/>
    <w:rsid w:val="000E0B77"/>
    <w:rsid w:val="000E14F8"/>
    <w:rsid w:val="000E1DFF"/>
    <w:rsid w:val="000E20EA"/>
    <w:rsid w:val="000E216A"/>
    <w:rsid w:val="000E2272"/>
    <w:rsid w:val="000E2634"/>
    <w:rsid w:val="000E30E4"/>
    <w:rsid w:val="000E39B3"/>
    <w:rsid w:val="000E3BDE"/>
    <w:rsid w:val="000E3E86"/>
    <w:rsid w:val="000E3F61"/>
    <w:rsid w:val="000E40D9"/>
    <w:rsid w:val="000E434E"/>
    <w:rsid w:val="000E44AC"/>
    <w:rsid w:val="000E489E"/>
    <w:rsid w:val="000E49CD"/>
    <w:rsid w:val="000E4A1A"/>
    <w:rsid w:val="000E4BD9"/>
    <w:rsid w:val="000E4C0A"/>
    <w:rsid w:val="000E50C4"/>
    <w:rsid w:val="000E56C5"/>
    <w:rsid w:val="000E5792"/>
    <w:rsid w:val="000E610A"/>
    <w:rsid w:val="000E65FB"/>
    <w:rsid w:val="000E66CA"/>
    <w:rsid w:val="000E700A"/>
    <w:rsid w:val="000E750D"/>
    <w:rsid w:val="000E78A9"/>
    <w:rsid w:val="000F03D3"/>
    <w:rsid w:val="000F0487"/>
    <w:rsid w:val="000F10CF"/>
    <w:rsid w:val="000F16BF"/>
    <w:rsid w:val="000F181B"/>
    <w:rsid w:val="000F1A0D"/>
    <w:rsid w:val="000F1B2F"/>
    <w:rsid w:val="000F1DA3"/>
    <w:rsid w:val="000F1FCF"/>
    <w:rsid w:val="000F2A70"/>
    <w:rsid w:val="000F3042"/>
    <w:rsid w:val="000F3160"/>
    <w:rsid w:val="000F37D9"/>
    <w:rsid w:val="000F3EA9"/>
    <w:rsid w:val="000F413D"/>
    <w:rsid w:val="000F4324"/>
    <w:rsid w:val="000F448A"/>
    <w:rsid w:val="000F451D"/>
    <w:rsid w:val="000F480C"/>
    <w:rsid w:val="000F490D"/>
    <w:rsid w:val="000F4EB0"/>
    <w:rsid w:val="000F4F2B"/>
    <w:rsid w:val="000F500E"/>
    <w:rsid w:val="000F5208"/>
    <w:rsid w:val="000F631B"/>
    <w:rsid w:val="000F68E8"/>
    <w:rsid w:val="000F71D5"/>
    <w:rsid w:val="000F75A1"/>
    <w:rsid w:val="000F77A1"/>
    <w:rsid w:val="000F7AA9"/>
    <w:rsid w:val="000F7BB8"/>
    <w:rsid w:val="000F7F23"/>
    <w:rsid w:val="000F7F8A"/>
    <w:rsid w:val="00100630"/>
    <w:rsid w:val="001006D5"/>
    <w:rsid w:val="00100762"/>
    <w:rsid w:val="001008FA"/>
    <w:rsid w:val="00100CB8"/>
    <w:rsid w:val="00100D01"/>
    <w:rsid w:val="00100F8E"/>
    <w:rsid w:val="001010CF"/>
    <w:rsid w:val="0010124B"/>
    <w:rsid w:val="00101718"/>
    <w:rsid w:val="00101A13"/>
    <w:rsid w:val="00101B6C"/>
    <w:rsid w:val="00101DA1"/>
    <w:rsid w:val="00102054"/>
    <w:rsid w:val="00102078"/>
    <w:rsid w:val="00102565"/>
    <w:rsid w:val="00102A4E"/>
    <w:rsid w:val="00102B3C"/>
    <w:rsid w:val="00103594"/>
    <w:rsid w:val="00103677"/>
    <w:rsid w:val="00103757"/>
    <w:rsid w:val="00103EDA"/>
    <w:rsid w:val="001043E6"/>
    <w:rsid w:val="001045B1"/>
    <w:rsid w:val="00104D0D"/>
    <w:rsid w:val="001050F4"/>
    <w:rsid w:val="00105254"/>
    <w:rsid w:val="001052EA"/>
    <w:rsid w:val="001055CA"/>
    <w:rsid w:val="001055DA"/>
    <w:rsid w:val="00105BFC"/>
    <w:rsid w:val="00105C27"/>
    <w:rsid w:val="00106301"/>
    <w:rsid w:val="0010652B"/>
    <w:rsid w:val="00106534"/>
    <w:rsid w:val="001065C5"/>
    <w:rsid w:val="00106A7E"/>
    <w:rsid w:val="00106C08"/>
    <w:rsid w:val="001078FE"/>
    <w:rsid w:val="001079B5"/>
    <w:rsid w:val="001079F6"/>
    <w:rsid w:val="00107C36"/>
    <w:rsid w:val="0011002D"/>
    <w:rsid w:val="00110380"/>
    <w:rsid w:val="001104E6"/>
    <w:rsid w:val="0011088B"/>
    <w:rsid w:val="00110B29"/>
    <w:rsid w:val="00110BAE"/>
    <w:rsid w:val="00110C1C"/>
    <w:rsid w:val="00111457"/>
    <w:rsid w:val="00111674"/>
    <w:rsid w:val="001116F6"/>
    <w:rsid w:val="00111912"/>
    <w:rsid w:val="0011213E"/>
    <w:rsid w:val="00112543"/>
    <w:rsid w:val="00112727"/>
    <w:rsid w:val="00112D3D"/>
    <w:rsid w:val="001139E4"/>
    <w:rsid w:val="00113FA6"/>
    <w:rsid w:val="001145F7"/>
    <w:rsid w:val="001148C9"/>
    <w:rsid w:val="00114B4D"/>
    <w:rsid w:val="00114D8E"/>
    <w:rsid w:val="00114E0F"/>
    <w:rsid w:val="00114EB4"/>
    <w:rsid w:val="00114EDF"/>
    <w:rsid w:val="00115256"/>
    <w:rsid w:val="001154D7"/>
    <w:rsid w:val="00115567"/>
    <w:rsid w:val="00116089"/>
    <w:rsid w:val="001160EB"/>
    <w:rsid w:val="00116678"/>
    <w:rsid w:val="00116BB0"/>
    <w:rsid w:val="0011703C"/>
    <w:rsid w:val="001171EC"/>
    <w:rsid w:val="001172B0"/>
    <w:rsid w:val="00117A83"/>
    <w:rsid w:val="00120400"/>
    <w:rsid w:val="00120474"/>
    <w:rsid w:val="00120688"/>
    <w:rsid w:val="00120850"/>
    <w:rsid w:val="00120C49"/>
    <w:rsid w:val="001213BD"/>
    <w:rsid w:val="00121728"/>
    <w:rsid w:val="001219FD"/>
    <w:rsid w:val="00121E0A"/>
    <w:rsid w:val="00122083"/>
    <w:rsid w:val="001224E2"/>
    <w:rsid w:val="001225AA"/>
    <w:rsid w:val="00122778"/>
    <w:rsid w:val="001229B8"/>
    <w:rsid w:val="00122A8A"/>
    <w:rsid w:val="00122B09"/>
    <w:rsid w:val="001230FD"/>
    <w:rsid w:val="001238F0"/>
    <w:rsid w:val="00123ADC"/>
    <w:rsid w:val="00123E5D"/>
    <w:rsid w:val="00124076"/>
    <w:rsid w:val="001240C4"/>
    <w:rsid w:val="0012468B"/>
    <w:rsid w:val="0012499D"/>
    <w:rsid w:val="00124B98"/>
    <w:rsid w:val="00124DC1"/>
    <w:rsid w:val="001251B6"/>
    <w:rsid w:val="00125214"/>
    <w:rsid w:val="00125530"/>
    <w:rsid w:val="001255AB"/>
    <w:rsid w:val="00126457"/>
    <w:rsid w:val="001268C0"/>
    <w:rsid w:val="0012693F"/>
    <w:rsid w:val="00126A27"/>
    <w:rsid w:val="00126B65"/>
    <w:rsid w:val="00126C8E"/>
    <w:rsid w:val="001270EC"/>
    <w:rsid w:val="0012713C"/>
    <w:rsid w:val="00127238"/>
    <w:rsid w:val="0012783E"/>
    <w:rsid w:val="00127AF3"/>
    <w:rsid w:val="00127D20"/>
    <w:rsid w:val="00127D3A"/>
    <w:rsid w:val="00127D49"/>
    <w:rsid w:val="00130088"/>
    <w:rsid w:val="001301A4"/>
    <w:rsid w:val="00130CDA"/>
    <w:rsid w:val="0013119A"/>
    <w:rsid w:val="001312DB"/>
    <w:rsid w:val="00131731"/>
    <w:rsid w:val="00131915"/>
    <w:rsid w:val="00131B5E"/>
    <w:rsid w:val="00131F3E"/>
    <w:rsid w:val="00132417"/>
    <w:rsid w:val="00132709"/>
    <w:rsid w:val="00132E6B"/>
    <w:rsid w:val="0013312C"/>
    <w:rsid w:val="0013324F"/>
    <w:rsid w:val="001335DD"/>
    <w:rsid w:val="00133699"/>
    <w:rsid w:val="00133E85"/>
    <w:rsid w:val="001342A3"/>
    <w:rsid w:val="00134420"/>
    <w:rsid w:val="00134A27"/>
    <w:rsid w:val="00134C1D"/>
    <w:rsid w:val="00134E36"/>
    <w:rsid w:val="001355E6"/>
    <w:rsid w:val="00135E93"/>
    <w:rsid w:val="00135F7F"/>
    <w:rsid w:val="00136237"/>
    <w:rsid w:val="001365DD"/>
    <w:rsid w:val="001366CD"/>
    <w:rsid w:val="00136D3C"/>
    <w:rsid w:val="00136EA1"/>
    <w:rsid w:val="001372FD"/>
    <w:rsid w:val="00137ACC"/>
    <w:rsid w:val="001402BB"/>
    <w:rsid w:val="001402FF"/>
    <w:rsid w:val="001405EC"/>
    <w:rsid w:val="0014070F"/>
    <w:rsid w:val="0014080A"/>
    <w:rsid w:val="0014088C"/>
    <w:rsid w:val="00140C0C"/>
    <w:rsid w:val="00140E13"/>
    <w:rsid w:val="00140F20"/>
    <w:rsid w:val="00141666"/>
    <w:rsid w:val="001416E7"/>
    <w:rsid w:val="001418C9"/>
    <w:rsid w:val="00141C32"/>
    <w:rsid w:val="00141EBB"/>
    <w:rsid w:val="00141EF7"/>
    <w:rsid w:val="00142779"/>
    <w:rsid w:val="001428E4"/>
    <w:rsid w:val="001428F4"/>
    <w:rsid w:val="00142A00"/>
    <w:rsid w:val="00142D27"/>
    <w:rsid w:val="00142DAE"/>
    <w:rsid w:val="00143005"/>
    <w:rsid w:val="001433F5"/>
    <w:rsid w:val="00143516"/>
    <w:rsid w:val="00143766"/>
    <w:rsid w:val="00143C5C"/>
    <w:rsid w:val="00143D8A"/>
    <w:rsid w:val="001443C9"/>
    <w:rsid w:val="00144E68"/>
    <w:rsid w:val="0014506C"/>
    <w:rsid w:val="0014513A"/>
    <w:rsid w:val="0014522F"/>
    <w:rsid w:val="001462A0"/>
    <w:rsid w:val="00146388"/>
    <w:rsid w:val="0014643F"/>
    <w:rsid w:val="00146A10"/>
    <w:rsid w:val="00146C1C"/>
    <w:rsid w:val="00146E49"/>
    <w:rsid w:val="00146E7F"/>
    <w:rsid w:val="00146F62"/>
    <w:rsid w:val="00147010"/>
    <w:rsid w:val="00147A07"/>
    <w:rsid w:val="00147B75"/>
    <w:rsid w:val="00147BE7"/>
    <w:rsid w:val="00147D36"/>
    <w:rsid w:val="00147DA4"/>
    <w:rsid w:val="001506D2"/>
    <w:rsid w:val="001506E8"/>
    <w:rsid w:val="001507DB"/>
    <w:rsid w:val="00150C9D"/>
    <w:rsid w:val="00150F26"/>
    <w:rsid w:val="001513EB"/>
    <w:rsid w:val="00151404"/>
    <w:rsid w:val="00151606"/>
    <w:rsid w:val="0015198F"/>
    <w:rsid w:val="001525A8"/>
    <w:rsid w:val="00152BD1"/>
    <w:rsid w:val="00152E42"/>
    <w:rsid w:val="001530A2"/>
    <w:rsid w:val="0015318A"/>
    <w:rsid w:val="001535D0"/>
    <w:rsid w:val="001539D7"/>
    <w:rsid w:val="00153FB8"/>
    <w:rsid w:val="00154056"/>
    <w:rsid w:val="0015425B"/>
    <w:rsid w:val="00154882"/>
    <w:rsid w:val="00154B10"/>
    <w:rsid w:val="00154FAD"/>
    <w:rsid w:val="00155010"/>
    <w:rsid w:val="0015509F"/>
    <w:rsid w:val="00155270"/>
    <w:rsid w:val="001559DB"/>
    <w:rsid w:val="00155E29"/>
    <w:rsid w:val="00156B50"/>
    <w:rsid w:val="00156C8E"/>
    <w:rsid w:val="00157548"/>
    <w:rsid w:val="00157689"/>
    <w:rsid w:val="00157A47"/>
    <w:rsid w:val="00157A52"/>
    <w:rsid w:val="00157EAD"/>
    <w:rsid w:val="00160057"/>
    <w:rsid w:val="00160369"/>
    <w:rsid w:val="0016094B"/>
    <w:rsid w:val="00160A61"/>
    <w:rsid w:val="00160A6B"/>
    <w:rsid w:val="00161123"/>
    <w:rsid w:val="00161A76"/>
    <w:rsid w:val="00161AE3"/>
    <w:rsid w:val="00161B72"/>
    <w:rsid w:val="00161BA8"/>
    <w:rsid w:val="00161CFC"/>
    <w:rsid w:val="00161D21"/>
    <w:rsid w:val="001625ED"/>
    <w:rsid w:val="00162B04"/>
    <w:rsid w:val="00162B89"/>
    <w:rsid w:val="00163475"/>
    <w:rsid w:val="001638DF"/>
    <w:rsid w:val="00163A1A"/>
    <w:rsid w:val="00163A75"/>
    <w:rsid w:val="00163AC0"/>
    <w:rsid w:val="00163C00"/>
    <w:rsid w:val="00163D84"/>
    <w:rsid w:val="00163EC0"/>
    <w:rsid w:val="0016403A"/>
    <w:rsid w:val="00164400"/>
    <w:rsid w:val="0016458A"/>
    <w:rsid w:val="0016493B"/>
    <w:rsid w:val="00164A38"/>
    <w:rsid w:val="00164A74"/>
    <w:rsid w:val="00164BA5"/>
    <w:rsid w:val="00164C0C"/>
    <w:rsid w:val="00164D13"/>
    <w:rsid w:val="0016533D"/>
    <w:rsid w:val="0016538D"/>
    <w:rsid w:val="00165628"/>
    <w:rsid w:val="00165663"/>
    <w:rsid w:val="001659B2"/>
    <w:rsid w:val="00165C57"/>
    <w:rsid w:val="00165ED8"/>
    <w:rsid w:val="0016649A"/>
    <w:rsid w:val="001667DD"/>
    <w:rsid w:val="001667F1"/>
    <w:rsid w:val="0016690F"/>
    <w:rsid w:val="001669B0"/>
    <w:rsid w:val="00166C87"/>
    <w:rsid w:val="001672CE"/>
    <w:rsid w:val="00167C7F"/>
    <w:rsid w:val="00167E79"/>
    <w:rsid w:val="00167EF7"/>
    <w:rsid w:val="0017023A"/>
    <w:rsid w:val="0017034F"/>
    <w:rsid w:val="00170369"/>
    <w:rsid w:val="001706B3"/>
    <w:rsid w:val="00170981"/>
    <w:rsid w:val="00170A15"/>
    <w:rsid w:val="00170DB2"/>
    <w:rsid w:val="00170EE4"/>
    <w:rsid w:val="00171089"/>
    <w:rsid w:val="001712AB"/>
    <w:rsid w:val="00171DDF"/>
    <w:rsid w:val="00171F76"/>
    <w:rsid w:val="00171FB0"/>
    <w:rsid w:val="0017212F"/>
    <w:rsid w:val="00172757"/>
    <w:rsid w:val="0017275F"/>
    <w:rsid w:val="00172B52"/>
    <w:rsid w:val="0017350B"/>
    <w:rsid w:val="0017388C"/>
    <w:rsid w:val="001738E4"/>
    <w:rsid w:val="00173D29"/>
    <w:rsid w:val="00173FDF"/>
    <w:rsid w:val="00174229"/>
    <w:rsid w:val="00174959"/>
    <w:rsid w:val="00174AE3"/>
    <w:rsid w:val="00174CF5"/>
    <w:rsid w:val="00174FC3"/>
    <w:rsid w:val="001750BA"/>
    <w:rsid w:val="001754A2"/>
    <w:rsid w:val="00175718"/>
    <w:rsid w:val="00175D28"/>
    <w:rsid w:val="00175D60"/>
    <w:rsid w:val="00176430"/>
    <w:rsid w:val="001765A9"/>
    <w:rsid w:val="001765F3"/>
    <w:rsid w:val="00176B22"/>
    <w:rsid w:val="00176E2C"/>
    <w:rsid w:val="00176F7E"/>
    <w:rsid w:val="0017703F"/>
    <w:rsid w:val="001776E3"/>
    <w:rsid w:val="00177FDD"/>
    <w:rsid w:val="00180254"/>
    <w:rsid w:val="001804F2"/>
    <w:rsid w:val="0018062A"/>
    <w:rsid w:val="00180657"/>
    <w:rsid w:val="001808A0"/>
    <w:rsid w:val="00180A22"/>
    <w:rsid w:val="00180AB2"/>
    <w:rsid w:val="00180AD5"/>
    <w:rsid w:val="00180C98"/>
    <w:rsid w:val="00180F44"/>
    <w:rsid w:val="001811D0"/>
    <w:rsid w:val="00181770"/>
    <w:rsid w:val="00181A84"/>
    <w:rsid w:val="00181DDC"/>
    <w:rsid w:val="00182229"/>
    <w:rsid w:val="001822AF"/>
    <w:rsid w:val="001822EC"/>
    <w:rsid w:val="00182646"/>
    <w:rsid w:val="00182831"/>
    <w:rsid w:val="00182C7B"/>
    <w:rsid w:val="00183014"/>
    <w:rsid w:val="001833E8"/>
    <w:rsid w:val="001836B4"/>
    <w:rsid w:val="00183C82"/>
    <w:rsid w:val="00184250"/>
    <w:rsid w:val="0018449A"/>
    <w:rsid w:val="00184728"/>
    <w:rsid w:val="0018476B"/>
    <w:rsid w:val="0018497C"/>
    <w:rsid w:val="001849AD"/>
    <w:rsid w:val="00184C8A"/>
    <w:rsid w:val="00185091"/>
    <w:rsid w:val="0018550A"/>
    <w:rsid w:val="00185519"/>
    <w:rsid w:val="001859D2"/>
    <w:rsid w:val="00185A3E"/>
    <w:rsid w:val="00186247"/>
    <w:rsid w:val="001864E7"/>
    <w:rsid w:val="00186512"/>
    <w:rsid w:val="001868C8"/>
    <w:rsid w:val="00186A90"/>
    <w:rsid w:val="00186DE3"/>
    <w:rsid w:val="0018700C"/>
    <w:rsid w:val="001873BF"/>
    <w:rsid w:val="00187509"/>
    <w:rsid w:val="001877D7"/>
    <w:rsid w:val="00187A53"/>
    <w:rsid w:val="00187B96"/>
    <w:rsid w:val="00187CB9"/>
    <w:rsid w:val="00190750"/>
    <w:rsid w:val="001912AD"/>
    <w:rsid w:val="0019138D"/>
    <w:rsid w:val="0019158F"/>
    <w:rsid w:val="001915ED"/>
    <w:rsid w:val="001916F4"/>
    <w:rsid w:val="00191B82"/>
    <w:rsid w:val="001927C9"/>
    <w:rsid w:val="00192823"/>
    <w:rsid w:val="001928C8"/>
    <w:rsid w:val="00192DD6"/>
    <w:rsid w:val="00192DD9"/>
    <w:rsid w:val="0019318A"/>
    <w:rsid w:val="0019345A"/>
    <w:rsid w:val="00193683"/>
    <w:rsid w:val="0019374D"/>
    <w:rsid w:val="0019376D"/>
    <w:rsid w:val="00193B37"/>
    <w:rsid w:val="00193D32"/>
    <w:rsid w:val="00194047"/>
    <w:rsid w:val="001944C9"/>
    <w:rsid w:val="00194615"/>
    <w:rsid w:val="0019467D"/>
    <w:rsid w:val="001946A3"/>
    <w:rsid w:val="0019513B"/>
    <w:rsid w:val="001955CB"/>
    <w:rsid w:val="001955E6"/>
    <w:rsid w:val="00195655"/>
    <w:rsid w:val="001956DE"/>
    <w:rsid w:val="00195EBA"/>
    <w:rsid w:val="00195EF5"/>
    <w:rsid w:val="001969BF"/>
    <w:rsid w:val="00196E38"/>
    <w:rsid w:val="00196F2F"/>
    <w:rsid w:val="00197003"/>
    <w:rsid w:val="001970E4"/>
    <w:rsid w:val="00197335"/>
    <w:rsid w:val="00197722"/>
    <w:rsid w:val="00197A64"/>
    <w:rsid w:val="001A00F7"/>
    <w:rsid w:val="001A0264"/>
    <w:rsid w:val="001A0C42"/>
    <w:rsid w:val="001A0C4F"/>
    <w:rsid w:val="001A0C96"/>
    <w:rsid w:val="001A1848"/>
    <w:rsid w:val="001A1C91"/>
    <w:rsid w:val="001A1D8C"/>
    <w:rsid w:val="001A1E44"/>
    <w:rsid w:val="001A1E5D"/>
    <w:rsid w:val="001A205B"/>
    <w:rsid w:val="001A245B"/>
    <w:rsid w:val="001A2738"/>
    <w:rsid w:val="001A27C1"/>
    <w:rsid w:val="001A2F84"/>
    <w:rsid w:val="001A31D6"/>
    <w:rsid w:val="001A343D"/>
    <w:rsid w:val="001A39FA"/>
    <w:rsid w:val="001A3A7E"/>
    <w:rsid w:val="001A3AB4"/>
    <w:rsid w:val="001A3B18"/>
    <w:rsid w:val="001A4188"/>
    <w:rsid w:val="001A4A45"/>
    <w:rsid w:val="001A4F65"/>
    <w:rsid w:val="001A502D"/>
    <w:rsid w:val="001A50C4"/>
    <w:rsid w:val="001A51CB"/>
    <w:rsid w:val="001A5228"/>
    <w:rsid w:val="001A5329"/>
    <w:rsid w:val="001A5370"/>
    <w:rsid w:val="001A55BA"/>
    <w:rsid w:val="001A5625"/>
    <w:rsid w:val="001A579D"/>
    <w:rsid w:val="001A5878"/>
    <w:rsid w:val="001A5C9C"/>
    <w:rsid w:val="001A60F4"/>
    <w:rsid w:val="001A617C"/>
    <w:rsid w:val="001A621E"/>
    <w:rsid w:val="001A6A5B"/>
    <w:rsid w:val="001A6BA5"/>
    <w:rsid w:val="001A6BB4"/>
    <w:rsid w:val="001A6C2C"/>
    <w:rsid w:val="001A6D46"/>
    <w:rsid w:val="001A7311"/>
    <w:rsid w:val="001A747C"/>
    <w:rsid w:val="001A74E0"/>
    <w:rsid w:val="001A7C69"/>
    <w:rsid w:val="001B0319"/>
    <w:rsid w:val="001B03D2"/>
    <w:rsid w:val="001B04CF"/>
    <w:rsid w:val="001B06D0"/>
    <w:rsid w:val="001B0D59"/>
    <w:rsid w:val="001B10B4"/>
    <w:rsid w:val="001B1462"/>
    <w:rsid w:val="001B158B"/>
    <w:rsid w:val="001B16A2"/>
    <w:rsid w:val="001B179C"/>
    <w:rsid w:val="001B1A6F"/>
    <w:rsid w:val="001B1F2D"/>
    <w:rsid w:val="001B28AA"/>
    <w:rsid w:val="001B295C"/>
    <w:rsid w:val="001B2D19"/>
    <w:rsid w:val="001B3253"/>
    <w:rsid w:val="001B3293"/>
    <w:rsid w:val="001B34BE"/>
    <w:rsid w:val="001B359B"/>
    <w:rsid w:val="001B3CEF"/>
    <w:rsid w:val="001B3D0E"/>
    <w:rsid w:val="001B4111"/>
    <w:rsid w:val="001B4282"/>
    <w:rsid w:val="001B44E6"/>
    <w:rsid w:val="001B478F"/>
    <w:rsid w:val="001B480B"/>
    <w:rsid w:val="001B4883"/>
    <w:rsid w:val="001B4C77"/>
    <w:rsid w:val="001B4EDF"/>
    <w:rsid w:val="001B5A97"/>
    <w:rsid w:val="001B5B93"/>
    <w:rsid w:val="001B5C96"/>
    <w:rsid w:val="001B5CF8"/>
    <w:rsid w:val="001B63C3"/>
    <w:rsid w:val="001B64D7"/>
    <w:rsid w:val="001B6737"/>
    <w:rsid w:val="001B6A0D"/>
    <w:rsid w:val="001B6ACE"/>
    <w:rsid w:val="001B6D07"/>
    <w:rsid w:val="001B6D18"/>
    <w:rsid w:val="001B6F26"/>
    <w:rsid w:val="001B70BB"/>
    <w:rsid w:val="001B716E"/>
    <w:rsid w:val="001B7972"/>
    <w:rsid w:val="001C001B"/>
    <w:rsid w:val="001C0128"/>
    <w:rsid w:val="001C0131"/>
    <w:rsid w:val="001C036A"/>
    <w:rsid w:val="001C04E3"/>
    <w:rsid w:val="001C05A7"/>
    <w:rsid w:val="001C05B3"/>
    <w:rsid w:val="001C064E"/>
    <w:rsid w:val="001C0780"/>
    <w:rsid w:val="001C11DB"/>
    <w:rsid w:val="001C159C"/>
    <w:rsid w:val="001C18BA"/>
    <w:rsid w:val="001C1C52"/>
    <w:rsid w:val="001C1CD2"/>
    <w:rsid w:val="001C1D2D"/>
    <w:rsid w:val="001C1FF7"/>
    <w:rsid w:val="001C20BE"/>
    <w:rsid w:val="001C23FA"/>
    <w:rsid w:val="001C2CB6"/>
    <w:rsid w:val="001C2D86"/>
    <w:rsid w:val="001C2E8D"/>
    <w:rsid w:val="001C3100"/>
    <w:rsid w:val="001C32B2"/>
    <w:rsid w:val="001C3574"/>
    <w:rsid w:val="001C3962"/>
    <w:rsid w:val="001C3B54"/>
    <w:rsid w:val="001C3C55"/>
    <w:rsid w:val="001C3CCC"/>
    <w:rsid w:val="001C3D5B"/>
    <w:rsid w:val="001C4CDC"/>
    <w:rsid w:val="001C4DA7"/>
    <w:rsid w:val="001C4F81"/>
    <w:rsid w:val="001C501E"/>
    <w:rsid w:val="001C52A0"/>
    <w:rsid w:val="001C53FE"/>
    <w:rsid w:val="001C5675"/>
    <w:rsid w:val="001C650D"/>
    <w:rsid w:val="001C6610"/>
    <w:rsid w:val="001C6747"/>
    <w:rsid w:val="001C6ED3"/>
    <w:rsid w:val="001C6FF2"/>
    <w:rsid w:val="001C73DC"/>
    <w:rsid w:val="001C76AE"/>
    <w:rsid w:val="001C7A02"/>
    <w:rsid w:val="001C7CCD"/>
    <w:rsid w:val="001D0459"/>
    <w:rsid w:val="001D09A7"/>
    <w:rsid w:val="001D0BDE"/>
    <w:rsid w:val="001D0D08"/>
    <w:rsid w:val="001D0D57"/>
    <w:rsid w:val="001D0D8E"/>
    <w:rsid w:val="001D146D"/>
    <w:rsid w:val="001D14E2"/>
    <w:rsid w:val="001D1EEB"/>
    <w:rsid w:val="001D21EA"/>
    <w:rsid w:val="001D278E"/>
    <w:rsid w:val="001D2A99"/>
    <w:rsid w:val="001D2E92"/>
    <w:rsid w:val="001D3320"/>
    <w:rsid w:val="001D3B39"/>
    <w:rsid w:val="001D3C86"/>
    <w:rsid w:val="001D415B"/>
    <w:rsid w:val="001D4378"/>
    <w:rsid w:val="001D4796"/>
    <w:rsid w:val="001D4828"/>
    <w:rsid w:val="001D48D8"/>
    <w:rsid w:val="001D4BA4"/>
    <w:rsid w:val="001D4F36"/>
    <w:rsid w:val="001D5009"/>
    <w:rsid w:val="001D521F"/>
    <w:rsid w:val="001D53E3"/>
    <w:rsid w:val="001D5788"/>
    <w:rsid w:val="001D5A27"/>
    <w:rsid w:val="001D5B92"/>
    <w:rsid w:val="001D5BAB"/>
    <w:rsid w:val="001D6037"/>
    <w:rsid w:val="001D6214"/>
    <w:rsid w:val="001D6395"/>
    <w:rsid w:val="001D666D"/>
    <w:rsid w:val="001D67C0"/>
    <w:rsid w:val="001D69B1"/>
    <w:rsid w:val="001D69E0"/>
    <w:rsid w:val="001D6A2D"/>
    <w:rsid w:val="001D7175"/>
    <w:rsid w:val="001D7790"/>
    <w:rsid w:val="001D7B03"/>
    <w:rsid w:val="001D7B14"/>
    <w:rsid w:val="001D7B9C"/>
    <w:rsid w:val="001D7C00"/>
    <w:rsid w:val="001D7C1B"/>
    <w:rsid w:val="001D7C42"/>
    <w:rsid w:val="001DE73E"/>
    <w:rsid w:val="001E014B"/>
    <w:rsid w:val="001E0580"/>
    <w:rsid w:val="001E129B"/>
    <w:rsid w:val="001E14AC"/>
    <w:rsid w:val="001E1680"/>
    <w:rsid w:val="001E2324"/>
    <w:rsid w:val="001E2422"/>
    <w:rsid w:val="001E24B3"/>
    <w:rsid w:val="001E2567"/>
    <w:rsid w:val="001E2889"/>
    <w:rsid w:val="001E296E"/>
    <w:rsid w:val="001E34B7"/>
    <w:rsid w:val="001E3C6C"/>
    <w:rsid w:val="001E4747"/>
    <w:rsid w:val="001E4869"/>
    <w:rsid w:val="001E4B13"/>
    <w:rsid w:val="001E5388"/>
    <w:rsid w:val="001E5982"/>
    <w:rsid w:val="001E5E8E"/>
    <w:rsid w:val="001E60D8"/>
    <w:rsid w:val="001E6250"/>
    <w:rsid w:val="001E6472"/>
    <w:rsid w:val="001E6ED4"/>
    <w:rsid w:val="001E7014"/>
    <w:rsid w:val="001E70D9"/>
    <w:rsid w:val="001E7114"/>
    <w:rsid w:val="001E7344"/>
    <w:rsid w:val="001E73DA"/>
    <w:rsid w:val="001E7701"/>
    <w:rsid w:val="001E777D"/>
    <w:rsid w:val="001E7A53"/>
    <w:rsid w:val="001E7DD4"/>
    <w:rsid w:val="001F032F"/>
    <w:rsid w:val="001F042E"/>
    <w:rsid w:val="001F060A"/>
    <w:rsid w:val="001F0E79"/>
    <w:rsid w:val="001F0F4E"/>
    <w:rsid w:val="001F10A0"/>
    <w:rsid w:val="001F13A3"/>
    <w:rsid w:val="001F1A31"/>
    <w:rsid w:val="001F1C02"/>
    <w:rsid w:val="001F1E34"/>
    <w:rsid w:val="001F1E68"/>
    <w:rsid w:val="001F257A"/>
    <w:rsid w:val="001F2B11"/>
    <w:rsid w:val="001F2C49"/>
    <w:rsid w:val="001F3248"/>
    <w:rsid w:val="001F350C"/>
    <w:rsid w:val="001F3B6B"/>
    <w:rsid w:val="001F4091"/>
    <w:rsid w:val="001F4442"/>
    <w:rsid w:val="001F447B"/>
    <w:rsid w:val="001F4AE0"/>
    <w:rsid w:val="001F4C67"/>
    <w:rsid w:val="001F4FDF"/>
    <w:rsid w:val="001F5513"/>
    <w:rsid w:val="001F56C2"/>
    <w:rsid w:val="001F57AD"/>
    <w:rsid w:val="001F59A8"/>
    <w:rsid w:val="001F5B29"/>
    <w:rsid w:val="001F5D49"/>
    <w:rsid w:val="001F6155"/>
    <w:rsid w:val="001F658D"/>
    <w:rsid w:val="001F6AC7"/>
    <w:rsid w:val="001F6B4E"/>
    <w:rsid w:val="001F6D33"/>
    <w:rsid w:val="001F7135"/>
    <w:rsid w:val="001F7602"/>
    <w:rsid w:val="001F77DD"/>
    <w:rsid w:val="001F7885"/>
    <w:rsid w:val="001F7D0E"/>
    <w:rsid w:val="0020041F"/>
    <w:rsid w:val="002006DF"/>
    <w:rsid w:val="00200763"/>
    <w:rsid w:val="00200A56"/>
    <w:rsid w:val="0020177C"/>
    <w:rsid w:val="0020189C"/>
    <w:rsid w:val="00201DD3"/>
    <w:rsid w:val="00201E18"/>
    <w:rsid w:val="00202098"/>
    <w:rsid w:val="00202242"/>
    <w:rsid w:val="00202A98"/>
    <w:rsid w:val="00202DA3"/>
    <w:rsid w:val="00203047"/>
    <w:rsid w:val="00203214"/>
    <w:rsid w:val="00203D96"/>
    <w:rsid w:val="00203FF6"/>
    <w:rsid w:val="00204871"/>
    <w:rsid w:val="002048BF"/>
    <w:rsid w:val="00204A0C"/>
    <w:rsid w:val="0020553E"/>
    <w:rsid w:val="002055C5"/>
    <w:rsid w:val="00205666"/>
    <w:rsid w:val="00205BBE"/>
    <w:rsid w:val="00205CF9"/>
    <w:rsid w:val="002062AB"/>
    <w:rsid w:val="00206382"/>
    <w:rsid w:val="002069B5"/>
    <w:rsid w:val="00206BF1"/>
    <w:rsid w:val="00207088"/>
    <w:rsid w:val="00207308"/>
    <w:rsid w:val="002074CC"/>
    <w:rsid w:val="0020777E"/>
    <w:rsid w:val="00207EC2"/>
    <w:rsid w:val="00210E3C"/>
    <w:rsid w:val="002111B1"/>
    <w:rsid w:val="0021193D"/>
    <w:rsid w:val="0021199E"/>
    <w:rsid w:val="002120A6"/>
    <w:rsid w:val="00212132"/>
    <w:rsid w:val="002123F0"/>
    <w:rsid w:val="00212421"/>
    <w:rsid w:val="0021242F"/>
    <w:rsid w:val="002128C4"/>
    <w:rsid w:val="00212A0C"/>
    <w:rsid w:val="00212EA7"/>
    <w:rsid w:val="00212F4F"/>
    <w:rsid w:val="00213064"/>
    <w:rsid w:val="002131BD"/>
    <w:rsid w:val="00213324"/>
    <w:rsid w:val="00213844"/>
    <w:rsid w:val="002139A2"/>
    <w:rsid w:val="00213A33"/>
    <w:rsid w:val="00213A3D"/>
    <w:rsid w:val="00214157"/>
    <w:rsid w:val="00214336"/>
    <w:rsid w:val="002144C9"/>
    <w:rsid w:val="0021461D"/>
    <w:rsid w:val="00214E87"/>
    <w:rsid w:val="002150FC"/>
    <w:rsid w:val="002157EF"/>
    <w:rsid w:val="002158CC"/>
    <w:rsid w:val="002158EC"/>
    <w:rsid w:val="00215AA7"/>
    <w:rsid w:val="00216277"/>
    <w:rsid w:val="00216407"/>
    <w:rsid w:val="00216E0A"/>
    <w:rsid w:val="0021701A"/>
    <w:rsid w:val="0021718A"/>
    <w:rsid w:val="00217191"/>
    <w:rsid w:val="00217B54"/>
    <w:rsid w:val="00217C66"/>
    <w:rsid w:val="002200A9"/>
    <w:rsid w:val="002202E9"/>
    <w:rsid w:val="0022059B"/>
    <w:rsid w:val="00220890"/>
    <w:rsid w:val="0022089B"/>
    <w:rsid w:val="00221503"/>
    <w:rsid w:val="00221613"/>
    <w:rsid w:val="00221986"/>
    <w:rsid w:val="00221C62"/>
    <w:rsid w:val="00221D27"/>
    <w:rsid w:val="00221FDF"/>
    <w:rsid w:val="0022215C"/>
    <w:rsid w:val="0022293D"/>
    <w:rsid w:val="002229A9"/>
    <w:rsid w:val="00222A44"/>
    <w:rsid w:val="00222FE0"/>
    <w:rsid w:val="00223450"/>
    <w:rsid w:val="002236B0"/>
    <w:rsid w:val="002236DB"/>
    <w:rsid w:val="00223E12"/>
    <w:rsid w:val="00223FC0"/>
    <w:rsid w:val="002248A6"/>
    <w:rsid w:val="00224B52"/>
    <w:rsid w:val="0022539E"/>
    <w:rsid w:val="002254F0"/>
    <w:rsid w:val="00225824"/>
    <w:rsid w:val="00225BD8"/>
    <w:rsid w:val="002260BC"/>
    <w:rsid w:val="00226522"/>
    <w:rsid w:val="00226646"/>
    <w:rsid w:val="002267AC"/>
    <w:rsid w:val="002268FD"/>
    <w:rsid w:val="00226AE6"/>
    <w:rsid w:val="00226CBF"/>
    <w:rsid w:val="00226EE8"/>
    <w:rsid w:val="002273D3"/>
    <w:rsid w:val="002274B7"/>
    <w:rsid w:val="00227515"/>
    <w:rsid w:val="002275ED"/>
    <w:rsid w:val="002278D6"/>
    <w:rsid w:val="00227930"/>
    <w:rsid w:val="00227C5A"/>
    <w:rsid w:val="00227E4F"/>
    <w:rsid w:val="00227FFA"/>
    <w:rsid w:val="002305A9"/>
    <w:rsid w:val="0023065E"/>
    <w:rsid w:val="00230881"/>
    <w:rsid w:val="00230CAE"/>
    <w:rsid w:val="0023112F"/>
    <w:rsid w:val="002312B2"/>
    <w:rsid w:val="0023182C"/>
    <w:rsid w:val="0023194A"/>
    <w:rsid w:val="00231E03"/>
    <w:rsid w:val="002322E7"/>
    <w:rsid w:val="00232AF2"/>
    <w:rsid w:val="00232C77"/>
    <w:rsid w:val="00232EBE"/>
    <w:rsid w:val="00233024"/>
    <w:rsid w:val="00233400"/>
    <w:rsid w:val="002338F8"/>
    <w:rsid w:val="002341F4"/>
    <w:rsid w:val="002344FD"/>
    <w:rsid w:val="00234590"/>
    <w:rsid w:val="0023483F"/>
    <w:rsid w:val="0023522F"/>
    <w:rsid w:val="00235389"/>
    <w:rsid w:val="00235464"/>
    <w:rsid w:val="0023570B"/>
    <w:rsid w:val="0023576D"/>
    <w:rsid w:val="0023587F"/>
    <w:rsid w:val="0023593E"/>
    <w:rsid w:val="0023646D"/>
    <w:rsid w:val="00236584"/>
    <w:rsid w:val="00236759"/>
    <w:rsid w:val="002367C1"/>
    <w:rsid w:val="00236963"/>
    <w:rsid w:val="002369EB"/>
    <w:rsid w:val="00236A50"/>
    <w:rsid w:val="00236A75"/>
    <w:rsid w:val="00236D06"/>
    <w:rsid w:val="00236D33"/>
    <w:rsid w:val="00236E3E"/>
    <w:rsid w:val="00236E5C"/>
    <w:rsid w:val="002375C7"/>
    <w:rsid w:val="00237609"/>
    <w:rsid w:val="0023772E"/>
    <w:rsid w:val="002379CE"/>
    <w:rsid w:val="00237ABF"/>
    <w:rsid w:val="00237DFE"/>
    <w:rsid w:val="00240081"/>
    <w:rsid w:val="00240241"/>
    <w:rsid w:val="00240722"/>
    <w:rsid w:val="00240B31"/>
    <w:rsid w:val="002416FE"/>
    <w:rsid w:val="00241B91"/>
    <w:rsid w:val="00241C35"/>
    <w:rsid w:val="00241CF4"/>
    <w:rsid w:val="002424BE"/>
    <w:rsid w:val="00242AF5"/>
    <w:rsid w:val="002434A0"/>
    <w:rsid w:val="00244115"/>
    <w:rsid w:val="002441B6"/>
    <w:rsid w:val="00244985"/>
    <w:rsid w:val="00245167"/>
    <w:rsid w:val="00245346"/>
    <w:rsid w:val="0024536F"/>
    <w:rsid w:val="00245C55"/>
    <w:rsid w:val="00245CCE"/>
    <w:rsid w:val="00245D0F"/>
    <w:rsid w:val="00245FE9"/>
    <w:rsid w:val="002461AB"/>
    <w:rsid w:val="00246804"/>
    <w:rsid w:val="00246BE1"/>
    <w:rsid w:val="002476C1"/>
    <w:rsid w:val="00247736"/>
    <w:rsid w:val="00247782"/>
    <w:rsid w:val="00247C1C"/>
    <w:rsid w:val="00247D6E"/>
    <w:rsid w:val="0025046A"/>
    <w:rsid w:val="002505EF"/>
    <w:rsid w:val="002506F6"/>
    <w:rsid w:val="00250AE1"/>
    <w:rsid w:val="002512A7"/>
    <w:rsid w:val="00251663"/>
    <w:rsid w:val="002519AF"/>
    <w:rsid w:val="00251C5A"/>
    <w:rsid w:val="0025250A"/>
    <w:rsid w:val="00252739"/>
    <w:rsid w:val="0025274C"/>
    <w:rsid w:val="002527E7"/>
    <w:rsid w:val="002527FD"/>
    <w:rsid w:val="002531B1"/>
    <w:rsid w:val="0025324A"/>
    <w:rsid w:val="00253B03"/>
    <w:rsid w:val="00253D6C"/>
    <w:rsid w:val="002543C5"/>
    <w:rsid w:val="00254493"/>
    <w:rsid w:val="002546DD"/>
    <w:rsid w:val="00254B8D"/>
    <w:rsid w:val="00254DFE"/>
    <w:rsid w:val="00254F5C"/>
    <w:rsid w:val="0025555C"/>
    <w:rsid w:val="00255717"/>
    <w:rsid w:val="002559E6"/>
    <w:rsid w:val="00255F5E"/>
    <w:rsid w:val="00256168"/>
    <w:rsid w:val="002562E7"/>
    <w:rsid w:val="00256449"/>
    <w:rsid w:val="0025671B"/>
    <w:rsid w:val="00256A93"/>
    <w:rsid w:val="00256B3E"/>
    <w:rsid w:val="00256F29"/>
    <w:rsid w:val="00257442"/>
    <w:rsid w:val="00260786"/>
    <w:rsid w:val="00260C0A"/>
    <w:rsid w:val="00261638"/>
    <w:rsid w:val="00261C51"/>
    <w:rsid w:val="00262217"/>
    <w:rsid w:val="00262339"/>
    <w:rsid w:val="00262447"/>
    <w:rsid w:val="002625D2"/>
    <w:rsid w:val="002625FE"/>
    <w:rsid w:val="002627A5"/>
    <w:rsid w:val="00262859"/>
    <w:rsid w:val="0026292F"/>
    <w:rsid w:val="00262AD9"/>
    <w:rsid w:val="00262FED"/>
    <w:rsid w:val="002636D0"/>
    <w:rsid w:val="00263896"/>
    <w:rsid w:val="00263CAC"/>
    <w:rsid w:val="00264272"/>
    <w:rsid w:val="002642BA"/>
    <w:rsid w:val="0026459F"/>
    <w:rsid w:val="00264B21"/>
    <w:rsid w:val="00264FDC"/>
    <w:rsid w:val="0026535C"/>
    <w:rsid w:val="002654D2"/>
    <w:rsid w:val="002656CB"/>
    <w:rsid w:val="00265990"/>
    <w:rsid w:val="00265D6D"/>
    <w:rsid w:val="00265F64"/>
    <w:rsid w:val="002661D3"/>
    <w:rsid w:val="00266261"/>
    <w:rsid w:val="002663AC"/>
    <w:rsid w:val="002663C4"/>
    <w:rsid w:val="002664E5"/>
    <w:rsid w:val="00266E15"/>
    <w:rsid w:val="0026751C"/>
    <w:rsid w:val="0026764C"/>
    <w:rsid w:val="00267F14"/>
    <w:rsid w:val="0026AD89"/>
    <w:rsid w:val="0026C769"/>
    <w:rsid w:val="00270244"/>
    <w:rsid w:val="0027027A"/>
    <w:rsid w:val="002703D8"/>
    <w:rsid w:val="00270634"/>
    <w:rsid w:val="00270CB2"/>
    <w:rsid w:val="00270CDE"/>
    <w:rsid w:val="00270FDE"/>
    <w:rsid w:val="0027148B"/>
    <w:rsid w:val="002717C2"/>
    <w:rsid w:val="00271BFD"/>
    <w:rsid w:val="00272332"/>
    <w:rsid w:val="0027233E"/>
    <w:rsid w:val="00272961"/>
    <w:rsid w:val="00272B77"/>
    <w:rsid w:val="002732E2"/>
    <w:rsid w:val="0027345A"/>
    <w:rsid w:val="002738B4"/>
    <w:rsid w:val="002738B9"/>
    <w:rsid w:val="0027434D"/>
    <w:rsid w:val="0027436D"/>
    <w:rsid w:val="00274863"/>
    <w:rsid w:val="00274BC3"/>
    <w:rsid w:val="00274F9B"/>
    <w:rsid w:val="00275130"/>
    <w:rsid w:val="0027520A"/>
    <w:rsid w:val="002752D9"/>
    <w:rsid w:val="00275595"/>
    <w:rsid w:val="00275AB8"/>
    <w:rsid w:val="0027629B"/>
    <w:rsid w:val="0027679D"/>
    <w:rsid w:val="00276920"/>
    <w:rsid w:val="0027720D"/>
    <w:rsid w:val="0027744E"/>
    <w:rsid w:val="0028091E"/>
    <w:rsid w:val="00280A8D"/>
    <w:rsid w:val="00280BD5"/>
    <w:rsid w:val="002810D9"/>
    <w:rsid w:val="0028111E"/>
    <w:rsid w:val="00281130"/>
    <w:rsid w:val="002813B7"/>
    <w:rsid w:val="0028164E"/>
    <w:rsid w:val="00281655"/>
    <w:rsid w:val="00281710"/>
    <w:rsid w:val="00281719"/>
    <w:rsid w:val="002819C0"/>
    <w:rsid w:val="00281CB2"/>
    <w:rsid w:val="0028202B"/>
    <w:rsid w:val="002823B5"/>
    <w:rsid w:val="002827CC"/>
    <w:rsid w:val="00282988"/>
    <w:rsid w:val="00282CB0"/>
    <w:rsid w:val="00282ED9"/>
    <w:rsid w:val="00282F11"/>
    <w:rsid w:val="002831C8"/>
    <w:rsid w:val="002833B4"/>
    <w:rsid w:val="002834DE"/>
    <w:rsid w:val="00283703"/>
    <w:rsid w:val="00283997"/>
    <w:rsid w:val="00283AFD"/>
    <w:rsid w:val="00283B07"/>
    <w:rsid w:val="00283BC6"/>
    <w:rsid w:val="00283D3D"/>
    <w:rsid w:val="0028414E"/>
    <w:rsid w:val="002842CF"/>
    <w:rsid w:val="00284679"/>
    <w:rsid w:val="00284AAA"/>
    <w:rsid w:val="00284E8D"/>
    <w:rsid w:val="00284EC2"/>
    <w:rsid w:val="0028501D"/>
    <w:rsid w:val="0028515D"/>
    <w:rsid w:val="00285640"/>
    <w:rsid w:val="00285AF9"/>
    <w:rsid w:val="002863F5"/>
    <w:rsid w:val="00286404"/>
    <w:rsid w:val="002866E6"/>
    <w:rsid w:val="00286755"/>
    <w:rsid w:val="00286AD0"/>
    <w:rsid w:val="00286C81"/>
    <w:rsid w:val="00286EC9"/>
    <w:rsid w:val="0028726F"/>
    <w:rsid w:val="002873B8"/>
    <w:rsid w:val="0028751E"/>
    <w:rsid w:val="00287870"/>
    <w:rsid w:val="00287981"/>
    <w:rsid w:val="00287A81"/>
    <w:rsid w:val="00287FBF"/>
    <w:rsid w:val="00290096"/>
    <w:rsid w:val="00290470"/>
    <w:rsid w:val="0029072C"/>
    <w:rsid w:val="00290C90"/>
    <w:rsid w:val="00290CA0"/>
    <w:rsid w:val="00291088"/>
    <w:rsid w:val="0029155E"/>
    <w:rsid w:val="00291638"/>
    <w:rsid w:val="00291842"/>
    <w:rsid w:val="00291A83"/>
    <w:rsid w:val="00291B37"/>
    <w:rsid w:val="00291D9E"/>
    <w:rsid w:val="0029213A"/>
    <w:rsid w:val="0029239F"/>
    <w:rsid w:val="0029279F"/>
    <w:rsid w:val="00292A2E"/>
    <w:rsid w:val="00293003"/>
    <w:rsid w:val="00293427"/>
    <w:rsid w:val="00293A51"/>
    <w:rsid w:val="00293B0C"/>
    <w:rsid w:val="00293D94"/>
    <w:rsid w:val="00294034"/>
    <w:rsid w:val="00294147"/>
    <w:rsid w:val="002941FD"/>
    <w:rsid w:val="0029425A"/>
    <w:rsid w:val="002944CA"/>
    <w:rsid w:val="00294BA1"/>
    <w:rsid w:val="00294F18"/>
    <w:rsid w:val="00294FFC"/>
    <w:rsid w:val="0029502C"/>
    <w:rsid w:val="00295046"/>
    <w:rsid w:val="0029524A"/>
    <w:rsid w:val="00295545"/>
    <w:rsid w:val="002955DA"/>
    <w:rsid w:val="0029581F"/>
    <w:rsid w:val="002958D3"/>
    <w:rsid w:val="0029598D"/>
    <w:rsid w:val="002961F7"/>
    <w:rsid w:val="002962FA"/>
    <w:rsid w:val="00296926"/>
    <w:rsid w:val="00296BCD"/>
    <w:rsid w:val="00297194"/>
    <w:rsid w:val="00297437"/>
    <w:rsid w:val="002974DB"/>
    <w:rsid w:val="002977E6"/>
    <w:rsid w:val="00297B81"/>
    <w:rsid w:val="00297D26"/>
    <w:rsid w:val="00297ECA"/>
    <w:rsid w:val="00297F51"/>
    <w:rsid w:val="002A005E"/>
    <w:rsid w:val="002A05D5"/>
    <w:rsid w:val="002A0AB3"/>
    <w:rsid w:val="002A1395"/>
    <w:rsid w:val="002A17BE"/>
    <w:rsid w:val="002A18F2"/>
    <w:rsid w:val="002A18F5"/>
    <w:rsid w:val="002A1DAF"/>
    <w:rsid w:val="002A253B"/>
    <w:rsid w:val="002A2959"/>
    <w:rsid w:val="002A2A1F"/>
    <w:rsid w:val="002A2E05"/>
    <w:rsid w:val="002A2E9C"/>
    <w:rsid w:val="002A310D"/>
    <w:rsid w:val="002A3A14"/>
    <w:rsid w:val="002A3C4B"/>
    <w:rsid w:val="002A415D"/>
    <w:rsid w:val="002A418D"/>
    <w:rsid w:val="002A41B2"/>
    <w:rsid w:val="002A48D4"/>
    <w:rsid w:val="002A48DB"/>
    <w:rsid w:val="002A4D37"/>
    <w:rsid w:val="002A4F01"/>
    <w:rsid w:val="002A4F3B"/>
    <w:rsid w:val="002A5360"/>
    <w:rsid w:val="002A556A"/>
    <w:rsid w:val="002A55D8"/>
    <w:rsid w:val="002A5A1E"/>
    <w:rsid w:val="002A6086"/>
    <w:rsid w:val="002A609F"/>
    <w:rsid w:val="002A63B7"/>
    <w:rsid w:val="002A6802"/>
    <w:rsid w:val="002A6C96"/>
    <w:rsid w:val="002A6D4D"/>
    <w:rsid w:val="002A6DE7"/>
    <w:rsid w:val="002A6EDA"/>
    <w:rsid w:val="002A74BC"/>
    <w:rsid w:val="002A7744"/>
    <w:rsid w:val="002A780A"/>
    <w:rsid w:val="002A783F"/>
    <w:rsid w:val="002A7FC6"/>
    <w:rsid w:val="002B01B2"/>
    <w:rsid w:val="002B04D6"/>
    <w:rsid w:val="002B05BB"/>
    <w:rsid w:val="002B0680"/>
    <w:rsid w:val="002B08CC"/>
    <w:rsid w:val="002B0DD7"/>
    <w:rsid w:val="002B0F09"/>
    <w:rsid w:val="002B10EE"/>
    <w:rsid w:val="002B1242"/>
    <w:rsid w:val="002B19DF"/>
    <w:rsid w:val="002B1F44"/>
    <w:rsid w:val="002B2449"/>
    <w:rsid w:val="002B251D"/>
    <w:rsid w:val="002B30C7"/>
    <w:rsid w:val="002B31E9"/>
    <w:rsid w:val="002B3281"/>
    <w:rsid w:val="002B34D9"/>
    <w:rsid w:val="002B36CB"/>
    <w:rsid w:val="002B4085"/>
    <w:rsid w:val="002B452B"/>
    <w:rsid w:val="002B4DDB"/>
    <w:rsid w:val="002B4E5B"/>
    <w:rsid w:val="002B4F4B"/>
    <w:rsid w:val="002B5521"/>
    <w:rsid w:val="002B5FDF"/>
    <w:rsid w:val="002B6AD4"/>
    <w:rsid w:val="002B6CD0"/>
    <w:rsid w:val="002B79CD"/>
    <w:rsid w:val="002B7B0E"/>
    <w:rsid w:val="002B7D02"/>
    <w:rsid w:val="002B7DF7"/>
    <w:rsid w:val="002C0489"/>
    <w:rsid w:val="002C0699"/>
    <w:rsid w:val="002C0CBF"/>
    <w:rsid w:val="002C10CA"/>
    <w:rsid w:val="002C14F3"/>
    <w:rsid w:val="002C1DCD"/>
    <w:rsid w:val="002C21A9"/>
    <w:rsid w:val="002C232B"/>
    <w:rsid w:val="002C2332"/>
    <w:rsid w:val="002C235D"/>
    <w:rsid w:val="002C2547"/>
    <w:rsid w:val="002C26AE"/>
    <w:rsid w:val="002C2B85"/>
    <w:rsid w:val="002C2D2D"/>
    <w:rsid w:val="002C2FCD"/>
    <w:rsid w:val="002C2FEF"/>
    <w:rsid w:val="002C33D8"/>
    <w:rsid w:val="002C35CC"/>
    <w:rsid w:val="002C3677"/>
    <w:rsid w:val="002C3694"/>
    <w:rsid w:val="002C3782"/>
    <w:rsid w:val="002C38B3"/>
    <w:rsid w:val="002C3FB8"/>
    <w:rsid w:val="002C40E3"/>
    <w:rsid w:val="002C44CD"/>
    <w:rsid w:val="002C4626"/>
    <w:rsid w:val="002C4B73"/>
    <w:rsid w:val="002C4CC1"/>
    <w:rsid w:val="002C5086"/>
    <w:rsid w:val="002C53D7"/>
    <w:rsid w:val="002C5410"/>
    <w:rsid w:val="002C5AE2"/>
    <w:rsid w:val="002C5E95"/>
    <w:rsid w:val="002C6379"/>
    <w:rsid w:val="002C663A"/>
    <w:rsid w:val="002C66AF"/>
    <w:rsid w:val="002C730B"/>
    <w:rsid w:val="002C7413"/>
    <w:rsid w:val="002C757B"/>
    <w:rsid w:val="002C7940"/>
    <w:rsid w:val="002C7AD7"/>
    <w:rsid w:val="002C7B6D"/>
    <w:rsid w:val="002C7EAF"/>
    <w:rsid w:val="002D000F"/>
    <w:rsid w:val="002D00AE"/>
    <w:rsid w:val="002D01F2"/>
    <w:rsid w:val="002D0A1C"/>
    <w:rsid w:val="002D0CC1"/>
    <w:rsid w:val="002D1175"/>
    <w:rsid w:val="002D12D3"/>
    <w:rsid w:val="002D18D9"/>
    <w:rsid w:val="002D19D6"/>
    <w:rsid w:val="002D2198"/>
    <w:rsid w:val="002D221C"/>
    <w:rsid w:val="002D232B"/>
    <w:rsid w:val="002D25AC"/>
    <w:rsid w:val="002D2610"/>
    <w:rsid w:val="002D2A45"/>
    <w:rsid w:val="002D30D3"/>
    <w:rsid w:val="002D31F5"/>
    <w:rsid w:val="002D3939"/>
    <w:rsid w:val="002D3EDF"/>
    <w:rsid w:val="002D4032"/>
    <w:rsid w:val="002D47FA"/>
    <w:rsid w:val="002D49E6"/>
    <w:rsid w:val="002D4AE7"/>
    <w:rsid w:val="002D4F97"/>
    <w:rsid w:val="002D52E7"/>
    <w:rsid w:val="002D5578"/>
    <w:rsid w:val="002D578B"/>
    <w:rsid w:val="002D5976"/>
    <w:rsid w:val="002D6225"/>
    <w:rsid w:val="002D62FC"/>
    <w:rsid w:val="002D672D"/>
    <w:rsid w:val="002D733A"/>
    <w:rsid w:val="002D7393"/>
    <w:rsid w:val="002D767D"/>
    <w:rsid w:val="002D76F9"/>
    <w:rsid w:val="002D7957"/>
    <w:rsid w:val="002D7B9B"/>
    <w:rsid w:val="002D7CA0"/>
    <w:rsid w:val="002E02C2"/>
    <w:rsid w:val="002E040B"/>
    <w:rsid w:val="002E0833"/>
    <w:rsid w:val="002E09E0"/>
    <w:rsid w:val="002E0D9A"/>
    <w:rsid w:val="002E1456"/>
    <w:rsid w:val="002E1B53"/>
    <w:rsid w:val="002E22EF"/>
    <w:rsid w:val="002E29F0"/>
    <w:rsid w:val="002E2E86"/>
    <w:rsid w:val="002E3198"/>
    <w:rsid w:val="002E338D"/>
    <w:rsid w:val="002E3877"/>
    <w:rsid w:val="002E3F9A"/>
    <w:rsid w:val="002E4045"/>
    <w:rsid w:val="002E4300"/>
    <w:rsid w:val="002E454A"/>
    <w:rsid w:val="002E46DD"/>
    <w:rsid w:val="002E472F"/>
    <w:rsid w:val="002E510D"/>
    <w:rsid w:val="002E5203"/>
    <w:rsid w:val="002E52EE"/>
    <w:rsid w:val="002E54AE"/>
    <w:rsid w:val="002E5C60"/>
    <w:rsid w:val="002E5C7F"/>
    <w:rsid w:val="002E5F7A"/>
    <w:rsid w:val="002E60A9"/>
    <w:rsid w:val="002E60E8"/>
    <w:rsid w:val="002E62F1"/>
    <w:rsid w:val="002E6B80"/>
    <w:rsid w:val="002E6BB3"/>
    <w:rsid w:val="002E6DCB"/>
    <w:rsid w:val="002E721B"/>
    <w:rsid w:val="002E727C"/>
    <w:rsid w:val="002E77FF"/>
    <w:rsid w:val="002E7929"/>
    <w:rsid w:val="002F016B"/>
    <w:rsid w:val="002F02FE"/>
    <w:rsid w:val="002F036B"/>
    <w:rsid w:val="002F0391"/>
    <w:rsid w:val="002F06CA"/>
    <w:rsid w:val="002F0726"/>
    <w:rsid w:val="002F111C"/>
    <w:rsid w:val="002F13A5"/>
    <w:rsid w:val="002F154E"/>
    <w:rsid w:val="002F1AED"/>
    <w:rsid w:val="002F1C3F"/>
    <w:rsid w:val="002F1ED5"/>
    <w:rsid w:val="002F2538"/>
    <w:rsid w:val="002F26DC"/>
    <w:rsid w:val="002F2AE7"/>
    <w:rsid w:val="002F2B7A"/>
    <w:rsid w:val="002F31FC"/>
    <w:rsid w:val="002F31FF"/>
    <w:rsid w:val="002F36EF"/>
    <w:rsid w:val="002F3805"/>
    <w:rsid w:val="002F3831"/>
    <w:rsid w:val="002F44FB"/>
    <w:rsid w:val="002F4704"/>
    <w:rsid w:val="002F47B2"/>
    <w:rsid w:val="002F484F"/>
    <w:rsid w:val="002F4A2E"/>
    <w:rsid w:val="002F4C8A"/>
    <w:rsid w:val="002F4DA6"/>
    <w:rsid w:val="002F50C4"/>
    <w:rsid w:val="002F538D"/>
    <w:rsid w:val="002F5AE6"/>
    <w:rsid w:val="002F5B58"/>
    <w:rsid w:val="002F5BBB"/>
    <w:rsid w:val="002F643F"/>
    <w:rsid w:val="002F6904"/>
    <w:rsid w:val="002F6986"/>
    <w:rsid w:val="002F6A52"/>
    <w:rsid w:val="002F6E11"/>
    <w:rsid w:val="002F6E74"/>
    <w:rsid w:val="002F72F8"/>
    <w:rsid w:val="002F75B5"/>
    <w:rsid w:val="002F7711"/>
    <w:rsid w:val="002F77FE"/>
    <w:rsid w:val="002F783F"/>
    <w:rsid w:val="002F7A6B"/>
    <w:rsid w:val="002F7BD7"/>
    <w:rsid w:val="002F7C73"/>
    <w:rsid w:val="002F7E55"/>
    <w:rsid w:val="002F7FC2"/>
    <w:rsid w:val="00300180"/>
    <w:rsid w:val="00300743"/>
    <w:rsid w:val="00300923"/>
    <w:rsid w:val="00300CD8"/>
    <w:rsid w:val="003011DB"/>
    <w:rsid w:val="003014CC"/>
    <w:rsid w:val="00301727"/>
    <w:rsid w:val="003017CD"/>
    <w:rsid w:val="00301A57"/>
    <w:rsid w:val="00301C82"/>
    <w:rsid w:val="00301F61"/>
    <w:rsid w:val="00302167"/>
    <w:rsid w:val="00302322"/>
    <w:rsid w:val="003023EC"/>
    <w:rsid w:val="00302D03"/>
    <w:rsid w:val="00302DDF"/>
    <w:rsid w:val="00303E07"/>
    <w:rsid w:val="003040ED"/>
    <w:rsid w:val="00304BC4"/>
    <w:rsid w:val="00304C58"/>
    <w:rsid w:val="0030555D"/>
    <w:rsid w:val="00305954"/>
    <w:rsid w:val="00306583"/>
    <w:rsid w:val="003066BB"/>
    <w:rsid w:val="0030679F"/>
    <w:rsid w:val="00306AAB"/>
    <w:rsid w:val="00306B7C"/>
    <w:rsid w:val="00306CFA"/>
    <w:rsid w:val="00306D37"/>
    <w:rsid w:val="00306D9E"/>
    <w:rsid w:val="00307557"/>
    <w:rsid w:val="0030757B"/>
    <w:rsid w:val="003075C7"/>
    <w:rsid w:val="003076FA"/>
    <w:rsid w:val="00307B72"/>
    <w:rsid w:val="00307CF9"/>
    <w:rsid w:val="00307D85"/>
    <w:rsid w:val="00307FA4"/>
    <w:rsid w:val="00310156"/>
    <w:rsid w:val="0031057E"/>
    <w:rsid w:val="00310B4A"/>
    <w:rsid w:val="00310BC8"/>
    <w:rsid w:val="00310C6D"/>
    <w:rsid w:val="00310CFF"/>
    <w:rsid w:val="00310D6E"/>
    <w:rsid w:val="00310F91"/>
    <w:rsid w:val="003112FE"/>
    <w:rsid w:val="00311317"/>
    <w:rsid w:val="0031143A"/>
    <w:rsid w:val="00311B04"/>
    <w:rsid w:val="00311B66"/>
    <w:rsid w:val="00311F53"/>
    <w:rsid w:val="00312559"/>
    <w:rsid w:val="003126C0"/>
    <w:rsid w:val="0031280C"/>
    <w:rsid w:val="00312987"/>
    <w:rsid w:val="003129AF"/>
    <w:rsid w:val="00312BFC"/>
    <w:rsid w:val="00313277"/>
    <w:rsid w:val="003136A9"/>
    <w:rsid w:val="003138E6"/>
    <w:rsid w:val="00313B46"/>
    <w:rsid w:val="00313E89"/>
    <w:rsid w:val="00313F90"/>
    <w:rsid w:val="003142D3"/>
    <w:rsid w:val="0031529B"/>
    <w:rsid w:val="003153A0"/>
    <w:rsid w:val="00315561"/>
    <w:rsid w:val="003155FE"/>
    <w:rsid w:val="00315973"/>
    <w:rsid w:val="00315A9C"/>
    <w:rsid w:val="00316042"/>
    <w:rsid w:val="00316939"/>
    <w:rsid w:val="00316E20"/>
    <w:rsid w:val="0032041B"/>
    <w:rsid w:val="00320876"/>
    <w:rsid w:val="00320F3C"/>
    <w:rsid w:val="00321123"/>
    <w:rsid w:val="00321359"/>
    <w:rsid w:val="0032148D"/>
    <w:rsid w:val="00321574"/>
    <w:rsid w:val="00321D04"/>
    <w:rsid w:val="003228D8"/>
    <w:rsid w:val="00322950"/>
    <w:rsid w:val="00322E7B"/>
    <w:rsid w:val="00322E9C"/>
    <w:rsid w:val="00323CDA"/>
    <w:rsid w:val="00323D67"/>
    <w:rsid w:val="00323E77"/>
    <w:rsid w:val="003243C3"/>
    <w:rsid w:val="00324AB7"/>
    <w:rsid w:val="00324C28"/>
    <w:rsid w:val="003256A7"/>
    <w:rsid w:val="003258EA"/>
    <w:rsid w:val="0032592A"/>
    <w:rsid w:val="00325A76"/>
    <w:rsid w:val="00325CEB"/>
    <w:rsid w:val="003263CD"/>
    <w:rsid w:val="003265AA"/>
    <w:rsid w:val="00326A8B"/>
    <w:rsid w:val="00326B9C"/>
    <w:rsid w:val="00327176"/>
    <w:rsid w:val="00327474"/>
    <w:rsid w:val="003279F6"/>
    <w:rsid w:val="00327BE7"/>
    <w:rsid w:val="00327FDF"/>
    <w:rsid w:val="0033059E"/>
    <w:rsid w:val="0033087C"/>
    <w:rsid w:val="00330B68"/>
    <w:rsid w:val="00331049"/>
    <w:rsid w:val="00331D2D"/>
    <w:rsid w:val="00331DB5"/>
    <w:rsid w:val="00332161"/>
    <w:rsid w:val="00332676"/>
    <w:rsid w:val="003331DB"/>
    <w:rsid w:val="003332A3"/>
    <w:rsid w:val="003333DD"/>
    <w:rsid w:val="00333ABC"/>
    <w:rsid w:val="0033444F"/>
    <w:rsid w:val="00334988"/>
    <w:rsid w:val="003349BB"/>
    <w:rsid w:val="00335743"/>
    <w:rsid w:val="003357C1"/>
    <w:rsid w:val="00335802"/>
    <w:rsid w:val="0033599E"/>
    <w:rsid w:val="00335A77"/>
    <w:rsid w:val="00335BEE"/>
    <w:rsid w:val="00335FCB"/>
    <w:rsid w:val="00336EF7"/>
    <w:rsid w:val="00336F74"/>
    <w:rsid w:val="003372C3"/>
    <w:rsid w:val="003373F0"/>
    <w:rsid w:val="00337441"/>
    <w:rsid w:val="00337552"/>
    <w:rsid w:val="00337669"/>
    <w:rsid w:val="0033775C"/>
    <w:rsid w:val="003377E7"/>
    <w:rsid w:val="00337905"/>
    <w:rsid w:val="00337991"/>
    <w:rsid w:val="00337CF4"/>
    <w:rsid w:val="00337FFE"/>
    <w:rsid w:val="003400EF"/>
    <w:rsid w:val="0034011D"/>
    <w:rsid w:val="00340B30"/>
    <w:rsid w:val="00340F1C"/>
    <w:rsid w:val="00340FAA"/>
    <w:rsid w:val="00341217"/>
    <w:rsid w:val="00341481"/>
    <w:rsid w:val="00341B2F"/>
    <w:rsid w:val="00341C21"/>
    <w:rsid w:val="00341FA4"/>
    <w:rsid w:val="00342123"/>
    <w:rsid w:val="0034240A"/>
    <w:rsid w:val="003424DF"/>
    <w:rsid w:val="00342578"/>
    <w:rsid w:val="0034257C"/>
    <w:rsid w:val="00342A24"/>
    <w:rsid w:val="00342DC8"/>
    <w:rsid w:val="00342EAA"/>
    <w:rsid w:val="00342F38"/>
    <w:rsid w:val="00343028"/>
    <w:rsid w:val="003430FA"/>
    <w:rsid w:val="0034343F"/>
    <w:rsid w:val="003435DF"/>
    <w:rsid w:val="003439CF"/>
    <w:rsid w:val="00343B07"/>
    <w:rsid w:val="00344424"/>
    <w:rsid w:val="00344612"/>
    <w:rsid w:val="0034474B"/>
    <w:rsid w:val="00344819"/>
    <w:rsid w:val="003449AB"/>
    <w:rsid w:val="00344BC4"/>
    <w:rsid w:val="003457B0"/>
    <w:rsid w:val="003457F7"/>
    <w:rsid w:val="003459F8"/>
    <w:rsid w:val="00345FBC"/>
    <w:rsid w:val="0034659F"/>
    <w:rsid w:val="00346BB8"/>
    <w:rsid w:val="00346E2F"/>
    <w:rsid w:val="00346EFB"/>
    <w:rsid w:val="00346FBF"/>
    <w:rsid w:val="003476FD"/>
    <w:rsid w:val="003477DD"/>
    <w:rsid w:val="00347CEA"/>
    <w:rsid w:val="00347E09"/>
    <w:rsid w:val="0035004E"/>
    <w:rsid w:val="00350076"/>
    <w:rsid w:val="0035009A"/>
    <w:rsid w:val="00350104"/>
    <w:rsid w:val="00350525"/>
    <w:rsid w:val="00350932"/>
    <w:rsid w:val="00350A9F"/>
    <w:rsid w:val="00350AA1"/>
    <w:rsid w:val="00350F23"/>
    <w:rsid w:val="00350FE6"/>
    <w:rsid w:val="0035108C"/>
    <w:rsid w:val="00351420"/>
    <w:rsid w:val="00351544"/>
    <w:rsid w:val="003518E2"/>
    <w:rsid w:val="00351978"/>
    <w:rsid w:val="003519AB"/>
    <w:rsid w:val="00351C19"/>
    <w:rsid w:val="00351EEB"/>
    <w:rsid w:val="00351F4B"/>
    <w:rsid w:val="0035227F"/>
    <w:rsid w:val="00352DDD"/>
    <w:rsid w:val="00353032"/>
    <w:rsid w:val="003533F1"/>
    <w:rsid w:val="0035363C"/>
    <w:rsid w:val="003536D4"/>
    <w:rsid w:val="003545F8"/>
    <w:rsid w:val="00354669"/>
    <w:rsid w:val="00354ACD"/>
    <w:rsid w:val="003553F5"/>
    <w:rsid w:val="003558BF"/>
    <w:rsid w:val="003559B0"/>
    <w:rsid w:val="00355A6A"/>
    <w:rsid w:val="00355AA2"/>
    <w:rsid w:val="00355E7D"/>
    <w:rsid w:val="00355F23"/>
    <w:rsid w:val="00355F27"/>
    <w:rsid w:val="003563D8"/>
    <w:rsid w:val="003565FB"/>
    <w:rsid w:val="00356DBB"/>
    <w:rsid w:val="00357AFC"/>
    <w:rsid w:val="00357C20"/>
    <w:rsid w:val="003601F1"/>
    <w:rsid w:val="00360349"/>
    <w:rsid w:val="00360AA3"/>
    <w:rsid w:val="00360D7C"/>
    <w:rsid w:val="00360FDA"/>
    <w:rsid w:val="00361A97"/>
    <w:rsid w:val="00361D80"/>
    <w:rsid w:val="00361FA0"/>
    <w:rsid w:val="003620C9"/>
    <w:rsid w:val="0036249D"/>
    <w:rsid w:val="0036261A"/>
    <w:rsid w:val="0036323F"/>
    <w:rsid w:val="003632B5"/>
    <w:rsid w:val="003632BB"/>
    <w:rsid w:val="00363951"/>
    <w:rsid w:val="00363A7F"/>
    <w:rsid w:val="00364269"/>
    <w:rsid w:val="00364272"/>
    <w:rsid w:val="003644C6"/>
    <w:rsid w:val="0036452E"/>
    <w:rsid w:val="00364862"/>
    <w:rsid w:val="00364E4E"/>
    <w:rsid w:val="00364E9B"/>
    <w:rsid w:val="00365136"/>
    <w:rsid w:val="00365196"/>
    <w:rsid w:val="0036544F"/>
    <w:rsid w:val="0036552D"/>
    <w:rsid w:val="00365950"/>
    <w:rsid w:val="00366025"/>
    <w:rsid w:val="00366839"/>
    <w:rsid w:val="00366A9A"/>
    <w:rsid w:val="00367423"/>
    <w:rsid w:val="00367453"/>
    <w:rsid w:val="003675C5"/>
    <w:rsid w:val="00367B07"/>
    <w:rsid w:val="00367BE4"/>
    <w:rsid w:val="00367DDE"/>
    <w:rsid w:val="003703DE"/>
    <w:rsid w:val="0037069B"/>
    <w:rsid w:val="00370C47"/>
    <w:rsid w:val="00370C54"/>
    <w:rsid w:val="0037102D"/>
    <w:rsid w:val="00371327"/>
    <w:rsid w:val="00371378"/>
    <w:rsid w:val="003714A1"/>
    <w:rsid w:val="003726D2"/>
    <w:rsid w:val="0037278D"/>
    <w:rsid w:val="0037290B"/>
    <w:rsid w:val="00372F42"/>
    <w:rsid w:val="003736AA"/>
    <w:rsid w:val="00373E41"/>
    <w:rsid w:val="00373F10"/>
    <w:rsid w:val="00373FA5"/>
    <w:rsid w:val="003743D0"/>
    <w:rsid w:val="00374420"/>
    <w:rsid w:val="00374642"/>
    <w:rsid w:val="00374644"/>
    <w:rsid w:val="00374ED9"/>
    <w:rsid w:val="00375305"/>
    <w:rsid w:val="0037531E"/>
    <w:rsid w:val="0037544E"/>
    <w:rsid w:val="00376244"/>
    <w:rsid w:val="003764F1"/>
    <w:rsid w:val="003768FF"/>
    <w:rsid w:val="00376D8E"/>
    <w:rsid w:val="00376F1C"/>
    <w:rsid w:val="0037722E"/>
    <w:rsid w:val="00377359"/>
    <w:rsid w:val="00377409"/>
    <w:rsid w:val="00377DB6"/>
    <w:rsid w:val="0038002C"/>
    <w:rsid w:val="00380061"/>
    <w:rsid w:val="00380090"/>
    <w:rsid w:val="00380A8F"/>
    <w:rsid w:val="00380C28"/>
    <w:rsid w:val="00380CF9"/>
    <w:rsid w:val="003811D9"/>
    <w:rsid w:val="00381C64"/>
    <w:rsid w:val="00381D6B"/>
    <w:rsid w:val="00381E5B"/>
    <w:rsid w:val="00381F7F"/>
    <w:rsid w:val="00382077"/>
    <w:rsid w:val="003820A3"/>
    <w:rsid w:val="003824E0"/>
    <w:rsid w:val="003827A2"/>
    <w:rsid w:val="00382856"/>
    <w:rsid w:val="00382886"/>
    <w:rsid w:val="00382BAE"/>
    <w:rsid w:val="00382D4F"/>
    <w:rsid w:val="00382DFC"/>
    <w:rsid w:val="00382E57"/>
    <w:rsid w:val="00382F4F"/>
    <w:rsid w:val="00383120"/>
    <w:rsid w:val="0038340D"/>
    <w:rsid w:val="003838C7"/>
    <w:rsid w:val="00383C9D"/>
    <w:rsid w:val="0038415B"/>
    <w:rsid w:val="003842FC"/>
    <w:rsid w:val="003844A6"/>
    <w:rsid w:val="00384F74"/>
    <w:rsid w:val="00385250"/>
    <w:rsid w:val="003852B8"/>
    <w:rsid w:val="003853CD"/>
    <w:rsid w:val="0038555D"/>
    <w:rsid w:val="00385FAC"/>
    <w:rsid w:val="00386382"/>
    <w:rsid w:val="0038659D"/>
    <w:rsid w:val="00386656"/>
    <w:rsid w:val="00386B63"/>
    <w:rsid w:val="00386BC4"/>
    <w:rsid w:val="00386F82"/>
    <w:rsid w:val="003875C9"/>
    <w:rsid w:val="00387AEE"/>
    <w:rsid w:val="00387C59"/>
    <w:rsid w:val="00390051"/>
    <w:rsid w:val="0039055A"/>
    <w:rsid w:val="00390C2C"/>
    <w:rsid w:val="00390D61"/>
    <w:rsid w:val="00390D63"/>
    <w:rsid w:val="00391073"/>
    <w:rsid w:val="00391222"/>
    <w:rsid w:val="003916E5"/>
    <w:rsid w:val="00391BE8"/>
    <w:rsid w:val="00391CA4"/>
    <w:rsid w:val="00392052"/>
    <w:rsid w:val="00392135"/>
    <w:rsid w:val="003921D7"/>
    <w:rsid w:val="0039272E"/>
    <w:rsid w:val="003927B8"/>
    <w:rsid w:val="003927D9"/>
    <w:rsid w:val="00392A4C"/>
    <w:rsid w:val="00392E4F"/>
    <w:rsid w:val="0039426E"/>
    <w:rsid w:val="0039485F"/>
    <w:rsid w:val="00394A50"/>
    <w:rsid w:val="00394EDA"/>
    <w:rsid w:val="00395099"/>
    <w:rsid w:val="0039510B"/>
    <w:rsid w:val="003955F0"/>
    <w:rsid w:val="00395613"/>
    <w:rsid w:val="00395A92"/>
    <w:rsid w:val="0039607C"/>
    <w:rsid w:val="003965D0"/>
    <w:rsid w:val="00396904"/>
    <w:rsid w:val="00396954"/>
    <w:rsid w:val="0039701C"/>
    <w:rsid w:val="0039702B"/>
    <w:rsid w:val="003970E2"/>
    <w:rsid w:val="00397438"/>
    <w:rsid w:val="00397645"/>
    <w:rsid w:val="00397930"/>
    <w:rsid w:val="00397C5F"/>
    <w:rsid w:val="003A065B"/>
    <w:rsid w:val="003A0AED"/>
    <w:rsid w:val="003A0DE4"/>
    <w:rsid w:val="003A0EBE"/>
    <w:rsid w:val="003A1210"/>
    <w:rsid w:val="003A1289"/>
    <w:rsid w:val="003A137A"/>
    <w:rsid w:val="003A1386"/>
    <w:rsid w:val="003A1402"/>
    <w:rsid w:val="003A192E"/>
    <w:rsid w:val="003A19EF"/>
    <w:rsid w:val="003A1B49"/>
    <w:rsid w:val="003A1E81"/>
    <w:rsid w:val="003A22F2"/>
    <w:rsid w:val="003A24D0"/>
    <w:rsid w:val="003A2550"/>
    <w:rsid w:val="003A274A"/>
    <w:rsid w:val="003A2E4E"/>
    <w:rsid w:val="003A2EA5"/>
    <w:rsid w:val="003A2FAE"/>
    <w:rsid w:val="003A2FBD"/>
    <w:rsid w:val="003A3044"/>
    <w:rsid w:val="003A3089"/>
    <w:rsid w:val="003A30F6"/>
    <w:rsid w:val="003A31F2"/>
    <w:rsid w:val="003A3448"/>
    <w:rsid w:val="003A368F"/>
    <w:rsid w:val="003A3868"/>
    <w:rsid w:val="003A3914"/>
    <w:rsid w:val="003A3BA0"/>
    <w:rsid w:val="003A4045"/>
    <w:rsid w:val="003A4205"/>
    <w:rsid w:val="003A4617"/>
    <w:rsid w:val="003A46DE"/>
    <w:rsid w:val="003A4CEF"/>
    <w:rsid w:val="003A4D54"/>
    <w:rsid w:val="003A569F"/>
    <w:rsid w:val="003A571B"/>
    <w:rsid w:val="003A5ED6"/>
    <w:rsid w:val="003A60F5"/>
    <w:rsid w:val="003A6233"/>
    <w:rsid w:val="003A6442"/>
    <w:rsid w:val="003A6672"/>
    <w:rsid w:val="003A6A27"/>
    <w:rsid w:val="003A732B"/>
    <w:rsid w:val="003A7488"/>
    <w:rsid w:val="003A794E"/>
    <w:rsid w:val="003A79D1"/>
    <w:rsid w:val="003B02BB"/>
    <w:rsid w:val="003B0980"/>
    <w:rsid w:val="003B0A63"/>
    <w:rsid w:val="003B10E9"/>
    <w:rsid w:val="003B125F"/>
    <w:rsid w:val="003B1572"/>
    <w:rsid w:val="003B199D"/>
    <w:rsid w:val="003B1A43"/>
    <w:rsid w:val="003B1D33"/>
    <w:rsid w:val="003B1F79"/>
    <w:rsid w:val="003B268E"/>
    <w:rsid w:val="003B2D4A"/>
    <w:rsid w:val="003B2D67"/>
    <w:rsid w:val="003B309E"/>
    <w:rsid w:val="003B370F"/>
    <w:rsid w:val="003B394E"/>
    <w:rsid w:val="003B3A45"/>
    <w:rsid w:val="003B3AF6"/>
    <w:rsid w:val="003B3DDB"/>
    <w:rsid w:val="003B3EDC"/>
    <w:rsid w:val="003B4EB9"/>
    <w:rsid w:val="003B50C5"/>
    <w:rsid w:val="003B51C8"/>
    <w:rsid w:val="003B5889"/>
    <w:rsid w:val="003B59F4"/>
    <w:rsid w:val="003B6378"/>
    <w:rsid w:val="003B6716"/>
    <w:rsid w:val="003B69A7"/>
    <w:rsid w:val="003B7425"/>
    <w:rsid w:val="003B77C5"/>
    <w:rsid w:val="003B7DA6"/>
    <w:rsid w:val="003B7F8A"/>
    <w:rsid w:val="003C04CC"/>
    <w:rsid w:val="003C079A"/>
    <w:rsid w:val="003C0840"/>
    <w:rsid w:val="003C0958"/>
    <w:rsid w:val="003C121D"/>
    <w:rsid w:val="003C1691"/>
    <w:rsid w:val="003C1BA4"/>
    <w:rsid w:val="003C1C20"/>
    <w:rsid w:val="003C1C5E"/>
    <w:rsid w:val="003C1D40"/>
    <w:rsid w:val="003C1D65"/>
    <w:rsid w:val="003C1DBA"/>
    <w:rsid w:val="003C20DA"/>
    <w:rsid w:val="003C22E1"/>
    <w:rsid w:val="003C23CD"/>
    <w:rsid w:val="003C2520"/>
    <w:rsid w:val="003C2535"/>
    <w:rsid w:val="003C25CA"/>
    <w:rsid w:val="003C29AD"/>
    <w:rsid w:val="003C2BB2"/>
    <w:rsid w:val="003C3482"/>
    <w:rsid w:val="003C3A74"/>
    <w:rsid w:val="003C3BEA"/>
    <w:rsid w:val="003C3BFA"/>
    <w:rsid w:val="003C3C3C"/>
    <w:rsid w:val="003C3EE4"/>
    <w:rsid w:val="003C42EA"/>
    <w:rsid w:val="003C4831"/>
    <w:rsid w:val="003C4BB3"/>
    <w:rsid w:val="003C522F"/>
    <w:rsid w:val="003C5FEF"/>
    <w:rsid w:val="003C60D2"/>
    <w:rsid w:val="003C623C"/>
    <w:rsid w:val="003C680F"/>
    <w:rsid w:val="003C692C"/>
    <w:rsid w:val="003C6A87"/>
    <w:rsid w:val="003C7095"/>
    <w:rsid w:val="003C70ED"/>
    <w:rsid w:val="003C71CC"/>
    <w:rsid w:val="003C7B2A"/>
    <w:rsid w:val="003D00CD"/>
    <w:rsid w:val="003D04FE"/>
    <w:rsid w:val="003D0C1C"/>
    <w:rsid w:val="003D0C8A"/>
    <w:rsid w:val="003D0DA8"/>
    <w:rsid w:val="003D0FA0"/>
    <w:rsid w:val="003D1ABC"/>
    <w:rsid w:val="003D1EA5"/>
    <w:rsid w:val="003D20A2"/>
    <w:rsid w:val="003D26D4"/>
    <w:rsid w:val="003D270B"/>
    <w:rsid w:val="003D28CD"/>
    <w:rsid w:val="003D3943"/>
    <w:rsid w:val="003D3BA4"/>
    <w:rsid w:val="003D3C4D"/>
    <w:rsid w:val="003D3C5E"/>
    <w:rsid w:val="003D40C7"/>
    <w:rsid w:val="003D46C0"/>
    <w:rsid w:val="003D4783"/>
    <w:rsid w:val="003D4DA6"/>
    <w:rsid w:val="003D4FBF"/>
    <w:rsid w:val="003D5407"/>
    <w:rsid w:val="003D5667"/>
    <w:rsid w:val="003D5B67"/>
    <w:rsid w:val="003D5B85"/>
    <w:rsid w:val="003D5FAE"/>
    <w:rsid w:val="003D6000"/>
    <w:rsid w:val="003D606D"/>
    <w:rsid w:val="003D62E5"/>
    <w:rsid w:val="003D6514"/>
    <w:rsid w:val="003D653E"/>
    <w:rsid w:val="003D6C9C"/>
    <w:rsid w:val="003D6D86"/>
    <w:rsid w:val="003D7249"/>
    <w:rsid w:val="003D736C"/>
    <w:rsid w:val="003D7432"/>
    <w:rsid w:val="003D7BA0"/>
    <w:rsid w:val="003D7F17"/>
    <w:rsid w:val="003E01FB"/>
    <w:rsid w:val="003E02F1"/>
    <w:rsid w:val="003E05E8"/>
    <w:rsid w:val="003E089D"/>
    <w:rsid w:val="003E0D93"/>
    <w:rsid w:val="003E16AB"/>
    <w:rsid w:val="003E16FC"/>
    <w:rsid w:val="003E1987"/>
    <w:rsid w:val="003E1A0F"/>
    <w:rsid w:val="003E2090"/>
    <w:rsid w:val="003E2256"/>
    <w:rsid w:val="003E2663"/>
    <w:rsid w:val="003E2894"/>
    <w:rsid w:val="003E2A04"/>
    <w:rsid w:val="003E2A8D"/>
    <w:rsid w:val="003E2DC9"/>
    <w:rsid w:val="003E325F"/>
    <w:rsid w:val="003E349A"/>
    <w:rsid w:val="003E3A24"/>
    <w:rsid w:val="003E3E19"/>
    <w:rsid w:val="003E4856"/>
    <w:rsid w:val="003E48BB"/>
    <w:rsid w:val="003E4B36"/>
    <w:rsid w:val="003E4F2D"/>
    <w:rsid w:val="003E5164"/>
    <w:rsid w:val="003E532A"/>
    <w:rsid w:val="003E5358"/>
    <w:rsid w:val="003E53A1"/>
    <w:rsid w:val="003E5417"/>
    <w:rsid w:val="003E560B"/>
    <w:rsid w:val="003E5666"/>
    <w:rsid w:val="003E59B0"/>
    <w:rsid w:val="003E5A84"/>
    <w:rsid w:val="003E63C9"/>
    <w:rsid w:val="003E6595"/>
    <w:rsid w:val="003E67C7"/>
    <w:rsid w:val="003E6C70"/>
    <w:rsid w:val="003E6E5F"/>
    <w:rsid w:val="003E7157"/>
    <w:rsid w:val="003E7A88"/>
    <w:rsid w:val="003E7C0F"/>
    <w:rsid w:val="003E7C15"/>
    <w:rsid w:val="003F012F"/>
    <w:rsid w:val="003F0189"/>
    <w:rsid w:val="003F05D6"/>
    <w:rsid w:val="003F08FE"/>
    <w:rsid w:val="003F0A8B"/>
    <w:rsid w:val="003F0DCE"/>
    <w:rsid w:val="003F16FA"/>
    <w:rsid w:val="003F1B9E"/>
    <w:rsid w:val="003F1C98"/>
    <w:rsid w:val="003F1D28"/>
    <w:rsid w:val="003F22C6"/>
    <w:rsid w:val="003F25A0"/>
    <w:rsid w:val="003F2827"/>
    <w:rsid w:val="003F2BD5"/>
    <w:rsid w:val="003F2C38"/>
    <w:rsid w:val="003F30EC"/>
    <w:rsid w:val="003F3537"/>
    <w:rsid w:val="003F35A1"/>
    <w:rsid w:val="003F3794"/>
    <w:rsid w:val="003F3A7A"/>
    <w:rsid w:val="003F3EAF"/>
    <w:rsid w:val="003F3FF9"/>
    <w:rsid w:val="003F4185"/>
    <w:rsid w:val="003F49C8"/>
    <w:rsid w:val="003F547F"/>
    <w:rsid w:val="003F5956"/>
    <w:rsid w:val="003F5B97"/>
    <w:rsid w:val="003F5F34"/>
    <w:rsid w:val="003F5F6A"/>
    <w:rsid w:val="003F5FD1"/>
    <w:rsid w:val="003F661C"/>
    <w:rsid w:val="003F685F"/>
    <w:rsid w:val="003F71DE"/>
    <w:rsid w:val="003F7638"/>
    <w:rsid w:val="003F7E02"/>
    <w:rsid w:val="004000F6"/>
    <w:rsid w:val="00400526"/>
    <w:rsid w:val="00400EA7"/>
    <w:rsid w:val="00400ECF"/>
    <w:rsid w:val="00400F4E"/>
    <w:rsid w:val="0040103D"/>
    <w:rsid w:val="0040104B"/>
    <w:rsid w:val="004013D2"/>
    <w:rsid w:val="004014C6"/>
    <w:rsid w:val="0040233B"/>
    <w:rsid w:val="00402ECF"/>
    <w:rsid w:val="004032FE"/>
    <w:rsid w:val="004035D0"/>
    <w:rsid w:val="004038D8"/>
    <w:rsid w:val="004039B4"/>
    <w:rsid w:val="00403E51"/>
    <w:rsid w:val="0040407B"/>
    <w:rsid w:val="00404491"/>
    <w:rsid w:val="004054C7"/>
    <w:rsid w:val="004055D8"/>
    <w:rsid w:val="00405892"/>
    <w:rsid w:val="004058E5"/>
    <w:rsid w:val="004065F6"/>
    <w:rsid w:val="0040669E"/>
    <w:rsid w:val="00406729"/>
    <w:rsid w:val="0040699E"/>
    <w:rsid w:val="00406A90"/>
    <w:rsid w:val="00407EC5"/>
    <w:rsid w:val="00407F63"/>
    <w:rsid w:val="004106AB"/>
    <w:rsid w:val="004106D1"/>
    <w:rsid w:val="00410821"/>
    <w:rsid w:val="00410A60"/>
    <w:rsid w:val="00410F0A"/>
    <w:rsid w:val="0041112A"/>
    <w:rsid w:val="00411386"/>
    <w:rsid w:val="004117EF"/>
    <w:rsid w:val="00411B51"/>
    <w:rsid w:val="004121AC"/>
    <w:rsid w:val="0041264D"/>
    <w:rsid w:val="004126A2"/>
    <w:rsid w:val="0041279E"/>
    <w:rsid w:val="0041288A"/>
    <w:rsid w:val="00412BDE"/>
    <w:rsid w:val="00412D29"/>
    <w:rsid w:val="00412F40"/>
    <w:rsid w:val="0041365D"/>
    <w:rsid w:val="00413812"/>
    <w:rsid w:val="00413960"/>
    <w:rsid w:val="00413EB7"/>
    <w:rsid w:val="00413FCD"/>
    <w:rsid w:val="00414570"/>
    <w:rsid w:val="00414870"/>
    <w:rsid w:val="00414996"/>
    <w:rsid w:val="00414A34"/>
    <w:rsid w:val="00414D17"/>
    <w:rsid w:val="00415565"/>
    <w:rsid w:val="00415654"/>
    <w:rsid w:val="00416196"/>
    <w:rsid w:val="0041642D"/>
    <w:rsid w:val="004168E6"/>
    <w:rsid w:val="00416A6C"/>
    <w:rsid w:val="0041710F"/>
    <w:rsid w:val="00417194"/>
    <w:rsid w:val="00417325"/>
    <w:rsid w:val="00417334"/>
    <w:rsid w:val="00417EB1"/>
    <w:rsid w:val="004205D4"/>
    <w:rsid w:val="004207EA"/>
    <w:rsid w:val="00420871"/>
    <w:rsid w:val="00420BFB"/>
    <w:rsid w:val="00421557"/>
    <w:rsid w:val="00421C5E"/>
    <w:rsid w:val="00421D2E"/>
    <w:rsid w:val="00421FC9"/>
    <w:rsid w:val="00421FE4"/>
    <w:rsid w:val="004222DF"/>
    <w:rsid w:val="00422524"/>
    <w:rsid w:val="004230E2"/>
    <w:rsid w:val="0042338F"/>
    <w:rsid w:val="00423EA2"/>
    <w:rsid w:val="00423F01"/>
    <w:rsid w:val="0042422F"/>
    <w:rsid w:val="00424399"/>
    <w:rsid w:val="0042492D"/>
    <w:rsid w:val="00424BE4"/>
    <w:rsid w:val="00424E9D"/>
    <w:rsid w:val="00425133"/>
    <w:rsid w:val="004254D7"/>
    <w:rsid w:val="0042569B"/>
    <w:rsid w:val="00425C71"/>
    <w:rsid w:val="00426394"/>
    <w:rsid w:val="004264FD"/>
    <w:rsid w:val="00426650"/>
    <w:rsid w:val="00426787"/>
    <w:rsid w:val="0042698E"/>
    <w:rsid w:val="00426B45"/>
    <w:rsid w:val="00426D58"/>
    <w:rsid w:val="00427068"/>
    <w:rsid w:val="00427218"/>
    <w:rsid w:val="004275B0"/>
    <w:rsid w:val="00427E3E"/>
    <w:rsid w:val="00427FB9"/>
    <w:rsid w:val="00430184"/>
    <w:rsid w:val="00430605"/>
    <w:rsid w:val="00430AD9"/>
    <w:rsid w:val="00430BBE"/>
    <w:rsid w:val="00430C99"/>
    <w:rsid w:val="00430D28"/>
    <w:rsid w:val="00430EA4"/>
    <w:rsid w:val="00431258"/>
    <w:rsid w:val="0043183F"/>
    <w:rsid w:val="00431E37"/>
    <w:rsid w:val="004323DB"/>
    <w:rsid w:val="0043260E"/>
    <w:rsid w:val="00432741"/>
    <w:rsid w:val="0043302E"/>
    <w:rsid w:val="0043318C"/>
    <w:rsid w:val="00433B0D"/>
    <w:rsid w:val="00433E76"/>
    <w:rsid w:val="00433F22"/>
    <w:rsid w:val="0043419E"/>
    <w:rsid w:val="004342E5"/>
    <w:rsid w:val="0043440B"/>
    <w:rsid w:val="00434A04"/>
    <w:rsid w:val="0043529C"/>
    <w:rsid w:val="004353BF"/>
    <w:rsid w:val="00435628"/>
    <w:rsid w:val="004358D2"/>
    <w:rsid w:val="00435959"/>
    <w:rsid w:val="00436077"/>
    <w:rsid w:val="004363C2"/>
    <w:rsid w:val="004363D7"/>
    <w:rsid w:val="00436A11"/>
    <w:rsid w:val="00436BC9"/>
    <w:rsid w:val="00436EF6"/>
    <w:rsid w:val="004375BD"/>
    <w:rsid w:val="004377ED"/>
    <w:rsid w:val="00437AF4"/>
    <w:rsid w:val="00437BC1"/>
    <w:rsid w:val="004400A5"/>
    <w:rsid w:val="0044033C"/>
    <w:rsid w:val="00440617"/>
    <w:rsid w:val="004407E6"/>
    <w:rsid w:val="00440C34"/>
    <w:rsid w:val="004412E0"/>
    <w:rsid w:val="00442293"/>
    <w:rsid w:val="00442867"/>
    <w:rsid w:val="00442A87"/>
    <w:rsid w:val="00442C1F"/>
    <w:rsid w:val="004430C8"/>
    <w:rsid w:val="00443426"/>
    <w:rsid w:val="00443447"/>
    <w:rsid w:val="004435B3"/>
    <w:rsid w:val="004438BB"/>
    <w:rsid w:val="00443900"/>
    <w:rsid w:val="004439F1"/>
    <w:rsid w:val="00443BE3"/>
    <w:rsid w:val="00443BF6"/>
    <w:rsid w:val="0044471C"/>
    <w:rsid w:val="00444845"/>
    <w:rsid w:val="00444C7D"/>
    <w:rsid w:val="00444D07"/>
    <w:rsid w:val="00444D48"/>
    <w:rsid w:val="00444DC4"/>
    <w:rsid w:val="00444E01"/>
    <w:rsid w:val="00445BEE"/>
    <w:rsid w:val="00445D2E"/>
    <w:rsid w:val="00445F93"/>
    <w:rsid w:val="00446191"/>
    <w:rsid w:val="00446260"/>
    <w:rsid w:val="00446503"/>
    <w:rsid w:val="0044761E"/>
    <w:rsid w:val="00447AEE"/>
    <w:rsid w:val="00447C1F"/>
    <w:rsid w:val="00447DB4"/>
    <w:rsid w:val="00447E4B"/>
    <w:rsid w:val="004500B5"/>
    <w:rsid w:val="0045028A"/>
    <w:rsid w:val="004508B5"/>
    <w:rsid w:val="00450984"/>
    <w:rsid w:val="00450C68"/>
    <w:rsid w:val="00450C80"/>
    <w:rsid w:val="00451102"/>
    <w:rsid w:val="00451781"/>
    <w:rsid w:val="00451C81"/>
    <w:rsid w:val="00451EF2"/>
    <w:rsid w:val="004529AB"/>
    <w:rsid w:val="00452B99"/>
    <w:rsid w:val="00453062"/>
    <w:rsid w:val="00453301"/>
    <w:rsid w:val="00453930"/>
    <w:rsid w:val="00453A6F"/>
    <w:rsid w:val="00453BEA"/>
    <w:rsid w:val="00453D52"/>
    <w:rsid w:val="00454124"/>
    <w:rsid w:val="00454ABF"/>
    <w:rsid w:val="00454BA9"/>
    <w:rsid w:val="00454E04"/>
    <w:rsid w:val="00454E87"/>
    <w:rsid w:val="004552ED"/>
    <w:rsid w:val="00455376"/>
    <w:rsid w:val="0045553C"/>
    <w:rsid w:val="00455556"/>
    <w:rsid w:val="004556FB"/>
    <w:rsid w:val="004557A1"/>
    <w:rsid w:val="00455982"/>
    <w:rsid w:val="00455C4C"/>
    <w:rsid w:val="0045642B"/>
    <w:rsid w:val="00456C6B"/>
    <w:rsid w:val="00456D14"/>
    <w:rsid w:val="00456DAF"/>
    <w:rsid w:val="00456DDA"/>
    <w:rsid w:val="00456E2C"/>
    <w:rsid w:val="00456F25"/>
    <w:rsid w:val="00456F33"/>
    <w:rsid w:val="00456F86"/>
    <w:rsid w:val="004571E1"/>
    <w:rsid w:val="00457231"/>
    <w:rsid w:val="0045762D"/>
    <w:rsid w:val="004576AD"/>
    <w:rsid w:val="004576DC"/>
    <w:rsid w:val="00457D93"/>
    <w:rsid w:val="004602B4"/>
    <w:rsid w:val="004602D8"/>
    <w:rsid w:val="00460645"/>
    <w:rsid w:val="00460C3B"/>
    <w:rsid w:val="00460ECA"/>
    <w:rsid w:val="00461132"/>
    <w:rsid w:val="004611F3"/>
    <w:rsid w:val="004616EF"/>
    <w:rsid w:val="00461A48"/>
    <w:rsid w:val="00461A9C"/>
    <w:rsid w:val="00461E27"/>
    <w:rsid w:val="004621B8"/>
    <w:rsid w:val="00462399"/>
    <w:rsid w:val="004626AD"/>
    <w:rsid w:val="00462CD4"/>
    <w:rsid w:val="004636A1"/>
    <w:rsid w:val="00463928"/>
    <w:rsid w:val="00463BA5"/>
    <w:rsid w:val="00464176"/>
    <w:rsid w:val="004641BC"/>
    <w:rsid w:val="00464313"/>
    <w:rsid w:val="00465137"/>
    <w:rsid w:val="004657ED"/>
    <w:rsid w:val="0046611A"/>
    <w:rsid w:val="0046638E"/>
    <w:rsid w:val="004664CC"/>
    <w:rsid w:val="00466BDB"/>
    <w:rsid w:val="00466C4B"/>
    <w:rsid w:val="004671E6"/>
    <w:rsid w:val="0046723F"/>
    <w:rsid w:val="004673D3"/>
    <w:rsid w:val="004675AE"/>
    <w:rsid w:val="004678E4"/>
    <w:rsid w:val="00467A65"/>
    <w:rsid w:val="00467D0E"/>
    <w:rsid w:val="00467EFB"/>
    <w:rsid w:val="004701CB"/>
    <w:rsid w:val="004702D2"/>
    <w:rsid w:val="0047080B"/>
    <w:rsid w:val="00470B93"/>
    <w:rsid w:val="00470CB6"/>
    <w:rsid w:val="0047120A"/>
    <w:rsid w:val="00471952"/>
    <w:rsid w:val="00471DFB"/>
    <w:rsid w:val="00471F1A"/>
    <w:rsid w:val="0047204E"/>
    <w:rsid w:val="00472291"/>
    <w:rsid w:val="004725C1"/>
    <w:rsid w:val="004725D4"/>
    <w:rsid w:val="00472688"/>
    <w:rsid w:val="0047270B"/>
    <w:rsid w:val="00472771"/>
    <w:rsid w:val="004728B1"/>
    <w:rsid w:val="004728D0"/>
    <w:rsid w:val="00472C7C"/>
    <w:rsid w:val="00472F82"/>
    <w:rsid w:val="004731FE"/>
    <w:rsid w:val="004734E9"/>
    <w:rsid w:val="004737AA"/>
    <w:rsid w:val="00473871"/>
    <w:rsid w:val="00473FC8"/>
    <w:rsid w:val="004741CD"/>
    <w:rsid w:val="00474A1B"/>
    <w:rsid w:val="00474F25"/>
    <w:rsid w:val="00475223"/>
    <w:rsid w:val="0047541B"/>
    <w:rsid w:val="0047559D"/>
    <w:rsid w:val="00475CA8"/>
    <w:rsid w:val="00475DF8"/>
    <w:rsid w:val="0047600F"/>
    <w:rsid w:val="004766CD"/>
    <w:rsid w:val="00476C32"/>
    <w:rsid w:val="004773C8"/>
    <w:rsid w:val="004773EA"/>
    <w:rsid w:val="0047748C"/>
    <w:rsid w:val="00477A31"/>
    <w:rsid w:val="00477CD4"/>
    <w:rsid w:val="00477E2A"/>
    <w:rsid w:val="00477EB5"/>
    <w:rsid w:val="00480440"/>
    <w:rsid w:val="004807E2"/>
    <w:rsid w:val="00480912"/>
    <w:rsid w:val="00480AA3"/>
    <w:rsid w:val="00480D1E"/>
    <w:rsid w:val="00480D23"/>
    <w:rsid w:val="00480DBE"/>
    <w:rsid w:val="00480F95"/>
    <w:rsid w:val="00480FCC"/>
    <w:rsid w:val="00480FCF"/>
    <w:rsid w:val="00481ECF"/>
    <w:rsid w:val="00481EE2"/>
    <w:rsid w:val="00481F5D"/>
    <w:rsid w:val="00481F67"/>
    <w:rsid w:val="0048201D"/>
    <w:rsid w:val="00482231"/>
    <w:rsid w:val="0048234C"/>
    <w:rsid w:val="004823CA"/>
    <w:rsid w:val="00482F4C"/>
    <w:rsid w:val="00483382"/>
    <w:rsid w:val="00483491"/>
    <w:rsid w:val="00483505"/>
    <w:rsid w:val="00483ACA"/>
    <w:rsid w:val="00483B5C"/>
    <w:rsid w:val="00483CC7"/>
    <w:rsid w:val="00483DDF"/>
    <w:rsid w:val="00484240"/>
    <w:rsid w:val="0048457D"/>
    <w:rsid w:val="004847F3"/>
    <w:rsid w:val="004855B8"/>
    <w:rsid w:val="004858CD"/>
    <w:rsid w:val="00485C49"/>
    <w:rsid w:val="00485F39"/>
    <w:rsid w:val="004861CD"/>
    <w:rsid w:val="00486688"/>
    <w:rsid w:val="004867E5"/>
    <w:rsid w:val="00486A00"/>
    <w:rsid w:val="00486B2C"/>
    <w:rsid w:val="004872C0"/>
    <w:rsid w:val="00487788"/>
    <w:rsid w:val="00490147"/>
    <w:rsid w:val="004902E6"/>
    <w:rsid w:val="0049049E"/>
    <w:rsid w:val="004906EC"/>
    <w:rsid w:val="00490996"/>
    <w:rsid w:val="00491061"/>
    <w:rsid w:val="004910DB"/>
    <w:rsid w:val="004912D1"/>
    <w:rsid w:val="00491EFC"/>
    <w:rsid w:val="0049229C"/>
    <w:rsid w:val="004924DC"/>
    <w:rsid w:val="00492534"/>
    <w:rsid w:val="00492793"/>
    <w:rsid w:val="00492D87"/>
    <w:rsid w:val="00492FAF"/>
    <w:rsid w:val="004930E6"/>
    <w:rsid w:val="00493378"/>
    <w:rsid w:val="004934A4"/>
    <w:rsid w:val="004937C3"/>
    <w:rsid w:val="004937D7"/>
    <w:rsid w:val="00493BA8"/>
    <w:rsid w:val="00493F21"/>
    <w:rsid w:val="004940C3"/>
    <w:rsid w:val="00494166"/>
    <w:rsid w:val="0049449C"/>
    <w:rsid w:val="00494613"/>
    <w:rsid w:val="004947EC"/>
    <w:rsid w:val="00494985"/>
    <w:rsid w:val="004949AD"/>
    <w:rsid w:val="004949B5"/>
    <w:rsid w:val="00494A02"/>
    <w:rsid w:val="00494DE6"/>
    <w:rsid w:val="004952DC"/>
    <w:rsid w:val="004958E7"/>
    <w:rsid w:val="00495E65"/>
    <w:rsid w:val="00495F53"/>
    <w:rsid w:val="004963C1"/>
    <w:rsid w:val="004966BF"/>
    <w:rsid w:val="00496791"/>
    <w:rsid w:val="0049688B"/>
    <w:rsid w:val="004969BE"/>
    <w:rsid w:val="00496DAD"/>
    <w:rsid w:val="00496E48"/>
    <w:rsid w:val="0049765D"/>
    <w:rsid w:val="00497661"/>
    <w:rsid w:val="00497B08"/>
    <w:rsid w:val="004A01AF"/>
    <w:rsid w:val="004A01F3"/>
    <w:rsid w:val="004A0332"/>
    <w:rsid w:val="004A0C9A"/>
    <w:rsid w:val="004A0D08"/>
    <w:rsid w:val="004A1326"/>
    <w:rsid w:val="004A133F"/>
    <w:rsid w:val="004A1398"/>
    <w:rsid w:val="004A172E"/>
    <w:rsid w:val="004A17C9"/>
    <w:rsid w:val="004A1990"/>
    <w:rsid w:val="004A1A1B"/>
    <w:rsid w:val="004A1B66"/>
    <w:rsid w:val="004A1BAD"/>
    <w:rsid w:val="004A1D6E"/>
    <w:rsid w:val="004A1DF1"/>
    <w:rsid w:val="004A1E7B"/>
    <w:rsid w:val="004A219B"/>
    <w:rsid w:val="004A24A7"/>
    <w:rsid w:val="004A25A3"/>
    <w:rsid w:val="004A3248"/>
    <w:rsid w:val="004A3A79"/>
    <w:rsid w:val="004A3AEC"/>
    <w:rsid w:val="004A3B55"/>
    <w:rsid w:val="004A4498"/>
    <w:rsid w:val="004A4558"/>
    <w:rsid w:val="004A46F4"/>
    <w:rsid w:val="004A4C8F"/>
    <w:rsid w:val="004A4F12"/>
    <w:rsid w:val="004A527F"/>
    <w:rsid w:val="004A549E"/>
    <w:rsid w:val="004A586B"/>
    <w:rsid w:val="004A5991"/>
    <w:rsid w:val="004A5A05"/>
    <w:rsid w:val="004A5A7F"/>
    <w:rsid w:val="004A5B4B"/>
    <w:rsid w:val="004A60E3"/>
    <w:rsid w:val="004A618C"/>
    <w:rsid w:val="004A62CF"/>
    <w:rsid w:val="004A62E5"/>
    <w:rsid w:val="004A68E2"/>
    <w:rsid w:val="004A6B24"/>
    <w:rsid w:val="004A6EC4"/>
    <w:rsid w:val="004A6FAE"/>
    <w:rsid w:val="004A7840"/>
    <w:rsid w:val="004A7AF2"/>
    <w:rsid w:val="004A7B8D"/>
    <w:rsid w:val="004A7D56"/>
    <w:rsid w:val="004B00D8"/>
    <w:rsid w:val="004B03B0"/>
    <w:rsid w:val="004B07A6"/>
    <w:rsid w:val="004B086B"/>
    <w:rsid w:val="004B0AD5"/>
    <w:rsid w:val="004B0BE1"/>
    <w:rsid w:val="004B0FF2"/>
    <w:rsid w:val="004B150E"/>
    <w:rsid w:val="004B1D4E"/>
    <w:rsid w:val="004B2041"/>
    <w:rsid w:val="004B23BE"/>
    <w:rsid w:val="004B24BD"/>
    <w:rsid w:val="004B2582"/>
    <w:rsid w:val="004B2619"/>
    <w:rsid w:val="004B3269"/>
    <w:rsid w:val="004B3A2B"/>
    <w:rsid w:val="004B3D0E"/>
    <w:rsid w:val="004B47E1"/>
    <w:rsid w:val="004B4F52"/>
    <w:rsid w:val="004B526D"/>
    <w:rsid w:val="004B52CA"/>
    <w:rsid w:val="004B554C"/>
    <w:rsid w:val="004B5E2A"/>
    <w:rsid w:val="004B605F"/>
    <w:rsid w:val="004B6146"/>
    <w:rsid w:val="004B64BC"/>
    <w:rsid w:val="004B71C2"/>
    <w:rsid w:val="004B73E8"/>
    <w:rsid w:val="004B7695"/>
    <w:rsid w:val="004B7C6D"/>
    <w:rsid w:val="004C05C0"/>
    <w:rsid w:val="004C0A1C"/>
    <w:rsid w:val="004C0C30"/>
    <w:rsid w:val="004C1254"/>
    <w:rsid w:val="004C1C40"/>
    <w:rsid w:val="004C2041"/>
    <w:rsid w:val="004C2555"/>
    <w:rsid w:val="004C2633"/>
    <w:rsid w:val="004C2C5D"/>
    <w:rsid w:val="004C2CCD"/>
    <w:rsid w:val="004C3255"/>
    <w:rsid w:val="004C326A"/>
    <w:rsid w:val="004C327E"/>
    <w:rsid w:val="004C3D38"/>
    <w:rsid w:val="004C475B"/>
    <w:rsid w:val="004C4885"/>
    <w:rsid w:val="004C48E9"/>
    <w:rsid w:val="004C5301"/>
    <w:rsid w:val="004C5403"/>
    <w:rsid w:val="004C550C"/>
    <w:rsid w:val="004C5916"/>
    <w:rsid w:val="004C5944"/>
    <w:rsid w:val="004C5FDE"/>
    <w:rsid w:val="004C60C2"/>
    <w:rsid w:val="004C6221"/>
    <w:rsid w:val="004C6471"/>
    <w:rsid w:val="004C6687"/>
    <w:rsid w:val="004C6900"/>
    <w:rsid w:val="004C69FF"/>
    <w:rsid w:val="004C6AA0"/>
    <w:rsid w:val="004C6F98"/>
    <w:rsid w:val="004C7232"/>
    <w:rsid w:val="004C7A22"/>
    <w:rsid w:val="004C7BD2"/>
    <w:rsid w:val="004C7C96"/>
    <w:rsid w:val="004C7CE3"/>
    <w:rsid w:val="004C7F9F"/>
    <w:rsid w:val="004D0728"/>
    <w:rsid w:val="004D08E8"/>
    <w:rsid w:val="004D0ACB"/>
    <w:rsid w:val="004D0B25"/>
    <w:rsid w:val="004D0B2A"/>
    <w:rsid w:val="004D0B3F"/>
    <w:rsid w:val="004D0EF0"/>
    <w:rsid w:val="004D171A"/>
    <w:rsid w:val="004D174A"/>
    <w:rsid w:val="004D1953"/>
    <w:rsid w:val="004D1BC6"/>
    <w:rsid w:val="004D1C18"/>
    <w:rsid w:val="004D1C5D"/>
    <w:rsid w:val="004D1FBC"/>
    <w:rsid w:val="004D2016"/>
    <w:rsid w:val="004D2D1E"/>
    <w:rsid w:val="004D368C"/>
    <w:rsid w:val="004D36D1"/>
    <w:rsid w:val="004D37AC"/>
    <w:rsid w:val="004D3893"/>
    <w:rsid w:val="004D3C50"/>
    <w:rsid w:val="004D3D6F"/>
    <w:rsid w:val="004D418C"/>
    <w:rsid w:val="004D4759"/>
    <w:rsid w:val="004D4777"/>
    <w:rsid w:val="004D4C0C"/>
    <w:rsid w:val="004D593A"/>
    <w:rsid w:val="004D5E88"/>
    <w:rsid w:val="004D6014"/>
    <w:rsid w:val="004D6022"/>
    <w:rsid w:val="004D61B2"/>
    <w:rsid w:val="004D6369"/>
    <w:rsid w:val="004D63FD"/>
    <w:rsid w:val="004D65EE"/>
    <w:rsid w:val="004D68E9"/>
    <w:rsid w:val="004D69D8"/>
    <w:rsid w:val="004D703D"/>
    <w:rsid w:val="004D7465"/>
    <w:rsid w:val="004D7632"/>
    <w:rsid w:val="004D7AAF"/>
    <w:rsid w:val="004D7DD8"/>
    <w:rsid w:val="004D7FA6"/>
    <w:rsid w:val="004E063D"/>
    <w:rsid w:val="004E06B1"/>
    <w:rsid w:val="004E0912"/>
    <w:rsid w:val="004E0BA5"/>
    <w:rsid w:val="004E12B3"/>
    <w:rsid w:val="004E1377"/>
    <w:rsid w:val="004E19BF"/>
    <w:rsid w:val="004E1A05"/>
    <w:rsid w:val="004E1E3D"/>
    <w:rsid w:val="004E2195"/>
    <w:rsid w:val="004E2412"/>
    <w:rsid w:val="004E2507"/>
    <w:rsid w:val="004E26E0"/>
    <w:rsid w:val="004E26F5"/>
    <w:rsid w:val="004E2A5D"/>
    <w:rsid w:val="004E3BC2"/>
    <w:rsid w:val="004E3F0A"/>
    <w:rsid w:val="004E401A"/>
    <w:rsid w:val="004E40F0"/>
    <w:rsid w:val="004E4233"/>
    <w:rsid w:val="004E493D"/>
    <w:rsid w:val="004E4A91"/>
    <w:rsid w:val="004E4CF2"/>
    <w:rsid w:val="004E4D92"/>
    <w:rsid w:val="004E4F35"/>
    <w:rsid w:val="004E5163"/>
    <w:rsid w:val="004E5582"/>
    <w:rsid w:val="004E5603"/>
    <w:rsid w:val="004E5930"/>
    <w:rsid w:val="004E61D4"/>
    <w:rsid w:val="004E62EF"/>
    <w:rsid w:val="004E64E6"/>
    <w:rsid w:val="004E66B4"/>
    <w:rsid w:val="004E6DA1"/>
    <w:rsid w:val="004E71DB"/>
    <w:rsid w:val="004E7518"/>
    <w:rsid w:val="004E775C"/>
    <w:rsid w:val="004E7B8A"/>
    <w:rsid w:val="004E7C49"/>
    <w:rsid w:val="004E7DB6"/>
    <w:rsid w:val="004E7EDF"/>
    <w:rsid w:val="004F04B8"/>
    <w:rsid w:val="004F057F"/>
    <w:rsid w:val="004F0A26"/>
    <w:rsid w:val="004F0F6B"/>
    <w:rsid w:val="004F0FAD"/>
    <w:rsid w:val="004F132B"/>
    <w:rsid w:val="004F1491"/>
    <w:rsid w:val="004F181F"/>
    <w:rsid w:val="004F1961"/>
    <w:rsid w:val="004F1973"/>
    <w:rsid w:val="004F1C47"/>
    <w:rsid w:val="004F1DD2"/>
    <w:rsid w:val="004F2157"/>
    <w:rsid w:val="004F2288"/>
    <w:rsid w:val="004F26D0"/>
    <w:rsid w:val="004F2958"/>
    <w:rsid w:val="004F2AF2"/>
    <w:rsid w:val="004F2AF7"/>
    <w:rsid w:val="004F2B35"/>
    <w:rsid w:val="004F38F0"/>
    <w:rsid w:val="004F3B93"/>
    <w:rsid w:val="004F3FD1"/>
    <w:rsid w:val="004F41E0"/>
    <w:rsid w:val="004F4279"/>
    <w:rsid w:val="004F4391"/>
    <w:rsid w:val="004F523B"/>
    <w:rsid w:val="004F56A7"/>
    <w:rsid w:val="004F56DD"/>
    <w:rsid w:val="004F5754"/>
    <w:rsid w:val="004F5919"/>
    <w:rsid w:val="004F5A38"/>
    <w:rsid w:val="004F5C08"/>
    <w:rsid w:val="004F636B"/>
    <w:rsid w:val="004F638B"/>
    <w:rsid w:val="004F645C"/>
    <w:rsid w:val="004F665D"/>
    <w:rsid w:val="004F6849"/>
    <w:rsid w:val="004F6CA1"/>
    <w:rsid w:val="004F7073"/>
    <w:rsid w:val="004F77CA"/>
    <w:rsid w:val="00500530"/>
    <w:rsid w:val="005008AB"/>
    <w:rsid w:val="00500A9E"/>
    <w:rsid w:val="00500C12"/>
    <w:rsid w:val="005012C7"/>
    <w:rsid w:val="005014FB"/>
    <w:rsid w:val="005016B1"/>
    <w:rsid w:val="00501B20"/>
    <w:rsid w:val="00501C7A"/>
    <w:rsid w:val="005028EF"/>
    <w:rsid w:val="00502B4D"/>
    <w:rsid w:val="00502C49"/>
    <w:rsid w:val="00502F7D"/>
    <w:rsid w:val="00503279"/>
    <w:rsid w:val="005033F5"/>
    <w:rsid w:val="005034AF"/>
    <w:rsid w:val="00503654"/>
    <w:rsid w:val="00503E9C"/>
    <w:rsid w:val="005044DB"/>
    <w:rsid w:val="00504661"/>
    <w:rsid w:val="00504D0E"/>
    <w:rsid w:val="00505030"/>
    <w:rsid w:val="00505070"/>
    <w:rsid w:val="0050544C"/>
    <w:rsid w:val="00506769"/>
    <w:rsid w:val="005070EA"/>
    <w:rsid w:val="00507276"/>
    <w:rsid w:val="005072AC"/>
    <w:rsid w:val="005074F7"/>
    <w:rsid w:val="00507579"/>
    <w:rsid w:val="00507CA2"/>
    <w:rsid w:val="005105CA"/>
    <w:rsid w:val="00510648"/>
    <w:rsid w:val="00510C5F"/>
    <w:rsid w:val="00510E54"/>
    <w:rsid w:val="00512539"/>
    <w:rsid w:val="0051292A"/>
    <w:rsid w:val="00512AE0"/>
    <w:rsid w:val="00512B15"/>
    <w:rsid w:val="005131E8"/>
    <w:rsid w:val="005135F5"/>
    <w:rsid w:val="0051377F"/>
    <w:rsid w:val="005137C9"/>
    <w:rsid w:val="00513828"/>
    <w:rsid w:val="005145F6"/>
    <w:rsid w:val="005147A2"/>
    <w:rsid w:val="00514A33"/>
    <w:rsid w:val="00514E2A"/>
    <w:rsid w:val="00515005"/>
    <w:rsid w:val="00515208"/>
    <w:rsid w:val="0051578D"/>
    <w:rsid w:val="0051588E"/>
    <w:rsid w:val="00515A3D"/>
    <w:rsid w:val="00515B59"/>
    <w:rsid w:val="00515B99"/>
    <w:rsid w:val="00516380"/>
    <w:rsid w:val="005164F3"/>
    <w:rsid w:val="005169DA"/>
    <w:rsid w:val="00516F4C"/>
    <w:rsid w:val="00516F93"/>
    <w:rsid w:val="0051727D"/>
    <w:rsid w:val="005172D2"/>
    <w:rsid w:val="005175EE"/>
    <w:rsid w:val="005177D2"/>
    <w:rsid w:val="00517C4C"/>
    <w:rsid w:val="005202BC"/>
    <w:rsid w:val="00520430"/>
    <w:rsid w:val="00520877"/>
    <w:rsid w:val="00520A2A"/>
    <w:rsid w:val="00520C9F"/>
    <w:rsid w:val="0052101F"/>
    <w:rsid w:val="00521521"/>
    <w:rsid w:val="00522842"/>
    <w:rsid w:val="00522856"/>
    <w:rsid w:val="0052291A"/>
    <w:rsid w:val="00523509"/>
    <w:rsid w:val="005236E6"/>
    <w:rsid w:val="00523DC3"/>
    <w:rsid w:val="00523DF6"/>
    <w:rsid w:val="00523EBA"/>
    <w:rsid w:val="005240D8"/>
    <w:rsid w:val="00524135"/>
    <w:rsid w:val="00524A51"/>
    <w:rsid w:val="00524C02"/>
    <w:rsid w:val="005254AD"/>
    <w:rsid w:val="00525526"/>
    <w:rsid w:val="00525B9E"/>
    <w:rsid w:val="005260B2"/>
    <w:rsid w:val="0052631D"/>
    <w:rsid w:val="005268B5"/>
    <w:rsid w:val="00526BF8"/>
    <w:rsid w:val="00526E5F"/>
    <w:rsid w:val="00526F32"/>
    <w:rsid w:val="00527394"/>
    <w:rsid w:val="005276D6"/>
    <w:rsid w:val="00527837"/>
    <w:rsid w:val="00527B44"/>
    <w:rsid w:val="00527B5A"/>
    <w:rsid w:val="00527C03"/>
    <w:rsid w:val="00527D3F"/>
    <w:rsid w:val="00527F2A"/>
    <w:rsid w:val="005300A1"/>
    <w:rsid w:val="0053051D"/>
    <w:rsid w:val="00530631"/>
    <w:rsid w:val="0053065C"/>
    <w:rsid w:val="00530735"/>
    <w:rsid w:val="005309B6"/>
    <w:rsid w:val="005309F2"/>
    <w:rsid w:val="00530B17"/>
    <w:rsid w:val="00530CC6"/>
    <w:rsid w:val="00530F21"/>
    <w:rsid w:val="00530FA1"/>
    <w:rsid w:val="005311DF"/>
    <w:rsid w:val="00531C6C"/>
    <w:rsid w:val="00531CAA"/>
    <w:rsid w:val="00531E54"/>
    <w:rsid w:val="00532179"/>
    <w:rsid w:val="00532695"/>
    <w:rsid w:val="0053277E"/>
    <w:rsid w:val="005327DE"/>
    <w:rsid w:val="00532C6B"/>
    <w:rsid w:val="00532E5A"/>
    <w:rsid w:val="00532E9C"/>
    <w:rsid w:val="00533003"/>
    <w:rsid w:val="0053315E"/>
    <w:rsid w:val="00533330"/>
    <w:rsid w:val="00533375"/>
    <w:rsid w:val="00533435"/>
    <w:rsid w:val="00533502"/>
    <w:rsid w:val="00533770"/>
    <w:rsid w:val="00533FB6"/>
    <w:rsid w:val="00534EBA"/>
    <w:rsid w:val="00535205"/>
    <w:rsid w:val="005359E9"/>
    <w:rsid w:val="00535A84"/>
    <w:rsid w:val="00535DDE"/>
    <w:rsid w:val="00536109"/>
    <w:rsid w:val="005362D2"/>
    <w:rsid w:val="0053643E"/>
    <w:rsid w:val="0053651F"/>
    <w:rsid w:val="00536674"/>
    <w:rsid w:val="0053680F"/>
    <w:rsid w:val="0053684A"/>
    <w:rsid w:val="0053780D"/>
    <w:rsid w:val="00537834"/>
    <w:rsid w:val="00537A9E"/>
    <w:rsid w:val="00537D4E"/>
    <w:rsid w:val="00537FC8"/>
    <w:rsid w:val="00540414"/>
    <w:rsid w:val="005406B2"/>
    <w:rsid w:val="00540837"/>
    <w:rsid w:val="00540A1C"/>
    <w:rsid w:val="00540BCA"/>
    <w:rsid w:val="00540EA6"/>
    <w:rsid w:val="00541216"/>
    <w:rsid w:val="0054173D"/>
    <w:rsid w:val="005418AB"/>
    <w:rsid w:val="00541997"/>
    <w:rsid w:val="0054231E"/>
    <w:rsid w:val="00542392"/>
    <w:rsid w:val="0054248F"/>
    <w:rsid w:val="00542C4C"/>
    <w:rsid w:val="00543076"/>
    <w:rsid w:val="00543289"/>
    <w:rsid w:val="0054359D"/>
    <w:rsid w:val="00543B2C"/>
    <w:rsid w:val="00543C7F"/>
    <w:rsid w:val="00544701"/>
    <w:rsid w:val="00544AC1"/>
    <w:rsid w:val="00544B7B"/>
    <w:rsid w:val="0054533F"/>
    <w:rsid w:val="00545368"/>
    <w:rsid w:val="005453CE"/>
    <w:rsid w:val="00545675"/>
    <w:rsid w:val="00545B45"/>
    <w:rsid w:val="00545B9C"/>
    <w:rsid w:val="00545C38"/>
    <w:rsid w:val="00545E3B"/>
    <w:rsid w:val="005465D6"/>
    <w:rsid w:val="00546ED8"/>
    <w:rsid w:val="005479F6"/>
    <w:rsid w:val="00547BC0"/>
    <w:rsid w:val="00547F33"/>
    <w:rsid w:val="0055009E"/>
    <w:rsid w:val="005502D3"/>
    <w:rsid w:val="00550777"/>
    <w:rsid w:val="005512AC"/>
    <w:rsid w:val="005514AA"/>
    <w:rsid w:val="00551535"/>
    <w:rsid w:val="00551707"/>
    <w:rsid w:val="00551F24"/>
    <w:rsid w:val="00551F50"/>
    <w:rsid w:val="0055244F"/>
    <w:rsid w:val="0055282D"/>
    <w:rsid w:val="00553172"/>
    <w:rsid w:val="0055355F"/>
    <w:rsid w:val="00553967"/>
    <w:rsid w:val="00553E2A"/>
    <w:rsid w:val="0055412D"/>
    <w:rsid w:val="00554603"/>
    <w:rsid w:val="0055476E"/>
    <w:rsid w:val="00554926"/>
    <w:rsid w:val="00554D96"/>
    <w:rsid w:val="00554F13"/>
    <w:rsid w:val="0055528E"/>
    <w:rsid w:val="005560C0"/>
    <w:rsid w:val="005560C1"/>
    <w:rsid w:val="005564DC"/>
    <w:rsid w:val="005569BB"/>
    <w:rsid w:val="00556A8F"/>
    <w:rsid w:val="00556FE6"/>
    <w:rsid w:val="00557520"/>
    <w:rsid w:val="00557C14"/>
    <w:rsid w:val="00557FB1"/>
    <w:rsid w:val="0056008C"/>
    <w:rsid w:val="0056062D"/>
    <w:rsid w:val="00560FEC"/>
    <w:rsid w:val="005610F8"/>
    <w:rsid w:val="005611DB"/>
    <w:rsid w:val="005619DC"/>
    <w:rsid w:val="00561B7C"/>
    <w:rsid w:val="00561D18"/>
    <w:rsid w:val="00561FD9"/>
    <w:rsid w:val="00562102"/>
    <w:rsid w:val="005621ED"/>
    <w:rsid w:val="005622F0"/>
    <w:rsid w:val="00562A10"/>
    <w:rsid w:val="005632B3"/>
    <w:rsid w:val="005633B0"/>
    <w:rsid w:val="00563DD2"/>
    <w:rsid w:val="005640DA"/>
    <w:rsid w:val="00564461"/>
    <w:rsid w:val="00564688"/>
    <w:rsid w:val="00564B5F"/>
    <w:rsid w:val="0056554C"/>
    <w:rsid w:val="00565B76"/>
    <w:rsid w:val="00565E8F"/>
    <w:rsid w:val="005660D5"/>
    <w:rsid w:val="0056661A"/>
    <w:rsid w:val="005666E9"/>
    <w:rsid w:val="00566711"/>
    <w:rsid w:val="0056738B"/>
    <w:rsid w:val="00567697"/>
    <w:rsid w:val="00567740"/>
    <w:rsid w:val="0056780D"/>
    <w:rsid w:val="00570001"/>
    <w:rsid w:val="00570043"/>
    <w:rsid w:val="005702FA"/>
    <w:rsid w:val="005707E1"/>
    <w:rsid w:val="00570C2C"/>
    <w:rsid w:val="00571188"/>
    <w:rsid w:val="005711D3"/>
    <w:rsid w:val="005714DA"/>
    <w:rsid w:val="005717AD"/>
    <w:rsid w:val="0057186F"/>
    <w:rsid w:val="00571A6F"/>
    <w:rsid w:val="00571BC8"/>
    <w:rsid w:val="00571E69"/>
    <w:rsid w:val="0057267A"/>
    <w:rsid w:val="00572750"/>
    <w:rsid w:val="005727A0"/>
    <w:rsid w:val="00572BF5"/>
    <w:rsid w:val="00572D2F"/>
    <w:rsid w:val="00573109"/>
    <w:rsid w:val="00573407"/>
    <w:rsid w:val="0057343A"/>
    <w:rsid w:val="00573767"/>
    <w:rsid w:val="00573869"/>
    <w:rsid w:val="005741DC"/>
    <w:rsid w:val="005741FF"/>
    <w:rsid w:val="0057476E"/>
    <w:rsid w:val="005748BA"/>
    <w:rsid w:val="0057498D"/>
    <w:rsid w:val="00574C6C"/>
    <w:rsid w:val="00575395"/>
    <w:rsid w:val="005757D2"/>
    <w:rsid w:val="00575BC0"/>
    <w:rsid w:val="005765C4"/>
    <w:rsid w:val="0057665E"/>
    <w:rsid w:val="005771A1"/>
    <w:rsid w:val="005772E0"/>
    <w:rsid w:val="005776CA"/>
    <w:rsid w:val="00577CD4"/>
    <w:rsid w:val="00577D4B"/>
    <w:rsid w:val="00580061"/>
    <w:rsid w:val="005805BF"/>
    <w:rsid w:val="0058066C"/>
    <w:rsid w:val="005806C9"/>
    <w:rsid w:val="00580A08"/>
    <w:rsid w:val="00580B6B"/>
    <w:rsid w:val="00580C4A"/>
    <w:rsid w:val="00581208"/>
    <w:rsid w:val="0058158C"/>
    <w:rsid w:val="00581AFB"/>
    <w:rsid w:val="00581F58"/>
    <w:rsid w:val="0058241D"/>
    <w:rsid w:val="00582563"/>
    <w:rsid w:val="00582EA4"/>
    <w:rsid w:val="005833A9"/>
    <w:rsid w:val="00583CE7"/>
    <w:rsid w:val="00583EC6"/>
    <w:rsid w:val="00583F39"/>
    <w:rsid w:val="005840CF"/>
    <w:rsid w:val="00584503"/>
    <w:rsid w:val="005847A8"/>
    <w:rsid w:val="00584B49"/>
    <w:rsid w:val="00584D41"/>
    <w:rsid w:val="00584D8D"/>
    <w:rsid w:val="00584E37"/>
    <w:rsid w:val="00584F1B"/>
    <w:rsid w:val="00584FE4"/>
    <w:rsid w:val="0058538D"/>
    <w:rsid w:val="0058566C"/>
    <w:rsid w:val="00585BF4"/>
    <w:rsid w:val="00585C64"/>
    <w:rsid w:val="00585C9B"/>
    <w:rsid w:val="00585CAC"/>
    <w:rsid w:val="00585CBC"/>
    <w:rsid w:val="0058608D"/>
    <w:rsid w:val="00586A7D"/>
    <w:rsid w:val="0058709A"/>
    <w:rsid w:val="005874DF"/>
    <w:rsid w:val="005876DE"/>
    <w:rsid w:val="005879C0"/>
    <w:rsid w:val="00587B0C"/>
    <w:rsid w:val="005904EC"/>
    <w:rsid w:val="0059053D"/>
    <w:rsid w:val="005907B2"/>
    <w:rsid w:val="005908C0"/>
    <w:rsid w:val="00590B12"/>
    <w:rsid w:val="00590B65"/>
    <w:rsid w:val="00590BF9"/>
    <w:rsid w:val="00591096"/>
    <w:rsid w:val="0059116B"/>
    <w:rsid w:val="005913AD"/>
    <w:rsid w:val="00591542"/>
    <w:rsid w:val="0059163F"/>
    <w:rsid w:val="00591909"/>
    <w:rsid w:val="00591941"/>
    <w:rsid w:val="00592384"/>
    <w:rsid w:val="005925A0"/>
    <w:rsid w:val="00592812"/>
    <w:rsid w:val="00592819"/>
    <w:rsid w:val="005930B3"/>
    <w:rsid w:val="00593701"/>
    <w:rsid w:val="00593909"/>
    <w:rsid w:val="00593C1D"/>
    <w:rsid w:val="00593E29"/>
    <w:rsid w:val="00593F84"/>
    <w:rsid w:val="00594883"/>
    <w:rsid w:val="00594948"/>
    <w:rsid w:val="00594EB5"/>
    <w:rsid w:val="0059513C"/>
    <w:rsid w:val="0059562A"/>
    <w:rsid w:val="005957A3"/>
    <w:rsid w:val="00595A58"/>
    <w:rsid w:val="00595C3D"/>
    <w:rsid w:val="00595F6D"/>
    <w:rsid w:val="00596851"/>
    <w:rsid w:val="00596B20"/>
    <w:rsid w:val="00596B33"/>
    <w:rsid w:val="0059719F"/>
    <w:rsid w:val="00597B67"/>
    <w:rsid w:val="00597EED"/>
    <w:rsid w:val="005A0331"/>
    <w:rsid w:val="005A035D"/>
    <w:rsid w:val="005A0440"/>
    <w:rsid w:val="005A04EC"/>
    <w:rsid w:val="005A0DD3"/>
    <w:rsid w:val="005A10C9"/>
    <w:rsid w:val="005A11F9"/>
    <w:rsid w:val="005A1330"/>
    <w:rsid w:val="005A13FF"/>
    <w:rsid w:val="005A1491"/>
    <w:rsid w:val="005A1569"/>
    <w:rsid w:val="005A164A"/>
    <w:rsid w:val="005A1B16"/>
    <w:rsid w:val="005A1F16"/>
    <w:rsid w:val="005A2145"/>
    <w:rsid w:val="005A24EE"/>
    <w:rsid w:val="005A2F74"/>
    <w:rsid w:val="005A3084"/>
    <w:rsid w:val="005A33B1"/>
    <w:rsid w:val="005A4A62"/>
    <w:rsid w:val="005A4D5C"/>
    <w:rsid w:val="005A4F1C"/>
    <w:rsid w:val="005A52F7"/>
    <w:rsid w:val="005A52FD"/>
    <w:rsid w:val="005A53F6"/>
    <w:rsid w:val="005A5493"/>
    <w:rsid w:val="005A5570"/>
    <w:rsid w:val="005A590E"/>
    <w:rsid w:val="005A5A0A"/>
    <w:rsid w:val="005A5E2A"/>
    <w:rsid w:val="005A5F80"/>
    <w:rsid w:val="005A6570"/>
    <w:rsid w:val="005A65A2"/>
    <w:rsid w:val="005A6612"/>
    <w:rsid w:val="005A6645"/>
    <w:rsid w:val="005A6BA1"/>
    <w:rsid w:val="005A6E08"/>
    <w:rsid w:val="005A712B"/>
    <w:rsid w:val="005A7790"/>
    <w:rsid w:val="005A77DF"/>
    <w:rsid w:val="005A791F"/>
    <w:rsid w:val="005A7D56"/>
    <w:rsid w:val="005A7D94"/>
    <w:rsid w:val="005A7F4A"/>
    <w:rsid w:val="005B01D4"/>
    <w:rsid w:val="005B0407"/>
    <w:rsid w:val="005B0503"/>
    <w:rsid w:val="005B05AB"/>
    <w:rsid w:val="005B0E05"/>
    <w:rsid w:val="005B14DE"/>
    <w:rsid w:val="005B17B6"/>
    <w:rsid w:val="005B1D7E"/>
    <w:rsid w:val="005B2344"/>
    <w:rsid w:val="005B2953"/>
    <w:rsid w:val="005B301B"/>
    <w:rsid w:val="005B31B1"/>
    <w:rsid w:val="005B389C"/>
    <w:rsid w:val="005B395B"/>
    <w:rsid w:val="005B39FD"/>
    <w:rsid w:val="005B3C94"/>
    <w:rsid w:val="005B3D7C"/>
    <w:rsid w:val="005B45B4"/>
    <w:rsid w:val="005B47FA"/>
    <w:rsid w:val="005B5283"/>
    <w:rsid w:val="005B5319"/>
    <w:rsid w:val="005B5458"/>
    <w:rsid w:val="005B579B"/>
    <w:rsid w:val="005B5A92"/>
    <w:rsid w:val="005B5C35"/>
    <w:rsid w:val="005B624E"/>
    <w:rsid w:val="005B63C5"/>
    <w:rsid w:val="005B6494"/>
    <w:rsid w:val="005B668E"/>
    <w:rsid w:val="005B690B"/>
    <w:rsid w:val="005B6B16"/>
    <w:rsid w:val="005B7445"/>
    <w:rsid w:val="005B7552"/>
    <w:rsid w:val="005B75F0"/>
    <w:rsid w:val="005B77F7"/>
    <w:rsid w:val="005B7BE3"/>
    <w:rsid w:val="005B7C3A"/>
    <w:rsid w:val="005B7DE3"/>
    <w:rsid w:val="005C0198"/>
    <w:rsid w:val="005C036E"/>
    <w:rsid w:val="005C0425"/>
    <w:rsid w:val="005C0427"/>
    <w:rsid w:val="005C0ED4"/>
    <w:rsid w:val="005C1146"/>
    <w:rsid w:val="005C11D1"/>
    <w:rsid w:val="005C12C5"/>
    <w:rsid w:val="005C13CA"/>
    <w:rsid w:val="005C1975"/>
    <w:rsid w:val="005C20A7"/>
    <w:rsid w:val="005C20F1"/>
    <w:rsid w:val="005C30B5"/>
    <w:rsid w:val="005C38EF"/>
    <w:rsid w:val="005C3BB2"/>
    <w:rsid w:val="005C3C7A"/>
    <w:rsid w:val="005C3CC8"/>
    <w:rsid w:val="005C4022"/>
    <w:rsid w:val="005C413E"/>
    <w:rsid w:val="005C436B"/>
    <w:rsid w:val="005C4C87"/>
    <w:rsid w:val="005C4FA7"/>
    <w:rsid w:val="005C516E"/>
    <w:rsid w:val="005C5607"/>
    <w:rsid w:val="005C5967"/>
    <w:rsid w:val="005C5997"/>
    <w:rsid w:val="005C5A6F"/>
    <w:rsid w:val="005C5C72"/>
    <w:rsid w:val="005C5DEE"/>
    <w:rsid w:val="005C5EDB"/>
    <w:rsid w:val="005C61DE"/>
    <w:rsid w:val="005C6404"/>
    <w:rsid w:val="005C70A8"/>
    <w:rsid w:val="005C7166"/>
    <w:rsid w:val="005C7185"/>
    <w:rsid w:val="005C7192"/>
    <w:rsid w:val="005C7400"/>
    <w:rsid w:val="005C762E"/>
    <w:rsid w:val="005D006C"/>
    <w:rsid w:val="005D04E8"/>
    <w:rsid w:val="005D0546"/>
    <w:rsid w:val="005D0C54"/>
    <w:rsid w:val="005D0D6C"/>
    <w:rsid w:val="005D105B"/>
    <w:rsid w:val="005D138A"/>
    <w:rsid w:val="005D16EF"/>
    <w:rsid w:val="005D17C9"/>
    <w:rsid w:val="005D1CD7"/>
    <w:rsid w:val="005D1D33"/>
    <w:rsid w:val="005D1D89"/>
    <w:rsid w:val="005D1E83"/>
    <w:rsid w:val="005D1F27"/>
    <w:rsid w:val="005D217B"/>
    <w:rsid w:val="005D251F"/>
    <w:rsid w:val="005D256F"/>
    <w:rsid w:val="005D25C3"/>
    <w:rsid w:val="005D261E"/>
    <w:rsid w:val="005D2644"/>
    <w:rsid w:val="005D2675"/>
    <w:rsid w:val="005D2854"/>
    <w:rsid w:val="005D3091"/>
    <w:rsid w:val="005D3558"/>
    <w:rsid w:val="005D38E5"/>
    <w:rsid w:val="005D3A34"/>
    <w:rsid w:val="005D3E9F"/>
    <w:rsid w:val="005D44CD"/>
    <w:rsid w:val="005D4B2B"/>
    <w:rsid w:val="005D4D79"/>
    <w:rsid w:val="005D4D9B"/>
    <w:rsid w:val="005D56B6"/>
    <w:rsid w:val="005D5701"/>
    <w:rsid w:val="005D59AF"/>
    <w:rsid w:val="005D5FB7"/>
    <w:rsid w:val="005D62CD"/>
    <w:rsid w:val="005D6489"/>
    <w:rsid w:val="005D6651"/>
    <w:rsid w:val="005D6A89"/>
    <w:rsid w:val="005D6DCA"/>
    <w:rsid w:val="005D74DA"/>
    <w:rsid w:val="005D75CA"/>
    <w:rsid w:val="005D77AE"/>
    <w:rsid w:val="005E01FA"/>
    <w:rsid w:val="005E0B02"/>
    <w:rsid w:val="005E0BD9"/>
    <w:rsid w:val="005E0CEE"/>
    <w:rsid w:val="005E0D39"/>
    <w:rsid w:val="005E0FC3"/>
    <w:rsid w:val="005E10BF"/>
    <w:rsid w:val="005E1788"/>
    <w:rsid w:val="005E1965"/>
    <w:rsid w:val="005E1969"/>
    <w:rsid w:val="005E1CA6"/>
    <w:rsid w:val="005E25A1"/>
    <w:rsid w:val="005E2ABF"/>
    <w:rsid w:val="005E2BDA"/>
    <w:rsid w:val="005E2DCB"/>
    <w:rsid w:val="005E2DD8"/>
    <w:rsid w:val="005E3313"/>
    <w:rsid w:val="005E33D6"/>
    <w:rsid w:val="005E39B7"/>
    <w:rsid w:val="005E3A5A"/>
    <w:rsid w:val="005E3CB8"/>
    <w:rsid w:val="005E3E10"/>
    <w:rsid w:val="005E5969"/>
    <w:rsid w:val="005E5E3B"/>
    <w:rsid w:val="005E5E84"/>
    <w:rsid w:val="005E62EF"/>
    <w:rsid w:val="005E64AF"/>
    <w:rsid w:val="005E6857"/>
    <w:rsid w:val="005E68A5"/>
    <w:rsid w:val="005E6978"/>
    <w:rsid w:val="005E79A4"/>
    <w:rsid w:val="005E7B54"/>
    <w:rsid w:val="005E7C99"/>
    <w:rsid w:val="005E7E17"/>
    <w:rsid w:val="005E7F21"/>
    <w:rsid w:val="005F02A6"/>
    <w:rsid w:val="005F03DD"/>
    <w:rsid w:val="005F0536"/>
    <w:rsid w:val="005F0606"/>
    <w:rsid w:val="005F075D"/>
    <w:rsid w:val="005F14FA"/>
    <w:rsid w:val="005F1A14"/>
    <w:rsid w:val="005F1B39"/>
    <w:rsid w:val="005F1D22"/>
    <w:rsid w:val="005F1F79"/>
    <w:rsid w:val="005F1FD4"/>
    <w:rsid w:val="005F20D4"/>
    <w:rsid w:val="005F299D"/>
    <w:rsid w:val="005F2CAC"/>
    <w:rsid w:val="005F3200"/>
    <w:rsid w:val="005F3689"/>
    <w:rsid w:val="005F38F7"/>
    <w:rsid w:val="005F425E"/>
    <w:rsid w:val="005F4269"/>
    <w:rsid w:val="005F4374"/>
    <w:rsid w:val="005F4B5F"/>
    <w:rsid w:val="005F5706"/>
    <w:rsid w:val="005F57A5"/>
    <w:rsid w:val="005F589E"/>
    <w:rsid w:val="005F590F"/>
    <w:rsid w:val="005F5AAA"/>
    <w:rsid w:val="005F5D19"/>
    <w:rsid w:val="005F5F65"/>
    <w:rsid w:val="005F5FFC"/>
    <w:rsid w:val="005F6443"/>
    <w:rsid w:val="005F647F"/>
    <w:rsid w:val="005F6565"/>
    <w:rsid w:val="005F65F9"/>
    <w:rsid w:val="005F67C5"/>
    <w:rsid w:val="005F6ABA"/>
    <w:rsid w:val="005F6B49"/>
    <w:rsid w:val="005F7088"/>
    <w:rsid w:val="005F72C8"/>
    <w:rsid w:val="005F7904"/>
    <w:rsid w:val="005F7C21"/>
    <w:rsid w:val="00600114"/>
    <w:rsid w:val="00600427"/>
    <w:rsid w:val="00600C23"/>
    <w:rsid w:val="00600C4F"/>
    <w:rsid w:val="006012CA"/>
    <w:rsid w:val="0060137D"/>
    <w:rsid w:val="00601C10"/>
    <w:rsid w:val="0060231F"/>
    <w:rsid w:val="00602329"/>
    <w:rsid w:val="006026C7"/>
    <w:rsid w:val="006026E5"/>
    <w:rsid w:val="006027DF"/>
    <w:rsid w:val="00602A70"/>
    <w:rsid w:val="00602DBD"/>
    <w:rsid w:val="006031CA"/>
    <w:rsid w:val="006035F2"/>
    <w:rsid w:val="00603601"/>
    <w:rsid w:val="00603A79"/>
    <w:rsid w:val="00603B42"/>
    <w:rsid w:val="00603D84"/>
    <w:rsid w:val="00603ECD"/>
    <w:rsid w:val="00603F3C"/>
    <w:rsid w:val="00604245"/>
    <w:rsid w:val="00604454"/>
    <w:rsid w:val="0060497F"/>
    <w:rsid w:val="00604FE9"/>
    <w:rsid w:val="00605090"/>
    <w:rsid w:val="006051C9"/>
    <w:rsid w:val="006054FD"/>
    <w:rsid w:val="006056A1"/>
    <w:rsid w:val="006058E7"/>
    <w:rsid w:val="00605CB8"/>
    <w:rsid w:val="00605DC7"/>
    <w:rsid w:val="00606527"/>
    <w:rsid w:val="00606B70"/>
    <w:rsid w:val="00606DD9"/>
    <w:rsid w:val="00606FEE"/>
    <w:rsid w:val="006072FC"/>
    <w:rsid w:val="00607A84"/>
    <w:rsid w:val="00607AB7"/>
    <w:rsid w:val="00607AFA"/>
    <w:rsid w:val="00607AFB"/>
    <w:rsid w:val="00607C8A"/>
    <w:rsid w:val="00607D6A"/>
    <w:rsid w:val="0061033B"/>
    <w:rsid w:val="00610745"/>
    <w:rsid w:val="0061075E"/>
    <w:rsid w:val="0061085F"/>
    <w:rsid w:val="00610D3A"/>
    <w:rsid w:val="00610D55"/>
    <w:rsid w:val="00610F4A"/>
    <w:rsid w:val="00610F66"/>
    <w:rsid w:val="00611266"/>
    <w:rsid w:val="0061140D"/>
    <w:rsid w:val="006115EA"/>
    <w:rsid w:val="00611607"/>
    <w:rsid w:val="00611957"/>
    <w:rsid w:val="00612055"/>
    <w:rsid w:val="0061208E"/>
    <w:rsid w:val="00612115"/>
    <w:rsid w:val="0061212E"/>
    <w:rsid w:val="00612577"/>
    <w:rsid w:val="00612734"/>
    <w:rsid w:val="00612996"/>
    <w:rsid w:val="00612A7C"/>
    <w:rsid w:val="0061306D"/>
    <w:rsid w:val="006134E9"/>
    <w:rsid w:val="006137D1"/>
    <w:rsid w:val="00614039"/>
    <w:rsid w:val="006140E7"/>
    <w:rsid w:val="006140FC"/>
    <w:rsid w:val="0061453E"/>
    <w:rsid w:val="006149B3"/>
    <w:rsid w:val="00614BD0"/>
    <w:rsid w:val="00614C5A"/>
    <w:rsid w:val="00614DFB"/>
    <w:rsid w:val="00615767"/>
    <w:rsid w:val="006159E2"/>
    <w:rsid w:val="006168FB"/>
    <w:rsid w:val="00616C00"/>
    <w:rsid w:val="00617211"/>
    <w:rsid w:val="006172F8"/>
    <w:rsid w:val="006176E3"/>
    <w:rsid w:val="00617E53"/>
    <w:rsid w:val="00620264"/>
    <w:rsid w:val="0062037E"/>
    <w:rsid w:val="006205B9"/>
    <w:rsid w:val="0062075E"/>
    <w:rsid w:val="006207A2"/>
    <w:rsid w:val="00620D82"/>
    <w:rsid w:val="006212EC"/>
    <w:rsid w:val="0062132E"/>
    <w:rsid w:val="006218D5"/>
    <w:rsid w:val="00621A35"/>
    <w:rsid w:val="00621C54"/>
    <w:rsid w:val="00621CB8"/>
    <w:rsid w:val="00621CC9"/>
    <w:rsid w:val="00621F0D"/>
    <w:rsid w:val="00622090"/>
    <w:rsid w:val="006221C7"/>
    <w:rsid w:val="00622313"/>
    <w:rsid w:val="00622486"/>
    <w:rsid w:val="0062252A"/>
    <w:rsid w:val="006227A9"/>
    <w:rsid w:val="0062296F"/>
    <w:rsid w:val="00622BA1"/>
    <w:rsid w:val="00623572"/>
    <w:rsid w:val="0062358D"/>
    <w:rsid w:val="006241E4"/>
    <w:rsid w:val="006242D8"/>
    <w:rsid w:val="0062448C"/>
    <w:rsid w:val="00624B0F"/>
    <w:rsid w:val="00624BA2"/>
    <w:rsid w:val="00624C5C"/>
    <w:rsid w:val="00625318"/>
    <w:rsid w:val="00625FDD"/>
    <w:rsid w:val="00625FEB"/>
    <w:rsid w:val="00626700"/>
    <w:rsid w:val="00626749"/>
    <w:rsid w:val="00626912"/>
    <w:rsid w:val="00626F51"/>
    <w:rsid w:val="00627750"/>
    <w:rsid w:val="006279A5"/>
    <w:rsid w:val="00630C32"/>
    <w:rsid w:val="00631125"/>
    <w:rsid w:val="0063112C"/>
    <w:rsid w:val="00631362"/>
    <w:rsid w:val="00631435"/>
    <w:rsid w:val="0063197F"/>
    <w:rsid w:val="00632414"/>
    <w:rsid w:val="0063245C"/>
    <w:rsid w:val="006328C9"/>
    <w:rsid w:val="00632F80"/>
    <w:rsid w:val="00633113"/>
    <w:rsid w:val="00633174"/>
    <w:rsid w:val="00633314"/>
    <w:rsid w:val="006333C8"/>
    <w:rsid w:val="00633683"/>
    <w:rsid w:val="0063394E"/>
    <w:rsid w:val="00633A85"/>
    <w:rsid w:val="00633B07"/>
    <w:rsid w:val="00633F5A"/>
    <w:rsid w:val="006342BC"/>
    <w:rsid w:val="006342D9"/>
    <w:rsid w:val="006344F5"/>
    <w:rsid w:val="00634741"/>
    <w:rsid w:val="0063485B"/>
    <w:rsid w:val="00634BAF"/>
    <w:rsid w:val="0063581B"/>
    <w:rsid w:val="006359ED"/>
    <w:rsid w:val="00635A0A"/>
    <w:rsid w:val="00635A2E"/>
    <w:rsid w:val="00635AF1"/>
    <w:rsid w:val="00635B41"/>
    <w:rsid w:val="00635BF1"/>
    <w:rsid w:val="0063613B"/>
    <w:rsid w:val="0063641C"/>
    <w:rsid w:val="00636978"/>
    <w:rsid w:val="00636AF5"/>
    <w:rsid w:val="00636B74"/>
    <w:rsid w:val="00636E17"/>
    <w:rsid w:val="00636E7C"/>
    <w:rsid w:val="00636EF6"/>
    <w:rsid w:val="006370A6"/>
    <w:rsid w:val="0063739E"/>
    <w:rsid w:val="00637451"/>
    <w:rsid w:val="0063762F"/>
    <w:rsid w:val="0063788A"/>
    <w:rsid w:val="00637969"/>
    <w:rsid w:val="00640311"/>
    <w:rsid w:val="00640625"/>
    <w:rsid w:val="00640826"/>
    <w:rsid w:val="00640EBA"/>
    <w:rsid w:val="00641144"/>
    <w:rsid w:val="00641812"/>
    <w:rsid w:val="00641F1C"/>
    <w:rsid w:val="006420D9"/>
    <w:rsid w:val="00642305"/>
    <w:rsid w:val="0064273F"/>
    <w:rsid w:val="00642909"/>
    <w:rsid w:val="00642929"/>
    <w:rsid w:val="00642939"/>
    <w:rsid w:val="00642A1C"/>
    <w:rsid w:val="00642A60"/>
    <w:rsid w:val="00642B9B"/>
    <w:rsid w:val="00642C61"/>
    <w:rsid w:val="0064307E"/>
    <w:rsid w:val="00643283"/>
    <w:rsid w:val="00643766"/>
    <w:rsid w:val="006437DA"/>
    <w:rsid w:val="00643C10"/>
    <w:rsid w:val="00644342"/>
    <w:rsid w:val="00644496"/>
    <w:rsid w:val="00644FD3"/>
    <w:rsid w:val="006451DE"/>
    <w:rsid w:val="00646087"/>
    <w:rsid w:val="00646215"/>
    <w:rsid w:val="00646418"/>
    <w:rsid w:val="00646453"/>
    <w:rsid w:val="006466CC"/>
    <w:rsid w:val="00646791"/>
    <w:rsid w:val="006468E0"/>
    <w:rsid w:val="006468E1"/>
    <w:rsid w:val="00646AC2"/>
    <w:rsid w:val="00646B8E"/>
    <w:rsid w:val="00646BDC"/>
    <w:rsid w:val="00646BE4"/>
    <w:rsid w:val="006470A2"/>
    <w:rsid w:val="0064738D"/>
    <w:rsid w:val="0064750E"/>
    <w:rsid w:val="006479CF"/>
    <w:rsid w:val="00647EA8"/>
    <w:rsid w:val="00650585"/>
    <w:rsid w:val="006505DB"/>
    <w:rsid w:val="0065067B"/>
    <w:rsid w:val="00650FC9"/>
    <w:rsid w:val="00651078"/>
    <w:rsid w:val="00651D92"/>
    <w:rsid w:val="00651F46"/>
    <w:rsid w:val="0065217C"/>
    <w:rsid w:val="00652719"/>
    <w:rsid w:val="0065290D"/>
    <w:rsid w:val="00652AF5"/>
    <w:rsid w:val="0065320F"/>
    <w:rsid w:val="00653467"/>
    <w:rsid w:val="00653714"/>
    <w:rsid w:val="00653A57"/>
    <w:rsid w:val="006541EF"/>
    <w:rsid w:val="00654540"/>
    <w:rsid w:val="006546D1"/>
    <w:rsid w:val="006549BF"/>
    <w:rsid w:val="00654D06"/>
    <w:rsid w:val="00654D6A"/>
    <w:rsid w:val="00654FFF"/>
    <w:rsid w:val="00655315"/>
    <w:rsid w:val="006554F4"/>
    <w:rsid w:val="00655784"/>
    <w:rsid w:val="00655CA8"/>
    <w:rsid w:val="0065604E"/>
    <w:rsid w:val="00656144"/>
    <w:rsid w:val="006561C4"/>
    <w:rsid w:val="00656D61"/>
    <w:rsid w:val="00657D11"/>
    <w:rsid w:val="0066011F"/>
    <w:rsid w:val="00660338"/>
    <w:rsid w:val="0066046E"/>
    <w:rsid w:val="006605CA"/>
    <w:rsid w:val="00660690"/>
    <w:rsid w:val="0066080A"/>
    <w:rsid w:val="00660D6A"/>
    <w:rsid w:val="00660DB2"/>
    <w:rsid w:val="006611A2"/>
    <w:rsid w:val="006616A0"/>
    <w:rsid w:val="00663588"/>
    <w:rsid w:val="00663627"/>
    <w:rsid w:val="006639BE"/>
    <w:rsid w:val="00663EF9"/>
    <w:rsid w:val="00664665"/>
    <w:rsid w:val="00664C4F"/>
    <w:rsid w:val="00664D10"/>
    <w:rsid w:val="00664DC0"/>
    <w:rsid w:val="006654E2"/>
    <w:rsid w:val="0066593B"/>
    <w:rsid w:val="00665C0F"/>
    <w:rsid w:val="00666131"/>
    <w:rsid w:val="00666DC1"/>
    <w:rsid w:val="00667478"/>
    <w:rsid w:val="006676BD"/>
    <w:rsid w:val="006678CD"/>
    <w:rsid w:val="00667DB5"/>
    <w:rsid w:val="00667E89"/>
    <w:rsid w:val="0067035C"/>
    <w:rsid w:val="006704E5"/>
    <w:rsid w:val="006707F3"/>
    <w:rsid w:val="00670D2D"/>
    <w:rsid w:val="00670F50"/>
    <w:rsid w:val="006710DF"/>
    <w:rsid w:val="0067112A"/>
    <w:rsid w:val="0067137A"/>
    <w:rsid w:val="00671AC0"/>
    <w:rsid w:val="00671CDE"/>
    <w:rsid w:val="00671EC2"/>
    <w:rsid w:val="006721ED"/>
    <w:rsid w:val="0067246A"/>
    <w:rsid w:val="00672938"/>
    <w:rsid w:val="006729EC"/>
    <w:rsid w:val="00672C5A"/>
    <w:rsid w:val="00672D0B"/>
    <w:rsid w:val="00672E48"/>
    <w:rsid w:val="006731DD"/>
    <w:rsid w:val="006736A4"/>
    <w:rsid w:val="0067384E"/>
    <w:rsid w:val="006739DF"/>
    <w:rsid w:val="00673D82"/>
    <w:rsid w:val="00674376"/>
    <w:rsid w:val="0067447B"/>
    <w:rsid w:val="00674766"/>
    <w:rsid w:val="006747ED"/>
    <w:rsid w:val="00674C9B"/>
    <w:rsid w:val="00674D02"/>
    <w:rsid w:val="00674D79"/>
    <w:rsid w:val="00675230"/>
    <w:rsid w:val="006754A3"/>
    <w:rsid w:val="00675EB9"/>
    <w:rsid w:val="00675FD3"/>
    <w:rsid w:val="0067638A"/>
    <w:rsid w:val="006764DB"/>
    <w:rsid w:val="006765C4"/>
    <w:rsid w:val="006768A1"/>
    <w:rsid w:val="00676AE1"/>
    <w:rsid w:val="006771A0"/>
    <w:rsid w:val="00677253"/>
    <w:rsid w:val="00677279"/>
    <w:rsid w:val="00677A14"/>
    <w:rsid w:val="00677EAE"/>
    <w:rsid w:val="00680427"/>
    <w:rsid w:val="00680856"/>
    <w:rsid w:val="00680E37"/>
    <w:rsid w:val="0068101F"/>
    <w:rsid w:val="006810A4"/>
    <w:rsid w:val="0068132B"/>
    <w:rsid w:val="00681991"/>
    <w:rsid w:val="00681C01"/>
    <w:rsid w:val="0068224F"/>
    <w:rsid w:val="00682462"/>
    <w:rsid w:val="006825FC"/>
    <w:rsid w:val="00682984"/>
    <w:rsid w:val="00682B1F"/>
    <w:rsid w:val="00682C22"/>
    <w:rsid w:val="00682E2B"/>
    <w:rsid w:val="006830E8"/>
    <w:rsid w:val="006832D9"/>
    <w:rsid w:val="006833B1"/>
    <w:rsid w:val="00683663"/>
    <w:rsid w:val="006841A9"/>
    <w:rsid w:val="00684214"/>
    <w:rsid w:val="00684629"/>
    <w:rsid w:val="00684B3D"/>
    <w:rsid w:val="00684F7F"/>
    <w:rsid w:val="0068513A"/>
    <w:rsid w:val="00685A71"/>
    <w:rsid w:val="00685C4C"/>
    <w:rsid w:val="00685DB4"/>
    <w:rsid w:val="00686A44"/>
    <w:rsid w:val="00686A9F"/>
    <w:rsid w:val="00686E4C"/>
    <w:rsid w:val="00686FAD"/>
    <w:rsid w:val="006871BA"/>
    <w:rsid w:val="006871C4"/>
    <w:rsid w:val="0068774E"/>
    <w:rsid w:val="00687A57"/>
    <w:rsid w:val="00687A80"/>
    <w:rsid w:val="00687C22"/>
    <w:rsid w:val="006902BF"/>
    <w:rsid w:val="00690358"/>
    <w:rsid w:val="006907EF"/>
    <w:rsid w:val="00691673"/>
    <w:rsid w:val="00691701"/>
    <w:rsid w:val="00691B07"/>
    <w:rsid w:val="00691C82"/>
    <w:rsid w:val="00692138"/>
    <w:rsid w:val="00692B67"/>
    <w:rsid w:val="00692C2D"/>
    <w:rsid w:val="00692C5C"/>
    <w:rsid w:val="00692E68"/>
    <w:rsid w:val="00692ED3"/>
    <w:rsid w:val="006931EE"/>
    <w:rsid w:val="00693306"/>
    <w:rsid w:val="00693685"/>
    <w:rsid w:val="006938DD"/>
    <w:rsid w:val="00693C9D"/>
    <w:rsid w:val="00693E08"/>
    <w:rsid w:val="0069456F"/>
    <w:rsid w:val="00694D93"/>
    <w:rsid w:val="006950A9"/>
    <w:rsid w:val="006952A6"/>
    <w:rsid w:val="006953F7"/>
    <w:rsid w:val="00695440"/>
    <w:rsid w:val="00695EB0"/>
    <w:rsid w:val="0069604B"/>
    <w:rsid w:val="0069627C"/>
    <w:rsid w:val="006963AF"/>
    <w:rsid w:val="0069661A"/>
    <w:rsid w:val="006967C9"/>
    <w:rsid w:val="00696D43"/>
    <w:rsid w:val="006972E4"/>
    <w:rsid w:val="0069739D"/>
    <w:rsid w:val="0069753F"/>
    <w:rsid w:val="00697629"/>
    <w:rsid w:val="006977C6"/>
    <w:rsid w:val="00697C55"/>
    <w:rsid w:val="00697CB2"/>
    <w:rsid w:val="00697E65"/>
    <w:rsid w:val="006A045F"/>
    <w:rsid w:val="006A04D4"/>
    <w:rsid w:val="006A0545"/>
    <w:rsid w:val="006A0712"/>
    <w:rsid w:val="006A0BEA"/>
    <w:rsid w:val="006A0ECD"/>
    <w:rsid w:val="006A1A90"/>
    <w:rsid w:val="006A2518"/>
    <w:rsid w:val="006A2A35"/>
    <w:rsid w:val="006A2FA7"/>
    <w:rsid w:val="006A3486"/>
    <w:rsid w:val="006A361D"/>
    <w:rsid w:val="006A3ADD"/>
    <w:rsid w:val="006A3BF0"/>
    <w:rsid w:val="006A3EB9"/>
    <w:rsid w:val="006A40EF"/>
    <w:rsid w:val="006A40F5"/>
    <w:rsid w:val="006A420A"/>
    <w:rsid w:val="006A4378"/>
    <w:rsid w:val="006A4A32"/>
    <w:rsid w:val="006A4D2B"/>
    <w:rsid w:val="006A4D70"/>
    <w:rsid w:val="006A4E2E"/>
    <w:rsid w:val="006A4FB5"/>
    <w:rsid w:val="006A50F1"/>
    <w:rsid w:val="006A52B3"/>
    <w:rsid w:val="006A533B"/>
    <w:rsid w:val="006A535F"/>
    <w:rsid w:val="006A56FF"/>
    <w:rsid w:val="006A5CE7"/>
    <w:rsid w:val="006A5E20"/>
    <w:rsid w:val="006A68A1"/>
    <w:rsid w:val="006A6FF3"/>
    <w:rsid w:val="006A7060"/>
    <w:rsid w:val="006A73F2"/>
    <w:rsid w:val="006A7AD5"/>
    <w:rsid w:val="006A7C4E"/>
    <w:rsid w:val="006A7DEE"/>
    <w:rsid w:val="006A7E79"/>
    <w:rsid w:val="006A7EB8"/>
    <w:rsid w:val="006B001B"/>
    <w:rsid w:val="006B02E9"/>
    <w:rsid w:val="006B053C"/>
    <w:rsid w:val="006B05EF"/>
    <w:rsid w:val="006B0A0E"/>
    <w:rsid w:val="006B0ACD"/>
    <w:rsid w:val="006B0CD1"/>
    <w:rsid w:val="006B0D38"/>
    <w:rsid w:val="006B0F06"/>
    <w:rsid w:val="006B1229"/>
    <w:rsid w:val="006B16A7"/>
    <w:rsid w:val="006B1A3B"/>
    <w:rsid w:val="006B1AE3"/>
    <w:rsid w:val="006B21F8"/>
    <w:rsid w:val="006B2300"/>
    <w:rsid w:val="006B237F"/>
    <w:rsid w:val="006B2419"/>
    <w:rsid w:val="006B296A"/>
    <w:rsid w:val="006B2B8D"/>
    <w:rsid w:val="006B2BEE"/>
    <w:rsid w:val="006B2E23"/>
    <w:rsid w:val="006B3246"/>
    <w:rsid w:val="006B368D"/>
    <w:rsid w:val="006B3704"/>
    <w:rsid w:val="006B394B"/>
    <w:rsid w:val="006B39ED"/>
    <w:rsid w:val="006B3FA2"/>
    <w:rsid w:val="006B3FB9"/>
    <w:rsid w:val="006B40E6"/>
    <w:rsid w:val="006B4E62"/>
    <w:rsid w:val="006B503A"/>
    <w:rsid w:val="006B5068"/>
    <w:rsid w:val="006B52D6"/>
    <w:rsid w:val="006B56DB"/>
    <w:rsid w:val="006B5793"/>
    <w:rsid w:val="006B5E45"/>
    <w:rsid w:val="006B5FF9"/>
    <w:rsid w:val="006B674F"/>
    <w:rsid w:val="006B6969"/>
    <w:rsid w:val="006B71B7"/>
    <w:rsid w:val="006B7251"/>
    <w:rsid w:val="006B7426"/>
    <w:rsid w:val="006B74F6"/>
    <w:rsid w:val="006B79F2"/>
    <w:rsid w:val="006B7B66"/>
    <w:rsid w:val="006B7D4C"/>
    <w:rsid w:val="006C010F"/>
    <w:rsid w:val="006C05C4"/>
    <w:rsid w:val="006C08CB"/>
    <w:rsid w:val="006C09C5"/>
    <w:rsid w:val="006C0C95"/>
    <w:rsid w:val="006C0E05"/>
    <w:rsid w:val="006C0E0C"/>
    <w:rsid w:val="006C0F30"/>
    <w:rsid w:val="006C1089"/>
    <w:rsid w:val="006C1225"/>
    <w:rsid w:val="006C12B3"/>
    <w:rsid w:val="006C1756"/>
    <w:rsid w:val="006C194A"/>
    <w:rsid w:val="006C1A00"/>
    <w:rsid w:val="006C209E"/>
    <w:rsid w:val="006C23F7"/>
    <w:rsid w:val="006C276A"/>
    <w:rsid w:val="006C27CF"/>
    <w:rsid w:val="006C28CC"/>
    <w:rsid w:val="006C293F"/>
    <w:rsid w:val="006C2F44"/>
    <w:rsid w:val="006C303A"/>
    <w:rsid w:val="006C304E"/>
    <w:rsid w:val="006C307C"/>
    <w:rsid w:val="006C3333"/>
    <w:rsid w:val="006C3627"/>
    <w:rsid w:val="006C3805"/>
    <w:rsid w:val="006C3C4C"/>
    <w:rsid w:val="006C3E20"/>
    <w:rsid w:val="006C4088"/>
    <w:rsid w:val="006C43CF"/>
    <w:rsid w:val="006C43D0"/>
    <w:rsid w:val="006C4585"/>
    <w:rsid w:val="006C45D9"/>
    <w:rsid w:val="006C4748"/>
    <w:rsid w:val="006C47A0"/>
    <w:rsid w:val="006C5159"/>
    <w:rsid w:val="006C541F"/>
    <w:rsid w:val="006C548A"/>
    <w:rsid w:val="006C568F"/>
    <w:rsid w:val="006C56ED"/>
    <w:rsid w:val="006C5743"/>
    <w:rsid w:val="006C646C"/>
    <w:rsid w:val="006C6807"/>
    <w:rsid w:val="006C6B59"/>
    <w:rsid w:val="006C6C8A"/>
    <w:rsid w:val="006C7915"/>
    <w:rsid w:val="006C7BC8"/>
    <w:rsid w:val="006C7C38"/>
    <w:rsid w:val="006C7C62"/>
    <w:rsid w:val="006C7E70"/>
    <w:rsid w:val="006D01B3"/>
    <w:rsid w:val="006D066D"/>
    <w:rsid w:val="006D0722"/>
    <w:rsid w:val="006D0D50"/>
    <w:rsid w:val="006D0EE8"/>
    <w:rsid w:val="006D1237"/>
    <w:rsid w:val="006D1AC0"/>
    <w:rsid w:val="006D1B4E"/>
    <w:rsid w:val="006D20DE"/>
    <w:rsid w:val="006D296B"/>
    <w:rsid w:val="006D2A94"/>
    <w:rsid w:val="006D2DA2"/>
    <w:rsid w:val="006D2DF8"/>
    <w:rsid w:val="006D3042"/>
    <w:rsid w:val="006D396B"/>
    <w:rsid w:val="006D3AAA"/>
    <w:rsid w:val="006D3FDD"/>
    <w:rsid w:val="006D4961"/>
    <w:rsid w:val="006D4A7C"/>
    <w:rsid w:val="006D54AA"/>
    <w:rsid w:val="006D56D9"/>
    <w:rsid w:val="006D575B"/>
    <w:rsid w:val="006D57E4"/>
    <w:rsid w:val="006D585D"/>
    <w:rsid w:val="006D5C66"/>
    <w:rsid w:val="006D5DAA"/>
    <w:rsid w:val="006D5DCB"/>
    <w:rsid w:val="006D672B"/>
    <w:rsid w:val="006D6E49"/>
    <w:rsid w:val="006D70B3"/>
    <w:rsid w:val="006D7130"/>
    <w:rsid w:val="006D740E"/>
    <w:rsid w:val="006D7C30"/>
    <w:rsid w:val="006D7ECE"/>
    <w:rsid w:val="006E01CC"/>
    <w:rsid w:val="006E03A8"/>
    <w:rsid w:val="006E0694"/>
    <w:rsid w:val="006E0C7C"/>
    <w:rsid w:val="006E0E51"/>
    <w:rsid w:val="006E0FEC"/>
    <w:rsid w:val="006E10BB"/>
    <w:rsid w:val="006E15C8"/>
    <w:rsid w:val="006E17A2"/>
    <w:rsid w:val="006E1993"/>
    <w:rsid w:val="006E19AB"/>
    <w:rsid w:val="006E1BE3"/>
    <w:rsid w:val="006E2031"/>
    <w:rsid w:val="006E21D9"/>
    <w:rsid w:val="006E23CF"/>
    <w:rsid w:val="006E2519"/>
    <w:rsid w:val="006E256D"/>
    <w:rsid w:val="006E36DF"/>
    <w:rsid w:val="006E3AD8"/>
    <w:rsid w:val="006E3CCF"/>
    <w:rsid w:val="006E40BC"/>
    <w:rsid w:val="006E411B"/>
    <w:rsid w:val="006E42B8"/>
    <w:rsid w:val="006E44FB"/>
    <w:rsid w:val="006E48F1"/>
    <w:rsid w:val="006E49C7"/>
    <w:rsid w:val="006E4BB3"/>
    <w:rsid w:val="006E4BEE"/>
    <w:rsid w:val="006E4C7C"/>
    <w:rsid w:val="006E4C8F"/>
    <w:rsid w:val="006E5339"/>
    <w:rsid w:val="006E5B6D"/>
    <w:rsid w:val="006E5BB3"/>
    <w:rsid w:val="006E5C3D"/>
    <w:rsid w:val="006E5D1D"/>
    <w:rsid w:val="006E5E41"/>
    <w:rsid w:val="006E6060"/>
    <w:rsid w:val="006E6273"/>
    <w:rsid w:val="006E63E4"/>
    <w:rsid w:val="006E65BC"/>
    <w:rsid w:val="006E6719"/>
    <w:rsid w:val="006E681B"/>
    <w:rsid w:val="006E6F08"/>
    <w:rsid w:val="006E73C2"/>
    <w:rsid w:val="006E7405"/>
    <w:rsid w:val="006E77E2"/>
    <w:rsid w:val="006E7851"/>
    <w:rsid w:val="006E7BD1"/>
    <w:rsid w:val="006F1335"/>
    <w:rsid w:val="006F14F5"/>
    <w:rsid w:val="006F16C6"/>
    <w:rsid w:val="006F1D1D"/>
    <w:rsid w:val="006F25A5"/>
    <w:rsid w:val="006F26AB"/>
    <w:rsid w:val="006F2808"/>
    <w:rsid w:val="006F2CE0"/>
    <w:rsid w:val="006F344C"/>
    <w:rsid w:val="006F34CA"/>
    <w:rsid w:val="006F4244"/>
    <w:rsid w:val="006F43A6"/>
    <w:rsid w:val="006F445B"/>
    <w:rsid w:val="006F4D0C"/>
    <w:rsid w:val="006F5765"/>
    <w:rsid w:val="006F597F"/>
    <w:rsid w:val="006F5B1C"/>
    <w:rsid w:val="006F5F1C"/>
    <w:rsid w:val="006F674F"/>
    <w:rsid w:val="006F6CB5"/>
    <w:rsid w:val="006F7133"/>
    <w:rsid w:val="006F778C"/>
    <w:rsid w:val="006F79B2"/>
    <w:rsid w:val="006F7CAB"/>
    <w:rsid w:val="006F7CB5"/>
    <w:rsid w:val="006F7F2A"/>
    <w:rsid w:val="006F7F32"/>
    <w:rsid w:val="007001A2"/>
    <w:rsid w:val="007006AF"/>
    <w:rsid w:val="00700AF9"/>
    <w:rsid w:val="00700EC7"/>
    <w:rsid w:val="0070126D"/>
    <w:rsid w:val="0070164A"/>
    <w:rsid w:val="00701788"/>
    <w:rsid w:val="0070186E"/>
    <w:rsid w:val="00701956"/>
    <w:rsid w:val="007019F2"/>
    <w:rsid w:val="00701A65"/>
    <w:rsid w:val="00701B07"/>
    <w:rsid w:val="00701E01"/>
    <w:rsid w:val="00701F17"/>
    <w:rsid w:val="00701FF9"/>
    <w:rsid w:val="0070204C"/>
    <w:rsid w:val="00702210"/>
    <w:rsid w:val="007023F2"/>
    <w:rsid w:val="007026F9"/>
    <w:rsid w:val="0070340D"/>
    <w:rsid w:val="007035F2"/>
    <w:rsid w:val="00703607"/>
    <w:rsid w:val="00703625"/>
    <w:rsid w:val="00704850"/>
    <w:rsid w:val="007048C3"/>
    <w:rsid w:val="0070493C"/>
    <w:rsid w:val="007049D2"/>
    <w:rsid w:val="00704A33"/>
    <w:rsid w:val="00704F5B"/>
    <w:rsid w:val="00705620"/>
    <w:rsid w:val="00705991"/>
    <w:rsid w:val="00706146"/>
    <w:rsid w:val="0070693B"/>
    <w:rsid w:val="00706C3F"/>
    <w:rsid w:val="0070704E"/>
    <w:rsid w:val="007071C6"/>
    <w:rsid w:val="00707446"/>
    <w:rsid w:val="0070776B"/>
    <w:rsid w:val="0070785C"/>
    <w:rsid w:val="00707AE9"/>
    <w:rsid w:val="00707BA3"/>
    <w:rsid w:val="00707DF3"/>
    <w:rsid w:val="0071010F"/>
    <w:rsid w:val="00710186"/>
    <w:rsid w:val="0071018E"/>
    <w:rsid w:val="00710369"/>
    <w:rsid w:val="0071041E"/>
    <w:rsid w:val="00710421"/>
    <w:rsid w:val="007107CC"/>
    <w:rsid w:val="007107FD"/>
    <w:rsid w:val="0071099B"/>
    <w:rsid w:val="00710ACD"/>
    <w:rsid w:val="00710D57"/>
    <w:rsid w:val="007116A2"/>
    <w:rsid w:val="0071177B"/>
    <w:rsid w:val="007119CF"/>
    <w:rsid w:val="00712098"/>
    <w:rsid w:val="0071240D"/>
    <w:rsid w:val="007124E8"/>
    <w:rsid w:val="00712AD6"/>
    <w:rsid w:val="00712CAD"/>
    <w:rsid w:val="007136AD"/>
    <w:rsid w:val="007138D4"/>
    <w:rsid w:val="007139D1"/>
    <w:rsid w:val="00713D6D"/>
    <w:rsid w:val="00713E05"/>
    <w:rsid w:val="007145E6"/>
    <w:rsid w:val="007149FF"/>
    <w:rsid w:val="00715079"/>
    <w:rsid w:val="007156FA"/>
    <w:rsid w:val="00715761"/>
    <w:rsid w:val="00715FDD"/>
    <w:rsid w:val="0071604D"/>
    <w:rsid w:val="007161B7"/>
    <w:rsid w:val="00716A02"/>
    <w:rsid w:val="00716A7C"/>
    <w:rsid w:val="00716B11"/>
    <w:rsid w:val="00716E47"/>
    <w:rsid w:val="007173ED"/>
    <w:rsid w:val="0071753C"/>
    <w:rsid w:val="007178C1"/>
    <w:rsid w:val="00717911"/>
    <w:rsid w:val="00717AF0"/>
    <w:rsid w:val="0072052C"/>
    <w:rsid w:val="0072074B"/>
    <w:rsid w:val="007207B9"/>
    <w:rsid w:val="00720BFB"/>
    <w:rsid w:val="00720DAF"/>
    <w:rsid w:val="0072145B"/>
    <w:rsid w:val="00721522"/>
    <w:rsid w:val="0072186A"/>
    <w:rsid w:val="007219C3"/>
    <w:rsid w:val="00721F4D"/>
    <w:rsid w:val="00722433"/>
    <w:rsid w:val="0072261C"/>
    <w:rsid w:val="007226EA"/>
    <w:rsid w:val="0072274A"/>
    <w:rsid w:val="00723371"/>
    <w:rsid w:val="00723742"/>
    <w:rsid w:val="00723FA0"/>
    <w:rsid w:val="007240F7"/>
    <w:rsid w:val="0072429D"/>
    <w:rsid w:val="007245F4"/>
    <w:rsid w:val="00724F10"/>
    <w:rsid w:val="0072511B"/>
    <w:rsid w:val="0072516E"/>
    <w:rsid w:val="007252B3"/>
    <w:rsid w:val="0072540F"/>
    <w:rsid w:val="007256D5"/>
    <w:rsid w:val="007258E6"/>
    <w:rsid w:val="00725E05"/>
    <w:rsid w:val="00725F2F"/>
    <w:rsid w:val="00726120"/>
    <w:rsid w:val="00726539"/>
    <w:rsid w:val="00726C23"/>
    <w:rsid w:val="00727602"/>
    <w:rsid w:val="00727849"/>
    <w:rsid w:val="007278C7"/>
    <w:rsid w:val="0072793B"/>
    <w:rsid w:val="007279F3"/>
    <w:rsid w:val="00727BE0"/>
    <w:rsid w:val="00727DEE"/>
    <w:rsid w:val="00727F8A"/>
    <w:rsid w:val="007301B8"/>
    <w:rsid w:val="00730672"/>
    <w:rsid w:val="00730F97"/>
    <w:rsid w:val="00731421"/>
    <w:rsid w:val="0073145B"/>
    <w:rsid w:val="00731529"/>
    <w:rsid w:val="007315EB"/>
    <w:rsid w:val="007316BE"/>
    <w:rsid w:val="007317D4"/>
    <w:rsid w:val="0073184D"/>
    <w:rsid w:val="00731971"/>
    <w:rsid w:val="00731A9F"/>
    <w:rsid w:val="00731BD3"/>
    <w:rsid w:val="00731D54"/>
    <w:rsid w:val="00731EE4"/>
    <w:rsid w:val="00731FE8"/>
    <w:rsid w:val="0073236E"/>
    <w:rsid w:val="0073290B"/>
    <w:rsid w:val="00732B7F"/>
    <w:rsid w:val="00732E32"/>
    <w:rsid w:val="00732FC6"/>
    <w:rsid w:val="00733050"/>
    <w:rsid w:val="007331CF"/>
    <w:rsid w:val="0073347B"/>
    <w:rsid w:val="007335B3"/>
    <w:rsid w:val="0073393A"/>
    <w:rsid w:val="007339A6"/>
    <w:rsid w:val="007339CF"/>
    <w:rsid w:val="00733D1A"/>
    <w:rsid w:val="00734240"/>
    <w:rsid w:val="007343D5"/>
    <w:rsid w:val="00734973"/>
    <w:rsid w:val="00734AB8"/>
    <w:rsid w:val="007352FD"/>
    <w:rsid w:val="0073538C"/>
    <w:rsid w:val="00735455"/>
    <w:rsid w:val="00735575"/>
    <w:rsid w:val="00735812"/>
    <w:rsid w:val="00736328"/>
    <w:rsid w:val="00736590"/>
    <w:rsid w:val="007365DC"/>
    <w:rsid w:val="0073683F"/>
    <w:rsid w:val="0073687C"/>
    <w:rsid w:val="00736B29"/>
    <w:rsid w:val="00736C2F"/>
    <w:rsid w:val="00736CD4"/>
    <w:rsid w:val="00736CE3"/>
    <w:rsid w:val="00736DD5"/>
    <w:rsid w:val="00736E8A"/>
    <w:rsid w:val="0073718A"/>
    <w:rsid w:val="007372FC"/>
    <w:rsid w:val="0073744E"/>
    <w:rsid w:val="007375CD"/>
    <w:rsid w:val="00737611"/>
    <w:rsid w:val="00737726"/>
    <w:rsid w:val="00737837"/>
    <w:rsid w:val="00737AAA"/>
    <w:rsid w:val="00737B30"/>
    <w:rsid w:val="00737CDC"/>
    <w:rsid w:val="00737DEA"/>
    <w:rsid w:val="00737E31"/>
    <w:rsid w:val="00737E33"/>
    <w:rsid w:val="00738E12"/>
    <w:rsid w:val="00740134"/>
    <w:rsid w:val="00740191"/>
    <w:rsid w:val="00740407"/>
    <w:rsid w:val="00740653"/>
    <w:rsid w:val="0074086C"/>
    <w:rsid w:val="0074094E"/>
    <w:rsid w:val="00740BE2"/>
    <w:rsid w:val="00740C1D"/>
    <w:rsid w:val="0074142E"/>
    <w:rsid w:val="0074170E"/>
    <w:rsid w:val="007418E3"/>
    <w:rsid w:val="00741903"/>
    <w:rsid w:val="00741A5A"/>
    <w:rsid w:val="00741CC5"/>
    <w:rsid w:val="00742962"/>
    <w:rsid w:val="00743006"/>
    <w:rsid w:val="007439A4"/>
    <w:rsid w:val="00743B9E"/>
    <w:rsid w:val="00743EA6"/>
    <w:rsid w:val="007440DD"/>
    <w:rsid w:val="007447BE"/>
    <w:rsid w:val="00744AC2"/>
    <w:rsid w:val="007451DD"/>
    <w:rsid w:val="007454C5"/>
    <w:rsid w:val="00745824"/>
    <w:rsid w:val="00745B77"/>
    <w:rsid w:val="007460CE"/>
    <w:rsid w:val="00747583"/>
    <w:rsid w:val="007478B1"/>
    <w:rsid w:val="00747928"/>
    <w:rsid w:val="00747FD5"/>
    <w:rsid w:val="00750725"/>
    <w:rsid w:val="0075094C"/>
    <w:rsid w:val="00750A65"/>
    <w:rsid w:val="00750E9E"/>
    <w:rsid w:val="007510D3"/>
    <w:rsid w:val="007511A5"/>
    <w:rsid w:val="00751238"/>
    <w:rsid w:val="00751655"/>
    <w:rsid w:val="00751735"/>
    <w:rsid w:val="00751BB8"/>
    <w:rsid w:val="0075223E"/>
    <w:rsid w:val="0075233F"/>
    <w:rsid w:val="00752478"/>
    <w:rsid w:val="00752500"/>
    <w:rsid w:val="00752829"/>
    <w:rsid w:val="007529FA"/>
    <w:rsid w:val="0075329A"/>
    <w:rsid w:val="00753692"/>
    <w:rsid w:val="00753C03"/>
    <w:rsid w:val="00753DC7"/>
    <w:rsid w:val="0075418A"/>
    <w:rsid w:val="007542C9"/>
    <w:rsid w:val="007543AD"/>
    <w:rsid w:val="00754418"/>
    <w:rsid w:val="0075457D"/>
    <w:rsid w:val="00754667"/>
    <w:rsid w:val="007548FB"/>
    <w:rsid w:val="00754B88"/>
    <w:rsid w:val="007552EA"/>
    <w:rsid w:val="0075563D"/>
    <w:rsid w:val="007558B6"/>
    <w:rsid w:val="00755C3B"/>
    <w:rsid w:val="00755C9B"/>
    <w:rsid w:val="00756780"/>
    <w:rsid w:val="007568EE"/>
    <w:rsid w:val="00756940"/>
    <w:rsid w:val="00757203"/>
    <w:rsid w:val="007573CD"/>
    <w:rsid w:val="0075749A"/>
    <w:rsid w:val="00757B1E"/>
    <w:rsid w:val="00760011"/>
    <w:rsid w:val="0076005E"/>
    <w:rsid w:val="00760AEA"/>
    <w:rsid w:val="00760BBE"/>
    <w:rsid w:val="00760DF3"/>
    <w:rsid w:val="00761141"/>
    <w:rsid w:val="0076128F"/>
    <w:rsid w:val="0076140F"/>
    <w:rsid w:val="00761958"/>
    <w:rsid w:val="00761B59"/>
    <w:rsid w:val="00761CE1"/>
    <w:rsid w:val="00762172"/>
    <w:rsid w:val="0076224B"/>
    <w:rsid w:val="007627A1"/>
    <w:rsid w:val="0076280E"/>
    <w:rsid w:val="00762860"/>
    <w:rsid w:val="00762866"/>
    <w:rsid w:val="00762E54"/>
    <w:rsid w:val="007632E9"/>
    <w:rsid w:val="0076331C"/>
    <w:rsid w:val="007636CE"/>
    <w:rsid w:val="0076389B"/>
    <w:rsid w:val="00763AA6"/>
    <w:rsid w:val="00763D4D"/>
    <w:rsid w:val="00763E23"/>
    <w:rsid w:val="00763E9E"/>
    <w:rsid w:val="00763ED9"/>
    <w:rsid w:val="0076446F"/>
    <w:rsid w:val="00764621"/>
    <w:rsid w:val="007649B8"/>
    <w:rsid w:val="0076525F"/>
    <w:rsid w:val="00765312"/>
    <w:rsid w:val="00765D30"/>
    <w:rsid w:val="00765EFC"/>
    <w:rsid w:val="00766633"/>
    <w:rsid w:val="00766D2F"/>
    <w:rsid w:val="00766DCC"/>
    <w:rsid w:val="007671A5"/>
    <w:rsid w:val="007671EB"/>
    <w:rsid w:val="0076782D"/>
    <w:rsid w:val="007678C8"/>
    <w:rsid w:val="00767A1F"/>
    <w:rsid w:val="00767CE2"/>
    <w:rsid w:val="00771462"/>
    <w:rsid w:val="007714EE"/>
    <w:rsid w:val="007715AB"/>
    <w:rsid w:val="00771927"/>
    <w:rsid w:val="00771ABF"/>
    <w:rsid w:val="0077225D"/>
    <w:rsid w:val="00772342"/>
    <w:rsid w:val="00772792"/>
    <w:rsid w:val="0077282B"/>
    <w:rsid w:val="0077290D"/>
    <w:rsid w:val="00772BCB"/>
    <w:rsid w:val="00772C76"/>
    <w:rsid w:val="00772D5C"/>
    <w:rsid w:val="00772ECF"/>
    <w:rsid w:val="0077335D"/>
    <w:rsid w:val="00774C48"/>
    <w:rsid w:val="00774CC8"/>
    <w:rsid w:val="00774E7D"/>
    <w:rsid w:val="00775848"/>
    <w:rsid w:val="00775B7C"/>
    <w:rsid w:val="00775E6D"/>
    <w:rsid w:val="00776095"/>
    <w:rsid w:val="007761F2"/>
    <w:rsid w:val="0077647A"/>
    <w:rsid w:val="007765C9"/>
    <w:rsid w:val="0077690D"/>
    <w:rsid w:val="00776983"/>
    <w:rsid w:val="00776D79"/>
    <w:rsid w:val="00776DDC"/>
    <w:rsid w:val="00776E44"/>
    <w:rsid w:val="00776F61"/>
    <w:rsid w:val="00777137"/>
    <w:rsid w:val="007776CA"/>
    <w:rsid w:val="00777C75"/>
    <w:rsid w:val="00777CC4"/>
    <w:rsid w:val="00780398"/>
    <w:rsid w:val="0078068B"/>
    <w:rsid w:val="007807C5"/>
    <w:rsid w:val="007808F8"/>
    <w:rsid w:val="00780C58"/>
    <w:rsid w:val="00780CB2"/>
    <w:rsid w:val="00780F40"/>
    <w:rsid w:val="00781328"/>
    <w:rsid w:val="00781337"/>
    <w:rsid w:val="00781C4E"/>
    <w:rsid w:val="00781D91"/>
    <w:rsid w:val="007822D0"/>
    <w:rsid w:val="00782383"/>
    <w:rsid w:val="00782388"/>
    <w:rsid w:val="00782465"/>
    <w:rsid w:val="00782470"/>
    <w:rsid w:val="007824D0"/>
    <w:rsid w:val="00782993"/>
    <w:rsid w:val="00782C6E"/>
    <w:rsid w:val="007831E3"/>
    <w:rsid w:val="007831EC"/>
    <w:rsid w:val="0078349C"/>
    <w:rsid w:val="00783597"/>
    <w:rsid w:val="007838BA"/>
    <w:rsid w:val="00783944"/>
    <w:rsid w:val="007839E4"/>
    <w:rsid w:val="00783F3E"/>
    <w:rsid w:val="007840B6"/>
    <w:rsid w:val="00784158"/>
    <w:rsid w:val="00784401"/>
    <w:rsid w:val="00784408"/>
    <w:rsid w:val="00784AA8"/>
    <w:rsid w:val="00784C11"/>
    <w:rsid w:val="00784F59"/>
    <w:rsid w:val="007853D4"/>
    <w:rsid w:val="007855CE"/>
    <w:rsid w:val="00785F50"/>
    <w:rsid w:val="00785FEB"/>
    <w:rsid w:val="00786140"/>
    <w:rsid w:val="007862CE"/>
    <w:rsid w:val="007863BD"/>
    <w:rsid w:val="00786AF1"/>
    <w:rsid w:val="00786F46"/>
    <w:rsid w:val="00787468"/>
    <w:rsid w:val="00787534"/>
    <w:rsid w:val="007876D5"/>
    <w:rsid w:val="00787DE4"/>
    <w:rsid w:val="00787E82"/>
    <w:rsid w:val="00790B43"/>
    <w:rsid w:val="00790F2F"/>
    <w:rsid w:val="007910AF"/>
    <w:rsid w:val="00791103"/>
    <w:rsid w:val="0079164F"/>
    <w:rsid w:val="00791B5B"/>
    <w:rsid w:val="00791DC7"/>
    <w:rsid w:val="007926E2"/>
    <w:rsid w:val="00792721"/>
    <w:rsid w:val="007928BA"/>
    <w:rsid w:val="00792A37"/>
    <w:rsid w:val="00792E33"/>
    <w:rsid w:val="0079347F"/>
    <w:rsid w:val="00793A72"/>
    <w:rsid w:val="00793B7A"/>
    <w:rsid w:val="007950FF"/>
    <w:rsid w:val="007957CC"/>
    <w:rsid w:val="0079590D"/>
    <w:rsid w:val="00795B41"/>
    <w:rsid w:val="00795DFD"/>
    <w:rsid w:val="00795FF0"/>
    <w:rsid w:val="00796392"/>
    <w:rsid w:val="007964E7"/>
    <w:rsid w:val="00796A4C"/>
    <w:rsid w:val="007973D5"/>
    <w:rsid w:val="007979F6"/>
    <w:rsid w:val="00797B88"/>
    <w:rsid w:val="00797BE1"/>
    <w:rsid w:val="00797C82"/>
    <w:rsid w:val="00797EA9"/>
    <w:rsid w:val="00797F0B"/>
    <w:rsid w:val="00797FD9"/>
    <w:rsid w:val="007A005C"/>
    <w:rsid w:val="007A00DE"/>
    <w:rsid w:val="007A0B3F"/>
    <w:rsid w:val="007A0D4F"/>
    <w:rsid w:val="007A0FE6"/>
    <w:rsid w:val="007A1439"/>
    <w:rsid w:val="007A1681"/>
    <w:rsid w:val="007A19E0"/>
    <w:rsid w:val="007A2678"/>
    <w:rsid w:val="007A27DC"/>
    <w:rsid w:val="007A284C"/>
    <w:rsid w:val="007A29BC"/>
    <w:rsid w:val="007A2A6A"/>
    <w:rsid w:val="007A2C42"/>
    <w:rsid w:val="007A2DD3"/>
    <w:rsid w:val="007A2FD8"/>
    <w:rsid w:val="007A3018"/>
    <w:rsid w:val="007A3106"/>
    <w:rsid w:val="007A3179"/>
    <w:rsid w:val="007A3740"/>
    <w:rsid w:val="007A3763"/>
    <w:rsid w:val="007A3816"/>
    <w:rsid w:val="007A4129"/>
    <w:rsid w:val="007A4554"/>
    <w:rsid w:val="007A4A41"/>
    <w:rsid w:val="007A4B9E"/>
    <w:rsid w:val="007A4BE9"/>
    <w:rsid w:val="007A4BF3"/>
    <w:rsid w:val="007A4C9F"/>
    <w:rsid w:val="007A4D31"/>
    <w:rsid w:val="007A5407"/>
    <w:rsid w:val="007A546C"/>
    <w:rsid w:val="007A549A"/>
    <w:rsid w:val="007A54E4"/>
    <w:rsid w:val="007A5512"/>
    <w:rsid w:val="007A56AC"/>
    <w:rsid w:val="007A59C3"/>
    <w:rsid w:val="007A62FB"/>
    <w:rsid w:val="007A6775"/>
    <w:rsid w:val="007A679A"/>
    <w:rsid w:val="007A6862"/>
    <w:rsid w:val="007A6F32"/>
    <w:rsid w:val="007A7202"/>
    <w:rsid w:val="007A7432"/>
    <w:rsid w:val="007A789F"/>
    <w:rsid w:val="007A7AC4"/>
    <w:rsid w:val="007B03EE"/>
    <w:rsid w:val="007B091A"/>
    <w:rsid w:val="007B0ACF"/>
    <w:rsid w:val="007B0E35"/>
    <w:rsid w:val="007B0FAC"/>
    <w:rsid w:val="007B10E4"/>
    <w:rsid w:val="007B11B6"/>
    <w:rsid w:val="007B1252"/>
    <w:rsid w:val="007B179F"/>
    <w:rsid w:val="007B1DAE"/>
    <w:rsid w:val="007B20D0"/>
    <w:rsid w:val="007B26C9"/>
    <w:rsid w:val="007B270D"/>
    <w:rsid w:val="007B323B"/>
    <w:rsid w:val="007B33E6"/>
    <w:rsid w:val="007B3421"/>
    <w:rsid w:val="007B35D7"/>
    <w:rsid w:val="007B36B0"/>
    <w:rsid w:val="007B3889"/>
    <w:rsid w:val="007B3B47"/>
    <w:rsid w:val="007B41AA"/>
    <w:rsid w:val="007B498A"/>
    <w:rsid w:val="007B49C0"/>
    <w:rsid w:val="007B4B96"/>
    <w:rsid w:val="007B4BBB"/>
    <w:rsid w:val="007B4FCD"/>
    <w:rsid w:val="007B529C"/>
    <w:rsid w:val="007B54B4"/>
    <w:rsid w:val="007B5D2B"/>
    <w:rsid w:val="007B5FF1"/>
    <w:rsid w:val="007B6575"/>
    <w:rsid w:val="007B662B"/>
    <w:rsid w:val="007B6685"/>
    <w:rsid w:val="007B672E"/>
    <w:rsid w:val="007B6801"/>
    <w:rsid w:val="007B68FD"/>
    <w:rsid w:val="007B690D"/>
    <w:rsid w:val="007B6AA0"/>
    <w:rsid w:val="007B7677"/>
    <w:rsid w:val="007B79F7"/>
    <w:rsid w:val="007B7D18"/>
    <w:rsid w:val="007C00D3"/>
    <w:rsid w:val="007C05CA"/>
    <w:rsid w:val="007C0E05"/>
    <w:rsid w:val="007C110E"/>
    <w:rsid w:val="007C123F"/>
    <w:rsid w:val="007C12FA"/>
    <w:rsid w:val="007C164E"/>
    <w:rsid w:val="007C182C"/>
    <w:rsid w:val="007C1E40"/>
    <w:rsid w:val="007C1E75"/>
    <w:rsid w:val="007C2194"/>
    <w:rsid w:val="007C22E1"/>
    <w:rsid w:val="007C2312"/>
    <w:rsid w:val="007C239B"/>
    <w:rsid w:val="007C2415"/>
    <w:rsid w:val="007C2684"/>
    <w:rsid w:val="007C27C7"/>
    <w:rsid w:val="007C2DDF"/>
    <w:rsid w:val="007C2E8E"/>
    <w:rsid w:val="007C31D5"/>
    <w:rsid w:val="007C355D"/>
    <w:rsid w:val="007C39FB"/>
    <w:rsid w:val="007C3BA4"/>
    <w:rsid w:val="007C41B9"/>
    <w:rsid w:val="007C460E"/>
    <w:rsid w:val="007C47C5"/>
    <w:rsid w:val="007C5148"/>
    <w:rsid w:val="007C5490"/>
    <w:rsid w:val="007C5513"/>
    <w:rsid w:val="007C5C9E"/>
    <w:rsid w:val="007C5FC2"/>
    <w:rsid w:val="007C6CB7"/>
    <w:rsid w:val="007C6F89"/>
    <w:rsid w:val="007C7599"/>
    <w:rsid w:val="007C7672"/>
    <w:rsid w:val="007C7D92"/>
    <w:rsid w:val="007C7DC8"/>
    <w:rsid w:val="007D0388"/>
    <w:rsid w:val="007D07C4"/>
    <w:rsid w:val="007D07DD"/>
    <w:rsid w:val="007D0BF0"/>
    <w:rsid w:val="007D0C66"/>
    <w:rsid w:val="007D0CE2"/>
    <w:rsid w:val="007D0CE3"/>
    <w:rsid w:val="007D0DFB"/>
    <w:rsid w:val="007D0FFF"/>
    <w:rsid w:val="007D10C4"/>
    <w:rsid w:val="007D217B"/>
    <w:rsid w:val="007D2541"/>
    <w:rsid w:val="007D3779"/>
    <w:rsid w:val="007D37CE"/>
    <w:rsid w:val="007D3866"/>
    <w:rsid w:val="007D3899"/>
    <w:rsid w:val="007D4046"/>
    <w:rsid w:val="007D4B47"/>
    <w:rsid w:val="007D4DFC"/>
    <w:rsid w:val="007D5259"/>
    <w:rsid w:val="007D532D"/>
    <w:rsid w:val="007D58FE"/>
    <w:rsid w:val="007D5C03"/>
    <w:rsid w:val="007D5D78"/>
    <w:rsid w:val="007D66EC"/>
    <w:rsid w:val="007D6750"/>
    <w:rsid w:val="007D6CF9"/>
    <w:rsid w:val="007D6EC4"/>
    <w:rsid w:val="007D74DA"/>
    <w:rsid w:val="007D7726"/>
    <w:rsid w:val="007D7B3C"/>
    <w:rsid w:val="007D7CCC"/>
    <w:rsid w:val="007E0064"/>
    <w:rsid w:val="007E0FBE"/>
    <w:rsid w:val="007E12BB"/>
    <w:rsid w:val="007E16F6"/>
    <w:rsid w:val="007E1944"/>
    <w:rsid w:val="007E1A5F"/>
    <w:rsid w:val="007E1C44"/>
    <w:rsid w:val="007E1C7A"/>
    <w:rsid w:val="007E21F6"/>
    <w:rsid w:val="007E2212"/>
    <w:rsid w:val="007E23CF"/>
    <w:rsid w:val="007E2625"/>
    <w:rsid w:val="007E2632"/>
    <w:rsid w:val="007E268F"/>
    <w:rsid w:val="007E2A0B"/>
    <w:rsid w:val="007E2C64"/>
    <w:rsid w:val="007E2F29"/>
    <w:rsid w:val="007E300C"/>
    <w:rsid w:val="007E304C"/>
    <w:rsid w:val="007E3296"/>
    <w:rsid w:val="007E336E"/>
    <w:rsid w:val="007E3456"/>
    <w:rsid w:val="007E3483"/>
    <w:rsid w:val="007E37FD"/>
    <w:rsid w:val="007E3E3C"/>
    <w:rsid w:val="007E3FDA"/>
    <w:rsid w:val="007E419E"/>
    <w:rsid w:val="007E48CC"/>
    <w:rsid w:val="007E4C14"/>
    <w:rsid w:val="007E4DC1"/>
    <w:rsid w:val="007E4F25"/>
    <w:rsid w:val="007E513F"/>
    <w:rsid w:val="007E529D"/>
    <w:rsid w:val="007E5311"/>
    <w:rsid w:val="007E57A3"/>
    <w:rsid w:val="007E5D87"/>
    <w:rsid w:val="007E5F3B"/>
    <w:rsid w:val="007E66E7"/>
    <w:rsid w:val="007E6786"/>
    <w:rsid w:val="007E6968"/>
    <w:rsid w:val="007E697C"/>
    <w:rsid w:val="007E6B0B"/>
    <w:rsid w:val="007E6CCA"/>
    <w:rsid w:val="007E74A0"/>
    <w:rsid w:val="007E7504"/>
    <w:rsid w:val="007E761C"/>
    <w:rsid w:val="007E7834"/>
    <w:rsid w:val="007E787C"/>
    <w:rsid w:val="007E787E"/>
    <w:rsid w:val="007E7966"/>
    <w:rsid w:val="007E7ACC"/>
    <w:rsid w:val="007E7BC4"/>
    <w:rsid w:val="007E7D39"/>
    <w:rsid w:val="007E7E9E"/>
    <w:rsid w:val="007E7FFB"/>
    <w:rsid w:val="007F023E"/>
    <w:rsid w:val="007F0855"/>
    <w:rsid w:val="007F0E30"/>
    <w:rsid w:val="007F0FDF"/>
    <w:rsid w:val="007F103B"/>
    <w:rsid w:val="007F13FE"/>
    <w:rsid w:val="007F17C1"/>
    <w:rsid w:val="007F1A06"/>
    <w:rsid w:val="007F1C63"/>
    <w:rsid w:val="007F1EC5"/>
    <w:rsid w:val="007F22C1"/>
    <w:rsid w:val="007F22F9"/>
    <w:rsid w:val="007F2688"/>
    <w:rsid w:val="007F2967"/>
    <w:rsid w:val="007F320B"/>
    <w:rsid w:val="007F3253"/>
    <w:rsid w:val="007F325F"/>
    <w:rsid w:val="007F3318"/>
    <w:rsid w:val="007F356C"/>
    <w:rsid w:val="007F368C"/>
    <w:rsid w:val="007F3853"/>
    <w:rsid w:val="007F3D4E"/>
    <w:rsid w:val="007F3E28"/>
    <w:rsid w:val="007F41FC"/>
    <w:rsid w:val="007F4736"/>
    <w:rsid w:val="007F4950"/>
    <w:rsid w:val="007F4F87"/>
    <w:rsid w:val="007F5273"/>
    <w:rsid w:val="007F5D61"/>
    <w:rsid w:val="007F5F46"/>
    <w:rsid w:val="007F5F49"/>
    <w:rsid w:val="007F5F89"/>
    <w:rsid w:val="007F60CF"/>
    <w:rsid w:val="007F611D"/>
    <w:rsid w:val="007F6312"/>
    <w:rsid w:val="007F63CF"/>
    <w:rsid w:val="007F64BF"/>
    <w:rsid w:val="007F6732"/>
    <w:rsid w:val="007F6D6F"/>
    <w:rsid w:val="007F767B"/>
    <w:rsid w:val="007F7A3F"/>
    <w:rsid w:val="007F7D1B"/>
    <w:rsid w:val="00800108"/>
    <w:rsid w:val="0080018F"/>
    <w:rsid w:val="00800390"/>
    <w:rsid w:val="008004E8"/>
    <w:rsid w:val="0080059A"/>
    <w:rsid w:val="008005D2"/>
    <w:rsid w:val="0080069C"/>
    <w:rsid w:val="00800998"/>
    <w:rsid w:val="00801170"/>
    <w:rsid w:val="008014D2"/>
    <w:rsid w:val="00801645"/>
    <w:rsid w:val="0080186E"/>
    <w:rsid w:val="00801AB5"/>
    <w:rsid w:val="00801D5F"/>
    <w:rsid w:val="008021C1"/>
    <w:rsid w:val="0080270F"/>
    <w:rsid w:val="008028E2"/>
    <w:rsid w:val="008028FC"/>
    <w:rsid w:val="00802994"/>
    <w:rsid w:val="008029F5"/>
    <w:rsid w:val="00802AA9"/>
    <w:rsid w:val="00802B34"/>
    <w:rsid w:val="00803165"/>
    <w:rsid w:val="00803209"/>
    <w:rsid w:val="008032CF"/>
    <w:rsid w:val="00803460"/>
    <w:rsid w:val="008035CA"/>
    <w:rsid w:val="00803CE0"/>
    <w:rsid w:val="00803D96"/>
    <w:rsid w:val="00804019"/>
    <w:rsid w:val="008041D2"/>
    <w:rsid w:val="0080432E"/>
    <w:rsid w:val="008052C2"/>
    <w:rsid w:val="008055DA"/>
    <w:rsid w:val="0080620F"/>
    <w:rsid w:val="0080626A"/>
    <w:rsid w:val="00807298"/>
    <w:rsid w:val="00807440"/>
    <w:rsid w:val="00807673"/>
    <w:rsid w:val="0080773D"/>
    <w:rsid w:val="00807902"/>
    <w:rsid w:val="00807A94"/>
    <w:rsid w:val="0081007E"/>
    <w:rsid w:val="008100B1"/>
    <w:rsid w:val="00810338"/>
    <w:rsid w:val="008106AB"/>
    <w:rsid w:val="0081073F"/>
    <w:rsid w:val="00810979"/>
    <w:rsid w:val="00810FA5"/>
    <w:rsid w:val="00810FE4"/>
    <w:rsid w:val="00811003"/>
    <w:rsid w:val="00811158"/>
    <w:rsid w:val="008116AB"/>
    <w:rsid w:val="00811C02"/>
    <w:rsid w:val="008125A0"/>
    <w:rsid w:val="0081265A"/>
    <w:rsid w:val="008129C6"/>
    <w:rsid w:val="00813914"/>
    <w:rsid w:val="0081402F"/>
    <w:rsid w:val="0081408E"/>
    <w:rsid w:val="008148AE"/>
    <w:rsid w:val="008151AB"/>
    <w:rsid w:val="008154F0"/>
    <w:rsid w:val="00815E44"/>
    <w:rsid w:val="00815EDF"/>
    <w:rsid w:val="008162A0"/>
    <w:rsid w:val="00816694"/>
    <w:rsid w:val="00816EFA"/>
    <w:rsid w:val="00816F1B"/>
    <w:rsid w:val="008171AC"/>
    <w:rsid w:val="008174E2"/>
    <w:rsid w:val="00817555"/>
    <w:rsid w:val="008175BB"/>
    <w:rsid w:val="00817FFE"/>
    <w:rsid w:val="00821472"/>
    <w:rsid w:val="008216BD"/>
    <w:rsid w:val="00821A1A"/>
    <w:rsid w:val="00821B81"/>
    <w:rsid w:val="00821EC8"/>
    <w:rsid w:val="00821F1D"/>
    <w:rsid w:val="00822389"/>
    <w:rsid w:val="0082240C"/>
    <w:rsid w:val="00822427"/>
    <w:rsid w:val="00822819"/>
    <w:rsid w:val="00822AA1"/>
    <w:rsid w:val="00822C31"/>
    <w:rsid w:val="00822CB1"/>
    <w:rsid w:val="00823032"/>
    <w:rsid w:val="0082331A"/>
    <w:rsid w:val="0082336E"/>
    <w:rsid w:val="008237E4"/>
    <w:rsid w:val="008239B5"/>
    <w:rsid w:val="008239C8"/>
    <w:rsid w:val="00823D77"/>
    <w:rsid w:val="00824148"/>
    <w:rsid w:val="00824212"/>
    <w:rsid w:val="00824460"/>
    <w:rsid w:val="0082462B"/>
    <w:rsid w:val="00824724"/>
    <w:rsid w:val="0082498F"/>
    <w:rsid w:val="00824C89"/>
    <w:rsid w:val="00824D89"/>
    <w:rsid w:val="0082532C"/>
    <w:rsid w:val="00825368"/>
    <w:rsid w:val="008255D0"/>
    <w:rsid w:val="008255E1"/>
    <w:rsid w:val="0082611F"/>
    <w:rsid w:val="00826493"/>
    <w:rsid w:val="00826533"/>
    <w:rsid w:val="00826632"/>
    <w:rsid w:val="008270AF"/>
    <w:rsid w:val="0082723C"/>
    <w:rsid w:val="00827C18"/>
    <w:rsid w:val="0083002B"/>
    <w:rsid w:val="00830256"/>
    <w:rsid w:val="0083027C"/>
    <w:rsid w:val="008304AD"/>
    <w:rsid w:val="008304F2"/>
    <w:rsid w:val="00830675"/>
    <w:rsid w:val="008306C1"/>
    <w:rsid w:val="00830765"/>
    <w:rsid w:val="00830AC9"/>
    <w:rsid w:val="00830BA2"/>
    <w:rsid w:val="00830D08"/>
    <w:rsid w:val="00831436"/>
    <w:rsid w:val="00831625"/>
    <w:rsid w:val="00831686"/>
    <w:rsid w:val="00831763"/>
    <w:rsid w:val="00831BD5"/>
    <w:rsid w:val="00831F02"/>
    <w:rsid w:val="00832013"/>
    <w:rsid w:val="00832347"/>
    <w:rsid w:val="00832443"/>
    <w:rsid w:val="0083288C"/>
    <w:rsid w:val="00832D75"/>
    <w:rsid w:val="00833029"/>
    <w:rsid w:val="008333FE"/>
    <w:rsid w:val="00833449"/>
    <w:rsid w:val="0083349E"/>
    <w:rsid w:val="00833758"/>
    <w:rsid w:val="008338E5"/>
    <w:rsid w:val="00833957"/>
    <w:rsid w:val="008339FF"/>
    <w:rsid w:val="00833B90"/>
    <w:rsid w:val="00833EBD"/>
    <w:rsid w:val="00833F13"/>
    <w:rsid w:val="00834428"/>
    <w:rsid w:val="00834627"/>
    <w:rsid w:val="00834826"/>
    <w:rsid w:val="00834AB2"/>
    <w:rsid w:val="00834AD7"/>
    <w:rsid w:val="00834AFE"/>
    <w:rsid w:val="00834D02"/>
    <w:rsid w:val="00834D32"/>
    <w:rsid w:val="00834E66"/>
    <w:rsid w:val="008350D3"/>
    <w:rsid w:val="00835349"/>
    <w:rsid w:val="0083573C"/>
    <w:rsid w:val="00835C07"/>
    <w:rsid w:val="00835F8E"/>
    <w:rsid w:val="008365E8"/>
    <w:rsid w:val="00836762"/>
    <w:rsid w:val="008367A0"/>
    <w:rsid w:val="00837178"/>
    <w:rsid w:val="0083736E"/>
    <w:rsid w:val="00837691"/>
    <w:rsid w:val="0083790B"/>
    <w:rsid w:val="00840CED"/>
    <w:rsid w:val="00840D3B"/>
    <w:rsid w:val="00840ED2"/>
    <w:rsid w:val="00841904"/>
    <w:rsid w:val="00842624"/>
    <w:rsid w:val="008426B9"/>
    <w:rsid w:val="00842834"/>
    <w:rsid w:val="00842A57"/>
    <w:rsid w:val="00842F2E"/>
    <w:rsid w:val="0084345D"/>
    <w:rsid w:val="00843568"/>
    <w:rsid w:val="008439C3"/>
    <w:rsid w:val="00843B88"/>
    <w:rsid w:val="00843E22"/>
    <w:rsid w:val="00844457"/>
    <w:rsid w:val="008446AC"/>
    <w:rsid w:val="008449ED"/>
    <w:rsid w:val="00844AAF"/>
    <w:rsid w:val="00844D5C"/>
    <w:rsid w:val="00844E9E"/>
    <w:rsid w:val="00845585"/>
    <w:rsid w:val="00845784"/>
    <w:rsid w:val="00845804"/>
    <w:rsid w:val="00845931"/>
    <w:rsid w:val="00846433"/>
    <w:rsid w:val="00846907"/>
    <w:rsid w:val="008469D8"/>
    <w:rsid w:val="00846AAB"/>
    <w:rsid w:val="00846B75"/>
    <w:rsid w:val="00846B8F"/>
    <w:rsid w:val="00847072"/>
    <w:rsid w:val="00847199"/>
    <w:rsid w:val="008475FD"/>
    <w:rsid w:val="00847883"/>
    <w:rsid w:val="00847896"/>
    <w:rsid w:val="00847B67"/>
    <w:rsid w:val="00847C48"/>
    <w:rsid w:val="00850105"/>
    <w:rsid w:val="00850155"/>
    <w:rsid w:val="008507CB"/>
    <w:rsid w:val="00850BF7"/>
    <w:rsid w:val="00850EA6"/>
    <w:rsid w:val="00850F8B"/>
    <w:rsid w:val="008510DA"/>
    <w:rsid w:val="00851679"/>
    <w:rsid w:val="00851740"/>
    <w:rsid w:val="008517E9"/>
    <w:rsid w:val="00851A2D"/>
    <w:rsid w:val="00851EF7"/>
    <w:rsid w:val="00853025"/>
    <w:rsid w:val="00853203"/>
    <w:rsid w:val="00853286"/>
    <w:rsid w:val="00853D3F"/>
    <w:rsid w:val="0085419E"/>
    <w:rsid w:val="0085502B"/>
    <w:rsid w:val="0085511D"/>
    <w:rsid w:val="0085622C"/>
    <w:rsid w:val="008562BA"/>
    <w:rsid w:val="008565A9"/>
    <w:rsid w:val="008565BE"/>
    <w:rsid w:val="00856843"/>
    <w:rsid w:val="00856BB8"/>
    <w:rsid w:val="00857889"/>
    <w:rsid w:val="00857A3C"/>
    <w:rsid w:val="00857B18"/>
    <w:rsid w:val="00860531"/>
    <w:rsid w:val="0086081F"/>
    <w:rsid w:val="00860EAD"/>
    <w:rsid w:val="008612ED"/>
    <w:rsid w:val="008615C6"/>
    <w:rsid w:val="008616B4"/>
    <w:rsid w:val="0086183A"/>
    <w:rsid w:val="00861D77"/>
    <w:rsid w:val="00861D83"/>
    <w:rsid w:val="008621B2"/>
    <w:rsid w:val="00862670"/>
    <w:rsid w:val="00862813"/>
    <w:rsid w:val="00862A1F"/>
    <w:rsid w:val="00863647"/>
    <w:rsid w:val="008636C5"/>
    <w:rsid w:val="008636CD"/>
    <w:rsid w:val="00863765"/>
    <w:rsid w:val="00863D71"/>
    <w:rsid w:val="00864006"/>
    <w:rsid w:val="008647A7"/>
    <w:rsid w:val="008647E9"/>
    <w:rsid w:val="00864919"/>
    <w:rsid w:val="0086493D"/>
    <w:rsid w:val="00864E1D"/>
    <w:rsid w:val="00864E53"/>
    <w:rsid w:val="008651A9"/>
    <w:rsid w:val="008653B0"/>
    <w:rsid w:val="008656CF"/>
    <w:rsid w:val="008656D9"/>
    <w:rsid w:val="00865DD5"/>
    <w:rsid w:val="00866182"/>
    <w:rsid w:val="008662C7"/>
    <w:rsid w:val="008662F8"/>
    <w:rsid w:val="00866337"/>
    <w:rsid w:val="008664AD"/>
    <w:rsid w:val="008665E8"/>
    <w:rsid w:val="00866BD8"/>
    <w:rsid w:val="0086730E"/>
    <w:rsid w:val="00867545"/>
    <w:rsid w:val="0086762A"/>
    <w:rsid w:val="00867752"/>
    <w:rsid w:val="00867B0D"/>
    <w:rsid w:val="00867CD8"/>
    <w:rsid w:val="00867F43"/>
    <w:rsid w:val="00870086"/>
    <w:rsid w:val="00870254"/>
    <w:rsid w:val="008702A1"/>
    <w:rsid w:val="0087052A"/>
    <w:rsid w:val="008706EF"/>
    <w:rsid w:val="00870DBB"/>
    <w:rsid w:val="00870EE5"/>
    <w:rsid w:val="00870F16"/>
    <w:rsid w:val="008712F4"/>
    <w:rsid w:val="00871ADA"/>
    <w:rsid w:val="00871F52"/>
    <w:rsid w:val="008723F4"/>
    <w:rsid w:val="0087248B"/>
    <w:rsid w:val="00872546"/>
    <w:rsid w:val="00872B7F"/>
    <w:rsid w:val="00872BF8"/>
    <w:rsid w:val="00872D0A"/>
    <w:rsid w:val="0087309B"/>
    <w:rsid w:val="00873425"/>
    <w:rsid w:val="008738F4"/>
    <w:rsid w:val="008739A7"/>
    <w:rsid w:val="00873BFD"/>
    <w:rsid w:val="00873D0D"/>
    <w:rsid w:val="00873E47"/>
    <w:rsid w:val="008744EE"/>
    <w:rsid w:val="008745BC"/>
    <w:rsid w:val="00875579"/>
    <w:rsid w:val="00875A95"/>
    <w:rsid w:val="00875BF0"/>
    <w:rsid w:val="0087600D"/>
    <w:rsid w:val="008760D9"/>
    <w:rsid w:val="0087636E"/>
    <w:rsid w:val="0087658A"/>
    <w:rsid w:val="008766D1"/>
    <w:rsid w:val="00876B24"/>
    <w:rsid w:val="00876D9D"/>
    <w:rsid w:val="00876F8B"/>
    <w:rsid w:val="008771A5"/>
    <w:rsid w:val="00877220"/>
    <w:rsid w:val="00877500"/>
    <w:rsid w:val="008776B6"/>
    <w:rsid w:val="008778BB"/>
    <w:rsid w:val="00877BC6"/>
    <w:rsid w:val="00877C31"/>
    <w:rsid w:val="00877EDD"/>
    <w:rsid w:val="00880116"/>
    <w:rsid w:val="00880183"/>
    <w:rsid w:val="008802F7"/>
    <w:rsid w:val="0088035E"/>
    <w:rsid w:val="00880AB8"/>
    <w:rsid w:val="0088110B"/>
    <w:rsid w:val="00881320"/>
    <w:rsid w:val="00881577"/>
    <w:rsid w:val="00881793"/>
    <w:rsid w:val="00881844"/>
    <w:rsid w:val="00881A70"/>
    <w:rsid w:val="00882ADB"/>
    <w:rsid w:val="00882CAE"/>
    <w:rsid w:val="00883330"/>
    <w:rsid w:val="00883659"/>
    <w:rsid w:val="00883C4A"/>
    <w:rsid w:val="00883C96"/>
    <w:rsid w:val="00883DBB"/>
    <w:rsid w:val="00884329"/>
    <w:rsid w:val="00884353"/>
    <w:rsid w:val="00884AC1"/>
    <w:rsid w:val="00884EF0"/>
    <w:rsid w:val="008854A2"/>
    <w:rsid w:val="00885632"/>
    <w:rsid w:val="00885651"/>
    <w:rsid w:val="00885861"/>
    <w:rsid w:val="008858FA"/>
    <w:rsid w:val="008859AE"/>
    <w:rsid w:val="008861B2"/>
    <w:rsid w:val="0088699A"/>
    <w:rsid w:val="00886B35"/>
    <w:rsid w:val="00886C43"/>
    <w:rsid w:val="00886DC9"/>
    <w:rsid w:val="0088771F"/>
    <w:rsid w:val="00887827"/>
    <w:rsid w:val="008878BA"/>
    <w:rsid w:val="00887C51"/>
    <w:rsid w:val="00887E56"/>
    <w:rsid w:val="00887F9B"/>
    <w:rsid w:val="00890BD2"/>
    <w:rsid w:val="00890CEC"/>
    <w:rsid w:val="00890D02"/>
    <w:rsid w:val="0089154A"/>
    <w:rsid w:val="0089163F"/>
    <w:rsid w:val="008916D4"/>
    <w:rsid w:val="0089205D"/>
    <w:rsid w:val="00892170"/>
    <w:rsid w:val="0089260D"/>
    <w:rsid w:val="008927F9"/>
    <w:rsid w:val="00892E1B"/>
    <w:rsid w:val="00892F6E"/>
    <w:rsid w:val="0089302B"/>
    <w:rsid w:val="00893093"/>
    <w:rsid w:val="00893E0C"/>
    <w:rsid w:val="0089404F"/>
    <w:rsid w:val="008940FE"/>
    <w:rsid w:val="00894346"/>
    <w:rsid w:val="008944D3"/>
    <w:rsid w:val="00894D06"/>
    <w:rsid w:val="0089500B"/>
    <w:rsid w:val="00895069"/>
    <w:rsid w:val="008950A8"/>
    <w:rsid w:val="008950DD"/>
    <w:rsid w:val="008952D9"/>
    <w:rsid w:val="00895801"/>
    <w:rsid w:val="00895CB6"/>
    <w:rsid w:val="00895EC8"/>
    <w:rsid w:val="008962C2"/>
    <w:rsid w:val="00896437"/>
    <w:rsid w:val="00896862"/>
    <w:rsid w:val="0089697D"/>
    <w:rsid w:val="00897094"/>
    <w:rsid w:val="008970E5"/>
    <w:rsid w:val="008971CD"/>
    <w:rsid w:val="00897392"/>
    <w:rsid w:val="008974A8"/>
    <w:rsid w:val="0089780D"/>
    <w:rsid w:val="00897882"/>
    <w:rsid w:val="00897A81"/>
    <w:rsid w:val="00897CD4"/>
    <w:rsid w:val="00897D32"/>
    <w:rsid w:val="008A0042"/>
    <w:rsid w:val="008A031A"/>
    <w:rsid w:val="008A0A8F"/>
    <w:rsid w:val="008A0CAC"/>
    <w:rsid w:val="008A1953"/>
    <w:rsid w:val="008A1AE2"/>
    <w:rsid w:val="008A1D5D"/>
    <w:rsid w:val="008A1DBB"/>
    <w:rsid w:val="008A1F34"/>
    <w:rsid w:val="008A2031"/>
    <w:rsid w:val="008A2222"/>
    <w:rsid w:val="008A2324"/>
    <w:rsid w:val="008A2459"/>
    <w:rsid w:val="008A25B1"/>
    <w:rsid w:val="008A2628"/>
    <w:rsid w:val="008A2ADD"/>
    <w:rsid w:val="008A2B22"/>
    <w:rsid w:val="008A2B36"/>
    <w:rsid w:val="008A2E2B"/>
    <w:rsid w:val="008A3140"/>
    <w:rsid w:val="008A354E"/>
    <w:rsid w:val="008A3605"/>
    <w:rsid w:val="008A3BA3"/>
    <w:rsid w:val="008A3BA9"/>
    <w:rsid w:val="008A3C53"/>
    <w:rsid w:val="008A40C6"/>
    <w:rsid w:val="008A42FC"/>
    <w:rsid w:val="008A473E"/>
    <w:rsid w:val="008A4AD4"/>
    <w:rsid w:val="008A566C"/>
    <w:rsid w:val="008A5725"/>
    <w:rsid w:val="008A585E"/>
    <w:rsid w:val="008A6116"/>
    <w:rsid w:val="008A627B"/>
    <w:rsid w:val="008A6848"/>
    <w:rsid w:val="008A69D9"/>
    <w:rsid w:val="008A707C"/>
    <w:rsid w:val="008A72CC"/>
    <w:rsid w:val="008A7402"/>
    <w:rsid w:val="008A7481"/>
    <w:rsid w:val="008A7679"/>
    <w:rsid w:val="008A79D8"/>
    <w:rsid w:val="008A7E17"/>
    <w:rsid w:val="008B049C"/>
    <w:rsid w:val="008B0628"/>
    <w:rsid w:val="008B08E8"/>
    <w:rsid w:val="008B1B0E"/>
    <w:rsid w:val="008B1C78"/>
    <w:rsid w:val="008B1D98"/>
    <w:rsid w:val="008B33C7"/>
    <w:rsid w:val="008B36B2"/>
    <w:rsid w:val="008B3935"/>
    <w:rsid w:val="008B3C67"/>
    <w:rsid w:val="008B3D93"/>
    <w:rsid w:val="008B3FAA"/>
    <w:rsid w:val="008B4159"/>
    <w:rsid w:val="008B4DC5"/>
    <w:rsid w:val="008B52D0"/>
    <w:rsid w:val="008B534F"/>
    <w:rsid w:val="008B5678"/>
    <w:rsid w:val="008B5DEA"/>
    <w:rsid w:val="008B5E39"/>
    <w:rsid w:val="008B61BD"/>
    <w:rsid w:val="008B687E"/>
    <w:rsid w:val="008B70E5"/>
    <w:rsid w:val="008B71F5"/>
    <w:rsid w:val="008B73F5"/>
    <w:rsid w:val="008B79B0"/>
    <w:rsid w:val="008B7BB8"/>
    <w:rsid w:val="008B7CC1"/>
    <w:rsid w:val="008B7EA1"/>
    <w:rsid w:val="008C0132"/>
    <w:rsid w:val="008C0DF4"/>
    <w:rsid w:val="008C0FFC"/>
    <w:rsid w:val="008C103D"/>
    <w:rsid w:val="008C11AE"/>
    <w:rsid w:val="008C19A2"/>
    <w:rsid w:val="008C1B3E"/>
    <w:rsid w:val="008C1E42"/>
    <w:rsid w:val="008C2196"/>
    <w:rsid w:val="008C230D"/>
    <w:rsid w:val="008C24BD"/>
    <w:rsid w:val="008C281A"/>
    <w:rsid w:val="008C2A15"/>
    <w:rsid w:val="008C2DFF"/>
    <w:rsid w:val="008C3BDB"/>
    <w:rsid w:val="008C3D22"/>
    <w:rsid w:val="008C3D76"/>
    <w:rsid w:val="008C3DAA"/>
    <w:rsid w:val="008C40C8"/>
    <w:rsid w:val="008C41F4"/>
    <w:rsid w:val="008C4336"/>
    <w:rsid w:val="008C438E"/>
    <w:rsid w:val="008C4560"/>
    <w:rsid w:val="008C4644"/>
    <w:rsid w:val="008C5033"/>
    <w:rsid w:val="008C574C"/>
    <w:rsid w:val="008C57DB"/>
    <w:rsid w:val="008C5803"/>
    <w:rsid w:val="008C5A71"/>
    <w:rsid w:val="008C5C57"/>
    <w:rsid w:val="008C5D42"/>
    <w:rsid w:val="008C5E42"/>
    <w:rsid w:val="008C5FBB"/>
    <w:rsid w:val="008C5FCE"/>
    <w:rsid w:val="008C6038"/>
    <w:rsid w:val="008C617E"/>
    <w:rsid w:val="008C6499"/>
    <w:rsid w:val="008C67D5"/>
    <w:rsid w:val="008C7C1F"/>
    <w:rsid w:val="008C7E90"/>
    <w:rsid w:val="008D03AA"/>
    <w:rsid w:val="008D09CA"/>
    <w:rsid w:val="008D0AB1"/>
    <w:rsid w:val="008D0AD2"/>
    <w:rsid w:val="008D0CF6"/>
    <w:rsid w:val="008D1212"/>
    <w:rsid w:val="008D16B8"/>
    <w:rsid w:val="008D1E7F"/>
    <w:rsid w:val="008D1F49"/>
    <w:rsid w:val="008D228B"/>
    <w:rsid w:val="008D2DC1"/>
    <w:rsid w:val="008D2F92"/>
    <w:rsid w:val="008D33A9"/>
    <w:rsid w:val="008D3458"/>
    <w:rsid w:val="008D35ED"/>
    <w:rsid w:val="008D3805"/>
    <w:rsid w:val="008D3972"/>
    <w:rsid w:val="008D3A08"/>
    <w:rsid w:val="008D3A0E"/>
    <w:rsid w:val="008D3ABD"/>
    <w:rsid w:val="008D3F23"/>
    <w:rsid w:val="008D3FB0"/>
    <w:rsid w:val="008D4238"/>
    <w:rsid w:val="008D430B"/>
    <w:rsid w:val="008D4842"/>
    <w:rsid w:val="008D4A6C"/>
    <w:rsid w:val="008D4BFE"/>
    <w:rsid w:val="008D4CB1"/>
    <w:rsid w:val="008D520C"/>
    <w:rsid w:val="008D556F"/>
    <w:rsid w:val="008D5652"/>
    <w:rsid w:val="008D5AAF"/>
    <w:rsid w:val="008D5BAD"/>
    <w:rsid w:val="008D5C75"/>
    <w:rsid w:val="008D5F04"/>
    <w:rsid w:val="008D6222"/>
    <w:rsid w:val="008D63AA"/>
    <w:rsid w:val="008D6A3A"/>
    <w:rsid w:val="008D6B95"/>
    <w:rsid w:val="008D6E48"/>
    <w:rsid w:val="008D7491"/>
    <w:rsid w:val="008D74CA"/>
    <w:rsid w:val="008E0212"/>
    <w:rsid w:val="008E02D2"/>
    <w:rsid w:val="008E06EE"/>
    <w:rsid w:val="008E119E"/>
    <w:rsid w:val="008E146D"/>
    <w:rsid w:val="008E2235"/>
    <w:rsid w:val="008E25F2"/>
    <w:rsid w:val="008E2CED"/>
    <w:rsid w:val="008E2E35"/>
    <w:rsid w:val="008E311C"/>
    <w:rsid w:val="008E330E"/>
    <w:rsid w:val="008E3890"/>
    <w:rsid w:val="008E38E0"/>
    <w:rsid w:val="008E3E57"/>
    <w:rsid w:val="008E3F7F"/>
    <w:rsid w:val="008E4086"/>
    <w:rsid w:val="008E4124"/>
    <w:rsid w:val="008E44E3"/>
    <w:rsid w:val="008E4851"/>
    <w:rsid w:val="008E536E"/>
    <w:rsid w:val="008E5BCE"/>
    <w:rsid w:val="008E5BD0"/>
    <w:rsid w:val="008E6A63"/>
    <w:rsid w:val="008E6F00"/>
    <w:rsid w:val="008E6F92"/>
    <w:rsid w:val="008E7034"/>
    <w:rsid w:val="008E7120"/>
    <w:rsid w:val="008E71B7"/>
    <w:rsid w:val="008E77D8"/>
    <w:rsid w:val="008E7895"/>
    <w:rsid w:val="008E78A9"/>
    <w:rsid w:val="008E7A40"/>
    <w:rsid w:val="008E7A8E"/>
    <w:rsid w:val="008E7D43"/>
    <w:rsid w:val="008E7D4A"/>
    <w:rsid w:val="008F044A"/>
    <w:rsid w:val="008F0478"/>
    <w:rsid w:val="008F0896"/>
    <w:rsid w:val="008F10DD"/>
    <w:rsid w:val="008F1674"/>
    <w:rsid w:val="008F1872"/>
    <w:rsid w:val="008F18FE"/>
    <w:rsid w:val="008F1A09"/>
    <w:rsid w:val="008F1C79"/>
    <w:rsid w:val="008F1DE3"/>
    <w:rsid w:val="008F1FD2"/>
    <w:rsid w:val="008F21EB"/>
    <w:rsid w:val="008F2268"/>
    <w:rsid w:val="008F23E3"/>
    <w:rsid w:val="008F2527"/>
    <w:rsid w:val="008F2910"/>
    <w:rsid w:val="008F2972"/>
    <w:rsid w:val="008F2B67"/>
    <w:rsid w:val="008F2BF3"/>
    <w:rsid w:val="008F2C0B"/>
    <w:rsid w:val="008F2E91"/>
    <w:rsid w:val="008F35EB"/>
    <w:rsid w:val="008F39A2"/>
    <w:rsid w:val="008F39ED"/>
    <w:rsid w:val="008F3CA3"/>
    <w:rsid w:val="008F401F"/>
    <w:rsid w:val="008F4084"/>
    <w:rsid w:val="008F4103"/>
    <w:rsid w:val="008F4263"/>
    <w:rsid w:val="008F43C3"/>
    <w:rsid w:val="008F45FB"/>
    <w:rsid w:val="008F4677"/>
    <w:rsid w:val="008F4906"/>
    <w:rsid w:val="008F4D38"/>
    <w:rsid w:val="008F4DD8"/>
    <w:rsid w:val="008F508C"/>
    <w:rsid w:val="008F5117"/>
    <w:rsid w:val="008F5155"/>
    <w:rsid w:val="008F541E"/>
    <w:rsid w:val="008F5873"/>
    <w:rsid w:val="008F5894"/>
    <w:rsid w:val="008F5EA6"/>
    <w:rsid w:val="008F5F36"/>
    <w:rsid w:val="008F5FE1"/>
    <w:rsid w:val="008F6067"/>
    <w:rsid w:val="008F65F6"/>
    <w:rsid w:val="008F6794"/>
    <w:rsid w:val="008F6886"/>
    <w:rsid w:val="008F69C8"/>
    <w:rsid w:val="008F6A48"/>
    <w:rsid w:val="008F71A5"/>
    <w:rsid w:val="008F7248"/>
    <w:rsid w:val="008F72E0"/>
    <w:rsid w:val="008F77AF"/>
    <w:rsid w:val="008F7A05"/>
    <w:rsid w:val="0090019B"/>
    <w:rsid w:val="00900570"/>
    <w:rsid w:val="009008AB"/>
    <w:rsid w:val="009009D9"/>
    <w:rsid w:val="00900A8A"/>
    <w:rsid w:val="00900A93"/>
    <w:rsid w:val="00900F71"/>
    <w:rsid w:val="00901175"/>
    <w:rsid w:val="00901339"/>
    <w:rsid w:val="00901677"/>
    <w:rsid w:val="009017DA"/>
    <w:rsid w:val="0090189C"/>
    <w:rsid w:val="009019D4"/>
    <w:rsid w:val="00901DF2"/>
    <w:rsid w:val="009020CC"/>
    <w:rsid w:val="0090235F"/>
    <w:rsid w:val="00902371"/>
    <w:rsid w:val="009026D4"/>
    <w:rsid w:val="00902893"/>
    <w:rsid w:val="00902A89"/>
    <w:rsid w:val="00902EF4"/>
    <w:rsid w:val="00903430"/>
    <w:rsid w:val="009035BA"/>
    <w:rsid w:val="00903EC6"/>
    <w:rsid w:val="00904020"/>
    <w:rsid w:val="009046F5"/>
    <w:rsid w:val="00904B1E"/>
    <w:rsid w:val="0090539E"/>
    <w:rsid w:val="009053A6"/>
    <w:rsid w:val="00905D84"/>
    <w:rsid w:val="00905EE1"/>
    <w:rsid w:val="00906282"/>
    <w:rsid w:val="0090656E"/>
    <w:rsid w:val="009065F0"/>
    <w:rsid w:val="0090663A"/>
    <w:rsid w:val="00906685"/>
    <w:rsid w:val="009067F4"/>
    <w:rsid w:val="00906BB8"/>
    <w:rsid w:val="00906BC4"/>
    <w:rsid w:val="00906C23"/>
    <w:rsid w:val="00906C36"/>
    <w:rsid w:val="00906FF5"/>
    <w:rsid w:val="0090700B"/>
    <w:rsid w:val="0090710E"/>
    <w:rsid w:val="00907273"/>
    <w:rsid w:val="009073B8"/>
    <w:rsid w:val="00907599"/>
    <w:rsid w:val="00907628"/>
    <w:rsid w:val="0090775F"/>
    <w:rsid w:val="00907A6A"/>
    <w:rsid w:val="00907BFE"/>
    <w:rsid w:val="00907CF1"/>
    <w:rsid w:val="0091006C"/>
    <w:rsid w:val="00910189"/>
    <w:rsid w:val="0091027C"/>
    <w:rsid w:val="00910494"/>
    <w:rsid w:val="0091057C"/>
    <w:rsid w:val="00910757"/>
    <w:rsid w:val="009109DC"/>
    <w:rsid w:val="0091112F"/>
    <w:rsid w:val="00911497"/>
    <w:rsid w:val="00911760"/>
    <w:rsid w:val="009117B7"/>
    <w:rsid w:val="009121BF"/>
    <w:rsid w:val="009124B2"/>
    <w:rsid w:val="00912521"/>
    <w:rsid w:val="00912589"/>
    <w:rsid w:val="00912621"/>
    <w:rsid w:val="0091297A"/>
    <w:rsid w:val="00912A63"/>
    <w:rsid w:val="00912C7A"/>
    <w:rsid w:val="00912E33"/>
    <w:rsid w:val="00913164"/>
    <w:rsid w:val="00913192"/>
    <w:rsid w:val="009134CA"/>
    <w:rsid w:val="0091385D"/>
    <w:rsid w:val="009138E9"/>
    <w:rsid w:val="00913A74"/>
    <w:rsid w:val="00913B4F"/>
    <w:rsid w:val="00913EC4"/>
    <w:rsid w:val="009141E3"/>
    <w:rsid w:val="009141ED"/>
    <w:rsid w:val="009141F9"/>
    <w:rsid w:val="0091479A"/>
    <w:rsid w:val="00914F8D"/>
    <w:rsid w:val="00915CF5"/>
    <w:rsid w:val="009163FC"/>
    <w:rsid w:val="00916EA6"/>
    <w:rsid w:val="0091761F"/>
    <w:rsid w:val="00917631"/>
    <w:rsid w:val="00917B4E"/>
    <w:rsid w:val="0092033F"/>
    <w:rsid w:val="00920A1F"/>
    <w:rsid w:val="00920B8D"/>
    <w:rsid w:val="00920DFB"/>
    <w:rsid w:val="00920ECF"/>
    <w:rsid w:val="0092102F"/>
    <w:rsid w:val="00921208"/>
    <w:rsid w:val="009215BD"/>
    <w:rsid w:val="00921EE3"/>
    <w:rsid w:val="00922298"/>
    <w:rsid w:val="0092232F"/>
    <w:rsid w:val="00922E9C"/>
    <w:rsid w:val="00923495"/>
    <w:rsid w:val="00923744"/>
    <w:rsid w:val="00923917"/>
    <w:rsid w:val="00923977"/>
    <w:rsid w:val="00923CED"/>
    <w:rsid w:val="00923EE7"/>
    <w:rsid w:val="009242AB"/>
    <w:rsid w:val="009243E0"/>
    <w:rsid w:val="00924A15"/>
    <w:rsid w:val="00924F61"/>
    <w:rsid w:val="00925644"/>
    <w:rsid w:val="00925C37"/>
    <w:rsid w:val="00925C75"/>
    <w:rsid w:val="00925D9F"/>
    <w:rsid w:val="00925F22"/>
    <w:rsid w:val="00926345"/>
    <w:rsid w:val="009267E2"/>
    <w:rsid w:val="0092685C"/>
    <w:rsid w:val="00926AC6"/>
    <w:rsid w:val="00926CFD"/>
    <w:rsid w:val="00926FB1"/>
    <w:rsid w:val="009275B9"/>
    <w:rsid w:val="00927A97"/>
    <w:rsid w:val="00927CFF"/>
    <w:rsid w:val="00927D5E"/>
    <w:rsid w:val="00927D88"/>
    <w:rsid w:val="00927F42"/>
    <w:rsid w:val="00927FAC"/>
    <w:rsid w:val="0092C77C"/>
    <w:rsid w:val="00930084"/>
    <w:rsid w:val="009304D3"/>
    <w:rsid w:val="00930516"/>
    <w:rsid w:val="00930572"/>
    <w:rsid w:val="0093096C"/>
    <w:rsid w:val="00930B16"/>
    <w:rsid w:val="00931018"/>
    <w:rsid w:val="009311B8"/>
    <w:rsid w:val="00931233"/>
    <w:rsid w:val="00931524"/>
    <w:rsid w:val="009316E8"/>
    <w:rsid w:val="00931756"/>
    <w:rsid w:val="009317D6"/>
    <w:rsid w:val="00931844"/>
    <w:rsid w:val="00931A30"/>
    <w:rsid w:val="00931AB4"/>
    <w:rsid w:val="00931D34"/>
    <w:rsid w:val="00931F18"/>
    <w:rsid w:val="009324E8"/>
    <w:rsid w:val="00932687"/>
    <w:rsid w:val="009327CA"/>
    <w:rsid w:val="0093288E"/>
    <w:rsid w:val="00932945"/>
    <w:rsid w:val="0093295D"/>
    <w:rsid w:val="009330EF"/>
    <w:rsid w:val="00933145"/>
    <w:rsid w:val="00933209"/>
    <w:rsid w:val="00933229"/>
    <w:rsid w:val="009332FD"/>
    <w:rsid w:val="00933537"/>
    <w:rsid w:val="0093365C"/>
    <w:rsid w:val="00933B6A"/>
    <w:rsid w:val="00934230"/>
    <w:rsid w:val="0093431F"/>
    <w:rsid w:val="0093441D"/>
    <w:rsid w:val="009346FD"/>
    <w:rsid w:val="009348E3"/>
    <w:rsid w:val="00934D08"/>
    <w:rsid w:val="009354A3"/>
    <w:rsid w:val="009355BD"/>
    <w:rsid w:val="00935688"/>
    <w:rsid w:val="009356EB"/>
    <w:rsid w:val="00935947"/>
    <w:rsid w:val="00935F93"/>
    <w:rsid w:val="009360E9"/>
    <w:rsid w:val="009361C4"/>
    <w:rsid w:val="00936522"/>
    <w:rsid w:val="0093667E"/>
    <w:rsid w:val="00936B2D"/>
    <w:rsid w:val="00936EE4"/>
    <w:rsid w:val="009375A2"/>
    <w:rsid w:val="00937C7C"/>
    <w:rsid w:val="00940125"/>
    <w:rsid w:val="00940456"/>
    <w:rsid w:val="0094073A"/>
    <w:rsid w:val="00940DFF"/>
    <w:rsid w:val="00940EC8"/>
    <w:rsid w:val="00940FEE"/>
    <w:rsid w:val="0094146D"/>
    <w:rsid w:val="00941625"/>
    <w:rsid w:val="00941A54"/>
    <w:rsid w:val="00941F05"/>
    <w:rsid w:val="00942554"/>
    <w:rsid w:val="009426BC"/>
    <w:rsid w:val="00942E30"/>
    <w:rsid w:val="009431AF"/>
    <w:rsid w:val="00943478"/>
    <w:rsid w:val="009434C6"/>
    <w:rsid w:val="0094367A"/>
    <w:rsid w:val="00943F9F"/>
    <w:rsid w:val="009442B5"/>
    <w:rsid w:val="009444E8"/>
    <w:rsid w:val="00944601"/>
    <w:rsid w:val="009446C2"/>
    <w:rsid w:val="009448CC"/>
    <w:rsid w:val="00944BF2"/>
    <w:rsid w:val="00945275"/>
    <w:rsid w:val="00945319"/>
    <w:rsid w:val="009453CE"/>
    <w:rsid w:val="009455C2"/>
    <w:rsid w:val="00945651"/>
    <w:rsid w:val="0094569C"/>
    <w:rsid w:val="009458A1"/>
    <w:rsid w:val="00945A95"/>
    <w:rsid w:val="00945B7C"/>
    <w:rsid w:val="00945E2F"/>
    <w:rsid w:val="00945F38"/>
    <w:rsid w:val="00946390"/>
    <w:rsid w:val="009465B9"/>
    <w:rsid w:val="00946CC1"/>
    <w:rsid w:val="00946E54"/>
    <w:rsid w:val="0094700C"/>
    <w:rsid w:val="0094724D"/>
    <w:rsid w:val="009473D9"/>
    <w:rsid w:val="009475D1"/>
    <w:rsid w:val="009475D8"/>
    <w:rsid w:val="00947A87"/>
    <w:rsid w:val="00950841"/>
    <w:rsid w:val="00950998"/>
    <w:rsid w:val="00950CA7"/>
    <w:rsid w:val="00950E35"/>
    <w:rsid w:val="00951166"/>
    <w:rsid w:val="00951353"/>
    <w:rsid w:val="009513E0"/>
    <w:rsid w:val="009514B0"/>
    <w:rsid w:val="0095158F"/>
    <w:rsid w:val="00951804"/>
    <w:rsid w:val="00951A46"/>
    <w:rsid w:val="00951F4D"/>
    <w:rsid w:val="00952364"/>
    <w:rsid w:val="009526D3"/>
    <w:rsid w:val="00952C48"/>
    <w:rsid w:val="00952FAF"/>
    <w:rsid w:val="00952FCF"/>
    <w:rsid w:val="0095303F"/>
    <w:rsid w:val="0095312E"/>
    <w:rsid w:val="00953B1B"/>
    <w:rsid w:val="00954A13"/>
    <w:rsid w:val="0095548B"/>
    <w:rsid w:val="00955742"/>
    <w:rsid w:val="00955BC6"/>
    <w:rsid w:val="00956272"/>
    <w:rsid w:val="009566DE"/>
    <w:rsid w:val="00956874"/>
    <w:rsid w:val="00957026"/>
    <w:rsid w:val="0095704E"/>
    <w:rsid w:val="0095734F"/>
    <w:rsid w:val="009574BD"/>
    <w:rsid w:val="00957D3F"/>
    <w:rsid w:val="00960227"/>
    <w:rsid w:val="0096046B"/>
    <w:rsid w:val="0096066E"/>
    <w:rsid w:val="009606BC"/>
    <w:rsid w:val="0096136C"/>
    <w:rsid w:val="00961BE2"/>
    <w:rsid w:val="00961CF6"/>
    <w:rsid w:val="00961F20"/>
    <w:rsid w:val="00962576"/>
    <w:rsid w:val="00962755"/>
    <w:rsid w:val="00962941"/>
    <w:rsid w:val="00962A4D"/>
    <w:rsid w:val="00962ABE"/>
    <w:rsid w:val="00962DB5"/>
    <w:rsid w:val="00962E60"/>
    <w:rsid w:val="0096374D"/>
    <w:rsid w:val="00963C9D"/>
    <w:rsid w:val="009640E7"/>
    <w:rsid w:val="00964736"/>
    <w:rsid w:val="009647A5"/>
    <w:rsid w:val="009648E4"/>
    <w:rsid w:val="00964CF6"/>
    <w:rsid w:val="00964FF4"/>
    <w:rsid w:val="00965770"/>
    <w:rsid w:val="00965B09"/>
    <w:rsid w:val="00965BBC"/>
    <w:rsid w:val="00965BFF"/>
    <w:rsid w:val="00965D19"/>
    <w:rsid w:val="00966336"/>
    <w:rsid w:val="009665C6"/>
    <w:rsid w:val="00966745"/>
    <w:rsid w:val="00966772"/>
    <w:rsid w:val="009667F5"/>
    <w:rsid w:val="00966894"/>
    <w:rsid w:val="00966ECA"/>
    <w:rsid w:val="00967124"/>
    <w:rsid w:val="00967547"/>
    <w:rsid w:val="009678EA"/>
    <w:rsid w:val="00967E90"/>
    <w:rsid w:val="00967ED8"/>
    <w:rsid w:val="00970002"/>
    <w:rsid w:val="009704C3"/>
    <w:rsid w:val="00970B18"/>
    <w:rsid w:val="0097134E"/>
    <w:rsid w:val="00971CB5"/>
    <w:rsid w:val="00971EA8"/>
    <w:rsid w:val="00972099"/>
    <w:rsid w:val="00972763"/>
    <w:rsid w:val="00972959"/>
    <w:rsid w:val="00972A4A"/>
    <w:rsid w:val="00972FB9"/>
    <w:rsid w:val="0097319D"/>
    <w:rsid w:val="009731EE"/>
    <w:rsid w:val="00973434"/>
    <w:rsid w:val="009738F5"/>
    <w:rsid w:val="00973C3E"/>
    <w:rsid w:val="00973CF2"/>
    <w:rsid w:val="00973F33"/>
    <w:rsid w:val="00973FB8"/>
    <w:rsid w:val="009746FE"/>
    <w:rsid w:val="00974C10"/>
    <w:rsid w:val="00974C21"/>
    <w:rsid w:val="00974CDE"/>
    <w:rsid w:val="00974F34"/>
    <w:rsid w:val="00975002"/>
    <w:rsid w:val="009750DB"/>
    <w:rsid w:val="009752C4"/>
    <w:rsid w:val="00975322"/>
    <w:rsid w:val="0097548C"/>
    <w:rsid w:val="00975501"/>
    <w:rsid w:val="00975762"/>
    <w:rsid w:val="0097579E"/>
    <w:rsid w:val="00975916"/>
    <w:rsid w:val="00976114"/>
    <w:rsid w:val="00976B5A"/>
    <w:rsid w:val="00976C60"/>
    <w:rsid w:val="00976F00"/>
    <w:rsid w:val="009771FE"/>
    <w:rsid w:val="00977C5F"/>
    <w:rsid w:val="00977F06"/>
    <w:rsid w:val="00977F63"/>
    <w:rsid w:val="00980245"/>
    <w:rsid w:val="00980689"/>
    <w:rsid w:val="009809C2"/>
    <w:rsid w:val="00980A2B"/>
    <w:rsid w:val="00980EA9"/>
    <w:rsid w:val="00980EB3"/>
    <w:rsid w:val="00980F03"/>
    <w:rsid w:val="0098104A"/>
    <w:rsid w:val="0098126C"/>
    <w:rsid w:val="00981799"/>
    <w:rsid w:val="0098190D"/>
    <w:rsid w:val="00981F3B"/>
    <w:rsid w:val="009821F0"/>
    <w:rsid w:val="00982DD7"/>
    <w:rsid w:val="009838D5"/>
    <w:rsid w:val="00983C09"/>
    <w:rsid w:val="00983C3F"/>
    <w:rsid w:val="00983D46"/>
    <w:rsid w:val="0098457E"/>
    <w:rsid w:val="00984A12"/>
    <w:rsid w:val="00984BA2"/>
    <w:rsid w:val="00984BF9"/>
    <w:rsid w:val="00984C9C"/>
    <w:rsid w:val="00984CC2"/>
    <w:rsid w:val="00984DD6"/>
    <w:rsid w:val="00984DEF"/>
    <w:rsid w:val="00984FCC"/>
    <w:rsid w:val="009855CE"/>
    <w:rsid w:val="009857E7"/>
    <w:rsid w:val="00985C99"/>
    <w:rsid w:val="00986390"/>
    <w:rsid w:val="009863D4"/>
    <w:rsid w:val="00986AEB"/>
    <w:rsid w:val="00986C03"/>
    <w:rsid w:val="00986F99"/>
    <w:rsid w:val="00987393"/>
    <w:rsid w:val="00987926"/>
    <w:rsid w:val="00987B78"/>
    <w:rsid w:val="00987CFD"/>
    <w:rsid w:val="00987D89"/>
    <w:rsid w:val="00987FBE"/>
    <w:rsid w:val="009908D9"/>
    <w:rsid w:val="00990942"/>
    <w:rsid w:val="00990D16"/>
    <w:rsid w:val="00990EAC"/>
    <w:rsid w:val="00990F9B"/>
    <w:rsid w:val="0099148B"/>
    <w:rsid w:val="0099191B"/>
    <w:rsid w:val="0099197D"/>
    <w:rsid w:val="00991D23"/>
    <w:rsid w:val="00992C9A"/>
    <w:rsid w:val="00992DF4"/>
    <w:rsid w:val="0099309E"/>
    <w:rsid w:val="009931CD"/>
    <w:rsid w:val="0099352D"/>
    <w:rsid w:val="009939B4"/>
    <w:rsid w:val="00993A11"/>
    <w:rsid w:val="00993A68"/>
    <w:rsid w:val="00993B7F"/>
    <w:rsid w:val="00993D88"/>
    <w:rsid w:val="009943B9"/>
    <w:rsid w:val="009948D1"/>
    <w:rsid w:val="00994EDD"/>
    <w:rsid w:val="00995084"/>
    <w:rsid w:val="009952EA"/>
    <w:rsid w:val="00995317"/>
    <w:rsid w:val="0099535B"/>
    <w:rsid w:val="00995688"/>
    <w:rsid w:val="00995700"/>
    <w:rsid w:val="00995711"/>
    <w:rsid w:val="00995D6E"/>
    <w:rsid w:val="00995D71"/>
    <w:rsid w:val="00995D77"/>
    <w:rsid w:val="00996508"/>
    <w:rsid w:val="0099650B"/>
    <w:rsid w:val="009967F6"/>
    <w:rsid w:val="009973BA"/>
    <w:rsid w:val="00997D00"/>
    <w:rsid w:val="009A0118"/>
    <w:rsid w:val="009A017C"/>
    <w:rsid w:val="009A0905"/>
    <w:rsid w:val="009A0A45"/>
    <w:rsid w:val="009A0C25"/>
    <w:rsid w:val="009A0EB0"/>
    <w:rsid w:val="009A0EEE"/>
    <w:rsid w:val="009A104F"/>
    <w:rsid w:val="009A12B3"/>
    <w:rsid w:val="009A1829"/>
    <w:rsid w:val="009A1A35"/>
    <w:rsid w:val="009A241A"/>
    <w:rsid w:val="009A2C3B"/>
    <w:rsid w:val="009A2C52"/>
    <w:rsid w:val="009A3012"/>
    <w:rsid w:val="009A327B"/>
    <w:rsid w:val="009A35E2"/>
    <w:rsid w:val="009A39BD"/>
    <w:rsid w:val="009A3A25"/>
    <w:rsid w:val="009A40C0"/>
    <w:rsid w:val="009A4355"/>
    <w:rsid w:val="009A4D84"/>
    <w:rsid w:val="009A4DCB"/>
    <w:rsid w:val="009A5418"/>
    <w:rsid w:val="009A5756"/>
    <w:rsid w:val="009A584B"/>
    <w:rsid w:val="009A5886"/>
    <w:rsid w:val="009A5F43"/>
    <w:rsid w:val="009A6C15"/>
    <w:rsid w:val="009A704A"/>
    <w:rsid w:val="009A73F4"/>
    <w:rsid w:val="009A78E1"/>
    <w:rsid w:val="009A7FF6"/>
    <w:rsid w:val="009B0562"/>
    <w:rsid w:val="009B0813"/>
    <w:rsid w:val="009B0926"/>
    <w:rsid w:val="009B0B44"/>
    <w:rsid w:val="009B0CEE"/>
    <w:rsid w:val="009B0D08"/>
    <w:rsid w:val="009B0DA0"/>
    <w:rsid w:val="009B0E04"/>
    <w:rsid w:val="009B1252"/>
    <w:rsid w:val="009B1C21"/>
    <w:rsid w:val="009B1C98"/>
    <w:rsid w:val="009B1F14"/>
    <w:rsid w:val="009B2083"/>
    <w:rsid w:val="009B2743"/>
    <w:rsid w:val="009B2888"/>
    <w:rsid w:val="009B2B76"/>
    <w:rsid w:val="009B2E53"/>
    <w:rsid w:val="009B3069"/>
    <w:rsid w:val="009B31B1"/>
    <w:rsid w:val="009B32B9"/>
    <w:rsid w:val="009B33C5"/>
    <w:rsid w:val="009B39E4"/>
    <w:rsid w:val="009B3A02"/>
    <w:rsid w:val="009B3CD7"/>
    <w:rsid w:val="009B3DBD"/>
    <w:rsid w:val="009B3DE5"/>
    <w:rsid w:val="009B3E64"/>
    <w:rsid w:val="009B3FCE"/>
    <w:rsid w:val="009B46CB"/>
    <w:rsid w:val="009B485A"/>
    <w:rsid w:val="009B4C1D"/>
    <w:rsid w:val="009B4E12"/>
    <w:rsid w:val="009B4ECB"/>
    <w:rsid w:val="009B5667"/>
    <w:rsid w:val="009B56C0"/>
    <w:rsid w:val="009B5A32"/>
    <w:rsid w:val="009B5B91"/>
    <w:rsid w:val="009B63A0"/>
    <w:rsid w:val="009B6734"/>
    <w:rsid w:val="009B67E0"/>
    <w:rsid w:val="009B6FC4"/>
    <w:rsid w:val="009B7354"/>
    <w:rsid w:val="009B7558"/>
    <w:rsid w:val="009B7562"/>
    <w:rsid w:val="009B77FF"/>
    <w:rsid w:val="009B78E4"/>
    <w:rsid w:val="009B7C33"/>
    <w:rsid w:val="009B7DE5"/>
    <w:rsid w:val="009C017A"/>
    <w:rsid w:val="009C0283"/>
    <w:rsid w:val="009C02FF"/>
    <w:rsid w:val="009C0435"/>
    <w:rsid w:val="009C04C5"/>
    <w:rsid w:val="009C0C39"/>
    <w:rsid w:val="009C103E"/>
    <w:rsid w:val="009C1141"/>
    <w:rsid w:val="009C1257"/>
    <w:rsid w:val="009C17BF"/>
    <w:rsid w:val="009C1932"/>
    <w:rsid w:val="009C1C09"/>
    <w:rsid w:val="009C1D31"/>
    <w:rsid w:val="009C2190"/>
    <w:rsid w:val="009C271F"/>
    <w:rsid w:val="009C2D34"/>
    <w:rsid w:val="009C2D82"/>
    <w:rsid w:val="009C2DF8"/>
    <w:rsid w:val="009C3040"/>
    <w:rsid w:val="009C3041"/>
    <w:rsid w:val="009C3168"/>
    <w:rsid w:val="009C382F"/>
    <w:rsid w:val="009C3CF7"/>
    <w:rsid w:val="009C3F4E"/>
    <w:rsid w:val="009C4114"/>
    <w:rsid w:val="009C42D6"/>
    <w:rsid w:val="009C4524"/>
    <w:rsid w:val="009C4605"/>
    <w:rsid w:val="009C46E4"/>
    <w:rsid w:val="009C4726"/>
    <w:rsid w:val="009C4871"/>
    <w:rsid w:val="009C491C"/>
    <w:rsid w:val="009C4AB5"/>
    <w:rsid w:val="009C4CEC"/>
    <w:rsid w:val="009C53BD"/>
    <w:rsid w:val="009C5507"/>
    <w:rsid w:val="009C5995"/>
    <w:rsid w:val="009C5E78"/>
    <w:rsid w:val="009C64B6"/>
    <w:rsid w:val="009C6502"/>
    <w:rsid w:val="009C65AC"/>
    <w:rsid w:val="009C6693"/>
    <w:rsid w:val="009C6805"/>
    <w:rsid w:val="009C68D5"/>
    <w:rsid w:val="009C6A4F"/>
    <w:rsid w:val="009C6A8E"/>
    <w:rsid w:val="009C6C45"/>
    <w:rsid w:val="009C6C5E"/>
    <w:rsid w:val="009C6E1B"/>
    <w:rsid w:val="009C6F4A"/>
    <w:rsid w:val="009C7188"/>
    <w:rsid w:val="009C7559"/>
    <w:rsid w:val="009C7882"/>
    <w:rsid w:val="009C7C2F"/>
    <w:rsid w:val="009C7C50"/>
    <w:rsid w:val="009C7C8E"/>
    <w:rsid w:val="009D00F8"/>
    <w:rsid w:val="009D0237"/>
    <w:rsid w:val="009D031B"/>
    <w:rsid w:val="009D0498"/>
    <w:rsid w:val="009D0963"/>
    <w:rsid w:val="009D0A0D"/>
    <w:rsid w:val="009D14E7"/>
    <w:rsid w:val="009D1916"/>
    <w:rsid w:val="009D1FDD"/>
    <w:rsid w:val="009D20B5"/>
    <w:rsid w:val="009D2598"/>
    <w:rsid w:val="009D26A3"/>
    <w:rsid w:val="009D2739"/>
    <w:rsid w:val="009D2A0B"/>
    <w:rsid w:val="009D2A57"/>
    <w:rsid w:val="009D3172"/>
    <w:rsid w:val="009D31EB"/>
    <w:rsid w:val="009D34DA"/>
    <w:rsid w:val="009D384D"/>
    <w:rsid w:val="009D3A60"/>
    <w:rsid w:val="009D3C65"/>
    <w:rsid w:val="009D3FBA"/>
    <w:rsid w:val="009D41F6"/>
    <w:rsid w:val="009D446A"/>
    <w:rsid w:val="009D47F1"/>
    <w:rsid w:val="009D4871"/>
    <w:rsid w:val="009D489A"/>
    <w:rsid w:val="009D4A65"/>
    <w:rsid w:val="009D4D70"/>
    <w:rsid w:val="009D53DF"/>
    <w:rsid w:val="009D53FB"/>
    <w:rsid w:val="009D572D"/>
    <w:rsid w:val="009D5B00"/>
    <w:rsid w:val="009D60A9"/>
    <w:rsid w:val="009D63CF"/>
    <w:rsid w:val="009D6A9B"/>
    <w:rsid w:val="009D6D1F"/>
    <w:rsid w:val="009D6D2B"/>
    <w:rsid w:val="009D6D61"/>
    <w:rsid w:val="009D6F72"/>
    <w:rsid w:val="009D6FA2"/>
    <w:rsid w:val="009D6FB5"/>
    <w:rsid w:val="009D7038"/>
    <w:rsid w:val="009D70A1"/>
    <w:rsid w:val="009D7267"/>
    <w:rsid w:val="009D74FC"/>
    <w:rsid w:val="009D76B2"/>
    <w:rsid w:val="009D771C"/>
    <w:rsid w:val="009D7930"/>
    <w:rsid w:val="009D7B7E"/>
    <w:rsid w:val="009D7E7F"/>
    <w:rsid w:val="009D7F87"/>
    <w:rsid w:val="009E01B1"/>
    <w:rsid w:val="009E01C2"/>
    <w:rsid w:val="009E01C3"/>
    <w:rsid w:val="009E0D1E"/>
    <w:rsid w:val="009E10C7"/>
    <w:rsid w:val="009E114D"/>
    <w:rsid w:val="009E153E"/>
    <w:rsid w:val="009E1624"/>
    <w:rsid w:val="009E164C"/>
    <w:rsid w:val="009E17E3"/>
    <w:rsid w:val="009E1936"/>
    <w:rsid w:val="009E19A9"/>
    <w:rsid w:val="009E19BA"/>
    <w:rsid w:val="009E1CDC"/>
    <w:rsid w:val="009E1D60"/>
    <w:rsid w:val="009E2246"/>
    <w:rsid w:val="009E230F"/>
    <w:rsid w:val="009E2449"/>
    <w:rsid w:val="009E24CE"/>
    <w:rsid w:val="009E26D9"/>
    <w:rsid w:val="009E2894"/>
    <w:rsid w:val="009E2CF3"/>
    <w:rsid w:val="009E2DD1"/>
    <w:rsid w:val="009E2F17"/>
    <w:rsid w:val="009E3123"/>
    <w:rsid w:val="009E3596"/>
    <w:rsid w:val="009E35E2"/>
    <w:rsid w:val="009E36AB"/>
    <w:rsid w:val="009E38FD"/>
    <w:rsid w:val="009E4025"/>
    <w:rsid w:val="009E414E"/>
    <w:rsid w:val="009E42AF"/>
    <w:rsid w:val="009E42B1"/>
    <w:rsid w:val="009E43FC"/>
    <w:rsid w:val="009E44CA"/>
    <w:rsid w:val="009E452C"/>
    <w:rsid w:val="009E4981"/>
    <w:rsid w:val="009E4DC2"/>
    <w:rsid w:val="009E53CE"/>
    <w:rsid w:val="009E53D0"/>
    <w:rsid w:val="009E581D"/>
    <w:rsid w:val="009E599A"/>
    <w:rsid w:val="009E5B96"/>
    <w:rsid w:val="009E5C08"/>
    <w:rsid w:val="009E5C0B"/>
    <w:rsid w:val="009E5C7C"/>
    <w:rsid w:val="009E5C8B"/>
    <w:rsid w:val="009E5CC0"/>
    <w:rsid w:val="009E6340"/>
    <w:rsid w:val="009E6767"/>
    <w:rsid w:val="009E676A"/>
    <w:rsid w:val="009E6ADA"/>
    <w:rsid w:val="009E6CDA"/>
    <w:rsid w:val="009E6FD9"/>
    <w:rsid w:val="009E7779"/>
    <w:rsid w:val="009E7A62"/>
    <w:rsid w:val="009E7D6C"/>
    <w:rsid w:val="009E7EB4"/>
    <w:rsid w:val="009F0493"/>
    <w:rsid w:val="009F06F4"/>
    <w:rsid w:val="009F16F8"/>
    <w:rsid w:val="009F190D"/>
    <w:rsid w:val="009F19E4"/>
    <w:rsid w:val="009F1CC5"/>
    <w:rsid w:val="009F1EF8"/>
    <w:rsid w:val="009F21F4"/>
    <w:rsid w:val="009F24D4"/>
    <w:rsid w:val="009F26EF"/>
    <w:rsid w:val="009F31A9"/>
    <w:rsid w:val="009F31EC"/>
    <w:rsid w:val="009F3939"/>
    <w:rsid w:val="009F39D4"/>
    <w:rsid w:val="009F3EB4"/>
    <w:rsid w:val="009F42A6"/>
    <w:rsid w:val="009F4480"/>
    <w:rsid w:val="009F448F"/>
    <w:rsid w:val="009F47C8"/>
    <w:rsid w:val="009F4F68"/>
    <w:rsid w:val="009F500B"/>
    <w:rsid w:val="009F5B69"/>
    <w:rsid w:val="009F5EB4"/>
    <w:rsid w:val="009F5F87"/>
    <w:rsid w:val="009F6024"/>
    <w:rsid w:val="009F6188"/>
    <w:rsid w:val="009F654E"/>
    <w:rsid w:val="009F6E13"/>
    <w:rsid w:val="009F77CF"/>
    <w:rsid w:val="009F7960"/>
    <w:rsid w:val="009F7C14"/>
    <w:rsid w:val="009F7E38"/>
    <w:rsid w:val="00A00084"/>
    <w:rsid w:val="00A00510"/>
    <w:rsid w:val="00A0053D"/>
    <w:rsid w:val="00A00760"/>
    <w:rsid w:val="00A00B8A"/>
    <w:rsid w:val="00A00C2C"/>
    <w:rsid w:val="00A00D45"/>
    <w:rsid w:val="00A013D3"/>
    <w:rsid w:val="00A01AB2"/>
    <w:rsid w:val="00A02259"/>
    <w:rsid w:val="00A02403"/>
    <w:rsid w:val="00A02813"/>
    <w:rsid w:val="00A02B87"/>
    <w:rsid w:val="00A02D49"/>
    <w:rsid w:val="00A030F4"/>
    <w:rsid w:val="00A0329F"/>
    <w:rsid w:val="00A0350E"/>
    <w:rsid w:val="00A03C10"/>
    <w:rsid w:val="00A0407D"/>
    <w:rsid w:val="00A040ED"/>
    <w:rsid w:val="00A04395"/>
    <w:rsid w:val="00A0446D"/>
    <w:rsid w:val="00A04646"/>
    <w:rsid w:val="00A05245"/>
    <w:rsid w:val="00A05351"/>
    <w:rsid w:val="00A0676F"/>
    <w:rsid w:val="00A0681C"/>
    <w:rsid w:val="00A068B9"/>
    <w:rsid w:val="00A0691C"/>
    <w:rsid w:val="00A06CE5"/>
    <w:rsid w:val="00A07042"/>
    <w:rsid w:val="00A071B9"/>
    <w:rsid w:val="00A072FC"/>
    <w:rsid w:val="00A07628"/>
    <w:rsid w:val="00A078EE"/>
    <w:rsid w:val="00A07DC5"/>
    <w:rsid w:val="00A11243"/>
    <w:rsid w:val="00A11441"/>
    <w:rsid w:val="00A11701"/>
    <w:rsid w:val="00A1172B"/>
    <w:rsid w:val="00A11908"/>
    <w:rsid w:val="00A11955"/>
    <w:rsid w:val="00A11B20"/>
    <w:rsid w:val="00A11BC6"/>
    <w:rsid w:val="00A11E78"/>
    <w:rsid w:val="00A12631"/>
    <w:rsid w:val="00A12837"/>
    <w:rsid w:val="00A12BB7"/>
    <w:rsid w:val="00A13024"/>
    <w:rsid w:val="00A13A9E"/>
    <w:rsid w:val="00A13DED"/>
    <w:rsid w:val="00A1404F"/>
    <w:rsid w:val="00A141AF"/>
    <w:rsid w:val="00A142F7"/>
    <w:rsid w:val="00A14383"/>
    <w:rsid w:val="00A147BB"/>
    <w:rsid w:val="00A14A97"/>
    <w:rsid w:val="00A14AB3"/>
    <w:rsid w:val="00A14CEE"/>
    <w:rsid w:val="00A14FE6"/>
    <w:rsid w:val="00A1512C"/>
    <w:rsid w:val="00A152C3"/>
    <w:rsid w:val="00A158DC"/>
    <w:rsid w:val="00A15A33"/>
    <w:rsid w:val="00A15C0A"/>
    <w:rsid w:val="00A15CAA"/>
    <w:rsid w:val="00A15DA2"/>
    <w:rsid w:val="00A160AB"/>
    <w:rsid w:val="00A162F4"/>
    <w:rsid w:val="00A163FD"/>
    <w:rsid w:val="00A168BB"/>
    <w:rsid w:val="00A16960"/>
    <w:rsid w:val="00A16D69"/>
    <w:rsid w:val="00A172BB"/>
    <w:rsid w:val="00A173B7"/>
    <w:rsid w:val="00A1752F"/>
    <w:rsid w:val="00A17570"/>
    <w:rsid w:val="00A17833"/>
    <w:rsid w:val="00A1790A"/>
    <w:rsid w:val="00A17BAA"/>
    <w:rsid w:val="00A201D0"/>
    <w:rsid w:val="00A201E7"/>
    <w:rsid w:val="00A20790"/>
    <w:rsid w:val="00A208F5"/>
    <w:rsid w:val="00A209AA"/>
    <w:rsid w:val="00A21133"/>
    <w:rsid w:val="00A213A3"/>
    <w:rsid w:val="00A21C99"/>
    <w:rsid w:val="00A21FFA"/>
    <w:rsid w:val="00A221EE"/>
    <w:rsid w:val="00A22560"/>
    <w:rsid w:val="00A22AAC"/>
    <w:rsid w:val="00A234CA"/>
    <w:rsid w:val="00A2372C"/>
    <w:rsid w:val="00A23CC9"/>
    <w:rsid w:val="00A23FE9"/>
    <w:rsid w:val="00A24032"/>
    <w:rsid w:val="00A24425"/>
    <w:rsid w:val="00A24441"/>
    <w:rsid w:val="00A24502"/>
    <w:rsid w:val="00A24590"/>
    <w:rsid w:val="00A2459F"/>
    <w:rsid w:val="00A2484C"/>
    <w:rsid w:val="00A25437"/>
    <w:rsid w:val="00A25693"/>
    <w:rsid w:val="00A25793"/>
    <w:rsid w:val="00A259D6"/>
    <w:rsid w:val="00A25C01"/>
    <w:rsid w:val="00A25F72"/>
    <w:rsid w:val="00A26166"/>
    <w:rsid w:val="00A2618B"/>
    <w:rsid w:val="00A26337"/>
    <w:rsid w:val="00A263CD"/>
    <w:rsid w:val="00A267AF"/>
    <w:rsid w:val="00A26EAB"/>
    <w:rsid w:val="00A27D5C"/>
    <w:rsid w:val="00A30100"/>
    <w:rsid w:val="00A305B9"/>
    <w:rsid w:val="00A30A94"/>
    <w:rsid w:val="00A30DC0"/>
    <w:rsid w:val="00A30EC9"/>
    <w:rsid w:val="00A30EF1"/>
    <w:rsid w:val="00A310CD"/>
    <w:rsid w:val="00A31105"/>
    <w:rsid w:val="00A31317"/>
    <w:rsid w:val="00A31AB7"/>
    <w:rsid w:val="00A31E18"/>
    <w:rsid w:val="00A31E9E"/>
    <w:rsid w:val="00A31EF5"/>
    <w:rsid w:val="00A31F0C"/>
    <w:rsid w:val="00A31FC6"/>
    <w:rsid w:val="00A32376"/>
    <w:rsid w:val="00A328F2"/>
    <w:rsid w:val="00A329B1"/>
    <w:rsid w:val="00A32C88"/>
    <w:rsid w:val="00A33078"/>
    <w:rsid w:val="00A336D0"/>
    <w:rsid w:val="00A3385B"/>
    <w:rsid w:val="00A33902"/>
    <w:rsid w:val="00A33A8E"/>
    <w:rsid w:val="00A33C6A"/>
    <w:rsid w:val="00A3428F"/>
    <w:rsid w:val="00A3482D"/>
    <w:rsid w:val="00A34CBB"/>
    <w:rsid w:val="00A351B5"/>
    <w:rsid w:val="00A3529E"/>
    <w:rsid w:val="00A35A97"/>
    <w:rsid w:val="00A35C97"/>
    <w:rsid w:val="00A36949"/>
    <w:rsid w:val="00A36C8E"/>
    <w:rsid w:val="00A36CF7"/>
    <w:rsid w:val="00A36DF9"/>
    <w:rsid w:val="00A36FA1"/>
    <w:rsid w:val="00A36FA7"/>
    <w:rsid w:val="00A3701A"/>
    <w:rsid w:val="00A37699"/>
    <w:rsid w:val="00A377CB"/>
    <w:rsid w:val="00A37F97"/>
    <w:rsid w:val="00A404D7"/>
    <w:rsid w:val="00A4087A"/>
    <w:rsid w:val="00A4099D"/>
    <w:rsid w:val="00A40B07"/>
    <w:rsid w:val="00A40C7B"/>
    <w:rsid w:val="00A40D05"/>
    <w:rsid w:val="00A41093"/>
    <w:rsid w:val="00A41363"/>
    <w:rsid w:val="00A4141D"/>
    <w:rsid w:val="00A417C4"/>
    <w:rsid w:val="00A41A3E"/>
    <w:rsid w:val="00A41C62"/>
    <w:rsid w:val="00A41DEB"/>
    <w:rsid w:val="00A41DF2"/>
    <w:rsid w:val="00A41ECB"/>
    <w:rsid w:val="00A4209A"/>
    <w:rsid w:val="00A4261C"/>
    <w:rsid w:val="00A426A0"/>
    <w:rsid w:val="00A42B0D"/>
    <w:rsid w:val="00A42BE1"/>
    <w:rsid w:val="00A42BF9"/>
    <w:rsid w:val="00A42F06"/>
    <w:rsid w:val="00A4306C"/>
    <w:rsid w:val="00A43249"/>
    <w:rsid w:val="00A434EE"/>
    <w:rsid w:val="00A4361E"/>
    <w:rsid w:val="00A4394D"/>
    <w:rsid w:val="00A43A99"/>
    <w:rsid w:val="00A43DD3"/>
    <w:rsid w:val="00A44109"/>
    <w:rsid w:val="00A44328"/>
    <w:rsid w:val="00A44584"/>
    <w:rsid w:val="00A4517A"/>
    <w:rsid w:val="00A45241"/>
    <w:rsid w:val="00A45B6C"/>
    <w:rsid w:val="00A4618A"/>
    <w:rsid w:val="00A46336"/>
    <w:rsid w:val="00A46673"/>
    <w:rsid w:val="00A4670E"/>
    <w:rsid w:val="00A467DB"/>
    <w:rsid w:val="00A46BA6"/>
    <w:rsid w:val="00A46E53"/>
    <w:rsid w:val="00A46FE7"/>
    <w:rsid w:val="00A46FE8"/>
    <w:rsid w:val="00A47255"/>
    <w:rsid w:val="00A47277"/>
    <w:rsid w:val="00A47774"/>
    <w:rsid w:val="00A479B6"/>
    <w:rsid w:val="00A47D2D"/>
    <w:rsid w:val="00A47E37"/>
    <w:rsid w:val="00A5061B"/>
    <w:rsid w:val="00A50D88"/>
    <w:rsid w:val="00A50E50"/>
    <w:rsid w:val="00A50FD2"/>
    <w:rsid w:val="00A51F8F"/>
    <w:rsid w:val="00A523A1"/>
    <w:rsid w:val="00A523D1"/>
    <w:rsid w:val="00A52637"/>
    <w:rsid w:val="00A5279F"/>
    <w:rsid w:val="00A529DB"/>
    <w:rsid w:val="00A53293"/>
    <w:rsid w:val="00A53359"/>
    <w:rsid w:val="00A5403F"/>
    <w:rsid w:val="00A54123"/>
    <w:rsid w:val="00A543B7"/>
    <w:rsid w:val="00A5441D"/>
    <w:rsid w:val="00A54605"/>
    <w:rsid w:val="00A54E8B"/>
    <w:rsid w:val="00A55175"/>
    <w:rsid w:val="00A55D0A"/>
    <w:rsid w:val="00A56481"/>
    <w:rsid w:val="00A56516"/>
    <w:rsid w:val="00A56EF2"/>
    <w:rsid w:val="00A56F9A"/>
    <w:rsid w:val="00A573B1"/>
    <w:rsid w:val="00A5784A"/>
    <w:rsid w:val="00A57A91"/>
    <w:rsid w:val="00A57B0C"/>
    <w:rsid w:val="00A6060F"/>
    <w:rsid w:val="00A60A9F"/>
    <w:rsid w:val="00A60B5B"/>
    <w:rsid w:val="00A61046"/>
    <w:rsid w:val="00A613BE"/>
    <w:rsid w:val="00A614E3"/>
    <w:rsid w:val="00A6194A"/>
    <w:rsid w:val="00A61B75"/>
    <w:rsid w:val="00A61D53"/>
    <w:rsid w:val="00A625C7"/>
    <w:rsid w:val="00A62616"/>
    <w:rsid w:val="00A62711"/>
    <w:rsid w:val="00A62EEF"/>
    <w:rsid w:val="00A62F1D"/>
    <w:rsid w:val="00A6361D"/>
    <w:rsid w:val="00A6393C"/>
    <w:rsid w:val="00A6399B"/>
    <w:rsid w:val="00A6406A"/>
    <w:rsid w:val="00A6487D"/>
    <w:rsid w:val="00A6489F"/>
    <w:rsid w:val="00A649F9"/>
    <w:rsid w:val="00A64CA9"/>
    <w:rsid w:val="00A6533E"/>
    <w:rsid w:val="00A65A1A"/>
    <w:rsid w:val="00A65A64"/>
    <w:rsid w:val="00A65ECF"/>
    <w:rsid w:val="00A65F93"/>
    <w:rsid w:val="00A6618E"/>
    <w:rsid w:val="00A66648"/>
    <w:rsid w:val="00A667A4"/>
    <w:rsid w:val="00A66C55"/>
    <w:rsid w:val="00A66D94"/>
    <w:rsid w:val="00A6759B"/>
    <w:rsid w:val="00A702D7"/>
    <w:rsid w:val="00A70503"/>
    <w:rsid w:val="00A70A63"/>
    <w:rsid w:val="00A70DB8"/>
    <w:rsid w:val="00A70DEB"/>
    <w:rsid w:val="00A70E55"/>
    <w:rsid w:val="00A7189D"/>
    <w:rsid w:val="00A718E5"/>
    <w:rsid w:val="00A72027"/>
    <w:rsid w:val="00A7223F"/>
    <w:rsid w:val="00A722EA"/>
    <w:rsid w:val="00A72475"/>
    <w:rsid w:val="00A7269A"/>
    <w:rsid w:val="00A72AF5"/>
    <w:rsid w:val="00A72F09"/>
    <w:rsid w:val="00A734D3"/>
    <w:rsid w:val="00A736C0"/>
    <w:rsid w:val="00A73790"/>
    <w:rsid w:val="00A73BE2"/>
    <w:rsid w:val="00A73DAD"/>
    <w:rsid w:val="00A74273"/>
    <w:rsid w:val="00A74421"/>
    <w:rsid w:val="00A74519"/>
    <w:rsid w:val="00A74715"/>
    <w:rsid w:val="00A748E3"/>
    <w:rsid w:val="00A74F1F"/>
    <w:rsid w:val="00A7587C"/>
    <w:rsid w:val="00A759A4"/>
    <w:rsid w:val="00A75AA8"/>
    <w:rsid w:val="00A75C10"/>
    <w:rsid w:val="00A75DC2"/>
    <w:rsid w:val="00A75ECF"/>
    <w:rsid w:val="00A761D5"/>
    <w:rsid w:val="00A76222"/>
    <w:rsid w:val="00A76BFF"/>
    <w:rsid w:val="00A76CB5"/>
    <w:rsid w:val="00A773A6"/>
    <w:rsid w:val="00A77525"/>
    <w:rsid w:val="00A7753D"/>
    <w:rsid w:val="00A8056A"/>
    <w:rsid w:val="00A8087B"/>
    <w:rsid w:val="00A80941"/>
    <w:rsid w:val="00A80CD5"/>
    <w:rsid w:val="00A80FAF"/>
    <w:rsid w:val="00A812B6"/>
    <w:rsid w:val="00A817D6"/>
    <w:rsid w:val="00A81944"/>
    <w:rsid w:val="00A81A57"/>
    <w:rsid w:val="00A81E8F"/>
    <w:rsid w:val="00A82067"/>
    <w:rsid w:val="00A821AF"/>
    <w:rsid w:val="00A8243F"/>
    <w:rsid w:val="00A82B16"/>
    <w:rsid w:val="00A82CB2"/>
    <w:rsid w:val="00A82DB4"/>
    <w:rsid w:val="00A83A95"/>
    <w:rsid w:val="00A83B48"/>
    <w:rsid w:val="00A83D9B"/>
    <w:rsid w:val="00A83FC5"/>
    <w:rsid w:val="00A83FDE"/>
    <w:rsid w:val="00A843ED"/>
    <w:rsid w:val="00A844AD"/>
    <w:rsid w:val="00A849EE"/>
    <w:rsid w:val="00A850E6"/>
    <w:rsid w:val="00A85273"/>
    <w:rsid w:val="00A854FA"/>
    <w:rsid w:val="00A86806"/>
    <w:rsid w:val="00A868BF"/>
    <w:rsid w:val="00A86A6B"/>
    <w:rsid w:val="00A86D36"/>
    <w:rsid w:val="00A86F17"/>
    <w:rsid w:val="00A871A8"/>
    <w:rsid w:val="00A872BE"/>
    <w:rsid w:val="00A874E5"/>
    <w:rsid w:val="00A877EF"/>
    <w:rsid w:val="00A87FC2"/>
    <w:rsid w:val="00A9008E"/>
    <w:rsid w:val="00A90102"/>
    <w:rsid w:val="00A9018E"/>
    <w:rsid w:val="00A90405"/>
    <w:rsid w:val="00A90677"/>
    <w:rsid w:val="00A90B8F"/>
    <w:rsid w:val="00A90FD6"/>
    <w:rsid w:val="00A9123D"/>
    <w:rsid w:val="00A91356"/>
    <w:rsid w:val="00A9171E"/>
    <w:rsid w:val="00A91C83"/>
    <w:rsid w:val="00A92027"/>
    <w:rsid w:val="00A92A7C"/>
    <w:rsid w:val="00A930F3"/>
    <w:rsid w:val="00A9392F"/>
    <w:rsid w:val="00A93C8C"/>
    <w:rsid w:val="00A93F3F"/>
    <w:rsid w:val="00A93FF1"/>
    <w:rsid w:val="00A93FF7"/>
    <w:rsid w:val="00A94699"/>
    <w:rsid w:val="00A949BE"/>
    <w:rsid w:val="00A94C93"/>
    <w:rsid w:val="00A94D3D"/>
    <w:rsid w:val="00A95270"/>
    <w:rsid w:val="00A95807"/>
    <w:rsid w:val="00A962E0"/>
    <w:rsid w:val="00A96651"/>
    <w:rsid w:val="00A96728"/>
    <w:rsid w:val="00A96832"/>
    <w:rsid w:val="00A9689B"/>
    <w:rsid w:val="00A96C14"/>
    <w:rsid w:val="00A96D6C"/>
    <w:rsid w:val="00A971B5"/>
    <w:rsid w:val="00A97254"/>
    <w:rsid w:val="00A97BA8"/>
    <w:rsid w:val="00A97FBF"/>
    <w:rsid w:val="00AA0162"/>
    <w:rsid w:val="00AA036B"/>
    <w:rsid w:val="00AA0787"/>
    <w:rsid w:val="00AA0959"/>
    <w:rsid w:val="00AA0BE1"/>
    <w:rsid w:val="00AA0FC2"/>
    <w:rsid w:val="00AA11FC"/>
    <w:rsid w:val="00AA1DC9"/>
    <w:rsid w:val="00AA1E0C"/>
    <w:rsid w:val="00AA1F1C"/>
    <w:rsid w:val="00AA1F8B"/>
    <w:rsid w:val="00AA2254"/>
    <w:rsid w:val="00AA2568"/>
    <w:rsid w:val="00AA25B9"/>
    <w:rsid w:val="00AA27DA"/>
    <w:rsid w:val="00AA281F"/>
    <w:rsid w:val="00AA2BC2"/>
    <w:rsid w:val="00AA33AD"/>
    <w:rsid w:val="00AA3890"/>
    <w:rsid w:val="00AA38EF"/>
    <w:rsid w:val="00AA38FB"/>
    <w:rsid w:val="00AA3F7C"/>
    <w:rsid w:val="00AA4061"/>
    <w:rsid w:val="00AA40DB"/>
    <w:rsid w:val="00AA4413"/>
    <w:rsid w:val="00AA4A6C"/>
    <w:rsid w:val="00AA4B2F"/>
    <w:rsid w:val="00AA4FFD"/>
    <w:rsid w:val="00AA536B"/>
    <w:rsid w:val="00AA54E4"/>
    <w:rsid w:val="00AA5690"/>
    <w:rsid w:val="00AA56BA"/>
    <w:rsid w:val="00AA5780"/>
    <w:rsid w:val="00AA584F"/>
    <w:rsid w:val="00AA58C2"/>
    <w:rsid w:val="00AA59F9"/>
    <w:rsid w:val="00AA5E28"/>
    <w:rsid w:val="00AA5E77"/>
    <w:rsid w:val="00AA63E8"/>
    <w:rsid w:val="00AA685E"/>
    <w:rsid w:val="00AA6916"/>
    <w:rsid w:val="00AA6A18"/>
    <w:rsid w:val="00AA6CA0"/>
    <w:rsid w:val="00AA6E24"/>
    <w:rsid w:val="00AA725D"/>
    <w:rsid w:val="00AA7370"/>
    <w:rsid w:val="00AA79F2"/>
    <w:rsid w:val="00AA7AD6"/>
    <w:rsid w:val="00AA7AD7"/>
    <w:rsid w:val="00AA7AE7"/>
    <w:rsid w:val="00AA7BE4"/>
    <w:rsid w:val="00AB00B3"/>
    <w:rsid w:val="00AB0123"/>
    <w:rsid w:val="00AB0557"/>
    <w:rsid w:val="00AB0604"/>
    <w:rsid w:val="00AB08AA"/>
    <w:rsid w:val="00AB09C3"/>
    <w:rsid w:val="00AB0E92"/>
    <w:rsid w:val="00AB110F"/>
    <w:rsid w:val="00AB1110"/>
    <w:rsid w:val="00AB12A7"/>
    <w:rsid w:val="00AB1588"/>
    <w:rsid w:val="00AB1B1B"/>
    <w:rsid w:val="00AB1E1A"/>
    <w:rsid w:val="00AB20DC"/>
    <w:rsid w:val="00AB210B"/>
    <w:rsid w:val="00AB251D"/>
    <w:rsid w:val="00AB2928"/>
    <w:rsid w:val="00AB2994"/>
    <w:rsid w:val="00AB36C5"/>
    <w:rsid w:val="00AB379A"/>
    <w:rsid w:val="00AB3FDE"/>
    <w:rsid w:val="00AB463B"/>
    <w:rsid w:val="00AB4AA2"/>
    <w:rsid w:val="00AB4BCD"/>
    <w:rsid w:val="00AB4C0B"/>
    <w:rsid w:val="00AB57AA"/>
    <w:rsid w:val="00AB58A0"/>
    <w:rsid w:val="00AB656F"/>
    <w:rsid w:val="00AB678A"/>
    <w:rsid w:val="00AB6BDF"/>
    <w:rsid w:val="00AB6DF0"/>
    <w:rsid w:val="00AB6E88"/>
    <w:rsid w:val="00AB71EB"/>
    <w:rsid w:val="00AB72EB"/>
    <w:rsid w:val="00AB7577"/>
    <w:rsid w:val="00AB7BCC"/>
    <w:rsid w:val="00AB7E5C"/>
    <w:rsid w:val="00AC0264"/>
    <w:rsid w:val="00AC03FD"/>
    <w:rsid w:val="00AC0405"/>
    <w:rsid w:val="00AC07E7"/>
    <w:rsid w:val="00AC0C84"/>
    <w:rsid w:val="00AC0F62"/>
    <w:rsid w:val="00AC1179"/>
    <w:rsid w:val="00AC14D9"/>
    <w:rsid w:val="00AC1F4E"/>
    <w:rsid w:val="00AC2221"/>
    <w:rsid w:val="00AC2AC9"/>
    <w:rsid w:val="00AC345C"/>
    <w:rsid w:val="00AC3D20"/>
    <w:rsid w:val="00AC40B9"/>
    <w:rsid w:val="00AC4518"/>
    <w:rsid w:val="00AC45B8"/>
    <w:rsid w:val="00AC49B6"/>
    <w:rsid w:val="00AC4D75"/>
    <w:rsid w:val="00AC4E99"/>
    <w:rsid w:val="00AC5069"/>
    <w:rsid w:val="00AC51F1"/>
    <w:rsid w:val="00AC549A"/>
    <w:rsid w:val="00AC562F"/>
    <w:rsid w:val="00AC5663"/>
    <w:rsid w:val="00AC56DE"/>
    <w:rsid w:val="00AC5703"/>
    <w:rsid w:val="00AC58CB"/>
    <w:rsid w:val="00AC5D11"/>
    <w:rsid w:val="00AC5E3F"/>
    <w:rsid w:val="00AC5EE5"/>
    <w:rsid w:val="00AC6289"/>
    <w:rsid w:val="00AC6422"/>
    <w:rsid w:val="00AC6705"/>
    <w:rsid w:val="00AC680D"/>
    <w:rsid w:val="00AC6F2E"/>
    <w:rsid w:val="00AC7084"/>
    <w:rsid w:val="00AC7443"/>
    <w:rsid w:val="00AC7531"/>
    <w:rsid w:val="00AC7760"/>
    <w:rsid w:val="00AC79AA"/>
    <w:rsid w:val="00AC7B48"/>
    <w:rsid w:val="00AC7BD5"/>
    <w:rsid w:val="00AC7C7A"/>
    <w:rsid w:val="00AD015A"/>
    <w:rsid w:val="00AD01AD"/>
    <w:rsid w:val="00AD0BE1"/>
    <w:rsid w:val="00AD0BF6"/>
    <w:rsid w:val="00AD1220"/>
    <w:rsid w:val="00AD1D9E"/>
    <w:rsid w:val="00AD20BC"/>
    <w:rsid w:val="00AD2573"/>
    <w:rsid w:val="00AD2CC4"/>
    <w:rsid w:val="00AD2D2D"/>
    <w:rsid w:val="00AD3548"/>
    <w:rsid w:val="00AD376B"/>
    <w:rsid w:val="00AD38B5"/>
    <w:rsid w:val="00AD3AEA"/>
    <w:rsid w:val="00AD3DF0"/>
    <w:rsid w:val="00AD4124"/>
    <w:rsid w:val="00AD440E"/>
    <w:rsid w:val="00AD4607"/>
    <w:rsid w:val="00AD4B5F"/>
    <w:rsid w:val="00AD51C9"/>
    <w:rsid w:val="00AD5485"/>
    <w:rsid w:val="00AD5C70"/>
    <w:rsid w:val="00AD5CA5"/>
    <w:rsid w:val="00AD60FA"/>
    <w:rsid w:val="00AD6429"/>
    <w:rsid w:val="00AD6732"/>
    <w:rsid w:val="00AD6881"/>
    <w:rsid w:val="00AD6B16"/>
    <w:rsid w:val="00AD6B1D"/>
    <w:rsid w:val="00AD6C92"/>
    <w:rsid w:val="00AD6DFA"/>
    <w:rsid w:val="00AD7157"/>
    <w:rsid w:val="00AD7372"/>
    <w:rsid w:val="00AD769C"/>
    <w:rsid w:val="00AD7AD0"/>
    <w:rsid w:val="00AD7DA6"/>
    <w:rsid w:val="00AD7DFF"/>
    <w:rsid w:val="00AD7FE5"/>
    <w:rsid w:val="00AD7FEF"/>
    <w:rsid w:val="00AE0468"/>
    <w:rsid w:val="00AE0D69"/>
    <w:rsid w:val="00AE0DBC"/>
    <w:rsid w:val="00AE0E30"/>
    <w:rsid w:val="00AE1088"/>
    <w:rsid w:val="00AE11DC"/>
    <w:rsid w:val="00AE1D6F"/>
    <w:rsid w:val="00AE2521"/>
    <w:rsid w:val="00AE262C"/>
    <w:rsid w:val="00AE28E8"/>
    <w:rsid w:val="00AE2ABD"/>
    <w:rsid w:val="00AE3054"/>
    <w:rsid w:val="00AE352C"/>
    <w:rsid w:val="00AE4479"/>
    <w:rsid w:val="00AE45EC"/>
    <w:rsid w:val="00AE4A30"/>
    <w:rsid w:val="00AE4B96"/>
    <w:rsid w:val="00AE57D6"/>
    <w:rsid w:val="00AE60F0"/>
    <w:rsid w:val="00AE6233"/>
    <w:rsid w:val="00AE64D7"/>
    <w:rsid w:val="00AE6D4C"/>
    <w:rsid w:val="00AE705C"/>
    <w:rsid w:val="00AE71E1"/>
    <w:rsid w:val="00AE75EE"/>
    <w:rsid w:val="00AE7638"/>
    <w:rsid w:val="00AE77C4"/>
    <w:rsid w:val="00AF006F"/>
    <w:rsid w:val="00AF01A8"/>
    <w:rsid w:val="00AF0318"/>
    <w:rsid w:val="00AF0468"/>
    <w:rsid w:val="00AF055C"/>
    <w:rsid w:val="00AF0AA4"/>
    <w:rsid w:val="00AF0ADF"/>
    <w:rsid w:val="00AF0F94"/>
    <w:rsid w:val="00AF0FED"/>
    <w:rsid w:val="00AF11A5"/>
    <w:rsid w:val="00AF1770"/>
    <w:rsid w:val="00AF189B"/>
    <w:rsid w:val="00AF200D"/>
    <w:rsid w:val="00AF2571"/>
    <w:rsid w:val="00AF2756"/>
    <w:rsid w:val="00AF27A8"/>
    <w:rsid w:val="00AF28B4"/>
    <w:rsid w:val="00AF294A"/>
    <w:rsid w:val="00AF29D4"/>
    <w:rsid w:val="00AF2B33"/>
    <w:rsid w:val="00AF2EA6"/>
    <w:rsid w:val="00AF3769"/>
    <w:rsid w:val="00AF3D7E"/>
    <w:rsid w:val="00AF44AB"/>
    <w:rsid w:val="00AF455D"/>
    <w:rsid w:val="00AF4B90"/>
    <w:rsid w:val="00AF4B94"/>
    <w:rsid w:val="00AF4BB5"/>
    <w:rsid w:val="00AF4C41"/>
    <w:rsid w:val="00AF4D58"/>
    <w:rsid w:val="00AF4E83"/>
    <w:rsid w:val="00AF5195"/>
    <w:rsid w:val="00AF550D"/>
    <w:rsid w:val="00AF589E"/>
    <w:rsid w:val="00AF636F"/>
    <w:rsid w:val="00AF65DE"/>
    <w:rsid w:val="00AF69B1"/>
    <w:rsid w:val="00AF6A46"/>
    <w:rsid w:val="00AF6C49"/>
    <w:rsid w:val="00AF6C6E"/>
    <w:rsid w:val="00AF76EF"/>
    <w:rsid w:val="00AF7BA3"/>
    <w:rsid w:val="00B000C2"/>
    <w:rsid w:val="00B00411"/>
    <w:rsid w:val="00B0058A"/>
    <w:rsid w:val="00B00649"/>
    <w:rsid w:val="00B00674"/>
    <w:rsid w:val="00B007EB"/>
    <w:rsid w:val="00B00C30"/>
    <w:rsid w:val="00B0164D"/>
    <w:rsid w:val="00B019F8"/>
    <w:rsid w:val="00B01BA9"/>
    <w:rsid w:val="00B01C33"/>
    <w:rsid w:val="00B01F3B"/>
    <w:rsid w:val="00B02101"/>
    <w:rsid w:val="00B02217"/>
    <w:rsid w:val="00B0231A"/>
    <w:rsid w:val="00B0272B"/>
    <w:rsid w:val="00B03096"/>
    <w:rsid w:val="00B03338"/>
    <w:rsid w:val="00B03486"/>
    <w:rsid w:val="00B037F6"/>
    <w:rsid w:val="00B03818"/>
    <w:rsid w:val="00B0387B"/>
    <w:rsid w:val="00B038BE"/>
    <w:rsid w:val="00B03956"/>
    <w:rsid w:val="00B03C54"/>
    <w:rsid w:val="00B03F9D"/>
    <w:rsid w:val="00B04042"/>
    <w:rsid w:val="00B04566"/>
    <w:rsid w:val="00B048BD"/>
    <w:rsid w:val="00B04901"/>
    <w:rsid w:val="00B0497B"/>
    <w:rsid w:val="00B04C0F"/>
    <w:rsid w:val="00B04CAA"/>
    <w:rsid w:val="00B04CE9"/>
    <w:rsid w:val="00B04E6D"/>
    <w:rsid w:val="00B0553D"/>
    <w:rsid w:val="00B05655"/>
    <w:rsid w:val="00B0590E"/>
    <w:rsid w:val="00B05966"/>
    <w:rsid w:val="00B05A9B"/>
    <w:rsid w:val="00B05AC2"/>
    <w:rsid w:val="00B05B1A"/>
    <w:rsid w:val="00B05B51"/>
    <w:rsid w:val="00B05FA6"/>
    <w:rsid w:val="00B062CA"/>
    <w:rsid w:val="00B06478"/>
    <w:rsid w:val="00B06566"/>
    <w:rsid w:val="00B073DF"/>
    <w:rsid w:val="00B074A3"/>
    <w:rsid w:val="00B074EC"/>
    <w:rsid w:val="00B0799B"/>
    <w:rsid w:val="00B07E31"/>
    <w:rsid w:val="00B1003F"/>
    <w:rsid w:val="00B107CC"/>
    <w:rsid w:val="00B10C7A"/>
    <w:rsid w:val="00B10C99"/>
    <w:rsid w:val="00B10DE5"/>
    <w:rsid w:val="00B111C6"/>
    <w:rsid w:val="00B11228"/>
    <w:rsid w:val="00B12514"/>
    <w:rsid w:val="00B125F7"/>
    <w:rsid w:val="00B12CA3"/>
    <w:rsid w:val="00B12E65"/>
    <w:rsid w:val="00B12EAF"/>
    <w:rsid w:val="00B132DA"/>
    <w:rsid w:val="00B1339C"/>
    <w:rsid w:val="00B13402"/>
    <w:rsid w:val="00B136C2"/>
    <w:rsid w:val="00B13737"/>
    <w:rsid w:val="00B13800"/>
    <w:rsid w:val="00B13A85"/>
    <w:rsid w:val="00B1411C"/>
    <w:rsid w:val="00B141EF"/>
    <w:rsid w:val="00B14215"/>
    <w:rsid w:val="00B142A3"/>
    <w:rsid w:val="00B14912"/>
    <w:rsid w:val="00B14FB8"/>
    <w:rsid w:val="00B15238"/>
    <w:rsid w:val="00B15368"/>
    <w:rsid w:val="00B15386"/>
    <w:rsid w:val="00B1554B"/>
    <w:rsid w:val="00B15EFB"/>
    <w:rsid w:val="00B15F35"/>
    <w:rsid w:val="00B15F40"/>
    <w:rsid w:val="00B16336"/>
    <w:rsid w:val="00B169DB"/>
    <w:rsid w:val="00B16A2B"/>
    <w:rsid w:val="00B16A75"/>
    <w:rsid w:val="00B16C56"/>
    <w:rsid w:val="00B16C8A"/>
    <w:rsid w:val="00B17B26"/>
    <w:rsid w:val="00B17F6A"/>
    <w:rsid w:val="00B202FF"/>
    <w:rsid w:val="00B209B4"/>
    <w:rsid w:val="00B20B85"/>
    <w:rsid w:val="00B20BE1"/>
    <w:rsid w:val="00B20DCE"/>
    <w:rsid w:val="00B213B9"/>
    <w:rsid w:val="00B21459"/>
    <w:rsid w:val="00B219F2"/>
    <w:rsid w:val="00B21A00"/>
    <w:rsid w:val="00B21C6D"/>
    <w:rsid w:val="00B21CC1"/>
    <w:rsid w:val="00B21D95"/>
    <w:rsid w:val="00B21FBD"/>
    <w:rsid w:val="00B2229E"/>
    <w:rsid w:val="00B2239C"/>
    <w:rsid w:val="00B2292A"/>
    <w:rsid w:val="00B22BD9"/>
    <w:rsid w:val="00B22CE5"/>
    <w:rsid w:val="00B231A4"/>
    <w:rsid w:val="00B23B64"/>
    <w:rsid w:val="00B23BB6"/>
    <w:rsid w:val="00B23D7B"/>
    <w:rsid w:val="00B23E98"/>
    <w:rsid w:val="00B24936"/>
    <w:rsid w:val="00B24D38"/>
    <w:rsid w:val="00B24F84"/>
    <w:rsid w:val="00B2531C"/>
    <w:rsid w:val="00B25410"/>
    <w:rsid w:val="00B25B1E"/>
    <w:rsid w:val="00B25B24"/>
    <w:rsid w:val="00B25EAA"/>
    <w:rsid w:val="00B25F8F"/>
    <w:rsid w:val="00B26060"/>
    <w:rsid w:val="00B261CB"/>
    <w:rsid w:val="00B26470"/>
    <w:rsid w:val="00B26ACF"/>
    <w:rsid w:val="00B27408"/>
    <w:rsid w:val="00B276C6"/>
    <w:rsid w:val="00B27896"/>
    <w:rsid w:val="00B27B1C"/>
    <w:rsid w:val="00B27DD8"/>
    <w:rsid w:val="00B27FFC"/>
    <w:rsid w:val="00B3067A"/>
    <w:rsid w:val="00B30AE8"/>
    <w:rsid w:val="00B30B4B"/>
    <w:rsid w:val="00B30B8F"/>
    <w:rsid w:val="00B30DD7"/>
    <w:rsid w:val="00B30F96"/>
    <w:rsid w:val="00B30FFD"/>
    <w:rsid w:val="00B32160"/>
    <w:rsid w:val="00B32F18"/>
    <w:rsid w:val="00B33243"/>
    <w:rsid w:val="00B33386"/>
    <w:rsid w:val="00B3380E"/>
    <w:rsid w:val="00B33A19"/>
    <w:rsid w:val="00B33EE7"/>
    <w:rsid w:val="00B343E4"/>
    <w:rsid w:val="00B3452A"/>
    <w:rsid w:val="00B34639"/>
    <w:rsid w:val="00B34658"/>
    <w:rsid w:val="00B349A0"/>
    <w:rsid w:val="00B34BDD"/>
    <w:rsid w:val="00B34E93"/>
    <w:rsid w:val="00B34F71"/>
    <w:rsid w:val="00B350C2"/>
    <w:rsid w:val="00B35376"/>
    <w:rsid w:val="00B3544E"/>
    <w:rsid w:val="00B358C2"/>
    <w:rsid w:val="00B358F5"/>
    <w:rsid w:val="00B35AAA"/>
    <w:rsid w:val="00B35D54"/>
    <w:rsid w:val="00B35FD0"/>
    <w:rsid w:val="00B36288"/>
    <w:rsid w:val="00B362AE"/>
    <w:rsid w:val="00B36403"/>
    <w:rsid w:val="00B36CC8"/>
    <w:rsid w:val="00B36DC0"/>
    <w:rsid w:val="00B37524"/>
    <w:rsid w:val="00B37E3C"/>
    <w:rsid w:val="00B401FE"/>
    <w:rsid w:val="00B40648"/>
    <w:rsid w:val="00B40928"/>
    <w:rsid w:val="00B40A4D"/>
    <w:rsid w:val="00B411A8"/>
    <w:rsid w:val="00B413C2"/>
    <w:rsid w:val="00B41660"/>
    <w:rsid w:val="00B418C1"/>
    <w:rsid w:val="00B4197C"/>
    <w:rsid w:val="00B419F1"/>
    <w:rsid w:val="00B41BDD"/>
    <w:rsid w:val="00B41CB9"/>
    <w:rsid w:val="00B41E19"/>
    <w:rsid w:val="00B426E4"/>
    <w:rsid w:val="00B42C9B"/>
    <w:rsid w:val="00B42D34"/>
    <w:rsid w:val="00B43404"/>
    <w:rsid w:val="00B43989"/>
    <w:rsid w:val="00B4414D"/>
    <w:rsid w:val="00B44696"/>
    <w:rsid w:val="00B44B01"/>
    <w:rsid w:val="00B44C48"/>
    <w:rsid w:val="00B44C8C"/>
    <w:rsid w:val="00B44D4A"/>
    <w:rsid w:val="00B44FC9"/>
    <w:rsid w:val="00B450B8"/>
    <w:rsid w:val="00B455D6"/>
    <w:rsid w:val="00B45D23"/>
    <w:rsid w:val="00B45ECA"/>
    <w:rsid w:val="00B469E8"/>
    <w:rsid w:val="00B46A0A"/>
    <w:rsid w:val="00B46B7D"/>
    <w:rsid w:val="00B46EE1"/>
    <w:rsid w:val="00B477F4"/>
    <w:rsid w:val="00B478A1"/>
    <w:rsid w:val="00B47944"/>
    <w:rsid w:val="00B47AFB"/>
    <w:rsid w:val="00B50057"/>
    <w:rsid w:val="00B504DB"/>
    <w:rsid w:val="00B506BF"/>
    <w:rsid w:val="00B5079D"/>
    <w:rsid w:val="00B50951"/>
    <w:rsid w:val="00B51808"/>
    <w:rsid w:val="00B51AC6"/>
    <w:rsid w:val="00B524BC"/>
    <w:rsid w:val="00B52528"/>
    <w:rsid w:val="00B5286D"/>
    <w:rsid w:val="00B528B8"/>
    <w:rsid w:val="00B52B17"/>
    <w:rsid w:val="00B53114"/>
    <w:rsid w:val="00B534BF"/>
    <w:rsid w:val="00B541D6"/>
    <w:rsid w:val="00B542AC"/>
    <w:rsid w:val="00B54710"/>
    <w:rsid w:val="00B54B23"/>
    <w:rsid w:val="00B54D4F"/>
    <w:rsid w:val="00B54D70"/>
    <w:rsid w:val="00B5551A"/>
    <w:rsid w:val="00B5575A"/>
    <w:rsid w:val="00B559D6"/>
    <w:rsid w:val="00B55D46"/>
    <w:rsid w:val="00B55E2B"/>
    <w:rsid w:val="00B562D9"/>
    <w:rsid w:val="00B563A6"/>
    <w:rsid w:val="00B568C6"/>
    <w:rsid w:val="00B56EC8"/>
    <w:rsid w:val="00B575E3"/>
    <w:rsid w:val="00B57936"/>
    <w:rsid w:val="00B57A2C"/>
    <w:rsid w:val="00B57CC9"/>
    <w:rsid w:val="00B57EF2"/>
    <w:rsid w:val="00B6001D"/>
    <w:rsid w:val="00B600E3"/>
    <w:rsid w:val="00B608B6"/>
    <w:rsid w:val="00B609AC"/>
    <w:rsid w:val="00B60A24"/>
    <w:rsid w:val="00B60F61"/>
    <w:rsid w:val="00B6115E"/>
    <w:rsid w:val="00B6140D"/>
    <w:rsid w:val="00B61BA1"/>
    <w:rsid w:val="00B61E06"/>
    <w:rsid w:val="00B61F25"/>
    <w:rsid w:val="00B623B3"/>
    <w:rsid w:val="00B624B5"/>
    <w:rsid w:val="00B62D20"/>
    <w:rsid w:val="00B632A2"/>
    <w:rsid w:val="00B63575"/>
    <w:rsid w:val="00B6369E"/>
    <w:rsid w:val="00B63B7C"/>
    <w:rsid w:val="00B63DC8"/>
    <w:rsid w:val="00B63E04"/>
    <w:rsid w:val="00B63E7D"/>
    <w:rsid w:val="00B63FBF"/>
    <w:rsid w:val="00B6436A"/>
    <w:rsid w:val="00B644E7"/>
    <w:rsid w:val="00B647EE"/>
    <w:rsid w:val="00B649B7"/>
    <w:rsid w:val="00B649D5"/>
    <w:rsid w:val="00B64E94"/>
    <w:rsid w:val="00B64F8F"/>
    <w:rsid w:val="00B64F9D"/>
    <w:rsid w:val="00B651E0"/>
    <w:rsid w:val="00B6528E"/>
    <w:rsid w:val="00B653EA"/>
    <w:rsid w:val="00B654E9"/>
    <w:rsid w:val="00B656AC"/>
    <w:rsid w:val="00B65E15"/>
    <w:rsid w:val="00B65FB3"/>
    <w:rsid w:val="00B662A7"/>
    <w:rsid w:val="00B66379"/>
    <w:rsid w:val="00B67755"/>
    <w:rsid w:val="00B67CE6"/>
    <w:rsid w:val="00B67D4B"/>
    <w:rsid w:val="00B67E23"/>
    <w:rsid w:val="00B67F27"/>
    <w:rsid w:val="00B67FD9"/>
    <w:rsid w:val="00B70011"/>
    <w:rsid w:val="00B702F5"/>
    <w:rsid w:val="00B7045D"/>
    <w:rsid w:val="00B70AC2"/>
    <w:rsid w:val="00B70B42"/>
    <w:rsid w:val="00B70C24"/>
    <w:rsid w:val="00B70D96"/>
    <w:rsid w:val="00B710BA"/>
    <w:rsid w:val="00B711B6"/>
    <w:rsid w:val="00B71735"/>
    <w:rsid w:val="00B7186D"/>
    <w:rsid w:val="00B719E4"/>
    <w:rsid w:val="00B71B94"/>
    <w:rsid w:val="00B71DD9"/>
    <w:rsid w:val="00B71E4C"/>
    <w:rsid w:val="00B71ECF"/>
    <w:rsid w:val="00B72012"/>
    <w:rsid w:val="00B72056"/>
    <w:rsid w:val="00B726E3"/>
    <w:rsid w:val="00B729D8"/>
    <w:rsid w:val="00B72AE5"/>
    <w:rsid w:val="00B72C5E"/>
    <w:rsid w:val="00B72C89"/>
    <w:rsid w:val="00B732FB"/>
    <w:rsid w:val="00B73347"/>
    <w:rsid w:val="00B73538"/>
    <w:rsid w:val="00B7355F"/>
    <w:rsid w:val="00B736C2"/>
    <w:rsid w:val="00B739B3"/>
    <w:rsid w:val="00B73AF4"/>
    <w:rsid w:val="00B741FA"/>
    <w:rsid w:val="00B742C2"/>
    <w:rsid w:val="00B74401"/>
    <w:rsid w:val="00B74BC6"/>
    <w:rsid w:val="00B74BE3"/>
    <w:rsid w:val="00B74CC8"/>
    <w:rsid w:val="00B74E2B"/>
    <w:rsid w:val="00B74F7F"/>
    <w:rsid w:val="00B75503"/>
    <w:rsid w:val="00B75676"/>
    <w:rsid w:val="00B75B99"/>
    <w:rsid w:val="00B769AD"/>
    <w:rsid w:val="00B76E51"/>
    <w:rsid w:val="00B778A9"/>
    <w:rsid w:val="00B77CD0"/>
    <w:rsid w:val="00B80000"/>
    <w:rsid w:val="00B800C0"/>
    <w:rsid w:val="00B800E4"/>
    <w:rsid w:val="00B803EB"/>
    <w:rsid w:val="00B80410"/>
    <w:rsid w:val="00B80657"/>
    <w:rsid w:val="00B80994"/>
    <w:rsid w:val="00B8120E"/>
    <w:rsid w:val="00B814DC"/>
    <w:rsid w:val="00B814E9"/>
    <w:rsid w:val="00B815AF"/>
    <w:rsid w:val="00B8185C"/>
    <w:rsid w:val="00B81862"/>
    <w:rsid w:val="00B819EE"/>
    <w:rsid w:val="00B827CD"/>
    <w:rsid w:val="00B827F4"/>
    <w:rsid w:val="00B82839"/>
    <w:rsid w:val="00B828B5"/>
    <w:rsid w:val="00B82E4A"/>
    <w:rsid w:val="00B83015"/>
    <w:rsid w:val="00B8304C"/>
    <w:rsid w:val="00B8307D"/>
    <w:rsid w:val="00B8327B"/>
    <w:rsid w:val="00B832B2"/>
    <w:rsid w:val="00B837D3"/>
    <w:rsid w:val="00B83922"/>
    <w:rsid w:val="00B83BDD"/>
    <w:rsid w:val="00B84326"/>
    <w:rsid w:val="00B8471D"/>
    <w:rsid w:val="00B8564A"/>
    <w:rsid w:val="00B85894"/>
    <w:rsid w:val="00B8616A"/>
    <w:rsid w:val="00B864FD"/>
    <w:rsid w:val="00B868DD"/>
    <w:rsid w:val="00B87048"/>
    <w:rsid w:val="00B870F2"/>
    <w:rsid w:val="00B872F4"/>
    <w:rsid w:val="00B8732E"/>
    <w:rsid w:val="00B875C9"/>
    <w:rsid w:val="00B878FA"/>
    <w:rsid w:val="00B87BE9"/>
    <w:rsid w:val="00B87EEF"/>
    <w:rsid w:val="00B900DA"/>
    <w:rsid w:val="00B90127"/>
    <w:rsid w:val="00B90915"/>
    <w:rsid w:val="00B90B62"/>
    <w:rsid w:val="00B91854"/>
    <w:rsid w:val="00B919F7"/>
    <w:rsid w:val="00B91A34"/>
    <w:rsid w:val="00B91B21"/>
    <w:rsid w:val="00B91B98"/>
    <w:rsid w:val="00B91D6B"/>
    <w:rsid w:val="00B91E7E"/>
    <w:rsid w:val="00B92256"/>
    <w:rsid w:val="00B92606"/>
    <w:rsid w:val="00B92629"/>
    <w:rsid w:val="00B931A7"/>
    <w:rsid w:val="00B93293"/>
    <w:rsid w:val="00B93471"/>
    <w:rsid w:val="00B93706"/>
    <w:rsid w:val="00B937FB"/>
    <w:rsid w:val="00B94069"/>
    <w:rsid w:val="00B94151"/>
    <w:rsid w:val="00B945F0"/>
    <w:rsid w:val="00B94A9F"/>
    <w:rsid w:val="00B954CD"/>
    <w:rsid w:val="00B95833"/>
    <w:rsid w:val="00B958B7"/>
    <w:rsid w:val="00B95980"/>
    <w:rsid w:val="00B95BEE"/>
    <w:rsid w:val="00B95DD4"/>
    <w:rsid w:val="00B9653D"/>
    <w:rsid w:val="00B9694F"/>
    <w:rsid w:val="00B96C03"/>
    <w:rsid w:val="00B96F58"/>
    <w:rsid w:val="00B97116"/>
    <w:rsid w:val="00B97222"/>
    <w:rsid w:val="00B97315"/>
    <w:rsid w:val="00B97363"/>
    <w:rsid w:val="00B9761E"/>
    <w:rsid w:val="00B97A7D"/>
    <w:rsid w:val="00B97CC2"/>
    <w:rsid w:val="00B97FA5"/>
    <w:rsid w:val="00BA0577"/>
    <w:rsid w:val="00BA099F"/>
    <w:rsid w:val="00BA0B81"/>
    <w:rsid w:val="00BA0FA9"/>
    <w:rsid w:val="00BA1642"/>
    <w:rsid w:val="00BA180E"/>
    <w:rsid w:val="00BA1EA3"/>
    <w:rsid w:val="00BA237D"/>
    <w:rsid w:val="00BA29E1"/>
    <w:rsid w:val="00BA2CBF"/>
    <w:rsid w:val="00BA2D53"/>
    <w:rsid w:val="00BA33A1"/>
    <w:rsid w:val="00BA3420"/>
    <w:rsid w:val="00BA3451"/>
    <w:rsid w:val="00BA3719"/>
    <w:rsid w:val="00BA3AEA"/>
    <w:rsid w:val="00BA3E6F"/>
    <w:rsid w:val="00BA3F3E"/>
    <w:rsid w:val="00BA4078"/>
    <w:rsid w:val="00BA40C3"/>
    <w:rsid w:val="00BA43F0"/>
    <w:rsid w:val="00BA46DC"/>
    <w:rsid w:val="00BA48B0"/>
    <w:rsid w:val="00BA49F3"/>
    <w:rsid w:val="00BA4C29"/>
    <w:rsid w:val="00BA54ED"/>
    <w:rsid w:val="00BA5FAA"/>
    <w:rsid w:val="00BA60AC"/>
    <w:rsid w:val="00BA68A4"/>
    <w:rsid w:val="00BA71AB"/>
    <w:rsid w:val="00BA75E3"/>
    <w:rsid w:val="00BA7676"/>
    <w:rsid w:val="00BA7B56"/>
    <w:rsid w:val="00BA7DDE"/>
    <w:rsid w:val="00BA7E90"/>
    <w:rsid w:val="00BA7FB3"/>
    <w:rsid w:val="00BB056F"/>
    <w:rsid w:val="00BB05C4"/>
    <w:rsid w:val="00BB0641"/>
    <w:rsid w:val="00BB0768"/>
    <w:rsid w:val="00BB0868"/>
    <w:rsid w:val="00BB0C12"/>
    <w:rsid w:val="00BB12FB"/>
    <w:rsid w:val="00BB15D3"/>
    <w:rsid w:val="00BB166C"/>
    <w:rsid w:val="00BB16E2"/>
    <w:rsid w:val="00BB18EF"/>
    <w:rsid w:val="00BB1D2C"/>
    <w:rsid w:val="00BB20B6"/>
    <w:rsid w:val="00BB2343"/>
    <w:rsid w:val="00BB2580"/>
    <w:rsid w:val="00BB25BB"/>
    <w:rsid w:val="00BB2E8F"/>
    <w:rsid w:val="00BB32D5"/>
    <w:rsid w:val="00BB3F18"/>
    <w:rsid w:val="00BB4261"/>
    <w:rsid w:val="00BB42FA"/>
    <w:rsid w:val="00BB444A"/>
    <w:rsid w:val="00BB4C21"/>
    <w:rsid w:val="00BB4D5F"/>
    <w:rsid w:val="00BB4DBA"/>
    <w:rsid w:val="00BB506D"/>
    <w:rsid w:val="00BB5456"/>
    <w:rsid w:val="00BB5461"/>
    <w:rsid w:val="00BB5749"/>
    <w:rsid w:val="00BB59C9"/>
    <w:rsid w:val="00BB5ABB"/>
    <w:rsid w:val="00BB5DC9"/>
    <w:rsid w:val="00BB611F"/>
    <w:rsid w:val="00BB6545"/>
    <w:rsid w:val="00BB6DA9"/>
    <w:rsid w:val="00BB6F0B"/>
    <w:rsid w:val="00BB7102"/>
    <w:rsid w:val="00BB78A2"/>
    <w:rsid w:val="00BB7B23"/>
    <w:rsid w:val="00BB7D04"/>
    <w:rsid w:val="00BB7D99"/>
    <w:rsid w:val="00BC0092"/>
    <w:rsid w:val="00BC021F"/>
    <w:rsid w:val="00BC037C"/>
    <w:rsid w:val="00BC0A61"/>
    <w:rsid w:val="00BC0E77"/>
    <w:rsid w:val="00BC10A7"/>
    <w:rsid w:val="00BC10DB"/>
    <w:rsid w:val="00BC1196"/>
    <w:rsid w:val="00BC12BF"/>
    <w:rsid w:val="00BC158B"/>
    <w:rsid w:val="00BC18A8"/>
    <w:rsid w:val="00BC19B2"/>
    <w:rsid w:val="00BC1BB4"/>
    <w:rsid w:val="00BC1CF3"/>
    <w:rsid w:val="00BC2835"/>
    <w:rsid w:val="00BC293C"/>
    <w:rsid w:val="00BC2AC6"/>
    <w:rsid w:val="00BC2D88"/>
    <w:rsid w:val="00BC3170"/>
    <w:rsid w:val="00BC3426"/>
    <w:rsid w:val="00BC34C2"/>
    <w:rsid w:val="00BC37A4"/>
    <w:rsid w:val="00BC38DE"/>
    <w:rsid w:val="00BC3F8D"/>
    <w:rsid w:val="00BC409B"/>
    <w:rsid w:val="00BC40C5"/>
    <w:rsid w:val="00BC4407"/>
    <w:rsid w:val="00BC44EB"/>
    <w:rsid w:val="00BC48E6"/>
    <w:rsid w:val="00BC49BB"/>
    <w:rsid w:val="00BC4B62"/>
    <w:rsid w:val="00BC4D16"/>
    <w:rsid w:val="00BC4DE3"/>
    <w:rsid w:val="00BC4E98"/>
    <w:rsid w:val="00BC5087"/>
    <w:rsid w:val="00BC5223"/>
    <w:rsid w:val="00BC52A9"/>
    <w:rsid w:val="00BC542D"/>
    <w:rsid w:val="00BC56E2"/>
    <w:rsid w:val="00BC59C9"/>
    <w:rsid w:val="00BC5A34"/>
    <w:rsid w:val="00BC5A42"/>
    <w:rsid w:val="00BC5D9B"/>
    <w:rsid w:val="00BC5ECA"/>
    <w:rsid w:val="00BC621E"/>
    <w:rsid w:val="00BC6485"/>
    <w:rsid w:val="00BC64F6"/>
    <w:rsid w:val="00BC6545"/>
    <w:rsid w:val="00BC6721"/>
    <w:rsid w:val="00BC6D31"/>
    <w:rsid w:val="00BC70FE"/>
    <w:rsid w:val="00BC77DB"/>
    <w:rsid w:val="00BC78A5"/>
    <w:rsid w:val="00BC79FB"/>
    <w:rsid w:val="00BC7A77"/>
    <w:rsid w:val="00BC7BA0"/>
    <w:rsid w:val="00BC7F32"/>
    <w:rsid w:val="00BCC932"/>
    <w:rsid w:val="00BD061B"/>
    <w:rsid w:val="00BD0F65"/>
    <w:rsid w:val="00BD23F1"/>
    <w:rsid w:val="00BD2869"/>
    <w:rsid w:val="00BD3736"/>
    <w:rsid w:val="00BD3821"/>
    <w:rsid w:val="00BD3A22"/>
    <w:rsid w:val="00BD3C37"/>
    <w:rsid w:val="00BD3E14"/>
    <w:rsid w:val="00BD3E56"/>
    <w:rsid w:val="00BD4465"/>
    <w:rsid w:val="00BD44D9"/>
    <w:rsid w:val="00BD48D1"/>
    <w:rsid w:val="00BD52D5"/>
    <w:rsid w:val="00BD53AB"/>
    <w:rsid w:val="00BD5A33"/>
    <w:rsid w:val="00BD5FE5"/>
    <w:rsid w:val="00BD61FD"/>
    <w:rsid w:val="00BD659D"/>
    <w:rsid w:val="00BD66B3"/>
    <w:rsid w:val="00BD69BD"/>
    <w:rsid w:val="00BD6AD0"/>
    <w:rsid w:val="00BD6DC7"/>
    <w:rsid w:val="00BD73AF"/>
    <w:rsid w:val="00BD75EC"/>
    <w:rsid w:val="00BD76D8"/>
    <w:rsid w:val="00BE02B1"/>
    <w:rsid w:val="00BE06F1"/>
    <w:rsid w:val="00BE0710"/>
    <w:rsid w:val="00BE090A"/>
    <w:rsid w:val="00BE0935"/>
    <w:rsid w:val="00BE0B5C"/>
    <w:rsid w:val="00BE0BDB"/>
    <w:rsid w:val="00BE0CBC"/>
    <w:rsid w:val="00BE0F93"/>
    <w:rsid w:val="00BE0FA7"/>
    <w:rsid w:val="00BE10C2"/>
    <w:rsid w:val="00BE1210"/>
    <w:rsid w:val="00BE145A"/>
    <w:rsid w:val="00BE1A2D"/>
    <w:rsid w:val="00BE1A4D"/>
    <w:rsid w:val="00BE1E9F"/>
    <w:rsid w:val="00BE1FDC"/>
    <w:rsid w:val="00BE23D8"/>
    <w:rsid w:val="00BE2502"/>
    <w:rsid w:val="00BE2FF8"/>
    <w:rsid w:val="00BE3218"/>
    <w:rsid w:val="00BE3476"/>
    <w:rsid w:val="00BE3478"/>
    <w:rsid w:val="00BE34C0"/>
    <w:rsid w:val="00BE39BA"/>
    <w:rsid w:val="00BE3A8B"/>
    <w:rsid w:val="00BE4394"/>
    <w:rsid w:val="00BE4F7F"/>
    <w:rsid w:val="00BE504F"/>
    <w:rsid w:val="00BE5332"/>
    <w:rsid w:val="00BE5C3C"/>
    <w:rsid w:val="00BE6014"/>
    <w:rsid w:val="00BE64D2"/>
    <w:rsid w:val="00BE64F0"/>
    <w:rsid w:val="00BE6511"/>
    <w:rsid w:val="00BE68F7"/>
    <w:rsid w:val="00BE6A6E"/>
    <w:rsid w:val="00BE6A9A"/>
    <w:rsid w:val="00BE7BE4"/>
    <w:rsid w:val="00BE7BF0"/>
    <w:rsid w:val="00BE7FC7"/>
    <w:rsid w:val="00BF0021"/>
    <w:rsid w:val="00BF002F"/>
    <w:rsid w:val="00BF0143"/>
    <w:rsid w:val="00BF0214"/>
    <w:rsid w:val="00BF02E4"/>
    <w:rsid w:val="00BF040D"/>
    <w:rsid w:val="00BF05AC"/>
    <w:rsid w:val="00BF0680"/>
    <w:rsid w:val="00BF0988"/>
    <w:rsid w:val="00BF09FC"/>
    <w:rsid w:val="00BF0C58"/>
    <w:rsid w:val="00BF0CC4"/>
    <w:rsid w:val="00BF1172"/>
    <w:rsid w:val="00BF1329"/>
    <w:rsid w:val="00BF1661"/>
    <w:rsid w:val="00BF19FA"/>
    <w:rsid w:val="00BF1D3D"/>
    <w:rsid w:val="00BF1EAA"/>
    <w:rsid w:val="00BF229C"/>
    <w:rsid w:val="00BF270F"/>
    <w:rsid w:val="00BF293E"/>
    <w:rsid w:val="00BF2A39"/>
    <w:rsid w:val="00BF2BB6"/>
    <w:rsid w:val="00BF2D36"/>
    <w:rsid w:val="00BF3787"/>
    <w:rsid w:val="00BF38C0"/>
    <w:rsid w:val="00BF450D"/>
    <w:rsid w:val="00BF4DE0"/>
    <w:rsid w:val="00BF4E8D"/>
    <w:rsid w:val="00BF536B"/>
    <w:rsid w:val="00BF53CB"/>
    <w:rsid w:val="00BF545D"/>
    <w:rsid w:val="00BF5637"/>
    <w:rsid w:val="00BF589F"/>
    <w:rsid w:val="00BF591A"/>
    <w:rsid w:val="00BF6001"/>
    <w:rsid w:val="00BF6161"/>
    <w:rsid w:val="00BF69DE"/>
    <w:rsid w:val="00BF6D49"/>
    <w:rsid w:val="00BF775C"/>
    <w:rsid w:val="00BF7EEF"/>
    <w:rsid w:val="00BF7FB6"/>
    <w:rsid w:val="00C0011A"/>
    <w:rsid w:val="00C00533"/>
    <w:rsid w:val="00C0069E"/>
    <w:rsid w:val="00C0076E"/>
    <w:rsid w:val="00C007FC"/>
    <w:rsid w:val="00C009F3"/>
    <w:rsid w:val="00C02498"/>
    <w:rsid w:val="00C02C11"/>
    <w:rsid w:val="00C02F3C"/>
    <w:rsid w:val="00C03030"/>
    <w:rsid w:val="00C032C3"/>
    <w:rsid w:val="00C034A1"/>
    <w:rsid w:val="00C037B5"/>
    <w:rsid w:val="00C03A09"/>
    <w:rsid w:val="00C040B9"/>
    <w:rsid w:val="00C04637"/>
    <w:rsid w:val="00C048AF"/>
    <w:rsid w:val="00C04BC4"/>
    <w:rsid w:val="00C04BF6"/>
    <w:rsid w:val="00C05136"/>
    <w:rsid w:val="00C052C7"/>
    <w:rsid w:val="00C054A2"/>
    <w:rsid w:val="00C05507"/>
    <w:rsid w:val="00C05817"/>
    <w:rsid w:val="00C05E23"/>
    <w:rsid w:val="00C063F8"/>
    <w:rsid w:val="00C06426"/>
    <w:rsid w:val="00C06B07"/>
    <w:rsid w:val="00C06EC3"/>
    <w:rsid w:val="00C070C3"/>
    <w:rsid w:val="00C073C7"/>
    <w:rsid w:val="00C074F4"/>
    <w:rsid w:val="00C07541"/>
    <w:rsid w:val="00C0778D"/>
    <w:rsid w:val="00C104DC"/>
    <w:rsid w:val="00C10544"/>
    <w:rsid w:val="00C105BB"/>
    <w:rsid w:val="00C10744"/>
    <w:rsid w:val="00C10A46"/>
    <w:rsid w:val="00C10C8C"/>
    <w:rsid w:val="00C10F07"/>
    <w:rsid w:val="00C116CF"/>
    <w:rsid w:val="00C11AA8"/>
    <w:rsid w:val="00C11AFB"/>
    <w:rsid w:val="00C11D04"/>
    <w:rsid w:val="00C11D83"/>
    <w:rsid w:val="00C1201C"/>
    <w:rsid w:val="00C12093"/>
    <w:rsid w:val="00C120F9"/>
    <w:rsid w:val="00C1221B"/>
    <w:rsid w:val="00C12783"/>
    <w:rsid w:val="00C12883"/>
    <w:rsid w:val="00C13014"/>
    <w:rsid w:val="00C13072"/>
    <w:rsid w:val="00C13355"/>
    <w:rsid w:val="00C1369C"/>
    <w:rsid w:val="00C13AED"/>
    <w:rsid w:val="00C14249"/>
    <w:rsid w:val="00C144EF"/>
    <w:rsid w:val="00C146F6"/>
    <w:rsid w:val="00C14BDE"/>
    <w:rsid w:val="00C14FD0"/>
    <w:rsid w:val="00C15055"/>
    <w:rsid w:val="00C15391"/>
    <w:rsid w:val="00C153BB"/>
    <w:rsid w:val="00C15518"/>
    <w:rsid w:val="00C15DC4"/>
    <w:rsid w:val="00C1608B"/>
    <w:rsid w:val="00C16B22"/>
    <w:rsid w:val="00C16F6A"/>
    <w:rsid w:val="00C1733D"/>
    <w:rsid w:val="00C174C9"/>
    <w:rsid w:val="00C17F0F"/>
    <w:rsid w:val="00C17F5B"/>
    <w:rsid w:val="00C20224"/>
    <w:rsid w:val="00C2030A"/>
    <w:rsid w:val="00C2036E"/>
    <w:rsid w:val="00C204A2"/>
    <w:rsid w:val="00C20775"/>
    <w:rsid w:val="00C20829"/>
    <w:rsid w:val="00C21001"/>
    <w:rsid w:val="00C2122D"/>
    <w:rsid w:val="00C21462"/>
    <w:rsid w:val="00C214C0"/>
    <w:rsid w:val="00C21823"/>
    <w:rsid w:val="00C21869"/>
    <w:rsid w:val="00C21942"/>
    <w:rsid w:val="00C21FFB"/>
    <w:rsid w:val="00C22037"/>
    <w:rsid w:val="00C2209E"/>
    <w:rsid w:val="00C220FE"/>
    <w:rsid w:val="00C221EE"/>
    <w:rsid w:val="00C228AC"/>
    <w:rsid w:val="00C22985"/>
    <w:rsid w:val="00C22A13"/>
    <w:rsid w:val="00C22B64"/>
    <w:rsid w:val="00C22CC2"/>
    <w:rsid w:val="00C22D10"/>
    <w:rsid w:val="00C22E3B"/>
    <w:rsid w:val="00C23304"/>
    <w:rsid w:val="00C233E3"/>
    <w:rsid w:val="00C23613"/>
    <w:rsid w:val="00C23826"/>
    <w:rsid w:val="00C238DD"/>
    <w:rsid w:val="00C23971"/>
    <w:rsid w:val="00C239D7"/>
    <w:rsid w:val="00C23AD6"/>
    <w:rsid w:val="00C23B5F"/>
    <w:rsid w:val="00C24024"/>
    <w:rsid w:val="00C24398"/>
    <w:rsid w:val="00C24421"/>
    <w:rsid w:val="00C24717"/>
    <w:rsid w:val="00C24DC4"/>
    <w:rsid w:val="00C250A2"/>
    <w:rsid w:val="00C25368"/>
    <w:rsid w:val="00C25419"/>
    <w:rsid w:val="00C262D5"/>
    <w:rsid w:val="00C26665"/>
    <w:rsid w:val="00C26740"/>
    <w:rsid w:val="00C26AB7"/>
    <w:rsid w:val="00C26B65"/>
    <w:rsid w:val="00C26DA1"/>
    <w:rsid w:val="00C26F46"/>
    <w:rsid w:val="00C2711F"/>
    <w:rsid w:val="00C2727C"/>
    <w:rsid w:val="00C2762F"/>
    <w:rsid w:val="00C27A92"/>
    <w:rsid w:val="00C27BAD"/>
    <w:rsid w:val="00C3008D"/>
    <w:rsid w:val="00C30175"/>
    <w:rsid w:val="00C30180"/>
    <w:rsid w:val="00C301CB"/>
    <w:rsid w:val="00C30242"/>
    <w:rsid w:val="00C302E7"/>
    <w:rsid w:val="00C30800"/>
    <w:rsid w:val="00C309C1"/>
    <w:rsid w:val="00C30AB8"/>
    <w:rsid w:val="00C30E28"/>
    <w:rsid w:val="00C31114"/>
    <w:rsid w:val="00C317C4"/>
    <w:rsid w:val="00C318B1"/>
    <w:rsid w:val="00C31BB3"/>
    <w:rsid w:val="00C31CBB"/>
    <w:rsid w:val="00C31DD8"/>
    <w:rsid w:val="00C32480"/>
    <w:rsid w:val="00C32734"/>
    <w:rsid w:val="00C32C59"/>
    <w:rsid w:val="00C332CD"/>
    <w:rsid w:val="00C33343"/>
    <w:rsid w:val="00C33F9C"/>
    <w:rsid w:val="00C342BB"/>
    <w:rsid w:val="00C34576"/>
    <w:rsid w:val="00C34628"/>
    <w:rsid w:val="00C348E9"/>
    <w:rsid w:val="00C349EB"/>
    <w:rsid w:val="00C34A93"/>
    <w:rsid w:val="00C34AB0"/>
    <w:rsid w:val="00C34C30"/>
    <w:rsid w:val="00C34E61"/>
    <w:rsid w:val="00C3500D"/>
    <w:rsid w:val="00C356EA"/>
    <w:rsid w:val="00C35992"/>
    <w:rsid w:val="00C35C9C"/>
    <w:rsid w:val="00C35EC8"/>
    <w:rsid w:val="00C36095"/>
    <w:rsid w:val="00C363DD"/>
    <w:rsid w:val="00C36D25"/>
    <w:rsid w:val="00C36DEB"/>
    <w:rsid w:val="00C37113"/>
    <w:rsid w:val="00C371A3"/>
    <w:rsid w:val="00C375EA"/>
    <w:rsid w:val="00C37602"/>
    <w:rsid w:val="00C3775A"/>
    <w:rsid w:val="00C37857"/>
    <w:rsid w:val="00C378BC"/>
    <w:rsid w:val="00C378EB"/>
    <w:rsid w:val="00C37911"/>
    <w:rsid w:val="00C37A17"/>
    <w:rsid w:val="00C37C07"/>
    <w:rsid w:val="00C37FD3"/>
    <w:rsid w:val="00C40000"/>
    <w:rsid w:val="00C401AA"/>
    <w:rsid w:val="00C40B8D"/>
    <w:rsid w:val="00C40BF2"/>
    <w:rsid w:val="00C40D88"/>
    <w:rsid w:val="00C416F7"/>
    <w:rsid w:val="00C41951"/>
    <w:rsid w:val="00C41E62"/>
    <w:rsid w:val="00C437AB"/>
    <w:rsid w:val="00C4396B"/>
    <w:rsid w:val="00C43AC4"/>
    <w:rsid w:val="00C43B0E"/>
    <w:rsid w:val="00C43E30"/>
    <w:rsid w:val="00C43F02"/>
    <w:rsid w:val="00C43F83"/>
    <w:rsid w:val="00C441F9"/>
    <w:rsid w:val="00C442D7"/>
    <w:rsid w:val="00C443E2"/>
    <w:rsid w:val="00C443FB"/>
    <w:rsid w:val="00C44585"/>
    <w:rsid w:val="00C44B1A"/>
    <w:rsid w:val="00C44DD5"/>
    <w:rsid w:val="00C45000"/>
    <w:rsid w:val="00C45318"/>
    <w:rsid w:val="00C457AA"/>
    <w:rsid w:val="00C45B8F"/>
    <w:rsid w:val="00C460D5"/>
    <w:rsid w:val="00C466E0"/>
    <w:rsid w:val="00C4681B"/>
    <w:rsid w:val="00C473C1"/>
    <w:rsid w:val="00C474F6"/>
    <w:rsid w:val="00C47CA8"/>
    <w:rsid w:val="00C47D51"/>
    <w:rsid w:val="00C5004D"/>
    <w:rsid w:val="00C50972"/>
    <w:rsid w:val="00C50F3A"/>
    <w:rsid w:val="00C50F54"/>
    <w:rsid w:val="00C51080"/>
    <w:rsid w:val="00C514B8"/>
    <w:rsid w:val="00C51BC7"/>
    <w:rsid w:val="00C51DA7"/>
    <w:rsid w:val="00C52047"/>
    <w:rsid w:val="00C5269F"/>
    <w:rsid w:val="00C527E4"/>
    <w:rsid w:val="00C52A83"/>
    <w:rsid w:val="00C52F75"/>
    <w:rsid w:val="00C530B4"/>
    <w:rsid w:val="00C532E0"/>
    <w:rsid w:val="00C5340C"/>
    <w:rsid w:val="00C53481"/>
    <w:rsid w:val="00C535D6"/>
    <w:rsid w:val="00C53832"/>
    <w:rsid w:val="00C53B71"/>
    <w:rsid w:val="00C53EED"/>
    <w:rsid w:val="00C53F8A"/>
    <w:rsid w:val="00C5436C"/>
    <w:rsid w:val="00C545AD"/>
    <w:rsid w:val="00C54603"/>
    <w:rsid w:val="00C54986"/>
    <w:rsid w:val="00C54A6C"/>
    <w:rsid w:val="00C54B00"/>
    <w:rsid w:val="00C54C12"/>
    <w:rsid w:val="00C54CA5"/>
    <w:rsid w:val="00C54F95"/>
    <w:rsid w:val="00C554BE"/>
    <w:rsid w:val="00C55717"/>
    <w:rsid w:val="00C558CC"/>
    <w:rsid w:val="00C55DC8"/>
    <w:rsid w:val="00C56A5F"/>
    <w:rsid w:val="00C56CCA"/>
    <w:rsid w:val="00C5727F"/>
    <w:rsid w:val="00C57493"/>
    <w:rsid w:val="00C579E1"/>
    <w:rsid w:val="00C57A54"/>
    <w:rsid w:val="00C57C0F"/>
    <w:rsid w:val="00C57C48"/>
    <w:rsid w:val="00C607D8"/>
    <w:rsid w:val="00C60D51"/>
    <w:rsid w:val="00C61286"/>
    <w:rsid w:val="00C612D7"/>
    <w:rsid w:val="00C6151F"/>
    <w:rsid w:val="00C61536"/>
    <w:rsid w:val="00C61C59"/>
    <w:rsid w:val="00C61F37"/>
    <w:rsid w:val="00C61F68"/>
    <w:rsid w:val="00C61FBC"/>
    <w:rsid w:val="00C625A7"/>
    <w:rsid w:val="00C626D1"/>
    <w:rsid w:val="00C62B5F"/>
    <w:rsid w:val="00C62B7E"/>
    <w:rsid w:val="00C62DEC"/>
    <w:rsid w:val="00C631BB"/>
    <w:rsid w:val="00C63253"/>
    <w:rsid w:val="00C63403"/>
    <w:rsid w:val="00C646FF"/>
    <w:rsid w:val="00C6484A"/>
    <w:rsid w:val="00C648AE"/>
    <w:rsid w:val="00C6498C"/>
    <w:rsid w:val="00C64A76"/>
    <w:rsid w:val="00C64ADA"/>
    <w:rsid w:val="00C64CD6"/>
    <w:rsid w:val="00C64F5B"/>
    <w:rsid w:val="00C6530B"/>
    <w:rsid w:val="00C655CA"/>
    <w:rsid w:val="00C65D34"/>
    <w:rsid w:val="00C664E6"/>
    <w:rsid w:val="00C66816"/>
    <w:rsid w:val="00C66BA9"/>
    <w:rsid w:val="00C66BF5"/>
    <w:rsid w:val="00C67175"/>
    <w:rsid w:val="00C671C1"/>
    <w:rsid w:val="00C677F2"/>
    <w:rsid w:val="00C678AD"/>
    <w:rsid w:val="00C7007F"/>
    <w:rsid w:val="00C70235"/>
    <w:rsid w:val="00C70470"/>
    <w:rsid w:val="00C70880"/>
    <w:rsid w:val="00C70BBA"/>
    <w:rsid w:val="00C70EBE"/>
    <w:rsid w:val="00C7203C"/>
    <w:rsid w:val="00C72294"/>
    <w:rsid w:val="00C72320"/>
    <w:rsid w:val="00C723A8"/>
    <w:rsid w:val="00C7242A"/>
    <w:rsid w:val="00C72BB8"/>
    <w:rsid w:val="00C72C1A"/>
    <w:rsid w:val="00C7351F"/>
    <w:rsid w:val="00C73637"/>
    <w:rsid w:val="00C736C9"/>
    <w:rsid w:val="00C73825"/>
    <w:rsid w:val="00C7390D"/>
    <w:rsid w:val="00C73C40"/>
    <w:rsid w:val="00C73DBE"/>
    <w:rsid w:val="00C7416A"/>
    <w:rsid w:val="00C74314"/>
    <w:rsid w:val="00C74360"/>
    <w:rsid w:val="00C74B92"/>
    <w:rsid w:val="00C75309"/>
    <w:rsid w:val="00C75365"/>
    <w:rsid w:val="00C7560D"/>
    <w:rsid w:val="00C759E4"/>
    <w:rsid w:val="00C75E9A"/>
    <w:rsid w:val="00C761FD"/>
    <w:rsid w:val="00C767ED"/>
    <w:rsid w:val="00C76F54"/>
    <w:rsid w:val="00C7746E"/>
    <w:rsid w:val="00C7759B"/>
    <w:rsid w:val="00C77D9C"/>
    <w:rsid w:val="00C77FF2"/>
    <w:rsid w:val="00C80058"/>
    <w:rsid w:val="00C8020D"/>
    <w:rsid w:val="00C8030D"/>
    <w:rsid w:val="00C8036F"/>
    <w:rsid w:val="00C80504"/>
    <w:rsid w:val="00C80B2D"/>
    <w:rsid w:val="00C80EF0"/>
    <w:rsid w:val="00C80F78"/>
    <w:rsid w:val="00C81186"/>
    <w:rsid w:val="00C815E3"/>
    <w:rsid w:val="00C816F1"/>
    <w:rsid w:val="00C81700"/>
    <w:rsid w:val="00C81777"/>
    <w:rsid w:val="00C819DC"/>
    <w:rsid w:val="00C81CCF"/>
    <w:rsid w:val="00C81EE3"/>
    <w:rsid w:val="00C8257A"/>
    <w:rsid w:val="00C82684"/>
    <w:rsid w:val="00C826D6"/>
    <w:rsid w:val="00C82B36"/>
    <w:rsid w:val="00C83420"/>
    <w:rsid w:val="00C835DE"/>
    <w:rsid w:val="00C8378C"/>
    <w:rsid w:val="00C845C1"/>
    <w:rsid w:val="00C845F7"/>
    <w:rsid w:val="00C847A1"/>
    <w:rsid w:val="00C8516A"/>
    <w:rsid w:val="00C8559B"/>
    <w:rsid w:val="00C85BF7"/>
    <w:rsid w:val="00C85F85"/>
    <w:rsid w:val="00C869A6"/>
    <w:rsid w:val="00C869CB"/>
    <w:rsid w:val="00C86C9A"/>
    <w:rsid w:val="00C86E98"/>
    <w:rsid w:val="00C86FD2"/>
    <w:rsid w:val="00C8700C"/>
    <w:rsid w:val="00C87080"/>
    <w:rsid w:val="00C870DC"/>
    <w:rsid w:val="00C87285"/>
    <w:rsid w:val="00C87528"/>
    <w:rsid w:val="00C87E57"/>
    <w:rsid w:val="00C90192"/>
    <w:rsid w:val="00C903C6"/>
    <w:rsid w:val="00C9042C"/>
    <w:rsid w:val="00C909BD"/>
    <w:rsid w:val="00C90CB9"/>
    <w:rsid w:val="00C90D2A"/>
    <w:rsid w:val="00C90EE4"/>
    <w:rsid w:val="00C90F52"/>
    <w:rsid w:val="00C910C8"/>
    <w:rsid w:val="00C91233"/>
    <w:rsid w:val="00C91781"/>
    <w:rsid w:val="00C921A2"/>
    <w:rsid w:val="00C92B3C"/>
    <w:rsid w:val="00C92B41"/>
    <w:rsid w:val="00C92BBC"/>
    <w:rsid w:val="00C9384F"/>
    <w:rsid w:val="00C939C9"/>
    <w:rsid w:val="00C93B13"/>
    <w:rsid w:val="00C93CD3"/>
    <w:rsid w:val="00C9417E"/>
    <w:rsid w:val="00C94488"/>
    <w:rsid w:val="00C94766"/>
    <w:rsid w:val="00C949DB"/>
    <w:rsid w:val="00C94AED"/>
    <w:rsid w:val="00C94B13"/>
    <w:rsid w:val="00C94C74"/>
    <w:rsid w:val="00C95007"/>
    <w:rsid w:val="00C9505C"/>
    <w:rsid w:val="00C95B15"/>
    <w:rsid w:val="00C95D22"/>
    <w:rsid w:val="00C95E2F"/>
    <w:rsid w:val="00C96057"/>
    <w:rsid w:val="00C96200"/>
    <w:rsid w:val="00C96376"/>
    <w:rsid w:val="00C9647C"/>
    <w:rsid w:val="00C969D8"/>
    <w:rsid w:val="00C96C25"/>
    <w:rsid w:val="00C96D1C"/>
    <w:rsid w:val="00C96EA3"/>
    <w:rsid w:val="00C96ED9"/>
    <w:rsid w:val="00C97117"/>
    <w:rsid w:val="00C972E8"/>
    <w:rsid w:val="00C97416"/>
    <w:rsid w:val="00C97598"/>
    <w:rsid w:val="00C97772"/>
    <w:rsid w:val="00C97835"/>
    <w:rsid w:val="00C97BB7"/>
    <w:rsid w:val="00CA00D8"/>
    <w:rsid w:val="00CA00F7"/>
    <w:rsid w:val="00CA01D4"/>
    <w:rsid w:val="00CA0638"/>
    <w:rsid w:val="00CA0C9B"/>
    <w:rsid w:val="00CA1369"/>
    <w:rsid w:val="00CA1613"/>
    <w:rsid w:val="00CA1AC7"/>
    <w:rsid w:val="00CA1D9C"/>
    <w:rsid w:val="00CA21F8"/>
    <w:rsid w:val="00CA2566"/>
    <w:rsid w:val="00CA293C"/>
    <w:rsid w:val="00CA3355"/>
    <w:rsid w:val="00CA34FB"/>
    <w:rsid w:val="00CA3577"/>
    <w:rsid w:val="00CA3735"/>
    <w:rsid w:val="00CA3DF0"/>
    <w:rsid w:val="00CA3F44"/>
    <w:rsid w:val="00CA3FC3"/>
    <w:rsid w:val="00CA484D"/>
    <w:rsid w:val="00CA4943"/>
    <w:rsid w:val="00CA5142"/>
    <w:rsid w:val="00CA5FB2"/>
    <w:rsid w:val="00CA6103"/>
    <w:rsid w:val="00CA6388"/>
    <w:rsid w:val="00CA6401"/>
    <w:rsid w:val="00CA6973"/>
    <w:rsid w:val="00CA69E6"/>
    <w:rsid w:val="00CA70DA"/>
    <w:rsid w:val="00CA712B"/>
    <w:rsid w:val="00CA7368"/>
    <w:rsid w:val="00CA764F"/>
    <w:rsid w:val="00CA7AF3"/>
    <w:rsid w:val="00CA7C30"/>
    <w:rsid w:val="00CA7D50"/>
    <w:rsid w:val="00CA7FD2"/>
    <w:rsid w:val="00CB0085"/>
    <w:rsid w:val="00CB0132"/>
    <w:rsid w:val="00CB0624"/>
    <w:rsid w:val="00CB0DFE"/>
    <w:rsid w:val="00CB13FE"/>
    <w:rsid w:val="00CB1A7C"/>
    <w:rsid w:val="00CB1C12"/>
    <w:rsid w:val="00CB1F29"/>
    <w:rsid w:val="00CB20B0"/>
    <w:rsid w:val="00CB2228"/>
    <w:rsid w:val="00CB2A43"/>
    <w:rsid w:val="00CB2A8E"/>
    <w:rsid w:val="00CB2DD9"/>
    <w:rsid w:val="00CB3466"/>
    <w:rsid w:val="00CB352E"/>
    <w:rsid w:val="00CB3679"/>
    <w:rsid w:val="00CB4092"/>
    <w:rsid w:val="00CB43AD"/>
    <w:rsid w:val="00CB43F8"/>
    <w:rsid w:val="00CB46C4"/>
    <w:rsid w:val="00CB4C10"/>
    <w:rsid w:val="00CB4FA2"/>
    <w:rsid w:val="00CB549C"/>
    <w:rsid w:val="00CB5672"/>
    <w:rsid w:val="00CB5D61"/>
    <w:rsid w:val="00CB5DBF"/>
    <w:rsid w:val="00CB63FA"/>
    <w:rsid w:val="00CB6479"/>
    <w:rsid w:val="00CB67C1"/>
    <w:rsid w:val="00CB6997"/>
    <w:rsid w:val="00CB6BB4"/>
    <w:rsid w:val="00CB6DC1"/>
    <w:rsid w:val="00CB721E"/>
    <w:rsid w:val="00CB7434"/>
    <w:rsid w:val="00CB755B"/>
    <w:rsid w:val="00CB7A9C"/>
    <w:rsid w:val="00CB7D39"/>
    <w:rsid w:val="00CB7D7E"/>
    <w:rsid w:val="00CC05F2"/>
    <w:rsid w:val="00CC06DF"/>
    <w:rsid w:val="00CC0A31"/>
    <w:rsid w:val="00CC0CE9"/>
    <w:rsid w:val="00CC0EAC"/>
    <w:rsid w:val="00CC1975"/>
    <w:rsid w:val="00CC1ABD"/>
    <w:rsid w:val="00CC1EBA"/>
    <w:rsid w:val="00CC20FA"/>
    <w:rsid w:val="00CC2339"/>
    <w:rsid w:val="00CC28F4"/>
    <w:rsid w:val="00CC2FB3"/>
    <w:rsid w:val="00CC3141"/>
    <w:rsid w:val="00CC32B0"/>
    <w:rsid w:val="00CC3522"/>
    <w:rsid w:val="00CC35AF"/>
    <w:rsid w:val="00CC35DF"/>
    <w:rsid w:val="00CC3770"/>
    <w:rsid w:val="00CC378F"/>
    <w:rsid w:val="00CC3A71"/>
    <w:rsid w:val="00CC3CB4"/>
    <w:rsid w:val="00CC432C"/>
    <w:rsid w:val="00CC4481"/>
    <w:rsid w:val="00CC465A"/>
    <w:rsid w:val="00CC46B4"/>
    <w:rsid w:val="00CC46B6"/>
    <w:rsid w:val="00CC47BA"/>
    <w:rsid w:val="00CC4B7E"/>
    <w:rsid w:val="00CC4BB4"/>
    <w:rsid w:val="00CC4DE5"/>
    <w:rsid w:val="00CC54DF"/>
    <w:rsid w:val="00CC56AD"/>
    <w:rsid w:val="00CC5971"/>
    <w:rsid w:val="00CC5C53"/>
    <w:rsid w:val="00CC5E7A"/>
    <w:rsid w:val="00CC605E"/>
    <w:rsid w:val="00CC6294"/>
    <w:rsid w:val="00CC6333"/>
    <w:rsid w:val="00CC63DD"/>
    <w:rsid w:val="00CC669B"/>
    <w:rsid w:val="00CC7823"/>
    <w:rsid w:val="00CC7A1A"/>
    <w:rsid w:val="00CC7D41"/>
    <w:rsid w:val="00CC7EF8"/>
    <w:rsid w:val="00CC7EFD"/>
    <w:rsid w:val="00CD019C"/>
    <w:rsid w:val="00CD0818"/>
    <w:rsid w:val="00CD088C"/>
    <w:rsid w:val="00CD0949"/>
    <w:rsid w:val="00CD0AC5"/>
    <w:rsid w:val="00CD0B5D"/>
    <w:rsid w:val="00CD0BE5"/>
    <w:rsid w:val="00CD12C9"/>
    <w:rsid w:val="00CD14AF"/>
    <w:rsid w:val="00CD2066"/>
    <w:rsid w:val="00CD20BA"/>
    <w:rsid w:val="00CD2796"/>
    <w:rsid w:val="00CD2AC6"/>
    <w:rsid w:val="00CD376E"/>
    <w:rsid w:val="00CD3778"/>
    <w:rsid w:val="00CD377B"/>
    <w:rsid w:val="00CD4080"/>
    <w:rsid w:val="00CD43DD"/>
    <w:rsid w:val="00CD44B9"/>
    <w:rsid w:val="00CD5465"/>
    <w:rsid w:val="00CD57B6"/>
    <w:rsid w:val="00CD5F5C"/>
    <w:rsid w:val="00CD626D"/>
    <w:rsid w:val="00CD627F"/>
    <w:rsid w:val="00CD6552"/>
    <w:rsid w:val="00CD685B"/>
    <w:rsid w:val="00CD6D5B"/>
    <w:rsid w:val="00CD731C"/>
    <w:rsid w:val="00CD7704"/>
    <w:rsid w:val="00CE0188"/>
    <w:rsid w:val="00CE0194"/>
    <w:rsid w:val="00CE06E3"/>
    <w:rsid w:val="00CE0759"/>
    <w:rsid w:val="00CE0CB3"/>
    <w:rsid w:val="00CE0DA7"/>
    <w:rsid w:val="00CE0F63"/>
    <w:rsid w:val="00CE1A2C"/>
    <w:rsid w:val="00CE1B43"/>
    <w:rsid w:val="00CE20FA"/>
    <w:rsid w:val="00CE2209"/>
    <w:rsid w:val="00CE235E"/>
    <w:rsid w:val="00CE2570"/>
    <w:rsid w:val="00CE2584"/>
    <w:rsid w:val="00CE27B8"/>
    <w:rsid w:val="00CE2831"/>
    <w:rsid w:val="00CE297C"/>
    <w:rsid w:val="00CE2AE7"/>
    <w:rsid w:val="00CE300E"/>
    <w:rsid w:val="00CE3471"/>
    <w:rsid w:val="00CE35A6"/>
    <w:rsid w:val="00CE3A65"/>
    <w:rsid w:val="00CE3C00"/>
    <w:rsid w:val="00CE3C33"/>
    <w:rsid w:val="00CE3C60"/>
    <w:rsid w:val="00CE3C6D"/>
    <w:rsid w:val="00CE4201"/>
    <w:rsid w:val="00CE477E"/>
    <w:rsid w:val="00CE4A03"/>
    <w:rsid w:val="00CE4BF0"/>
    <w:rsid w:val="00CE4D19"/>
    <w:rsid w:val="00CE4D8E"/>
    <w:rsid w:val="00CE4E27"/>
    <w:rsid w:val="00CE4E9A"/>
    <w:rsid w:val="00CE51C0"/>
    <w:rsid w:val="00CE52FB"/>
    <w:rsid w:val="00CE546C"/>
    <w:rsid w:val="00CE54E2"/>
    <w:rsid w:val="00CE5564"/>
    <w:rsid w:val="00CE5CC0"/>
    <w:rsid w:val="00CE6640"/>
    <w:rsid w:val="00CE6E02"/>
    <w:rsid w:val="00CE6E0F"/>
    <w:rsid w:val="00CE71AC"/>
    <w:rsid w:val="00CE72FC"/>
    <w:rsid w:val="00CE7419"/>
    <w:rsid w:val="00CE7690"/>
    <w:rsid w:val="00CE76BD"/>
    <w:rsid w:val="00CE7704"/>
    <w:rsid w:val="00CE7A45"/>
    <w:rsid w:val="00CE7E8D"/>
    <w:rsid w:val="00CE7FA3"/>
    <w:rsid w:val="00CF023C"/>
    <w:rsid w:val="00CF04D5"/>
    <w:rsid w:val="00CF0C7A"/>
    <w:rsid w:val="00CF0F9B"/>
    <w:rsid w:val="00CF1086"/>
    <w:rsid w:val="00CF17CF"/>
    <w:rsid w:val="00CF1874"/>
    <w:rsid w:val="00CF1CE4"/>
    <w:rsid w:val="00CF250E"/>
    <w:rsid w:val="00CF2858"/>
    <w:rsid w:val="00CF290D"/>
    <w:rsid w:val="00CF2982"/>
    <w:rsid w:val="00CF2E8D"/>
    <w:rsid w:val="00CF2EFB"/>
    <w:rsid w:val="00CF2F1A"/>
    <w:rsid w:val="00CF3075"/>
    <w:rsid w:val="00CF34A5"/>
    <w:rsid w:val="00CF3534"/>
    <w:rsid w:val="00CF3D63"/>
    <w:rsid w:val="00CF3F02"/>
    <w:rsid w:val="00CF4444"/>
    <w:rsid w:val="00CF457A"/>
    <w:rsid w:val="00CF474A"/>
    <w:rsid w:val="00CF4AAB"/>
    <w:rsid w:val="00CF4BF3"/>
    <w:rsid w:val="00CF5781"/>
    <w:rsid w:val="00CF5BB9"/>
    <w:rsid w:val="00CF6A02"/>
    <w:rsid w:val="00CF6ACB"/>
    <w:rsid w:val="00CF6DA6"/>
    <w:rsid w:val="00CF6FD6"/>
    <w:rsid w:val="00CF70F6"/>
    <w:rsid w:val="00CF7641"/>
    <w:rsid w:val="00CF7789"/>
    <w:rsid w:val="00CF77A2"/>
    <w:rsid w:val="00CF77FD"/>
    <w:rsid w:val="00CF79C0"/>
    <w:rsid w:val="00CF7ADE"/>
    <w:rsid w:val="00CF7F28"/>
    <w:rsid w:val="00D0002C"/>
    <w:rsid w:val="00D00095"/>
    <w:rsid w:val="00D007AB"/>
    <w:rsid w:val="00D0094D"/>
    <w:rsid w:val="00D00C6C"/>
    <w:rsid w:val="00D01D1B"/>
    <w:rsid w:val="00D02377"/>
    <w:rsid w:val="00D02627"/>
    <w:rsid w:val="00D0274A"/>
    <w:rsid w:val="00D02B66"/>
    <w:rsid w:val="00D02DF2"/>
    <w:rsid w:val="00D02DFF"/>
    <w:rsid w:val="00D03119"/>
    <w:rsid w:val="00D032BF"/>
    <w:rsid w:val="00D03336"/>
    <w:rsid w:val="00D03487"/>
    <w:rsid w:val="00D036F1"/>
    <w:rsid w:val="00D037DE"/>
    <w:rsid w:val="00D03A29"/>
    <w:rsid w:val="00D03B32"/>
    <w:rsid w:val="00D04004"/>
    <w:rsid w:val="00D044F9"/>
    <w:rsid w:val="00D04F26"/>
    <w:rsid w:val="00D04FE7"/>
    <w:rsid w:val="00D05550"/>
    <w:rsid w:val="00D058F0"/>
    <w:rsid w:val="00D059A7"/>
    <w:rsid w:val="00D0607B"/>
    <w:rsid w:val="00D060D3"/>
    <w:rsid w:val="00D06220"/>
    <w:rsid w:val="00D06941"/>
    <w:rsid w:val="00D06A17"/>
    <w:rsid w:val="00D06B35"/>
    <w:rsid w:val="00D06C39"/>
    <w:rsid w:val="00D06D5D"/>
    <w:rsid w:val="00D06E6F"/>
    <w:rsid w:val="00D06EA5"/>
    <w:rsid w:val="00D06F6E"/>
    <w:rsid w:val="00D07536"/>
    <w:rsid w:val="00D07566"/>
    <w:rsid w:val="00D07600"/>
    <w:rsid w:val="00D078C5"/>
    <w:rsid w:val="00D0790F"/>
    <w:rsid w:val="00D07966"/>
    <w:rsid w:val="00D07F19"/>
    <w:rsid w:val="00D0F127"/>
    <w:rsid w:val="00D101D1"/>
    <w:rsid w:val="00D105A8"/>
    <w:rsid w:val="00D1074A"/>
    <w:rsid w:val="00D10841"/>
    <w:rsid w:val="00D10E45"/>
    <w:rsid w:val="00D11157"/>
    <w:rsid w:val="00D113F5"/>
    <w:rsid w:val="00D116E2"/>
    <w:rsid w:val="00D11D9E"/>
    <w:rsid w:val="00D11F94"/>
    <w:rsid w:val="00D12088"/>
    <w:rsid w:val="00D122A7"/>
    <w:rsid w:val="00D12A37"/>
    <w:rsid w:val="00D12E84"/>
    <w:rsid w:val="00D12EB8"/>
    <w:rsid w:val="00D130A0"/>
    <w:rsid w:val="00D131B8"/>
    <w:rsid w:val="00D131E2"/>
    <w:rsid w:val="00D134C3"/>
    <w:rsid w:val="00D13764"/>
    <w:rsid w:val="00D137A9"/>
    <w:rsid w:val="00D13A2A"/>
    <w:rsid w:val="00D13A3F"/>
    <w:rsid w:val="00D13D21"/>
    <w:rsid w:val="00D13D5F"/>
    <w:rsid w:val="00D13F9A"/>
    <w:rsid w:val="00D14080"/>
    <w:rsid w:val="00D14225"/>
    <w:rsid w:val="00D142D9"/>
    <w:rsid w:val="00D144A9"/>
    <w:rsid w:val="00D14B91"/>
    <w:rsid w:val="00D14FC9"/>
    <w:rsid w:val="00D152D4"/>
    <w:rsid w:val="00D155A9"/>
    <w:rsid w:val="00D155B6"/>
    <w:rsid w:val="00D15F53"/>
    <w:rsid w:val="00D15FCE"/>
    <w:rsid w:val="00D162F3"/>
    <w:rsid w:val="00D16A8F"/>
    <w:rsid w:val="00D16D1E"/>
    <w:rsid w:val="00D16F8A"/>
    <w:rsid w:val="00D17417"/>
    <w:rsid w:val="00D17C96"/>
    <w:rsid w:val="00D17E71"/>
    <w:rsid w:val="00D20096"/>
    <w:rsid w:val="00D20254"/>
    <w:rsid w:val="00D20461"/>
    <w:rsid w:val="00D20497"/>
    <w:rsid w:val="00D20932"/>
    <w:rsid w:val="00D20C78"/>
    <w:rsid w:val="00D20C88"/>
    <w:rsid w:val="00D21593"/>
    <w:rsid w:val="00D2179E"/>
    <w:rsid w:val="00D2187F"/>
    <w:rsid w:val="00D21BC4"/>
    <w:rsid w:val="00D21E04"/>
    <w:rsid w:val="00D22194"/>
    <w:rsid w:val="00D225B2"/>
    <w:rsid w:val="00D22653"/>
    <w:rsid w:val="00D23197"/>
    <w:rsid w:val="00D23273"/>
    <w:rsid w:val="00D2332B"/>
    <w:rsid w:val="00D23598"/>
    <w:rsid w:val="00D23B3B"/>
    <w:rsid w:val="00D23B53"/>
    <w:rsid w:val="00D23BE7"/>
    <w:rsid w:val="00D23CD8"/>
    <w:rsid w:val="00D23E9C"/>
    <w:rsid w:val="00D240AA"/>
    <w:rsid w:val="00D24AE2"/>
    <w:rsid w:val="00D24C19"/>
    <w:rsid w:val="00D257CC"/>
    <w:rsid w:val="00D259AC"/>
    <w:rsid w:val="00D259CB"/>
    <w:rsid w:val="00D25A75"/>
    <w:rsid w:val="00D26440"/>
    <w:rsid w:val="00D2656B"/>
    <w:rsid w:val="00D26F90"/>
    <w:rsid w:val="00D27003"/>
    <w:rsid w:val="00D27354"/>
    <w:rsid w:val="00D27721"/>
    <w:rsid w:val="00D279F6"/>
    <w:rsid w:val="00D27B33"/>
    <w:rsid w:val="00D300C9"/>
    <w:rsid w:val="00D30B74"/>
    <w:rsid w:val="00D30C07"/>
    <w:rsid w:val="00D30C54"/>
    <w:rsid w:val="00D31014"/>
    <w:rsid w:val="00D3106B"/>
    <w:rsid w:val="00D3119C"/>
    <w:rsid w:val="00D3150C"/>
    <w:rsid w:val="00D31978"/>
    <w:rsid w:val="00D31A88"/>
    <w:rsid w:val="00D31DD6"/>
    <w:rsid w:val="00D32093"/>
    <w:rsid w:val="00D3217C"/>
    <w:rsid w:val="00D328C4"/>
    <w:rsid w:val="00D32A08"/>
    <w:rsid w:val="00D32BF6"/>
    <w:rsid w:val="00D32FDA"/>
    <w:rsid w:val="00D33091"/>
    <w:rsid w:val="00D330D8"/>
    <w:rsid w:val="00D330DC"/>
    <w:rsid w:val="00D33340"/>
    <w:rsid w:val="00D337B0"/>
    <w:rsid w:val="00D33911"/>
    <w:rsid w:val="00D33E37"/>
    <w:rsid w:val="00D344E4"/>
    <w:rsid w:val="00D3453A"/>
    <w:rsid w:val="00D34698"/>
    <w:rsid w:val="00D34B64"/>
    <w:rsid w:val="00D34CAA"/>
    <w:rsid w:val="00D34D1D"/>
    <w:rsid w:val="00D34D24"/>
    <w:rsid w:val="00D34F84"/>
    <w:rsid w:val="00D35073"/>
    <w:rsid w:val="00D3571E"/>
    <w:rsid w:val="00D35F05"/>
    <w:rsid w:val="00D3603F"/>
    <w:rsid w:val="00D369BF"/>
    <w:rsid w:val="00D36BE3"/>
    <w:rsid w:val="00D36DDC"/>
    <w:rsid w:val="00D36DED"/>
    <w:rsid w:val="00D372EF"/>
    <w:rsid w:val="00D37903"/>
    <w:rsid w:val="00D37AD8"/>
    <w:rsid w:val="00D37C9A"/>
    <w:rsid w:val="00D4089B"/>
    <w:rsid w:val="00D409AA"/>
    <w:rsid w:val="00D40A23"/>
    <w:rsid w:val="00D40D42"/>
    <w:rsid w:val="00D40D4B"/>
    <w:rsid w:val="00D41105"/>
    <w:rsid w:val="00D41315"/>
    <w:rsid w:val="00D413E1"/>
    <w:rsid w:val="00D4186B"/>
    <w:rsid w:val="00D4191C"/>
    <w:rsid w:val="00D41DF7"/>
    <w:rsid w:val="00D41F53"/>
    <w:rsid w:val="00D41FD9"/>
    <w:rsid w:val="00D42770"/>
    <w:rsid w:val="00D4283D"/>
    <w:rsid w:val="00D42B7F"/>
    <w:rsid w:val="00D42D75"/>
    <w:rsid w:val="00D43090"/>
    <w:rsid w:val="00D43732"/>
    <w:rsid w:val="00D43B23"/>
    <w:rsid w:val="00D43DC5"/>
    <w:rsid w:val="00D43DCC"/>
    <w:rsid w:val="00D44224"/>
    <w:rsid w:val="00D449FF"/>
    <w:rsid w:val="00D44C13"/>
    <w:rsid w:val="00D450DE"/>
    <w:rsid w:val="00D45182"/>
    <w:rsid w:val="00D45240"/>
    <w:rsid w:val="00D45952"/>
    <w:rsid w:val="00D459EB"/>
    <w:rsid w:val="00D45A0E"/>
    <w:rsid w:val="00D45A59"/>
    <w:rsid w:val="00D4611B"/>
    <w:rsid w:val="00D46397"/>
    <w:rsid w:val="00D4643D"/>
    <w:rsid w:val="00D469BD"/>
    <w:rsid w:val="00D46BD0"/>
    <w:rsid w:val="00D46C28"/>
    <w:rsid w:val="00D46E9E"/>
    <w:rsid w:val="00D470F5"/>
    <w:rsid w:val="00D4715F"/>
    <w:rsid w:val="00D474C1"/>
    <w:rsid w:val="00D475CA"/>
    <w:rsid w:val="00D476F8"/>
    <w:rsid w:val="00D47CBF"/>
    <w:rsid w:val="00D503FC"/>
    <w:rsid w:val="00D50572"/>
    <w:rsid w:val="00D50649"/>
    <w:rsid w:val="00D50A85"/>
    <w:rsid w:val="00D510FE"/>
    <w:rsid w:val="00D51123"/>
    <w:rsid w:val="00D514A3"/>
    <w:rsid w:val="00D518B0"/>
    <w:rsid w:val="00D51C82"/>
    <w:rsid w:val="00D51F02"/>
    <w:rsid w:val="00D52AF8"/>
    <w:rsid w:val="00D52E10"/>
    <w:rsid w:val="00D53159"/>
    <w:rsid w:val="00D53CD4"/>
    <w:rsid w:val="00D53CF2"/>
    <w:rsid w:val="00D53D78"/>
    <w:rsid w:val="00D542DF"/>
    <w:rsid w:val="00D54856"/>
    <w:rsid w:val="00D5496D"/>
    <w:rsid w:val="00D54BC3"/>
    <w:rsid w:val="00D54F85"/>
    <w:rsid w:val="00D552C4"/>
    <w:rsid w:val="00D55414"/>
    <w:rsid w:val="00D555A5"/>
    <w:rsid w:val="00D559C5"/>
    <w:rsid w:val="00D55E52"/>
    <w:rsid w:val="00D5620A"/>
    <w:rsid w:val="00D56869"/>
    <w:rsid w:val="00D56961"/>
    <w:rsid w:val="00D56A05"/>
    <w:rsid w:val="00D56AA2"/>
    <w:rsid w:val="00D56BD2"/>
    <w:rsid w:val="00D56C65"/>
    <w:rsid w:val="00D56C81"/>
    <w:rsid w:val="00D56D33"/>
    <w:rsid w:val="00D56D68"/>
    <w:rsid w:val="00D5748D"/>
    <w:rsid w:val="00D5770A"/>
    <w:rsid w:val="00D5778B"/>
    <w:rsid w:val="00D57B45"/>
    <w:rsid w:val="00D57DA0"/>
    <w:rsid w:val="00D6005E"/>
    <w:rsid w:val="00D60306"/>
    <w:rsid w:val="00D60483"/>
    <w:rsid w:val="00D60A69"/>
    <w:rsid w:val="00D60B0B"/>
    <w:rsid w:val="00D60D5A"/>
    <w:rsid w:val="00D60D63"/>
    <w:rsid w:val="00D60FCA"/>
    <w:rsid w:val="00D61017"/>
    <w:rsid w:val="00D61113"/>
    <w:rsid w:val="00D61BFF"/>
    <w:rsid w:val="00D62092"/>
    <w:rsid w:val="00D62157"/>
    <w:rsid w:val="00D622BF"/>
    <w:rsid w:val="00D62396"/>
    <w:rsid w:val="00D6244A"/>
    <w:rsid w:val="00D625CD"/>
    <w:rsid w:val="00D62837"/>
    <w:rsid w:val="00D62BE7"/>
    <w:rsid w:val="00D62E2A"/>
    <w:rsid w:val="00D62F56"/>
    <w:rsid w:val="00D636CC"/>
    <w:rsid w:val="00D637A4"/>
    <w:rsid w:val="00D6382C"/>
    <w:rsid w:val="00D63D5D"/>
    <w:rsid w:val="00D63D9E"/>
    <w:rsid w:val="00D64093"/>
    <w:rsid w:val="00D64198"/>
    <w:rsid w:val="00D641BD"/>
    <w:rsid w:val="00D64747"/>
    <w:rsid w:val="00D64943"/>
    <w:rsid w:val="00D64B7B"/>
    <w:rsid w:val="00D64BBD"/>
    <w:rsid w:val="00D65108"/>
    <w:rsid w:val="00D653B9"/>
    <w:rsid w:val="00D65AA3"/>
    <w:rsid w:val="00D65CF2"/>
    <w:rsid w:val="00D65D84"/>
    <w:rsid w:val="00D65E8C"/>
    <w:rsid w:val="00D65EB0"/>
    <w:rsid w:val="00D66009"/>
    <w:rsid w:val="00D6656A"/>
    <w:rsid w:val="00D665AB"/>
    <w:rsid w:val="00D667F0"/>
    <w:rsid w:val="00D66927"/>
    <w:rsid w:val="00D66BBA"/>
    <w:rsid w:val="00D66BE4"/>
    <w:rsid w:val="00D66CF9"/>
    <w:rsid w:val="00D66ECF"/>
    <w:rsid w:val="00D67609"/>
    <w:rsid w:val="00D6770F"/>
    <w:rsid w:val="00D67A3D"/>
    <w:rsid w:val="00D67B0F"/>
    <w:rsid w:val="00D701B8"/>
    <w:rsid w:val="00D703E8"/>
    <w:rsid w:val="00D709A1"/>
    <w:rsid w:val="00D70ACB"/>
    <w:rsid w:val="00D70BA8"/>
    <w:rsid w:val="00D70CB2"/>
    <w:rsid w:val="00D71466"/>
    <w:rsid w:val="00D71A2E"/>
    <w:rsid w:val="00D71A7D"/>
    <w:rsid w:val="00D71D5F"/>
    <w:rsid w:val="00D71F89"/>
    <w:rsid w:val="00D724C0"/>
    <w:rsid w:val="00D72630"/>
    <w:rsid w:val="00D7271D"/>
    <w:rsid w:val="00D729D9"/>
    <w:rsid w:val="00D72B1D"/>
    <w:rsid w:val="00D72BA0"/>
    <w:rsid w:val="00D72C85"/>
    <w:rsid w:val="00D72D76"/>
    <w:rsid w:val="00D73871"/>
    <w:rsid w:val="00D739D1"/>
    <w:rsid w:val="00D73A0E"/>
    <w:rsid w:val="00D743D7"/>
    <w:rsid w:val="00D7463F"/>
    <w:rsid w:val="00D749DB"/>
    <w:rsid w:val="00D74B28"/>
    <w:rsid w:val="00D74F4C"/>
    <w:rsid w:val="00D75282"/>
    <w:rsid w:val="00D7539D"/>
    <w:rsid w:val="00D757A8"/>
    <w:rsid w:val="00D75C26"/>
    <w:rsid w:val="00D75D1F"/>
    <w:rsid w:val="00D75E2D"/>
    <w:rsid w:val="00D761C0"/>
    <w:rsid w:val="00D765ED"/>
    <w:rsid w:val="00D76741"/>
    <w:rsid w:val="00D7683B"/>
    <w:rsid w:val="00D76938"/>
    <w:rsid w:val="00D76A66"/>
    <w:rsid w:val="00D773D6"/>
    <w:rsid w:val="00D779C7"/>
    <w:rsid w:val="00D8049D"/>
    <w:rsid w:val="00D8068D"/>
    <w:rsid w:val="00D8077B"/>
    <w:rsid w:val="00D80946"/>
    <w:rsid w:val="00D80C91"/>
    <w:rsid w:val="00D80D53"/>
    <w:rsid w:val="00D80E4C"/>
    <w:rsid w:val="00D80EA0"/>
    <w:rsid w:val="00D80EBC"/>
    <w:rsid w:val="00D816DC"/>
    <w:rsid w:val="00D819D3"/>
    <w:rsid w:val="00D81BD3"/>
    <w:rsid w:val="00D81E70"/>
    <w:rsid w:val="00D82378"/>
    <w:rsid w:val="00D8237A"/>
    <w:rsid w:val="00D82492"/>
    <w:rsid w:val="00D826B8"/>
    <w:rsid w:val="00D827FD"/>
    <w:rsid w:val="00D8315B"/>
    <w:rsid w:val="00D832DD"/>
    <w:rsid w:val="00D836A3"/>
    <w:rsid w:val="00D83951"/>
    <w:rsid w:val="00D83B1F"/>
    <w:rsid w:val="00D83B9B"/>
    <w:rsid w:val="00D83C1F"/>
    <w:rsid w:val="00D83D98"/>
    <w:rsid w:val="00D84449"/>
    <w:rsid w:val="00D84572"/>
    <w:rsid w:val="00D849CD"/>
    <w:rsid w:val="00D84A3F"/>
    <w:rsid w:val="00D84D0D"/>
    <w:rsid w:val="00D84D65"/>
    <w:rsid w:val="00D84EBF"/>
    <w:rsid w:val="00D855DD"/>
    <w:rsid w:val="00D85668"/>
    <w:rsid w:val="00D85860"/>
    <w:rsid w:val="00D858BA"/>
    <w:rsid w:val="00D85A4F"/>
    <w:rsid w:val="00D85B63"/>
    <w:rsid w:val="00D85D55"/>
    <w:rsid w:val="00D85DD4"/>
    <w:rsid w:val="00D86430"/>
    <w:rsid w:val="00D8670F"/>
    <w:rsid w:val="00D86B80"/>
    <w:rsid w:val="00D86D3B"/>
    <w:rsid w:val="00D87003"/>
    <w:rsid w:val="00D87200"/>
    <w:rsid w:val="00D873E7"/>
    <w:rsid w:val="00D875DD"/>
    <w:rsid w:val="00D8791E"/>
    <w:rsid w:val="00D87A5F"/>
    <w:rsid w:val="00D87D64"/>
    <w:rsid w:val="00D87F0A"/>
    <w:rsid w:val="00D87F38"/>
    <w:rsid w:val="00D90A8F"/>
    <w:rsid w:val="00D90BF2"/>
    <w:rsid w:val="00D90FEB"/>
    <w:rsid w:val="00D912FA"/>
    <w:rsid w:val="00D91511"/>
    <w:rsid w:val="00D91B7C"/>
    <w:rsid w:val="00D921F8"/>
    <w:rsid w:val="00D92349"/>
    <w:rsid w:val="00D92C6D"/>
    <w:rsid w:val="00D93615"/>
    <w:rsid w:val="00D93AB5"/>
    <w:rsid w:val="00D940C9"/>
    <w:rsid w:val="00D9467F"/>
    <w:rsid w:val="00D948BA"/>
    <w:rsid w:val="00D94CD9"/>
    <w:rsid w:val="00D94DBD"/>
    <w:rsid w:val="00D95196"/>
    <w:rsid w:val="00D95B77"/>
    <w:rsid w:val="00D95BB3"/>
    <w:rsid w:val="00D95D6D"/>
    <w:rsid w:val="00D9624C"/>
    <w:rsid w:val="00D96257"/>
    <w:rsid w:val="00D96762"/>
    <w:rsid w:val="00D96B90"/>
    <w:rsid w:val="00D96DC0"/>
    <w:rsid w:val="00D96FAC"/>
    <w:rsid w:val="00D9718A"/>
    <w:rsid w:val="00D974BB"/>
    <w:rsid w:val="00D97DE8"/>
    <w:rsid w:val="00DA004E"/>
    <w:rsid w:val="00DA00E4"/>
    <w:rsid w:val="00DA0211"/>
    <w:rsid w:val="00DA034D"/>
    <w:rsid w:val="00DA052A"/>
    <w:rsid w:val="00DA069B"/>
    <w:rsid w:val="00DA07B2"/>
    <w:rsid w:val="00DA07DB"/>
    <w:rsid w:val="00DA08BA"/>
    <w:rsid w:val="00DA0A9D"/>
    <w:rsid w:val="00DA0DBF"/>
    <w:rsid w:val="00DA0E0A"/>
    <w:rsid w:val="00DA1538"/>
    <w:rsid w:val="00DA1A72"/>
    <w:rsid w:val="00DA1B43"/>
    <w:rsid w:val="00DA1C61"/>
    <w:rsid w:val="00DA245E"/>
    <w:rsid w:val="00DA29E8"/>
    <w:rsid w:val="00DA2E94"/>
    <w:rsid w:val="00DA2F4D"/>
    <w:rsid w:val="00DA3012"/>
    <w:rsid w:val="00DA3204"/>
    <w:rsid w:val="00DA3295"/>
    <w:rsid w:val="00DA3322"/>
    <w:rsid w:val="00DA33F1"/>
    <w:rsid w:val="00DA3969"/>
    <w:rsid w:val="00DA3B85"/>
    <w:rsid w:val="00DA4046"/>
    <w:rsid w:val="00DA45AC"/>
    <w:rsid w:val="00DA4885"/>
    <w:rsid w:val="00DA4B14"/>
    <w:rsid w:val="00DA541B"/>
    <w:rsid w:val="00DA5859"/>
    <w:rsid w:val="00DA58A1"/>
    <w:rsid w:val="00DA59C6"/>
    <w:rsid w:val="00DA59F0"/>
    <w:rsid w:val="00DA5DBC"/>
    <w:rsid w:val="00DA601F"/>
    <w:rsid w:val="00DA603F"/>
    <w:rsid w:val="00DA60B5"/>
    <w:rsid w:val="00DA68CA"/>
    <w:rsid w:val="00DA6B61"/>
    <w:rsid w:val="00DA72DA"/>
    <w:rsid w:val="00DA7661"/>
    <w:rsid w:val="00DA786C"/>
    <w:rsid w:val="00DA78FD"/>
    <w:rsid w:val="00DA790E"/>
    <w:rsid w:val="00DA7D8F"/>
    <w:rsid w:val="00DA7F42"/>
    <w:rsid w:val="00DB019A"/>
    <w:rsid w:val="00DB023E"/>
    <w:rsid w:val="00DB058A"/>
    <w:rsid w:val="00DB059C"/>
    <w:rsid w:val="00DB0612"/>
    <w:rsid w:val="00DB081B"/>
    <w:rsid w:val="00DB09AB"/>
    <w:rsid w:val="00DB0A63"/>
    <w:rsid w:val="00DB0D09"/>
    <w:rsid w:val="00DB0DF8"/>
    <w:rsid w:val="00DB12F5"/>
    <w:rsid w:val="00DB13B4"/>
    <w:rsid w:val="00DB13CD"/>
    <w:rsid w:val="00DB1C4C"/>
    <w:rsid w:val="00DB1CA6"/>
    <w:rsid w:val="00DB1E47"/>
    <w:rsid w:val="00DB1EA6"/>
    <w:rsid w:val="00DB23DF"/>
    <w:rsid w:val="00DB26C4"/>
    <w:rsid w:val="00DB2CFF"/>
    <w:rsid w:val="00DB3432"/>
    <w:rsid w:val="00DB36EC"/>
    <w:rsid w:val="00DB3968"/>
    <w:rsid w:val="00DB3E42"/>
    <w:rsid w:val="00DB4487"/>
    <w:rsid w:val="00DB4557"/>
    <w:rsid w:val="00DB4759"/>
    <w:rsid w:val="00DB4763"/>
    <w:rsid w:val="00DB49F2"/>
    <w:rsid w:val="00DB4B63"/>
    <w:rsid w:val="00DB4BF1"/>
    <w:rsid w:val="00DB548D"/>
    <w:rsid w:val="00DB5542"/>
    <w:rsid w:val="00DB5619"/>
    <w:rsid w:val="00DB58BA"/>
    <w:rsid w:val="00DB5A3C"/>
    <w:rsid w:val="00DB6221"/>
    <w:rsid w:val="00DB6453"/>
    <w:rsid w:val="00DB651F"/>
    <w:rsid w:val="00DB67CE"/>
    <w:rsid w:val="00DB6AA1"/>
    <w:rsid w:val="00DB6AC1"/>
    <w:rsid w:val="00DB7265"/>
    <w:rsid w:val="00DB7471"/>
    <w:rsid w:val="00DB75AC"/>
    <w:rsid w:val="00DB7744"/>
    <w:rsid w:val="00DB7CAA"/>
    <w:rsid w:val="00DB7D79"/>
    <w:rsid w:val="00DC027E"/>
    <w:rsid w:val="00DC02A5"/>
    <w:rsid w:val="00DC044D"/>
    <w:rsid w:val="00DC056B"/>
    <w:rsid w:val="00DC0C65"/>
    <w:rsid w:val="00DC0C85"/>
    <w:rsid w:val="00DC0F83"/>
    <w:rsid w:val="00DC10D0"/>
    <w:rsid w:val="00DC11E7"/>
    <w:rsid w:val="00DC13F2"/>
    <w:rsid w:val="00DC14B6"/>
    <w:rsid w:val="00DC181A"/>
    <w:rsid w:val="00DC1827"/>
    <w:rsid w:val="00DC19BC"/>
    <w:rsid w:val="00DC1B42"/>
    <w:rsid w:val="00DC1C77"/>
    <w:rsid w:val="00DC1E02"/>
    <w:rsid w:val="00DC23FA"/>
    <w:rsid w:val="00DC2B4D"/>
    <w:rsid w:val="00DC2D91"/>
    <w:rsid w:val="00DC305A"/>
    <w:rsid w:val="00DC3801"/>
    <w:rsid w:val="00DC3EAE"/>
    <w:rsid w:val="00DC3EF6"/>
    <w:rsid w:val="00DC4202"/>
    <w:rsid w:val="00DC422C"/>
    <w:rsid w:val="00DC44FD"/>
    <w:rsid w:val="00DC46CF"/>
    <w:rsid w:val="00DC47E4"/>
    <w:rsid w:val="00DC4A8D"/>
    <w:rsid w:val="00DC4BAF"/>
    <w:rsid w:val="00DC4C1F"/>
    <w:rsid w:val="00DC4DE7"/>
    <w:rsid w:val="00DC4E3C"/>
    <w:rsid w:val="00DC4F4E"/>
    <w:rsid w:val="00DC52B5"/>
    <w:rsid w:val="00DC5319"/>
    <w:rsid w:val="00DC53F5"/>
    <w:rsid w:val="00DC547E"/>
    <w:rsid w:val="00DC57C3"/>
    <w:rsid w:val="00DC5A3F"/>
    <w:rsid w:val="00DC605E"/>
    <w:rsid w:val="00DC6164"/>
    <w:rsid w:val="00DC653E"/>
    <w:rsid w:val="00DC68C8"/>
    <w:rsid w:val="00DC69D8"/>
    <w:rsid w:val="00DC6A67"/>
    <w:rsid w:val="00DC6CC6"/>
    <w:rsid w:val="00DC6F89"/>
    <w:rsid w:val="00DC7020"/>
    <w:rsid w:val="00DC723A"/>
    <w:rsid w:val="00DC725B"/>
    <w:rsid w:val="00DC749C"/>
    <w:rsid w:val="00DD04BF"/>
    <w:rsid w:val="00DD05DA"/>
    <w:rsid w:val="00DD0FE4"/>
    <w:rsid w:val="00DD103B"/>
    <w:rsid w:val="00DD12A5"/>
    <w:rsid w:val="00DD1613"/>
    <w:rsid w:val="00DD1DC8"/>
    <w:rsid w:val="00DD276D"/>
    <w:rsid w:val="00DD293A"/>
    <w:rsid w:val="00DD2C78"/>
    <w:rsid w:val="00DD2CA6"/>
    <w:rsid w:val="00DD2D37"/>
    <w:rsid w:val="00DD2EB5"/>
    <w:rsid w:val="00DD3793"/>
    <w:rsid w:val="00DD3908"/>
    <w:rsid w:val="00DD3A18"/>
    <w:rsid w:val="00DD3AD9"/>
    <w:rsid w:val="00DD4D52"/>
    <w:rsid w:val="00DD4DDE"/>
    <w:rsid w:val="00DD514F"/>
    <w:rsid w:val="00DD5632"/>
    <w:rsid w:val="00DD57EB"/>
    <w:rsid w:val="00DD5890"/>
    <w:rsid w:val="00DD59B9"/>
    <w:rsid w:val="00DD5ACD"/>
    <w:rsid w:val="00DD5B70"/>
    <w:rsid w:val="00DD5D4D"/>
    <w:rsid w:val="00DD6354"/>
    <w:rsid w:val="00DD6697"/>
    <w:rsid w:val="00DD66CF"/>
    <w:rsid w:val="00DD6D84"/>
    <w:rsid w:val="00DD71DC"/>
    <w:rsid w:val="00DD7822"/>
    <w:rsid w:val="00DE03EC"/>
    <w:rsid w:val="00DE0668"/>
    <w:rsid w:val="00DE0A30"/>
    <w:rsid w:val="00DE0BF3"/>
    <w:rsid w:val="00DE0D21"/>
    <w:rsid w:val="00DE0E8F"/>
    <w:rsid w:val="00DE0F0D"/>
    <w:rsid w:val="00DE102E"/>
    <w:rsid w:val="00DE11A0"/>
    <w:rsid w:val="00DE15EF"/>
    <w:rsid w:val="00DE172E"/>
    <w:rsid w:val="00DE195B"/>
    <w:rsid w:val="00DE1C87"/>
    <w:rsid w:val="00DE2887"/>
    <w:rsid w:val="00DE2929"/>
    <w:rsid w:val="00DE31CF"/>
    <w:rsid w:val="00DE3249"/>
    <w:rsid w:val="00DE34E2"/>
    <w:rsid w:val="00DE34F4"/>
    <w:rsid w:val="00DE433A"/>
    <w:rsid w:val="00DE4580"/>
    <w:rsid w:val="00DE47ED"/>
    <w:rsid w:val="00DE4A97"/>
    <w:rsid w:val="00DE4AC4"/>
    <w:rsid w:val="00DE5052"/>
    <w:rsid w:val="00DE52EF"/>
    <w:rsid w:val="00DE53D4"/>
    <w:rsid w:val="00DE55D5"/>
    <w:rsid w:val="00DE5807"/>
    <w:rsid w:val="00DE5BEA"/>
    <w:rsid w:val="00DE633D"/>
    <w:rsid w:val="00DE63B3"/>
    <w:rsid w:val="00DE6DB8"/>
    <w:rsid w:val="00DE7390"/>
    <w:rsid w:val="00DE769C"/>
    <w:rsid w:val="00DE76E0"/>
    <w:rsid w:val="00DE7A11"/>
    <w:rsid w:val="00DE7B65"/>
    <w:rsid w:val="00DE7DF0"/>
    <w:rsid w:val="00DE7F9A"/>
    <w:rsid w:val="00DF0200"/>
    <w:rsid w:val="00DF0248"/>
    <w:rsid w:val="00DF027B"/>
    <w:rsid w:val="00DF0373"/>
    <w:rsid w:val="00DF0458"/>
    <w:rsid w:val="00DF0756"/>
    <w:rsid w:val="00DF095D"/>
    <w:rsid w:val="00DF0A74"/>
    <w:rsid w:val="00DF0C9B"/>
    <w:rsid w:val="00DF0CBC"/>
    <w:rsid w:val="00DF0DEB"/>
    <w:rsid w:val="00DF0DFE"/>
    <w:rsid w:val="00DF1230"/>
    <w:rsid w:val="00DF13F3"/>
    <w:rsid w:val="00DF1684"/>
    <w:rsid w:val="00DF1984"/>
    <w:rsid w:val="00DF1A01"/>
    <w:rsid w:val="00DF1F19"/>
    <w:rsid w:val="00DF282D"/>
    <w:rsid w:val="00DF367B"/>
    <w:rsid w:val="00DF3699"/>
    <w:rsid w:val="00DF42B5"/>
    <w:rsid w:val="00DF4309"/>
    <w:rsid w:val="00DF439F"/>
    <w:rsid w:val="00DF45C3"/>
    <w:rsid w:val="00DF478B"/>
    <w:rsid w:val="00DF47B6"/>
    <w:rsid w:val="00DF47F7"/>
    <w:rsid w:val="00DF49EE"/>
    <w:rsid w:val="00DF4CA1"/>
    <w:rsid w:val="00DF4EDF"/>
    <w:rsid w:val="00DF52F1"/>
    <w:rsid w:val="00DF52F4"/>
    <w:rsid w:val="00DF53A4"/>
    <w:rsid w:val="00DF555A"/>
    <w:rsid w:val="00DF56C0"/>
    <w:rsid w:val="00DF5858"/>
    <w:rsid w:val="00DF5C7C"/>
    <w:rsid w:val="00DF600E"/>
    <w:rsid w:val="00DF6033"/>
    <w:rsid w:val="00DF6241"/>
    <w:rsid w:val="00DF625B"/>
    <w:rsid w:val="00DF6307"/>
    <w:rsid w:val="00DF642E"/>
    <w:rsid w:val="00DF64B1"/>
    <w:rsid w:val="00DF677A"/>
    <w:rsid w:val="00DF6F31"/>
    <w:rsid w:val="00DF7742"/>
    <w:rsid w:val="00DF7A67"/>
    <w:rsid w:val="00DF7AF3"/>
    <w:rsid w:val="00DF7F43"/>
    <w:rsid w:val="00E001DB"/>
    <w:rsid w:val="00E00223"/>
    <w:rsid w:val="00E00669"/>
    <w:rsid w:val="00E00C5A"/>
    <w:rsid w:val="00E00EFC"/>
    <w:rsid w:val="00E00F5B"/>
    <w:rsid w:val="00E01532"/>
    <w:rsid w:val="00E01B06"/>
    <w:rsid w:val="00E01F10"/>
    <w:rsid w:val="00E01F15"/>
    <w:rsid w:val="00E03ABF"/>
    <w:rsid w:val="00E03F42"/>
    <w:rsid w:val="00E042F9"/>
    <w:rsid w:val="00E04364"/>
    <w:rsid w:val="00E0442E"/>
    <w:rsid w:val="00E04685"/>
    <w:rsid w:val="00E0477E"/>
    <w:rsid w:val="00E04AC4"/>
    <w:rsid w:val="00E04B6D"/>
    <w:rsid w:val="00E04CDE"/>
    <w:rsid w:val="00E04D6C"/>
    <w:rsid w:val="00E05000"/>
    <w:rsid w:val="00E050ED"/>
    <w:rsid w:val="00E052C6"/>
    <w:rsid w:val="00E0592D"/>
    <w:rsid w:val="00E05DC4"/>
    <w:rsid w:val="00E062F6"/>
    <w:rsid w:val="00E06A42"/>
    <w:rsid w:val="00E070CA"/>
    <w:rsid w:val="00E0745D"/>
    <w:rsid w:val="00E077A1"/>
    <w:rsid w:val="00E077A9"/>
    <w:rsid w:val="00E077C9"/>
    <w:rsid w:val="00E078CA"/>
    <w:rsid w:val="00E079F2"/>
    <w:rsid w:val="00E07FA3"/>
    <w:rsid w:val="00E101D7"/>
    <w:rsid w:val="00E10614"/>
    <w:rsid w:val="00E10638"/>
    <w:rsid w:val="00E108DA"/>
    <w:rsid w:val="00E10B2A"/>
    <w:rsid w:val="00E11206"/>
    <w:rsid w:val="00E113E3"/>
    <w:rsid w:val="00E1170E"/>
    <w:rsid w:val="00E117B6"/>
    <w:rsid w:val="00E11840"/>
    <w:rsid w:val="00E11CCA"/>
    <w:rsid w:val="00E11ED5"/>
    <w:rsid w:val="00E122EE"/>
    <w:rsid w:val="00E12775"/>
    <w:rsid w:val="00E128CF"/>
    <w:rsid w:val="00E12D36"/>
    <w:rsid w:val="00E12EC7"/>
    <w:rsid w:val="00E13087"/>
    <w:rsid w:val="00E1353C"/>
    <w:rsid w:val="00E13645"/>
    <w:rsid w:val="00E1391A"/>
    <w:rsid w:val="00E13D4F"/>
    <w:rsid w:val="00E13F0E"/>
    <w:rsid w:val="00E13FCF"/>
    <w:rsid w:val="00E14037"/>
    <w:rsid w:val="00E1465B"/>
    <w:rsid w:val="00E146F3"/>
    <w:rsid w:val="00E1482F"/>
    <w:rsid w:val="00E14F40"/>
    <w:rsid w:val="00E15478"/>
    <w:rsid w:val="00E15585"/>
    <w:rsid w:val="00E156A3"/>
    <w:rsid w:val="00E1581A"/>
    <w:rsid w:val="00E15E0A"/>
    <w:rsid w:val="00E15F25"/>
    <w:rsid w:val="00E1604A"/>
    <w:rsid w:val="00E1647C"/>
    <w:rsid w:val="00E16543"/>
    <w:rsid w:val="00E166BD"/>
    <w:rsid w:val="00E168F7"/>
    <w:rsid w:val="00E16B25"/>
    <w:rsid w:val="00E16B7A"/>
    <w:rsid w:val="00E16B99"/>
    <w:rsid w:val="00E17175"/>
    <w:rsid w:val="00E17233"/>
    <w:rsid w:val="00E17481"/>
    <w:rsid w:val="00E20252"/>
    <w:rsid w:val="00E20594"/>
    <w:rsid w:val="00E20684"/>
    <w:rsid w:val="00E20691"/>
    <w:rsid w:val="00E2077A"/>
    <w:rsid w:val="00E2111A"/>
    <w:rsid w:val="00E2122C"/>
    <w:rsid w:val="00E214B4"/>
    <w:rsid w:val="00E21B61"/>
    <w:rsid w:val="00E21BF8"/>
    <w:rsid w:val="00E21E5F"/>
    <w:rsid w:val="00E220D6"/>
    <w:rsid w:val="00E22745"/>
    <w:rsid w:val="00E2313A"/>
    <w:rsid w:val="00E231EA"/>
    <w:rsid w:val="00E23222"/>
    <w:rsid w:val="00E2333F"/>
    <w:rsid w:val="00E233FF"/>
    <w:rsid w:val="00E2396A"/>
    <w:rsid w:val="00E23E35"/>
    <w:rsid w:val="00E23E59"/>
    <w:rsid w:val="00E2473D"/>
    <w:rsid w:val="00E24A53"/>
    <w:rsid w:val="00E24DDF"/>
    <w:rsid w:val="00E25BF8"/>
    <w:rsid w:val="00E266A4"/>
    <w:rsid w:val="00E26C60"/>
    <w:rsid w:val="00E270AE"/>
    <w:rsid w:val="00E271CA"/>
    <w:rsid w:val="00E2733F"/>
    <w:rsid w:val="00E2737A"/>
    <w:rsid w:val="00E2742A"/>
    <w:rsid w:val="00E27598"/>
    <w:rsid w:val="00E27788"/>
    <w:rsid w:val="00E27AAF"/>
    <w:rsid w:val="00E27F15"/>
    <w:rsid w:val="00E27FC6"/>
    <w:rsid w:val="00E31487"/>
    <w:rsid w:val="00E31BF9"/>
    <w:rsid w:val="00E31D90"/>
    <w:rsid w:val="00E31DF4"/>
    <w:rsid w:val="00E31E65"/>
    <w:rsid w:val="00E31F1B"/>
    <w:rsid w:val="00E33306"/>
    <w:rsid w:val="00E33903"/>
    <w:rsid w:val="00E33D87"/>
    <w:rsid w:val="00E33F1C"/>
    <w:rsid w:val="00E33FAA"/>
    <w:rsid w:val="00E34014"/>
    <w:rsid w:val="00E3418C"/>
    <w:rsid w:val="00E34D0B"/>
    <w:rsid w:val="00E34FB3"/>
    <w:rsid w:val="00E35160"/>
    <w:rsid w:val="00E35451"/>
    <w:rsid w:val="00E358DA"/>
    <w:rsid w:val="00E359BE"/>
    <w:rsid w:val="00E35B15"/>
    <w:rsid w:val="00E35B24"/>
    <w:rsid w:val="00E35C31"/>
    <w:rsid w:val="00E35D2F"/>
    <w:rsid w:val="00E36075"/>
    <w:rsid w:val="00E36187"/>
    <w:rsid w:val="00E36574"/>
    <w:rsid w:val="00E36A1B"/>
    <w:rsid w:val="00E36A6B"/>
    <w:rsid w:val="00E3705A"/>
    <w:rsid w:val="00E37332"/>
    <w:rsid w:val="00E37370"/>
    <w:rsid w:val="00E40DA7"/>
    <w:rsid w:val="00E4142A"/>
    <w:rsid w:val="00E415A0"/>
    <w:rsid w:val="00E416D0"/>
    <w:rsid w:val="00E41A33"/>
    <w:rsid w:val="00E41BEE"/>
    <w:rsid w:val="00E41C1F"/>
    <w:rsid w:val="00E4238C"/>
    <w:rsid w:val="00E42533"/>
    <w:rsid w:val="00E42762"/>
    <w:rsid w:val="00E42C83"/>
    <w:rsid w:val="00E42D50"/>
    <w:rsid w:val="00E42E85"/>
    <w:rsid w:val="00E432B0"/>
    <w:rsid w:val="00E43381"/>
    <w:rsid w:val="00E43510"/>
    <w:rsid w:val="00E43736"/>
    <w:rsid w:val="00E43B87"/>
    <w:rsid w:val="00E43BF3"/>
    <w:rsid w:val="00E43CDA"/>
    <w:rsid w:val="00E43EF0"/>
    <w:rsid w:val="00E4434A"/>
    <w:rsid w:val="00E443AD"/>
    <w:rsid w:val="00E4445E"/>
    <w:rsid w:val="00E444CD"/>
    <w:rsid w:val="00E444E4"/>
    <w:rsid w:val="00E44788"/>
    <w:rsid w:val="00E44838"/>
    <w:rsid w:val="00E44B1D"/>
    <w:rsid w:val="00E44F59"/>
    <w:rsid w:val="00E45216"/>
    <w:rsid w:val="00E452DE"/>
    <w:rsid w:val="00E455B5"/>
    <w:rsid w:val="00E457CA"/>
    <w:rsid w:val="00E45965"/>
    <w:rsid w:val="00E45B4B"/>
    <w:rsid w:val="00E45F9E"/>
    <w:rsid w:val="00E460D0"/>
    <w:rsid w:val="00E46BF3"/>
    <w:rsid w:val="00E46DD1"/>
    <w:rsid w:val="00E47339"/>
    <w:rsid w:val="00E47C25"/>
    <w:rsid w:val="00E47D6E"/>
    <w:rsid w:val="00E5055E"/>
    <w:rsid w:val="00E50635"/>
    <w:rsid w:val="00E5065F"/>
    <w:rsid w:val="00E5072C"/>
    <w:rsid w:val="00E50B7D"/>
    <w:rsid w:val="00E5112F"/>
    <w:rsid w:val="00E51469"/>
    <w:rsid w:val="00E51A8B"/>
    <w:rsid w:val="00E51E48"/>
    <w:rsid w:val="00E52B1C"/>
    <w:rsid w:val="00E52C57"/>
    <w:rsid w:val="00E52ECC"/>
    <w:rsid w:val="00E52FDC"/>
    <w:rsid w:val="00E53028"/>
    <w:rsid w:val="00E5336D"/>
    <w:rsid w:val="00E53486"/>
    <w:rsid w:val="00E543B5"/>
    <w:rsid w:val="00E54901"/>
    <w:rsid w:val="00E54A39"/>
    <w:rsid w:val="00E54C29"/>
    <w:rsid w:val="00E54C6F"/>
    <w:rsid w:val="00E553FE"/>
    <w:rsid w:val="00E55485"/>
    <w:rsid w:val="00E55F8A"/>
    <w:rsid w:val="00E560F2"/>
    <w:rsid w:val="00E561B2"/>
    <w:rsid w:val="00E561E1"/>
    <w:rsid w:val="00E5649B"/>
    <w:rsid w:val="00E566EC"/>
    <w:rsid w:val="00E56A11"/>
    <w:rsid w:val="00E5757B"/>
    <w:rsid w:val="00E575F7"/>
    <w:rsid w:val="00E576D6"/>
    <w:rsid w:val="00E57722"/>
    <w:rsid w:val="00E57785"/>
    <w:rsid w:val="00E577AB"/>
    <w:rsid w:val="00E57A5C"/>
    <w:rsid w:val="00E603F4"/>
    <w:rsid w:val="00E60841"/>
    <w:rsid w:val="00E60876"/>
    <w:rsid w:val="00E60945"/>
    <w:rsid w:val="00E61300"/>
    <w:rsid w:val="00E61942"/>
    <w:rsid w:val="00E61BA3"/>
    <w:rsid w:val="00E61BD8"/>
    <w:rsid w:val="00E61C50"/>
    <w:rsid w:val="00E61FE9"/>
    <w:rsid w:val="00E623F0"/>
    <w:rsid w:val="00E6271A"/>
    <w:rsid w:val="00E62C28"/>
    <w:rsid w:val="00E62DEA"/>
    <w:rsid w:val="00E62E2E"/>
    <w:rsid w:val="00E6310C"/>
    <w:rsid w:val="00E63169"/>
    <w:rsid w:val="00E6328D"/>
    <w:rsid w:val="00E635FF"/>
    <w:rsid w:val="00E636B8"/>
    <w:rsid w:val="00E6379C"/>
    <w:rsid w:val="00E63B99"/>
    <w:rsid w:val="00E64261"/>
    <w:rsid w:val="00E645C1"/>
    <w:rsid w:val="00E6479B"/>
    <w:rsid w:val="00E64C3E"/>
    <w:rsid w:val="00E64E69"/>
    <w:rsid w:val="00E64EAA"/>
    <w:rsid w:val="00E64EC6"/>
    <w:rsid w:val="00E65573"/>
    <w:rsid w:val="00E660FC"/>
    <w:rsid w:val="00E6611E"/>
    <w:rsid w:val="00E6615D"/>
    <w:rsid w:val="00E6626D"/>
    <w:rsid w:val="00E665F0"/>
    <w:rsid w:val="00E66855"/>
    <w:rsid w:val="00E66C47"/>
    <w:rsid w:val="00E700D8"/>
    <w:rsid w:val="00E700EF"/>
    <w:rsid w:val="00E7024A"/>
    <w:rsid w:val="00E7024D"/>
    <w:rsid w:val="00E704C0"/>
    <w:rsid w:val="00E70AAE"/>
    <w:rsid w:val="00E70D83"/>
    <w:rsid w:val="00E711BC"/>
    <w:rsid w:val="00E7167F"/>
    <w:rsid w:val="00E716F8"/>
    <w:rsid w:val="00E7181A"/>
    <w:rsid w:val="00E7183F"/>
    <w:rsid w:val="00E718CE"/>
    <w:rsid w:val="00E718F8"/>
    <w:rsid w:val="00E71915"/>
    <w:rsid w:val="00E71C5B"/>
    <w:rsid w:val="00E7240F"/>
    <w:rsid w:val="00E725DC"/>
    <w:rsid w:val="00E7289A"/>
    <w:rsid w:val="00E728C9"/>
    <w:rsid w:val="00E72942"/>
    <w:rsid w:val="00E729BF"/>
    <w:rsid w:val="00E72EB4"/>
    <w:rsid w:val="00E7303F"/>
    <w:rsid w:val="00E736D4"/>
    <w:rsid w:val="00E7375F"/>
    <w:rsid w:val="00E7388D"/>
    <w:rsid w:val="00E73935"/>
    <w:rsid w:val="00E7404F"/>
    <w:rsid w:val="00E7447D"/>
    <w:rsid w:val="00E74953"/>
    <w:rsid w:val="00E749F6"/>
    <w:rsid w:val="00E74A43"/>
    <w:rsid w:val="00E74AA0"/>
    <w:rsid w:val="00E75418"/>
    <w:rsid w:val="00E75637"/>
    <w:rsid w:val="00E75DC1"/>
    <w:rsid w:val="00E76276"/>
    <w:rsid w:val="00E76489"/>
    <w:rsid w:val="00E7663E"/>
    <w:rsid w:val="00E76709"/>
    <w:rsid w:val="00E76B76"/>
    <w:rsid w:val="00E76E21"/>
    <w:rsid w:val="00E76E8B"/>
    <w:rsid w:val="00E771C6"/>
    <w:rsid w:val="00E80447"/>
    <w:rsid w:val="00E8085D"/>
    <w:rsid w:val="00E8092A"/>
    <w:rsid w:val="00E80D3D"/>
    <w:rsid w:val="00E81786"/>
    <w:rsid w:val="00E82629"/>
    <w:rsid w:val="00E82BA4"/>
    <w:rsid w:val="00E83078"/>
    <w:rsid w:val="00E834C5"/>
    <w:rsid w:val="00E834D1"/>
    <w:rsid w:val="00E837A7"/>
    <w:rsid w:val="00E83A50"/>
    <w:rsid w:val="00E83AE2"/>
    <w:rsid w:val="00E83B05"/>
    <w:rsid w:val="00E83D9B"/>
    <w:rsid w:val="00E84543"/>
    <w:rsid w:val="00E84997"/>
    <w:rsid w:val="00E84A0B"/>
    <w:rsid w:val="00E85057"/>
    <w:rsid w:val="00E8505E"/>
    <w:rsid w:val="00E85A3D"/>
    <w:rsid w:val="00E85A5E"/>
    <w:rsid w:val="00E85D97"/>
    <w:rsid w:val="00E85EEF"/>
    <w:rsid w:val="00E864BC"/>
    <w:rsid w:val="00E86727"/>
    <w:rsid w:val="00E86FB6"/>
    <w:rsid w:val="00E877D4"/>
    <w:rsid w:val="00E90B43"/>
    <w:rsid w:val="00E90C7B"/>
    <w:rsid w:val="00E90CF7"/>
    <w:rsid w:val="00E918CD"/>
    <w:rsid w:val="00E91BFB"/>
    <w:rsid w:val="00E91EAA"/>
    <w:rsid w:val="00E920C8"/>
    <w:rsid w:val="00E922C1"/>
    <w:rsid w:val="00E92A61"/>
    <w:rsid w:val="00E92FEF"/>
    <w:rsid w:val="00E93441"/>
    <w:rsid w:val="00E9358F"/>
    <w:rsid w:val="00E93616"/>
    <w:rsid w:val="00E93AB3"/>
    <w:rsid w:val="00E93ABA"/>
    <w:rsid w:val="00E9462C"/>
    <w:rsid w:val="00E9466F"/>
    <w:rsid w:val="00E94934"/>
    <w:rsid w:val="00E94C0C"/>
    <w:rsid w:val="00E954D0"/>
    <w:rsid w:val="00E955E1"/>
    <w:rsid w:val="00E95687"/>
    <w:rsid w:val="00E9583B"/>
    <w:rsid w:val="00E95CB8"/>
    <w:rsid w:val="00E961F1"/>
    <w:rsid w:val="00E9627C"/>
    <w:rsid w:val="00E963A0"/>
    <w:rsid w:val="00E9681E"/>
    <w:rsid w:val="00E96884"/>
    <w:rsid w:val="00E9688B"/>
    <w:rsid w:val="00E969DA"/>
    <w:rsid w:val="00E96FE3"/>
    <w:rsid w:val="00E9721E"/>
    <w:rsid w:val="00E973C5"/>
    <w:rsid w:val="00E97411"/>
    <w:rsid w:val="00E9758B"/>
    <w:rsid w:val="00E97BFB"/>
    <w:rsid w:val="00E97FC2"/>
    <w:rsid w:val="00EA01AB"/>
    <w:rsid w:val="00EA06D3"/>
    <w:rsid w:val="00EA07D7"/>
    <w:rsid w:val="00EA0F03"/>
    <w:rsid w:val="00EA10A9"/>
    <w:rsid w:val="00EA161F"/>
    <w:rsid w:val="00EA175E"/>
    <w:rsid w:val="00EA1C0B"/>
    <w:rsid w:val="00EA1D6B"/>
    <w:rsid w:val="00EA23CC"/>
    <w:rsid w:val="00EA268C"/>
    <w:rsid w:val="00EA2D4A"/>
    <w:rsid w:val="00EA2F34"/>
    <w:rsid w:val="00EA2F94"/>
    <w:rsid w:val="00EA349B"/>
    <w:rsid w:val="00EA3528"/>
    <w:rsid w:val="00EA3DBA"/>
    <w:rsid w:val="00EA3DBB"/>
    <w:rsid w:val="00EA3F04"/>
    <w:rsid w:val="00EA4171"/>
    <w:rsid w:val="00EA422E"/>
    <w:rsid w:val="00EA4238"/>
    <w:rsid w:val="00EA4462"/>
    <w:rsid w:val="00EA4805"/>
    <w:rsid w:val="00EA4A35"/>
    <w:rsid w:val="00EA4E63"/>
    <w:rsid w:val="00EA4FD0"/>
    <w:rsid w:val="00EA5009"/>
    <w:rsid w:val="00EA5188"/>
    <w:rsid w:val="00EA53C6"/>
    <w:rsid w:val="00EA580D"/>
    <w:rsid w:val="00EA59E8"/>
    <w:rsid w:val="00EA59EA"/>
    <w:rsid w:val="00EA5BA8"/>
    <w:rsid w:val="00EA5DB7"/>
    <w:rsid w:val="00EA6359"/>
    <w:rsid w:val="00EA63ED"/>
    <w:rsid w:val="00EA6804"/>
    <w:rsid w:val="00EA6BF3"/>
    <w:rsid w:val="00EA6E5E"/>
    <w:rsid w:val="00EA786B"/>
    <w:rsid w:val="00EA7953"/>
    <w:rsid w:val="00EB023D"/>
    <w:rsid w:val="00EB0F7B"/>
    <w:rsid w:val="00EB11CB"/>
    <w:rsid w:val="00EB1255"/>
    <w:rsid w:val="00EB1457"/>
    <w:rsid w:val="00EB177D"/>
    <w:rsid w:val="00EB1A97"/>
    <w:rsid w:val="00EB1C04"/>
    <w:rsid w:val="00EB1DE6"/>
    <w:rsid w:val="00EB1FF2"/>
    <w:rsid w:val="00EB22A1"/>
    <w:rsid w:val="00EB22A7"/>
    <w:rsid w:val="00EB2576"/>
    <w:rsid w:val="00EB257C"/>
    <w:rsid w:val="00EB2615"/>
    <w:rsid w:val="00EB27AA"/>
    <w:rsid w:val="00EB2F1C"/>
    <w:rsid w:val="00EB37A1"/>
    <w:rsid w:val="00EB3C5F"/>
    <w:rsid w:val="00EB3FD9"/>
    <w:rsid w:val="00EB415A"/>
    <w:rsid w:val="00EB4E61"/>
    <w:rsid w:val="00EB4EE9"/>
    <w:rsid w:val="00EB4F28"/>
    <w:rsid w:val="00EB50BB"/>
    <w:rsid w:val="00EB5488"/>
    <w:rsid w:val="00EB5848"/>
    <w:rsid w:val="00EB5A23"/>
    <w:rsid w:val="00EB5AC7"/>
    <w:rsid w:val="00EB5CF2"/>
    <w:rsid w:val="00EB60B1"/>
    <w:rsid w:val="00EB6345"/>
    <w:rsid w:val="00EB647D"/>
    <w:rsid w:val="00EB66E9"/>
    <w:rsid w:val="00EB684D"/>
    <w:rsid w:val="00EB6A05"/>
    <w:rsid w:val="00EB6BFF"/>
    <w:rsid w:val="00EB6F46"/>
    <w:rsid w:val="00EB6FE6"/>
    <w:rsid w:val="00EB7CA7"/>
    <w:rsid w:val="00EB7EA2"/>
    <w:rsid w:val="00EC06A7"/>
    <w:rsid w:val="00EC09D3"/>
    <w:rsid w:val="00EC0BF0"/>
    <w:rsid w:val="00EC0CE4"/>
    <w:rsid w:val="00EC0CF1"/>
    <w:rsid w:val="00EC120C"/>
    <w:rsid w:val="00EC12B4"/>
    <w:rsid w:val="00EC1383"/>
    <w:rsid w:val="00EC1849"/>
    <w:rsid w:val="00EC1A01"/>
    <w:rsid w:val="00EC2241"/>
    <w:rsid w:val="00EC2333"/>
    <w:rsid w:val="00EC2968"/>
    <w:rsid w:val="00EC2BB5"/>
    <w:rsid w:val="00EC2DFB"/>
    <w:rsid w:val="00EC2E01"/>
    <w:rsid w:val="00EC348D"/>
    <w:rsid w:val="00EC3E6B"/>
    <w:rsid w:val="00EC42D4"/>
    <w:rsid w:val="00EC4E3B"/>
    <w:rsid w:val="00EC542A"/>
    <w:rsid w:val="00EC5839"/>
    <w:rsid w:val="00EC5A19"/>
    <w:rsid w:val="00EC5A1D"/>
    <w:rsid w:val="00EC5E54"/>
    <w:rsid w:val="00EC6083"/>
    <w:rsid w:val="00EC641D"/>
    <w:rsid w:val="00EC6843"/>
    <w:rsid w:val="00EC6851"/>
    <w:rsid w:val="00EC6911"/>
    <w:rsid w:val="00EC6CC3"/>
    <w:rsid w:val="00EC6E3C"/>
    <w:rsid w:val="00EC6EF8"/>
    <w:rsid w:val="00EC79C8"/>
    <w:rsid w:val="00ED0082"/>
    <w:rsid w:val="00ED0186"/>
    <w:rsid w:val="00ED093C"/>
    <w:rsid w:val="00ED09C2"/>
    <w:rsid w:val="00ED0DBB"/>
    <w:rsid w:val="00ED0F37"/>
    <w:rsid w:val="00ED105D"/>
    <w:rsid w:val="00ED12CD"/>
    <w:rsid w:val="00ED1A2E"/>
    <w:rsid w:val="00ED1BCD"/>
    <w:rsid w:val="00ED1F5C"/>
    <w:rsid w:val="00ED20DB"/>
    <w:rsid w:val="00ED2877"/>
    <w:rsid w:val="00ED2A41"/>
    <w:rsid w:val="00ED2BCD"/>
    <w:rsid w:val="00ED2C1E"/>
    <w:rsid w:val="00ED3681"/>
    <w:rsid w:val="00ED36A7"/>
    <w:rsid w:val="00ED3743"/>
    <w:rsid w:val="00ED38C7"/>
    <w:rsid w:val="00ED3D3D"/>
    <w:rsid w:val="00ED3EB7"/>
    <w:rsid w:val="00ED41C6"/>
    <w:rsid w:val="00ED47C4"/>
    <w:rsid w:val="00ED47CB"/>
    <w:rsid w:val="00ED4ACC"/>
    <w:rsid w:val="00ED4FB3"/>
    <w:rsid w:val="00ED532F"/>
    <w:rsid w:val="00ED58EC"/>
    <w:rsid w:val="00ED5ACC"/>
    <w:rsid w:val="00ED5B64"/>
    <w:rsid w:val="00ED5DB1"/>
    <w:rsid w:val="00ED66A5"/>
    <w:rsid w:val="00ED66F0"/>
    <w:rsid w:val="00ED67C9"/>
    <w:rsid w:val="00ED6987"/>
    <w:rsid w:val="00ED698B"/>
    <w:rsid w:val="00ED69DA"/>
    <w:rsid w:val="00ED6A04"/>
    <w:rsid w:val="00ED6DF4"/>
    <w:rsid w:val="00ED6F58"/>
    <w:rsid w:val="00ED7194"/>
    <w:rsid w:val="00ED797D"/>
    <w:rsid w:val="00ED7E29"/>
    <w:rsid w:val="00ED96F2"/>
    <w:rsid w:val="00EE0098"/>
    <w:rsid w:val="00EE0146"/>
    <w:rsid w:val="00EE014C"/>
    <w:rsid w:val="00EE01A2"/>
    <w:rsid w:val="00EE047A"/>
    <w:rsid w:val="00EE082C"/>
    <w:rsid w:val="00EE0F22"/>
    <w:rsid w:val="00EE1402"/>
    <w:rsid w:val="00EE1522"/>
    <w:rsid w:val="00EE1846"/>
    <w:rsid w:val="00EE1A05"/>
    <w:rsid w:val="00EE1A79"/>
    <w:rsid w:val="00EE1F1D"/>
    <w:rsid w:val="00EE229E"/>
    <w:rsid w:val="00EE2C7B"/>
    <w:rsid w:val="00EE2CC9"/>
    <w:rsid w:val="00EE2FBF"/>
    <w:rsid w:val="00EE3157"/>
    <w:rsid w:val="00EE3F7C"/>
    <w:rsid w:val="00EE5771"/>
    <w:rsid w:val="00EE5D5A"/>
    <w:rsid w:val="00EE5F45"/>
    <w:rsid w:val="00EE621D"/>
    <w:rsid w:val="00EE63D3"/>
    <w:rsid w:val="00EE672D"/>
    <w:rsid w:val="00EE6831"/>
    <w:rsid w:val="00EE6BE9"/>
    <w:rsid w:val="00EE6D21"/>
    <w:rsid w:val="00EE6F34"/>
    <w:rsid w:val="00EE701B"/>
    <w:rsid w:val="00EE756C"/>
    <w:rsid w:val="00EE7C93"/>
    <w:rsid w:val="00EF030A"/>
    <w:rsid w:val="00EF03B2"/>
    <w:rsid w:val="00EF06D3"/>
    <w:rsid w:val="00EF09DA"/>
    <w:rsid w:val="00EF1219"/>
    <w:rsid w:val="00EF1A43"/>
    <w:rsid w:val="00EF1A69"/>
    <w:rsid w:val="00EF1DAE"/>
    <w:rsid w:val="00EF1F38"/>
    <w:rsid w:val="00EF2398"/>
    <w:rsid w:val="00EF27D6"/>
    <w:rsid w:val="00EF281B"/>
    <w:rsid w:val="00EF2D2A"/>
    <w:rsid w:val="00EF2F0E"/>
    <w:rsid w:val="00EF3078"/>
    <w:rsid w:val="00EF335B"/>
    <w:rsid w:val="00EF35F6"/>
    <w:rsid w:val="00EF3793"/>
    <w:rsid w:val="00EF42BA"/>
    <w:rsid w:val="00EF47C2"/>
    <w:rsid w:val="00EF4CD1"/>
    <w:rsid w:val="00EF57FA"/>
    <w:rsid w:val="00EF5835"/>
    <w:rsid w:val="00EF5AE0"/>
    <w:rsid w:val="00EF5CDA"/>
    <w:rsid w:val="00EF636A"/>
    <w:rsid w:val="00EF650F"/>
    <w:rsid w:val="00EF65D4"/>
    <w:rsid w:val="00EF66F2"/>
    <w:rsid w:val="00EF6E38"/>
    <w:rsid w:val="00EF6FE2"/>
    <w:rsid w:val="00EF7644"/>
    <w:rsid w:val="00EF779F"/>
    <w:rsid w:val="00EF7AB2"/>
    <w:rsid w:val="00EF7DF4"/>
    <w:rsid w:val="00F00161"/>
    <w:rsid w:val="00F002E8"/>
    <w:rsid w:val="00F00315"/>
    <w:rsid w:val="00F004F5"/>
    <w:rsid w:val="00F00618"/>
    <w:rsid w:val="00F008F5"/>
    <w:rsid w:val="00F00EE4"/>
    <w:rsid w:val="00F00FAF"/>
    <w:rsid w:val="00F010B2"/>
    <w:rsid w:val="00F012CA"/>
    <w:rsid w:val="00F01382"/>
    <w:rsid w:val="00F01421"/>
    <w:rsid w:val="00F014A3"/>
    <w:rsid w:val="00F01711"/>
    <w:rsid w:val="00F01741"/>
    <w:rsid w:val="00F017EA"/>
    <w:rsid w:val="00F0186D"/>
    <w:rsid w:val="00F018C5"/>
    <w:rsid w:val="00F01A6A"/>
    <w:rsid w:val="00F01AF7"/>
    <w:rsid w:val="00F01B97"/>
    <w:rsid w:val="00F01D98"/>
    <w:rsid w:val="00F01D99"/>
    <w:rsid w:val="00F01EEC"/>
    <w:rsid w:val="00F02180"/>
    <w:rsid w:val="00F021DD"/>
    <w:rsid w:val="00F0240B"/>
    <w:rsid w:val="00F024A4"/>
    <w:rsid w:val="00F02C21"/>
    <w:rsid w:val="00F02D49"/>
    <w:rsid w:val="00F0308E"/>
    <w:rsid w:val="00F0315C"/>
    <w:rsid w:val="00F0339C"/>
    <w:rsid w:val="00F03570"/>
    <w:rsid w:val="00F039D1"/>
    <w:rsid w:val="00F03B48"/>
    <w:rsid w:val="00F03C34"/>
    <w:rsid w:val="00F03EEA"/>
    <w:rsid w:val="00F043A4"/>
    <w:rsid w:val="00F04665"/>
    <w:rsid w:val="00F04D9A"/>
    <w:rsid w:val="00F04DB0"/>
    <w:rsid w:val="00F05107"/>
    <w:rsid w:val="00F05369"/>
    <w:rsid w:val="00F05803"/>
    <w:rsid w:val="00F05AEF"/>
    <w:rsid w:val="00F060D4"/>
    <w:rsid w:val="00F060F3"/>
    <w:rsid w:val="00F062C6"/>
    <w:rsid w:val="00F0646F"/>
    <w:rsid w:val="00F067FF"/>
    <w:rsid w:val="00F0692C"/>
    <w:rsid w:val="00F06D6A"/>
    <w:rsid w:val="00F075EE"/>
    <w:rsid w:val="00F07C47"/>
    <w:rsid w:val="00F100BC"/>
    <w:rsid w:val="00F1036E"/>
    <w:rsid w:val="00F1040E"/>
    <w:rsid w:val="00F106BA"/>
    <w:rsid w:val="00F1075F"/>
    <w:rsid w:val="00F10DAC"/>
    <w:rsid w:val="00F10DF5"/>
    <w:rsid w:val="00F10F2F"/>
    <w:rsid w:val="00F10F49"/>
    <w:rsid w:val="00F11298"/>
    <w:rsid w:val="00F116E5"/>
    <w:rsid w:val="00F119D1"/>
    <w:rsid w:val="00F11EB8"/>
    <w:rsid w:val="00F11EEE"/>
    <w:rsid w:val="00F1249E"/>
    <w:rsid w:val="00F126DA"/>
    <w:rsid w:val="00F12A5B"/>
    <w:rsid w:val="00F12CAD"/>
    <w:rsid w:val="00F12E2E"/>
    <w:rsid w:val="00F12E6B"/>
    <w:rsid w:val="00F1309B"/>
    <w:rsid w:val="00F13133"/>
    <w:rsid w:val="00F1343A"/>
    <w:rsid w:val="00F13553"/>
    <w:rsid w:val="00F13585"/>
    <w:rsid w:val="00F13E90"/>
    <w:rsid w:val="00F14373"/>
    <w:rsid w:val="00F14409"/>
    <w:rsid w:val="00F147E8"/>
    <w:rsid w:val="00F15017"/>
    <w:rsid w:val="00F1507E"/>
    <w:rsid w:val="00F15635"/>
    <w:rsid w:val="00F15E48"/>
    <w:rsid w:val="00F1616E"/>
    <w:rsid w:val="00F16290"/>
    <w:rsid w:val="00F168C0"/>
    <w:rsid w:val="00F1745C"/>
    <w:rsid w:val="00F17691"/>
    <w:rsid w:val="00F17D78"/>
    <w:rsid w:val="00F203D2"/>
    <w:rsid w:val="00F205D1"/>
    <w:rsid w:val="00F20B69"/>
    <w:rsid w:val="00F20CF0"/>
    <w:rsid w:val="00F20D51"/>
    <w:rsid w:val="00F2133E"/>
    <w:rsid w:val="00F213CF"/>
    <w:rsid w:val="00F21427"/>
    <w:rsid w:val="00F2187F"/>
    <w:rsid w:val="00F218B0"/>
    <w:rsid w:val="00F21A7A"/>
    <w:rsid w:val="00F21C36"/>
    <w:rsid w:val="00F21F19"/>
    <w:rsid w:val="00F221C7"/>
    <w:rsid w:val="00F222D7"/>
    <w:rsid w:val="00F223CA"/>
    <w:rsid w:val="00F22F55"/>
    <w:rsid w:val="00F231B3"/>
    <w:rsid w:val="00F238E4"/>
    <w:rsid w:val="00F24586"/>
    <w:rsid w:val="00F245EB"/>
    <w:rsid w:val="00F247D6"/>
    <w:rsid w:val="00F247FE"/>
    <w:rsid w:val="00F249D5"/>
    <w:rsid w:val="00F24A0D"/>
    <w:rsid w:val="00F24AF6"/>
    <w:rsid w:val="00F24B98"/>
    <w:rsid w:val="00F24C13"/>
    <w:rsid w:val="00F24D88"/>
    <w:rsid w:val="00F24D9A"/>
    <w:rsid w:val="00F25646"/>
    <w:rsid w:val="00F2597D"/>
    <w:rsid w:val="00F25AB3"/>
    <w:rsid w:val="00F25B21"/>
    <w:rsid w:val="00F25B76"/>
    <w:rsid w:val="00F264B7"/>
    <w:rsid w:val="00F264FE"/>
    <w:rsid w:val="00F267BE"/>
    <w:rsid w:val="00F267D9"/>
    <w:rsid w:val="00F26954"/>
    <w:rsid w:val="00F2704F"/>
    <w:rsid w:val="00F2735F"/>
    <w:rsid w:val="00F277FB"/>
    <w:rsid w:val="00F2790F"/>
    <w:rsid w:val="00F27E3B"/>
    <w:rsid w:val="00F27E43"/>
    <w:rsid w:val="00F27EA0"/>
    <w:rsid w:val="00F27F15"/>
    <w:rsid w:val="00F27FB0"/>
    <w:rsid w:val="00F3010A"/>
    <w:rsid w:val="00F304B8"/>
    <w:rsid w:val="00F306C7"/>
    <w:rsid w:val="00F30898"/>
    <w:rsid w:val="00F308E4"/>
    <w:rsid w:val="00F309F4"/>
    <w:rsid w:val="00F30A1F"/>
    <w:rsid w:val="00F30D2F"/>
    <w:rsid w:val="00F30E16"/>
    <w:rsid w:val="00F310D9"/>
    <w:rsid w:val="00F3117B"/>
    <w:rsid w:val="00F31627"/>
    <w:rsid w:val="00F316F8"/>
    <w:rsid w:val="00F317A4"/>
    <w:rsid w:val="00F317B3"/>
    <w:rsid w:val="00F31966"/>
    <w:rsid w:val="00F319A5"/>
    <w:rsid w:val="00F319F6"/>
    <w:rsid w:val="00F31C16"/>
    <w:rsid w:val="00F3257E"/>
    <w:rsid w:val="00F330F7"/>
    <w:rsid w:val="00F334AC"/>
    <w:rsid w:val="00F335C8"/>
    <w:rsid w:val="00F338D4"/>
    <w:rsid w:val="00F33B45"/>
    <w:rsid w:val="00F33C33"/>
    <w:rsid w:val="00F33D63"/>
    <w:rsid w:val="00F3424D"/>
    <w:rsid w:val="00F346BA"/>
    <w:rsid w:val="00F34CF5"/>
    <w:rsid w:val="00F35458"/>
    <w:rsid w:val="00F35A60"/>
    <w:rsid w:val="00F35D16"/>
    <w:rsid w:val="00F35D9D"/>
    <w:rsid w:val="00F35E2B"/>
    <w:rsid w:val="00F35FA4"/>
    <w:rsid w:val="00F36D9D"/>
    <w:rsid w:val="00F377AA"/>
    <w:rsid w:val="00F37B45"/>
    <w:rsid w:val="00F37CE7"/>
    <w:rsid w:val="00F400E2"/>
    <w:rsid w:val="00F40936"/>
    <w:rsid w:val="00F40A7D"/>
    <w:rsid w:val="00F40CC8"/>
    <w:rsid w:val="00F40CF1"/>
    <w:rsid w:val="00F40CFC"/>
    <w:rsid w:val="00F41124"/>
    <w:rsid w:val="00F41308"/>
    <w:rsid w:val="00F4134B"/>
    <w:rsid w:val="00F413D8"/>
    <w:rsid w:val="00F41549"/>
    <w:rsid w:val="00F41B6E"/>
    <w:rsid w:val="00F423B0"/>
    <w:rsid w:val="00F42453"/>
    <w:rsid w:val="00F425D5"/>
    <w:rsid w:val="00F42601"/>
    <w:rsid w:val="00F428E2"/>
    <w:rsid w:val="00F42BF7"/>
    <w:rsid w:val="00F4333F"/>
    <w:rsid w:val="00F43D33"/>
    <w:rsid w:val="00F43D55"/>
    <w:rsid w:val="00F43D8F"/>
    <w:rsid w:val="00F43F63"/>
    <w:rsid w:val="00F43FA2"/>
    <w:rsid w:val="00F440C0"/>
    <w:rsid w:val="00F440F8"/>
    <w:rsid w:val="00F44AC5"/>
    <w:rsid w:val="00F44E43"/>
    <w:rsid w:val="00F4558A"/>
    <w:rsid w:val="00F4558E"/>
    <w:rsid w:val="00F45B03"/>
    <w:rsid w:val="00F461E8"/>
    <w:rsid w:val="00F462ED"/>
    <w:rsid w:val="00F4633E"/>
    <w:rsid w:val="00F46F9B"/>
    <w:rsid w:val="00F471D4"/>
    <w:rsid w:val="00F47233"/>
    <w:rsid w:val="00F47311"/>
    <w:rsid w:val="00F47838"/>
    <w:rsid w:val="00F478B1"/>
    <w:rsid w:val="00F47E6C"/>
    <w:rsid w:val="00F502DB"/>
    <w:rsid w:val="00F5044E"/>
    <w:rsid w:val="00F505F7"/>
    <w:rsid w:val="00F50B73"/>
    <w:rsid w:val="00F50E50"/>
    <w:rsid w:val="00F5150C"/>
    <w:rsid w:val="00F51663"/>
    <w:rsid w:val="00F517C8"/>
    <w:rsid w:val="00F51CAC"/>
    <w:rsid w:val="00F51DF5"/>
    <w:rsid w:val="00F51EE1"/>
    <w:rsid w:val="00F5233B"/>
    <w:rsid w:val="00F52CFB"/>
    <w:rsid w:val="00F53558"/>
    <w:rsid w:val="00F536B5"/>
    <w:rsid w:val="00F537C2"/>
    <w:rsid w:val="00F5388A"/>
    <w:rsid w:val="00F53AD9"/>
    <w:rsid w:val="00F541BB"/>
    <w:rsid w:val="00F54264"/>
    <w:rsid w:val="00F5449B"/>
    <w:rsid w:val="00F544D5"/>
    <w:rsid w:val="00F545B6"/>
    <w:rsid w:val="00F54784"/>
    <w:rsid w:val="00F548F3"/>
    <w:rsid w:val="00F5499C"/>
    <w:rsid w:val="00F549B8"/>
    <w:rsid w:val="00F54A31"/>
    <w:rsid w:val="00F54D8D"/>
    <w:rsid w:val="00F54E9D"/>
    <w:rsid w:val="00F5502B"/>
    <w:rsid w:val="00F551E7"/>
    <w:rsid w:val="00F55819"/>
    <w:rsid w:val="00F55FF7"/>
    <w:rsid w:val="00F561CA"/>
    <w:rsid w:val="00F56632"/>
    <w:rsid w:val="00F566BC"/>
    <w:rsid w:val="00F568E0"/>
    <w:rsid w:val="00F56ADC"/>
    <w:rsid w:val="00F56C0D"/>
    <w:rsid w:val="00F56EB4"/>
    <w:rsid w:val="00F57D60"/>
    <w:rsid w:val="00F602AB"/>
    <w:rsid w:val="00F60411"/>
    <w:rsid w:val="00F607E1"/>
    <w:rsid w:val="00F6094D"/>
    <w:rsid w:val="00F6095B"/>
    <w:rsid w:val="00F60A76"/>
    <w:rsid w:val="00F60FDB"/>
    <w:rsid w:val="00F6136E"/>
    <w:rsid w:val="00F61641"/>
    <w:rsid w:val="00F61970"/>
    <w:rsid w:val="00F61A5E"/>
    <w:rsid w:val="00F61B50"/>
    <w:rsid w:val="00F61D10"/>
    <w:rsid w:val="00F61DB5"/>
    <w:rsid w:val="00F61DCD"/>
    <w:rsid w:val="00F61DFE"/>
    <w:rsid w:val="00F62127"/>
    <w:rsid w:val="00F62327"/>
    <w:rsid w:val="00F623A4"/>
    <w:rsid w:val="00F623DD"/>
    <w:rsid w:val="00F6257A"/>
    <w:rsid w:val="00F62A76"/>
    <w:rsid w:val="00F6394F"/>
    <w:rsid w:val="00F63D5E"/>
    <w:rsid w:val="00F64038"/>
    <w:rsid w:val="00F642A1"/>
    <w:rsid w:val="00F64309"/>
    <w:rsid w:val="00F643F1"/>
    <w:rsid w:val="00F645A0"/>
    <w:rsid w:val="00F64A22"/>
    <w:rsid w:val="00F64C39"/>
    <w:rsid w:val="00F651F7"/>
    <w:rsid w:val="00F65556"/>
    <w:rsid w:val="00F657F4"/>
    <w:rsid w:val="00F65CCE"/>
    <w:rsid w:val="00F65EAE"/>
    <w:rsid w:val="00F65EB6"/>
    <w:rsid w:val="00F662DD"/>
    <w:rsid w:val="00F663BD"/>
    <w:rsid w:val="00F66941"/>
    <w:rsid w:val="00F66BBE"/>
    <w:rsid w:val="00F679F6"/>
    <w:rsid w:val="00F67BDD"/>
    <w:rsid w:val="00F67C85"/>
    <w:rsid w:val="00F67CD2"/>
    <w:rsid w:val="00F67F0D"/>
    <w:rsid w:val="00F702CA"/>
    <w:rsid w:val="00F70788"/>
    <w:rsid w:val="00F707B3"/>
    <w:rsid w:val="00F70AAD"/>
    <w:rsid w:val="00F70D61"/>
    <w:rsid w:val="00F70DFE"/>
    <w:rsid w:val="00F70E6C"/>
    <w:rsid w:val="00F70F12"/>
    <w:rsid w:val="00F710DC"/>
    <w:rsid w:val="00F71349"/>
    <w:rsid w:val="00F714C0"/>
    <w:rsid w:val="00F714DE"/>
    <w:rsid w:val="00F71C0C"/>
    <w:rsid w:val="00F71CA2"/>
    <w:rsid w:val="00F71CE7"/>
    <w:rsid w:val="00F72027"/>
    <w:rsid w:val="00F72595"/>
    <w:rsid w:val="00F72A48"/>
    <w:rsid w:val="00F72F96"/>
    <w:rsid w:val="00F730B2"/>
    <w:rsid w:val="00F73552"/>
    <w:rsid w:val="00F73664"/>
    <w:rsid w:val="00F73A70"/>
    <w:rsid w:val="00F73AFC"/>
    <w:rsid w:val="00F73B8A"/>
    <w:rsid w:val="00F73C0A"/>
    <w:rsid w:val="00F73E87"/>
    <w:rsid w:val="00F740D2"/>
    <w:rsid w:val="00F7420A"/>
    <w:rsid w:val="00F742E6"/>
    <w:rsid w:val="00F74437"/>
    <w:rsid w:val="00F74667"/>
    <w:rsid w:val="00F75673"/>
    <w:rsid w:val="00F7584E"/>
    <w:rsid w:val="00F75CE6"/>
    <w:rsid w:val="00F75D42"/>
    <w:rsid w:val="00F75F82"/>
    <w:rsid w:val="00F76872"/>
    <w:rsid w:val="00F76B6D"/>
    <w:rsid w:val="00F772A1"/>
    <w:rsid w:val="00F7730F"/>
    <w:rsid w:val="00F776A7"/>
    <w:rsid w:val="00F77DB6"/>
    <w:rsid w:val="00F77DE7"/>
    <w:rsid w:val="00F77E2A"/>
    <w:rsid w:val="00F77E75"/>
    <w:rsid w:val="00F8014F"/>
    <w:rsid w:val="00F80716"/>
    <w:rsid w:val="00F80A10"/>
    <w:rsid w:val="00F80BFA"/>
    <w:rsid w:val="00F80F99"/>
    <w:rsid w:val="00F81160"/>
    <w:rsid w:val="00F811A5"/>
    <w:rsid w:val="00F81294"/>
    <w:rsid w:val="00F814B9"/>
    <w:rsid w:val="00F8199F"/>
    <w:rsid w:val="00F827D4"/>
    <w:rsid w:val="00F82935"/>
    <w:rsid w:val="00F82F34"/>
    <w:rsid w:val="00F83878"/>
    <w:rsid w:val="00F83A9C"/>
    <w:rsid w:val="00F83DD2"/>
    <w:rsid w:val="00F8408B"/>
    <w:rsid w:val="00F84613"/>
    <w:rsid w:val="00F8491D"/>
    <w:rsid w:val="00F84949"/>
    <w:rsid w:val="00F84A7C"/>
    <w:rsid w:val="00F84A86"/>
    <w:rsid w:val="00F85CB5"/>
    <w:rsid w:val="00F86207"/>
    <w:rsid w:val="00F86525"/>
    <w:rsid w:val="00F86C3C"/>
    <w:rsid w:val="00F86D8B"/>
    <w:rsid w:val="00F86F0C"/>
    <w:rsid w:val="00F875F3"/>
    <w:rsid w:val="00F87F0B"/>
    <w:rsid w:val="00F90574"/>
    <w:rsid w:val="00F90591"/>
    <w:rsid w:val="00F90647"/>
    <w:rsid w:val="00F90B8F"/>
    <w:rsid w:val="00F90C9D"/>
    <w:rsid w:val="00F90FEE"/>
    <w:rsid w:val="00F91ABE"/>
    <w:rsid w:val="00F91AE0"/>
    <w:rsid w:val="00F92239"/>
    <w:rsid w:val="00F922BE"/>
    <w:rsid w:val="00F92456"/>
    <w:rsid w:val="00F9289A"/>
    <w:rsid w:val="00F92E5E"/>
    <w:rsid w:val="00F92F0F"/>
    <w:rsid w:val="00F9300C"/>
    <w:rsid w:val="00F93191"/>
    <w:rsid w:val="00F932C4"/>
    <w:rsid w:val="00F93473"/>
    <w:rsid w:val="00F9353F"/>
    <w:rsid w:val="00F9373C"/>
    <w:rsid w:val="00F9397D"/>
    <w:rsid w:val="00F93B62"/>
    <w:rsid w:val="00F93C6B"/>
    <w:rsid w:val="00F93EEA"/>
    <w:rsid w:val="00F93FB9"/>
    <w:rsid w:val="00F940DC"/>
    <w:rsid w:val="00F942C8"/>
    <w:rsid w:val="00F95074"/>
    <w:rsid w:val="00F953FB"/>
    <w:rsid w:val="00F95588"/>
    <w:rsid w:val="00F95784"/>
    <w:rsid w:val="00F959B0"/>
    <w:rsid w:val="00F95A86"/>
    <w:rsid w:val="00F95C50"/>
    <w:rsid w:val="00F95E36"/>
    <w:rsid w:val="00F95E45"/>
    <w:rsid w:val="00F963E9"/>
    <w:rsid w:val="00F96B06"/>
    <w:rsid w:val="00F96C91"/>
    <w:rsid w:val="00F9744A"/>
    <w:rsid w:val="00F9746C"/>
    <w:rsid w:val="00F974AF"/>
    <w:rsid w:val="00F97571"/>
    <w:rsid w:val="00F9766E"/>
    <w:rsid w:val="00F97831"/>
    <w:rsid w:val="00F97873"/>
    <w:rsid w:val="00F979EB"/>
    <w:rsid w:val="00F97B65"/>
    <w:rsid w:val="00F97E0E"/>
    <w:rsid w:val="00FA0509"/>
    <w:rsid w:val="00FA0BBF"/>
    <w:rsid w:val="00FA0E49"/>
    <w:rsid w:val="00FA0FF4"/>
    <w:rsid w:val="00FA104A"/>
    <w:rsid w:val="00FA159A"/>
    <w:rsid w:val="00FA16F8"/>
    <w:rsid w:val="00FA1968"/>
    <w:rsid w:val="00FA1E95"/>
    <w:rsid w:val="00FA1F8A"/>
    <w:rsid w:val="00FA230E"/>
    <w:rsid w:val="00FA2466"/>
    <w:rsid w:val="00FA2785"/>
    <w:rsid w:val="00FA28AA"/>
    <w:rsid w:val="00FA2AFE"/>
    <w:rsid w:val="00FA2D4B"/>
    <w:rsid w:val="00FA3152"/>
    <w:rsid w:val="00FA3FE8"/>
    <w:rsid w:val="00FA4612"/>
    <w:rsid w:val="00FA4ED9"/>
    <w:rsid w:val="00FA5016"/>
    <w:rsid w:val="00FA5233"/>
    <w:rsid w:val="00FA5836"/>
    <w:rsid w:val="00FA596E"/>
    <w:rsid w:val="00FA5C98"/>
    <w:rsid w:val="00FA60B8"/>
    <w:rsid w:val="00FA64E7"/>
    <w:rsid w:val="00FA688A"/>
    <w:rsid w:val="00FA7179"/>
    <w:rsid w:val="00FA72AD"/>
    <w:rsid w:val="00FA7423"/>
    <w:rsid w:val="00FA7426"/>
    <w:rsid w:val="00FA76C0"/>
    <w:rsid w:val="00FA78D3"/>
    <w:rsid w:val="00FA79A8"/>
    <w:rsid w:val="00FA7B93"/>
    <w:rsid w:val="00FA7C1E"/>
    <w:rsid w:val="00FA7DF9"/>
    <w:rsid w:val="00FA7F7B"/>
    <w:rsid w:val="00FB018D"/>
    <w:rsid w:val="00FB03C2"/>
    <w:rsid w:val="00FB0A49"/>
    <w:rsid w:val="00FB0FFC"/>
    <w:rsid w:val="00FB13C8"/>
    <w:rsid w:val="00FB1490"/>
    <w:rsid w:val="00FB157A"/>
    <w:rsid w:val="00FB1C90"/>
    <w:rsid w:val="00FB1DB5"/>
    <w:rsid w:val="00FB2110"/>
    <w:rsid w:val="00FB2395"/>
    <w:rsid w:val="00FB25CA"/>
    <w:rsid w:val="00FB2ED7"/>
    <w:rsid w:val="00FB2F60"/>
    <w:rsid w:val="00FB31FA"/>
    <w:rsid w:val="00FB324E"/>
    <w:rsid w:val="00FB3797"/>
    <w:rsid w:val="00FB3AD9"/>
    <w:rsid w:val="00FB3B61"/>
    <w:rsid w:val="00FB416D"/>
    <w:rsid w:val="00FB51FA"/>
    <w:rsid w:val="00FB53D9"/>
    <w:rsid w:val="00FB5533"/>
    <w:rsid w:val="00FB55D4"/>
    <w:rsid w:val="00FB5BDB"/>
    <w:rsid w:val="00FB5F63"/>
    <w:rsid w:val="00FB5F95"/>
    <w:rsid w:val="00FB6491"/>
    <w:rsid w:val="00FB65C3"/>
    <w:rsid w:val="00FB66C9"/>
    <w:rsid w:val="00FB6839"/>
    <w:rsid w:val="00FB6C2F"/>
    <w:rsid w:val="00FB6CEE"/>
    <w:rsid w:val="00FB6D7F"/>
    <w:rsid w:val="00FB70A1"/>
    <w:rsid w:val="00FB7260"/>
    <w:rsid w:val="00FB7283"/>
    <w:rsid w:val="00FB78C8"/>
    <w:rsid w:val="00FB7B2D"/>
    <w:rsid w:val="00FB7D45"/>
    <w:rsid w:val="00FB7E0A"/>
    <w:rsid w:val="00FB7FF8"/>
    <w:rsid w:val="00FC03D5"/>
    <w:rsid w:val="00FC0415"/>
    <w:rsid w:val="00FC0428"/>
    <w:rsid w:val="00FC06A5"/>
    <w:rsid w:val="00FC0C72"/>
    <w:rsid w:val="00FC1443"/>
    <w:rsid w:val="00FC14A2"/>
    <w:rsid w:val="00FC1523"/>
    <w:rsid w:val="00FC1642"/>
    <w:rsid w:val="00FC1709"/>
    <w:rsid w:val="00FC1842"/>
    <w:rsid w:val="00FC19E9"/>
    <w:rsid w:val="00FC1A8C"/>
    <w:rsid w:val="00FC1AA1"/>
    <w:rsid w:val="00FC1ADD"/>
    <w:rsid w:val="00FC1C4C"/>
    <w:rsid w:val="00FC1CD8"/>
    <w:rsid w:val="00FC207F"/>
    <w:rsid w:val="00FC216F"/>
    <w:rsid w:val="00FC21FA"/>
    <w:rsid w:val="00FC2C06"/>
    <w:rsid w:val="00FC2E6A"/>
    <w:rsid w:val="00FC3053"/>
    <w:rsid w:val="00FC333F"/>
    <w:rsid w:val="00FC3689"/>
    <w:rsid w:val="00FC4322"/>
    <w:rsid w:val="00FC4855"/>
    <w:rsid w:val="00FC4A3B"/>
    <w:rsid w:val="00FC4A7D"/>
    <w:rsid w:val="00FC4C1E"/>
    <w:rsid w:val="00FC4FA3"/>
    <w:rsid w:val="00FC51DF"/>
    <w:rsid w:val="00FC5480"/>
    <w:rsid w:val="00FC560A"/>
    <w:rsid w:val="00FC5DCF"/>
    <w:rsid w:val="00FC5EA2"/>
    <w:rsid w:val="00FC5EC9"/>
    <w:rsid w:val="00FC6791"/>
    <w:rsid w:val="00FC6794"/>
    <w:rsid w:val="00FC6998"/>
    <w:rsid w:val="00FC70F9"/>
    <w:rsid w:val="00FC7265"/>
    <w:rsid w:val="00FC7285"/>
    <w:rsid w:val="00FC7A90"/>
    <w:rsid w:val="00FC7B63"/>
    <w:rsid w:val="00FC7F9F"/>
    <w:rsid w:val="00FD01A4"/>
    <w:rsid w:val="00FD02B3"/>
    <w:rsid w:val="00FD02F5"/>
    <w:rsid w:val="00FD0637"/>
    <w:rsid w:val="00FD0D0C"/>
    <w:rsid w:val="00FD0E23"/>
    <w:rsid w:val="00FD12B5"/>
    <w:rsid w:val="00FD1B0E"/>
    <w:rsid w:val="00FD1B0F"/>
    <w:rsid w:val="00FD1B1D"/>
    <w:rsid w:val="00FD1F9C"/>
    <w:rsid w:val="00FD2145"/>
    <w:rsid w:val="00FD220D"/>
    <w:rsid w:val="00FD22C2"/>
    <w:rsid w:val="00FD269D"/>
    <w:rsid w:val="00FD28DB"/>
    <w:rsid w:val="00FD29F9"/>
    <w:rsid w:val="00FD2D53"/>
    <w:rsid w:val="00FD33B8"/>
    <w:rsid w:val="00FD3758"/>
    <w:rsid w:val="00FD3F61"/>
    <w:rsid w:val="00FD42B9"/>
    <w:rsid w:val="00FD42E8"/>
    <w:rsid w:val="00FD43A5"/>
    <w:rsid w:val="00FD44B0"/>
    <w:rsid w:val="00FD4873"/>
    <w:rsid w:val="00FD49C5"/>
    <w:rsid w:val="00FD4B9E"/>
    <w:rsid w:val="00FD4C0A"/>
    <w:rsid w:val="00FD50BE"/>
    <w:rsid w:val="00FD55CF"/>
    <w:rsid w:val="00FD564F"/>
    <w:rsid w:val="00FD6414"/>
    <w:rsid w:val="00FD656B"/>
    <w:rsid w:val="00FD675F"/>
    <w:rsid w:val="00FD6A33"/>
    <w:rsid w:val="00FD6E60"/>
    <w:rsid w:val="00FD724A"/>
    <w:rsid w:val="00FD727D"/>
    <w:rsid w:val="00FD78D9"/>
    <w:rsid w:val="00FD7C6D"/>
    <w:rsid w:val="00FE0B4A"/>
    <w:rsid w:val="00FE16FD"/>
    <w:rsid w:val="00FE1764"/>
    <w:rsid w:val="00FE1ECF"/>
    <w:rsid w:val="00FE1FD6"/>
    <w:rsid w:val="00FE2222"/>
    <w:rsid w:val="00FE237F"/>
    <w:rsid w:val="00FE2634"/>
    <w:rsid w:val="00FE267E"/>
    <w:rsid w:val="00FE2C62"/>
    <w:rsid w:val="00FE2D6A"/>
    <w:rsid w:val="00FE32D2"/>
    <w:rsid w:val="00FE35CA"/>
    <w:rsid w:val="00FE3A13"/>
    <w:rsid w:val="00FE3A8D"/>
    <w:rsid w:val="00FE4121"/>
    <w:rsid w:val="00FE4171"/>
    <w:rsid w:val="00FE4189"/>
    <w:rsid w:val="00FE47F2"/>
    <w:rsid w:val="00FE4E8F"/>
    <w:rsid w:val="00FE54D4"/>
    <w:rsid w:val="00FE560C"/>
    <w:rsid w:val="00FE56C9"/>
    <w:rsid w:val="00FE5713"/>
    <w:rsid w:val="00FE58CB"/>
    <w:rsid w:val="00FE5CE1"/>
    <w:rsid w:val="00FE5E5E"/>
    <w:rsid w:val="00FE60CC"/>
    <w:rsid w:val="00FE6FE1"/>
    <w:rsid w:val="00FE785A"/>
    <w:rsid w:val="00FE7B6F"/>
    <w:rsid w:val="00FE7CE5"/>
    <w:rsid w:val="00FE7D49"/>
    <w:rsid w:val="00FF04A9"/>
    <w:rsid w:val="00FF06F3"/>
    <w:rsid w:val="00FF0853"/>
    <w:rsid w:val="00FF0E09"/>
    <w:rsid w:val="00FF10CA"/>
    <w:rsid w:val="00FF13A8"/>
    <w:rsid w:val="00FF1411"/>
    <w:rsid w:val="00FF1619"/>
    <w:rsid w:val="00FF1D29"/>
    <w:rsid w:val="00FF1D69"/>
    <w:rsid w:val="00FF1DE7"/>
    <w:rsid w:val="00FF213C"/>
    <w:rsid w:val="00FF223E"/>
    <w:rsid w:val="00FF22D2"/>
    <w:rsid w:val="00FF26E0"/>
    <w:rsid w:val="00FF28AD"/>
    <w:rsid w:val="00FF292A"/>
    <w:rsid w:val="00FF29A1"/>
    <w:rsid w:val="00FF2C3C"/>
    <w:rsid w:val="00FF2C89"/>
    <w:rsid w:val="00FF3336"/>
    <w:rsid w:val="00FF33F2"/>
    <w:rsid w:val="00FF3B32"/>
    <w:rsid w:val="00FF3E32"/>
    <w:rsid w:val="00FF41B4"/>
    <w:rsid w:val="00FF41DD"/>
    <w:rsid w:val="00FF4269"/>
    <w:rsid w:val="00FF4349"/>
    <w:rsid w:val="00FF4B3A"/>
    <w:rsid w:val="00FF5712"/>
    <w:rsid w:val="00FF5938"/>
    <w:rsid w:val="00FF5B78"/>
    <w:rsid w:val="00FF631D"/>
    <w:rsid w:val="00FF646E"/>
    <w:rsid w:val="00FF64A6"/>
    <w:rsid w:val="00FF650B"/>
    <w:rsid w:val="00FF65C4"/>
    <w:rsid w:val="00FF66D8"/>
    <w:rsid w:val="00FF66FD"/>
    <w:rsid w:val="00FF68F2"/>
    <w:rsid w:val="00FF753B"/>
    <w:rsid w:val="00FF75E8"/>
    <w:rsid w:val="00FF7817"/>
    <w:rsid w:val="00FF7B38"/>
    <w:rsid w:val="00FF7E30"/>
    <w:rsid w:val="00FF7ED6"/>
    <w:rsid w:val="00FF7FA7"/>
    <w:rsid w:val="0106582D"/>
    <w:rsid w:val="010B8FD3"/>
    <w:rsid w:val="0114A739"/>
    <w:rsid w:val="01291A05"/>
    <w:rsid w:val="012B8634"/>
    <w:rsid w:val="012FED8E"/>
    <w:rsid w:val="0131B4E7"/>
    <w:rsid w:val="0131B947"/>
    <w:rsid w:val="013660CE"/>
    <w:rsid w:val="013BA92F"/>
    <w:rsid w:val="0152F298"/>
    <w:rsid w:val="01586FBA"/>
    <w:rsid w:val="015D399C"/>
    <w:rsid w:val="015EA99C"/>
    <w:rsid w:val="01605D9B"/>
    <w:rsid w:val="016A178D"/>
    <w:rsid w:val="016A9417"/>
    <w:rsid w:val="017CC88D"/>
    <w:rsid w:val="0182888E"/>
    <w:rsid w:val="01912701"/>
    <w:rsid w:val="01AD00F4"/>
    <w:rsid w:val="01BD8506"/>
    <w:rsid w:val="01CD3F29"/>
    <w:rsid w:val="01DEC39B"/>
    <w:rsid w:val="01DED48D"/>
    <w:rsid w:val="01EB53CC"/>
    <w:rsid w:val="02007A8E"/>
    <w:rsid w:val="0201E703"/>
    <w:rsid w:val="020898FB"/>
    <w:rsid w:val="0208EAF8"/>
    <w:rsid w:val="0213A7AA"/>
    <w:rsid w:val="022118E0"/>
    <w:rsid w:val="022B0A80"/>
    <w:rsid w:val="023483A5"/>
    <w:rsid w:val="02351CC4"/>
    <w:rsid w:val="024033DD"/>
    <w:rsid w:val="02423493"/>
    <w:rsid w:val="02463278"/>
    <w:rsid w:val="024EEE21"/>
    <w:rsid w:val="0256CD17"/>
    <w:rsid w:val="0261794E"/>
    <w:rsid w:val="0268C14D"/>
    <w:rsid w:val="02796998"/>
    <w:rsid w:val="02884CC0"/>
    <w:rsid w:val="028F4B99"/>
    <w:rsid w:val="0295DF88"/>
    <w:rsid w:val="02A4073A"/>
    <w:rsid w:val="02A7D714"/>
    <w:rsid w:val="02AB7344"/>
    <w:rsid w:val="02B0B158"/>
    <w:rsid w:val="02BE845C"/>
    <w:rsid w:val="02C49B8A"/>
    <w:rsid w:val="02C4AF42"/>
    <w:rsid w:val="02C9F212"/>
    <w:rsid w:val="02CE269E"/>
    <w:rsid w:val="02CE28D2"/>
    <w:rsid w:val="02CE98EB"/>
    <w:rsid w:val="02D6E6B4"/>
    <w:rsid w:val="02DF4FCE"/>
    <w:rsid w:val="02E13599"/>
    <w:rsid w:val="02F8FF7C"/>
    <w:rsid w:val="0305752E"/>
    <w:rsid w:val="03199764"/>
    <w:rsid w:val="03235A9E"/>
    <w:rsid w:val="0323A85B"/>
    <w:rsid w:val="0323BE0C"/>
    <w:rsid w:val="033C9955"/>
    <w:rsid w:val="033FE0AB"/>
    <w:rsid w:val="034A862E"/>
    <w:rsid w:val="034D42DA"/>
    <w:rsid w:val="034F3C17"/>
    <w:rsid w:val="03507FCD"/>
    <w:rsid w:val="03532761"/>
    <w:rsid w:val="03550D7E"/>
    <w:rsid w:val="0357EFB8"/>
    <w:rsid w:val="035D3F35"/>
    <w:rsid w:val="0385BA49"/>
    <w:rsid w:val="03931150"/>
    <w:rsid w:val="03A4A7A7"/>
    <w:rsid w:val="03B16C6C"/>
    <w:rsid w:val="03BA36F4"/>
    <w:rsid w:val="03BB52D6"/>
    <w:rsid w:val="03BBCF59"/>
    <w:rsid w:val="03C008F1"/>
    <w:rsid w:val="03C5F0D2"/>
    <w:rsid w:val="03E1872C"/>
    <w:rsid w:val="03E43DCE"/>
    <w:rsid w:val="03E4C96B"/>
    <w:rsid w:val="03E54A71"/>
    <w:rsid w:val="03F9DCD5"/>
    <w:rsid w:val="0408D351"/>
    <w:rsid w:val="040F7D4B"/>
    <w:rsid w:val="041BB64E"/>
    <w:rsid w:val="0434E2BE"/>
    <w:rsid w:val="043CFCF2"/>
    <w:rsid w:val="043D57FC"/>
    <w:rsid w:val="0442B195"/>
    <w:rsid w:val="0448DFA4"/>
    <w:rsid w:val="045C4CD8"/>
    <w:rsid w:val="045F1FEE"/>
    <w:rsid w:val="04614216"/>
    <w:rsid w:val="0475616A"/>
    <w:rsid w:val="0488E82E"/>
    <w:rsid w:val="04912241"/>
    <w:rsid w:val="04A66ED0"/>
    <w:rsid w:val="04AA97A3"/>
    <w:rsid w:val="04AD66F0"/>
    <w:rsid w:val="04F30A1C"/>
    <w:rsid w:val="04F4DE82"/>
    <w:rsid w:val="04F57C6D"/>
    <w:rsid w:val="04F8BDAD"/>
    <w:rsid w:val="04FCED3D"/>
    <w:rsid w:val="05010196"/>
    <w:rsid w:val="050410B8"/>
    <w:rsid w:val="0506760C"/>
    <w:rsid w:val="050F824A"/>
    <w:rsid w:val="0510833A"/>
    <w:rsid w:val="0514A77C"/>
    <w:rsid w:val="0519DF28"/>
    <w:rsid w:val="0522B773"/>
    <w:rsid w:val="0544C6CB"/>
    <w:rsid w:val="054DFC0F"/>
    <w:rsid w:val="0558C393"/>
    <w:rsid w:val="055CBF46"/>
    <w:rsid w:val="0562C9BB"/>
    <w:rsid w:val="057142E5"/>
    <w:rsid w:val="057169B9"/>
    <w:rsid w:val="0571F7B9"/>
    <w:rsid w:val="05720DF7"/>
    <w:rsid w:val="057A18A3"/>
    <w:rsid w:val="058E510C"/>
    <w:rsid w:val="058F91F7"/>
    <w:rsid w:val="059364CA"/>
    <w:rsid w:val="059B6248"/>
    <w:rsid w:val="05A2188C"/>
    <w:rsid w:val="05B0BE9C"/>
    <w:rsid w:val="05B6BA16"/>
    <w:rsid w:val="05B8073C"/>
    <w:rsid w:val="05C6E075"/>
    <w:rsid w:val="05D05DB6"/>
    <w:rsid w:val="05D8101E"/>
    <w:rsid w:val="05D85698"/>
    <w:rsid w:val="05D9C5A1"/>
    <w:rsid w:val="05E733E1"/>
    <w:rsid w:val="05F4AB6C"/>
    <w:rsid w:val="05FF2A1E"/>
    <w:rsid w:val="0601B4E8"/>
    <w:rsid w:val="0602A6FF"/>
    <w:rsid w:val="0610B9FA"/>
    <w:rsid w:val="061159CD"/>
    <w:rsid w:val="0616EF30"/>
    <w:rsid w:val="061D25AF"/>
    <w:rsid w:val="061F8BA9"/>
    <w:rsid w:val="062044AA"/>
    <w:rsid w:val="06387272"/>
    <w:rsid w:val="063A6F90"/>
    <w:rsid w:val="065399D0"/>
    <w:rsid w:val="065C1590"/>
    <w:rsid w:val="066F7D60"/>
    <w:rsid w:val="06719478"/>
    <w:rsid w:val="06734D9A"/>
    <w:rsid w:val="067A5508"/>
    <w:rsid w:val="0681A9CE"/>
    <w:rsid w:val="0688188A"/>
    <w:rsid w:val="068AB3DA"/>
    <w:rsid w:val="068D4AFF"/>
    <w:rsid w:val="0699B396"/>
    <w:rsid w:val="069BE24B"/>
    <w:rsid w:val="069F8F90"/>
    <w:rsid w:val="06BD807E"/>
    <w:rsid w:val="06C051C0"/>
    <w:rsid w:val="06C3B78E"/>
    <w:rsid w:val="06C44779"/>
    <w:rsid w:val="06CC010A"/>
    <w:rsid w:val="06D464C8"/>
    <w:rsid w:val="06E17D8A"/>
    <w:rsid w:val="06ECEE9D"/>
    <w:rsid w:val="06F0187E"/>
    <w:rsid w:val="06FF18D4"/>
    <w:rsid w:val="0709CE9A"/>
    <w:rsid w:val="0721A427"/>
    <w:rsid w:val="07259D30"/>
    <w:rsid w:val="072C3F7E"/>
    <w:rsid w:val="072EBB09"/>
    <w:rsid w:val="072FAF03"/>
    <w:rsid w:val="0733A63B"/>
    <w:rsid w:val="073B9BF7"/>
    <w:rsid w:val="07425B72"/>
    <w:rsid w:val="075439C1"/>
    <w:rsid w:val="0754F683"/>
    <w:rsid w:val="075841E0"/>
    <w:rsid w:val="075CF1BB"/>
    <w:rsid w:val="076214C8"/>
    <w:rsid w:val="0768F345"/>
    <w:rsid w:val="07732F9A"/>
    <w:rsid w:val="0781CE92"/>
    <w:rsid w:val="0793ABE9"/>
    <w:rsid w:val="0793D43A"/>
    <w:rsid w:val="079D1FFA"/>
    <w:rsid w:val="07A2D30D"/>
    <w:rsid w:val="07AD15CA"/>
    <w:rsid w:val="07AF1126"/>
    <w:rsid w:val="07B76AAD"/>
    <w:rsid w:val="07B9E1C2"/>
    <w:rsid w:val="07BF87C2"/>
    <w:rsid w:val="07C76914"/>
    <w:rsid w:val="07CAF528"/>
    <w:rsid w:val="07CBC4F7"/>
    <w:rsid w:val="07D9840E"/>
    <w:rsid w:val="07DEDA4C"/>
    <w:rsid w:val="07F64ED5"/>
    <w:rsid w:val="07FD9CF9"/>
    <w:rsid w:val="080E1D3A"/>
    <w:rsid w:val="081655E8"/>
    <w:rsid w:val="081ABFDE"/>
    <w:rsid w:val="082C71E6"/>
    <w:rsid w:val="083EE3AB"/>
    <w:rsid w:val="084F65D6"/>
    <w:rsid w:val="0867BC99"/>
    <w:rsid w:val="0876427B"/>
    <w:rsid w:val="087C7F16"/>
    <w:rsid w:val="0883C115"/>
    <w:rsid w:val="088B498E"/>
    <w:rsid w:val="0890ED7D"/>
    <w:rsid w:val="08A0677E"/>
    <w:rsid w:val="08AA573B"/>
    <w:rsid w:val="08AB7673"/>
    <w:rsid w:val="08C6FEDB"/>
    <w:rsid w:val="08C892E6"/>
    <w:rsid w:val="08D3F37C"/>
    <w:rsid w:val="08F84396"/>
    <w:rsid w:val="08FB267F"/>
    <w:rsid w:val="08FD2A46"/>
    <w:rsid w:val="08FF0492"/>
    <w:rsid w:val="0901B126"/>
    <w:rsid w:val="090799CD"/>
    <w:rsid w:val="090C53D6"/>
    <w:rsid w:val="09158CED"/>
    <w:rsid w:val="09170196"/>
    <w:rsid w:val="093A4926"/>
    <w:rsid w:val="0944910E"/>
    <w:rsid w:val="094F7E47"/>
    <w:rsid w:val="09570237"/>
    <w:rsid w:val="095A8E17"/>
    <w:rsid w:val="095CD751"/>
    <w:rsid w:val="0961378A"/>
    <w:rsid w:val="097463E6"/>
    <w:rsid w:val="098641CB"/>
    <w:rsid w:val="09904811"/>
    <w:rsid w:val="09A79876"/>
    <w:rsid w:val="09B0B357"/>
    <w:rsid w:val="09B0F757"/>
    <w:rsid w:val="09BD5270"/>
    <w:rsid w:val="09C7920A"/>
    <w:rsid w:val="09DB404C"/>
    <w:rsid w:val="09E57239"/>
    <w:rsid w:val="0A086F34"/>
    <w:rsid w:val="0A095AB0"/>
    <w:rsid w:val="0A0FB3D8"/>
    <w:rsid w:val="0A237FA4"/>
    <w:rsid w:val="0A2402EB"/>
    <w:rsid w:val="0A3B09EE"/>
    <w:rsid w:val="0A3DD625"/>
    <w:rsid w:val="0A44D3A7"/>
    <w:rsid w:val="0A4CBE40"/>
    <w:rsid w:val="0A50BB64"/>
    <w:rsid w:val="0A522941"/>
    <w:rsid w:val="0A52EBBF"/>
    <w:rsid w:val="0A56FB94"/>
    <w:rsid w:val="0A6304F8"/>
    <w:rsid w:val="0A78BC87"/>
    <w:rsid w:val="0A793404"/>
    <w:rsid w:val="0A7DE30A"/>
    <w:rsid w:val="0A8135EF"/>
    <w:rsid w:val="0A83DDB7"/>
    <w:rsid w:val="0A8824A3"/>
    <w:rsid w:val="0A8886A0"/>
    <w:rsid w:val="0A8DB304"/>
    <w:rsid w:val="0A95478B"/>
    <w:rsid w:val="0A9CDAF8"/>
    <w:rsid w:val="0AABFAF2"/>
    <w:rsid w:val="0AB275E9"/>
    <w:rsid w:val="0AB830CE"/>
    <w:rsid w:val="0AB86816"/>
    <w:rsid w:val="0AC0CE24"/>
    <w:rsid w:val="0AC72B4E"/>
    <w:rsid w:val="0ACB082D"/>
    <w:rsid w:val="0ACDBB37"/>
    <w:rsid w:val="0ACF4C86"/>
    <w:rsid w:val="0AE20174"/>
    <w:rsid w:val="0AE61786"/>
    <w:rsid w:val="0AFF80F6"/>
    <w:rsid w:val="0B0C1EAE"/>
    <w:rsid w:val="0B113EC2"/>
    <w:rsid w:val="0B2C9741"/>
    <w:rsid w:val="0B393E6D"/>
    <w:rsid w:val="0B3CB145"/>
    <w:rsid w:val="0B43292F"/>
    <w:rsid w:val="0B44299F"/>
    <w:rsid w:val="0B5F529C"/>
    <w:rsid w:val="0B71994C"/>
    <w:rsid w:val="0B758ED9"/>
    <w:rsid w:val="0B7ED74A"/>
    <w:rsid w:val="0B86DA0B"/>
    <w:rsid w:val="0B8A5D11"/>
    <w:rsid w:val="0B8CB04F"/>
    <w:rsid w:val="0B9143EC"/>
    <w:rsid w:val="0BB8AE25"/>
    <w:rsid w:val="0BC60D2B"/>
    <w:rsid w:val="0BC98958"/>
    <w:rsid w:val="0BCE913F"/>
    <w:rsid w:val="0BDF5A27"/>
    <w:rsid w:val="0BEE0143"/>
    <w:rsid w:val="0BF8C365"/>
    <w:rsid w:val="0BFB9351"/>
    <w:rsid w:val="0C05B8F5"/>
    <w:rsid w:val="0C0B701C"/>
    <w:rsid w:val="0C0BEB67"/>
    <w:rsid w:val="0C0FE5B9"/>
    <w:rsid w:val="0C13B4C9"/>
    <w:rsid w:val="0C2E35AD"/>
    <w:rsid w:val="0C3133F2"/>
    <w:rsid w:val="0C31C5C9"/>
    <w:rsid w:val="0C375F7D"/>
    <w:rsid w:val="0C38EB82"/>
    <w:rsid w:val="0C45D79D"/>
    <w:rsid w:val="0C623C47"/>
    <w:rsid w:val="0C6A78E2"/>
    <w:rsid w:val="0C74FAEE"/>
    <w:rsid w:val="0C7B5807"/>
    <w:rsid w:val="0C8D8496"/>
    <w:rsid w:val="0C8E4E3C"/>
    <w:rsid w:val="0C8ECDCE"/>
    <w:rsid w:val="0C8FB014"/>
    <w:rsid w:val="0C94607F"/>
    <w:rsid w:val="0CA1CE49"/>
    <w:rsid w:val="0CA4CA94"/>
    <w:rsid w:val="0CAB2D53"/>
    <w:rsid w:val="0CABCDAA"/>
    <w:rsid w:val="0CB6AD4A"/>
    <w:rsid w:val="0CB907FB"/>
    <w:rsid w:val="0CB9CB12"/>
    <w:rsid w:val="0CC01823"/>
    <w:rsid w:val="0CC7B367"/>
    <w:rsid w:val="0CC94AD2"/>
    <w:rsid w:val="0CC9525C"/>
    <w:rsid w:val="0CCA9F2B"/>
    <w:rsid w:val="0CCFE4CE"/>
    <w:rsid w:val="0CD5D15B"/>
    <w:rsid w:val="0CD69065"/>
    <w:rsid w:val="0CD6D00A"/>
    <w:rsid w:val="0CDCDD52"/>
    <w:rsid w:val="0CE3046A"/>
    <w:rsid w:val="0CE41C57"/>
    <w:rsid w:val="0CE824E3"/>
    <w:rsid w:val="0D05E93F"/>
    <w:rsid w:val="0D071F85"/>
    <w:rsid w:val="0D0B2FBD"/>
    <w:rsid w:val="0D0CD739"/>
    <w:rsid w:val="0D16038D"/>
    <w:rsid w:val="0D28827A"/>
    <w:rsid w:val="0D383CEE"/>
    <w:rsid w:val="0D39DA8E"/>
    <w:rsid w:val="0D3B4B00"/>
    <w:rsid w:val="0D3B5A64"/>
    <w:rsid w:val="0D3EB61D"/>
    <w:rsid w:val="0D4AA915"/>
    <w:rsid w:val="0D5A017D"/>
    <w:rsid w:val="0D5B2E9B"/>
    <w:rsid w:val="0D61AA49"/>
    <w:rsid w:val="0D63094C"/>
    <w:rsid w:val="0D6AE13C"/>
    <w:rsid w:val="0D6DC0C6"/>
    <w:rsid w:val="0D70D03D"/>
    <w:rsid w:val="0D7F0B53"/>
    <w:rsid w:val="0D8A8779"/>
    <w:rsid w:val="0D9C5944"/>
    <w:rsid w:val="0DAF8FDA"/>
    <w:rsid w:val="0DB1FD33"/>
    <w:rsid w:val="0DC329F1"/>
    <w:rsid w:val="0DC5930A"/>
    <w:rsid w:val="0DDC1A55"/>
    <w:rsid w:val="0DED8982"/>
    <w:rsid w:val="0DF2CCD8"/>
    <w:rsid w:val="0DF383DA"/>
    <w:rsid w:val="0DF88244"/>
    <w:rsid w:val="0E04E721"/>
    <w:rsid w:val="0E091129"/>
    <w:rsid w:val="0E117AB7"/>
    <w:rsid w:val="0E12C148"/>
    <w:rsid w:val="0E1B7082"/>
    <w:rsid w:val="0E27FB1C"/>
    <w:rsid w:val="0E3DE406"/>
    <w:rsid w:val="0E3F394F"/>
    <w:rsid w:val="0E4554D4"/>
    <w:rsid w:val="0E46A77E"/>
    <w:rsid w:val="0E4DFCE8"/>
    <w:rsid w:val="0E535349"/>
    <w:rsid w:val="0E53E9A3"/>
    <w:rsid w:val="0E74534D"/>
    <w:rsid w:val="0E909EBF"/>
    <w:rsid w:val="0E97B77B"/>
    <w:rsid w:val="0E996E6B"/>
    <w:rsid w:val="0E99C58C"/>
    <w:rsid w:val="0EA74326"/>
    <w:rsid w:val="0EB22AC8"/>
    <w:rsid w:val="0EB9B199"/>
    <w:rsid w:val="0EBBF145"/>
    <w:rsid w:val="0EC26336"/>
    <w:rsid w:val="0EC7F56F"/>
    <w:rsid w:val="0EE1DD99"/>
    <w:rsid w:val="0EED24D4"/>
    <w:rsid w:val="0F06B407"/>
    <w:rsid w:val="0F0F7CCC"/>
    <w:rsid w:val="0F24F9CA"/>
    <w:rsid w:val="0F283ACD"/>
    <w:rsid w:val="0F2A25DE"/>
    <w:rsid w:val="0F301F9F"/>
    <w:rsid w:val="0F3BA536"/>
    <w:rsid w:val="0F3E7E66"/>
    <w:rsid w:val="0F4E75CD"/>
    <w:rsid w:val="0F61A771"/>
    <w:rsid w:val="0F64CAA0"/>
    <w:rsid w:val="0F66243F"/>
    <w:rsid w:val="0F6D10D0"/>
    <w:rsid w:val="0F6F7951"/>
    <w:rsid w:val="0F764D0E"/>
    <w:rsid w:val="0F7931BC"/>
    <w:rsid w:val="0F8C7795"/>
    <w:rsid w:val="0FA1EE67"/>
    <w:rsid w:val="0FB3A3B6"/>
    <w:rsid w:val="0FB63804"/>
    <w:rsid w:val="0FC843A9"/>
    <w:rsid w:val="0FD95F13"/>
    <w:rsid w:val="0FFD683D"/>
    <w:rsid w:val="10083F20"/>
    <w:rsid w:val="10190756"/>
    <w:rsid w:val="101CBDAE"/>
    <w:rsid w:val="10214D38"/>
    <w:rsid w:val="1026C3CA"/>
    <w:rsid w:val="10440ABA"/>
    <w:rsid w:val="1044F066"/>
    <w:rsid w:val="105F506C"/>
    <w:rsid w:val="106DE19F"/>
    <w:rsid w:val="10870D37"/>
    <w:rsid w:val="10A2B079"/>
    <w:rsid w:val="10B08A44"/>
    <w:rsid w:val="10B51890"/>
    <w:rsid w:val="10B56CD7"/>
    <w:rsid w:val="10C70F2E"/>
    <w:rsid w:val="10C8FD38"/>
    <w:rsid w:val="10C982EA"/>
    <w:rsid w:val="10D0616B"/>
    <w:rsid w:val="10D65FA5"/>
    <w:rsid w:val="10D8BE4C"/>
    <w:rsid w:val="10D95D03"/>
    <w:rsid w:val="10F1ACC2"/>
    <w:rsid w:val="10F7CC90"/>
    <w:rsid w:val="10F98392"/>
    <w:rsid w:val="10F9A0CC"/>
    <w:rsid w:val="10F9F70F"/>
    <w:rsid w:val="1104E609"/>
    <w:rsid w:val="1112E850"/>
    <w:rsid w:val="112E9E79"/>
    <w:rsid w:val="11444CC6"/>
    <w:rsid w:val="1145E154"/>
    <w:rsid w:val="114AD5E0"/>
    <w:rsid w:val="1151B8F9"/>
    <w:rsid w:val="1172B93C"/>
    <w:rsid w:val="11849ECC"/>
    <w:rsid w:val="1185C055"/>
    <w:rsid w:val="11864F44"/>
    <w:rsid w:val="118F39B7"/>
    <w:rsid w:val="1193CEC8"/>
    <w:rsid w:val="11995BAF"/>
    <w:rsid w:val="11A01CB2"/>
    <w:rsid w:val="11B1B8B7"/>
    <w:rsid w:val="11B930B5"/>
    <w:rsid w:val="11BE65FB"/>
    <w:rsid w:val="11DB13EA"/>
    <w:rsid w:val="11E323C5"/>
    <w:rsid w:val="11FF2195"/>
    <w:rsid w:val="1225A9CD"/>
    <w:rsid w:val="1235094B"/>
    <w:rsid w:val="124214DD"/>
    <w:rsid w:val="1250F76D"/>
    <w:rsid w:val="125359E2"/>
    <w:rsid w:val="1255A505"/>
    <w:rsid w:val="125E2621"/>
    <w:rsid w:val="126940C3"/>
    <w:rsid w:val="128F9C9A"/>
    <w:rsid w:val="12970BD9"/>
    <w:rsid w:val="129BCDC1"/>
    <w:rsid w:val="12A67DE8"/>
    <w:rsid w:val="12C1CE87"/>
    <w:rsid w:val="12C6C8B0"/>
    <w:rsid w:val="12D348AD"/>
    <w:rsid w:val="12EDE3BF"/>
    <w:rsid w:val="12F3D1A2"/>
    <w:rsid w:val="12F95DE1"/>
    <w:rsid w:val="130AF200"/>
    <w:rsid w:val="130D6041"/>
    <w:rsid w:val="130E35F1"/>
    <w:rsid w:val="1310BF86"/>
    <w:rsid w:val="1313F06F"/>
    <w:rsid w:val="1315B347"/>
    <w:rsid w:val="13168B06"/>
    <w:rsid w:val="13187547"/>
    <w:rsid w:val="1327469D"/>
    <w:rsid w:val="1327EDDD"/>
    <w:rsid w:val="132A9D20"/>
    <w:rsid w:val="132AF38D"/>
    <w:rsid w:val="132FBBE2"/>
    <w:rsid w:val="13372B2D"/>
    <w:rsid w:val="133CDB42"/>
    <w:rsid w:val="13454B67"/>
    <w:rsid w:val="1348ABFD"/>
    <w:rsid w:val="1355377F"/>
    <w:rsid w:val="135EA2C4"/>
    <w:rsid w:val="1386FE65"/>
    <w:rsid w:val="138F9722"/>
    <w:rsid w:val="138FEAEC"/>
    <w:rsid w:val="13969B41"/>
    <w:rsid w:val="13972CA0"/>
    <w:rsid w:val="13980B89"/>
    <w:rsid w:val="13B0DDFF"/>
    <w:rsid w:val="13BE459D"/>
    <w:rsid w:val="13C08B0D"/>
    <w:rsid w:val="13DB616D"/>
    <w:rsid w:val="13F30E59"/>
    <w:rsid w:val="13F57816"/>
    <w:rsid w:val="1409D95A"/>
    <w:rsid w:val="140BE895"/>
    <w:rsid w:val="14214F2F"/>
    <w:rsid w:val="1421B964"/>
    <w:rsid w:val="142BB088"/>
    <w:rsid w:val="142F5CBB"/>
    <w:rsid w:val="143DD856"/>
    <w:rsid w:val="143F6A27"/>
    <w:rsid w:val="14430E61"/>
    <w:rsid w:val="14491B95"/>
    <w:rsid w:val="144CB234"/>
    <w:rsid w:val="144F4E02"/>
    <w:rsid w:val="144FBD66"/>
    <w:rsid w:val="14576D77"/>
    <w:rsid w:val="14579F54"/>
    <w:rsid w:val="1469C56E"/>
    <w:rsid w:val="146FA81B"/>
    <w:rsid w:val="1472B88A"/>
    <w:rsid w:val="148C4C40"/>
    <w:rsid w:val="148E8E61"/>
    <w:rsid w:val="149B7FAB"/>
    <w:rsid w:val="149EA9E5"/>
    <w:rsid w:val="14A64428"/>
    <w:rsid w:val="14AD5447"/>
    <w:rsid w:val="14C08C1E"/>
    <w:rsid w:val="14EAA99E"/>
    <w:rsid w:val="14F4AE16"/>
    <w:rsid w:val="14F9E42A"/>
    <w:rsid w:val="14FA0CCF"/>
    <w:rsid w:val="15227FE3"/>
    <w:rsid w:val="1525D2D1"/>
    <w:rsid w:val="152E5C36"/>
    <w:rsid w:val="152F513D"/>
    <w:rsid w:val="15323A06"/>
    <w:rsid w:val="153DFF62"/>
    <w:rsid w:val="1546B13D"/>
    <w:rsid w:val="154D5005"/>
    <w:rsid w:val="15527135"/>
    <w:rsid w:val="155DD22E"/>
    <w:rsid w:val="1564B34C"/>
    <w:rsid w:val="1568BA06"/>
    <w:rsid w:val="156C64ED"/>
    <w:rsid w:val="156CB8C2"/>
    <w:rsid w:val="1572ECC1"/>
    <w:rsid w:val="1583BAAC"/>
    <w:rsid w:val="1586D99A"/>
    <w:rsid w:val="1588F6AD"/>
    <w:rsid w:val="158E1205"/>
    <w:rsid w:val="1591A9A6"/>
    <w:rsid w:val="1593DB91"/>
    <w:rsid w:val="159F1DF8"/>
    <w:rsid w:val="15A24BB0"/>
    <w:rsid w:val="15A71C18"/>
    <w:rsid w:val="15C385B5"/>
    <w:rsid w:val="15C7015B"/>
    <w:rsid w:val="15CADB93"/>
    <w:rsid w:val="15F20684"/>
    <w:rsid w:val="15F65D0F"/>
    <w:rsid w:val="160062C7"/>
    <w:rsid w:val="1602E0AD"/>
    <w:rsid w:val="160A345A"/>
    <w:rsid w:val="162A77EB"/>
    <w:rsid w:val="16389F8A"/>
    <w:rsid w:val="1642A057"/>
    <w:rsid w:val="1657F1E3"/>
    <w:rsid w:val="165B3356"/>
    <w:rsid w:val="16612C3B"/>
    <w:rsid w:val="16636CA4"/>
    <w:rsid w:val="166F4AA1"/>
    <w:rsid w:val="168A0405"/>
    <w:rsid w:val="169621AC"/>
    <w:rsid w:val="169C4181"/>
    <w:rsid w:val="16C36126"/>
    <w:rsid w:val="16E5383C"/>
    <w:rsid w:val="16F4A6B0"/>
    <w:rsid w:val="16F63237"/>
    <w:rsid w:val="16FD05A1"/>
    <w:rsid w:val="1714B75D"/>
    <w:rsid w:val="171A5E64"/>
    <w:rsid w:val="171C1F5E"/>
    <w:rsid w:val="171EE7B0"/>
    <w:rsid w:val="172C92C2"/>
    <w:rsid w:val="1732625F"/>
    <w:rsid w:val="1738D349"/>
    <w:rsid w:val="173E4F7B"/>
    <w:rsid w:val="1745B056"/>
    <w:rsid w:val="17576C83"/>
    <w:rsid w:val="175A10FC"/>
    <w:rsid w:val="17643755"/>
    <w:rsid w:val="1772B462"/>
    <w:rsid w:val="177859B3"/>
    <w:rsid w:val="17825271"/>
    <w:rsid w:val="17A0E06E"/>
    <w:rsid w:val="17A0ED21"/>
    <w:rsid w:val="17A83BF4"/>
    <w:rsid w:val="17A88C17"/>
    <w:rsid w:val="17AF848B"/>
    <w:rsid w:val="17B32DC4"/>
    <w:rsid w:val="17C376F7"/>
    <w:rsid w:val="17D9FBEC"/>
    <w:rsid w:val="17DA88F6"/>
    <w:rsid w:val="17DC62B5"/>
    <w:rsid w:val="17DF377B"/>
    <w:rsid w:val="17EFB34D"/>
    <w:rsid w:val="1803E2A8"/>
    <w:rsid w:val="18108D56"/>
    <w:rsid w:val="181238BD"/>
    <w:rsid w:val="1818FBE1"/>
    <w:rsid w:val="18199B0E"/>
    <w:rsid w:val="1836AE6B"/>
    <w:rsid w:val="1841392E"/>
    <w:rsid w:val="1850C634"/>
    <w:rsid w:val="1858BA81"/>
    <w:rsid w:val="185ACB3F"/>
    <w:rsid w:val="186F3B4A"/>
    <w:rsid w:val="1883D0F2"/>
    <w:rsid w:val="188C9854"/>
    <w:rsid w:val="189383AC"/>
    <w:rsid w:val="18A660F8"/>
    <w:rsid w:val="18B8C427"/>
    <w:rsid w:val="18BD9C31"/>
    <w:rsid w:val="18C41C9F"/>
    <w:rsid w:val="18C6C51F"/>
    <w:rsid w:val="18D698D5"/>
    <w:rsid w:val="18D7FA75"/>
    <w:rsid w:val="18E745C3"/>
    <w:rsid w:val="18EDAB6D"/>
    <w:rsid w:val="18FDD39D"/>
    <w:rsid w:val="1900514B"/>
    <w:rsid w:val="191436C1"/>
    <w:rsid w:val="19270AED"/>
    <w:rsid w:val="19378220"/>
    <w:rsid w:val="1942DEB1"/>
    <w:rsid w:val="19528D19"/>
    <w:rsid w:val="195D2FCC"/>
    <w:rsid w:val="1992C2F3"/>
    <w:rsid w:val="199E0723"/>
    <w:rsid w:val="199F55BB"/>
    <w:rsid w:val="19A75960"/>
    <w:rsid w:val="19A90D19"/>
    <w:rsid w:val="19AAED40"/>
    <w:rsid w:val="19B5F8A2"/>
    <w:rsid w:val="19BA049E"/>
    <w:rsid w:val="19BA0EBB"/>
    <w:rsid w:val="19C58FE4"/>
    <w:rsid w:val="19CB7865"/>
    <w:rsid w:val="19D332BF"/>
    <w:rsid w:val="19DB9EB7"/>
    <w:rsid w:val="19E4FE48"/>
    <w:rsid w:val="19F0B3CC"/>
    <w:rsid w:val="19F3F6BF"/>
    <w:rsid w:val="1A025079"/>
    <w:rsid w:val="1A0B0900"/>
    <w:rsid w:val="1A0B925A"/>
    <w:rsid w:val="1A0BEE42"/>
    <w:rsid w:val="1A249018"/>
    <w:rsid w:val="1A26FC58"/>
    <w:rsid w:val="1A433C9F"/>
    <w:rsid w:val="1A577E89"/>
    <w:rsid w:val="1A63364F"/>
    <w:rsid w:val="1A6A7F98"/>
    <w:rsid w:val="1A74234A"/>
    <w:rsid w:val="1A784006"/>
    <w:rsid w:val="1AA52D1B"/>
    <w:rsid w:val="1AAF2E8E"/>
    <w:rsid w:val="1AB4F276"/>
    <w:rsid w:val="1AB891A2"/>
    <w:rsid w:val="1AB9EC30"/>
    <w:rsid w:val="1ABD4DDA"/>
    <w:rsid w:val="1AC7F557"/>
    <w:rsid w:val="1AC8B9C8"/>
    <w:rsid w:val="1ACCCF4B"/>
    <w:rsid w:val="1ADE02E0"/>
    <w:rsid w:val="1ADE16E3"/>
    <w:rsid w:val="1AF04034"/>
    <w:rsid w:val="1AF35ADC"/>
    <w:rsid w:val="1AF91A65"/>
    <w:rsid w:val="1AFDFE9A"/>
    <w:rsid w:val="1B038E13"/>
    <w:rsid w:val="1B1BC08E"/>
    <w:rsid w:val="1B1F4056"/>
    <w:rsid w:val="1B2694DB"/>
    <w:rsid w:val="1B28B409"/>
    <w:rsid w:val="1B2B7A17"/>
    <w:rsid w:val="1B3B9825"/>
    <w:rsid w:val="1B4A0EC2"/>
    <w:rsid w:val="1B7B8211"/>
    <w:rsid w:val="1B98196C"/>
    <w:rsid w:val="1B99440E"/>
    <w:rsid w:val="1BA21977"/>
    <w:rsid w:val="1BAB4791"/>
    <w:rsid w:val="1BAE9818"/>
    <w:rsid w:val="1BB22BBF"/>
    <w:rsid w:val="1BC24295"/>
    <w:rsid w:val="1BC3C32C"/>
    <w:rsid w:val="1BC63D0E"/>
    <w:rsid w:val="1BC7E3FB"/>
    <w:rsid w:val="1BCA9125"/>
    <w:rsid w:val="1BD45AD5"/>
    <w:rsid w:val="1BDB853E"/>
    <w:rsid w:val="1BF566DD"/>
    <w:rsid w:val="1BF74E36"/>
    <w:rsid w:val="1BF9E5B9"/>
    <w:rsid w:val="1C16C8FB"/>
    <w:rsid w:val="1C17BCE4"/>
    <w:rsid w:val="1C2268B2"/>
    <w:rsid w:val="1C26D4AB"/>
    <w:rsid w:val="1C2C9CD4"/>
    <w:rsid w:val="1C2F5008"/>
    <w:rsid w:val="1C368022"/>
    <w:rsid w:val="1C3B5872"/>
    <w:rsid w:val="1C425EB7"/>
    <w:rsid w:val="1C55EC85"/>
    <w:rsid w:val="1C593824"/>
    <w:rsid w:val="1C5FCD2D"/>
    <w:rsid w:val="1C745D5A"/>
    <w:rsid w:val="1C7D542D"/>
    <w:rsid w:val="1CA3C7EF"/>
    <w:rsid w:val="1CA984F5"/>
    <w:rsid w:val="1CAAC119"/>
    <w:rsid w:val="1CBCB631"/>
    <w:rsid w:val="1CC883DB"/>
    <w:rsid w:val="1CDB9842"/>
    <w:rsid w:val="1CF4C1F8"/>
    <w:rsid w:val="1D10BDB4"/>
    <w:rsid w:val="1D1D943A"/>
    <w:rsid w:val="1D27C3DA"/>
    <w:rsid w:val="1D30F091"/>
    <w:rsid w:val="1D3AA50C"/>
    <w:rsid w:val="1D404373"/>
    <w:rsid w:val="1D5E3233"/>
    <w:rsid w:val="1D65091E"/>
    <w:rsid w:val="1D6E32AD"/>
    <w:rsid w:val="1D862B48"/>
    <w:rsid w:val="1D879148"/>
    <w:rsid w:val="1D8D3856"/>
    <w:rsid w:val="1D9278C6"/>
    <w:rsid w:val="1DA58C50"/>
    <w:rsid w:val="1DA8C456"/>
    <w:rsid w:val="1DC4525B"/>
    <w:rsid w:val="1DD232E6"/>
    <w:rsid w:val="1DDA10FC"/>
    <w:rsid w:val="1DDB9785"/>
    <w:rsid w:val="1DF7A67B"/>
    <w:rsid w:val="1E18667B"/>
    <w:rsid w:val="1E20FB6C"/>
    <w:rsid w:val="1E34420A"/>
    <w:rsid w:val="1E3F40E8"/>
    <w:rsid w:val="1E4185CA"/>
    <w:rsid w:val="1E44FDD1"/>
    <w:rsid w:val="1E49DFDC"/>
    <w:rsid w:val="1E4C8568"/>
    <w:rsid w:val="1E5646D8"/>
    <w:rsid w:val="1E5EB32E"/>
    <w:rsid w:val="1E63E4AA"/>
    <w:rsid w:val="1E6EC3F3"/>
    <w:rsid w:val="1E75EB36"/>
    <w:rsid w:val="1E809937"/>
    <w:rsid w:val="1E88B715"/>
    <w:rsid w:val="1E9428C8"/>
    <w:rsid w:val="1E9B64D1"/>
    <w:rsid w:val="1E9C3A57"/>
    <w:rsid w:val="1EA3DF0F"/>
    <w:rsid w:val="1EA44FF1"/>
    <w:rsid w:val="1EA6CEBC"/>
    <w:rsid w:val="1EB94610"/>
    <w:rsid w:val="1ECCF06C"/>
    <w:rsid w:val="1ED2D21D"/>
    <w:rsid w:val="1EEA32B8"/>
    <w:rsid w:val="1EECA7BF"/>
    <w:rsid w:val="1EF0654E"/>
    <w:rsid w:val="1EF0E658"/>
    <w:rsid w:val="1EFEA5CE"/>
    <w:rsid w:val="1F05A0F7"/>
    <w:rsid w:val="1F0A4D11"/>
    <w:rsid w:val="1F1000D2"/>
    <w:rsid w:val="1F10CE6C"/>
    <w:rsid w:val="1F1BFEEC"/>
    <w:rsid w:val="1F1CB728"/>
    <w:rsid w:val="1F25ECF1"/>
    <w:rsid w:val="1F261BCE"/>
    <w:rsid w:val="1F266F9F"/>
    <w:rsid w:val="1F32C169"/>
    <w:rsid w:val="1F34E75C"/>
    <w:rsid w:val="1F360DFF"/>
    <w:rsid w:val="1F47485A"/>
    <w:rsid w:val="1F4918F2"/>
    <w:rsid w:val="1F50B4CF"/>
    <w:rsid w:val="1F57E0F1"/>
    <w:rsid w:val="1F633272"/>
    <w:rsid w:val="1F68D08C"/>
    <w:rsid w:val="1F7263D6"/>
    <w:rsid w:val="1F8EB25D"/>
    <w:rsid w:val="1F95F5E6"/>
    <w:rsid w:val="1F99B53B"/>
    <w:rsid w:val="1FC1486D"/>
    <w:rsid w:val="1FC933CE"/>
    <w:rsid w:val="1FDCE0FF"/>
    <w:rsid w:val="1FE084FB"/>
    <w:rsid w:val="1FE0ED11"/>
    <w:rsid w:val="1FFB8FA5"/>
    <w:rsid w:val="1FFC161B"/>
    <w:rsid w:val="200958D5"/>
    <w:rsid w:val="2009992C"/>
    <w:rsid w:val="20108619"/>
    <w:rsid w:val="201B6F65"/>
    <w:rsid w:val="20291286"/>
    <w:rsid w:val="202928BF"/>
    <w:rsid w:val="203A3F61"/>
    <w:rsid w:val="2043E1DA"/>
    <w:rsid w:val="2054DFD9"/>
    <w:rsid w:val="20585B04"/>
    <w:rsid w:val="2079F443"/>
    <w:rsid w:val="207DA54E"/>
    <w:rsid w:val="209A1555"/>
    <w:rsid w:val="20AC5343"/>
    <w:rsid w:val="20AD8B6E"/>
    <w:rsid w:val="20ADDA4D"/>
    <w:rsid w:val="20B1304D"/>
    <w:rsid w:val="20C4B71D"/>
    <w:rsid w:val="20C51C4A"/>
    <w:rsid w:val="20CA3E4D"/>
    <w:rsid w:val="20CDC412"/>
    <w:rsid w:val="20CEE7E2"/>
    <w:rsid w:val="20D7FC39"/>
    <w:rsid w:val="20DF41B7"/>
    <w:rsid w:val="20E67F1F"/>
    <w:rsid w:val="20F86EC0"/>
    <w:rsid w:val="210A833A"/>
    <w:rsid w:val="210B4BEB"/>
    <w:rsid w:val="210F8338"/>
    <w:rsid w:val="211B90F2"/>
    <w:rsid w:val="21257AC1"/>
    <w:rsid w:val="21417716"/>
    <w:rsid w:val="215D5272"/>
    <w:rsid w:val="21716FA2"/>
    <w:rsid w:val="2175882E"/>
    <w:rsid w:val="2184272B"/>
    <w:rsid w:val="21890152"/>
    <w:rsid w:val="2190E7B3"/>
    <w:rsid w:val="21911D58"/>
    <w:rsid w:val="2193ED97"/>
    <w:rsid w:val="219A84B8"/>
    <w:rsid w:val="219B2A46"/>
    <w:rsid w:val="219C52ED"/>
    <w:rsid w:val="219D43CA"/>
    <w:rsid w:val="21AD76DF"/>
    <w:rsid w:val="21C611A8"/>
    <w:rsid w:val="21C9C27D"/>
    <w:rsid w:val="21CF3A7C"/>
    <w:rsid w:val="21D1C5B8"/>
    <w:rsid w:val="21D8D2E4"/>
    <w:rsid w:val="21DCC9FA"/>
    <w:rsid w:val="21F6DEA3"/>
    <w:rsid w:val="2200C18D"/>
    <w:rsid w:val="2206B591"/>
    <w:rsid w:val="220CDC21"/>
    <w:rsid w:val="22186FFD"/>
    <w:rsid w:val="2220AAE2"/>
    <w:rsid w:val="2233ADF4"/>
    <w:rsid w:val="224421C1"/>
    <w:rsid w:val="2245110F"/>
    <w:rsid w:val="2253DB5A"/>
    <w:rsid w:val="22615E23"/>
    <w:rsid w:val="226487DB"/>
    <w:rsid w:val="22780975"/>
    <w:rsid w:val="2289D12D"/>
    <w:rsid w:val="229BCB82"/>
    <w:rsid w:val="229DF9E5"/>
    <w:rsid w:val="22A41D57"/>
    <w:rsid w:val="22A668AF"/>
    <w:rsid w:val="22AC1B8D"/>
    <w:rsid w:val="22B5264B"/>
    <w:rsid w:val="22CFCDA6"/>
    <w:rsid w:val="22D0AD1A"/>
    <w:rsid w:val="22D8A0B9"/>
    <w:rsid w:val="22DA9BD4"/>
    <w:rsid w:val="22E3710E"/>
    <w:rsid w:val="22E5FA5D"/>
    <w:rsid w:val="22EF5E54"/>
    <w:rsid w:val="22F6DC8A"/>
    <w:rsid w:val="22FC59BB"/>
    <w:rsid w:val="2302A8D2"/>
    <w:rsid w:val="2302DDB2"/>
    <w:rsid w:val="2305DA82"/>
    <w:rsid w:val="230D0823"/>
    <w:rsid w:val="230FDA01"/>
    <w:rsid w:val="23168AB5"/>
    <w:rsid w:val="231CF057"/>
    <w:rsid w:val="2330915B"/>
    <w:rsid w:val="2330D99C"/>
    <w:rsid w:val="23377517"/>
    <w:rsid w:val="233DA8DB"/>
    <w:rsid w:val="233F3077"/>
    <w:rsid w:val="2347E133"/>
    <w:rsid w:val="234CD365"/>
    <w:rsid w:val="23643244"/>
    <w:rsid w:val="236F00CC"/>
    <w:rsid w:val="23750422"/>
    <w:rsid w:val="237B976D"/>
    <w:rsid w:val="23A66FE3"/>
    <w:rsid w:val="23A80FCB"/>
    <w:rsid w:val="23B4CBDA"/>
    <w:rsid w:val="23BA9544"/>
    <w:rsid w:val="23BE8F85"/>
    <w:rsid w:val="23C4E358"/>
    <w:rsid w:val="23C6B4F2"/>
    <w:rsid w:val="23C84D42"/>
    <w:rsid w:val="23CCECBC"/>
    <w:rsid w:val="23DBA5AD"/>
    <w:rsid w:val="23EB0C9D"/>
    <w:rsid w:val="23F9F7E3"/>
    <w:rsid w:val="24030E64"/>
    <w:rsid w:val="2403A1DC"/>
    <w:rsid w:val="241386FB"/>
    <w:rsid w:val="24175999"/>
    <w:rsid w:val="24194D10"/>
    <w:rsid w:val="242D8EF6"/>
    <w:rsid w:val="2467FF37"/>
    <w:rsid w:val="246ED4A3"/>
    <w:rsid w:val="24749013"/>
    <w:rsid w:val="24756BDB"/>
    <w:rsid w:val="247F303F"/>
    <w:rsid w:val="248D9185"/>
    <w:rsid w:val="248E65BD"/>
    <w:rsid w:val="24A16562"/>
    <w:rsid w:val="24A6C5CD"/>
    <w:rsid w:val="24B26F2C"/>
    <w:rsid w:val="24B5FE3B"/>
    <w:rsid w:val="24B846BF"/>
    <w:rsid w:val="24BCC4B6"/>
    <w:rsid w:val="24E338D9"/>
    <w:rsid w:val="24F1E771"/>
    <w:rsid w:val="24FA4842"/>
    <w:rsid w:val="250BBDFB"/>
    <w:rsid w:val="250C91F0"/>
    <w:rsid w:val="25214711"/>
    <w:rsid w:val="252BD640"/>
    <w:rsid w:val="252DF1C0"/>
    <w:rsid w:val="252E4193"/>
    <w:rsid w:val="252EAA5E"/>
    <w:rsid w:val="2535AEAF"/>
    <w:rsid w:val="253EDF5D"/>
    <w:rsid w:val="25453C3F"/>
    <w:rsid w:val="2551A48E"/>
    <w:rsid w:val="2553CC06"/>
    <w:rsid w:val="255489D0"/>
    <w:rsid w:val="255B6134"/>
    <w:rsid w:val="255EDFF4"/>
    <w:rsid w:val="25666E68"/>
    <w:rsid w:val="256C3FC9"/>
    <w:rsid w:val="256D7E1F"/>
    <w:rsid w:val="2576E7A6"/>
    <w:rsid w:val="257B3242"/>
    <w:rsid w:val="2582CDB3"/>
    <w:rsid w:val="25878641"/>
    <w:rsid w:val="2587DFCB"/>
    <w:rsid w:val="259DCD26"/>
    <w:rsid w:val="25A02875"/>
    <w:rsid w:val="25A222E5"/>
    <w:rsid w:val="25A28C49"/>
    <w:rsid w:val="25AE288F"/>
    <w:rsid w:val="25B183A2"/>
    <w:rsid w:val="25BF5D71"/>
    <w:rsid w:val="25C037EC"/>
    <w:rsid w:val="25CAAEDF"/>
    <w:rsid w:val="25CCAE1B"/>
    <w:rsid w:val="25F41B03"/>
    <w:rsid w:val="25F47936"/>
    <w:rsid w:val="25FACB88"/>
    <w:rsid w:val="26001CF0"/>
    <w:rsid w:val="26408DBC"/>
    <w:rsid w:val="26429CE8"/>
    <w:rsid w:val="2647D4D5"/>
    <w:rsid w:val="2661604B"/>
    <w:rsid w:val="266F14E7"/>
    <w:rsid w:val="267A0011"/>
    <w:rsid w:val="2689B4AE"/>
    <w:rsid w:val="26A36DDA"/>
    <w:rsid w:val="26AF26CA"/>
    <w:rsid w:val="26B1DD03"/>
    <w:rsid w:val="26BBDA58"/>
    <w:rsid w:val="26BC071B"/>
    <w:rsid w:val="26DE48D3"/>
    <w:rsid w:val="26DF52D7"/>
    <w:rsid w:val="26E30CFA"/>
    <w:rsid w:val="26EBB5B5"/>
    <w:rsid w:val="26EDDACF"/>
    <w:rsid w:val="26FA048F"/>
    <w:rsid w:val="2702AA55"/>
    <w:rsid w:val="27082009"/>
    <w:rsid w:val="270FFF0D"/>
    <w:rsid w:val="27118719"/>
    <w:rsid w:val="27121F3D"/>
    <w:rsid w:val="2712CB33"/>
    <w:rsid w:val="27166389"/>
    <w:rsid w:val="271AE3CB"/>
    <w:rsid w:val="271D502A"/>
    <w:rsid w:val="272581CE"/>
    <w:rsid w:val="2725ECFE"/>
    <w:rsid w:val="2729CDEF"/>
    <w:rsid w:val="272B62F4"/>
    <w:rsid w:val="272BCE06"/>
    <w:rsid w:val="272F8AEE"/>
    <w:rsid w:val="27354093"/>
    <w:rsid w:val="2740CF4A"/>
    <w:rsid w:val="27444518"/>
    <w:rsid w:val="2754E6A2"/>
    <w:rsid w:val="275DFE3C"/>
    <w:rsid w:val="2764B307"/>
    <w:rsid w:val="2767156D"/>
    <w:rsid w:val="277C7E0C"/>
    <w:rsid w:val="277FDBE9"/>
    <w:rsid w:val="27860D61"/>
    <w:rsid w:val="27A06732"/>
    <w:rsid w:val="27B835C5"/>
    <w:rsid w:val="27C8F004"/>
    <w:rsid w:val="27CCAAA8"/>
    <w:rsid w:val="27E7EBFB"/>
    <w:rsid w:val="27F2E62B"/>
    <w:rsid w:val="27F5D228"/>
    <w:rsid w:val="27FE503C"/>
    <w:rsid w:val="280047C1"/>
    <w:rsid w:val="2803F484"/>
    <w:rsid w:val="2809B643"/>
    <w:rsid w:val="280B7046"/>
    <w:rsid w:val="2814D4D3"/>
    <w:rsid w:val="281E8A04"/>
    <w:rsid w:val="28338A70"/>
    <w:rsid w:val="283F4792"/>
    <w:rsid w:val="284EB934"/>
    <w:rsid w:val="285560EA"/>
    <w:rsid w:val="285E4050"/>
    <w:rsid w:val="286921CC"/>
    <w:rsid w:val="2869D38B"/>
    <w:rsid w:val="286BB9C3"/>
    <w:rsid w:val="28824CEE"/>
    <w:rsid w:val="288CE39E"/>
    <w:rsid w:val="28A8728A"/>
    <w:rsid w:val="28C544AC"/>
    <w:rsid w:val="28CEDB87"/>
    <w:rsid w:val="28D40339"/>
    <w:rsid w:val="28D6ED4C"/>
    <w:rsid w:val="28E733D1"/>
    <w:rsid w:val="28E83D30"/>
    <w:rsid w:val="28F0B15C"/>
    <w:rsid w:val="28FA3BCC"/>
    <w:rsid w:val="28FD8B0E"/>
    <w:rsid w:val="29071C0F"/>
    <w:rsid w:val="29172E3C"/>
    <w:rsid w:val="292170A1"/>
    <w:rsid w:val="2942799F"/>
    <w:rsid w:val="2942D7EF"/>
    <w:rsid w:val="29496867"/>
    <w:rsid w:val="2951E711"/>
    <w:rsid w:val="29625B53"/>
    <w:rsid w:val="29660CFA"/>
    <w:rsid w:val="29724FC3"/>
    <w:rsid w:val="297A873C"/>
    <w:rsid w:val="297CAEC9"/>
    <w:rsid w:val="298380F4"/>
    <w:rsid w:val="2986D4E3"/>
    <w:rsid w:val="2996FC64"/>
    <w:rsid w:val="299BC722"/>
    <w:rsid w:val="29A1D320"/>
    <w:rsid w:val="29A7C067"/>
    <w:rsid w:val="29C358AE"/>
    <w:rsid w:val="29C467DF"/>
    <w:rsid w:val="29CF86D2"/>
    <w:rsid w:val="29D28191"/>
    <w:rsid w:val="29E8DE31"/>
    <w:rsid w:val="29E9B8FC"/>
    <w:rsid w:val="29EA6025"/>
    <w:rsid w:val="29F26BC1"/>
    <w:rsid w:val="29FCA151"/>
    <w:rsid w:val="2A00BE1A"/>
    <w:rsid w:val="2A12E355"/>
    <w:rsid w:val="2A1F7757"/>
    <w:rsid w:val="2A31DA5B"/>
    <w:rsid w:val="2A484EAD"/>
    <w:rsid w:val="2A523650"/>
    <w:rsid w:val="2A5327B2"/>
    <w:rsid w:val="2A54246E"/>
    <w:rsid w:val="2A5ACF38"/>
    <w:rsid w:val="2A5D1378"/>
    <w:rsid w:val="2A77FCD1"/>
    <w:rsid w:val="2A8C7D20"/>
    <w:rsid w:val="2AA12E05"/>
    <w:rsid w:val="2AB3475F"/>
    <w:rsid w:val="2AB5D693"/>
    <w:rsid w:val="2ACAE35B"/>
    <w:rsid w:val="2AD8B895"/>
    <w:rsid w:val="2AE97752"/>
    <w:rsid w:val="2AFF6086"/>
    <w:rsid w:val="2B04616E"/>
    <w:rsid w:val="2B08FFD8"/>
    <w:rsid w:val="2B0C61DC"/>
    <w:rsid w:val="2B1718A3"/>
    <w:rsid w:val="2B1811EC"/>
    <w:rsid w:val="2B19B8D8"/>
    <w:rsid w:val="2B2B3704"/>
    <w:rsid w:val="2B31E962"/>
    <w:rsid w:val="2B376E97"/>
    <w:rsid w:val="2B3DBEC5"/>
    <w:rsid w:val="2B447F8E"/>
    <w:rsid w:val="2B4678CC"/>
    <w:rsid w:val="2B55C1B8"/>
    <w:rsid w:val="2B5BA3F2"/>
    <w:rsid w:val="2B7439C3"/>
    <w:rsid w:val="2B7B5EBE"/>
    <w:rsid w:val="2B7C101E"/>
    <w:rsid w:val="2B8715D2"/>
    <w:rsid w:val="2B8EA4A5"/>
    <w:rsid w:val="2B92796C"/>
    <w:rsid w:val="2B968BB2"/>
    <w:rsid w:val="2BA9C01C"/>
    <w:rsid w:val="2BAC17A8"/>
    <w:rsid w:val="2BB87243"/>
    <w:rsid w:val="2BB8826F"/>
    <w:rsid w:val="2BC7BF90"/>
    <w:rsid w:val="2BCD8969"/>
    <w:rsid w:val="2BCDF416"/>
    <w:rsid w:val="2BF629B5"/>
    <w:rsid w:val="2BFE778F"/>
    <w:rsid w:val="2C010465"/>
    <w:rsid w:val="2C0B32EE"/>
    <w:rsid w:val="2C0B69E4"/>
    <w:rsid w:val="2C1E2DA7"/>
    <w:rsid w:val="2C1E9732"/>
    <w:rsid w:val="2C344C78"/>
    <w:rsid w:val="2C394612"/>
    <w:rsid w:val="2C4B0E85"/>
    <w:rsid w:val="2C5A48AB"/>
    <w:rsid w:val="2C5C0378"/>
    <w:rsid w:val="2C7094D5"/>
    <w:rsid w:val="2C7417B2"/>
    <w:rsid w:val="2C77C514"/>
    <w:rsid w:val="2C7A3BA9"/>
    <w:rsid w:val="2C7E740D"/>
    <w:rsid w:val="2C838EA9"/>
    <w:rsid w:val="2C94FD3C"/>
    <w:rsid w:val="2C970931"/>
    <w:rsid w:val="2CB01213"/>
    <w:rsid w:val="2CB0534E"/>
    <w:rsid w:val="2CB354A2"/>
    <w:rsid w:val="2CCA8392"/>
    <w:rsid w:val="2CEB1C57"/>
    <w:rsid w:val="2CF00E57"/>
    <w:rsid w:val="2CF0AEEE"/>
    <w:rsid w:val="2CF47830"/>
    <w:rsid w:val="2CFA4D78"/>
    <w:rsid w:val="2CFC86CA"/>
    <w:rsid w:val="2D05116E"/>
    <w:rsid w:val="2D082FE1"/>
    <w:rsid w:val="2D0A23D1"/>
    <w:rsid w:val="2D0DE604"/>
    <w:rsid w:val="2D1AEAF1"/>
    <w:rsid w:val="2D20CA5E"/>
    <w:rsid w:val="2D2A4EE6"/>
    <w:rsid w:val="2D2F35AF"/>
    <w:rsid w:val="2D33D59A"/>
    <w:rsid w:val="2D458799"/>
    <w:rsid w:val="2D593384"/>
    <w:rsid w:val="2D5AACFF"/>
    <w:rsid w:val="2D5B2687"/>
    <w:rsid w:val="2D5C813A"/>
    <w:rsid w:val="2D650A1F"/>
    <w:rsid w:val="2D6A55D4"/>
    <w:rsid w:val="2D72F0C1"/>
    <w:rsid w:val="2D76BBEC"/>
    <w:rsid w:val="2D772D98"/>
    <w:rsid w:val="2D8ADDFB"/>
    <w:rsid w:val="2D8E318C"/>
    <w:rsid w:val="2D98C363"/>
    <w:rsid w:val="2D9F06DA"/>
    <w:rsid w:val="2DA5E1B9"/>
    <w:rsid w:val="2DACC2D5"/>
    <w:rsid w:val="2DAE0329"/>
    <w:rsid w:val="2DAECF6A"/>
    <w:rsid w:val="2DAFBB6F"/>
    <w:rsid w:val="2DB294A3"/>
    <w:rsid w:val="2DD48B5F"/>
    <w:rsid w:val="2DDF0B10"/>
    <w:rsid w:val="2DE351A7"/>
    <w:rsid w:val="2DE9F1AC"/>
    <w:rsid w:val="2DEEF0F1"/>
    <w:rsid w:val="2DF6E6D9"/>
    <w:rsid w:val="2DF9BB9F"/>
    <w:rsid w:val="2E03F995"/>
    <w:rsid w:val="2E089F0C"/>
    <w:rsid w:val="2E0EDBF2"/>
    <w:rsid w:val="2E1D3EC3"/>
    <w:rsid w:val="2E21B84C"/>
    <w:rsid w:val="2E23C577"/>
    <w:rsid w:val="2E26C162"/>
    <w:rsid w:val="2E2B6B46"/>
    <w:rsid w:val="2E30A91D"/>
    <w:rsid w:val="2E310E84"/>
    <w:rsid w:val="2E36E3D2"/>
    <w:rsid w:val="2E3787D6"/>
    <w:rsid w:val="2E3E149C"/>
    <w:rsid w:val="2E4BD38F"/>
    <w:rsid w:val="2E4D98F4"/>
    <w:rsid w:val="2E510832"/>
    <w:rsid w:val="2E5A2E2C"/>
    <w:rsid w:val="2E627525"/>
    <w:rsid w:val="2E658C6E"/>
    <w:rsid w:val="2E745154"/>
    <w:rsid w:val="2E7AA3CB"/>
    <w:rsid w:val="2E91E621"/>
    <w:rsid w:val="2E95BEA7"/>
    <w:rsid w:val="2E9A5870"/>
    <w:rsid w:val="2E9BA15D"/>
    <w:rsid w:val="2EA94CEA"/>
    <w:rsid w:val="2EADD436"/>
    <w:rsid w:val="2EB48DA9"/>
    <w:rsid w:val="2EB623E4"/>
    <w:rsid w:val="2EB8A4E3"/>
    <w:rsid w:val="2ED6A5CC"/>
    <w:rsid w:val="2EDA9E23"/>
    <w:rsid w:val="2EDC6831"/>
    <w:rsid w:val="2EE0DF65"/>
    <w:rsid w:val="2EEE554C"/>
    <w:rsid w:val="2EEF41DF"/>
    <w:rsid w:val="2EF54E37"/>
    <w:rsid w:val="2EFC9A30"/>
    <w:rsid w:val="2F09D766"/>
    <w:rsid w:val="2F0FD4F1"/>
    <w:rsid w:val="2F258459"/>
    <w:rsid w:val="2F2BC5DC"/>
    <w:rsid w:val="2F4E5A14"/>
    <w:rsid w:val="2F673E1E"/>
    <w:rsid w:val="2F72674F"/>
    <w:rsid w:val="2F774CD5"/>
    <w:rsid w:val="2F8E3713"/>
    <w:rsid w:val="2F8F78C5"/>
    <w:rsid w:val="2FA8611A"/>
    <w:rsid w:val="2FAC56F8"/>
    <w:rsid w:val="2FC270F3"/>
    <w:rsid w:val="2FCD837E"/>
    <w:rsid w:val="2FCEB074"/>
    <w:rsid w:val="2FCF4FD9"/>
    <w:rsid w:val="2FDAB1CF"/>
    <w:rsid w:val="2FEA9CC3"/>
    <w:rsid w:val="2FF76CE8"/>
    <w:rsid w:val="2FFFE432"/>
    <w:rsid w:val="3016F954"/>
    <w:rsid w:val="302EAB77"/>
    <w:rsid w:val="303DC98F"/>
    <w:rsid w:val="30485D2E"/>
    <w:rsid w:val="3048DBF2"/>
    <w:rsid w:val="30507F2F"/>
    <w:rsid w:val="305BA5A2"/>
    <w:rsid w:val="306261E2"/>
    <w:rsid w:val="306321D3"/>
    <w:rsid w:val="30638CEB"/>
    <w:rsid w:val="30669030"/>
    <w:rsid w:val="3069DAB9"/>
    <w:rsid w:val="306E4DDA"/>
    <w:rsid w:val="30761161"/>
    <w:rsid w:val="307D1603"/>
    <w:rsid w:val="308897D9"/>
    <w:rsid w:val="3090B332"/>
    <w:rsid w:val="3090BD23"/>
    <w:rsid w:val="30980F42"/>
    <w:rsid w:val="30A9CB85"/>
    <w:rsid w:val="30A9D358"/>
    <w:rsid w:val="30C74261"/>
    <w:rsid w:val="30CAEC6F"/>
    <w:rsid w:val="30D6C194"/>
    <w:rsid w:val="30D9B8A0"/>
    <w:rsid w:val="31009EB7"/>
    <w:rsid w:val="310C1CBB"/>
    <w:rsid w:val="3117310C"/>
    <w:rsid w:val="3129FE34"/>
    <w:rsid w:val="312EA131"/>
    <w:rsid w:val="312ED794"/>
    <w:rsid w:val="3136B23C"/>
    <w:rsid w:val="3145B713"/>
    <w:rsid w:val="3145EA5A"/>
    <w:rsid w:val="314DA6E0"/>
    <w:rsid w:val="31501DB7"/>
    <w:rsid w:val="3155BD5A"/>
    <w:rsid w:val="317BB18F"/>
    <w:rsid w:val="317EDEE2"/>
    <w:rsid w:val="3184A3BC"/>
    <w:rsid w:val="31863C2F"/>
    <w:rsid w:val="31867852"/>
    <w:rsid w:val="318919C7"/>
    <w:rsid w:val="318C5996"/>
    <w:rsid w:val="319A06A5"/>
    <w:rsid w:val="31A46821"/>
    <w:rsid w:val="31ABF8E0"/>
    <w:rsid w:val="31C559D9"/>
    <w:rsid w:val="31D2EB34"/>
    <w:rsid w:val="31D3B609"/>
    <w:rsid w:val="31DD1CCC"/>
    <w:rsid w:val="31E40A99"/>
    <w:rsid w:val="31FA4306"/>
    <w:rsid w:val="32094948"/>
    <w:rsid w:val="320AB15B"/>
    <w:rsid w:val="3218977C"/>
    <w:rsid w:val="32194C45"/>
    <w:rsid w:val="321D9DFB"/>
    <w:rsid w:val="321E7002"/>
    <w:rsid w:val="321EE099"/>
    <w:rsid w:val="32243620"/>
    <w:rsid w:val="32243E82"/>
    <w:rsid w:val="322851C7"/>
    <w:rsid w:val="323BCC18"/>
    <w:rsid w:val="3241F8EC"/>
    <w:rsid w:val="32504F61"/>
    <w:rsid w:val="32527B6C"/>
    <w:rsid w:val="32558D4B"/>
    <w:rsid w:val="3268BFBB"/>
    <w:rsid w:val="32725728"/>
    <w:rsid w:val="32788A52"/>
    <w:rsid w:val="329EC22D"/>
    <w:rsid w:val="32AA7955"/>
    <w:rsid w:val="32B51A42"/>
    <w:rsid w:val="32BDA286"/>
    <w:rsid w:val="32BDA55D"/>
    <w:rsid w:val="32C6C407"/>
    <w:rsid w:val="32CB54D5"/>
    <w:rsid w:val="32CF79E8"/>
    <w:rsid w:val="32CFA8E0"/>
    <w:rsid w:val="32D10FE4"/>
    <w:rsid w:val="32DCAD36"/>
    <w:rsid w:val="32DD3958"/>
    <w:rsid w:val="32F48BEB"/>
    <w:rsid w:val="32FDE3BA"/>
    <w:rsid w:val="32FFD80F"/>
    <w:rsid w:val="3308F1E8"/>
    <w:rsid w:val="330D5182"/>
    <w:rsid w:val="3312C87B"/>
    <w:rsid w:val="332751A7"/>
    <w:rsid w:val="33290D25"/>
    <w:rsid w:val="3332D7D0"/>
    <w:rsid w:val="333A1918"/>
    <w:rsid w:val="3346E678"/>
    <w:rsid w:val="3349B329"/>
    <w:rsid w:val="3349E660"/>
    <w:rsid w:val="334D4099"/>
    <w:rsid w:val="336D55A8"/>
    <w:rsid w:val="33717326"/>
    <w:rsid w:val="337F9D4E"/>
    <w:rsid w:val="33A0844A"/>
    <w:rsid w:val="33AC93C1"/>
    <w:rsid w:val="33B44A39"/>
    <w:rsid w:val="33BF2727"/>
    <w:rsid w:val="33CC2D73"/>
    <w:rsid w:val="33CC4BB7"/>
    <w:rsid w:val="33D2722F"/>
    <w:rsid w:val="33DCEE99"/>
    <w:rsid w:val="33E13969"/>
    <w:rsid w:val="33F54326"/>
    <w:rsid w:val="3401DA05"/>
    <w:rsid w:val="3406635E"/>
    <w:rsid w:val="34090C1D"/>
    <w:rsid w:val="34138BBD"/>
    <w:rsid w:val="341AB2B4"/>
    <w:rsid w:val="34324B2A"/>
    <w:rsid w:val="343725DF"/>
    <w:rsid w:val="343EF61D"/>
    <w:rsid w:val="344572E1"/>
    <w:rsid w:val="344D4D46"/>
    <w:rsid w:val="344D592C"/>
    <w:rsid w:val="34553C33"/>
    <w:rsid w:val="3463618F"/>
    <w:rsid w:val="346A3308"/>
    <w:rsid w:val="3475045B"/>
    <w:rsid w:val="3475FA00"/>
    <w:rsid w:val="347C5DED"/>
    <w:rsid w:val="34821EB1"/>
    <w:rsid w:val="3484517A"/>
    <w:rsid w:val="3486FC5E"/>
    <w:rsid w:val="3487E238"/>
    <w:rsid w:val="349116B6"/>
    <w:rsid w:val="349130CC"/>
    <w:rsid w:val="34939005"/>
    <w:rsid w:val="34A4949D"/>
    <w:rsid w:val="34A4A216"/>
    <w:rsid w:val="34AA92C3"/>
    <w:rsid w:val="34BD8F3E"/>
    <w:rsid w:val="34BE425B"/>
    <w:rsid w:val="34DECAD3"/>
    <w:rsid w:val="34DF65BA"/>
    <w:rsid w:val="34F05CF2"/>
    <w:rsid w:val="34F844B2"/>
    <w:rsid w:val="34FD35FC"/>
    <w:rsid w:val="3500B78A"/>
    <w:rsid w:val="35036475"/>
    <w:rsid w:val="351384D1"/>
    <w:rsid w:val="35167288"/>
    <w:rsid w:val="351D1E51"/>
    <w:rsid w:val="352C8C56"/>
    <w:rsid w:val="353A9869"/>
    <w:rsid w:val="353B78F1"/>
    <w:rsid w:val="353BD96E"/>
    <w:rsid w:val="353BEAFC"/>
    <w:rsid w:val="353F1BE3"/>
    <w:rsid w:val="35407986"/>
    <w:rsid w:val="354C3742"/>
    <w:rsid w:val="354D7575"/>
    <w:rsid w:val="354F31E7"/>
    <w:rsid w:val="35610118"/>
    <w:rsid w:val="356F4802"/>
    <w:rsid w:val="356F9743"/>
    <w:rsid w:val="35718391"/>
    <w:rsid w:val="357AB951"/>
    <w:rsid w:val="357D875A"/>
    <w:rsid w:val="3588D818"/>
    <w:rsid w:val="3599969C"/>
    <w:rsid w:val="35C4B724"/>
    <w:rsid w:val="35D4F5DF"/>
    <w:rsid w:val="35D5B9D7"/>
    <w:rsid w:val="35E48351"/>
    <w:rsid w:val="35F67AFA"/>
    <w:rsid w:val="35F98448"/>
    <w:rsid w:val="35FCB739"/>
    <w:rsid w:val="35FCDED2"/>
    <w:rsid w:val="3601E38D"/>
    <w:rsid w:val="36029F21"/>
    <w:rsid w:val="36077330"/>
    <w:rsid w:val="360950B8"/>
    <w:rsid w:val="360F66CC"/>
    <w:rsid w:val="360F999D"/>
    <w:rsid w:val="3613ABC2"/>
    <w:rsid w:val="3624F1DD"/>
    <w:rsid w:val="3626B800"/>
    <w:rsid w:val="36304331"/>
    <w:rsid w:val="3632040D"/>
    <w:rsid w:val="36480712"/>
    <w:rsid w:val="364946D0"/>
    <w:rsid w:val="364CCB7B"/>
    <w:rsid w:val="364E96B4"/>
    <w:rsid w:val="3650414A"/>
    <w:rsid w:val="3665EB9A"/>
    <w:rsid w:val="366A5DD9"/>
    <w:rsid w:val="3676DE84"/>
    <w:rsid w:val="3679AF2A"/>
    <w:rsid w:val="367E4651"/>
    <w:rsid w:val="36815DB3"/>
    <w:rsid w:val="3699B2BE"/>
    <w:rsid w:val="36B3CD2F"/>
    <w:rsid w:val="36BE7789"/>
    <w:rsid w:val="36C32D5E"/>
    <w:rsid w:val="36D47088"/>
    <w:rsid w:val="36D85C6C"/>
    <w:rsid w:val="36DC63B5"/>
    <w:rsid w:val="36DD77CC"/>
    <w:rsid w:val="36E7B33F"/>
    <w:rsid w:val="36F2C5CC"/>
    <w:rsid w:val="37031D83"/>
    <w:rsid w:val="3716A9B2"/>
    <w:rsid w:val="3725C120"/>
    <w:rsid w:val="373400FA"/>
    <w:rsid w:val="3737AACB"/>
    <w:rsid w:val="373B954E"/>
    <w:rsid w:val="374164E2"/>
    <w:rsid w:val="3753DE74"/>
    <w:rsid w:val="3754E89E"/>
    <w:rsid w:val="375A81CC"/>
    <w:rsid w:val="37635DF8"/>
    <w:rsid w:val="378E0702"/>
    <w:rsid w:val="378FACA3"/>
    <w:rsid w:val="37A2D710"/>
    <w:rsid w:val="37A71A0E"/>
    <w:rsid w:val="37AB3046"/>
    <w:rsid w:val="37B9A3B7"/>
    <w:rsid w:val="37BA8509"/>
    <w:rsid w:val="37CC226A"/>
    <w:rsid w:val="37CDDDDA"/>
    <w:rsid w:val="37E0C994"/>
    <w:rsid w:val="37EB2637"/>
    <w:rsid w:val="380368D0"/>
    <w:rsid w:val="38041AAF"/>
    <w:rsid w:val="380F3024"/>
    <w:rsid w:val="38137713"/>
    <w:rsid w:val="381DF5A2"/>
    <w:rsid w:val="382813F6"/>
    <w:rsid w:val="382C380B"/>
    <w:rsid w:val="3830BF64"/>
    <w:rsid w:val="3849A8EA"/>
    <w:rsid w:val="385A9394"/>
    <w:rsid w:val="385C2C3B"/>
    <w:rsid w:val="38624333"/>
    <w:rsid w:val="386BCC50"/>
    <w:rsid w:val="386D543A"/>
    <w:rsid w:val="38777F3E"/>
    <w:rsid w:val="387FD0E5"/>
    <w:rsid w:val="38942CF4"/>
    <w:rsid w:val="38964B95"/>
    <w:rsid w:val="389722BD"/>
    <w:rsid w:val="389D350F"/>
    <w:rsid w:val="389E8845"/>
    <w:rsid w:val="38A73BA5"/>
    <w:rsid w:val="38ADBA0B"/>
    <w:rsid w:val="38B1FAA0"/>
    <w:rsid w:val="38B88F4A"/>
    <w:rsid w:val="38BF12ED"/>
    <w:rsid w:val="38BF31C0"/>
    <w:rsid w:val="38BFD9C6"/>
    <w:rsid w:val="38C44F35"/>
    <w:rsid w:val="38C4D6CC"/>
    <w:rsid w:val="38C57AF9"/>
    <w:rsid w:val="38D0E9DA"/>
    <w:rsid w:val="38DA583F"/>
    <w:rsid w:val="38DDB4AF"/>
    <w:rsid w:val="38E468B5"/>
    <w:rsid w:val="38EECBD9"/>
    <w:rsid w:val="39163A46"/>
    <w:rsid w:val="391999DB"/>
    <w:rsid w:val="3919E1E8"/>
    <w:rsid w:val="3924AFC8"/>
    <w:rsid w:val="39430990"/>
    <w:rsid w:val="396C9995"/>
    <w:rsid w:val="39733152"/>
    <w:rsid w:val="3973AE5A"/>
    <w:rsid w:val="39846B16"/>
    <w:rsid w:val="39924D50"/>
    <w:rsid w:val="39ABC8B4"/>
    <w:rsid w:val="39B4BB86"/>
    <w:rsid w:val="39B7A491"/>
    <w:rsid w:val="39B90ECE"/>
    <w:rsid w:val="39C4FE9B"/>
    <w:rsid w:val="39CFD64D"/>
    <w:rsid w:val="39D1180F"/>
    <w:rsid w:val="39D1B0AD"/>
    <w:rsid w:val="39DA11B9"/>
    <w:rsid w:val="39DB6D14"/>
    <w:rsid w:val="39E9362B"/>
    <w:rsid w:val="39F11ADD"/>
    <w:rsid w:val="39FAB450"/>
    <w:rsid w:val="3A0F434C"/>
    <w:rsid w:val="3A24B61E"/>
    <w:rsid w:val="3A33717A"/>
    <w:rsid w:val="3A457AD8"/>
    <w:rsid w:val="3A50DE95"/>
    <w:rsid w:val="3A513CAE"/>
    <w:rsid w:val="3A68FDA3"/>
    <w:rsid w:val="3A6A8DB7"/>
    <w:rsid w:val="3A709CBF"/>
    <w:rsid w:val="3A7F1FFA"/>
    <w:rsid w:val="3A81D0AE"/>
    <w:rsid w:val="3A84AE48"/>
    <w:rsid w:val="3A84DF4B"/>
    <w:rsid w:val="3A88E9D3"/>
    <w:rsid w:val="3A8FA1FD"/>
    <w:rsid w:val="3A941326"/>
    <w:rsid w:val="3A943048"/>
    <w:rsid w:val="3AA23262"/>
    <w:rsid w:val="3AA7ABC9"/>
    <w:rsid w:val="3AB52EB6"/>
    <w:rsid w:val="3AB939D1"/>
    <w:rsid w:val="3AC18584"/>
    <w:rsid w:val="3AC7BCF3"/>
    <w:rsid w:val="3ACC95F1"/>
    <w:rsid w:val="3AE1B580"/>
    <w:rsid w:val="3AE48454"/>
    <w:rsid w:val="3AF050FF"/>
    <w:rsid w:val="3AFEB891"/>
    <w:rsid w:val="3B09368A"/>
    <w:rsid w:val="3B0B2106"/>
    <w:rsid w:val="3B0C1F25"/>
    <w:rsid w:val="3B0EA2AF"/>
    <w:rsid w:val="3B11325D"/>
    <w:rsid w:val="3B1C828B"/>
    <w:rsid w:val="3B251464"/>
    <w:rsid w:val="3B2BA85D"/>
    <w:rsid w:val="3B2E9708"/>
    <w:rsid w:val="3B3A033B"/>
    <w:rsid w:val="3B4534AD"/>
    <w:rsid w:val="3B54C381"/>
    <w:rsid w:val="3B581ED6"/>
    <w:rsid w:val="3B5870C5"/>
    <w:rsid w:val="3B59C2D6"/>
    <w:rsid w:val="3B5CC9F6"/>
    <w:rsid w:val="3B72CAA7"/>
    <w:rsid w:val="3B8EBE2A"/>
    <w:rsid w:val="3B90EAE0"/>
    <w:rsid w:val="3B9B9CDF"/>
    <w:rsid w:val="3B9E65AC"/>
    <w:rsid w:val="3BA412FD"/>
    <w:rsid w:val="3BA6D954"/>
    <w:rsid w:val="3BCB9236"/>
    <w:rsid w:val="3BCDE358"/>
    <w:rsid w:val="3BE31E21"/>
    <w:rsid w:val="3BE33430"/>
    <w:rsid w:val="3BE5B69B"/>
    <w:rsid w:val="3C0E9C11"/>
    <w:rsid w:val="3C38BFBF"/>
    <w:rsid w:val="3C3991A7"/>
    <w:rsid w:val="3C405245"/>
    <w:rsid w:val="3C4C3EB4"/>
    <w:rsid w:val="3C4EE988"/>
    <w:rsid w:val="3C549069"/>
    <w:rsid w:val="3C55472D"/>
    <w:rsid w:val="3C61856B"/>
    <w:rsid w:val="3C61FB57"/>
    <w:rsid w:val="3C7488C8"/>
    <w:rsid w:val="3C7730C3"/>
    <w:rsid w:val="3C9B0256"/>
    <w:rsid w:val="3C9B5862"/>
    <w:rsid w:val="3CAF5D26"/>
    <w:rsid w:val="3CBD1C78"/>
    <w:rsid w:val="3CBF6E2E"/>
    <w:rsid w:val="3CC511C4"/>
    <w:rsid w:val="3CE03A15"/>
    <w:rsid w:val="3CE8356F"/>
    <w:rsid w:val="3CEF63C2"/>
    <w:rsid w:val="3CF1C210"/>
    <w:rsid w:val="3CF98E79"/>
    <w:rsid w:val="3D17D103"/>
    <w:rsid w:val="3D1BE53A"/>
    <w:rsid w:val="3D1DC505"/>
    <w:rsid w:val="3D242E25"/>
    <w:rsid w:val="3D2AD318"/>
    <w:rsid w:val="3D2DD5FB"/>
    <w:rsid w:val="3D31BB8A"/>
    <w:rsid w:val="3D3AE00E"/>
    <w:rsid w:val="3D43E696"/>
    <w:rsid w:val="3D53476E"/>
    <w:rsid w:val="3D55739F"/>
    <w:rsid w:val="3D579714"/>
    <w:rsid w:val="3D67D220"/>
    <w:rsid w:val="3D6A5F34"/>
    <w:rsid w:val="3D6C6D12"/>
    <w:rsid w:val="3D771865"/>
    <w:rsid w:val="3D813D16"/>
    <w:rsid w:val="3DAD502D"/>
    <w:rsid w:val="3DAE799B"/>
    <w:rsid w:val="3DB2DC57"/>
    <w:rsid w:val="3DBF5A54"/>
    <w:rsid w:val="3DC0549E"/>
    <w:rsid w:val="3DD5DF96"/>
    <w:rsid w:val="3DD8E1FA"/>
    <w:rsid w:val="3DDBC905"/>
    <w:rsid w:val="3DDE3718"/>
    <w:rsid w:val="3DE58B6E"/>
    <w:rsid w:val="3DF2B7D6"/>
    <w:rsid w:val="3E049259"/>
    <w:rsid w:val="3E0C788C"/>
    <w:rsid w:val="3E1E1EFA"/>
    <w:rsid w:val="3E265A1D"/>
    <w:rsid w:val="3E2C3CD2"/>
    <w:rsid w:val="3E2F32A7"/>
    <w:rsid w:val="3E3B1DBA"/>
    <w:rsid w:val="3E3F18E7"/>
    <w:rsid w:val="3E4A802B"/>
    <w:rsid w:val="3E5ECC60"/>
    <w:rsid w:val="3E617E55"/>
    <w:rsid w:val="3E692FF5"/>
    <w:rsid w:val="3E69D048"/>
    <w:rsid w:val="3E6DDF23"/>
    <w:rsid w:val="3E78B422"/>
    <w:rsid w:val="3E7E14D7"/>
    <w:rsid w:val="3E837F15"/>
    <w:rsid w:val="3E88C47A"/>
    <w:rsid w:val="3E89AADF"/>
    <w:rsid w:val="3E8B2436"/>
    <w:rsid w:val="3E9DA1BE"/>
    <w:rsid w:val="3E9E47A4"/>
    <w:rsid w:val="3EA7AB37"/>
    <w:rsid w:val="3EAA23BC"/>
    <w:rsid w:val="3EB2DEFC"/>
    <w:rsid w:val="3EC1232A"/>
    <w:rsid w:val="3EC1D8A8"/>
    <w:rsid w:val="3EC69AFC"/>
    <w:rsid w:val="3ECCAAC9"/>
    <w:rsid w:val="3ED75261"/>
    <w:rsid w:val="3EE5B052"/>
    <w:rsid w:val="3EED102E"/>
    <w:rsid w:val="3EFF7DBE"/>
    <w:rsid w:val="3F0CFD05"/>
    <w:rsid w:val="3F0D88C3"/>
    <w:rsid w:val="3F0F0D59"/>
    <w:rsid w:val="3F2A8211"/>
    <w:rsid w:val="3F2BF2D6"/>
    <w:rsid w:val="3F2CE0EA"/>
    <w:rsid w:val="3F3BE940"/>
    <w:rsid w:val="3F5AF603"/>
    <w:rsid w:val="3F5C04D5"/>
    <w:rsid w:val="3F5E99EE"/>
    <w:rsid w:val="3F7883FE"/>
    <w:rsid w:val="3F8C805E"/>
    <w:rsid w:val="3F941C14"/>
    <w:rsid w:val="3F9D71C5"/>
    <w:rsid w:val="3FB593C1"/>
    <w:rsid w:val="3FB6216F"/>
    <w:rsid w:val="3FCDE480"/>
    <w:rsid w:val="3FD78D60"/>
    <w:rsid w:val="3FDEA3A1"/>
    <w:rsid w:val="400D246B"/>
    <w:rsid w:val="4012C11C"/>
    <w:rsid w:val="4027F37B"/>
    <w:rsid w:val="4030F66A"/>
    <w:rsid w:val="403870E1"/>
    <w:rsid w:val="403A5580"/>
    <w:rsid w:val="403EDDED"/>
    <w:rsid w:val="40403208"/>
    <w:rsid w:val="4046D030"/>
    <w:rsid w:val="4047A08C"/>
    <w:rsid w:val="404B7416"/>
    <w:rsid w:val="40507496"/>
    <w:rsid w:val="40582B5E"/>
    <w:rsid w:val="405FCDDA"/>
    <w:rsid w:val="407008D0"/>
    <w:rsid w:val="407910C7"/>
    <w:rsid w:val="408B76A7"/>
    <w:rsid w:val="409D77B2"/>
    <w:rsid w:val="40A426C7"/>
    <w:rsid w:val="40B15F3B"/>
    <w:rsid w:val="40BC2221"/>
    <w:rsid w:val="40C466D1"/>
    <w:rsid w:val="40C6F083"/>
    <w:rsid w:val="40CA1114"/>
    <w:rsid w:val="40CBFEA4"/>
    <w:rsid w:val="40D1EB07"/>
    <w:rsid w:val="40E1D46F"/>
    <w:rsid w:val="40E483A6"/>
    <w:rsid w:val="40F3B6B6"/>
    <w:rsid w:val="40FEC869"/>
    <w:rsid w:val="412FC0C2"/>
    <w:rsid w:val="414BC554"/>
    <w:rsid w:val="414CBD07"/>
    <w:rsid w:val="41520F39"/>
    <w:rsid w:val="4155D9A7"/>
    <w:rsid w:val="4157C095"/>
    <w:rsid w:val="4166762C"/>
    <w:rsid w:val="416C43E5"/>
    <w:rsid w:val="417164A2"/>
    <w:rsid w:val="417DDE08"/>
    <w:rsid w:val="417E7F3A"/>
    <w:rsid w:val="417E897F"/>
    <w:rsid w:val="41804DF7"/>
    <w:rsid w:val="418598EA"/>
    <w:rsid w:val="41883DDB"/>
    <w:rsid w:val="41902A9C"/>
    <w:rsid w:val="4191B69E"/>
    <w:rsid w:val="41DB3D2B"/>
    <w:rsid w:val="41DF8313"/>
    <w:rsid w:val="41E3484C"/>
    <w:rsid w:val="41E68140"/>
    <w:rsid w:val="41FD768A"/>
    <w:rsid w:val="4201F49C"/>
    <w:rsid w:val="4203DCC3"/>
    <w:rsid w:val="4205A9CA"/>
    <w:rsid w:val="420E0E99"/>
    <w:rsid w:val="420ECD73"/>
    <w:rsid w:val="421085D7"/>
    <w:rsid w:val="42128788"/>
    <w:rsid w:val="42131732"/>
    <w:rsid w:val="4217337D"/>
    <w:rsid w:val="42173604"/>
    <w:rsid w:val="422FF533"/>
    <w:rsid w:val="4238A65D"/>
    <w:rsid w:val="423B86A2"/>
    <w:rsid w:val="42420579"/>
    <w:rsid w:val="4256823B"/>
    <w:rsid w:val="42617E07"/>
    <w:rsid w:val="4272B894"/>
    <w:rsid w:val="4288C80F"/>
    <w:rsid w:val="428ACAD1"/>
    <w:rsid w:val="42A0155C"/>
    <w:rsid w:val="42A0FFDA"/>
    <w:rsid w:val="42A93D1C"/>
    <w:rsid w:val="42BA3345"/>
    <w:rsid w:val="42D0B80F"/>
    <w:rsid w:val="42D615B6"/>
    <w:rsid w:val="42D818C3"/>
    <w:rsid w:val="42DB9B56"/>
    <w:rsid w:val="42E83D1B"/>
    <w:rsid w:val="42F8B7E0"/>
    <w:rsid w:val="42FCAD43"/>
    <w:rsid w:val="42FD60BA"/>
    <w:rsid w:val="4308212C"/>
    <w:rsid w:val="430FDF58"/>
    <w:rsid w:val="43233346"/>
    <w:rsid w:val="4329C26F"/>
    <w:rsid w:val="433A8874"/>
    <w:rsid w:val="43461099"/>
    <w:rsid w:val="434D4058"/>
    <w:rsid w:val="436382EA"/>
    <w:rsid w:val="43641880"/>
    <w:rsid w:val="43665F6C"/>
    <w:rsid w:val="436BEACC"/>
    <w:rsid w:val="43856A0B"/>
    <w:rsid w:val="438B3733"/>
    <w:rsid w:val="43994DF0"/>
    <w:rsid w:val="4399D8B8"/>
    <w:rsid w:val="43BD6F85"/>
    <w:rsid w:val="43C8838C"/>
    <w:rsid w:val="43EE31C4"/>
    <w:rsid w:val="43FC2B37"/>
    <w:rsid w:val="4401661B"/>
    <w:rsid w:val="440DA0CA"/>
    <w:rsid w:val="440EED52"/>
    <w:rsid w:val="441D87B4"/>
    <w:rsid w:val="44205A4C"/>
    <w:rsid w:val="44250B33"/>
    <w:rsid w:val="44290D15"/>
    <w:rsid w:val="4432949F"/>
    <w:rsid w:val="4434D79A"/>
    <w:rsid w:val="44359713"/>
    <w:rsid w:val="44382838"/>
    <w:rsid w:val="443A383A"/>
    <w:rsid w:val="443F87CE"/>
    <w:rsid w:val="444CE154"/>
    <w:rsid w:val="444DF177"/>
    <w:rsid w:val="44520F86"/>
    <w:rsid w:val="44593234"/>
    <w:rsid w:val="445AF1AC"/>
    <w:rsid w:val="44602389"/>
    <w:rsid w:val="4470C986"/>
    <w:rsid w:val="447239F1"/>
    <w:rsid w:val="4478FD3E"/>
    <w:rsid w:val="44798CA7"/>
    <w:rsid w:val="449524AB"/>
    <w:rsid w:val="44957B72"/>
    <w:rsid w:val="449976E5"/>
    <w:rsid w:val="44A20C2B"/>
    <w:rsid w:val="44A30458"/>
    <w:rsid w:val="44B818BC"/>
    <w:rsid w:val="44B83D0F"/>
    <w:rsid w:val="44BAFE18"/>
    <w:rsid w:val="44BB8E81"/>
    <w:rsid w:val="44C37DB2"/>
    <w:rsid w:val="44C4D658"/>
    <w:rsid w:val="44CC90B2"/>
    <w:rsid w:val="44CCEA50"/>
    <w:rsid w:val="44D574E6"/>
    <w:rsid w:val="44D75C91"/>
    <w:rsid w:val="44F4C0DE"/>
    <w:rsid w:val="44FD60A6"/>
    <w:rsid w:val="4502CA0E"/>
    <w:rsid w:val="4511C3F7"/>
    <w:rsid w:val="4518E318"/>
    <w:rsid w:val="45367FAD"/>
    <w:rsid w:val="4536C25A"/>
    <w:rsid w:val="4539EDA6"/>
    <w:rsid w:val="4542359B"/>
    <w:rsid w:val="455848A8"/>
    <w:rsid w:val="455CDE36"/>
    <w:rsid w:val="455FB346"/>
    <w:rsid w:val="45663B38"/>
    <w:rsid w:val="456950E1"/>
    <w:rsid w:val="457588D2"/>
    <w:rsid w:val="4577167B"/>
    <w:rsid w:val="457D2E17"/>
    <w:rsid w:val="458DF24B"/>
    <w:rsid w:val="45A392A0"/>
    <w:rsid w:val="45AFD411"/>
    <w:rsid w:val="45BB55E7"/>
    <w:rsid w:val="45CF30AB"/>
    <w:rsid w:val="45D72235"/>
    <w:rsid w:val="45F00EAA"/>
    <w:rsid w:val="45F1733C"/>
    <w:rsid w:val="4600530F"/>
    <w:rsid w:val="460F11BA"/>
    <w:rsid w:val="461521EE"/>
    <w:rsid w:val="461B6186"/>
    <w:rsid w:val="4629881B"/>
    <w:rsid w:val="4629D627"/>
    <w:rsid w:val="462A5157"/>
    <w:rsid w:val="462AA96A"/>
    <w:rsid w:val="462B470F"/>
    <w:rsid w:val="463BD3A0"/>
    <w:rsid w:val="46506FDD"/>
    <w:rsid w:val="465B6684"/>
    <w:rsid w:val="466667ED"/>
    <w:rsid w:val="466953B2"/>
    <w:rsid w:val="466A7471"/>
    <w:rsid w:val="466BF753"/>
    <w:rsid w:val="46706454"/>
    <w:rsid w:val="46900D6B"/>
    <w:rsid w:val="46C1D13D"/>
    <w:rsid w:val="46C26A0C"/>
    <w:rsid w:val="46D4B4EB"/>
    <w:rsid w:val="46EF3A57"/>
    <w:rsid w:val="46F106E7"/>
    <w:rsid w:val="470CC005"/>
    <w:rsid w:val="470D839B"/>
    <w:rsid w:val="4718EF9E"/>
    <w:rsid w:val="47294529"/>
    <w:rsid w:val="472EB0F1"/>
    <w:rsid w:val="472EFA80"/>
    <w:rsid w:val="472FA059"/>
    <w:rsid w:val="4731C711"/>
    <w:rsid w:val="4738BF97"/>
    <w:rsid w:val="4759715B"/>
    <w:rsid w:val="475DFFB0"/>
    <w:rsid w:val="476B0709"/>
    <w:rsid w:val="476CC533"/>
    <w:rsid w:val="476E79CE"/>
    <w:rsid w:val="4773BB7E"/>
    <w:rsid w:val="4775E64F"/>
    <w:rsid w:val="477867EB"/>
    <w:rsid w:val="477B4349"/>
    <w:rsid w:val="478160F3"/>
    <w:rsid w:val="47816206"/>
    <w:rsid w:val="4784AFC6"/>
    <w:rsid w:val="4789E6F7"/>
    <w:rsid w:val="478A23C2"/>
    <w:rsid w:val="478D4B1A"/>
    <w:rsid w:val="478E62C6"/>
    <w:rsid w:val="478F8012"/>
    <w:rsid w:val="479B1973"/>
    <w:rsid w:val="47A305EF"/>
    <w:rsid w:val="47BDAB59"/>
    <w:rsid w:val="47C2AD25"/>
    <w:rsid w:val="47C4D469"/>
    <w:rsid w:val="47CBAFE3"/>
    <w:rsid w:val="47D8FF76"/>
    <w:rsid w:val="47E2E931"/>
    <w:rsid w:val="47E58D76"/>
    <w:rsid w:val="47EFB8BE"/>
    <w:rsid w:val="47F5C5B7"/>
    <w:rsid w:val="48003DC2"/>
    <w:rsid w:val="480862F5"/>
    <w:rsid w:val="482F6668"/>
    <w:rsid w:val="48435021"/>
    <w:rsid w:val="4852D8B2"/>
    <w:rsid w:val="4856711C"/>
    <w:rsid w:val="485AC9E9"/>
    <w:rsid w:val="486AF8D5"/>
    <w:rsid w:val="4875B593"/>
    <w:rsid w:val="488B7F78"/>
    <w:rsid w:val="4892516B"/>
    <w:rsid w:val="48A1A9EB"/>
    <w:rsid w:val="48AA77BA"/>
    <w:rsid w:val="48B1DEDD"/>
    <w:rsid w:val="48BFE0D5"/>
    <w:rsid w:val="48CEC70F"/>
    <w:rsid w:val="48ED9CFA"/>
    <w:rsid w:val="48FF8FA1"/>
    <w:rsid w:val="4900ECFE"/>
    <w:rsid w:val="4901E277"/>
    <w:rsid w:val="49101294"/>
    <w:rsid w:val="4911B6F8"/>
    <w:rsid w:val="49131314"/>
    <w:rsid w:val="491C3A34"/>
    <w:rsid w:val="49255CEF"/>
    <w:rsid w:val="494A6C1A"/>
    <w:rsid w:val="494B7689"/>
    <w:rsid w:val="4952DE75"/>
    <w:rsid w:val="4966931C"/>
    <w:rsid w:val="4976B802"/>
    <w:rsid w:val="497A202A"/>
    <w:rsid w:val="497F0010"/>
    <w:rsid w:val="49901531"/>
    <w:rsid w:val="499B3EED"/>
    <w:rsid w:val="499D4C32"/>
    <w:rsid w:val="49B7776D"/>
    <w:rsid w:val="49BE0D3C"/>
    <w:rsid w:val="49BF56DD"/>
    <w:rsid w:val="49BF7DA2"/>
    <w:rsid w:val="49C82771"/>
    <w:rsid w:val="49DEE979"/>
    <w:rsid w:val="49E8BEEA"/>
    <w:rsid w:val="49EBFFB7"/>
    <w:rsid w:val="49EE03F2"/>
    <w:rsid w:val="4A027857"/>
    <w:rsid w:val="4A07F4D8"/>
    <w:rsid w:val="4A193AB4"/>
    <w:rsid w:val="4A2248AC"/>
    <w:rsid w:val="4A2B602A"/>
    <w:rsid w:val="4A324AB9"/>
    <w:rsid w:val="4A35CCFD"/>
    <w:rsid w:val="4A3D6CD4"/>
    <w:rsid w:val="4A41B9D9"/>
    <w:rsid w:val="4A61D229"/>
    <w:rsid w:val="4A653385"/>
    <w:rsid w:val="4A759EAC"/>
    <w:rsid w:val="4A772DCC"/>
    <w:rsid w:val="4A7819EB"/>
    <w:rsid w:val="4A8AB75B"/>
    <w:rsid w:val="4AA8BE7D"/>
    <w:rsid w:val="4AAA4A51"/>
    <w:rsid w:val="4AAE9808"/>
    <w:rsid w:val="4ADC16A3"/>
    <w:rsid w:val="4ADED0BB"/>
    <w:rsid w:val="4AECE5E5"/>
    <w:rsid w:val="4AF5E71C"/>
    <w:rsid w:val="4B06A680"/>
    <w:rsid w:val="4B2DCE91"/>
    <w:rsid w:val="4B32DF2F"/>
    <w:rsid w:val="4B3D8074"/>
    <w:rsid w:val="4B40CEF2"/>
    <w:rsid w:val="4B4D31DF"/>
    <w:rsid w:val="4B4E4C1D"/>
    <w:rsid w:val="4B642369"/>
    <w:rsid w:val="4B672091"/>
    <w:rsid w:val="4B6748C4"/>
    <w:rsid w:val="4B695BE8"/>
    <w:rsid w:val="4B7AB19A"/>
    <w:rsid w:val="4B89562A"/>
    <w:rsid w:val="4B89E318"/>
    <w:rsid w:val="4B8B31B0"/>
    <w:rsid w:val="4B9B4B4C"/>
    <w:rsid w:val="4BA20772"/>
    <w:rsid w:val="4BABAE07"/>
    <w:rsid w:val="4BC0D5E8"/>
    <w:rsid w:val="4BC8BBC2"/>
    <w:rsid w:val="4BED745F"/>
    <w:rsid w:val="4BF6AC0F"/>
    <w:rsid w:val="4BF6F33B"/>
    <w:rsid w:val="4BF794BD"/>
    <w:rsid w:val="4BFF9960"/>
    <w:rsid w:val="4C1E333F"/>
    <w:rsid w:val="4C282FFC"/>
    <w:rsid w:val="4C2E365C"/>
    <w:rsid w:val="4C2F733B"/>
    <w:rsid w:val="4C51205F"/>
    <w:rsid w:val="4C6761A4"/>
    <w:rsid w:val="4C786533"/>
    <w:rsid w:val="4C887E5A"/>
    <w:rsid w:val="4C8C7E2A"/>
    <w:rsid w:val="4C8DBBED"/>
    <w:rsid w:val="4C9008F5"/>
    <w:rsid w:val="4C9314EE"/>
    <w:rsid w:val="4C946D58"/>
    <w:rsid w:val="4C95600F"/>
    <w:rsid w:val="4C996FCF"/>
    <w:rsid w:val="4C9B30B5"/>
    <w:rsid w:val="4CA1FA39"/>
    <w:rsid w:val="4CABB64C"/>
    <w:rsid w:val="4CB1FEF1"/>
    <w:rsid w:val="4CD4A39F"/>
    <w:rsid w:val="4CE073F5"/>
    <w:rsid w:val="4CE4D0A4"/>
    <w:rsid w:val="4CF323D4"/>
    <w:rsid w:val="4D03BF23"/>
    <w:rsid w:val="4D12F8C2"/>
    <w:rsid w:val="4D166B66"/>
    <w:rsid w:val="4D28198B"/>
    <w:rsid w:val="4D32BB2F"/>
    <w:rsid w:val="4D3863C7"/>
    <w:rsid w:val="4D39F34D"/>
    <w:rsid w:val="4D40F72D"/>
    <w:rsid w:val="4D5B1872"/>
    <w:rsid w:val="4D6AAC10"/>
    <w:rsid w:val="4D772ABB"/>
    <w:rsid w:val="4D81CD27"/>
    <w:rsid w:val="4D8ACDB9"/>
    <w:rsid w:val="4D91D2F6"/>
    <w:rsid w:val="4D9D55CD"/>
    <w:rsid w:val="4D9EA059"/>
    <w:rsid w:val="4DA21489"/>
    <w:rsid w:val="4DA255A8"/>
    <w:rsid w:val="4DBA1AA1"/>
    <w:rsid w:val="4DC0A279"/>
    <w:rsid w:val="4DD16D32"/>
    <w:rsid w:val="4DDB0A91"/>
    <w:rsid w:val="4DEA1092"/>
    <w:rsid w:val="4DECA698"/>
    <w:rsid w:val="4DF0BC9C"/>
    <w:rsid w:val="4DF17605"/>
    <w:rsid w:val="4DF2F728"/>
    <w:rsid w:val="4E02ECE4"/>
    <w:rsid w:val="4E046ABE"/>
    <w:rsid w:val="4E09A11A"/>
    <w:rsid w:val="4E0DDC59"/>
    <w:rsid w:val="4E231A11"/>
    <w:rsid w:val="4E2D0C4F"/>
    <w:rsid w:val="4E2D34C7"/>
    <w:rsid w:val="4E31A60F"/>
    <w:rsid w:val="4E380793"/>
    <w:rsid w:val="4E3B3E4F"/>
    <w:rsid w:val="4E433C7C"/>
    <w:rsid w:val="4E4F8438"/>
    <w:rsid w:val="4E50F0DA"/>
    <w:rsid w:val="4E5C4C3B"/>
    <w:rsid w:val="4E66A958"/>
    <w:rsid w:val="4E69F075"/>
    <w:rsid w:val="4E7AC8D8"/>
    <w:rsid w:val="4E8F8757"/>
    <w:rsid w:val="4E9252B5"/>
    <w:rsid w:val="4E96FE8A"/>
    <w:rsid w:val="4EA44DB0"/>
    <w:rsid w:val="4EB17D8F"/>
    <w:rsid w:val="4EB582D1"/>
    <w:rsid w:val="4EB60FF5"/>
    <w:rsid w:val="4EBC7386"/>
    <w:rsid w:val="4ECC6BE0"/>
    <w:rsid w:val="4ECEC77A"/>
    <w:rsid w:val="4ED26CDC"/>
    <w:rsid w:val="4EEEB298"/>
    <w:rsid w:val="4EF70BD5"/>
    <w:rsid w:val="4F024F16"/>
    <w:rsid w:val="4F0A1285"/>
    <w:rsid w:val="4F0C40BD"/>
    <w:rsid w:val="4F0C79DC"/>
    <w:rsid w:val="4F15BEBF"/>
    <w:rsid w:val="4F1A652D"/>
    <w:rsid w:val="4F1B8249"/>
    <w:rsid w:val="4F286CBA"/>
    <w:rsid w:val="4F2BE007"/>
    <w:rsid w:val="4F2CA5CF"/>
    <w:rsid w:val="4F3BC1C8"/>
    <w:rsid w:val="4F3F4960"/>
    <w:rsid w:val="4F4B2E02"/>
    <w:rsid w:val="4F50A664"/>
    <w:rsid w:val="4F528732"/>
    <w:rsid w:val="4F55E8DE"/>
    <w:rsid w:val="4F5E8769"/>
    <w:rsid w:val="4F6820B2"/>
    <w:rsid w:val="4F76BC73"/>
    <w:rsid w:val="4F7855A9"/>
    <w:rsid w:val="4F801CD5"/>
    <w:rsid w:val="4F8F645E"/>
    <w:rsid w:val="4F99E759"/>
    <w:rsid w:val="4FA675C5"/>
    <w:rsid w:val="4FB6E85F"/>
    <w:rsid w:val="4FC1AA5B"/>
    <w:rsid w:val="4FDC44C7"/>
    <w:rsid w:val="4FDC59A9"/>
    <w:rsid w:val="4FE36CA3"/>
    <w:rsid w:val="4FEBD711"/>
    <w:rsid w:val="4FF2AE92"/>
    <w:rsid w:val="4FF70B81"/>
    <w:rsid w:val="5006D1C7"/>
    <w:rsid w:val="5016A12E"/>
    <w:rsid w:val="50178714"/>
    <w:rsid w:val="5018906C"/>
    <w:rsid w:val="50193A22"/>
    <w:rsid w:val="5019D251"/>
    <w:rsid w:val="50223E03"/>
    <w:rsid w:val="503CEBED"/>
    <w:rsid w:val="505272C4"/>
    <w:rsid w:val="505535E5"/>
    <w:rsid w:val="505CD32B"/>
    <w:rsid w:val="50653B3C"/>
    <w:rsid w:val="50660C1C"/>
    <w:rsid w:val="50690FA6"/>
    <w:rsid w:val="507E8EC8"/>
    <w:rsid w:val="508D798C"/>
    <w:rsid w:val="50918661"/>
    <w:rsid w:val="50927693"/>
    <w:rsid w:val="50991B39"/>
    <w:rsid w:val="50A0C72C"/>
    <w:rsid w:val="50B75B32"/>
    <w:rsid w:val="50B7F725"/>
    <w:rsid w:val="50C8373B"/>
    <w:rsid w:val="50D3E1D2"/>
    <w:rsid w:val="50DF1C2D"/>
    <w:rsid w:val="50E4C50A"/>
    <w:rsid w:val="50EA129D"/>
    <w:rsid w:val="50F3D99C"/>
    <w:rsid w:val="50FC69CB"/>
    <w:rsid w:val="5104B45D"/>
    <w:rsid w:val="510BC0BF"/>
    <w:rsid w:val="510DB366"/>
    <w:rsid w:val="5120962A"/>
    <w:rsid w:val="5129E9E2"/>
    <w:rsid w:val="513FD367"/>
    <w:rsid w:val="5147B7E4"/>
    <w:rsid w:val="514A4400"/>
    <w:rsid w:val="514EBDFC"/>
    <w:rsid w:val="51504AEA"/>
    <w:rsid w:val="51590EA3"/>
    <w:rsid w:val="5159F7BF"/>
    <w:rsid w:val="515A42A1"/>
    <w:rsid w:val="515BEFBE"/>
    <w:rsid w:val="51630084"/>
    <w:rsid w:val="516FFD48"/>
    <w:rsid w:val="5188A108"/>
    <w:rsid w:val="518B2FB1"/>
    <w:rsid w:val="51980044"/>
    <w:rsid w:val="51A1E360"/>
    <w:rsid w:val="51A7AAAB"/>
    <w:rsid w:val="51BD1552"/>
    <w:rsid w:val="51E372A3"/>
    <w:rsid w:val="51E60CFC"/>
    <w:rsid w:val="520A12F2"/>
    <w:rsid w:val="52124241"/>
    <w:rsid w:val="5227E639"/>
    <w:rsid w:val="522A69CB"/>
    <w:rsid w:val="5237C9E2"/>
    <w:rsid w:val="52418FFB"/>
    <w:rsid w:val="5242325B"/>
    <w:rsid w:val="52443DAB"/>
    <w:rsid w:val="52470538"/>
    <w:rsid w:val="524D1C35"/>
    <w:rsid w:val="524D63D8"/>
    <w:rsid w:val="525A0D5F"/>
    <w:rsid w:val="525AF3FE"/>
    <w:rsid w:val="525F1760"/>
    <w:rsid w:val="526D28DE"/>
    <w:rsid w:val="52764825"/>
    <w:rsid w:val="528469F0"/>
    <w:rsid w:val="528534DA"/>
    <w:rsid w:val="528E0CF0"/>
    <w:rsid w:val="529C5357"/>
    <w:rsid w:val="52A13780"/>
    <w:rsid w:val="52A2E84A"/>
    <w:rsid w:val="52B3FF10"/>
    <w:rsid w:val="52BA6155"/>
    <w:rsid w:val="52C228B8"/>
    <w:rsid w:val="52C55D7E"/>
    <w:rsid w:val="52D4E5AF"/>
    <w:rsid w:val="52DAF101"/>
    <w:rsid w:val="52E25904"/>
    <w:rsid w:val="52F23378"/>
    <w:rsid w:val="5313EE53"/>
    <w:rsid w:val="53250D7E"/>
    <w:rsid w:val="53302873"/>
    <w:rsid w:val="5331E624"/>
    <w:rsid w:val="53322E98"/>
    <w:rsid w:val="533263F1"/>
    <w:rsid w:val="53329B40"/>
    <w:rsid w:val="533B763F"/>
    <w:rsid w:val="534A4B3C"/>
    <w:rsid w:val="534B264C"/>
    <w:rsid w:val="534BAF7A"/>
    <w:rsid w:val="534FFF06"/>
    <w:rsid w:val="5355D691"/>
    <w:rsid w:val="535D879B"/>
    <w:rsid w:val="536E8DEA"/>
    <w:rsid w:val="5376EB3F"/>
    <w:rsid w:val="537B5675"/>
    <w:rsid w:val="5382D13E"/>
    <w:rsid w:val="5383887E"/>
    <w:rsid w:val="53B641B7"/>
    <w:rsid w:val="53B77C8B"/>
    <w:rsid w:val="53C5439A"/>
    <w:rsid w:val="53D11CBA"/>
    <w:rsid w:val="53E83C4F"/>
    <w:rsid w:val="53F68BE9"/>
    <w:rsid w:val="53F768E7"/>
    <w:rsid w:val="53FCF35E"/>
    <w:rsid w:val="5400875D"/>
    <w:rsid w:val="5410EC32"/>
    <w:rsid w:val="54215970"/>
    <w:rsid w:val="542D1022"/>
    <w:rsid w:val="5436F879"/>
    <w:rsid w:val="544699A1"/>
    <w:rsid w:val="544C3E63"/>
    <w:rsid w:val="545167E8"/>
    <w:rsid w:val="5452F26D"/>
    <w:rsid w:val="5466CC11"/>
    <w:rsid w:val="547139FC"/>
    <w:rsid w:val="5475A8F9"/>
    <w:rsid w:val="5479EBED"/>
    <w:rsid w:val="547AE84C"/>
    <w:rsid w:val="547C5680"/>
    <w:rsid w:val="547D07A0"/>
    <w:rsid w:val="548860C1"/>
    <w:rsid w:val="5489D84C"/>
    <w:rsid w:val="5496EF94"/>
    <w:rsid w:val="549AA987"/>
    <w:rsid w:val="54AABB5F"/>
    <w:rsid w:val="54ABD003"/>
    <w:rsid w:val="54B00300"/>
    <w:rsid w:val="54B7C901"/>
    <w:rsid w:val="54C41A4B"/>
    <w:rsid w:val="54C8FF6B"/>
    <w:rsid w:val="54CB6BF5"/>
    <w:rsid w:val="54F9E0C4"/>
    <w:rsid w:val="55069C91"/>
    <w:rsid w:val="5510F225"/>
    <w:rsid w:val="5514DE41"/>
    <w:rsid w:val="5520B1A4"/>
    <w:rsid w:val="5523CD97"/>
    <w:rsid w:val="5545A2C3"/>
    <w:rsid w:val="55539BE7"/>
    <w:rsid w:val="555F255A"/>
    <w:rsid w:val="5560FC11"/>
    <w:rsid w:val="556241AD"/>
    <w:rsid w:val="556322CC"/>
    <w:rsid w:val="55648E17"/>
    <w:rsid w:val="556CB634"/>
    <w:rsid w:val="55733430"/>
    <w:rsid w:val="557FE95E"/>
    <w:rsid w:val="558B24E2"/>
    <w:rsid w:val="5594B050"/>
    <w:rsid w:val="55953AD6"/>
    <w:rsid w:val="559E666A"/>
    <w:rsid w:val="55A50D40"/>
    <w:rsid w:val="55AB60FA"/>
    <w:rsid w:val="55BA4C70"/>
    <w:rsid w:val="55BD484A"/>
    <w:rsid w:val="55BDCF27"/>
    <w:rsid w:val="55C5ECCD"/>
    <w:rsid w:val="55CBB74E"/>
    <w:rsid w:val="55CE42BC"/>
    <w:rsid w:val="55D04079"/>
    <w:rsid w:val="55D645D5"/>
    <w:rsid w:val="55F87E39"/>
    <w:rsid w:val="55FAEEF3"/>
    <w:rsid w:val="5611B720"/>
    <w:rsid w:val="562124D0"/>
    <w:rsid w:val="56291A22"/>
    <w:rsid w:val="5647FD34"/>
    <w:rsid w:val="5650ED79"/>
    <w:rsid w:val="5652F534"/>
    <w:rsid w:val="565CA6C1"/>
    <w:rsid w:val="56798540"/>
    <w:rsid w:val="567E01D2"/>
    <w:rsid w:val="5687C996"/>
    <w:rsid w:val="56978164"/>
    <w:rsid w:val="5698E3CB"/>
    <w:rsid w:val="569ACCA5"/>
    <w:rsid w:val="569E774B"/>
    <w:rsid w:val="56AC249A"/>
    <w:rsid w:val="56B01B9B"/>
    <w:rsid w:val="56C0C869"/>
    <w:rsid w:val="56C29A42"/>
    <w:rsid w:val="56D30C8A"/>
    <w:rsid w:val="56F0AC89"/>
    <w:rsid w:val="56FB0E01"/>
    <w:rsid w:val="56FEDE5A"/>
    <w:rsid w:val="570A0405"/>
    <w:rsid w:val="5711DA81"/>
    <w:rsid w:val="572682CF"/>
    <w:rsid w:val="57284555"/>
    <w:rsid w:val="5746981C"/>
    <w:rsid w:val="57476E4A"/>
    <w:rsid w:val="574EF036"/>
    <w:rsid w:val="5769FBA6"/>
    <w:rsid w:val="576E0E9C"/>
    <w:rsid w:val="578A36F9"/>
    <w:rsid w:val="579090A6"/>
    <w:rsid w:val="579A2D64"/>
    <w:rsid w:val="57ACCC49"/>
    <w:rsid w:val="57C03271"/>
    <w:rsid w:val="57C5D15D"/>
    <w:rsid w:val="57CB23A3"/>
    <w:rsid w:val="57CC0A3F"/>
    <w:rsid w:val="57CF3053"/>
    <w:rsid w:val="57E03D75"/>
    <w:rsid w:val="57EA0226"/>
    <w:rsid w:val="57EA0A04"/>
    <w:rsid w:val="57ED6CD0"/>
    <w:rsid w:val="57EEBA95"/>
    <w:rsid w:val="57EFFB90"/>
    <w:rsid w:val="57FF8149"/>
    <w:rsid w:val="580223A0"/>
    <w:rsid w:val="58067E51"/>
    <w:rsid w:val="5818CF6D"/>
    <w:rsid w:val="58302E40"/>
    <w:rsid w:val="5831BC47"/>
    <w:rsid w:val="5839CAEE"/>
    <w:rsid w:val="584C9253"/>
    <w:rsid w:val="584FE73F"/>
    <w:rsid w:val="58531B1B"/>
    <w:rsid w:val="585353E1"/>
    <w:rsid w:val="58537632"/>
    <w:rsid w:val="5853B790"/>
    <w:rsid w:val="5857B65F"/>
    <w:rsid w:val="5861716A"/>
    <w:rsid w:val="5875C367"/>
    <w:rsid w:val="58A8B40B"/>
    <w:rsid w:val="58ABEEF5"/>
    <w:rsid w:val="58AFA0B0"/>
    <w:rsid w:val="58BC21BE"/>
    <w:rsid w:val="58C07BBB"/>
    <w:rsid w:val="58E683ED"/>
    <w:rsid w:val="58E8EC27"/>
    <w:rsid w:val="58F168D6"/>
    <w:rsid w:val="58FFF03F"/>
    <w:rsid w:val="59046C7C"/>
    <w:rsid w:val="59058193"/>
    <w:rsid w:val="590BC47C"/>
    <w:rsid w:val="591512B1"/>
    <w:rsid w:val="591E62E4"/>
    <w:rsid w:val="591FDA89"/>
    <w:rsid w:val="59228C7B"/>
    <w:rsid w:val="5923BA1E"/>
    <w:rsid w:val="5923BA9A"/>
    <w:rsid w:val="592F2810"/>
    <w:rsid w:val="5931D426"/>
    <w:rsid w:val="59464EDA"/>
    <w:rsid w:val="59487317"/>
    <w:rsid w:val="595460E8"/>
    <w:rsid w:val="596EFDC5"/>
    <w:rsid w:val="5970F439"/>
    <w:rsid w:val="598467D4"/>
    <w:rsid w:val="59898F98"/>
    <w:rsid w:val="598BB4DE"/>
    <w:rsid w:val="59933803"/>
    <w:rsid w:val="5996D970"/>
    <w:rsid w:val="599F9C0A"/>
    <w:rsid w:val="59A09197"/>
    <w:rsid w:val="59B86070"/>
    <w:rsid w:val="59D21956"/>
    <w:rsid w:val="59D44F7F"/>
    <w:rsid w:val="59F48861"/>
    <w:rsid w:val="59FA3FAC"/>
    <w:rsid w:val="5A0D94CA"/>
    <w:rsid w:val="5A1F3252"/>
    <w:rsid w:val="5A238E4A"/>
    <w:rsid w:val="5A2FCC7D"/>
    <w:rsid w:val="5A39A280"/>
    <w:rsid w:val="5A3D44ED"/>
    <w:rsid w:val="5A469552"/>
    <w:rsid w:val="5A47863C"/>
    <w:rsid w:val="5A51E274"/>
    <w:rsid w:val="5A5D622C"/>
    <w:rsid w:val="5A5EECBF"/>
    <w:rsid w:val="5A5FFD3E"/>
    <w:rsid w:val="5A63D760"/>
    <w:rsid w:val="5A651381"/>
    <w:rsid w:val="5A655545"/>
    <w:rsid w:val="5A65F63C"/>
    <w:rsid w:val="5A6A0D4A"/>
    <w:rsid w:val="5A6E140C"/>
    <w:rsid w:val="5A776E5A"/>
    <w:rsid w:val="5A7DD69A"/>
    <w:rsid w:val="5A7EAA95"/>
    <w:rsid w:val="5A7EDAF2"/>
    <w:rsid w:val="5A940D93"/>
    <w:rsid w:val="5A9E8AF6"/>
    <w:rsid w:val="5AA3F8CA"/>
    <w:rsid w:val="5AABE77C"/>
    <w:rsid w:val="5AB1ABD5"/>
    <w:rsid w:val="5AB2587F"/>
    <w:rsid w:val="5ABBF7E3"/>
    <w:rsid w:val="5AC3A2BD"/>
    <w:rsid w:val="5AC73AA9"/>
    <w:rsid w:val="5AD448E6"/>
    <w:rsid w:val="5AD939CF"/>
    <w:rsid w:val="5AE10BAD"/>
    <w:rsid w:val="5AFB3EAE"/>
    <w:rsid w:val="5B1E69B3"/>
    <w:rsid w:val="5B29648E"/>
    <w:rsid w:val="5B2DBE5B"/>
    <w:rsid w:val="5B2DCA5C"/>
    <w:rsid w:val="5B39EF73"/>
    <w:rsid w:val="5B535D87"/>
    <w:rsid w:val="5B536DBD"/>
    <w:rsid w:val="5B5957EC"/>
    <w:rsid w:val="5B75A39E"/>
    <w:rsid w:val="5B82C92A"/>
    <w:rsid w:val="5B8400D0"/>
    <w:rsid w:val="5B88E042"/>
    <w:rsid w:val="5B91FAB6"/>
    <w:rsid w:val="5BA75AC3"/>
    <w:rsid w:val="5BAFD6FF"/>
    <w:rsid w:val="5BBA27E5"/>
    <w:rsid w:val="5BBEBAE3"/>
    <w:rsid w:val="5BC0B703"/>
    <w:rsid w:val="5BCE99F9"/>
    <w:rsid w:val="5BDFE1AB"/>
    <w:rsid w:val="5BE34BEA"/>
    <w:rsid w:val="5BE93892"/>
    <w:rsid w:val="5BEA550D"/>
    <w:rsid w:val="5BF4E0E3"/>
    <w:rsid w:val="5BF7ABC2"/>
    <w:rsid w:val="5C0AB304"/>
    <w:rsid w:val="5C0C4BEB"/>
    <w:rsid w:val="5C1823CF"/>
    <w:rsid w:val="5C18F6B5"/>
    <w:rsid w:val="5C249E71"/>
    <w:rsid w:val="5C39B943"/>
    <w:rsid w:val="5C4D394A"/>
    <w:rsid w:val="5C50CF85"/>
    <w:rsid w:val="5C5FE984"/>
    <w:rsid w:val="5C6A344B"/>
    <w:rsid w:val="5C756AD4"/>
    <w:rsid w:val="5C884B2B"/>
    <w:rsid w:val="5C8874A5"/>
    <w:rsid w:val="5C8D9B68"/>
    <w:rsid w:val="5C8F4E6B"/>
    <w:rsid w:val="5C9A7270"/>
    <w:rsid w:val="5C9EB3DE"/>
    <w:rsid w:val="5CA55E73"/>
    <w:rsid w:val="5CB3D504"/>
    <w:rsid w:val="5CB3EB70"/>
    <w:rsid w:val="5CB9B1B4"/>
    <w:rsid w:val="5CBBADB2"/>
    <w:rsid w:val="5CC87496"/>
    <w:rsid w:val="5CD43896"/>
    <w:rsid w:val="5CD74100"/>
    <w:rsid w:val="5CDB7173"/>
    <w:rsid w:val="5CDC5E01"/>
    <w:rsid w:val="5CE0A3C8"/>
    <w:rsid w:val="5CE0ADAF"/>
    <w:rsid w:val="5CE0D076"/>
    <w:rsid w:val="5CE12033"/>
    <w:rsid w:val="5CE8E895"/>
    <w:rsid w:val="5D00A833"/>
    <w:rsid w:val="5D044DE6"/>
    <w:rsid w:val="5D06F5EE"/>
    <w:rsid w:val="5D0F86B6"/>
    <w:rsid w:val="5D161154"/>
    <w:rsid w:val="5D17568E"/>
    <w:rsid w:val="5D269DA1"/>
    <w:rsid w:val="5D279741"/>
    <w:rsid w:val="5D29856E"/>
    <w:rsid w:val="5D389551"/>
    <w:rsid w:val="5D3A86FF"/>
    <w:rsid w:val="5D426968"/>
    <w:rsid w:val="5D42A72C"/>
    <w:rsid w:val="5D44E8EB"/>
    <w:rsid w:val="5D687D38"/>
    <w:rsid w:val="5D6EC1B2"/>
    <w:rsid w:val="5DCBF3EB"/>
    <w:rsid w:val="5DD61814"/>
    <w:rsid w:val="5DE2CF76"/>
    <w:rsid w:val="5DE555CC"/>
    <w:rsid w:val="5DE6726A"/>
    <w:rsid w:val="5DF0FE23"/>
    <w:rsid w:val="5E00FB8F"/>
    <w:rsid w:val="5E02ADED"/>
    <w:rsid w:val="5E0A0228"/>
    <w:rsid w:val="5E14E7A5"/>
    <w:rsid w:val="5E152B3F"/>
    <w:rsid w:val="5E1F66CC"/>
    <w:rsid w:val="5E2008DC"/>
    <w:rsid w:val="5E201C3C"/>
    <w:rsid w:val="5E209DD1"/>
    <w:rsid w:val="5E27B2B9"/>
    <w:rsid w:val="5E2E92B3"/>
    <w:rsid w:val="5E43C01B"/>
    <w:rsid w:val="5E48BD23"/>
    <w:rsid w:val="5E57C9BE"/>
    <w:rsid w:val="5E590945"/>
    <w:rsid w:val="5E5943E3"/>
    <w:rsid w:val="5E6478D4"/>
    <w:rsid w:val="5E69C3AE"/>
    <w:rsid w:val="5E7C4180"/>
    <w:rsid w:val="5E8323C4"/>
    <w:rsid w:val="5E8C6443"/>
    <w:rsid w:val="5E957C52"/>
    <w:rsid w:val="5E99C520"/>
    <w:rsid w:val="5EA5DE4F"/>
    <w:rsid w:val="5EA87021"/>
    <w:rsid w:val="5EB11363"/>
    <w:rsid w:val="5EB2E237"/>
    <w:rsid w:val="5EB994B7"/>
    <w:rsid w:val="5EE1960A"/>
    <w:rsid w:val="5EEBE8E5"/>
    <w:rsid w:val="5EEC4EF9"/>
    <w:rsid w:val="5EF8CAA3"/>
    <w:rsid w:val="5EFE8A84"/>
    <w:rsid w:val="5F0DAEF6"/>
    <w:rsid w:val="5F1707DE"/>
    <w:rsid w:val="5F199A9D"/>
    <w:rsid w:val="5F280F91"/>
    <w:rsid w:val="5F2FC229"/>
    <w:rsid w:val="5F387804"/>
    <w:rsid w:val="5F457CDE"/>
    <w:rsid w:val="5F45F794"/>
    <w:rsid w:val="5F51FA09"/>
    <w:rsid w:val="5F6C4A4C"/>
    <w:rsid w:val="5F75B82F"/>
    <w:rsid w:val="5F776709"/>
    <w:rsid w:val="5F9892A4"/>
    <w:rsid w:val="5F991E31"/>
    <w:rsid w:val="5F9ED931"/>
    <w:rsid w:val="5FA1280D"/>
    <w:rsid w:val="5FA4B365"/>
    <w:rsid w:val="5FAE0EE4"/>
    <w:rsid w:val="5FB1B005"/>
    <w:rsid w:val="5FB70A31"/>
    <w:rsid w:val="5FB8D473"/>
    <w:rsid w:val="5FBBB573"/>
    <w:rsid w:val="5FBBC78F"/>
    <w:rsid w:val="5FC286B7"/>
    <w:rsid w:val="5FC62381"/>
    <w:rsid w:val="5FD61E05"/>
    <w:rsid w:val="5FD7EF70"/>
    <w:rsid w:val="5FE6CBE1"/>
    <w:rsid w:val="5FF43FBA"/>
    <w:rsid w:val="5FF4FC65"/>
    <w:rsid w:val="5FFB8E55"/>
    <w:rsid w:val="5FFB9C62"/>
    <w:rsid w:val="601538C7"/>
    <w:rsid w:val="60178A90"/>
    <w:rsid w:val="601D64C7"/>
    <w:rsid w:val="6025A3A6"/>
    <w:rsid w:val="603910B8"/>
    <w:rsid w:val="604411CD"/>
    <w:rsid w:val="60569404"/>
    <w:rsid w:val="6060D467"/>
    <w:rsid w:val="606AD47D"/>
    <w:rsid w:val="60944663"/>
    <w:rsid w:val="6099F225"/>
    <w:rsid w:val="60A099A4"/>
    <w:rsid w:val="60A0BF90"/>
    <w:rsid w:val="60BC6FA5"/>
    <w:rsid w:val="60C2A522"/>
    <w:rsid w:val="60C3673E"/>
    <w:rsid w:val="60CEA080"/>
    <w:rsid w:val="60DA8724"/>
    <w:rsid w:val="60DEA674"/>
    <w:rsid w:val="60E054FC"/>
    <w:rsid w:val="60E205AA"/>
    <w:rsid w:val="60E53EF1"/>
    <w:rsid w:val="60E6422D"/>
    <w:rsid w:val="60ED547F"/>
    <w:rsid w:val="60EE678B"/>
    <w:rsid w:val="6102BFD5"/>
    <w:rsid w:val="6105E306"/>
    <w:rsid w:val="61183C99"/>
    <w:rsid w:val="611DEC25"/>
    <w:rsid w:val="612938A9"/>
    <w:rsid w:val="61307149"/>
    <w:rsid w:val="6137B9F3"/>
    <w:rsid w:val="6141C21C"/>
    <w:rsid w:val="614E4EB7"/>
    <w:rsid w:val="615F5A5B"/>
    <w:rsid w:val="615FCB87"/>
    <w:rsid w:val="616BCAB3"/>
    <w:rsid w:val="616E5B81"/>
    <w:rsid w:val="61720EFA"/>
    <w:rsid w:val="617B0B80"/>
    <w:rsid w:val="617D1355"/>
    <w:rsid w:val="6187BB10"/>
    <w:rsid w:val="61910D39"/>
    <w:rsid w:val="6193543A"/>
    <w:rsid w:val="61A7EC92"/>
    <w:rsid w:val="61AF8F8A"/>
    <w:rsid w:val="61BD518B"/>
    <w:rsid w:val="61C910B8"/>
    <w:rsid w:val="61D826B7"/>
    <w:rsid w:val="61E46C93"/>
    <w:rsid w:val="61EBE166"/>
    <w:rsid w:val="61F12F89"/>
    <w:rsid w:val="61FA9D5D"/>
    <w:rsid w:val="620A1E99"/>
    <w:rsid w:val="620C4F77"/>
    <w:rsid w:val="62100FD7"/>
    <w:rsid w:val="62239A12"/>
    <w:rsid w:val="6227A82F"/>
    <w:rsid w:val="622DEF9D"/>
    <w:rsid w:val="62338F95"/>
    <w:rsid w:val="624B5228"/>
    <w:rsid w:val="624BD815"/>
    <w:rsid w:val="626ED868"/>
    <w:rsid w:val="6274AD6A"/>
    <w:rsid w:val="627B4C4C"/>
    <w:rsid w:val="627C2DF0"/>
    <w:rsid w:val="62854BE9"/>
    <w:rsid w:val="6296FB99"/>
    <w:rsid w:val="629D3DDF"/>
    <w:rsid w:val="62A447EB"/>
    <w:rsid w:val="62BFCFAF"/>
    <w:rsid w:val="62D5EA31"/>
    <w:rsid w:val="62E269E6"/>
    <w:rsid w:val="62E511AE"/>
    <w:rsid w:val="62EAEB30"/>
    <w:rsid w:val="62F5305B"/>
    <w:rsid w:val="63053AC0"/>
    <w:rsid w:val="63083DE0"/>
    <w:rsid w:val="630C55BA"/>
    <w:rsid w:val="63136115"/>
    <w:rsid w:val="632D76E5"/>
    <w:rsid w:val="6338DD00"/>
    <w:rsid w:val="633DE807"/>
    <w:rsid w:val="634EE713"/>
    <w:rsid w:val="634F1AEC"/>
    <w:rsid w:val="63537571"/>
    <w:rsid w:val="635E07CD"/>
    <w:rsid w:val="637113FD"/>
    <w:rsid w:val="63760FBF"/>
    <w:rsid w:val="6377533A"/>
    <w:rsid w:val="637914E1"/>
    <w:rsid w:val="63792321"/>
    <w:rsid w:val="6388401E"/>
    <w:rsid w:val="6397C367"/>
    <w:rsid w:val="63BBDDF8"/>
    <w:rsid w:val="63BF739F"/>
    <w:rsid w:val="63C6FE23"/>
    <w:rsid w:val="63E3DA89"/>
    <w:rsid w:val="63E7CCC2"/>
    <w:rsid w:val="63ED6C43"/>
    <w:rsid w:val="63F88D60"/>
    <w:rsid w:val="63FBF733"/>
    <w:rsid w:val="64039C20"/>
    <w:rsid w:val="640A2BB7"/>
    <w:rsid w:val="640E51A7"/>
    <w:rsid w:val="641C1A9B"/>
    <w:rsid w:val="642168CE"/>
    <w:rsid w:val="6423F213"/>
    <w:rsid w:val="6427F1D6"/>
    <w:rsid w:val="642ACE7E"/>
    <w:rsid w:val="64346384"/>
    <w:rsid w:val="6446120A"/>
    <w:rsid w:val="6458AC7F"/>
    <w:rsid w:val="645AD9A1"/>
    <w:rsid w:val="6481D452"/>
    <w:rsid w:val="6486D48E"/>
    <w:rsid w:val="64A7947C"/>
    <w:rsid w:val="64BEE1F4"/>
    <w:rsid w:val="64BF7327"/>
    <w:rsid w:val="64BF91A7"/>
    <w:rsid w:val="64C4950F"/>
    <w:rsid w:val="64E93579"/>
    <w:rsid w:val="64F2F728"/>
    <w:rsid w:val="64F34151"/>
    <w:rsid w:val="64F448B6"/>
    <w:rsid w:val="64F60ED3"/>
    <w:rsid w:val="64FCCA91"/>
    <w:rsid w:val="64FD257B"/>
    <w:rsid w:val="650EAD29"/>
    <w:rsid w:val="651137AE"/>
    <w:rsid w:val="651B8538"/>
    <w:rsid w:val="651E6CD8"/>
    <w:rsid w:val="6525ABEA"/>
    <w:rsid w:val="6535A18C"/>
    <w:rsid w:val="654ADA45"/>
    <w:rsid w:val="654CAE3C"/>
    <w:rsid w:val="6550B9D4"/>
    <w:rsid w:val="65513092"/>
    <w:rsid w:val="6554B30D"/>
    <w:rsid w:val="655CB25D"/>
    <w:rsid w:val="6561CA8F"/>
    <w:rsid w:val="65695B6E"/>
    <w:rsid w:val="6572C751"/>
    <w:rsid w:val="657420DE"/>
    <w:rsid w:val="6588A69F"/>
    <w:rsid w:val="65895039"/>
    <w:rsid w:val="658AC35E"/>
    <w:rsid w:val="658CCE39"/>
    <w:rsid w:val="658DB684"/>
    <w:rsid w:val="6592308C"/>
    <w:rsid w:val="659A6FBA"/>
    <w:rsid w:val="659C55BB"/>
    <w:rsid w:val="659D7D03"/>
    <w:rsid w:val="659D8F34"/>
    <w:rsid w:val="65A024AE"/>
    <w:rsid w:val="65A1E836"/>
    <w:rsid w:val="65A70FB7"/>
    <w:rsid w:val="65A71FA0"/>
    <w:rsid w:val="65A92FFB"/>
    <w:rsid w:val="65D04DBB"/>
    <w:rsid w:val="65D20352"/>
    <w:rsid w:val="65E08D9C"/>
    <w:rsid w:val="65E1A0AF"/>
    <w:rsid w:val="65E2D989"/>
    <w:rsid w:val="65F00450"/>
    <w:rsid w:val="65F4096D"/>
    <w:rsid w:val="6601E56F"/>
    <w:rsid w:val="660DDFE6"/>
    <w:rsid w:val="660E621B"/>
    <w:rsid w:val="66116BC3"/>
    <w:rsid w:val="6616F566"/>
    <w:rsid w:val="661846EA"/>
    <w:rsid w:val="661972BD"/>
    <w:rsid w:val="66326F5F"/>
    <w:rsid w:val="6638A26E"/>
    <w:rsid w:val="663BCAA0"/>
    <w:rsid w:val="663D40C7"/>
    <w:rsid w:val="664A636F"/>
    <w:rsid w:val="664FD0B0"/>
    <w:rsid w:val="666E22F9"/>
    <w:rsid w:val="666F5C7C"/>
    <w:rsid w:val="6672E439"/>
    <w:rsid w:val="667C95D8"/>
    <w:rsid w:val="669CEE7A"/>
    <w:rsid w:val="66A3D181"/>
    <w:rsid w:val="66A959BD"/>
    <w:rsid w:val="66BDC171"/>
    <w:rsid w:val="66C1FA57"/>
    <w:rsid w:val="66C63B3E"/>
    <w:rsid w:val="66C64E89"/>
    <w:rsid w:val="66D3E6F1"/>
    <w:rsid w:val="66EB5BDA"/>
    <w:rsid w:val="66F393CD"/>
    <w:rsid w:val="66FD23F3"/>
    <w:rsid w:val="670A7A77"/>
    <w:rsid w:val="672B48D6"/>
    <w:rsid w:val="673570F9"/>
    <w:rsid w:val="6736BF17"/>
    <w:rsid w:val="673A5278"/>
    <w:rsid w:val="673BBAC9"/>
    <w:rsid w:val="673BEEDA"/>
    <w:rsid w:val="6740E356"/>
    <w:rsid w:val="675F5130"/>
    <w:rsid w:val="676371B5"/>
    <w:rsid w:val="676EBB8D"/>
    <w:rsid w:val="6783EBBC"/>
    <w:rsid w:val="67930653"/>
    <w:rsid w:val="679B240B"/>
    <w:rsid w:val="67A4A4BF"/>
    <w:rsid w:val="67A85844"/>
    <w:rsid w:val="67AF3B94"/>
    <w:rsid w:val="67B2E0BD"/>
    <w:rsid w:val="67B94A4B"/>
    <w:rsid w:val="67BAD456"/>
    <w:rsid w:val="67C1A442"/>
    <w:rsid w:val="67C5BFA9"/>
    <w:rsid w:val="67DF7A32"/>
    <w:rsid w:val="67E9F614"/>
    <w:rsid w:val="67F2DA97"/>
    <w:rsid w:val="67F47A2B"/>
    <w:rsid w:val="68074F74"/>
    <w:rsid w:val="680881DE"/>
    <w:rsid w:val="68141AFA"/>
    <w:rsid w:val="6815C570"/>
    <w:rsid w:val="6817D84E"/>
    <w:rsid w:val="68194494"/>
    <w:rsid w:val="681A5BFF"/>
    <w:rsid w:val="6844177F"/>
    <w:rsid w:val="684E1697"/>
    <w:rsid w:val="685F62EE"/>
    <w:rsid w:val="6861F838"/>
    <w:rsid w:val="6883F08C"/>
    <w:rsid w:val="6884054C"/>
    <w:rsid w:val="6886B4C2"/>
    <w:rsid w:val="6897E306"/>
    <w:rsid w:val="68ABE13D"/>
    <w:rsid w:val="68AFD15B"/>
    <w:rsid w:val="68B5214B"/>
    <w:rsid w:val="68C58E5E"/>
    <w:rsid w:val="68DC9479"/>
    <w:rsid w:val="68E17B2C"/>
    <w:rsid w:val="68FF8777"/>
    <w:rsid w:val="6901231F"/>
    <w:rsid w:val="6903EB8C"/>
    <w:rsid w:val="69040582"/>
    <w:rsid w:val="69272316"/>
    <w:rsid w:val="693FC2D9"/>
    <w:rsid w:val="6942F507"/>
    <w:rsid w:val="694C00D2"/>
    <w:rsid w:val="694E72D5"/>
    <w:rsid w:val="696CF916"/>
    <w:rsid w:val="696E6528"/>
    <w:rsid w:val="6983EB20"/>
    <w:rsid w:val="698A69CA"/>
    <w:rsid w:val="69ACE09B"/>
    <w:rsid w:val="69AD7EE9"/>
    <w:rsid w:val="69B9C94F"/>
    <w:rsid w:val="69BAE158"/>
    <w:rsid w:val="69BC62A7"/>
    <w:rsid w:val="69C1FAFC"/>
    <w:rsid w:val="69CA442E"/>
    <w:rsid w:val="69F9BEFC"/>
    <w:rsid w:val="6A0AEFE8"/>
    <w:rsid w:val="6A0F5F27"/>
    <w:rsid w:val="6A21BAA7"/>
    <w:rsid w:val="6A242B7A"/>
    <w:rsid w:val="6A28EB7B"/>
    <w:rsid w:val="6A2C8075"/>
    <w:rsid w:val="6A2CFC22"/>
    <w:rsid w:val="6A357E4E"/>
    <w:rsid w:val="6A372081"/>
    <w:rsid w:val="6A3CD210"/>
    <w:rsid w:val="6A4B8771"/>
    <w:rsid w:val="6A4BA7E4"/>
    <w:rsid w:val="6A4F42BE"/>
    <w:rsid w:val="6A58BB47"/>
    <w:rsid w:val="6A5FB3F9"/>
    <w:rsid w:val="6A60A44F"/>
    <w:rsid w:val="6A731C2C"/>
    <w:rsid w:val="6A838F10"/>
    <w:rsid w:val="6A87B836"/>
    <w:rsid w:val="6A89A6B6"/>
    <w:rsid w:val="6A9F5530"/>
    <w:rsid w:val="6AAF1114"/>
    <w:rsid w:val="6AAF89A2"/>
    <w:rsid w:val="6AB7A02C"/>
    <w:rsid w:val="6ABF666B"/>
    <w:rsid w:val="6AC8C28F"/>
    <w:rsid w:val="6ADAD1B6"/>
    <w:rsid w:val="6ADE7CC7"/>
    <w:rsid w:val="6AEB3EEA"/>
    <w:rsid w:val="6B0099A9"/>
    <w:rsid w:val="6B0E739C"/>
    <w:rsid w:val="6B2DCA98"/>
    <w:rsid w:val="6B39F828"/>
    <w:rsid w:val="6B3E33CD"/>
    <w:rsid w:val="6B4AD0F4"/>
    <w:rsid w:val="6B502D4D"/>
    <w:rsid w:val="6B5A5F68"/>
    <w:rsid w:val="6B70BE5F"/>
    <w:rsid w:val="6B724F2B"/>
    <w:rsid w:val="6B73EEB5"/>
    <w:rsid w:val="6B7E3D76"/>
    <w:rsid w:val="6B819706"/>
    <w:rsid w:val="6B9BC396"/>
    <w:rsid w:val="6BA9C1A3"/>
    <w:rsid w:val="6BC03FB0"/>
    <w:rsid w:val="6BC82256"/>
    <w:rsid w:val="6BD4B149"/>
    <w:rsid w:val="6BD9C8EF"/>
    <w:rsid w:val="6BDCF288"/>
    <w:rsid w:val="6BFC2FA5"/>
    <w:rsid w:val="6BFD65D6"/>
    <w:rsid w:val="6C0328F7"/>
    <w:rsid w:val="6C177C2E"/>
    <w:rsid w:val="6C1D6D68"/>
    <w:rsid w:val="6C2341F6"/>
    <w:rsid w:val="6C27C0A1"/>
    <w:rsid w:val="6C2AAE14"/>
    <w:rsid w:val="6C34342E"/>
    <w:rsid w:val="6C3F081D"/>
    <w:rsid w:val="6C3FFBE1"/>
    <w:rsid w:val="6C46DA50"/>
    <w:rsid w:val="6C5176C9"/>
    <w:rsid w:val="6C531AE7"/>
    <w:rsid w:val="6C5D8E17"/>
    <w:rsid w:val="6C5DD9CF"/>
    <w:rsid w:val="6C628230"/>
    <w:rsid w:val="6C62BBF1"/>
    <w:rsid w:val="6C639B2E"/>
    <w:rsid w:val="6C69AA61"/>
    <w:rsid w:val="6C6DD8B3"/>
    <w:rsid w:val="6C6F427D"/>
    <w:rsid w:val="6C74C8D6"/>
    <w:rsid w:val="6C7CE4A9"/>
    <w:rsid w:val="6C8EDD05"/>
    <w:rsid w:val="6C988FDB"/>
    <w:rsid w:val="6CA1AE98"/>
    <w:rsid w:val="6CB9B6DB"/>
    <w:rsid w:val="6CF0500C"/>
    <w:rsid w:val="6CF1A71F"/>
    <w:rsid w:val="6D039364"/>
    <w:rsid w:val="6D03E062"/>
    <w:rsid w:val="6D047DEB"/>
    <w:rsid w:val="6D07BD40"/>
    <w:rsid w:val="6D22963C"/>
    <w:rsid w:val="6D2A5953"/>
    <w:rsid w:val="6D2A74A6"/>
    <w:rsid w:val="6D3D0459"/>
    <w:rsid w:val="6D413A8F"/>
    <w:rsid w:val="6D4A5530"/>
    <w:rsid w:val="6D4B2A6D"/>
    <w:rsid w:val="6D4E4563"/>
    <w:rsid w:val="6D5E335F"/>
    <w:rsid w:val="6D5F965F"/>
    <w:rsid w:val="6D72B666"/>
    <w:rsid w:val="6D7432D4"/>
    <w:rsid w:val="6D7947E3"/>
    <w:rsid w:val="6D7B1DED"/>
    <w:rsid w:val="6D82BDE8"/>
    <w:rsid w:val="6D8AA49A"/>
    <w:rsid w:val="6D94471F"/>
    <w:rsid w:val="6D9DF0E7"/>
    <w:rsid w:val="6DA23E31"/>
    <w:rsid w:val="6DAF00B6"/>
    <w:rsid w:val="6DB0CAFB"/>
    <w:rsid w:val="6DC14265"/>
    <w:rsid w:val="6DC27BD8"/>
    <w:rsid w:val="6DC4EB42"/>
    <w:rsid w:val="6DDF567B"/>
    <w:rsid w:val="6DE2658B"/>
    <w:rsid w:val="6DED3824"/>
    <w:rsid w:val="6DF61B62"/>
    <w:rsid w:val="6DF84AF8"/>
    <w:rsid w:val="6DF8724A"/>
    <w:rsid w:val="6DFB0BCA"/>
    <w:rsid w:val="6E1E4008"/>
    <w:rsid w:val="6E1F99C8"/>
    <w:rsid w:val="6E2120D6"/>
    <w:rsid w:val="6E2C0F47"/>
    <w:rsid w:val="6E311608"/>
    <w:rsid w:val="6E3D21B1"/>
    <w:rsid w:val="6E4DAA54"/>
    <w:rsid w:val="6E58FC07"/>
    <w:rsid w:val="6E5A23E8"/>
    <w:rsid w:val="6E68D2B1"/>
    <w:rsid w:val="6E697B65"/>
    <w:rsid w:val="6E78E16A"/>
    <w:rsid w:val="6E7CD4ED"/>
    <w:rsid w:val="6E825725"/>
    <w:rsid w:val="6E84EDD8"/>
    <w:rsid w:val="6E8826EE"/>
    <w:rsid w:val="6E95843E"/>
    <w:rsid w:val="6EAC076F"/>
    <w:rsid w:val="6EAF1CAF"/>
    <w:rsid w:val="6EBED05B"/>
    <w:rsid w:val="6EC0E7F9"/>
    <w:rsid w:val="6EC18854"/>
    <w:rsid w:val="6EC86EC8"/>
    <w:rsid w:val="6ED4F980"/>
    <w:rsid w:val="6ED63677"/>
    <w:rsid w:val="6EDA1A93"/>
    <w:rsid w:val="6EDE445C"/>
    <w:rsid w:val="6EE42DBE"/>
    <w:rsid w:val="6EE47916"/>
    <w:rsid w:val="6EE85DA6"/>
    <w:rsid w:val="6F009241"/>
    <w:rsid w:val="6F0B9834"/>
    <w:rsid w:val="6F0BFEA7"/>
    <w:rsid w:val="6F30B88E"/>
    <w:rsid w:val="6F3558E2"/>
    <w:rsid w:val="6F41A6C0"/>
    <w:rsid w:val="6F6BFA0B"/>
    <w:rsid w:val="6F74BB77"/>
    <w:rsid w:val="6F779AA0"/>
    <w:rsid w:val="6F90D2E2"/>
    <w:rsid w:val="6FA0F60D"/>
    <w:rsid w:val="6FA15D7E"/>
    <w:rsid w:val="6FA33DF4"/>
    <w:rsid w:val="6FAA8092"/>
    <w:rsid w:val="6FAC38D0"/>
    <w:rsid w:val="6FAE8527"/>
    <w:rsid w:val="6FAF28EB"/>
    <w:rsid w:val="6FB20A51"/>
    <w:rsid w:val="6FB37A6C"/>
    <w:rsid w:val="6FB7CF41"/>
    <w:rsid w:val="6FB915B7"/>
    <w:rsid w:val="6FBE4708"/>
    <w:rsid w:val="6FD99367"/>
    <w:rsid w:val="6FE226E0"/>
    <w:rsid w:val="6FE909AB"/>
    <w:rsid w:val="6FEB25BA"/>
    <w:rsid w:val="6FEEAACA"/>
    <w:rsid w:val="6FF0C298"/>
    <w:rsid w:val="6FFBE0A5"/>
    <w:rsid w:val="6FFCE3D2"/>
    <w:rsid w:val="6FFD39D1"/>
    <w:rsid w:val="6FFDA0F5"/>
    <w:rsid w:val="7000EC3A"/>
    <w:rsid w:val="7001592A"/>
    <w:rsid w:val="7002D01B"/>
    <w:rsid w:val="7026AEB2"/>
    <w:rsid w:val="7037E367"/>
    <w:rsid w:val="70395CD9"/>
    <w:rsid w:val="705B7E48"/>
    <w:rsid w:val="70679C86"/>
    <w:rsid w:val="70987C5E"/>
    <w:rsid w:val="70A62E57"/>
    <w:rsid w:val="70AA6E94"/>
    <w:rsid w:val="70B6D00B"/>
    <w:rsid w:val="70C09BBA"/>
    <w:rsid w:val="70D1ACFF"/>
    <w:rsid w:val="70D3DC5E"/>
    <w:rsid w:val="70E1796C"/>
    <w:rsid w:val="70E41A16"/>
    <w:rsid w:val="70EF477A"/>
    <w:rsid w:val="70F94448"/>
    <w:rsid w:val="70FC9809"/>
    <w:rsid w:val="710ED540"/>
    <w:rsid w:val="711B440F"/>
    <w:rsid w:val="711FBDBC"/>
    <w:rsid w:val="7123A394"/>
    <w:rsid w:val="7123B99D"/>
    <w:rsid w:val="712634EC"/>
    <w:rsid w:val="7126B926"/>
    <w:rsid w:val="71273793"/>
    <w:rsid w:val="71316A61"/>
    <w:rsid w:val="71380724"/>
    <w:rsid w:val="713DB683"/>
    <w:rsid w:val="7160160C"/>
    <w:rsid w:val="7170EDF9"/>
    <w:rsid w:val="717BEF42"/>
    <w:rsid w:val="717CDA19"/>
    <w:rsid w:val="717F5AF1"/>
    <w:rsid w:val="71859CEE"/>
    <w:rsid w:val="718BD7BC"/>
    <w:rsid w:val="71A3B483"/>
    <w:rsid w:val="71A4DBD4"/>
    <w:rsid w:val="71ABCC57"/>
    <w:rsid w:val="71B1EA3D"/>
    <w:rsid w:val="71B92B1B"/>
    <w:rsid w:val="71CED2AA"/>
    <w:rsid w:val="71D3137D"/>
    <w:rsid w:val="71EF011A"/>
    <w:rsid w:val="71F07215"/>
    <w:rsid w:val="71FAA0D5"/>
    <w:rsid w:val="71FFFC59"/>
    <w:rsid w:val="721B880C"/>
    <w:rsid w:val="7230FAC3"/>
    <w:rsid w:val="724BCDF9"/>
    <w:rsid w:val="724D71E5"/>
    <w:rsid w:val="725034A4"/>
    <w:rsid w:val="7252E3BF"/>
    <w:rsid w:val="725A7895"/>
    <w:rsid w:val="72635803"/>
    <w:rsid w:val="72686607"/>
    <w:rsid w:val="726CB016"/>
    <w:rsid w:val="727EE9E6"/>
    <w:rsid w:val="7285FB33"/>
    <w:rsid w:val="729605A0"/>
    <w:rsid w:val="72A913BB"/>
    <w:rsid w:val="72AB7AB6"/>
    <w:rsid w:val="72BCE2C6"/>
    <w:rsid w:val="72BE6CC8"/>
    <w:rsid w:val="72CCDB24"/>
    <w:rsid w:val="72D7846C"/>
    <w:rsid w:val="73172174"/>
    <w:rsid w:val="7320C938"/>
    <w:rsid w:val="732D098F"/>
    <w:rsid w:val="734E4F67"/>
    <w:rsid w:val="7352656F"/>
    <w:rsid w:val="7353AAD3"/>
    <w:rsid w:val="7369C288"/>
    <w:rsid w:val="73845765"/>
    <w:rsid w:val="7391A5AA"/>
    <w:rsid w:val="739F7C84"/>
    <w:rsid w:val="73AC73B1"/>
    <w:rsid w:val="73C82FED"/>
    <w:rsid w:val="73C8EE08"/>
    <w:rsid w:val="73CD4C7E"/>
    <w:rsid w:val="73E5516F"/>
    <w:rsid w:val="73E6593D"/>
    <w:rsid w:val="73FD4075"/>
    <w:rsid w:val="7417AD8D"/>
    <w:rsid w:val="74200F4C"/>
    <w:rsid w:val="7426A5F1"/>
    <w:rsid w:val="742BE5EF"/>
    <w:rsid w:val="74371A35"/>
    <w:rsid w:val="744139B0"/>
    <w:rsid w:val="7452D8A3"/>
    <w:rsid w:val="745D11BC"/>
    <w:rsid w:val="74667A68"/>
    <w:rsid w:val="7473B7D0"/>
    <w:rsid w:val="747ADF2A"/>
    <w:rsid w:val="747CFCF5"/>
    <w:rsid w:val="747FB241"/>
    <w:rsid w:val="748F25FF"/>
    <w:rsid w:val="7491527B"/>
    <w:rsid w:val="7493405D"/>
    <w:rsid w:val="749BC930"/>
    <w:rsid w:val="74A04D88"/>
    <w:rsid w:val="74A1EF6F"/>
    <w:rsid w:val="74A725C0"/>
    <w:rsid w:val="74AE751D"/>
    <w:rsid w:val="74C24C6F"/>
    <w:rsid w:val="74C39578"/>
    <w:rsid w:val="74C51E4B"/>
    <w:rsid w:val="74CD0657"/>
    <w:rsid w:val="74D67157"/>
    <w:rsid w:val="74DC4A42"/>
    <w:rsid w:val="74F3EC7C"/>
    <w:rsid w:val="74F5FCE5"/>
    <w:rsid w:val="74F93574"/>
    <w:rsid w:val="74FE7F8A"/>
    <w:rsid w:val="750B5570"/>
    <w:rsid w:val="750EF32C"/>
    <w:rsid w:val="7514BD0E"/>
    <w:rsid w:val="7515E00C"/>
    <w:rsid w:val="751E320D"/>
    <w:rsid w:val="751FC49A"/>
    <w:rsid w:val="75244DDC"/>
    <w:rsid w:val="752E725A"/>
    <w:rsid w:val="753D2E8A"/>
    <w:rsid w:val="753DA18F"/>
    <w:rsid w:val="753E6D1B"/>
    <w:rsid w:val="755171D0"/>
    <w:rsid w:val="75584D96"/>
    <w:rsid w:val="755E584F"/>
    <w:rsid w:val="75713D25"/>
    <w:rsid w:val="7574B3A4"/>
    <w:rsid w:val="758CF92D"/>
    <w:rsid w:val="75A5B05B"/>
    <w:rsid w:val="75B26447"/>
    <w:rsid w:val="75B59C31"/>
    <w:rsid w:val="75BA3333"/>
    <w:rsid w:val="75C20614"/>
    <w:rsid w:val="75C2D775"/>
    <w:rsid w:val="75E10939"/>
    <w:rsid w:val="75FCE7DA"/>
    <w:rsid w:val="760C39AC"/>
    <w:rsid w:val="760F5617"/>
    <w:rsid w:val="7621F751"/>
    <w:rsid w:val="762702C2"/>
    <w:rsid w:val="762DC653"/>
    <w:rsid w:val="7642BAC7"/>
    <w:rsid w:val="764BE29A"/>
    <w:rsid w:val="764EF52E"/>
    <w:rsid w:val="764EFE13"/>
    <w:rsid w:val="7657F283"/>
    <w:rsid w:val="76582614"/>
    <w:rsid w:val="7666F53D"/>
    <w:rsid w:val="76742CD0"/>
    <w:rsid w:val="767A2139"/>
    <w:rsid w:val="767D6245"/>
    <w:rsid w:val="76803605"/>
    <w:rsid w:val="76970D3E"/>
    <w:rsid w:val="7698226C"/>
    <w:rsid w:val="769B5F60"/>
    <w:rsid w:val="76A251DE"/>
    <w:rsid w:val="76A29920"/>
    <w:rsid w:val="76AFD123"/>
    <w:rsid w:val="76B35C71"/>
    <w:rsid w:val="76C4FE68"/>
    <w:rsid w:val="76DFBDC0"/>
    <w:rsid w:val="76E906EC"/>
    <w:rsid w:val="76EE6C22"/>
    <w:rsid w:val="76F843EB"/>
    <w:rsid w:val="770CB599"/>
    <w:rsid w:val="771D8296"/>
    <w:rsid w:val="771DFB74"/>
    <w:rsid w:val="77358AD6"/>
    <w:rsid w:val="773B1D09"/>
    <w:rsid w:val="7747C467"/>
    <w:rsid w:val="774D2A83"/>
    <w:rsid w:val="774F3D82"/>
    <w:rsid w:val="775D9D88"/>
    <w:rsid w:val="77625206"/>
    <w:rsid w:val="7766F1D1"/>
    <w:rsid w:val="776CDDE1"/>
    <w:rsid w:val="7772E75A"/>
    <w:rsid w:val="7780E24A"/>
    <w:rsid w:val="77855960"/>
    <w:rsid w:val="77892F73"/>
    <w:rsid w:val="778CC49F"/>
    <w:rsid w:val="7791280D"/>
    <w:rsid w:val="77936B4E"/>
    <w:rsid w:val="779DE6B5"/>
    <w:rsid w:val="77A7F542"/>
    <w:rsid w:val="77ADE628"/>
    <w:rsid w:val="77B0726C"/>
    <w:rsid w:val="77D199B4"/>
    <w:rsid w:val="77D1B681"/>
    <w:rsid w:val="77D87750"/>
    <w:rsid w:val="77EB29D9"/>
    <w:rsid w:val="77F2B021"/>
    <w:rsid w:val="780B35B7"/>
    <w:rsid w:val="780E5240"/>
    <w:rsid w:val="781A9B12"/>
    <w:rsid w:val="781BFB12"/>
    <w:rsid w:val="781D2134"/>
    <w:rsid w:val="7822727F"/>
    <w:rsid w:val="782485D1"/>
    <w:rsid w:val="783509A1"/>
    <w:rsid w:val="7841B480"/>
    <w:rsid w:val="784AE049"/>
    <w:rsid w:val="785D58D7"/>
    <w:rsid w:val="78630943"/>
    <w:rsid w:val="788F167B"/>
    <w:rsid w:val="7896EB64"/>
    <w:rsid w:val="7899DCAD"/>
    <w:rsid w:val="789D0AC2"/>
    <w:rsid w:val="78A605FA"/>
    <w:rsid w:val="78A988D2"/>
    <w:rsid w:val="78AA9021"/>
    <w:rsid w:val="78C491AF"/>
    <w:rsid w:val="78D14BF9"/>
    <w:rsid w:val="78D43F1F"/>
    <w:rsid w:val="78E028AB"/>
    <w:rsid w:val="79010C28"/>
    <w:rsid w:val="790882FB"/>
    <w:rsid w:val="790EEB9B"/>
    <w:rsid w:val="791ED878"/>
    <w:rsid w:val="792047C2"/>
    <w:rsid w:val="79210A51"/>
    <w:rsid w:val="792195DB"/>
    <w:rsid w:val="7926A277"/>
    <w:rsid w:val="793746D2"/>
    <w:rsid w:val="7939C904"/>
    <w:rsid w:val="7941B266"/>
    <w:rsid w:val="79447E88"/>
    <w:rsid w:val="7954606F"/>
    <w:rsid w:val="797BA07E"/>
    <w:rsid w:val="79874888"/>
    <w:rsid w:val="79ABD85D"/>
    <w:rsid w:val="79B45C7B"/>
    <w:rsid w:val="79D260D6"/>
    <w:rsid w:val="79D3565A"/>
    <w:rsid w:val="79E699EC"/>
    <w:rsid w:val="79F62CBE"/>
    <w:rsid w:val="79FC4FE0"/>
    <w:rsid w:val="7A1E28F5"/>
    <w:rsid w:val="7A2E79F3"/>
    <w:rsid w:val="7A344692"/>
    <w:rsid w:val="7A505267"/>
    <w:rsid w:val="7A5F4DC7"/>
    <w:rsid w:val="7A64A150"/>
    <w:rsid w:val="7A65E75A"/>
    <w:rsid w:val="7A71092B"/>
    <w:rsid w:val="7A9375D0"/>
    <w:rsid w:val="7A9B6D0F"/>
    <w:rsid w:val="7AACD0FE"/>
    <w:rsid w:val="7AADEF67"/>
    <w:rsid w:val="7AC21A65"/>
    <w:rsid w:val="7AC8840B"/>
    <w:rsid w:val="7ACDD5E5"/>
    <w:rsid w:val="7AD4E65B"/>
    <w:rsid w:val="7ADF1F1D"/>
    <w:rsid w:val="7AE6F1C2"/>
    <w:rsid w:val="7AF29604"/>
    <w:rsid w:val="7B09AF09"/>
    <w:rsid w:val="7B0B56A6"/>
    <w:rsid w:val="7B15EDEF"/>
    <w:rsid w:val="7B22E743"/>
    <w:rsid w:val="7B3030FC"/>
    <w:rsid w:val="7B3F70BB"/>
    <w:rsid w:val="7B426F94"/>
    <w:rsid w:val="7B49A83D"/>
    <w:rsid w:val="7B5AAFE5"/>
    <w:rsid w:val="7B6043B2"/>
    <w:rsid w:val="7B60705E"/>
    <w:rsid w:val="7B6907A3"/>
    <w:rsid w:val="7B6DC6A3"/>
    <w:rsid w:val="7B6DD73B"/>
    <w:rsid w:val="7B7C0E1A"/>
    <w:rsid w:val="7B87B532"/>
    <w:rsid w:val="7B8AED79"/>
    <w:rsid w:val="7B98D8D9"/>
    <w:rsid w:val="7B9B0279"/>
    <w:rsid w:val="7B9F2A51"/>
    <w:rsid w:val="7BA38B05"/>
    <w:rsid w:val="7BA61E2F"/>
    <w:rsid w:val="7BA97E16"/>
    <w:rsid w:val="7BADE7E7"/>
    <w:rsid w:val="7BB7C460"/>
    <w:rsid w:val="7BC27FA6"/>
    <w:rsid w:val="7BC3CFF1"/>
    <w:rsid w:val="7BCDAD26"/>
    <w:rsid w:val="7BD85563"/>
    <w:rsid w:val="7BF4E6C1"/>
    <w:rsid w:val="7C0DC172"/>
    <w:rsid w:val="7C1B9E98"/>
    <w:rsid w:val="7C4C45F8"/>
    <w:rsid w:val="7C501E54"/>
    <w:rsid w:val="7C63B3B9"/>
    <w:rsid w:val="7C68C2E9"/>
    <w:rsid w:val="7C871720"/>
    <w:rsid w:val="7C8968AC"/>
    <w:rsid w:val="7C8A3247"/>
    <w:rsid w:val="7C90581C"/>
    <w:rsid w:val="7C9384BE"/>
    <w:rsid w:val="7C97E365"/>
    <w:rsid w:val="7CB21DED"/>
    <w:rsid w:val="7CB6EEB9"/>
    <w:rsid w:val="7CC0D240"/>
    <w:rsid w:val="7CC5DAF5"/>
    <w:rsid w:val="7CCA5D91"/>
    <w:rsid w:val="7CCC2F5B"/>
    <w:rsid w:val="7CE18022"/>
    <w:rsid w:val="7CE78215"/>
    <w:rsid w:val="7CE7A1A3"/>
    <w:rsid w:val="7D014C0F"/>
    <w:rsid w:val="7D1EC4E2"/>
    <w:rsid w:val="7D24EE8B"/>
    <w:rsid w:val="7D277D29"/>
    <w:rsid w:val="7D2F9F19"/>
    <w:rsid w:val="7D33F153"/>
    <w:rsid w:val="7D3F7A8F"/>
    <w:rsid w:val="7D4019F9"/>
    <w:rsid w:val="7D69F72E"/>
    <w:rsid w:val="7D6E386D"/>
    <w:rsid w:val="7D7D8B3A"/>
    <w:rsid w:val="7D8C6B6F"/>
    <w:rsid w:val="7D9444FB"/>
    <w:rsid w:val="7D9DC5DA"/>
    <w:rsid w:val="7D9EFD09"/>
    <w:rsid w:val="7DA66BD6"/>
    <w:rsid w:val="7DBCAA25"/>
    <w:rsid w:val="7DC4CADD"/>
    <w:rsid w:val="7DC9B009"/>
    <w:rsid w:val="7DCA9B0F"/>
    <w:rsid w:val="7DCB0A79"/>
    <w:rsid w:val="7DD9B3E0"/>
    <w:rsid w:val="7DEAC8D3"/>
    <w:rsid w:val="7DF4449E"/>
    <w:rsid w:val="7DFD6231"/>
    <w:rsid w:val="7E09CE9A"/>
    <w:rsid w:val="7E0BE0A7"/>
    <w:rsid w:val="7E102073"/>
    <w:rsid w:val="7E200B9B"/>
    <w:rsid w:val="7E214765"/>
    <w:rsid w:val="7E2A74EA"/>
    <w:rsid w:val="7E41DDA7"/>
    <w:rsid w:val="7E4A272A"/>
    <w:rsid w:val="7E4BB429"/>
    <w:rsid w:val="7E507E17"/>
    <w:rsid w:val="7E57AF89"/>
    <w:rsid w:val="7E650166"/>
    <w:rsid w:val="7E6A36F2"/>
    <w:rsid w:val="7E776DB7"/>
    <w:rsid w:val="7E846719"/>
    <w:rsid w:val="7E87E4DD"/>
    <w:rsid w:val="7E881838"/>
    <w:rsid w:val="7E89FDEB"/>
    <w:rsid w:val="7EA8DEC5"/>
    <w:rsid w:val="7EA9001D"/>
    <w:rsid w:val="7EAAB05D"/>
    <w:rsid w:val="7EAE08D0"/>
    <w:rsid w:val="7EBC7A9E"/>
    <w:rsid w:val="7EC55A7A"/>
    <w:rsid w:val="7ECE5119"/>
    <w:rsid w:val="7ED9A5B6"/>
    <w:rsid w:val="7EDAA822"/>
    <w:rsid w:val="7EE6C19D"/>
    <w:rsid w:val="7F03BADA"/>
    <w:rsid w:val="7F0CCD2F"/>
    <w:rsid w:val="7F10E610"/>
    <w:rsid w:val="7F15020E"/>
    <w:rsid w:val="7F1E16C1"/>
    <w:rsid w:val="7F2463A4"/>
    <w:rsid w:val="7F24FE81"/>
    <w:rsid w:val="7F28D91B"/>
    <w:rsid w:val="7F2C827C"/>
    <w:rsid w:val="7F32EB7A"/>
    <w:rsid w:val="7F355C26"/>
    <w:rsid w:val="7F361EA4"/>
    <w:rsid w:val="7F3D3187"/>
    <w:rsid w:val="7F3EFE9C"/>
    <w:rsid w:val="7F43EDEA"/>
    <w:rsid w:val="7F49117A"/>
    <w:rsid w:val="7F49C77A"/>
    <w:rsid w:val="7F521ACC"/>
    <w:rsid w:val="7F627996"/>
    <w:rsid w:val="7F6684EC"/>
    <w:rsid w:val="7F6DEC34"/>
    <w:rsid w:val="7F7B5D4E"/>
    <w:rsid w:val="7F90405D"/>
    <w:rsid w:val="7F90F640"/>
    <w:rsid w:val="7F993397"/>
    <w:rsid w:val="7FA36447"/>
    <w:rsid w:val="7FA7CAB9"/>
    <w:rsid w:val="7FA7E9A2"/>
    <w:rsid w:val="7FAD498A"/>
    <w:rsid w:val="7FBBE543"/>
    <w:rsid w:val="7FC0CBF8"/>
    <w:rsid w:val="7FCD465F"/>
    <w:rsid w:val="7FE3029A"/>
    <w:rsid w:val="7FF37E84"/>
    <w:rsid w:val="7FF8884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CF7AE9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mt-MT"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48234C"/>
    <w:pPr>
      <w:spacing w:after="0" w:line="240" w:lineRule="auto"/>
    </w:pPr>
  </w:style>
  <w:style w:type="character" w:customStyle="1" w:styleId="normaltextrun">
    <w:name w:val="normaltextrun"/>
    <w:basedOn w:val="DefaultParagraphFont"/>
    <w:rsid w:val="0048234C"/>
  </w:style>
  <w:style w:type="character" w:customStyle="1" w:styleId="eop">
    <w:name w:val="eop"/>
    <w:basedOn w:val="DefaultParagraphFont"/>
    <w:rsid w:val="0048234C"/>
  </w:style>
  <w:style w:type="paragraph" w:styleId="ListParagraph">
    <w:name w:val="List Paragraph"/>
    <w:aliases w:val="Dot pt,No Spacing1,List Paragraph Char Char Char,Indicator Text,Numbered Para 1,List Paragraph1,Bullet Points,MAIN CONTENT,List Paragraph12,List Paragraph11,OBC Bullet,F5 List Paragraph,Colorful List - Accent 11,Normal numbered,Bullet 1,L"/>
    <w:basedOn w:val="Normal"/>
    <w:link w:val="ListParagraphChar"/>
    <w:uiPriority w:val="34"/>
    <w:qFormat/>
    <w:rsid w:val="0048234C"/>
    <w:pPr>
      <w:ind w:left="720"/>
      <w:contextualSpacing/>
    </w:pPr>
  </w:style>
  <w:style w:type="character" w:customStyle="1" w:styleId="scxw19723251">
    <w:name w:val="scxw19723251"/>
    <w:basedOn w:val="DefaultParagraphFont"/>
    <w:rsid w:val="0048234C"/>
  </w:style>
  <w:style w:type="paragraph" w:customStyle="1" w:styleId="paragraph">
    <w:name w:val="paragraph"/>
    <w:basedOn w:val="Normal"/>
    <w:rsid w:val="006E03A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CommentReference">
    <w:name w:val="annotation reference"/>
    <w:basedOn w:val="DefaultParagraphFont"/>
    <w:uiPriority w:val="99"/>
    <w:semiHidden/>
    <w:unhideWhenUsed/>
    <w:rsid w:val="001B6737"/>
    <w:rPr>
      <w:sz w:val="16"/>
      <w:szCs w:val="16"/>
    </w:rPr>
  </w:style>
  <w:style w:type="paragraph" w:styleId="CommentText">
    <w:name w:val="annotation text"/>
    <w:basedOn w:val="Normal"/>
    <w:link w:val="CommentTextChar"/>
    <w:uiPriority w:val="99"/>
    <w:unhideWhenUsed/>
    <w:rsid w:val="001B6737"/>
    <w:pPr>
      <w:spacing w:line="240" w:lineRule="auto"/>
    </w:pPr>
    <w:rPr>
      <w:sz w:val="20"/>
      <w:szCs w:val="20"/>
    </w:rPr>
  </w:style>
  <w:style w:type="character" w:customStyle="1" w:styleId="CommentTextChar">
    <w:name w:val="Comment Text Char"/>
    <w:basedOn w:val="DefaultParagraphFont"/>
    <w:link w:val="CommentText"/>
    <w:uiPriority w:val="99"/>
    <w:rsid w:val="001B6737"/>
    <w:rPr>
      <w:sz w:val="20"/>
      <w:szCs w:val="20"/>
    </w:rPr>
  </w:style>
  <w:style w:type="paragraph" w:styleId="CommentSubject">
    <w:name w:val="annotation subject"/>
    <w:basedOn w:val="CommentText"/>
    <w:next w:val="CommentText"/>
    <w:link w:val="CommentSubjectChar"/>
    <w:uiPriority w:val="99"/>
    <w:semiHidden/>
    <w:unhideWhenUsed/>
    <w:rsid w:val="001B6737"/>
    <w:rPr>
      <w:b/>
      <w:bCs/>
    </w:rPr>
  </w:style>
  <w:style w:type="character" w:customStyle="1" w:styleId="CommentSubjectChar">
    <w:name w:val="Comment Subject Char"/>
    <w:basedOn w:val="CommentTextChar"/>
    <w:link w:val="CommentSubject"/>
    <w:uiPriority w:val="99"/>
    <w:semiHidden/>
    <w:rsid w:val="001B6737"/>
    <w:rPr>
      <w:b/>
      <w:bCs/>
      <w:sz w:val="20"/>
      <w:szCs w:val="20"/>
    </w:rPr>
  </w:style>
  <w:style w:type="character" w:styleId="Hyperlink">
    <w:name w:val="Hyperlink"/>
    <w:basedOn w:val="DefaultParagraphFont"/>
    <w:uiPriority w:val="99"/>
    <w:unhideWhenUsed/>
    <w:qFormat/>
    <w:rsid w:val="00763D4D"/>
    <w:rPr>
      <w:color w:val="0563C1" w:themeColor="hyperlink"/>
      <w:u w:val="single"/>
    </w:rPr>
  </w:style>
  <w:style w:type="character" w:customStyle="1" w:styleId="UnresolvedMention1">
    <w:name w:val="Unresolved Mention1"/>
    <w:basedOn w:val="DefaultParagraphFont"/>
    <w:uiPriority w:val="99"/>
    <w:semiHidden/>
    <w:unhideWhenUsed/>
    <w:rsid w:val="00763D4D"/>
    <w:rPr>
      <w:color w:val="605E5C"/>
      <w:shd w:val="clear" w:color="auto" w:fill="E1DFDD"/>
    </w:rPr>
  </w:style>
  <w:style w:type="paragraph" w:styleId="FootnoteText">
    <w:name w:val="footnote text"/>
    <w:aliases w:val="fn,Footnote Text Char2 Char,Footnote Text Char Char Char1,Footnote Text Char1 Char Char Char,Footnote Text Char2 Char Char Char Char,Footnote Text Char1 Char1 Char Char Char Char Char,Footnote Text Char Car,ALTS FOOTNOTE,Footnote text,Plon"/>
    <w:basedOn w:val="Normal"/>
    <w:link w:val="FootnoteTextChar"/>
    <w:uiPriority w:val="99"/>
    <w:unhideWhenUsed/>
    <w:qFormat/>
    <w:rsid w:val="009F47C8"/>
    <w:pPr>
      <w:spacing w:after="0" w:line="240" w:lineRule="auto"/>
    </w:pPr>
    <w:rPr>
      <w:sz w:val="20"/>
      <w:szCs w:val="20"/>
    </w:rPr>
  </w:style>
  <w:style w:type="character" w:customStyle="1" w:styleId="FootnoteTextChar">
    <w:name w:val="Footnote Text Char"/>
    <w:aliases w:val="fn Char2,Footnote Text Char2 Char Char1,Footnote Text Char Char Char1 Char1,Footnote Text Char1 Char Char Char Char1,Footnote Text Char2 Char Char Char Char Char1,Footnote Text Char1 Char1 Char Char Char Char Char Char,Plon Char"/>
    <w:basedOn w:val="DefaultParagraphFont"/>
    <w:link w:val="FootnoteText"/>
    <w:uiPriority w:val="99"/>
    <w:qFormat/>
    <w:rsid w:val="009F47C8"/>
    <w:rPr>
      <w:sz w:val="20"/>
      <w:szCs w:val="20"/>
    </w:rPr>
  </w:style>
  <w:style w:type="character" w:styleId="FootnoteReference">
    <w:name w:val="footnote reference"/>
    <w:aliases w:val="fn Char1,(NECG) Footnote Reference,Ref,de nota al pie,Footnote,fr,o,-E Fußnotenzeichen,Style 3,Appel note de bas de p,Style 17,FR,Style 13,Style 12,Style 124,callout,-E Funotenzeichen,Style 1,Nota,Footnote symbol,Footnote number,BVI f"/>
    <w:basedOn w:val="DefaultParagraphFont"/>
    <w:link w:val="CharCharChar"/>
    <w:uiPriority w:val="99"/>
    <w:unhideWhenUsed/>
    <w:qFormat/>
    <w:rsid w:val="009F47C8"/>
    <w:rPr>
      <w:vertAlign w:val="superscript"/>
    </w:rPr>
  </w:style>
  <w:style w:type="paragraph" w:styleId="Header">
    <w:name w:val="header"/>
    <w:basedOn w:val="Normal"/>
    <w:link w:val="HeaderChar"/>
    <w:uiPriority w:val="99"/>
    <w:unhideWhenUsed/>
    <w:rsid w:val="000A50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50D8"/>
  </w:style>
  <w:style w:type="paragraph" w:styleId="Footer">
    <w:name w:val="footer"/>
    <w:basedOn w:val="Normal"/>
    <w:link w:val="FooterChar"/>
    <w:uiPriority w:val="99"/>
    <w:unhideWhenUsed/>
    <w:rsid w:val="000A50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50D8"/>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5Dark-Accent1">
    <w:name w:val="Grid Table 5 Dark Accent 1"/>
    <w:basedOn w:val="TableNorma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Mention1">
    <w:name w:val="Mention1"/>
    <w:basedOn w:val="DefaultParagraphFont"/>
    <w:uiPriority w:val="99"/>
    <w:unhideWhenUsed/>
    <w:rsid w:val="005C13CA"/>
    <w:rPr>
      <w:color w:val="2B579A"/>
      <w:shd w:val="clear" w:color="auto" w:fill="E1DFDD"/>
    </w:rPr>
  </w:style>
  <w:style w:type="paragraph" w:customStyle="1" w:styleId="Text1">
    <w:name w:val="Text 1"/>
    <w:basedOn w:val="Normal"/>
    <w:rsid w:val="001D4796"/>
    <w:pPr>
      <w:spacing w:after="240" w:line="240" w:lineRule="auto"/>
      <w:ind w:left="482"/>
      <w:jc w:val="both"/>
    </w:pPr>
    <w:rPr>
      <w:rFonts w:ascii="Times New Roman" w:eastAsia="Times New Roman" w:hAnsi="Times New Roman" w:cs="Times New Roman"/>
      <w:kern w:val="0"/>
      <w:sz w:val="24"/>
      <w:szCs w:val="20"/>
      <w14:ligatures w14:val="none"/>
    </w:rPr>
  </w:style>
  <w:style w:type="character" w:customStyle="1" w:styleId="FootnoteTextChar1">
    <w:name w:val="Footnote Text Char1"/>
    <w:aliases w:val="Footnote Text Char Char,fn Char,Footnote Text Char2 Char Char,Footnote Text Char Char Char1 Char,Footnote Text Char1 Char Char Char Char,Footnote Text Char2 Char Char Char Char Char,Footnote Text Char Car Char,ALTS FOOTNOTE Char"/>
    <w:uiPriority w:val="99"/>
    <w:locked/>
    <w:rsid w:val="007A3179"/>
    <w:rPr>
      <w:lang w:eastAsia="en-US"/>
    </w:rPr>
  </w:style>
  <w:style w:type="paragraph" w:customStyle="1" w:styleId="CharCharChar">
    <w:name w:val="Char Char Char"/>
    <w:basedOn w:val="Normal"/>
    <w:link w:val="FootnoteReference"/>
    <w:uiPriority w:val="99"/>
    <w:rsid w:val="007A3179"/>
    <w:pPr>
      <w:spacing w:line="240" w:lineRule="exact"/>
    </w:pPr>
    <w:rPr>
      <w:vertAlign w:val="superscript"/>
    </w:rPr>
  </w:style>
  <w:style w:type="character" w:customStyle="1" w:styleId="Marker">
    <w:name w:val="Marker"/>
    <w:basedOn w:val="DefaultParagraphFont"/>
    <w:rsid w:val="00493378"/>
    <w:rPr>
      <w:color w:val="0000FF"/>
      <w:shd w:val="clear" w:color="auto" w:fill="auto"/>
    </w:rPr>
  </w:style>
  <w:style w:type="paragraph" w:customStyle="1" w:styleId="Pagedecouverture">
    <w:name w:val="Page de couverture"/>
    <w:basedOn w:val="Normal"/>
    <w:next w:val="Normal"/>
    <w:rsid w:val="00493378"/>
    <w:pPr>
      <w:spacing w:after="0" w:line="240" w:lineRule="auto"/>
      <w:jc w:val="both"/>
    </w:pPr>
    <w:rPr>
      <w:rFonts w:ascii="Times New Roman" w:hAnsi="Times New Roman" w:cs="Times New Roman"/>
      <w:kern w:val="0"/>
      <w:sz w:val="24"/>
      <w14:ligatures w14:val="none"/>
    </w:rPr>
  </w:style>
  <w:style w:type="paragraph" w:customStyle="1" w:styleId="FooterCoverPage">
    <w:name w:val="Footer Cover Page"/>
    <w:basedOn w:val="Normal"/>
    <w:link w:val="FooterCoverPageChar"/>
    <w:rsid w:val="00493378"/>
    <w:pPr>
      <w:tabs>
        <w:tab w:val="center" w:pos="4535"/>
        <w:tab w:val="right" w:pos="9071"/>
        <w:tab w:val="right" w:pos="9921"/>
      </w:tabs>
      <w:spacing w:before="360" w:after="0" w:line="240" w:lineRule="auto"/>
      <w:ind w:left="-850" w:right="-850" w:hanging="360"/>
    </w:pPr>
    <w:rPr>
      <w:rFonts w:ascii="Times New Roman" w:hAnsi="Times New Roman" w:cs="Times New Roman"/>
      <w:sz w:val="24"/>
    </w:rPr>
  </w:style>
  <w:style w:type="character" w:customStyle="1" w:styleId="FooterCoverPageChar">
    <w:name w:val="Footer Cover Page Char"/>
    <w:basedOn w:val="DefaultParagraphFont"/>
    <w:link w:val="FooterCoverPage"/>
    <w:rsid w:val="00493378"/>
    <w:rPr>
      <w:rFonts w:ascii="Times New Roman" w:hAnsi="Times New Roman" w:cs="Times New Roman"/>
      <w:sz w:val="24"/>
    </w:rPr>
  </w:style>
  <w:style w:type="paragraph" w:customStyle="1" w:styleId="FooterSensitivity">
    <w:name w:val="Footer Sensitivity"/>
    <w:basedOn w:val="Normal"/>
    <w:link w:val="FooterSensitivityChar"/>
    <w:rsid w:val="00493378"/>
    <w:pPr>
      <w:pBdr>
        <w:top w:val="single" w:sz="4" w:space="1" w:color="auto"/>
        <w:left w:val="single" w:sz="4" w:space="4" w:color="auto"/>
        <w:bottom w:val="single" w:sz="4" w:space="1" w:color="auto"/>
        <w:right w:val="single" w:sz="4" w:space="4" w:color="auto"/>
      </w:pBdr>
      <w:spacing w:before="360" w:after="0" w:line="240" w:lineRule="auto"/>
      <w:ind w:left="113" w:right="113" w:hanging="360"/>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sid w:val="00493378"/>
    <w:rPr>
      <w:rFonts w:ascii="Times New Roman" w:hAnsi="Times New Roman" w:cs="Times New Roman"/>
      <w:b/>
      <w:sz w:val="32"/>
    </w:rPr>
  </w:style>
  <w:style w:type="paragraph" w:customStyle="1" w:styleId="HeaderCoverPage">
    <w:name w:val="Header Cover Page"/>
    <w:basedOn w:val="Normal"/>
    <w:link w:val="HeaderCoverPageChar"/>
    <w:rsid w:val="00493378"/>
    <w:pPr>
      <w:tabs>
        <w:tab w:val="center" w:pos="4535"/>
        <w:tab w:val="right" w:pos="9071"/>
      </w:tabs>
      <w:spacing w:after="120" w:line="240" w:lineRule="auto"/>
      <w:ind w:hanging="360"/>
      <w:jc w:val="both"/>
    </w:pPr>
    <w:rPr>
      <w:rFonts w:ascii="Times New Roman" w:hAnsi="Times New Roman" w:cs="Times New Roman"/>
      <w:sz w:val="24"/>
    </w:rPr>
  </w:style>
  <w:style w:type="character" w:customStyle="1" w:styleId="HeaderCoverPageChar">
    <w:name w:val="Header Cover Page Char"/>
    <w:basedOn w:val="DefaultParagraphFont"/>
    <w:link w:val="HeaderCoverPage"/>
    <w:rsid w:val="00493378"/>
    <w:rPr>
      <w:rFonts w:ascii="Times New Roman" w:hAnsi="Times New Roman" w:cs="Times New Roman"/>
      <w:sz w:val="24"/>
    </w:rPr>
  </w:style>
  <w:style w:type="paragraph" w:customStyle="1" w:styleId="HeaderSensitivity">
    <w:name w:val="Header Sensitivity"/>
    <w:basedOn w:val="Normal"/>
    <w:link w:val="HeaderSensitivityChar"/>
    <w:rsid w:val="00493378"/>
    <w:pPr>
      <w:pBdr>
        <w:top w:val="single" w:sz="4" w:space="1" w:color="auto"/>
        <w:left w:val="single" w:sz="4" w:space="4" w:color="auto"/>
        <w:bottom w:val="single" w:sz="4" w:space="1" w:color="auto"/>
        <w:right w:val="single" w:sz="4" w:space="4" w:color="auto"/>
      </w:pBdr>
      <w:spacing w:after="120" w:line="240" w:lineRule="auto"/>
      <w:ind w:left="113" w:right="113" w:hanging="360"/>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sid w:val="00493378"/>
    <w:rPr>
      <w:rFonts w:ascii="Times New Roman" w:hAnsi="Times New Roman" w:cs="Times New Roman"/>
      <w:b/>
      <w:sz w:val="32"/>
    </w:rPr>
  </w:style>
  <w:style w:type="paragraph" w:customStyle="1" w:styleId="HeaderSensitivityRight">
    <w:name w:val="Header Sensitivity Right"/>
    <w:basedOn w:val="Normal"/>
    <w:link w:val="HeaderSensitivityRightChar"/>
    <w:rsid w:val="003764F1"/>
    <w:pPr>
      <w:spacing w:after="120" w:line="240" w:lineRule="auto"/>
      <w:jc w:val="right"/>
    </w:pPr>
    <w:rPr>
      <w:rFonts w:ascii="Times New Roman" w:hAnsi="Times New Roman" w:cs="Times New Roman"/>
      <w:sz w:val="28"/>
    </w:rPr>
  </w:style>
  <w:style w:type="character" w:customStyle="1" w:styleId="HeaderSensitivityRightChar">
    <w:name w:val="Header Sensitivity Right Char"/>
    <w:basedOn w:val="DefaultParagraphFont"/>
    <w:link w:val="HeaderSensitivityRight"/>
    <w:rsid w:val="00493378"/>
    <w:rPr>
      <w:rFonts w:ascii="Times New Roman" w:hAnsi="Times New Roman" w:cs="Times New Roman"/>
      <w:sz w:val="28"/>
    </w:rPr>
  </w:style>
  <w:style w:type="paragraph" w:customStyle="1" w:styleId="ftrefCharCharCharCharCharCharCharCharChar">
    <w:name w:val="ftref Char Char Char Char Char Char Char Char Char"/>
    <w:aliases w:val="Footnote Char Char Char Char Char Char Char Char Char,BVI fnr Char Char Char Char Char Char Char Char Char,BVI fnr Char Char Char Char Char Char Char Char Char Char"/>
    <w:basedOn w:val="Normal"/>
    <w:next w:val="Normal"/>
    <w:uiPriority w:val="99"/>
    <w:rsid w:val="001B5C96"/>
    <w:pPr>
      <w:spacing w:line="240" w:lineRule="exact"/>
    </w:pPr>
    <w:rPr>
      <w:kern w:val="0"/>
      <w:vertAlign w:val="superscript"/>
      <w14:ligatures w14:val="none"/>
    </w:rPr>
  </w:style>
  <w:style w:type="paragraph" w:customStyle="1" w:styleId="ecl-u-type-paragraph">
    <w:name w:val="ecl-u-type-paragraph"/>
    <w:basedOn w:val="Normal"/>
    <w:rsid w:val="6C0328F7"/>
    <w:pPr>
      <w:spacing w:beforeAutospacing="1" w:afterAutospacing="1" w:line="240" w:lineRule="auto"/>
    </w:pPr>
    <w:rPr>
      <w:rFonts w:eastAsiaTheme="minorEastAsia"/>
      <w:sz w:val="24"/>
      <w:szCs w:val="24"/>
      <w:lang w:eastAsia="en-IE"/>
    </w:rPr>
  </w:style>
  <w:style w:type="paragraph" w:customStyle="1" w:styleId="FootnoteText1">
    <w:name w:val="Footnote Text1"/>
    <w:basedOn w:val="FootnoteText"/>
    <w:link w:val="footnotetextChar0"/>
    <w:uiPriority w:val="1"/>
    <w:qFormat/>
    <w:rsid w:val="00626749"/>
    <w:pPr>
      <w:spacing w:line="276" w:lineRule="auto"/>
      <w:jc w:val="both"/>
    </w:pPr>
    <w:rPr>
      <w:rFonts w:ascii="Times New Roman" w:eastAsiaTheme="minorEastAsia" w:hAnsi="Times New Roman"/>
      <w:kern w:val="0"/>
      <w:sz w:val="18"/>
      <w:szCs w:val="18"/>
      <w14:ligatures w14:val="none"/>
    </w:rPr>
  </w:style>
  <w:style w:type="character" w:customStyle="1" w:styleId="footnotetextChar0">
    <w:name w:val="footnote text Char"/>
    <w:basedOn w:val="DefaultParagraphFont"/>
    <w:link w:val="FootnoteText1"/>
    <w:uiPriority w:val="1"/>
    <w:rsid w:val="00626749"/>
    <w:rPr>
      <w:rFonts w:ascii="Times New Roman" w:eastAsiaTheme="minorEastAsia" w:hAnsi="Times New Roman"/>
      <w:kern w:val="0"/>
      <w:sz w:val="18"/>
      <w:szCs w:val="18"/>
      <w14:ligatures w14:val="none"/>
    </w:rPr>
  </w:style>
  <w:style w:type="paragraph" w:customStyle="1" w:styleId="FootnoteReferenceCharCarCharCharCarCharCarCharCarCharCarCharCharCarCarCharCharCharCharCharCarCharCarCharCharCarCharCar">
    <w:name w:val="Footnote Reference Char Car Char Char Car Char Car Char Car Char Car Char Char Car Car Char Char Char Char Char Car Char Car Char Char Car Char Car"/>
    <w:aliases w:val="Footnotes refss Car Char Car,callout Car Car Char Char Car,Footnotes refss Car1"/>
    <w:basedOn w:val="Normal"/>
    <w:uiPriority w:val="99"/>
    <w:rsid w:val="00626749"/>
    <w:pPr>
      <w:spacing w:before="120" w:line="240" w:lineRule="exact"/>
    </w:pPr>
    <w:rPr>
      <w:vertAlign w:val="superscript"/>
    </w:rPr>
  </w:style>
  <w:style w:type="paragraph" w:styleId="NormalWeb">
    <w:name w:val="Normal (Web)"/>
    <w:basedOn w:val="Normal"/>
    <w:uiPriority w:val="99"/>
    <w:semiHidden/>
    <w:unhideWhenUsed/>
    <w:rsid w:val="00897A81"/>
    <w:rPr>
      <w:rFonts w:ascii="Times New Roman" w:hAnsi="Times New Roman" w:cs="Times New Roman"/>
      <w:sz w:val="24"/>
      <w:szCs w:val="24"/>
    </w:rPr>
  </w:style>
  <w:style w:type="character" w:customStyle="1" w:styleId="findhit">
    <w:name w:val="findhit"/>
    <w:basedOn w:val="DefaultParagraphFont"/>
    <w:rsid w:val="000C53C0"/>
  </w:style>
  <w:style w:type="paragraph" w:customStyle="1" w:styleId="Default">
    <w:name w:val="Default"/>
    <w:rsid w:val="00C10C8C"/>
    <w:pPr>
      <w:autoSpaceDE w:val="0"/>
      <w:autoSpaceDN w:val="0"/>
      <w:adjustRightInd w:val="0"/>
      <w:spacing w:after="0" w:line="240" w:lineRule="auto"/>
    </w:pPr>
    <w:rPr>
      <w:rFonts w:ascii="Calibri" w:hAnsi="Calibri" w:cs="Calibri"/>
      <w:color w:val="000000"/>
      <w:kern w:val="0"/>
      <w:sz w:val="24"/>
      <w:szCs w:val="24"/>
    </w:rPr>
  </w:style>
  <w:style w:type="paragraph" w:customStyle="1" w:styleId="Disclaimer">
    <w:name w:val="Disclaimer"/>
    <w:basedOn w:val="Normal"/>
    <w:rsid w:val="008B534F"/>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spacing w:before="120" w:after="120" w:line="240" w:lineRule="auto"/>
      <w:jc w:val="both"/>
    </w:pPr>
    <w:rPr>
      <w:rFonts w:ascii="Times New Roman" w:hAnsi="Times New Roman" w:cs="Times New Roman"/>
      <w:kern w:val="0"/>
      <w:sz w:val="24"/>
      <w14:ligatures w14:val="none"/>
    </w:rPr>
  </w:style>
  <w:style w:type="paragraph" w:customStyle="1" w:styleId="SecurityMarking">
    <w:name w:val="SecurityMarking"/>
    <w:basedOn w:val="Normal"/>
    <w:rsid w:val="003764F1"/>
    <w:pPr>
      <w:spacing w:after="0" w:line="276" w:lineRule="auto"/>
      <w:ind w:left="5103"/>
    </w:pPr>
    <w:rPr>
      <w:rFonts w:ascii="Times New Roman" w:hAnsi="Times New Roman" w:cs="Times New Roman"/>
      <w:kern w:val="0"/>
      <w:sz w:val="28"/>
      <w14:ligatures w14:val="none"/>
    </w:rPr>
  </w:style>
  <w:style w:type="paragraph" w:customStyle="1" w:styleId="DateMarking">
    <w:name w:val="DateMarking"/>
    <w:basedOn w:val="Normal"/>
    <w:rsid w:val="003764F1"/>
    <w:pPr>
      <w:spacing w:after="0" w:line="276" w:lineRule="auto"/>
      <w:ind w:left="5103"/>
    </w:pPr>
    <w:rPr>
      <w:rFonts w:ascii="Times New Roman" w:hAnsi="Times New Roman" w:cs="Times New Roman"/>
      <w:i/>
      <w:kern w:val="0"/>
      <w:sz w:val="28"/>
      <w14:ligatures w14:val="none"/>
    </w:rPr>
  </w:style>
  <w:style w:type="paragraph" w:customStyle="1" w:styleId="ReleasableTo">
    <w:name w:val="ReleasableTo"/>
    <w:basedOn w:val="Normal"/>
    <w:rsid w:val="003764F1"/>
    <w:pPr>
      <w:spacing w:after="0" w:line="276" w:lineRule="auto"/>
      <w:ind w:left="5103"/>
    </w:pPr>
    <w:rPr>
      <w:rFonts w:ascii="Times New Roman" w:hAnsi="Times New Roman" w:cs="Times New Roman"/>
      <w:i/>
      <w:kern w:val="0"/>
      <w:sz w:val="28"/>
      <w14:ligatures w14:val="none"/>
    </w:rPr>
  </w:style>
  <w:style w:type="paragraph" w:customStyle="1" w:styleId="pf0">
    <w:name w:val="pf0"/>
    <w:basedOn w:val="Normal"/>
    <w:rsid w:val="00CE477E"/>
    <w:pPr>
      <w:spacing w:before="100" w:beforeAutospacing="1" w:after="100" w:afterAutospacing="1" w:line="240" w:lineRule="auto"/>
    </w:pPr>
    <w:rPr>
      <w:rFonts w:ascii="Times New Roman" w:eastAsia="Times New Roman" w:hAnsi="Times New Roman" w:cs="Times New Roman"/>
      <w:kern w:val="0"/>
      <w:sz w:val="24"/>
      <w:szCs w:val="24"/>
      <w:lang w:eastAsia="en-IE"/>
      <w14:ligatures w14:val="none"/>
    </w:rPr>
  </w:style>
  <w:style w:type="character" w:customStyle="1" w:styleId="cf01">
    <w:name w:val="cf01"/>
    <w:basedOn w:val="DefaultParagraphFont"/>
    <w:rsid w:val="00CE477E"/>
    <w:rPr>
      <w:rFonts w:ascii="Segoe UI" w:hAnsi="Segoe UI" w:cs="Segoe UI" w:hint="default"/>
      <w:sz w:val="18"/>
      <w:szCs w:val="18"/>
    </w:rPr>
  </w:style>
  <w:style w:type="character" w:customStyle="1" w:styleId="ListParagraphChar">
    <w:name w:val="List Paragraph Char"/>
    <w:aliases w:val="Dot pt Char,No Spacing1 Char,List Paragraph Char Char Char Char,Indicator Text Char,Numbered Para 1 Char,List Paragraph1 Char,Bullet Points Char,MAIN CONTENT Char,List Paragraph12 Char,List Paragraph11 Char,OBC Bullet Char,L Char"/>
    <w:basedOn w:val="DefaultParagraphFont"/>
    <w:link w:val="ListParagraph"/>
    <w:uiPriority w:val="34"/>
    <w:qFormat/>
    <w:locked/>
    <w:rsid w:val="00F549B8"/>
  </w:style>
  <w:style w:type="character" w:styleId="FollowedHyperlink">
    <w:name w:val="FollowedHyperlink"/>
    <w:basedOn w:val="DefaultParagraphFont"/>
    <w:uiPriority w:val="99"/>
    <w:semiHidden/>
    <w:unhideWhenUsed/>
    <w:rsid w:val="007A29BC"/>
    <w:rPr>
      <w:color w:val="954F72" w:themeColor="followedHyperlink"/>
      <w:u w:val="single"/>
    </w:rPr>
  </w:style>
  <w:style w:type="paragraph" w:customStyle="1" w:styleId="SUPERSCharCharCharCharCharCharCharChar">
    <w:name w:val="SUPERS Char Char Char Char Char Char Char Char"/>
    <w:aliases w:val="SUPERS Tegn Char Char Char Char Char Char Char Char Char,Footnote Reference Number Tegn Char Char Char Char Char Char Char Char Char"/>
    <w:basedOn w:val="Normal"/>
    <w:uiPriority w:val="99"/>
    <w:rsid w:val="008D2DC1"/>
    <w:pPr>
      <w:spacing w:before="60" w:after="120" w:line="240" w:lineRule="exact"/>
    </w:pPr>
    <w:rPr>
      <w:kern w:val="0"/>
      <w:sz w:val="20"/>
      <w:vertAlign w:val="superscript"/>
      <w14:ligatures w14:val="none"/>
    </w:rPr>
  </w:style>
  <w:style w:type="character" w:customStyle="1" w:styleId="tab">
    <w:name w:val="tab"/>
    <w:basedOn w:val="DefaultParagraphFont"/>
    <w:rsid w:val="00EB647D"/>
  </w:style>
  <w:style w:type="paragraph" w:styleId="BalloonText">
    <w:name w:val="Balloon Text"/>
    <w:basedOn w:val="Normal"/>
    <w:link w:val="BalloonTextChar"/>
    <w:uiPriority w:val="99"/>
    <w:semiHidden/>
    <w:unhideWhenUsed/>
    <w:rsid w:val="00BA60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60A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00108">
      <w:bodyDiv w:val="1"/>
      <w:marLeft w:val="0"/>
      <w:marRight w:val="0"/>
      <w:marTop w:val="0"/>
      <w:marBottom w:val="0"/>
      <w:divBdr>
        <w:top w:val="none" w:sz="0" w:space="0" w:color="auto"/>
        <w:left w:val="none" w:sz="0" w:space="0" w:color="auto"/>
        <w:bottom w:val="none" w:sz="0" w:space="0" w:color="auto"/>
        <w:right w:val="none" w:sz="0" w:space="0" w:color="auto"/>
      </w:divBdr>
    </w:div>
    <w:div w:id="53284607">
      <w:bodyDiv w:val="1"/>
      <w:marLeft w:val="0"/>
      <w:marRight w:val="0"/>
      <w:marTop w:val="0"/>
      <w:marBottom w:val="0"/>
      <w:divBdr>
        <w:top w:val="none" w:sz="0" w:space="0" w:color="auto"/>
        <w:left w:val="none" w:sz="0" w:space="0" w:color="auto"/>
        <w:bottom w:val="none" w:sz="0" w:space="0" w:color="auto"/>
        <w:right w:val="none" w:sz="0" w:space="0" w:color="auto"/>
      </w:divBdr>
      <w:divsChild>
        <w:div w:id="89811646">
          <w:marLeft w:val="0"/>
          <w:marRight w:val="0"/>
          <w:marTop w:val="0"/>
          <w:marBottom w:val="0"/>
          <w:divBdr>
            <w:top w:val="none" w:sz="0" w:space="0" w:color="auto"/>
            <w:left w:val="none" w:sz="0" w:space="0" w:color="auto"/>
            <w:bottom w:val="none" w:sz="0" w:space="0" w:color="auto"/>
            <w:right w:val="none" w:sz="0" w:space="0" w:color="auto"/>
          </w:divBdr>
        </w:div>
        <w:div w:id="155615219">
          <w:marLeft w:val="0"/>
          <w:marRight w:val="0"/>
          <w:marTop w:val="0"/>
          <w:marBottom w:val="0"/>
          <w:divBdr>
            <w:top w:val="none" w:sz="0" w:space="0" w:color="auto"/>
            <w:left w:val="none" w:sz="0" w:space="0" w:color="auto"/>
            <w:bottom w:val="none" w:sz="0" w:space="0" w:color="auto"/>
            <w:right w:val="none" w:sz="0" w:space="0" w:color="auto"/>
          </w:divBdr>
        </w:div>
        <w:div w:id="199975584">
          <w:marLeft w:val="0"/>
          <w:marRight w:val="0"/>
          <w:marTop w:val="0"/>
          <w:marBottom w:val="0"/>
          <w:divBdr>
            <w:top w:val="none" w:sz="0" w:space="0" w:color="auto"/>
            <w:left w:val="none" w:sz="0" w:space="0" w:color="auto"/>
            <w:bottom w:val="none" w:sz="0" w:space="0" w:color="auto"/>
            <w:right w:val="none" w:sz="0" w:space="0" w:color="auto"/>
          </w:divBdr>
        </w:div>
        <w:div w:id="559023270">
          <w:marLeft w:val="0"/>
          <w:marRight w:val="0"/>
          <w:marTop w:val="0"/>
          <w:marBottom w:val="0"/>
          <w:divBdr>
            <w:top w:val="none" w:sz="0" w:space="0" w:color="auto"/>
            <w:left w:val="none" w:sz="0" w:space="0" w:color="auto"/>
            <w:bottom w:val="none" w:sz="0" w:space="0" w:color="auto"/>
            <w:right w:val="none" w:sz="0" w:space="0" w:color="auto"/>
          </w:divBdr>
        </w:div>
        <w:div w:id="578096278">
          <w:marLeft w:val="0"/>
          <w:marRight w:val="0"/>
          <w:marTop w:val="0"/>
          <w:marBottom w:val="0"/>
          <w:divBdr>
            <w:top w:val="none" w:sz="0" w:space="0" w:color="auto"/>
            <w:left w:val="none" w:sz="0" w:space="0" w:color="auto"/>
            <w:bottom w:val="none" w:sz="0" w:space="0" w:color="auto"/>
            <w:right w:val="none" w:sz="0" w:space="0" w:color="auto"/>
          </w:divBdr>
        </w:div>
        <w:div w:id="586502488">
          <w:marLeft w:val="0"/>
          <w:marRight w:val="0"/>
          <w:marTop w:val="0"/>
          <w:marBottom w:val="0"/>
          <w:divBdr>
            <w:top w:val="none" w:sz="0" w:space="0" w:color="auto"/>
            <w:left w:val="none" w:sz="0" w:space="0" w:color="auto"/>
            <w:bottom w:val="none" w:sz="0" w:space="0" w:color="auto"/>
            <w:right w:val="none" w:sz="0" w:space="0" w:color="auto"/>
          </w:divBdr>
        </w:div>
        <w:div w:id="721710110">
          <w:marLeft w:val="0"/>
          <w:marRight w:val="0"/>
          <w:marTop w:val="0"/>
          <w:marBottom w:val="0"/>
          <w:divBdr>
            <w:top w:val="none" w:sz="0" w:space="0" w:color="auto"/>
            <w:left w:val="none" w:sz="0" w:space="0" w:color="auto"/>
            <w:bottom w:val="none" w:sz="0" w:space="0" w:color="auto"/>
            <w:right w:val="none" w:sz="0" w:space="0" w:color="auto"/>
          </w:divBdr>
        </w:div>
        <w:div w:id="849679979">
          <w:marLeft w:val="0"/>
          <w:marRight w:val="0"/>
          <w:marTop w:val="0"/>
          <w:marBottom w:val="0"/>
          <w:divBdr>
            <w:top w:val="none" w:sz="0" w:space="0" w:color="auto"/>
            <w:left w:val="none" w:sz="0" w:space="0" w:color="auto"/>
            <w:bottom w:val="none" w:sz="0" w:space="0" w:color="auto"/>
            <w:right w:val="none" w:sz="0" w:space="0" w:color="auto"/>
          </w:divBdr>
        </w:div>
        <w:div w:id="918638723">
          <w:marLeft w:val="0"/>
          <w:marRight w:val="0"/>
          <w:marTop w:val="0"/>
          <w:marBottom w:val="0"/>
          <w:divBdr>
            <w:top w:val="none" w:sz="0" w:space="0" w:color="auto"/>
            <w:left w:val="none" w:sz="0" w:space="0" w:color="auto"/>
            <w:bottom w:val="none" w:sz="0" w:space="0" w:color="auto"/>
            <w:right w:val="none" w:sz="0" w:space="0" w:color="auto"/>
          </w:divBdr>
        </w:div>
        <w:div w:id="1101728536">
          <w:marLeft w:val="0"/>
          <w:marRight w:val="0"/>
          <w:marTop w:val="0"/>
          <w:marBottom w:val="0"/>
          <w:divBdr>
            <w:top w:val="none" w:sz="0" w:space="0" w:color="auto"/>
            <w:left w:val="none" w:sz="0" w:space="0" w:color="auto"/>
            <w:bottom w:val="none" w:sz="0" w:space="0" w:color="auto"/>
            <w:right w:val="none" w:sz="0" w:space="0" w:color="auto"/>
          </w:divBdr>
        </w:div>
        <w:div w:id="1202787887">
          <w:marLeft w:val="0"/>
          <w:marRight w:val="0"/>
          <w:marTop w:val="0"/>
          <w:marBottom w:val="0"/>
          <w:divBdr>
            <w:top w:val="none" w:sz="0" w:space="0" w:color="auto"/>
            <w:left w:val="none" w:sz="0" w:space="0" w:color="auto"/>
            <w:bottom w:val="none" w:sz="0" w:space="0" w:color="auto"/>
            <w:right w:val="none" w:sz="0" w:space="0" w:color="auto"/>
          </w:divBdr>
        </w:div>
        <w:div w:id="1231766386">
          <w:marLeft w:val="0"/>
          <w:marRight w:val="0"/>
          <w:marTop w:val="0"/>
          <w:marBottom w:val="0"/>
          <w:divBdr>
            <w:top w:val="none" w:sz="0" w:space="0" w:color="auto"/>
            <w:left w:val="none" w:sz="0" w:space="0" w:color="auto"/>
            <w:bottom w:val="none" w:sz="0" w:space="0" w:color="auto"/>
            <w:right w:val="none" w:sz="0" w:space="0" w:color="auto"/>
          </w:divBdr>
        </w:div>
        <w:div w:id="1328050073">
          <w:marLeft w:val="0"/>
          <w:marRight w:val="0"/>
          <w:marTop w:val="0"/>
          <w:marBottom w:val="0"/>
          <w:divBdr>
            <w:top w:val="none" w:sz="0" w:space="0" w:color="auto"/>
            <w:left w:val="none" w:sz="0" w:space="0" w:color="auto"/>
            <w:bottom w:val="none" w:sz="0" w:space="0" w:color="auto"/>
            <w:right w:val="none" w:sz="0" w:space="0" w:color="auto"/>
          </w:divBdr>
        </w:div>
        <w:div w:id="1562593837">
          <w:marLeft w:val="0"/>
          <w:marRight w:val="0"/>
          <w:marTop w:val="0"/>
          <w:marBottom w:val="0"/>
          <w:divBdr>
            <w:top w:val="none" w:sz="0" w:space="0" w:color="auto"/>
            <w:left w:val="none" w:sz="0" w:space="0" w:color="auto"/>
            <w:bottom w:val="none" w:sz="0" w:space="0" w:color="auto"/>
            <w:right w:val="none" w:sz="0" w:space="0" w:color="auto"/>
          </w:divBdr>
        </w:div>
        <w:div w:id="1708723761">
          <w:marLeft w:val="0"/>
          <w:marRight w:val="0"/>
          <w:marTop w:val="0"/>
          <w:marBottom w:val="0"/>
          <w:divBdr>
            <w:top w:val="none" w:sz="0" w:space="0" w:color="auto"/>
            <w:left w:val="none" w:sz="0" w:space="0" w:color="auto"/>
            <w:bottom w:val="none" w:sz="0" w:space="0" w:color="auto"/>
            <w:right w:val="none" w:sz="0" w:space="0" w:color="auto"/>
          </w:divBdr>
        </w:div>
        <w:div w:id="1712998544">
          <w:marLeft w:val="0"/>
          <w:marRight w:val="0"/>
          <w:marTop w:val="0"/>
          <w:marBottom w:val="0"/>
          <w:divBdr>
            <w:top w:val="none" w:sz="0" w:space="0" w:color="auto"/>
            <w:left w:val="none" w:sz="0" w:space="0" w:color="auto"/>
            <w:bottom w:val="none" w:sz="0" w:space="0" w:color="auto"/>
            <w:right w:val="none" w:sz="0" w:space="0" w:color="auto"/>
          </w:divBdr>
        </w:div>
        <w:div w:id="1750541386">
          <w:marLeft w:val="0"/>
          <w:marRight w:val="0"/>
          <w:marTop w:val="0"/>
          <w:marBottom w:val="0"/>
          <w:divBdr>
            <w:top w:val="none" w:sz="0" w:space="0" w:color="auto"/>
            <w:left w:val="none" w:sz="0" w:space="0" w:color="auto"/>
            <w:bottom w:val="none" w:sz="0" w:space="0" w:color="auto"/>
            <w:right w:val="none" w:sz="0" w:space="0" w:color="auto"/>
          </w:divBdr>
        </w:div>
        <w:div w:id="1770733436">
          <w:marLeft w:val="0"/>
          <w:marRight w:val="0"/>
          <w:marTop w:val="0"/>
          <w:marBottom w:val="0"/>
          <w:divBdr>
            <w:top w:val="none" w:sz="0" w:space="0" w:color="auto"/>
            <w:left w:val="none" w:sz="0" w:space="0" w:color="auto"/>
            <w:bottom w:val="none" w:sz="0" w:space="0" w:color="auto"/>
            <w:right w:val="none" w:sz="0" w:space="0" w:color="auto"/>
          </w:divBdr>
        </w:div>
        <w:div w:id="1900823183">
          <w:marLeft w:val="0"/>
          <w:marRight w:val="0"/>
          <w:marTop w:val="0"/>
          <w:marBottom w:val="0"/>
          <w:divBdr>
            <w:top w:val="none" w:sz="0" w:space="0" w:color="auto"/>
            <w:left w:val="none" w:sz="0" w:space="0" w:color="auto"/>
            <w:bottom w:val="none" w:sz="0" w:space="0" w:color="auto"/>
            <w:right w:val="none" w:sz="0" w:space="0" w:color="auto"/>
          </w:divBdr>
        </w:div>
      </w:divsChild>
    </w:div>
    <w:div w:id="78600135">
      <w:bodyDiv w:val="1"/>
      <w:marLeft w:val="0"/>
      <w:marRight w:val="0"/>
      <w:marTop w:val="0"/>
      <w:marBottom w:val="0"/>
      <w:divBdr>
        <w:top w:val="none" w:sz="0" w:space="0" w:color="auto"/>
        <w:left w:val="none" w:sz="0" w:space="0" w:color="auto"/>
        <w:bottom w:val="none" w:sz="0" w:space="0" w:color="auto"/>
        <w:right w:val="none" w:sz="0" w:space="0" w:color="auto"/>
      </w:divBdr>
      <w:divsChild>
        <w:div w:id="589391714">
          <w:marLeft w:val="0"/>
          <w:marRight w:val="0"/>
          <w:marTop w:val="0"/>
          <w:marBottom w:val="0"/>
          <w:divBdr>
            <w:top w:val="none" w:sz="0" w:space="0" w:color="auto"/>
            <w:left w:val="none" w:sz="0" w:space="0" w:color="auto"/>
            <w:bottom w:val="none" w:sz="0" w:space="0" w:color="auto"/>
            <w:right w:val="none" w:sz="0" w:space="0" w:color="auto"/>
          </w:divBdr>
          <w:divsChild>
            <w:div w:id="588663147">
              <w:marLeft w:val="0"/>
              <w:marRight w:val="0"/>
              <w:marTop w:val="0"/>
              <w:marBottom w:val="0"/>
              <w:divBdr>
                <w:top w:val="none" w:sz="0" w:space="0" w:color="auto"/>
                <w:left w:val="none" w:sz="0" w:space="0" w:color="auto"/>
                <w:bottom w:val="none" w:sz="0" w:space="0" w:color="auto"/>
                <w:right w:val="none" w:sz="0" w:space="0" w:color="auto"/>
              </w:divBdr>
              <w:divsChild>
                <w:div w:id="606501450">
                  <w:marLeft w:val="0"/>
                  <w:marRight w:val="0"/>
                  <w:marTop w:val="0"/>
                  <w:marBottom w:val="0"/>
                  <w:divBdr>
                    <w:top w:val="none" w:sz="0" w:space="0" w:color="auto"/>
                    <w:left w:val="none" w:sz="0" w:space="0" w:color="auto"/>
                    <w:bottom w:val="none" w:sz="0" w:space="0" w:color="auto"/>
                    <w:right w:val="none" w:sz="0" w:space="0" w:color="auto"/>
                  </w:divBdr>
                  <w:divsChild>
                    <w:div w:id="1843932584">
                      <w:marLeft w:val="0"/>
                      <w:marRight w:val="0"/>
                      <w:marTop w:val="0"/>
                      <w:marBottom w:val="0"/>
                      <w:divBdr>
                        <w:top w:val="none" w:sz="0" w:space="0" w:color="auto"/>
                        <w:left w:val="none" w:sz="0" w:space="0" w:color="auto"/>
                        <w:bottom w:val="none" w:sz="0" w:space="0" w:color="auto"/>
                        <w:right w:val="none" w:sz="0" w:space="0" w:color="auto"/>
                      </w:divBdr>
                      <w:divsChild>
                        <w:div w:id="158152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7455889">
          <w:marLeft w:val="0"/>
          <w:marRight w:val="0"/>
          <w:marTop w:val="0"/>
          <w:marBottom w:val="0"/>
          <w:divBdr>
            <w:top w:val="none" w:sz="0" w:space="0" w:color="auto"/>
            <w:left w:val="none" w:sz="0" w:space="0" w:color="auto"/>
            <w:bottom w:val="none" w:sz="0" w:space="0" w:color="auto"/>
            <w:right w:val="none" w:sz="0" w:space="0" w:color="auto"/>
          </w:divBdr>
          <w:divsChild>
            <w:div w:id="141415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77155">
      <w:bodyDiv w:val="1"/>
      <w:marLeft w:val="0"/>
      <w:marRight w:val="0"/>
      <w:marTop w:val="0"/>
      <w:marBottom w:val="0"/>
      <w:divBdr>
        <w:top w:val="none" w:sz="0" w:space="0" w:color="auto"/>
        <w:left w:val="none" w:sz="0" w:space="0" w:color="auto"/>
        <w:bottom w:val="none" w:sz="0" w:space="0" w:color="auto"/>
        <w:right w:val="none" w:sz="0" w:space="0" w:color="auto"/>
      </w:divBdr>
    </w:div>
    <w:div w:id="139276533">
      <w:bodyDiv w:val="1"/>
      <w:marLeft w:val="0"/>
      <w:marRight w:val="0"/>
      <w:marTop w:val="0"/>
      <w:marBottom w:val="0"/>
      <w:divBdr>
        <w:top w:val="none" w:sz="0" w:space="0" w:color="auto"/>
        <w:left w:val="none" w:sz="0" w:space="0" w:color="auto"/>
        <w:bottom w:val="none" w:sz="0" w:space="0" w:color="auto"/>
        <w:right w:val="none" w:sz="0" w:space="0" w:color="auto"/>
      </w:divBdr>
    </w:div>
    <w:div w:id="173738075">
      <w:bodyDiv w:val="1"/>
      <w:marLeft w:val="0"/>
      <w:marRight w:val="0"/>
      <w:marTop w:val="0"/>
      <w:marBottom w:val="0"/>
      <w:divBdr>
        <w:top w:val="none" w:sz="0" w:space="0" w:color="auto"/>
        <w:left w:val="none" w:sz="0" w:space="0" w:color="auto"/>
        <w:bottom w:val="none" w:sz="0" w:space="0" w:color="auto"/>
        <w:right w:val="none" w:sz="0" w:space="0" w:color="auto"/>
      </w:divBdr>
    </w:div>
    <w:div w:id="194465371">
      <w:bodyDiv w:val="1"/>
      <w:marLeft w:val="0"/>
      <w:marRight w:val="0"/>
      <w:marTop w:val="0"/>
      <w:marBottom w:val="0"/>
      <w:divBdr>
        <w:top w:val="none" w:sz="0" w:space="0" w:color="auto"/>
        <w:left w:val="none" w:sz="0" w:space="0" w:color="auto"/>
        <w:bottom w:val="none" w:sz="0" w:space="0" w:color="auto"/>
        <w:right w:val="none" w:sz="0" w:space="0" w:color="auto"/>
      </w:divBdr>
    </w:div>
    <w:div w:id="332950862">
      <w:bodyDiv w:val="1"/>
      <w:marLeft w:val="0"/>
      <w:marRight w:val="0"/>
      <w:marTop w:val="0"/>
      <w:marBottom w:val="0"/>
      <w:divBdr>
        <w:top w:val="none" w:sz="0" w:space="0" w:color="auto"/>
        <w:left w:val="none" w:sz="0" w:space="0" w:color="auto"/>
        <w:bottom w:val="none" w:sz="0" w:space="0" w:color="auto"/>
        <w:right w:val="none" w:sz="0" w:space="0" w:color="auto"/>
      </w:divBdr>
    </w:div>
    <w:div w:id="376051130">
      <w:bodyDiv w:val="1"/>
      <w:marLeft w:val="0"/>
      <w:marRight w:val="0"/>
      <w:marTop w:val="0"/>
      <w:marBottom w:val="0"/>
      <w:divBdr>
        <w:top w:val="none" w:sz="0" w:space="0" w:color="auto"/>
        <w:left w:val="none" w:sz="0" w:space="0" w:color="auto"/>
        <w:bottom w:val="none" w:sz="0" w:space="0" w:color="auto"/>
        <w:right w:val="none" w:sz="0" w:space="0" w:color="auto"/>
      </w:divBdr>
    </w:div>
    <w:div w:id="411513860">
      <w:bodyDiv w:val="1"/>
      <w:marLeft w:val="0"/>
      <w:marRight w:val="0"/>
      <w:marTop w:val="0"/>
      <w:marBottom w:val="0"/>
      <w:divBdr>
        <w:top w:val="none" w:sz="0" w:space="0" w:color="auto"/>
        <w:left w:val="none" w:sz="0" w:space="0" w:color="auto"/>
        <w:bottom w:val="none" w:sz="0" w:space="0" w:color="auto"/>
        <w:right w:val="none" w:sz="0" w:space="0" w:color="auto"/>
      </w:divBdr>
    </w:div>
    <w:div w:id="554198181">
      <w:bodyDiv w:val="1"/>
      <w:marLeft w:val="0"/>
      <w:marRight w:val="0"/>
      <w:marTop w:val="0"/>
      <w:marBottom w:val="0"/>
      <w:divBdr>
        <w:top w:val="none" w:sz="0" w:space="0" w:color="auto"/>
        <w:left w:val="none" w:sz="0" w:space="0" w:color="auto"/>
        <w:bottom w:val="none" w:sz="0" w:space="0" w:color="auto"/>
        <w:right w:val="none" w:sz="0" w:space="0" w:color="auto"/>
      </w:divBdr>
    </w:div>
    <w:div w:id="560021585">
      <w:bodyDiv w:val="1"/>
      <w:marLeft w:val="0"/>
      <w:marRight w:val="0"/>
      <w:marTop w:val="0"/>
      <w:marBottom w:val="0"/>
      <w:divBdr>
        <w:top w:val="none" w:sz="0" w:space="0" w:color="auto"/>
        <w:left w:val="none" w:sz="0" w:space="0" w:color="auto"/>
        <w:bottom w:val="none" w:sz="0" w:space="0" w:color="auto"/>
        <w:right w:val="none" w:sz="0" w:space="0" w:color="auto"/>
      </w:divBdr>
      <w:divsChild>
        <w:div w:id="1711494367">
          <w:marLeft w:val="0"/>
          <w:marRight w:val="0"/>
          <w:marTop w:val="0"/>
          <w:marBottom w:val="0"/>
          <w:divBdr>
            <w:top w:val="none" w:sz="0" w:space="0" w:color="auto"/>
            <w:left w:val="none" w:sz="0" w:space="0" w:color="auto"/>
            <w:bottom w:val="none" w:sz="0" w:space="0" w:color="auto"/>
            <w:right w:val="none" w:sz="0" w:space="0" w:color="auto"/>
          </w:divBdr>
        </w:div>
        <w:div w:id="1975913999">
          <w:marLeft w:val="0"/>
          <w:marRight w:val="0"/>
          <w:marTop w:val="0"/>
          <w:marBottom w:val="0"/>
          <w:divBdr>
            <w:top w:val="none" w:sz="0" w:space="0" w:color="auto"/>
            <w:left w:val="none" w:sz="0" w:space="0" w:color="auto"/>
            <w:bottom w:val="none" w:sz="0" w:space="0" w:color="auto"/>
            <w:right w:val="none" w:sz="0" w:space="0" w:color="auto"/>
          </w:divBdr>
        </w:div>
      </w:divsChild>
    </w:div>
    <w:div w:id="575437095">
      <w:bodyDiv w:val="1"/>
      <w:marLeft w:val="0"/>
      <w:marRight w:val="0"/>
      <w:marTop w:val="0"/>
      <w:marBottom w:val="0"/>
      <w:divBdr>
        <w:top w:val="none" w:sz="0" w:space="0" w:color="auto"/>
        <w:left w:val="none" w:sz="0" w:space="0" w:color="auto"/>
        <w:bottom w:val="none" w:sz="0" w:space="0" w:color="auto"/>
        <w:right w:val="none" w:sz="0" w:space="0" w:color="auto"/>
      </w:divBdr>
    </w:div>
    <w:div w:id="609631905">
      <w:bodyDiv w:val="1"/>
      <w:marLeft w:val="0"/>
      <w:marRight w:val="0"/>
      <w:marTop w:val="0"/>
      <w:marBottom w:val="0"/>
      <w:divBdr>
        <w:top w:val="none" w:sz="0" w:space="0" w:color="auto"/>
        <w:left w:val="none" w:sz="0" w:space="0" w:color="auto"/>
        <w:bottom w:val="none" w:sz="0" w:space="0" w:color="auto"/>
        <w:right w:val="none" w:sz="0" w:space="0" w:color="auto"/>
      </w:divBdr>
      <w:divsChild>
        <w:div w:id="10032444">
          <w:marLeft w:val="0"/>
          <w:marRight w:val="0"/>
          <w:marTop w:val="0"/>
          <w:marBottom w:val="0"/>
          <w:divBdr>
            <w:top w:val="none" w:sz="0" w:space="0" w:color="auto"/>
            <w:left w:val="none" w:sz="0" w:space="0" w:color="auto"/>
            <w:bottom w:val="none" w:sz="0" w:space="0" w:color="auto"/>
            <w:right w:val="none" w:sz="0" w:space="0" w:color="auto"/>
          </w:divBdr>
        </w:div>
        <w:div w:id="365520522">
          <w:marLeft w:val="0"/>
          <w:marRight w:val="0"/>
          <w:marTop w:val="0"/>
          <w:marBottom w:val="0"/>
          <w:divBdr>
            <w:top w:val="none" w:sz="0" w:space="0" w:color="auto"/>
            <w:left w:val="none" w:sz="0" w:space="0" w:color="auto"/>
            <w:bottom w:val="none" w:sz="0" w:space="0" w:color="auto"/>
            <w:right w:val="none" w:sz="0" w:space="0" w:color="auto"/>
          </w:divBdr>
        </w:div>
        <w:div w:id="641352389">
          <w:marLeft w:val="0"/>
          <w:marRight w:val="0"/>
          <w:marTop w:val="0"/>
          <w:marBottom w:val="0"/>
          <w:divBdr>
            <w:top w:val="none" w:sz="0" w:space="0" w:color="auto"/>
            <w:left w:val="none" w:sz="0" w:space="0" w:color="auto"/>
            <w:bottom w:val="none" w:sz="0" w:space="0" w:color="auto"/>
            <w:right w:val="none" w:sz="0" w:space="0" w:color="auto"/>
          </w:divBdr>
        </w:div>
        <w:div w:id="943803237">
          <w:marLeft w:val="0"/>
          <w:marRight w:val="0"/>
          <w:marTop w:val="0"/>
          <w:marBottom w:val="0"/>
          <w:divBdr>
            <w:top w:val="none" w:sz="0" w:space="0" w:color="auto"/>
            <w:left w:val="none" w:sz="0" w:space="0" w:color="auto"/>
            <w:bottom w:val="none" w:sz="0" w:space="0" w:color="auto"/>
            <w:right w:val="none" w:sz="0" w:space="0" w:color="auto"/>
          </w:divBdr>
        </w:div>
        <w:div w:id="1312322652">
          <w:marLeft w:val="0"/>
          <w:marRight w:val="0"/>
          <w:marTop w:val="0"/>
          <w:marBottom w:val="0"/>
          <w:divBdr>
            <w:top w:val="none" w:sz="0" w:space="0" w:color="auto"/>
            <w:left w:val="none" w:sz="0" w:space="0" w:color="auto"/>
            <w:bottom w:val="none" w:sz="0" w:space="0" w:color="auto"/>
            <w:right w:val="none" w:sz="0" w:space="0" w:color="auto"/>
          </w:divBdr>
        </w:div>
        <w:div w:id="1964462424">
          <w:marLeft w:val="0"/>
          <w:marRight w:val="0"/>
          <w:marTop w:val="0"/>
          <w:marBottom w:val="0"/>
          <w:divBdr>
            <w:top w:val="none" w:sz="0" w:space="0" w:color="auto"/>
            <w:left w:val="none" w:sz="0" w:space="0" w:color="auto"/>
            <w:bottom w:val="none" w:sz="0" w:space="0" w:color="auto"/>
            <w:right w:val="none" w:sz="0" w:space="0" w:color="auto"/>
          </w:divBdr>
        </w:div>
      </w:divsChild>
    </w:div>
    <w:div w:id="709262359">
      <w:bodyDiv w:val="1"/>
      <w:marLeft w:val="0"/>
      <w:marRight w:val="0"/>
      <w:marTop w:val="0"/>
      <w:marBottom w:val="0"/>
      <w:divBdr>
        <w:top w:val="none" w:sz="0" w:space="0" w:color="auto"/>
        <w:left w:val="none" w:sz="0" w:space="0" w:color="auto"/>
        <w:bottom w:val="none" w:sz="0" w:space="0" w:color="auto"/>
        <w:right w:val="none" w:sz="0" w:space="0" w:color="auto"/>
      </w:divBdr>
    </w:div>
    <w:div w:id="782960993">
      <w:bodyDiv w:val="1"/>
      <w:marLeft w:val="0"/>
      <w:marRight w:val="0"/>
      <w:marTop w:val="0"/>
      <w:marBottom w:val="0"/>
      <w:divBdr>
        <w:top w:val="none" w:sz="0" w:space="0" w:color="auto"/>
        <w:left w:val="none" w:sz="0" w:space="0" w:color="auto"/>
        <w:bottom w:val="none" w:sz="0" w:space="0" w:color="auto"/>
        <w:right w:val="none" w:sz="0" w:space="0" w:color="auto"/>
      </w:divBdr>
    </w:div>
    <w:div w:id="812215713">
      <w:bodyDiv w:val="1"/>
      <w:marLeft w:val="0"/>
      <w:marRight w:val="0"/>
      <w:marTop w:val="0"/>
      <w:marBottom w:val="0"/>
      <w:divBdr>
        <w:top w:val="none" w:sz="0" w:space="0" w:color="auto"/>
        <w:left w:val="none" w:sz="0" w:space="0" w:color="auto"/>
        <w:bottom w:val="none" w:sz="0" w:space="0" w:color="auto"/>
        <w:right w:val="none" w:sz="0" w:space="0" w:color="auto"/>
      </w:divBdr>
    </w:div>
    <w:div w:id="842746841">
      <w:bodyDiv w:val="1"/>
      <w:marLeft w:val="0"/>
      <w:marRight w:val="0"/>
      <w:marTop w:val="0"/>
      <w:marBottom w:val="0"/>
      <w:divBdr>
        <w:top w:val="none" w:sz="0" w:space="0" w:color="auto"/>
        <w:left w:val="none" w:sz="0" w:space="0" w:color="auto"/>
        <w:bottom w:val="none" w:sz="0" w:space="0" w:color="auto"/>
        <w:right w:val="none" w:sz="0" w:space="0" w:color="auto"/>
      </w:divBdr>
    </w:div>
    <w:div w:id="852651485">
      <w:bodyDiv w:val="1"/>
      <w:marLeft w:val="0"/>
      <w:marRight w:val="0"/>
      <w:marTop w:val="0"/>
      <w:marBottom w:val="0"/>
      <w:divBdr>
        <w:top w:val="none" w:sz="0" w:space="0" w:color="auto"/>
        <w:left w:val="none" w:sz="0" w:space="0" w:color="auto"/>
        <w:bottom w:val="none" w:sz="0" w:space="0" w:color="auto"/>
        <w:right w:val="none" w:sz="0" w:space="0" w:color="auto"/>
      </w:divBdr>
    </w:div>
    <w:div w:id="933518408">
      <w:bodyDiv w:val="1"/>
      <w:marLeft w:val="0"/>
      <w:marRight w:val="0"/>
      <w:marTop w:val="0"/>
      <w:marBottom w:val="0"/>
      <w:divBdr>
        <w:top w:val="none" w:sz="0" w:space="0" w:color="auto"/>
        <w:left w:val="none" w:sz="0" w:space="0" w:color="auto"/>
        <w:bottom w:val="none" w:sz="0" w:space="0" w:color="auto"/>
        <w:right w:val="none" w:sz="0" w:space="0" w:color="auto"/>
      </w:divBdr>
    </w:div>
    <w:div w:id="958952879">
      <w:bodyDiv w:val="1"/>
      <w:marLeft w:val="0"/>
      <w:marRight w:val="0"/>
      <w:marTop w:val="0"/>
      <w:marBottom w:val="0"/>
      <w:divBdr>
        <w:top w:val="none" w:sz="0" w:space="0" w:color="auto"/>
        <w:left w:val="none" w:sz="0" w:space="0" w:color="auto"/>
        <w:bottom w:val="none" w:sz="0" w:space="0" w:color="auto"/>
        <w:right w:val="none" w:sz="0" w:space="0" w:color="auto"/>
      </w:divBdr>
    </w:div>
    <w:div w:id="980188945">
      <w:bodyDiv w:val="1"/>
      <w:marLeft w:val="0"/>
      <w:marRight w:val="0"/>
      <w:marTop w:val="0"/>
      <w:marBottom w:val="0"/>
      <w:divBdr>
        <w:top w:val="none" w:sz="0" w:space="0" w:color="auto"/>
        <w:left w:val="none" w:sz="0" w:space="0" w:color="auto"/>
        <w:bottom w:val="none" w:sz="0" w:space="0" w:color="auto"/>
        <w:right w:val="none" w:sz="0" w:space="0" w:color="auto"/>
      </w:divBdr>
    </w:div>
    <w:div w:id="1019625927">
      <w:bodyDiv w:val="1"/>
      <w:marLeft w:val="0"/>
      <w:marRight w:val="0"/>
      <w:marTop w:val="0"/>
      <w:marBottom w:val="0"/>
      <w:divBdr>
        <w:top w:val="none" w:sz="0" w:space="0" w:color="auto"/>
        <w:left w:val="none" w:sz="0" w:space="0" w:color="auto"/>
        <w:bottom w:val="none" w:sz="0" w:space="0" w:color="auto"/>
        <w:right w:val="none" w:sz="0" w:space="0" w:color="auto"/>
      </w:divBdr>
    </w:div>
    <w:div w:id="1054350890">
      <w:bodyDiv w:val="1"/>
      <w:marLeft w:val="0"/>
      <w:marRight w:val="0"/>
      <w:marTop w:val="0"/>
      <w:marBottom w:val="0"/>
      <w:divBdr>
        <w:top w:val="none" w:sz="0" w:space="0" w:color="auto"/>
        <w:left w:val="none" w:sz="0" w:space="0" w:color="auto"/>
        <w:bottom w:val="none" w:sz="0" w:space="0" w:color="auto"/>
        <w:right w:val="none" w:sz="0" w:space="0" w:color="auto"/>
      </w:divBdr>
    </w:div>
    <w:div w:id="1068722720">
      <w:bodyDiv w:val="1"/>
      <w:marLeft w:val="0"/>
      <w:marRight w:val="0"/>
      <w:marTop w:val="0"/>
      <w:marBottom w:val="0"/>
      <w:divBdr>
        <w:top w:val="none" w:sz="0" w:space="0" w:color="auto"/>
        <w:left w:val="none" w:sz="0" w:space="0" w:color="auto"/>
        <w:bottom w:val="none" w:sz="0" w:space="0" w:color="auto"/>
        <w:right w:val="none" w:sz="0" w:space="0" w:color="auto"/>
      </w:divBdr>
    </w:div>
    <w:div w:id="1146823292">
      <w:bodyDiv w:val="1"/>
      <w:marLeft w:val="0"/>
      <w:marRight w:val="0"/>
      <w:marTop w:val="0"/>
      <w:marBottom w:val="0"/>
      <w:divBdr>
        <w:top w:val="none" w:sz="0" w:space="0" w:color="auto"/>
        <w:left w:val="none" w:sz="0" w:space="0" w:color="auto"/>
        <w:bottom w:val="none" w:sz="0" w:space="0" w:color="auto"/>
        <w:right w:val="none" w:sz="0" w:space="0" w:color="auto"/>
      </w:divBdr>
    </w:div>
    <w:div w:id="1200051394">
      <w:bodyDiv w:val="1"/>
      <w:marLeft w:val="0"/>
      <w:marRight w:val="0"/>
      <w:marTop w:val="0"/>
      <w:marBottom w:val="0"/>
      <w:divBdr>
        <w:top w:val="none" w:sz="0" w:space="0" w:color="auto"/>
        <w:left w:val="none" w:sz="0" w:space="0" w:color="auto"/>
        <w:bottom w:val="none" w:sz="0" w:space="0" w:color="auto"/>
        <w:right w:val="none" w:sz="0" w:space="0" w:color="auto"/>
      </w:divBdr>
    </w:div>
    <w:div w:id="1323653894">
      <w:bodyDiv w:val="1"/>
      <w:marLeft w:val="0"/>
      <w:marRight w:val="0"/>
      <w:marTop w:val="0"/>
      <w:marBottom w:val="0"/>
      <w:divBdr>
        <w:top w:val="none" w:sz="0" w:space="0" w:color="auto"/>
        <w:left w:val="none" w:sz="0" w:space="0" w:color="auto"/>
        <w:bottom w:val="none" w:sz="0" w:space="0" w:color="auto"/>
        <w:right w:val="none" w:sz="0" w:space="0" w:color="auto"/>
      </w:divBdr>
    </w:div>
    <w:div w:id="1325204519">
      <w:bodyDiv w:val="1"/>
      <w:marLeft w:val="0"/>
      <w:marRight w:val="0"/>
      <w:marTop w:val="0"/>
      <w:marBottom w:val="0"/>
      <w:divBdr>
        <w:top w:val="none" w:sz="0" w:space="0" w:color="auto"/>
        <w:left w:val="none" w:sz="0" w:space="0" w:color="auto"/>
        <w:bottom w:val="none" w:sz="0" w:space="0" w:color="auto"/>
        <w:right w:val="none" w:sz="0" w:space="0" w:color="auto"/>
      </w:divBdr>
    </w:div>
    <w:div w:id="1393194170">
      <w:bodyDiv w:val="1"/>
      <w:marLeft w:val="0"/>
      <w:marRight w:val="0"/>
      <w:marTop w:val="0"/>
      <w:marBottom w:val="0"/>
      <w:divBdr>
        <w:top w:val="none" w:sz="0" w:space="0" w:color="auto"/>
        <w:left w:val="none" w:sz="0" w:space="0" w:color="auto"/>
        <w:bottom w:val="none" w:sz="0" w:space="0" w:color="auto"/>
        <w:right w:val="none" w:sz="0" w:space="0" w:color="auto"/>
      </w:divBdr>
    </w:div>
    <w:div w:id="1445806538">
      <w:bodyDiv w:val="1"/>
      <w:marLeft w:val="0"/>
      <w:marRight w:val="0"/>
      <w:marTop w:val="0"/>
      <w:marBottom w:val="0"/>
      <w:divBdr>
        <w:top w:val="none" w:sz="0" w:space="0" w:color="auto"/>
        <w:left w:val="none" w:sz="0" w:space="0" w:color="auto"/>
        <w:bottom w:val="none" w:sz="0" w:space="0" w:color="auto"/>
        <w:right w:val="none" w:sz="0" w:space="0" w:color="auto"/>
      </w:divBdr>
      <w:divsChild>
        <w:div w:id="344134603">
          <w:marLeft w:val="0"/>
          <w:marRight w:val="0"/>
          <w:marTop w:val="0"/>
          <w:marBottom w:val="0"/>
          <w:divBdr>
            <w:top w:val="none" w:sz="0" w:space="0" w:color="auto"/>
            <w:left w:val="none" w:sz="0" w:space="0" w:color="auto"/>
            <w:bottom w:val="none" w:sz="0" w:space="0" w:color="auto"/>
            <w:right w:val="none" w:sz="0" w:space="0" w:color="auto"/>
          </w:divBdr>
          <w:divsChild>
            <w:div w:id="887913431">
              <w:marLeft w:val="0"/>
              <w:marRight w:val="0"/>
              <w:marTop w:val="0"/>
              <w:marBottom w:val="0"/>
              <w:divBdr>
                <w:top w:val="none" w:sz="0" w:space="0" w:color="auto"/>
                <w:left w:val="none" w:sz="0" w:space="0" w:color="auto"/>
                <w:bottom w:val="none" w:sz="0" w:space="0" w:color="auto"/>
                <w:right w:val="none" w:sz="0" w:space="0" w:color="auto"/>
              </w:divBdr>
            </w:div>
          </w:divsChild>
        </w:div>
        <w:div w:id="1287273932">
          <w:marLeft w:val="0"/>
          <w:marRight w:val="0"/>
          <w:marTop w:val="0"/>
          <w:marBottom w:val="0"/>
          <w:divBdr>
            <w:top w:val="none" w:sz="0" w:space="0" w:color="auto"/>
            <w:left w:val="none" w:sz="0" w:space="0" w:color="auto"/>
            <w:bottom w:val="none" w:sz="0" w:space="0" w:color="auto"/>
            <w:right w:val="none" w:sz="0" w:space="0" w:color="auto"/>
          </w:divBdr>
          <w:divsChild>
            <w:div w:id="171299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107952">
      <w:bodyDiv w:val="1"/>
      <w:marLeft w:val="0"/>
      <w:marRight w:val="0"/>
      <w:marTop w:val="0"/>
      <w:marBottom w:val="0"/>
      <w:divBdr>
        <w:top w:val="none" w:sz="0" w:space="0" w:color="auto"/>
        <w:left w:val="none" w:sz="0" w:space="0" w:color="auto"/>
        <w:bottom w:val="none" w:sz="0" w:space="0" w:color="auto"/>
        <w:right w:val="none" w:sz="0" w:space="0" w:color="auto"/>
      </w:divBdr>
    </w:div>
    <w:div w:id="1491796711">
      <w:bodyDiv w:val="1"/>
      <w:marLeft w:val="0"/>
      <w:marRight w:val="0"/>
      <w:marTop w:val="0"/>
      <w:marBottom w:val="0"/>
      <w:divBdr>
        <w:top w:val="none" w:sz="0" w:space="0" w:color="auto"/>
        <w:left w:val="none" w:sz="0" w:space="0" w:color="auto"/>
        <w:bottom w:val="none" w:sz="0" w:space="0" w:color="auto"/>
        <w:right w:val="none" w:sz="0" w:space="0" w:color="auto"/>
      </w:divBdr>
    </w:div>
    <w:div w:id="1507868763">
      <w:bodyDiv w:val="1"/>
      <w:marLeft w:val="0"/>
      <w:marRight w:val="0"/>
      <w:marTop w:val="0"/>
      <w:marBottom w:val="0"/>
      <w:divBdr>
        <w:top w:val="none" w:sz="0" w:space="0" w:color="auto"/>
        <w:left w:val="none" w:sz="0" w:space="0" w:color="auto"/>
        <w:bottom w:val="none" w:sz="0" w:space="0" w:color="auto"/>
        <w:right w:val="none" w:sz="0" w:space="0" w:color="auto"/>
      </w:divBdr>
    </w:div>
    <w:div w:id="1526015545">
      <w:bodyDiv w:val="1"/>
      <w:marLeft w:val="0"/>
      <w:marRight w:val="0"/>
      <w:marTop w:val="0"/>
      <w:marBottom w:val="0"/>
      <w:divBdr>
        <w:top w:val="none" w:sz="0" w:space="0" w:color="auto"/>
        <w:left w:val="none" w:sz="0" w:space="0" w:color="auto"/>
        <w:bottom w:val="none" w:sz="0" w:space="0" w:color="auto"/>
        <w:right w:val="none" w:sz="0" w:space="0" w:color="auto"/>
      </w:divBdr>
    </w:div>
    <w:div w:id="1582837343">
      <w:bodyDiv w:val="1"/>
      <w:marLeft w:val="0"/>
      <w:marRight w:val="0"/>
      <w:marTop w:val="0"/>
      <w:marBottom w:val="0"/>
      <w:divBdr>
        <w:top w:val="none" w:sz="0" w:space="0" w:color="auto"/>
        <w:left w:val="none" w:sz="0" w:space="0" w:color="auto"/>
        <w:bottom w:val="none" w:sz="0" w:space="0" w:color="auto"/>
        <w:right w:val="none" w:sz="0" w:space="0" w:color="auto"/>
      </w:divBdr>
    </w:div>
    <w:div w:id="1601065985">
      <w:bodyDiv w:val="1"/>
      <w:marLeft w:val="0"/>
      <w:marRight w:val="0"/>
      <w:marTop w:val="0"/>
      <w:marBottom w:val="0"/>
      <w:divBdr>
        <w:top w:val="none" w:sz="0" w:space="0" w:color="auto"/>
        <w:left w:val="none" w:sz="0" w:space="0" w:color="auto"/>
        <w:bottom w:val="none" w:sz="0" w:space="0" w:color="auto"/>
        <w:right w:val="none" w:sz="0" w:space="0" w:color="auto"/>
      </w:divBdr>
    </w:div>
    <w:div w:id="1729962497">
      <w:bodyDiv w:val="1"/>
      <w:marLeft w:val="0"/>
      <w:marRight w:val="0"/>
      <w:marTop w:val="0"/>
      <w:marBottom w:val="0"/>
      <w:divBdr>
        <w:top w:val="none" w:sz="0" w:space="0" w:color="auto"/>
        <w:left w:val="none" w:sz="0" w:space="0" w:color="auto"/>
        <w:bottom w:val="none" w:sz="0" w:space="0" w:color="auto"/>
        <w:right w:val="none" w:sz="0" w:space="0" w:color="auto"/>
      </w:divBdr>
    </w:div>
    <w:div w:id="1789884166">
      <w:bodyDiv w:val="1"/>
      <w:marLeft w:val="0"/>
      <w:marRight w:val="0"/>
      <w:marTop w:val="0"/>
      <w:marBottom w:val="0"/>
      <w:divBdr>
        <w:top w:val="none" w:sz="0" w:space="0" w:color="auto"/>
        <w:left w:val="none" w:sz="0" w:space="0" w:color="auto"/>
        <w:bottom w:val="none" w:sz="0" w:space="0" w:color="auto"/>
        <w:right w:val="none" w:sz="0" w:space="0" w:color="auto"/>
      </w:divBdr>
    </w:div>
    <w:div w:id="1909999052">
      <w:bodyDiv w:val="1"/>
      <w:marLeft w:val="0"/>
      <w:marRight w:val="0"/>
      <w:marTop w:val="0"/>
      <w:marBottom w:val="0"/>
      <w:divBdr>
        <w:top w:val="none" w:sz="0" w:space="0" w:color="auto"/>
        <w:left w:val="none" w:sz="0" w:space="0" w:color="auto"/>
        <w:bottom w:val="none" w:sz="0" w:space="0" w:color="auto"/>
        <w:right w:val="none" w:sz="0" w:space="0" w:color="auto"/>
      </w:divBdr>
    </w:div>
    <w:div w:id="1963267111">
      <w:bodyDiv w:val="1"/>
      <w:marLeft w:val="0"/>
      <w:marRight w:val="0"/>
      <w:marTop w:val="0"/>
      <w:marBottom w:val="0"/>
      <w:divBdr>
        <w:top w:val="none" w:sz="0" w:space="0" w:color="auto"/>
        <w:left w:val="none" w:sz="0" w:space="0" w:color="auto"/>
        <w:bottom w:val="none" w:sz="0" w:space="0" w:color="auto"/>
        <w:right w:val="none" w:sz="0" w:space="0" w:color="auto"/>
      </w:divBdr>
    </w:div>
    <w:div w:id="1969507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image" Target="media/image2.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eur-lex.europa.eu/legal-content/MT/TXT/?uri=CELEX%3A52022PC0361&amp;qid=1658479808193" TargetMode="Externa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https://commission.europa.eu/strategy-and-policy/priorities-2019-2024/new-push-european-democracy/conference-future-europe_mt"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s://commission.europa.eu/strategy-and-policy/priorities-2019-2024/european-green-deal/repowereu-affordable-secure-and-sustainable-energy-europe_mt" TargetMode="External"/><Relationship Id="rId23" Type="http://schemas.openxmlformats.org/officeDocument/2006/relationships/footer" Target="footer5.xml"/><Relationship Id="rId10" Type="http://schemas.openxmlformats.org/officeDocument/2006/relationships/header" Target="header2.xm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4.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solaralliance.eu/" TargetMode="External"/><Relationship Id="rId13" Type="http://schemas.openxmlformats.org/officeDocument/2006/relationships/hyperlink" Target="https://eur-lex.europa.eu/eli/reg/2018/1999/oj" TargetMode="External"/><Relationship Id="rId18" Type="http://schemas.openxmlformats.org/officeDocument/2006/relationships/hyperlink" Target="https://europa.eu/!3cfvJd" TargetMode="External"/><Relationship Id="rId3" Type="http://schemas.openxmlformats.org/officeDocument/2006/relationships/hyperlink" Target="https://reform-support.ec.europa.eu/publications-0/supporting-repowereu-affordable-secure-and-sustainable-energy-europe_mt" TargetMode="External"/><Relationship Id="rId21" Type="http://schemas.openxmlformats.org/officeDocument/2006/relationships/hyperlink" Target="https://ec.europa.eu/eurostat/databrowser/view/ilc_mdes01/default/table?lang=en" TargetMode="External"/><Relationship Id="rId7" Type="http://schemas.openxmlformats.org/officeDocument/2006/relationships/hyperlink" Target="https://eur-lex.europa.eu/legal-content/MT/TXT/?uri=COM%3A2022%3A221%3AFIN&amp;qid=1653034500503" TargetMode="External"/><Relationship Id="rId12" Type="http://schemas.openxmlformats.org/officeDocument/2006/relationships/hyperlink" Target="https://eur-lex.europa.eu/legal-content/MT/ALL/?uri=celex%3A32009L0119" TargetMode="External"/><Relationship Id="rId17" Type="http://schemas.openxmlformats.org/officeDocument/2006/relationships/hyperlink" Target="https://europa.eu/!3cfvJd" TargetMode="External"/><Relationship Id="rId2" Type="http://schemas.openxmlformats.org/officeDocument/2006/relationships/hyperlink" Target="https://reform-support.ec.europa.eu/publications-0/supporting-repowereu-affordable-secure-and-sustainable-energy-europe_mt" TargetMode="External"/><Relationship Id="rId16" Type="http://schemas.openxmlformats.org/officeDocument/2006/relationships/hyperlink" Target="https://energy.ec.europa.eu/news/pact-skills-launch-large-scale-renewable-energy-skills-partnership-2023-03-21_mt" TargetMode="External"/><Relationship Id="rId20" Type="http://schemas.openxmlformats.org/officeDocument/2006/relationships/hyperlink" Target="https://www.consilium.europa.eu/media/ny3j24sm/much-more-than-a-market-report-by-enrico-letta.pdf" TargetMode="External"/><Relationship Id="rId1" Type="http://schemas.openxmlformats.org/officeDocument/2006/relationships/hyperlink" Target="https://energy.ec.europa.eu/topics/infrastructure/projects-common-interest-and-projects-mutual-interest/key-cross-border-infrastructure-projects_mt" TargetMode="External"/><Relationship Id="rId6" Type="http://schemas.openxmlformats.org/officeDocument/2006/relationships/hyperlink" Target="https://data.consilium.europa.eu/doc/document/PE-105-2023-INIT/mt/pdf" TargetMode="External"/><Relationship Id="rId11" Type="http://schemas.openxmlformats.org/officeDocument/2006/relationships/hyperlink" Target="https://www.eca.europa.eu/mt/publications/SR-2024-11" TargetMode="External"/><Relationship Id="rId5" Type="http://schemas.openxmlformats.org/officeDocument/2006/relationships/hyperlink" Target="https://data.consilium.europa.eu/doc/document/PE-104-2023-INIT/mt/pdf" TargetMode="External"/><Relationship Id="rId15" Type="http://schemas.openxmlformats.org/officeDocument/2006/relationships/hyperlink" Target="http://data.europa.eu/eli/reg/2011/1227/oj" TargetMode="External"/><Relationship Id="rId23" Type="http://schemas.openxmlformats.org/officeDocument/2006/relationships/hyperlink" Target="https://ec.europa.eu/eurostat/databrowser/view/ilc_mdes01/default/table?lang=en" TargetMode="External"/><Relationship Id="rId10" Type="http://schemas.openxmlformats.org/officeDocument/2006/relationships/hyperlink" Target="https://research-and-innovation.ec.europa.eu/document/download/e5e75789-d4d8-42aa-8c99-3f33b2f5b935_en?filename=ec_rtd_swd-2024-159-f1.pdf" TargetMode="External"/><Relationship Id="rId19" Type="http://schemas.openxmlformats.org/officeDocument/2006/relationships/hyperlink" Target="https://www.consilium.europa.eu/media/ny3j24sm/much-more-than-a-market-report-by-enrico-letta.pdf" TargetMode="External"/><Relationship Id="rId4" Type="http://schemas.openxmlformats.org/officeDocument/2006/relationships/hyperlink" Target="https://eur-lex.europa.eu/legal-content/MT/TXT/PDF/?uri=OJ:L_202401275&amp;qid=1720111113186" TargetMode="External"/><Relationship Id="rId9" Type="http://schemas.openxmlformats.org/officeDocument/2006/relationships/hyperlink" Target="https://research-and-innovation.ec.europa.eu/document/download/e5e75789-d4d8-42aa-8c99-3f33b2f5b935_en?filename=ec_rtd_swd-2024-159-f1.pdf" TargetMode="External"/><Relationship Id="rId14" Type="http://schemas.openxmlformats.org/officeDocument/2006/relationships/hyperlink" Target="https://eur-lex.europa.eu/eli/reg/2017/1938/oj" TargetMode="External"/><Relationship Id="rId22" Type="http://schemas.openxmlformats.org/officeDocument/2006/relationships/hyperlink" Target="https://ec.europa.eu/eurostat/databrowser/view/ilc_mdes01/default/table?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2280F-83CE-47DA-8DAC-842B7F449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11221</Words>
  <Characters>63965</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75036</CharactersWithSpaces>
  <SharedDoc>false</SharedDoc>
  <HLinks>
    <vt:vector size="150" baseType="variant">
      <vt:variant>
        <vt:i4>7471104</vt:i4>
      </vt:variant>
      <vt:variant>
        <vt:i4>9</vt:i4>
      </vt:variant>
      <vt:variant>
        <vt:i4>0</vt:i4>
      </vt:variant>
      <vt:variant>
        <vt:i4>5</vt:i4>
      </vt:variant>
      <vt:variant>
        <vt:lpwstr>https://energy.ec.europa.eu/proposal-regulation-coordinated-demand-reduction-measures-gas_en</vt:lpwstr>
      </vt:variant>
      <vt:variant>
        <vt:lpwstr/>
      </vt:variant>
      <vt:variant>
        <vt:i4>4456566</vt:i4>
      </vt:variant>
      <vt:variant>
        <vt:i4>3</vt:i4>
      </vt:variant>
      <vt:variant>
        <vt:i4>0</vt:i4>
      </vt:variant>
      <vt:variant>
        <vt:i4>5</vt:i4>
      </vt:variant>
      <vt:variant>
        <vt:lpwstr>https://commission.europa.eu/strategy-and-policy/priorities-2019-2024/new-push-european-democracy/conference-future-europe_en</vt:lpwstr>
      </vt:variant>
      <vt:variant>
        <vt:lpwstr/>
      </vt:variant>
      <vt:variant>
        <vt:i4>589938</vt:i4>
      </vt:variant>
      <vt:variant>
        <vt:i4>0</vt:i4>
      </vt:variant>
      <vt:variant>
        <vt:i4>0</vt:i4>
      </vt:variant>
      <vt:variant>
        <vt:i4>5</vt:i4>
      </vt:variant>
      <vt:variant>
        <vt:lpwstr>https://commission.europa.eu/strategy-and-policy/priorities-2019-2024/european-green-deal/repowereu-affordable-secure-and-sustainable-energy-europe_en</vt:lpwstr>
      </vt:variant>
      <vt:variant>
        <vt:lpwstr>:~:text=REPowerEU%20is%20the%20European%20Commission%E2%80%99s%20plan%20to%20make,as%20a%20Union%2C%20Europe%20can%20achieve%20this%20faster.</vt:lpwstr>
      </vt:variant>
      <vt:variant>
        <vt:i4>4063322</vt:i4>
      </vt:variant>
      <vt:variant>
        <vt:i4>58</vt:i4>
      </vt:variant>
      <vt:variant>
        <vt:i4>0</vt:i4>
      </vt:variant>
      <vt:variant>
        <vt:i4>5</vt:i4>
      </vt:variant>
      <vt:variant>
        <vt:lpwstr>https://ec.europa.eu/eurostat/databrowser/view/ilc_mdes01/default/table?lang=en</vt:lpwstr>
      </vt:variant>
      <vt:variant>
        <vt:lpwstr/>
      </vt:variant>
      <vt:variant>
        <vt:i4>4063322</vt:i4>
      </vt:variant>
      <vt:variant>
        <vt:i4>56</vt:i4>
      </vt:variant>
      <vt:variant>
        <vt:i4>0</vt:i4>
      </vt:variant>
      <vt:variant>
        <vt:i4>5</vt:i4>
      </vt:variant>
      <vt:variant>
        <vt:lpwstr>https://ec.europa.eu/eurostat/databrowser/view/ilc_mdes01/default/table?lang=en</vt:lpwstr>
      </vt:variant>
      <vt:variant>
        <vt:lpwstr/>
      </vt:variant>
      <vt:variant>
        <vt:i4>4063322</vt:i4>
      </vt:variant>
      <vt:variant>
        <vt:i4>54</vt:i4>
      </vt:variant>
      <vt:variant>
        <vt:i4>0</vt:i4>
      </vt:variant>
      <vt:variant>
        <vt:i4>5</vt:i4>
      </vt:variant>
      <vt:variant>
        <vt:lpwstr>https://ec.europa.eu/eurostat/databrowser/view/ilc_mdes01/default/table?lang=en</vt:lpwstr>
      </vt:variant>
      <vt:variant>
        <vt:lpwstr/>
      </vt:variant>
      <vt:variant>
        <vt:i4>6225928</vt:i4>
      </vt:variant>
      <vt:variant>
        <vt:i4>50</vt:i4>
      </vt:variant>
      <vt:variant>
        <vt:i4>0</vt:i4>
      </vt:variant>
      <vt:variant>
        <vt:i4>5</vt:i4>
      </vt:variant>
      <vt:variant>
        <vt:lpwstr>https://www.consilium.europa.eu/media/ny3j24sm/much-more-than-a-market-report-by-enrico-letta.pdf</vt:lpwstr>
      </vt:variant>
      <vt:variant>
        <vt:lpwstr/>
      </vt:variant>
      <vt:variant>
        <vt:i4>6225928</vt:i4>
      </vt:variant>
      <vt:variant>
        <vt:i4>48</vt:i4>
      </vt:variant>
      <vt:variant>
        <vt:i4>0</vt:i4>
      </vt:variant>
      <vt:variant>
        <vt:i4>5</vt:i4>
      </vt:variant>
      <vt:variant>
        <vt:lpwstr>https://www.consilium.europa.eu/media/ny3j24sm/much-more-than-a-market-report-by-enrico-letta.pdf</vt:lpwstr>
      </vt:variant>
      <vt:variant>
        <vt:lpwstr/>
      </vt:variant>
      <vt:variant>
        <vt:i4>2031688</vt:i4>
      </vt:variant>
      <vt:variant>
        <vt:i4>44</vt:i4>
      </vt:variant>
      <vt:variant>
        <vt:i4>0</vt:i4>
      </vt:variant>
      <vt:variant>
        <vt:i4>5</vt:i4>
      </vt:variant>
      <vt:variant>
        <vt:lpwstr>https://europa.eu/!3cfvJd</vt:lpwstr>
      </vt:variant>
      <vt:variant>
        <vt:lpwstr/>
      </vt:variant>
      <vt:variant>
        <vt:i4>2031688</vt:i4>
      </vt:variant>
      <vt:variant>
        <vt:i4>42</vt:i4>
      </vt:variant>
      <vt:variant>
        <vt:i4>0</vt:i4>
      </vt:variant>
      <vt:variant>
        <vt:i4>5</vt:i4>
      </vt:variant>
      <vt:variant>
        <vt:lpwstr>https://europa.eu/!3cfvJd</vt:lpwstr>
      </vt:variant>
      <vt:variant>
        <vt:lpwstr/>
      </vt:variant>
      <vt:variant>
        <vt:i4>2031714</vt:i4>
      </vt:variant>
      <vt:variant>
        <vt:i4>39</vt:i4>
      </vt:variant>
      <vt:variant>
        <vt:i4>0</vt:i4>
      </vt:variant>
      <vt:variant>
        <vt:i4>5</vt:i4>
      </vt:variant>
      <vt:variant>
        <vt:lpwstr>https://energy.ec.europa.eu/news/pact-skills-launch-large-scale-renewable-energy-skills-partnership-2023-03-21_en</vt:lpwstr>
      </vt:variant>
      <vt:variant>
        <vt:lpwstr/>
      </vt:variant>
      <vt:variant>
        <vt:i4>6946922</vt:i4>
      </vt:variant>
      <vt:variant>
        <vt:i4>36</vt:i4>
      </vt:variant>
      <vt:variant>
        <vt:i4>0</vt:i4>
      </vt:variant>
      <vt:variant>
        <vt:i4>5</vt:i4>
      </vt:variant>
      <vt:variant>
        <vt:lpwstr>http://data.europa.eu/eli/reg/2011/1227/oj</vt:lpwstr>
      </vt:variant>
      <vt:variant>
        <vt:lpwstr/>
      </vt:variant>
      <vt:variant>
        <vt:i4>7995428</vt:i4>
      </vt:variant>
      <vt:variant>
        <vt:i4>33</vt:i4>
      </vt:variant>
      <vt:variant>
        <vt:i4>0</vt:i4>
      </vt:variant>
      <vt:variant>
        <vt:i4>5</vt:i4>
      </vt:variant>
      <vt:variant>
        <vt:lpwstr>https://eur-lex.europa.eu/eli/reg/2017/1938/oj</vt:lpwstr>
      </vt:variant>
      <vt:variant>
        <vt:lpwstr/>
      </vt:variant>
      <vt:variant>
        <vt:i4>8323109</vt:i4>
      </vt:variant>
      <vt:variant>
        <vt:i4>30</vt:i4>
      </vt:variant>
      <vt:variant>
        <vt:i4>0</vt:i4>
      </vt:variant>
      <vt:variant>
        <vt:i4>5</vt:i4>
      </vt:variant>
      <vt:variant>
        <vt:lpwstr>https://eur-lex.europa.eu/eli/reg/2018/1999/oj</vt:lpwstr>
      </vt:variant>
      <vt:variant>
        <vt:lpwstr/>
      </vt:variant>
      <vt:variant>
        <vt:i4>7405678</vt:i4>
      </vt:variant>
      <vt:variant>
        <vt:i4>27</vt:i4>
      </vt:variant>
      <vt:variant>
        <vt:i4>0</vt:i4>
      </vt:variant>
      <vt:variant>
        <vt:i4>5</vt:i4>
      </vt:variant>
      <vt:variant>
        <vt:lpwstr>https://eur-lex.europa.eu/legal-content/EN/ALL/?uri=celex%3A32009L0119</vt:lpwstr>
      </vt:variant>
      <vt:variant>
        <vt:lpwstr/>
      </vt:variant>
      <vt:variant>
        <vt:i4>393291</vt:i4>
      </vt:variant>
      <vt:variant>
        <vt:i4>24</vt:i4>
      </vt:variant>
      <vt:variant>
        <vt:i4>0</vt:i4>
      </vt:variant>
      <vt:variant>
        <vt:i4>5</vt:i4>
      </vt:variant>
      <vt:variant>
        <vt:lpwstr>https://www.eca.europa.eu/en/publications/SR-2024-11</vt:lpwstr>
      </vt:variant>
      <vt:variant>
        <vt:lpwstr/>
      </vt:variant>
      <vt:variant>
        <vt:i4>1703987</vt:i4>
      </vt:variant>
      <vt:variant>
        <vt:i4>21</vt:i4>
      </vt:variant>
      <vt:variant>
        <vt:i4>0</vt:i4>
      </vt:variant>
      <vt:variant>
        <vt:i4>5</vt:i4>
      </vt:variant>
      <vt:variant>
        <vt:lpwstr>https://research-and-innovation.ec.europa.eu/document/download/e5e75789-d4d8-42aa-8c99-3f33b2f5b935_en?filename=ec_rtd_swd-2024-159-f1.pdf</vt:lpwstr>
      </vt:variant>
      <vt:variant>
        <vt:lpwstr/>
      </vt:variant>
      <vt:variant>
        <vt:i4>4915270</vt:i4>
      </vt:variant>
      <vt:variant>
        <vt:i4>18</vt:i4>
      </vt:variant>
      <vt:variant>
        <vt:i4>0</vt:i4>
      </vt:variant>
      <vt:variant>
        <vt:i4>5</vt:i4>
      </vt:variant>
      <vt:variant>
        <vt:lpwstr>https://solaralliance.eu/</vt:lpwstr>
      </vt:variant>
      <vt:variant>
        <vt:lpwstr/>
      </vt:variant>
      <vt:variant>
        <vt:i4>6225938</vt:i4>
      </vt:variant>
      <vt:variant>
        <vt:i4>15</vt:i4>
      </vt:variant>
      <vt:variant>
        <vt:i4>0</vt:i4>
      </vt:variant>
      <vt:variant>
        <vt:i4>5</vt:i4>
      </vt:variant>
      <vt:variant>
        <vt:lpwstr>https://eur-lex.europa.eu/legal-content/EN/TXT/?uri=COM%3A2022%3A221%3AFIN&amp;qid=1653034500503</vt:lpwstr>
      </vt:variant>
      <vt:variant>
        <vt:lpwstr/>
      </vt:variant>
      <vt:variant>
        <vt:i4>1638493</vt:i4>
      </vt:variant>
      <vt:variant>
        <vt:i4>12</vt:i4>
      </vt:variant>
      <vt:variant>
        <vt:i4>0</vt:i4>
      </vt:variant>
      <vt:variant>
        <vt:i4>5</vt:i4>
      </vt:variant>
      <vt:variant>
        <vt:lpwstr>https://data.consilium.europa.eu/doc/document/PE-105-2023-INIT/en/pdf</vt:lpwstr>
      </vt:variant>
      <vt:variant>
        <vt:lpwstr/>
      </vt:variant>
      <vt:variant>
        <vt:i4>1572957</vt:i4>
      </vt:variant>
      <vt:variant>
        <vt:i4>9</vt:i4>
      </vt:variant>
      <vt:variant>
        <vt:i4>0</vt:i4>
      </vt:variant>
      <vt:variant>
        <vt:i4>5</vt:i4>
      </vt:variant>
      <vt:variant>
        <vt:lpwstr>https://data.consilium.europa.eu/doc/document/PE-104-2023-INIT/en/pdf</vt:lpwstr>
      </vt:variant>
      <vt:variant>
        <vt:lpwstr/>
      </vt:variant>
      <vt:variant>
        <vt:i4>5832760</vt:i4>
      </vt:variant>
      <vt:variant>
        <vt:i4>6</vt:i4>
      </vt:variant>
      <vt:variant>
        <vt:i4>0</vt:i4>
      </vt:variant>
      <vt:variant>
        <vt:i4>5</vt:i4>
      </vt:variant>
      <vt:variant>
        <vt:lpwstr>https://eur-lex.europa.eu/legal-content/EN/TXT/PDF/?uri=OJ:L_202401275&amp;qid=1720111113186</vt:lpwstr>
      </vt:variant>
      <vt:variant>
        <vt:lpwstr/>
      </vt:variant>
      <vt:variant>
        <vt:i4>5701732</vt:i4>
      </vt:variant>
      <vt:variant>
        <vt:i4>3</vt:i4>
      </vt:variant>
      <vt:variant>
        <vt:i4>0</vt:i4>
      </vt:variant>
      <vt:variant>
        <vt:i4>5</vt:i4>
      </vt:variant>
      <vt:variant>
        <vt:lpwstr>https://reform-support.ec.europa.eu/publications-0/supporting-repowereu-affordable-secure-and-sustainable-energy-europe_en</vt:lpwstr>
      </vt:variant>
      <vt:variant>
        <vt:lpwstr/>
      </vt:variant>
      <vt:variant>
        <vt:i4>3014656</vt:i4>
      </vt:variant>
      <vt:variant>
        <vt:i4>0</vt:i4>
      </vt:variant>
      <vt:variant>
        <vt:i4>0</vt:i4>
      </vt:variant>
      <vt:variant>
        <vt:i4>5</vt:i4>
      </vt:variant>
      <vt:variant>
        <vt:lpwstr>https://energy.ec.europa.eu/topics/infrastructure/projects-common-interest-and-projects-mutual-interest/key-cross-border-infrastructure-projects_en</vt:lpwstr>
      </vt:variant>
      <vt:variant>
        <vt:lpwstr/>
      </vt:variant>
      <vt:variant>
        <vt:i4>2293780</vt:i4>
      </vt:variant>
      <vt:variant>
        <vt:i4>0</vt:i4>
      </vt:variant>
      <vt:variant>
        <vt:i4>0</vt:i4>
      </vt:variant>
      <vt:variant>
        <vt:i4>5</vt:i4>
      </vt:variant>
      <vt:variant>
        <vt:lpwstr>mailto:alessandro.proia@ec.europa.eu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2024-09-09T15:22:00Z</dcterms:created>
  <dcterms:modified xsi:type="dcterms:W3CDTF">2024-10-04T08:51:00Z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2024-09-06T15:23:43Z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5fe9e53c-09f0-4411-8dc7-b3b497e38536</vt:lpwstr>
  </property>
  <property fmtid="{D5CDD505-2E9C-101B-9397-08002B2CF9AE}" pid="8" name="MSIP_Label_6bd9ddd1-4d20-43f6-abfa-fc3c07406f94_ContentBits">
    <vt:lpwstr>0</vt:lpwstr>
  </property>
  <property fmtid="{D5CDD505-2E9C-101B-9397-08002B2CF9AE}" pid="9" name="DocStatus">
    <vt:lpwstr>Green</vt:lpwstr>
  </property>
  <property fmtid="{D5CDD505-2E9C-101B-9397-08002B2CF9AE}" pid="10" name="Last edited using">
    <vt:lpwstr>LW 9.0, Build 20230317</vt:lpwstr>
  </property>
  <property fmtid="{D5CDD505-2E9C-101B-9397-08002B2CF9AE}" pid="11" name="Level of sensitivity">
    <vt:lpwstr>Standard treatment</vt:lpwstr>
  </property>
  <property fmtid="{D5CDD505-2E9C-101B-9397-08002B2CF9AE}" pid="12" name="Part">
    <vt:lpwstr>1</vt:lpwstr>
  </property>
  <property fmtid="{D5CDD505-2E9C-101B-9397-08002B2CF9AE}" pid="13" name="Total parts">
    <vt:lpwstr>1</vt:lpwstr>
  </property>
  <property fmtid="{D5CDD505-2E9C-101B-9397-08002B2CF9AE}" pid="14" name="CPTemplateID">
    <vt:lpwstr>CP-008</vt:lpwstr>
  </property>
</Properties>
</file>