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4FA378" w14:textId="79D6BCB2" w:rsidR="002C0F67" w:rsidRPr="00F10B9E" w:rsidRDefault="00AA23F5" w:rsidP="00AA23F5">
      <w:pPr>
        <w:pStyle w:val="Pagedecouverture"/>
        <w:rPr>
          <w:noProof/>
        </w:rPr>
      </w:pPr>
      <w:r>
        <w:rPr>
          <w:noProof/>
        </w:rPr>
        <w:pict w14:anchorId="7228007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9AF56A1E-0913-4774-B2D7-ABB98E6DB9ED" style="width:455.25pt;height:387.75pt">
            <v:imagedata r:id="rId7" o:title=""/>
          </v:shape>
        </w:pict>
      </w:r>
    </w:p>
    <w:p w14:paraId="273EFA01" w14:textId="77777777" w:rsidR="002C0F67" w:rsidRPr="00F10B9E" w:rsidRDefault="002C0F67" w:rsidP="002C0F67">
      <w:pPr>
        <w:rPr>
          <w:noProof/>
        </w:rPr>
        <w:sectPr w:rsidR="002C0F67" w:rsidRPr="00F10B9E" w:rsidSect="00AA23F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3609AFD0" w14:textId="77777777" w:rsidR="002C0F67" w:rsidRPr="00F10B9E" w:rsidRDefault="002C0F67" w:rsidP="002C0F67">
      <w:pPr>
        <w:pStyle w:val="Annexetitre"/>
        <w:rPr>
          <w:noProof/>
        </w:rPr>
      </w:pPr>
      <w:bookmarkStart w:id="0" w:name="_GoBack"/>
      <w:bookmarkEnd w:id="0"/>
      <w:r w:rsidRPr="00F10B9E">
        <w:rPr>
          <w:noProof/>
        </w:rPr>
        <w:lastRenderedPageBreak/>
        <w:t xml:space="preserve">PRÍLOHA </w:t>
      </w:r>
    </w:p>
    <w:p w14:paraId="2CAA81ED" w14:textId="77777777" w:rsidR="002C0F67" w:rsidRPr="00F10B9E" w:rsidRDefault="002C0F67" w:rsidP="002C0F67">
      <w:pPr>
        <w:jc w:val="center"/>
        <w:rPr>
          <w:b/>
          <w:smallCaps/>
          <w:noProof/>
        </w:rPr>
      </w:pPr>
      <w:r w:rsidRPr="00F10B9E">
        <w:rPr>
          <w:b/>
          <w:smallCaps/>
          <w:noProof/>
        </w:rPr>
        <w:t>Smernice na rokovania o zmene článku 1 písm. a) dohovoru OSPAR s cieľom zahrnúť vody obklopujúce Makaronéziu (Madeira a Kanárske ostrovy) do morskej oblasti, na ktorú sa vzťahuje dohovor OSPAR</w:t>
      </w:r>
    </w:p>
    <w:p w14:paraId="24471FE4" w14:textId="77777777" w:rsidR="002C0F67" w:rsidRPr="00F10B9E" w:rsidRDefault="002C0F67" w:rsidP="002C0F67">
      <w:pPr>
        <w:jc w:val="center"/>
        <w:rPr>
          <w:b/>
          <w:smallCaps/>
          <w:noProof/>
        </w:rPr>
      </w:pPr>
    </w:p>
    <w:p w14:paraId="579F298B" w14:textId="77777777" w:rsidR="002C0F67" w:rsidRPr="00F10B9E" w:rsidRDefault="002C0F67" w:rsidP="00734F4F">
      <w:pPr>
        <w:pStyle w:val="Bullet0"/>
        <w:numPr>
          <w:ilvl w:val="0"/>
          <w:numId w:val="9"/>
        </w:numPr>
        <w:rPr>
          <w:noProof/>
        </w:rPr>
      </w:pPr>
      <w:r w:rsidRPr="00F10B9E">
        <w:rPr>
          <w:noProof/>
        </w:rPr>
        <w:t>Na 28. pravidelnom zasadnutí/stretnutí komisie OSPAR, ktoré sa začne 23. júna 2025, Únia podporí zmenu článku 1 písm. a) dohovoru OSPAR, ktorú spoločne navrhli Španielsko a Portugalsko s cieľom zahrnúť vody obklopujúce Makaronéziu (Madeira a Kanárske ostrovy) do morskej oblasti, na ktorú sa vzťahuje dohovor OSPAR.</w:t>
      </w:r>
    </w:p>
    <w:p w14:paraId="1009B0C9" w14:textId="77777777" w:rsidR="002C0F67" w:rsidRPr="00F10B9E" w:rsidRDefault="002C0F67" w:rsidP="002C0F67">
      <w:pPr>
        <w:pStyle w:val="ListParagraph"/>
        <w:rPr>
          <w:rFonts w:ascii="Times New Roman" w:hAnsi="Times New Roman" w:cs="Times New Roman"/>
          <w:noProof/>
          <w:sz w:val="24"/>
          <w:szCs w:val="24"/>
        </w:rPr>
      </w:pPr>
    </w:p>
    <w:p w14:paraId="5ECFC916" w14:textId="7E481C0E" w:rsidR="002C0F67" w:rsidRPr="00F10B9E" w:rsidRDefault="002C0F67" w:rsidP="00E4041A">
      <w:pPr>
        <w:pStyle w:val="Bullet0"/>
        <w:rPr>
          <w:noProof/>
        </w:rPr>
      </w:pPr>
      <w:r w:rsidRPr="00F10B9E">
        <w:rPr>
          <w:noProof/>
        </w:rPr>
        <w:t>Únia zabezpečí, aby zmena článku 1 písm. a) dohovoru OSPAR bola v súlade s</w:t>
      </w:r>
      <w:r w:rsidR="00F10B9E">
        <w:rPr>
          <w:noProof/>
        </w:rPr>
        <w:t> </w:t>
      </w:r>
      <w:r w:rsidRPr="00F10B9E">
        <w:rPr>
          <w:noProof/>
        </w:rPr>
        <w:t>právnymi predpismi Únie, najmä so smernicou 2008/56/ES</w:t>
      </w:r>
      <w:r w:rsidRPr="00F10B9E">
        <w:rPr>
          <w:rStyle w:val="FootnoteReference"/>
          <w:noProof/>
          <w:szCs w:val="24"/>
        </w:rPr>
        <w:footnoteReference w:id="1"/>
      </w:r>
      <w:r w:rsidRPr="00F10B9E">
        <w:rPr>
          <w:noProof/>
        </w:rPr>
        <w:t>, smernicou Rady 92/43/EHS</w:t>
      </w:r>
      <w:r w:rsidRPr="00F10B9E">
        <w:rPr>
          <w:rStyle w:val="FootnoteReference"/>
          <w:noProof/>
          <w:szCs w:val="24"/>
        </w:rPr>
        <w:footnoteReference w:id="2"/>
      </w:r>
      <w:r w:rsidRPr="00F10B9E">
        <w:rPr>
          <w:noProof/>
        </w:rPr>
        <w:t>, smernicou 2009/147/ES</w:t>
      </w:r>
      <w:r w:rsidRPr="00F10B9E">
        <w:rPr>
          <w:rStyle w:val="FootnoteReference"/>
          <w:noProof/>
          <w:szCs w:val="24"/>
        </w:rPr>
        <w:footnoteReference w:id="3"/>
      </w:r>
      <w:r w:rsidRPr="00F10B9E">
        <w:rPr>
          <w:noProof/>
        </w:rPr>
        <w:t xml:space="preserve"> a s nariadením (EÚ) 2024/1991</w:t>
      </w:r>
      <w:r w:rsidRPr="00F10B9E">
        <w:rPr>
          <w:rStyle w:val="FootnoteReference"/>
          <w:noProof/>
          <w:szCs w:val="24"/>
        </w:rPr>
        <w:footnoteReference w:id="4"/>
      </w:r>
      <w:r w:rsidRPr="00F10B9E">
        <w:rPr>
          <w:noProof/>
        </w:rPr>
        <w:t>. Bude sa usilovať aj súlad so stratégiou EÚ v oblasti biodiverzity do roku 2030</w:t>
      </w:r>
      <w:r w:rsidRPr="00F10B9E">
        <w:rPr>
          <w:rStyle w:val="FootnoteReference"/>
          <w:noProof/>
          <w:szCs w:val="24"/>
        </w:rPr>
        <w:footnoteReference w:id="5"/>
      </w:r>
      <w:r w:rsidRPr="00F10B9E">
        <w:rPr>
          <w:noProof/>
        </w:rPr>
        <w:t xml:space="preserve">. </w:t>
      </w:r>
    </w:p>
    <w:p w14:paraId="6462486D" w14:textId="77777777" w:rsidR="002C0F67" w:rsidRPr="00F10B9E" w:rsidRDefault="002C0F67" w:rsidP="002C0F67">
      <w:pPr>
        <w:pStyle w:val="ListParagraph"/>
        <w:rPr>
          <w:rFonts w:ascii="Times New Roman" w:hAnsi="Times New Roman" w:cs="Times New Roman"/>
          <w:noProof/>
          <w:sz w:val="24"/>
          <w:szCs w:val="24"/>
        </w:rPr>
      </w:pPr>
    </w:p>
    <w:p w14:paraId="29816BF8" w14:textId="77777777" w:rsidR="00905D22" w:rsidRPr="00F10B9E" w:rsidRDefault="00905D22" w:rsidP="002C0F67">
      <w:pPr>
        <w:rPr>
          <w:noProof/>
        </w:rPr>
      </w:pPr>
    </w:p>
    <w:sectPr w:rsidR="00905D22" w:rsidRPr="00F10B9E" w:rsidSect="00AA23F5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C4A968" w14:textId="77777777" w:rsidR="002C0F67" w:rsidRDefault="002C0F67" w:rsidP="002C0F67">
      <w:pPr>
        <w:spacing w:before="0" w:after="0"/>
      </w:pPr>
      <w:r>
        <w:separator/>
      </w:r>
    </w:p>
  </w:endnote>
  <w:endnote w:type="continuationSeparator" w:id="0">
    <w:p w14:paraId="17AC529B" w14:textId="77777777" w:rsidR="002C0F67" w:rsidRDefault="002C0F67" w:rsidP="002C0F6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0CA376" w14:textId="5E842A91" w:rsidR="00AA23F5" w:rsidRPr="00AA23F5" w:rsidRDefault="00AA23F5" w:rsidP="00AA23F5">
    <w:pPr>
      <w:pStyle w:val="Footer"/>
      <w:rPr>
        <w:rFonts w:ascii="Arial" w:hAnsi="Arial" w:cs="Arial"/>
        <w:b/>
        <w:sz w:val="48"/>
      </w:rPr>
    </w:pPr>
    <w:r w:rsidRPr="00AA23F5">
      <w:rPr>
        <w:rFonts w:ascii="Arial" w:hAnsi="Arial" w:cs="Arial"/>
        <w:b/>
        <w:sz w:val="48"/>
      </w:rPr>
      <w:t>SK</w:t>
    </w:r>
    <w:r w:rsidRPr="00AA23F5">
      <w:rPr>
        <w:rFonts w:ascii="Arial" w:hAnsi="Arial" w:cs="Arial"/>
        <w:b/>
        <w:sz w:val="48"/>
      </w:rPr>
      <w:tab/>
    </w:r>
    <w:r w:rsidRPr="00AA23F5">
      <w:rPr>
        <w:rFonts w:ascii="Arial" w:hAnsi="Arial" w:cs="Arial"/>
        <w:b/>
        <w:sz w:val="48"/>
      </w:rPr>
      <w:tab/>
    </w:r>
    <w:r w:rsidRPr="00AA23F5">
      <w:tab/>
    </w:r>
    <w:r w:rsidRPr="00AA23F5">
      <w:rPr>
        <w:rFonts w:ascii="Arial" w:hAnsi="Arial" w:cs="Arial"/>
        <w:b/>
        <w:sz w:val="48"/>
      </w:rPr>
      <w:t>SK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F16612" w14:textId="5D88231B" w:rsidR="00AA23F5" w:rsidRPr="00AA23F5" w:rsidRDefault="00AA23F5" w:rsidP="00AA23F5">
    <w:pPr>
      <w:pStyle w:val="Footer"/>
      <w:rPr>
        <w:rFonts w:ascii="Arial" w:hAnsi="Arial" w:cs="Arial"/>
        <w:b/>
        <w:sz w:val="48"/>
      </w:rPr>
    </w:pPr>
    <w:r w:rsidRPr="00AA23F5">
      <w:rPr>
        <w:rFonts w:ascii="Arial" w:hAnsi="Arial" w:cs="Arial"/>
        <w:b/>
        <w:sz w:val="48"/>
      </w:rPr>
      <w:t>SK</w:t>
    </w:r>
    <w:r w:rsidRPr="00AA23F5">
      <w:rPr>
        <w:rFonts w:ascii="Arial" w:hAnsi="Arial" w:cs="Arial"/>
        <w:b/>
        <w:sz w:val="48"/>
      </w:rPr>
      <w:tab/>
    </w:r>
    <w:r w:rsidRPr="00AA23F5">
      <w:rPr>
        <w:rFonts w:ascii="Arial" w:hAnsi="Arial" w:cs="Arial"/>
        <w:b/>
        <w:sz w:val="48"/>
      </w:rPr>
      <w:tab/>
    </w:r>
    <w:r w:rsidRPr="00AA23F5">
      <w:tab/>
    </w:r>
    <w:r w:rsidRPr="00AA23F5">
      <w:rPr>
        <w:rFonts w:ascii="Arial" w:hAnsi="Arial" w:cs="Arial"/>
        <w:b/>
        <w:sz w:val="48"/>
      </w:rPr>
      <w:t>SK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0E5E30" w14:textId="77777777" w:rsidR="00AA23F5" w:rsidRPr="00AA23F5" w:rsidRDefault="00AA23F5" w:rsidP="00AA23F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57E4C7" w14:textId="77777777" w:rsidR="00AA23F5" w:rsidRDefault="00AA23F5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1EA1A5" w14:textId="6F1B99FD" w:rsidR="00AA23F5" w:rsidRPr="00AA23F5" w:rsidRDefault="00AA23F5" w:rsidP="00AA23F5">
    <w:pPr>
      <w:pStyle w:val="Footer"/>
      <w:rPr>
        <w:rFonts w:ascii="Arial" w:hAnsi="Arial" w:cs="Arial"/>
        <w:b/>
        <w:sz w:val="48"/>
      </w:rPr>
    </w:pPr>
    <w:r w:rsidRPr="00AA23F5">
      <w:rPr>
        <w:rFonts w:ascii="Arial" w:hAnsi="Arial" w:cs="Arial"/>
        <w:b/>
        <w:sz w:val="48"/>
      </w:rPr>
      <w:t>SK</w:t>
    </w:r>
    <w:r w:rsidRPr="00AA23F5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  <w:r>
      <w:tab/>
    </w:r>
    <w:r w:rsidRPr="00AA23F5">
      <w:tab/>
    </w:r>
    <w:r w:rsidRPr="00AA23F5">
      <w:rPr>
        <w:rFonts w:ascii="Arial" w:hAnsi="Arial" w:cs="Arial"/>
        <w:b/>
        <w:sz w:val="48"/>
      </w:rPr>
      <w:t>SK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A38754" w14:textId="77777777" w:rsidR="00AA23F5" w:rsidRDefault="00AA23F5" w:rsidP="00AA23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85AF0C" w14:textId="77777777" w:rsidR="002C0F67" w:rsidRDefault="002C0F67" w:rsidP="002C0F67">
      <w:pPr>
        <w:spacing w:before="0" w:after="0"/>
      </w:pPr>
      <w:r>
        <w:separator/>
      </w:r>
    </w:p>
  </w:footnote>
  <w:footnote w:type="continuationSeparator" w:id="0">
    <w:p w14:paraId="3E34D93D" w14:textId="77777777" w:rsidR="002C0F67" w:rsidRDefault="002C0F67" w:rsidP="002C0F67">
      <w:pPr>
        <w:spacing w:before="0" w:after="0"/>
      </w:pPr>
      <w:r>
        <w:continuationSeparator/>
      </w:r>
    </w:p>
  </w:footnote>
  <w:footnote w:id="1">
    <w:p w14:paraId="2C46409E" w14:textId="77777777" w:rsidR="002C0F67" w:rsidRPr="005D4750" w:rsidRDefault="002C0F67" w:rsidP="002C0F67">
      <w:pPr>
        <w:pStyle w:val="FootnoteText"/>
      </w:pPr>
      <w:r>
        <w:rPr>
          <w:rStyle w:val="FootnoteReference"/>
        </w:rPr>
        <w:footnoteRef/>
      </w:r>
      <w:r>
        <w:tab/>
        <w:t>Smernica Európskeho parlamentu a Rady 2008/56/ES zo 17. júna 2008, ktorou sa ustanovuje rámec pre činnosť Spoločenstva v oblasti morskej environmentálnej politiky (rámcová smernica o morskej stratégii) (Ú. v. EÚ L 164, 25.6.2008, s. 19).</w:t>
      </w:r>
    </w:p>
  </w:footnote>
  <w:footnote w:id="2">
    <w:p w14:paraId="1E29A812" w14:textId="417F751B" w:rsidR="00994B34" w:rsidRPr="00EC7FA5" w:rsidRDefault="00994B34" w:rsidP="00994B34">
      <w:pPr>
        <w:pStyle w:val="FootnoteText"/>
      </w:pPr>
      <w:r>
        <w:rPr>
          <w:rStyle w:val="FootnoteReference"/>
        </w:rPr>
        <w:footnoteRef/>
      </w:r>
      <w:r>
        <w:tab/>
        <w:t>Smernica Rady 92/43/EHS z 21. mája 1992 o ochrane prirodzených biotopov a voľne žijúcich živočíchov a rastlín (Ú. v. ES L 206, 22.7.1992, s. 7).</w:t>
      </w:r>
    </w:p>
  </w:footnote>
  <w:footnote w:id="3">
    <w:p w14:paraId="3F2176A2" w14:textId="1645BBF1" w:rsidR="00994B34" w:rsidRPr="00EC7FA5" w:rsidRDefault="00994B34" w:rsidP="00994B34">
      <w:pPr>
        <w:pStyle w:val="FootnoteText"/>
      </w:pPr>
      <w:r>
        <w:rPr>
          <w:rStyle w:val="FootnoteReference"/>
        </w:rPr>
        <w:footnoteRef/>
      </w:r>
      <w:r>
        <w:tab/>
        <w:t>Smernica Európskeho parlamentu a Rady 2009/147/ES z 30. novembra 2009 o ochrane voľne žijúceho vtáctva (Ú. v. EÚ L 20, 26.1.2010, s. 7).</w:t>
      </w:r>
    </w:p>
  </w:footnote>
  <w:footnote w:id="4">
    <w:p w14:paraId="01D0F242" w14:textId="6FAABCA7" w:rsidR="00994B34" w:rsidRPr="00EC7FA5" w:rsidRDefault="00994B34" w:rsidP="00994B34">
      <w:pPr>
        <w:pStyle w:val="FootnoteText"/>
      </w:pPr>
      <w:r>
        <w:rPr>
          <w:rStyle w:val="FootnoteReference"/>
        </w:rPr>
        <w:footnoteRef/>
      </w:r>
      <w:r>
        <w:tab/>
        <w:t>Nariadenie Európskeho parlamentu a Rady (EÚ) 2024/1991 z 24. júna 2024 o obnove prírody a o zmene nariadenia (EÚ) 2022/869 (Ú. v. EÚ L, 2024/1991, 29.7.2024).</w:t>
      </w:r>
    </w:p>
  </w:footnote>
  <w:footnote w:id="5">
    <w:p w14:paraId="47EA7371" w14:textId="06336D8A" w:rsidR="00994B34" w:rsidRPr="008F2549" w:rsidRDefault="00994B34" w:rsidP="00994B34">
      <w:pPr>
        <w:pStyle w:val="FootnoteText"/>
      </w:pPr>
      <w:r>
        <w:rPr>
          <w:rStyle w:val="FootnoteReference"/>
        </w:rPr>
        <w:footnoteRef/>
      </w:r>
      <w:r>
        <w:tab/>
        <w:t>Oznámenie Komisie Európskemu parlamentu, Rade, Európskemu hospodárskemu a sociálnemu výboru a Výboru regiónov s názvom Stratégia EÚ v oblasti biodiverzity do roku 2030 – Prinavrátenie prírody do našich životov [COM(2020) 380 final].</w:t>
      </w:r>
    </w:p>
    <w:p w14:paraId="085B8901" w14:textId="77777777" w:rsidR="00994B34" w:rsidRPr="008F2549" w:rsidRDefault="00994B34" w:rsidP="00994B34">
      <w:pPr>
        <w:pStyle w:val="FootnoteText"/>
        <w:rPr>
          <w:lang w:val="en-IE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F8D743" w14:textId="77777777" w:rsidR="00AA23F5" w:rsidRPr="00AA23F5" w:rsidRDefault="00AA23F5" w:rsidP="00AA23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01F1C0" w14:textId="77777777" w:rsidR="00AA23F5" w:rsidRPr="00AA23F5" w:rsidRDefault="00AA23F5" w:rsidP="00AA23F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BF28A4" w14:textId="77777777" w:rsidR="00AA23F5" w:rsidRPr="00AA23F5" w:rsidRDefault="00AA23F5" w:rsidP="00AA23F5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7B614" w14:textId="77777777" w:rsidR="00AA23F5" w:rsidRDefault="00AA23F5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4392A5" w14:textId="77777777" w:rsidR="00AA23F5" w:rsidRDefault="00AA23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AF166B9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EDD83E8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3E28ED5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1"/>
    <w:multiLevelType w:val="singleLevel"/>
    <w:tmpl w:val="E258F53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91C2599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4D041DE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1FE630E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924AB27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5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6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7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8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0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2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15"/>
    <w:lvlOverride w:ilvl="0">
      <w:startOverride w:val="1"/>
    </w:lvlOverride>
  </w:num>
  <w:num w:numId="10">
    <w:abstractNumId w:val="19"/>
  </w:num>
  <w:num w:numId="11">
    <w:abstractNumId w:val="12"/>
  </w:num>
  <w:num w:numId="12">
    <w:abstractNumId w:val="21"/>
  </w:num>
  <w:num w:numId="13">
    <w:abstractNumId w:val="11"/>
  </w:num>
  <w:num w:numId="14">
    <w:abstractNumId w:val="13"/>
  </w:num>
  <w:num w:numId="15">
    <w:abstractNumId w:val="14"/>
  </w:num>
  <w:num w:numId="16">
    <w:abstractNumId w:val="9"/>
  </w:num>
  <w:num w:numId="17">
    <w:abstractNumId w:val="20"/>
  </w:num>
  <w:num w:numId="18">
    <w:abstractNumId w:val="8"/>
  </w:num>
  <w:num w:numId="19">
    <w:abstractNumId w:val="15"/>
  </w:num>
  <w:num w:numId="20">
    <w:abstractNumId w:val="17"/>
  </w:num>
  <w:num w:numId="21">
    <w:abstractNumId w:val="18"/>
  </w:num>
  <w:num w:numId="22">
    <w:abstractNumId w:val="10"/>
  </w:num>
  <w:num w:numId="23">
    <w:abstractNumId w:val="16"/>
  </w:num>
  <w:num w:numId="24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5-05-27 17:46:42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LW_ACCOMPAGNANT" w:val="k"/>
    <w:docVar w:name="LW_ACCOMPAGNANT.CP" w:val="k"/>
    <w:docVar w:name="LW_ANNEX_NBR_FIRST" w:val="1"/>
    <w:docVar w:name="LW_ANNEX_NBR_LAST" w:val="1"/>
    <w:docVar w:name="LW_ANNEX_UNIQUE" w:val="1"/>
    <w:docVar w:name="LW_CORRIGENDUM" w:val="&lt;UNUSED&gt;"/>
    <w:docVar w:name="LW_COVERPAGE_EXISTS" w:val="True"/>
    <w:docVar w:name="LW_COVERPAGE_GUID" w:val="9AF56A1E-0913-4774-B2D7-ABB98E6DB9ED"/>
    <w:docVar w:name="LW_COVERPAGE_TYPE" w:val="1"/>
    <w:docVar w:name="LW_CreatedUtc" w:val="2025-05-02T15:40:34.8353547Z"/>
    <w:docVar w:name="LW_CROSSREFERENCE" w:val="&lt;UNUSED&gt;"/>
    <w:docVar w:name="LW_DocType" w:val="ANNEX"/>
    <w:docVar w:name="LW_EMISSION" w:val="16. 5. 2025"/>
    <w:docVar w:name="LW_EMISSION_ISODATE" w:val="2025-05-16"/>
    <w:docVar w:name="LW_EMISSION_LOCATION" w:val="BRX"/>
    <w:docVar w:name="LW_EMISSION_PREFIX" w:val="V Bruseli"/>
    <w:docVar w:name="LW_EMISSION_SUFFIX" w:val=" "/>
    <w:docVar w:name="LW_ID_DOCSTRUCTURE" w:val="COM/ANNEX"/>
    <w:docVar w:name="LW_ID_DOCTYPE" w:val="SG-017"/>
    <w:docVar w:name="LW_LANGUE" w:val="SK"/>
    <w:docVar w:name="LW_LEVEL_OF_SENSITIVITY" w:val="Standard treatment"/>
    <w:docVar w:name="LW_NOM.INST" w:val="EURÓPSKA KOMISIA"/>
    <w:docVar w:name="LW_NOM.INST_JOINTDOC" w:val="&lt;EMPTY&gt;"/>
    <w:docVar w:name="LW_OBJETACTEPRINCIPAL" w:val="o poverení za\u269?a\u357? rokovania o zmene \u269?lánku 1 písm. a) Dohovoru o ochrane morského prostredia severovýchodného Atlantiku"/>
    <w:docVar w:name="LW_OBJETACTEPRINCIPAL.CP" w:val="o poverení za\u269?a\u357? rokovania o zmene \u269?lánku 1 písm. a) Dohovoru o ochrane morského prostredia severovýchodného Atlantiku"/>
    <w:docVar w:name="LW_PART_NBR" w:val="1"/>
    <w:docVar w:name="LW_PART_NBR_TOTAL" w:val="1"/>
    <w:docVar w:name="LW_REF.INST.NEW" w:val="COM"/>
    <w:docVar w:name="LW_REF.INST.NEW_ADOPTED" w:val="final"/>
    <w:docVar w:name="LW_REF.INST.NEW_TEXT" w:val="(2025) 255"/>
    <w:docVar w:name="LW_REF.INTERNE" w:val="&lt;UNUSED&gt;"/>
    <w:docVar w:name="LW_SENSITIVITY" w:val="&lt;?xml version=&quot;1.0&quot; encoding=&quot;utf-8&quot;?&gt;_x000d__x000a_&lt;SensitivityLevel xmlns:xsd=&quot;http://www.w3.org/2001/XMLSchema&quot; xmlns:xsi=&quot;http://www.w3.org/2001/XMLSchema-instance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PRÍLOHA"/>
    <w:docVar w:name="LW_TYPE.DOC.CP" w:val="PRÍLOHA"/>
    <w:docVar w:name="LW_TYPEACTEPRINCIPAL" w:val="odporú\u269?aniu na rozhodnutie Rady"/>
    <w:docVar w:name="LW_TYPEACTEPRINCIPAL.CP" w:val="odporú\u269?aniu na rozhodnutie Rady"/>
    <w:docVar w:name="LwApiVersions" w:val="LW4CoDe 1.24.5.0; LW 9.0, Build 20240221"/>
  </w:docVars>
  <w:rsids>
    <w:rsidRoot w:val="002C0F67"/>
    <w:rsid w:val="00011FDF"/>
    <w:rsid w:val="000A5B6A"/>
    <w:rsid w:val="00123417"/>
    <w:rsid w:val="00165C4F"/>
    <w:rsid w:val="001B0C73"/>
    <w:rsid w:val="001F343E"/>
    <w:rsid w:val="002C0967"/>
    <w:rsid w:val="002C0F67"/>
    <w:rsid w:val="00304A87"/>
    <w:rsid w:val="0036244B"/>
    <w:rsid w:val="00492EB7"/>
    <w:rsid w:val="004D329C"/>
    <w:rsid w:val="00502840"/>
    <w:rsid w:val="005A411A"/>
    <w:rsid w:val="005B1A35"/>
    <w:rsid w:val="005C2EF5"/>
    <w:rsid w:val="00601632"/>
    <w:rsid w:val="00626E37"/>
    <w:rsid w:val="006367AE"/>
    <w:rsid w:val="006A6BCB"/>
    <w:rsid w:val="006E2A04"/>
    <w:rsid w:val="00734F4F"/>
    <w:rsid w:val="0084323B"/>
    <w:rsid w:val="008D6398"/>
    <w:rsid w:val="00905D22"/>
    <w:rsid w:val="00994B34"/>
    <w:rsid w:val="00A6243B"/>
    <w:rsid w:val="00A71F6D"/>
    <w:rsid w:val="00AA23F5"/>
    <w:rsid w:val="00B34A8B"/>
    <w:rsid w:val="00B639A3"/>
    <w:rsid w:val="00B92E70"/>
    <w:rsid w:val="00BA4F3C"/>
    <w:rsid w:val="00BB30BC"/>
    <w:rsid w:val="00C1652C"/>
    <w:rsid w:val="00C953CA"/>
    <w:rsid w:val="00CD3577"/>
    <w:rsid w:val="00CD55F0"/>
    <w:rsid w:val="00D328C4"/>
    <w:rsid w:val="00D33986"/>
    <w:rsid w:val="00D77028"/>
    <w:rsid w:val="00DA7B30"/>
    <w:rsid w:val="00DF62AD"/>
    <w:rsid w:val="00E4041A"/>
    <w:rsid w:val="00EC7FA5"/>
    <w:rsid w:val="00F10B9E"/>
    <w:rsid w:val="00F7024E"/>
    <w:rsid w:val="00F8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948F4BE"/>
  <w15:docId w15:val="{43EE68D4-3F18-4C10-AB80-1CB32E381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sk-SK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17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17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17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17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17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17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17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0F67"/>
    <w:pPr>
      <w:spacing w:before="0" w:after="160" w:line="259" w:lineRule="auto"/>
      <w:ind w:left="720"/>
      <w:contextualSpacing/>
      <w:jc w:val="left"/>
    </w:pPr>
    <w:rPr>
      <w:rFonts w:asciiTheme="minorHAnsi" w:hAnsiTheme="minorHAnsi" w:cstheme="minorBidi"/>
      <w:kern w:val="2"/>
      <w:sz w:val="22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D770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7702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77028"/>
    <w:rPr>
      <w:rFonts w:ascii="Times New Roman" w:hAnsi="Times New Roman" w:cs="Times New Roman"/>
      <w:sz w:val="20"/>
      <w:szCs w:val="20"/>
      <w:lang w:val="sk-S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70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7028"/>
    <w:rPr>
      <w:rFonts w:ascii="Times New Roman" w:hAnsi="Times New Roman" w:cs="Times New Roman"/>
      <w:b/>
      <w:bCs/>
      <w:sz w:val="20"/>
      <w:szCs w:val="20"/>
      <w:lang w:val="sk-SK"/>
    </w:rPr>
  </w:style>
  <w:style w:type="paragraph" w:styleId="ListBullet">
    <w:name w:val="List Bullet"/>
    <w:basedOn w:val="Normal"/>
    <w:uiPriority w:val="99"/>
    <w:semiHidden/>
    <w:unhideWhenUsed/>
    <w:rsid w:val="00EC7FA5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EC7FA5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EC7FA5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EC7FA5"/>
    <w:pPr>
      <w:numPr>
        <w:numId w:val="4"/>
      </w:numPr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CD3577"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CD3577"/>
    <w:pPr>
      <w:spacing w:after="0"/>
    </w:pPr>
  </w:style>
  <w:style w:type="paragraph" w:styleId="ListNumber">
    <w:name w:val="List Number"/>
    <w:basedOn w:val="Normal"/>
    <w:uiPriority w:val="99"/>
    <w:semiHidden/>
    <w:unhideWhenUsed/>
    <w:rsid w:val="00CD3577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D3577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D3577"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D3577"/>
    <w:pPr>
      <w:numPr>
        <w:numId w:val="8"/>
      </w:numPr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23417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AA23F5"/>
    <w:rPr>
      <w:rFonts w:ascii="Times New Roman" w:hAnsi="Times New Roman" w:cs="Times New Roman"/>
      <w:sz w:val="24"/>
      <w:lang w:val="sk-SK"/>
    </w:rPr>
  </w:style>
  <w:style w:type="character" w:customStyle="1" w:styleId="FooterChar">
    <w:name w:val="Footer Char"/>
    <w:basedOn w:val="DefaultParagraphFont"/>
    <w:link w:val="Footer"/>
    <w:uiPriority w:val="99"/>
    <w:rsid w:val="00AA23F5"/>
    <w:rPr>
      <w:rFonts w:ascii="Times New Roman" w:hAnsi="Times New Roman" w:cs="Times New Roman"/>
      <w:sz w:val="24"/>
      <w:lang w:val="sk-SK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lang w:val="sk-SK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lang w:val="sk-SK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lang w:val="sk-SK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lang w:val="sk-SK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lang w:val="sk-SK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lang w:val="sk-SK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lang w:val="sk-SK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AA23F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AA23F5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AA23F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10"/>
      </w:numPr>
    </w:pPr>
  </w:style>
  <w:style w:type="paragraph" w:customStyle="1" w:styleId="Tiret1">
    <w:name w:val="Tiret 1"/>
    <w:basedOn w:val="Point1"/>
    <w:pPr>
      <w:numPr>
        <w:numId w:val="11"/>
      </w:numPr>
    </w:pPr>
  </w:style>
  <w:style w:type="paragraph" w:customStyle="1" w:styleId="Tiret2">
    <w:name w:val="Tiret 2"/>
    <w:basedOn w:val="Point2"/>
    <w:pPr>
      <w:numPr>
        <w:numId w:val="12"/>
      </w:numPr>
    </w:pPr>
  </w:style>
  <w:style w:type="paragraph" w:customStyle="1" w:styleId="Tiret3">
    <w:name w:val="Tiret 3"/>
    <w:basedOn w:val="Point3"/>
    <w:pPr>
      <w:numPr>
        <w:numId w:val="13"/>
      </w:numPr>
    </w:pPr>
  </w:style>
  <w:style w:type="paragraph" w:customStyle="1" w:styleId="Tiret4">
    <w:name w:val="Tiret 4"/>
    <w:basedOn w:val="Point4"/>
    <w:pPr>
      <w:numPr>
        <w:numId w:val="14"/>
      </w:numPr>
    </w:pPr>
  </w:style>
  <w:style w:type="paragraph" w:customStyle="1" w:styleId="Tiret5">
    <w:name w:val="Tiret 5"/>
    <w:basedOn w:val="Point5"/>
    <w:pPr>
      <w:numPr>
        <w:numId w:val="15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16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16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16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16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16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16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16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18"/>
      </w:numPr>
    </w:pPr>
  </w:style>
  <w:style w:type="paragraph" w:customStyle="1" w:styleId="Point1number">
    <w:name w:val="Point 1 (number)"/>
    <w:basedOn w:val="Normal"/>
    <w:pPr>
      <w:numPr>
        <w:ilvl w:val="2"/>
        <w:numId w:val="18"/>
      </w:numPr>
    </w:pPr>
  </w:style>
  <w:style w:type="paragraph" w:customStyle="1" w:styleId="Point2number">
    <w:name w:val="Point 2 (number)"/>
    <w:basedOn w:val="Normal"/>
    <w:pPr>
      <w:numPr>
        <w:ilvl w:val="4"/>
        <w:numId w:val="18"/>
      </w:numPr>
    </w:pPr>
  </w:style>
  <w:style w:type="paragraph" w:customStyle="1" w:styleId="Point3number">
    <w:name w:val="Point 3 (number)"/>
    <w:basedOn w:val="Normal"/>
    <w:pPr>
      <w:numPr>
        <w:ilvl w:val="6"/>
        <w:numId w:val="18"/>
      </w:numPr>
    </w:pPr>
  </w:style>
  <w:style w:type="paragraph" w:customStyle="1" w:styleId="Point0letter">
    <w:name w:val="Point 0 (letter)"/>
    <w:basedOn w:val="Normal"/>
    <w:pPr>
      <w:numPr>
        <w:ilvl w:val="1"/>
        <w:numId w:val="18"/>
      </w:numPr>
    </w:pPr>
  </w:style>
  <w:style w:type="paragraph" w:customStyle="1" w:styleId="Point1letter">
    <w:name w:val="Point 1 (letter)"/>
    <w:basedOn w:val="Normal"/>
    <w:pPr>
      <w:numPr>
        <w:ilvl w:val="3"/>
        <w:numId w:val="18"/>
      </w:numPr>
    </w:pPr>
  </w:style>
  <w:style w:type="paragraph" w:customStyle="1" w:styleId="Point2letter">
    <w:name w:val="Point 2 (letter)"/>
    <w:basedOn w:val="Normal"/>
    <w:pPr>
      <w:numPr>
        <w:ilvl w:val="5"/>
        <w:numId w:val="18"/>
      </w:numPr>
    </w:pPr>
  </w:style>
  <w:style w:type="paragraph" w:customStyle="1" w:styleId="Point3letter">
    <w:name w:val="Point 3 (letter)"/>
    <w:basedOn w:val="Normal"/>
    <w:pPr>
      <w:numPr>
        <w:ilvl w:val="7"/>
        <w:numId w:val="18"/>
      </w:numPr>
    </w:pPr>
  </w:style>
  <w:style w:type="paragraph" w:customStyle="1" w:styleId="Point4letter">
    <w:name w:val="Point 4 (letter)"/>
    <w:basedOn w:val="Normal"/>
    <w:pPr>
      <w:numPr>
        <w:ilvl w:val="8"/>
        <w:numId w:val="18"/>
      </w:numPr>
    </w:pPr>
  </w:style>
  <w:style w:type="paragraph" w:customStyle="1" w:styleId="Bullet0">
    <w:name w:val="Bullet 0"/>
    <w:basedOn w:val="Normal"/>
    <w:pPr>
      <w:numPr>
        <w:numId w:val="19"/>
      </w:numPr>
    </w:pPr>
  </w:style>
  <w:style w:type="paragraph" w:customStyle="1" w:styleId="Bullet1">
    <w:name w:val="Bullet 1"/>
    <w:basedOn w:val="Normal"/>
    <w:pPr>
      <w:numPr>
        <w:numId w:val="20"/>
      </w:numPr>
    </w:pPr>
  </w:style>
  <w:style w:type="paragraph" w:customStyle="1" w:styleId="Bullet2">
    <w:name w:val="Bullet 2"/>
    <w:basedOn w:val="Normal"/>
    <w:pPr>
      <w:numPr>
        <w:numId w:val="21"/>
      </w:numPr>
    </w:pPr>
  </w:style>
  <w:style w:type="paragraph" w:customStyle="1" w:styleId="Bullet3">
    <w:name w:val="Bullet 3"/>
    <w:basedOn w:val="Normal"/>
    <w:pPr>
      <w:numPr>
        <w:numId w:val="22"/>
      </w:numPr>
    </w:pPr>
  </w:style>
  <w:style w:type="paragraph" w:customStyle="1" w:styleId="Bullet4">
    <w:name w:val="Bullet 4"/>
    <w:basedOn w:val="Normal"/>
    <w:pPr>
      <w:numPr>
        <w:numId w:val="23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24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AA23F5"/>
    <w:pPr>
      <w:tabs>
        <w:tab w:val="center" w:pos="4535"/>
        <w:tab w:val="right" w:pos="9071"/>
      </w:tabs>
      <w:spacing w:before="0"/>
    </w:pPr>
  </w:style>
  <w:style w:type="paragraph" w:customStyle="1" w:styleId="HeaderLandscape">
    <w:name w:val="HeaderLandscape"/>
    <w:basedOn w:val="Normal"/>
    <w:rsid w:val="00AA23F5"/>
    <w:pPr>
      <w:tabs>
        <w:tab w:val="center" w:pos="7285"/>
        <w:tab w:val="right" w:pos="14003"/>
      </w:tabs>
      <w:spacing w:before="0"/>
    </w:pPr>
  </w:style>
  <w:style w:type="paragraph" w:styleId="Footer">
    <w:name w:val="footer"/>
    <w:basedOn w:val="Normal"/>
    <w:link w:val="FooterChar"/>
    <w:uiPriority w:val="99"/>
    <w:unhideWhenUsed/>
    <w:rsid w:val="00AA23F5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customStyle="1" w:styleId="FooterLandscape">
    <w:name w:val="FooterLandscape"/>
    <w:basedOn w:val="Normal"/>
    <w:rsid w:val="00AA23F5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14</TotalTime>
  <Pages>2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24</cp:revision>
  <dcterms:created xsi:type="dcterms:W3CDTF">2025-05-05T06:44:00Z</dcterms:created>
  <dcterms:modified xsi:type="dcterms:W3CDTF">2025-05-27T15:46:00Z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8.0.25.0</vt:lpwstr>
  </property>
  <property fmtid="{D5CDD505-2E9C-101B-9397-08002B2CF9AE}" pid="4" name="Last edited using">
    <vt:lpwstr>LW 9.1, Build 20240808</vt:lpwstr>
  </property>
  <property fmtid="{D5CDD505-2E9C-101B-9397-08002B2CF9AE}" pid="5" name="Created using">
    <vt:lpwstr>LW 9.1, Build 20240808</vt:lpwstr>
  </property>
  <property fmtid="{D5CDD505-2E9C-101B-9397-08002B2CF9AE}" pid="6" name="First annex">
    <vt:lpwstr>1</vt:lpwstr>
  </property>
  <property fmtid="{D5CDD505-2E9C-101B-9397-08002B2CF9AE}" pid="7" name="Last annex">
    <vt:lpwstr>1</vt:lpwstr>
  </property>
  <property fmtid="{D5CDD505-2E9C-101B-9397-08002B2CF9AE}" pid="8" name="Unique annex">
    <vt:lpwstr>1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MSIP_Label_6bd9ddd1-4d20-43f6-abfa-fc3c07406f94_Enabled">
    <vt:lpwstr>true</vt:lpwstr>
  </property>
  <property fmtid="{D5CDD505-2E9C-101B-9397-08002B2CF9AE}" pid="14" name="MSIP_Label_6bd9ddd1-4d20-43f6-abfa-fc3c07406f94_SetDate">
    <vt:lpwstr>2025-05-02T15:45:56Z</vt:lpwstr>
  </property>
  <property fmtid="{D5CDD505-2E9C-101B-9397-08002B2CF9AE}" pid="15" name="MSIP_Label_6bd9ddd1-4d20-43f6-abfa-fc3c07406f94_Method">
    <vt:lpwstr>Standard</vt:lpwstr>
  </property>
  <property fmtid="{D5CDD505-2E9C-101B-9397-08002B2CF9AE}" pid="16" name="MSIP_Label_6bd9ddd1-4d20-43f6-abfa-fc3c07406f94_Name">
    <vt:lpwstr>Commission Use</vt:lpwstr>
  </property>
  <property fmtid="{D5CDD505-2E9C-101B-9397-08002B2CF9AE}" pid="17" name="MSIP_Label_6bd9ddd1-4d20-43f6-abfa-fc3c07406f94_SiteId">
    <vt:lpwstr>b24c8b06-522c-46fe-9080-70926f8dddb1</vt:lpwstr>
  </property>
  <property fmtid="{D5CDD505-2E9C-101B-9397-08002B2CF9AE}" pid="18" name="MSIP_Label_6bd9ddd1-4d20-43f6-abfa-fc3c07406f94_ActionId">
    <vt:lpwstr>0459aa5a-af6d-440d-8231-ceda1e101933</vt:lpwstr>
  </property>
  <property fmtid="{D5CDD505-2E9C-101B-9397-08002B2CF9AE}" pid="19" name="MSIP_Label_6bd9ddd1-4d20-43f6-abfa-fc3c07406f94_ContentBits">
    <vt:lpwstr>0</vt:lpwstr>
  </property>
  <property fmtid="{D5CDD505-2E9C-101B-9397-08002B2CF9AE}" pid="20" name="DQCStatus">
    <vt:lpwstr>Green (DQC version 03)</vt:lpwstr>
  </property>
</Properties>
</file>