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02C" w:rsidRPr="00CD6A05" w:rsidRDefault="00C4135E" w:rsidP="00C4135E"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901BE667-7197-400E-91DF-E5D304B04E37" style="width:455.25pt;height:341.25pt">
            <v:imagedata r:id="rId8" o:title=""/>
          </v:shape>
        </w:pict>
      </w:r>
    </w:p>
    <w:p w:rsidR="0019302C" w:rsidRPr="00CD6A05" w:rsidRDefault="0019302C" w:rsidP="0019302C">
      <w:pPr>
        <w:rPr>
          <w:noProof/>
        </w:rPr>
        <w:sectPr w:rsidR="0019302C" w:rsidRPr="00CD6A05" w:rsidSect="00C4135E">
          <w:footerReference w:type="even" r:id="rId9"/>
          <w:footerReference w:type="default" r:id="rId10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6C5D7E" w:rsidRPr="00CD6A05" w:rsidRDefault="006C5D7E" w:rsidP="006C5D7E">
      <w:pPr>
        <w:pStyle w:val="Exposdesmotifstitre"/>
        <w:rPr>
          <w:noProof/>
        </w:rPr>
      </w:pPr>
      <w:bookmarkStart w:id="0" w:name="_GoBack"/>
      <w:bookmarkEnd w:id="0"/>
      <w:r w:rsidRPr="00CD6A05">
        <w:rPr>
          <w:noProof/>
        </w:rPr>
        <w:lastRenderedPageBreak/>
        <w:t>DÔVODOVÁ SPRÁVA</w:t>
      </w:r>
    </w:p>
    <w:p w:rsidR="006C5D7E" w:rsidRPr="00CD6A05" w:rsidRDefault="006C5D7E" w:rsidP="006C5D7E">
      <w:pPr>
        <w:pStyle w:val="ManualHeading1"/>
        <w:rPr>
          <w:noProof/>
        </w:rPr>
      </w:pPr>
      <w:r w:rsidRPr="00CD6A05">
        <w:rPr>
          <w:noProof/>
        </w:rPr>
        <w:t>1.</w:t>
      </w:r>
      <w:r w:rsidRPr="00CD6A05">
        <w:rPr>
          <w:noProof/>
        </w:rPr>
        <w:tab/>
        <w:t>KONTEXT NÁVRHU</w:t>
      </w:r>
    </w:p>
    <w:p w:rsidR="005D0706" w:rsidRPr="00CD6A05" w:rsidRDefault="006C5D7E" w:rsidP="006C5D7E">
      <w:pPr>
        <w:pStyle w:val="ManualHeading2"/>
        <w:rPr>
          <w:rFonts w:eastAsia="Arial Unicode MS"/>
          <w:noProof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  <w:t>Dôvody a ciele návrhu</w:t>
      </w:r>
    </w:p>
    <w:p w:rsidR="0019302C" w:rsidRPr="00CD6A05" w:rsidRDefault="0019302C" w:rsidP="006516EB">
      <w:pPr>
        <w:rPr>
          <w:noProof/>
        </w:rPr>
      </w:pPr>
      <w:r w:rsidRPr="00CD6A05">
        <w:rPr>
          <w:noProof/>
        </w:rPr>
        <w:t>Únia uzavrela Dohovor o ochrane morského prostredia severovýchodného Atlantiku (ďalej len „dohovor OSPAR“) rozhodnutím Rady 98/249/ES zo 7. októbra 1997</w:t>
      </w:r>
      <w:r w:rsidRPr="00CD6A05">
        <w:rPr>
          <w:rStyle w:val="FootnoteReference"/>
          <w:noProof/>
        </w:rPr>
        <w:footnoteReference w:id="1"/>
      </w:r>
      <w:r w:rsidRPr="00CD6A05">
        <w:rPr>
          <w:noProof/>
        </w:rPr>
        <w:t xml:space="preserve"> a tento dohovor nadobudol platnosť 25. marca 1998.</w:t>
      </w:r>
    </w:p>
    <w:p w:rsidR="0019302C" w:rsidRPr="00CD6A05" w:rsidRDefault="0019302C" w:rsidP="006516EB">
      <w:pPr>
        <w:rPr>
          <w:noProof/>
        </w:rPr>
      </w:pPr>
      <w:r w:rsidRPr="00CD6A05">
        <w:rPr>
          <w:noProof/>
        </w:rPr>
        <w:t>Španielsko a Portugalsko predložili podľa článku 15 ods. 2 dohovoru OSPAR návrh na zmenu článku 1 písm. a) dohovoru OSPAR s cieľom zahrnúť vody obklopujúce Makaronéziu (Madeira a Kanárske ostrovy) do morskej oblasti, na ktorú sa vzťahuje dohovor OSPAR. Tieto vody zahŕňajú vody patriace pod portugalskú a španielsku jurisdikciu, ako aj medzinárodné vody medzi nimi</w:t>
      </w:r>
      <w:r w:rsidRPr="00CD6A05">
        <w:rPr>
          <w:rStyle w:val="FootnoteReference"/>
          <w:noProof/>
        </w:rPr>
        <w:footnoteReference w:id="2"/>
      </w:r>
      <w:r w:rsidRPr="00CD6A05">
        <w:rPr>
          <w:noProof/>
        </w:rPr>
        <w:t>. Cieľom navrhovanej zmeny je zabezpečiť väčší súlad medzi dohovorom OSPAR a pravidlami stanovenými v smernici 2008/56/ES</w:t>
      </w:r>
      <w:r w:rsidRPr="00CD6A05">
        <w:rPr>
          <w:rStyle w:val="FootnoteReference"/>
          <w:noProof/>
        </w:rPr>
        <w:footnoteReference w:id="3"/>
      </w:r>
      <w:r w:rsidRPr="00CD6A05">
        <w:rPr>
          <w:noProof/>
        </w:rPr>
        <w:t>, ktoré sa už uplatňujú v oblasti Makaronézie, a zlepšiť tak koordináciu v záujme ochrany a zachovania bohatej biodiverzity a zraniteľných ekosystémov nachádzajúcich sa v oblasti Makaronézie</w:t>
      </w:r>
    </w:p>
    <w:p w:rsidR="0019302C" w:rsidRPr="00CD6A05" w:rsidRDefault="0019302C" w:rsidP="0019302C">
      <w:pPr>
        <w:rPr>
          <w:rFonts w:eastAsia="Arial Unicode MS"/>
          <w:noProof/>
          <w:szCs w:val="24"/>
        </w:rPr>
      </w:pPr>
      <w:r w:rsidRPr="00CD6A05">
        <w:rPr>
          <w:noProof/>
        </w:rPr>
        <w:t>V tejto súvislosti treba poznamenať, že v článku 6 ods. 1 smernice 2008/56/ES sa od členských štátov vyžaduje, aby na koordináciu svojich morských stratégií využívali „</w:t>
      </w:r>
      <w:r w:rsidRPr="00CD6A05">
        <w:rPr>
          <w:i/>
          <w:noProof/>
        </w:rPr>
        <w:t>existujúce regionálne inštitucionálne štruktúry zamerané na spoluprácu, do ktorých právomoci príslušný morský región alebo subregión patrí, vrátane tých, ktoré sa vybudovali na základe regionálnych morských dohovorov</w:t>
      </w:r>
      <w:r w:rsidRPr="00CD6A05">
        <w:rPr>
          <w:noProof/>
        </w:rPr>
        <w:t xml:space="preserve">“. Podľa článku 4 smernice 2008/56/ES je subregión Makaronézia súčasťou regiónu v severovýchodnej časti Atlantického oceánu. Je najväčším morským subregiónom európskych morí a vyznačuje sa bohatou rozmanitosťou biotopov a druhov vrátane niektorých, ktoré sú v rámci dohovoru OSPAR zahrnuté do zoznamu „ohrozených a/alebo ubúdajúcich druhov a biotopov“. Morská oblasť v zmysle dohovoru OSPAR pokrýva v súčasnosti iba čiastočne vody makaronézskeho subregiónu, ktorého ohraničenie bolo vymedzené a dohodnuté na úrovni EÚ. </w:t>
      </w:r>
    </w:p>
    <w:p w:rsidR="0019302C" w:rsidRPr="00CD6A05" w:rsidRDefault="0019302C" w:rsidP="0019302C">
      <w:pPr>
        <w:rPr>
          <w:noProof/>
        </w:rPr>
      </w:pPr>
      <w:r w:rsidRPr="00CD6A05">
        <w:rPr>
          <w:noProof/>
        </w:rPr>
        <w:t>Zosúladením morskej oblasti dohovoru OSPAR, pokiaľ ide o subregión Makaronézia, s</w:t>
      </w:r>
      <w:r w:rsidR="0072160D">
        <w:rPr>
          <w:noProof/>
        </w:rPr>
        <w:t> </w:t>
      </w:r>
      <w:r w:rsidRPr="00CD6A05">
        <w:rPr>
          <w:noProof/>
        </w:rPr>
        <w:t>morskou oblasťou smernice 2008/56/ES sa preto uľahčí vykonávanie uvedenej smernice Španielskom a Portugalskom (dvoma členskými štátmi EÚ, ktoré majú teritoriálne vody v</w:t>
      </w:r>
      <w:r w:rsidR="0072160D">
        <w:rPr>
          <w:noProof/>
        </w:rPr>
        <w:t> </w:t>
      </w:r>
      <w:r w:rsidRPr="00CD6A05">
        <w:rPr>
          <w:noProof/>
        </w:rPr>
        <w:t xml:space="preserve">subregióne Makaronézia), a to prostredníctvom posilnenej spolupráce na úrovni dohovoru OSPAR. </w:t>
      </w:r>
    </w:p>
    <w:p w:rsidR="0019302C" w:rsidRPr="00CD6A05" w:rsidRDefault="0019302C" w:rsidP="006516EB">
      <w:pPr>
        <w:rPr>
          <w:noProof/>
        </w:rPr>
      </w:pPr>
      <w:r w:rsidRPr="00CD6A05">
        <w:rPr>
          <w:noProof/>
        </w:rPr>
        <w:t>Okrem toho sa rovnakým spôsobom posilní ochrana zraniteľných druhov a biotopov tohto regiónu a jeho jedinečnej morskej a pobrežnej biodiverzity v súlade s pravidlami platných právnych predpisov Únie vrátane smernice Rady 92/43/EHS</w:t>
      </w:r>
      <w:r w:rsidRPr="00CD6A05">
        <w:rPr>
          <w:rStyle w:val="FootnoteReference"/>
          <w:noProof/>
        </w:rPr>
        <w:footnoteReference w:id="4"/>
      </w:r>
      <w:r w:rsidRPr="00CD6A05">
        <w:rPr>
          <w:noProof/>
        </w:rPr>
        <w:t>, smernice 2009/147/ES</w:t>
      </w:r>
      <w:r w:rsidRPr="00CD6A05">
        <w:rPr>
          <w:rStyle w:val="FootnoteReference"/>
          <w:noProof/>
        </w:rPr>
        <w:footnoteReference w:id="5"/>
      </w:r>
      <w:r w:rsidRPr="00CD6A05">
        <w:rPr>
          <w:noProof/>
        </w:rPr>
        <w:t>, nariadenia (EÚ) 2024/1991</w:t>
      </w:r>
      <w:r w:rsidRPr="00CD6A05">
        <w:rPr>
          <w:rStyle w:val="FootnoteReference"/>
          <w:noProof/>
        </w:rPr>
        <w:footnoteReference w:id="6"/>
      </w:r>
      <w:r w:rsidRPr="00CD6A05">
        <w:rPr>
          <w:noProof/>
        </w:rPr>
        <w:t xml:space="preserve"> a stratégie EÚ v oblasti biodiverzity do roku 2030</w:t>
      </w:r>
      <w:r w:rsidRPr="00CD6A05">
        <w:rPr>
          <w:rStyle w:val="FootnoteReference"/>
          <w:noProof/>
        </w:rPr>
        <w:footnoteReference w:id="7"/>
      </w:r>
      <w:r w:rsidRPr="00CD6A05">
        <w:rPr>
          <w:noProof/>
        </w:rPr>
        <w:t>. O tomto návrhu na zmenu článku 1 písm. a) dohovoru OSPAR sa bude rokovať na 28. pravidelnom zasadnutí/stretnutí komisie OSPAR, ktoré sa začne 23. júna 2025. Podľa článku 15 ods. 3 dohovoru OSPAR sa má zmena prijať jednomyseľným hlasovaním zmluvných strán.</w:t>
      </w:r>
    </w:p>
    <w:p w:rsidR="0019302C" w:rsidRPr="00CD6A05" w:rsidRDefault="0019302C" w:rsidP="006516EB">
      <w:pPr>
        <w:rPr>
          <w:noProof/>
        </w:rPr>
      </w:pPr>
      <w:r w:rsidRPr="00CD6A05">
        <w:rPr>
          <w:noProof/>
        </w:rPr>
        <w:t xml:space="preserve">Po prijatí zmeny komisiou OSPAR podľa článku 15 ods. 4 a 5 dohovoru OSPAR sa zmena predloží zmluvným stranám na ratifikáciu, prijatie alebo schválenie a zmena nadobudne platnosť až po tom, ako depozitár prijme oznámenie o ratifikácii, prijatí alebo schválení najmenej od siedmych zmluvných strán. </w:t>
      </w:r>
    </w:p>
    <w:p w:rsidR="0019302C" w:rsidRPr="00CD6A05" w:rsidRDefault="0019302C" w:rsidP="0019302C">
      <w:pPr>
        <w:rPr>
          <w:rFonts w:eastAsia="Arial Unicode MS"/>
          <w:noProof/>
          <w:szCs w:val="24"/>
        </w:rPr>
      </w:pPr>
      <w:r w:rsidRPr="00CD6A05">
        <w:rPr>
          <w:noProof/>
        </w:rPr>
        <w:t>Kým zmena dohovoru OSPAR nenadobudne platnosť, zmluvné strany ju môžu predbežne vykonávať za podmienok stanovených v článku 25 Viedenského dohovoru o zmluvnom práve z 23. mája 1969, ktorý sa týka predbežného vykonávania.</w:t>
      </w:r>
    </w:p>
    <w:p w:rsidR="0019302C" w:rsidRPr="00CD6A05" w:rsidRDefault="0019302C" w:rsidP="0019302C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Vzhľadom na skutočnosť, že na nadobudnutie platnosti si navrhovaná zmena článku 1 písm. a) dohovoru OSPAR vyžaduje ratifikáciu, prijatie alebo schválenie zmluvnými stranami, čo by si v prípade Únie vyžadovalo rozhodnutie Rady podľa článku 218 ods. 6 ZFEÚ, malo by sa prijať rozhodnutie Rady podľa článku 218 ods. 3 až 4 ZFEÚ, aby sa Únia mohla zúčastniť na prerokúvaní a prijímaní tejto zmeny na 28. pravidelnom zasadnutí/stretnutí komisie OSPAR.</w:t>
      </w:r>
    </w:p>
    <w:p w:rsidR="0019302C" w:rsidRPr="00CD6A05" w:rsidRDefault="0019302C" w:rsidP="006516EB">
      <w:pPr>
        <w:pStyle w:val="ManualHeading2"/>
        <w:ind w:left="0" w:firstLine="0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  <w:t>Súlad s existujúcimi ustanoveniami v tejto oblasti politiky</w:t>
      </w:r>
    </w:p>
    <w:p w:rsidR="0019302C" w:rsidRPr="00CD6A05" w:rsidRDefault="0019302C" w:rsidP="0019302C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/>
        <w:rPr>
          <w:noProof/>
          <w:szCs w:val="24"/>
        </w:rPr>
      </w:pPr>
      <w:r w:rsidRPr="00CD6A05">
        <w:rPr>
          <w:noProof/>
        </w:rPr>
        <w:t>Cieľom navrhovanej zmeny je zabezpečiť väčší súlad medzi dohovorom OSPAR a pravidlami stanovenými v smernici 2008/56/ES, ktoré sa už uplatňujú v celej oblasti Makaronézie, a zlepšiť tak koordináciu v záujme ochrany a zachovania bohatej biodiverzity a zraniteľných ekosystémov nachádzajúcich sa v oblasti Makaronézie.</w:t>
      </w:r>
    </w:p>
    <w:p w:rsidR="0019302C" w:rsidRPr="00CD6A05" w:rsidRDefault="0019302C" w:rsidP="0019302C">
      <w:pPr>
        <w:rPr>
          <w:rFonts w:eastAsia="Arial Unicode MS"/>
          <w:noProof/>
          <w:szCs w:val="24"/>
        </w:rPr>
      </w:pPr>
      <w:r w:rsidRPr="00CD6A05">
        <w:rPr>
          <w:noProof/>
        </w:rPr>
        <w:t>V článku 6 ods. 1 smernice 2008/56/ES sa od členských štátov vyžaduje, aby na koordináciu svojich morských stratégií využívali „</w:t>
      </w:r>
      <w:r w:rsidRPr="00CD6A05">
        <w:rPr>
          <w:i/>
          <w:noProof/>
        </w:rPr>
        <w:t>existujúce regionálne inštitucionálne štruktúry zamerané na spoluprácu, do ktorých právomoci príslušný morský región alebo subregión patrí, vrátane tých, ktoré sa vybudovali na základe regionálnych morských dohovorov</w:t>
      </w:r>
      <w:r w:rsidRPr="00CD6A05">
        <w:rPr>
          <w:noProof/>
        </w:rPr>
        <w:t>“. Podľa článku 4 smernice 2008/56/ES je subregión Makaronézia súčasťou regiónu v</w:t>
      </w:r>
      <w:r w:rsidR="0072160D">
        <w:rPr>
          <w:noProof/>
        </w:rPr>
        <w:t> </w:t>
      </w:r>
      <w:r w:rsidRPr="00CD6A05">
        <w:rPr>
          <w:noProof/>
        </w:rPr>
        <w:t>severovýchodnej časti Atlantického oceánu. Je najväčším morským subregiónom európskych morí a vyznačuje sa bohatou rozmanitosťou biotopov a druhov vrátane niektorých, ktoré sú v rámci dohovoru OSPAR zahrnuté do zoznamu „ohrozených a/alebo ubúdajúcich druhov a biotopov“. Morská oblasť v zmysle dohovoru OSPAR pokrýva v</w:t>
      </w:r>
      <w:r w:rsidR="0072160D">
        <w:rPr>
          <w:noProof/>
        </w:rPr>
        <w:t> </w:t>
      </w:r>
      <w:r w:rsidRPr="00CD6A05">
        <w:rPr>
          <w:noProof/>
        </w:rPr>
        <w:t xml:space="preserve">súčasnosti iba čiastočne vody makaronézskeho subregiónu, ktorého ohraničenie bolo vymedzené a dohodnuté na úrovni EÚ. </w:t>
      </w:r>
    </w:p>
    <w:p w:rsidR="0019302C" w:rsidRPr="00CD6A05" w:rsidRDefault="0019302C" w:rsidP="0019302C">
      <w:pPr>
        <w:rPr>
          <w:noProof/>
        </w:rPr>
      </w:pPr>
      <w:r w:rsidRPr="00CD6A05">
        <w:rPr>
          <w:noProof/>
        </w:rPr>
        <w:t>Zosúladením morskej oblasti dohovoru OSPAR, pokiaľ ide o subregión Makaronézia, s</w:t>
      </w:r>
      <w:r w:rsidR="0072160D">
        <w:rPr>
          <w:noProof/>
        </w:rPr>
        <w:t> </w:t>
      </w:r>
      <w:r w:rsidRPr="00CD6A05">
        <w:rPr>
          <w:noProof/>
        </w:rPr>
        <w:t>morskou oblasťou smernice 2008/56/ES sa preto uľahčí vykonávanie uvedenej smernice Španielskom a Portugalskom (dvoma členskými štátmi EÚ, ktoré majú teritoriálne vody v</w:t>
      </w:r>
      <w:r w:rsidR="0072160D">
        <w:rPr>
          <w:noProof/>
        </w:rPr>
        <w:t> </w:t>
      </w:r>
      <w:r w:rsidRPr="00CD6A05">
        <w:rPr>
          <w:noProof/>
        </w:rPr>
        <w:t xml:space="preserve">subregióne Makaronézia), a to prostredníctvom posilnenej spolupráce na úrovni dohovoru OSPAR. </w:t>
      </w:r>
    </w:p>
    <w:p w:rsidR="0019302C" w:rsidRPr="00CD6A05" w:rsidRDefault="0019302C" w:rsidP="0019302C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Okrem toho sa rovnakým spôsobom posilní ochrana zraniteľných druhov a biotopov tohto regiónu a jeho jedinečnej morskej a pobrežnej biodiverzity v súlade s pravidlami stanovenými v platných právnych predpisoch Únie vrátane smernice Rady 92/43/EHS, smernice 2009/147/ES a nariadenia (EÚ) 2024/1991.</w:t>
      </w:r>
    </w:p>
    <w:p w:rsidR="0019302C" w:rsidRPr="00CD6A05" w:rsidRDefault="0019302C" w:rsidP="00A4693B">
      <w:pPr>
        <w:pStyle w:val="ManualHeading2"/>
        <w:rPr>
          <w:rFonts w:eastAsia="Arial Unicode MS"/>
          <w:noProof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  <w:t>Súlad s ostatnými politikami Únie</w:t>
      </w:r>
    </w:p>
    <w:p w:rsidR="0019302C" w:rsidRPr="00CD6A05" w:rsidRDefault="00616150" w:rsidP="0029266A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Dotknuté regióny sú najvzdialenejšími regiónmi Európskej únie v zmysle článku 349 Zmluvy o fungovaní Európskej únie. V súlade s týmto článkom zmluvy Európska komisia prijala stratégiu pre najvzdialenejšie regióny, ktorej cieľom je zabezpečiť, aby všetky politiky, právne predpisy a programy EÚ podporovali tieto najvzdialenejšie regióny. Rozšírenie dohovoru OSPAR na tieto dva najvzdialenejšie regióny preto posilňuje súlad s politikou EÚ pre najvzdialenejšie regióny.</w:t>
      </w:r>
    </w:p>
    <w:p w:rsidR="0019302C" w:rsidRPr="00CD6A05" w:rsidRDefault="0019302C" w:rsidP="00550536">
      <w:pPr>
        <w:pStyle w:val="ManualHeading1"/>
        <w:rPr>
          <w:noProof/>
        </w:rPr>
      </w:pPr>
      <w:r w:rsidRPr="00CD6A05">
        <w:rPr>
          <w:noProof/>
        </w:rPr>
        <w:t>2.</w:t>
      </w:r>
      <w:r w:rsidRPr="00CD6A05">
        <w:rPr>
          <w:noProof/>
        </w:rPr>
        <w:tab/>
        <w:t>PRÁVNY ZÁKLAD, SUBSIDIARITA A PROPORCIONALITA</w:t>
      </w:r>
    </w:p>
    <w:p w:rsidR="0019302C" w:rsidRPr="00CD6A05" w:rsidRDefault="0019302C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noProof/>
          <w:u w:color="000000"/>
          <w:bdr w:val="nil"/>
        </w:rPr>
        <w:t>Právny základ</w:t>
      </w:r>
    </w:p>
    <w:p w:rsidR="0019302C" w:rsidRPr="00CD6A05" w:rsidRDefault="0019302C" w:rsidP="006516EB">
      <w:pPr>
        <w:rPr>
          <w:noProof/>
        </w:rPr>
      </w:pPr>
      <w:r w:rsidRPr="00CD6A05">
        <w:rPr>
          <w:noProof/>
        </w:rPr>
        <w:t>Cieľom navrhovanej zmeny je zabezpečiť väčší súlad medzi dohovorom OSPAR a pravidlami stanovenými v smernici 2008/56/ES, ktoré sa už uplatňujú v celej oblasti Makaronézie, a zlepšiť tak koordináciu v záujme ochrany a zachovania bohatej biodiverzity a zraniteľných ekosystémov nachádzajúcich sa v oblasti Makaronézie. Cieľom navrhovanej zmeny je teda ochrana životného prostredia. Vhodným právnym základom odporúčania je preto článok 192 ods. 1 ZFEÚ.</w:t>
      </w:r>
    </w:p>
    <w:p w:rsidR="0019302C" w:rsidRPr="00CD6A05" w:rsidRDefault="0019302C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noProof/>
          <w:u w:color="000000"/>
          <w:bdr w:val="nil"/>
        </w:rPr>
        <w:t>Právomoc Únie</w:t>
      </w:r>
    </w:p>
    <w:p w:rsidR="0019302C" w:rsidRPr="00CD6A05" w:rsidRDefault="0019302C" w:rsidP="0019302C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/>
        <w:rPr>
          <w:noProof/>
        </w:rPr>
      </w:pPr>
      <w:r w:rsidRPr="00CD6A05">
        <w:rPr>
          <w:noProof/>
        </w:rPr>
        <w:t>Cieľom zmeny, ktorej sa týka toto odporúčanie, je zahrnúť vody obklopujúce Makaronéziu (Madeira a Kanárske ostrovy) do morskej oblasti, na ktorú sa vzťahuje dohovor OSPAR, a</w:t>
      </w:r>
      <w:r w:rsidR="0072160D">
        <w:rPr>
          <w:noProof/>
        </w:rPr>
        <w:t> </w:t>
      </w:r>
      <w:r w:rsidRPr="00CD6A05">
        <w:rPr>
          <w:noProof/>
        </w:rPr>
        <w:t>dosiahnuť tak väčší súlad medzi dohovorom OSPAR a pravidlami stanovenými v smernici 2008/56/ES, ktoré sa už uplatňujú v celej oblasti Makaronézie, a zlepšiť vďaka tomu ochranu biodiverzity a zraniteľných ekosystémov v tejto oblasti. Predmetom tejto zmeny je teda ochrana biodiverzity a zraniteľných ekosystémov vo vodách obklopujúcich Makaronéziu.</w:t>
      </w:r>
    </w:p>
    <w:p w:rsidR="0019302C" w:rsidRPr="00CD6A05" w:rsidRDefault="0019302C" w:rsidP="0019302C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Únia má podľa článku 4 ods. 2 písm. e) ZFEÚ právomoc v oblasti ochrany životného prostredia. Okrem toho túto právomoc už vykonáva v súvislosti s predmetom tejto zmeny, t. j. ochranou biodiverzity a zraniteľných ekosystémov vo vodách obklopujúcich Makaronéziu, a</w:t>
      </w:r>
      <w:r w:rsidR="0072160D">
        <w:rPr>
          <w:noProof/>
        </w:rPr>
        <w:t> </w:t>
      </w:r>
      <w:r w:rsidRPr="00CD6A05">
        <w:rPr>
          <w:noProof/>
        </w:rPr>
        <w:t>to na základe prijatia smernice 2008/56/ES, smernice Rady 92/43/EHS, smernice 2009/147/ES a nariadenia (EÚ) 2024/1991.</w:t>
      </w:r>
    </w:p>
    <w:p w:rsidR="0019302C" w:rsidRPr="00CD6A05" w:rsidRDefault="0019302C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noProof/>
          <w:u w:color="000000"/>
          <w:bdr w:val="nil"/>
        </w:rPr>
        <w:t>Subsidiarita</w:t>
      </w:r>
    </w:p>
    <w:p w:rsidR="0019302C" w:rsidRPr="00CD6A05" w:rsidRDefault="0019302C" w:rsidP="0019302C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/>
        <w:rPr>
          <w:noProof/>
          <w:szCs w:val="24"/>
        </w:rPr>
      </w:pPr>
      <w:r w:rsidRPr="00CD6A05">
        <w:rPr>
          <w:noProof/>
        </w:rPr>
        <w:t>Vzhľadom na to, že cieľ tejto zmeny sa týka dosiahnutia väčšieho súladu medzi dohovorom OSPAR a pravidlami stanovenými v právnych predpisoch Únie, najmä v smernici 2008/56/ES, opatrenie na úrovni Únie je účinnejšie ako opatrenia na vnútroštátnej úrovni.</w:t>
      </w:r>
    </w:p>
    <w:p w:rsidR="00AD2AAE" w:rsidRPr="00CD6A05" w:rsidRDefault="00AD2AAE" w:rsidP="006516EB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/>
        <w:rPr>
          <w:rFonts w:eastAsia="Arial Unicode MS"/>
          <w:b/>
          <w:noProof/>
          <w:u w:color="000000"/>
          <w:bdr w:val="nil"/>
        </w:rPr>
      </w:pPr>
      <w:r w:rsidRPr="00CD6A05">
        <w:rPr>
          <w:b/>
          <w:noProof/>
          <w:u w:color="000000"/>
          <w:bdr w:val="nil"/>
        </w:rPr>
        <w:t>Proporcionalita</w:t>
      </w:r>
    </w:p>
    <w:p w:rsidR="00AD2AAE" w:rsidRPr="00CD6A05" w:rsidRDefault="00AD2AAE" w:rsidP="00AD2AAE">
      <w:pPr>
        <w:rPr>
          <w:rFonts w:eastAsia="Arial Unicode MS"/>
          <w:noProof/>
          <w:szCs w:val="24"/>
        </w:rPr>
      </w:pPr>
      <w:r w:rsidRPr="00CD6A05">
        <w:rPr>
          <w:noProof/>
        </w:rPr>
        <w:t>Zahrnutie vôd obklopujúcich Makaronéziu do morskej oblasti, na ktorú sa vzťahuje dohovor OSPAR, je jediným spôsobom, ako dosiahnuť väčší súlad medzi dohovorom OSPAR a</w:t>
      </w:r>
      <w:r w:rsidR="0072160D">
        <w:rPr>
          <w:noProof/>
        </w:rPr>
        <w:t> </w:t>
      </w:r>
      <w:r w:rsidRPr="00CD6A05">
        <w:rPr>
          <w:noProof/>
        </w:rPr>
        <w:t>pravidlami stanovenými v smernici 2008/56/ES, a zlepšiť tak ochranu biodiverzity a zraniteľných ekosystémov v tejto oblasti. Toto zahrnutie je zároveň jediným spôsobom, ako možno uľahčiť vykonávanie smernice 2008/56/ES, pokiaľ ide o subregión Makaronézia, a to prostredníctvom posilnenej spolupráce na úrovni dohovoru OSPAR v súlade s článkom 6 ods.</w:t>
      </w:r>
      <w:r w:rsidR="0072160D">
        <w:rPr>
          <w:noProof/>
        </w:rPr>
        <w:t> </w:t>
      </w:r>
      <w:r w:rsidRPr="00CD6A05">
        <w:rPr>
          <w:noProof/>
        </w:rPr>
        <w:t>1 smernice 2008/56/ES, v ktorom sa od členských štátov vyžaduje, aby na koordináciu svojich morských stratégií využívali „</w:t>
      </w:r>
      <w:r w:rsidRPr="00CD6A05">
        <w:rPr>
          <w:i/>
          <w:noProof/>
        </w:rPr>
        <w:t>existujúce regionálne inštitucionálne štruktúry zamerané na spoluprácu, do ktorých právomoci príslušný morský región alebo subregión patrí, vrátane tých, ktoré sa vybudovali na základe regionálnych morských dohovorov.</w:t>
      </w:r>
      <w:r w:rsidRPr="00CD6A05">
        <w:rPr>
          <w:noProof/>
        </w:rPr>
        <w:t xml:space="preserve">“. </w:t>
      </w:r>
    </w:p>
    <w:p w:rsidR="00AD2AAE" w:rsidRPr="00CD6A05" w:rsidRDefault="00AD2AAE" w:rsidP="00AD2AAE">
      <w:pPr>
        <w:rPr>
          <w:rFonts w:eastAsia="Arial Unicode MS"/>
          <w:noProof/>
          <w:szCs w:val="24"/>
        </w:rPr>
      </w:pPr>
      <w:r w:rsidRPr="00CD6A05">
        <w:rPr>
          <w:noProof/>
        </w:rPr>
        <w:t>Toto odporúčanie na podporu zahrnutia vôd obklopujúcich Makaronéziu do morskej oblasti, na ktorú sa vzťahuje dohovor OSPAR, je preto v súlade so zásadou proporcionality.</w:t>
      </w:r>
    </w:p>
    <w:p w:rsidR="00AD2AAE" w:rsidRPr="00CD6A05" w:rsidRDefault="00AD2AAE" w:rsidP="00AD2AAE">
      <w:pPr>
        <w:rPr>
          <w:rFonts w:eastAsia="Arial Unicode MS"/>
          <w:noProof/>
          <w:szCs w:val="24"/>
        </w:rPr>
      </w:pPr>
    </w:p>
    <w:p w:rsidR="0019302C" w:rsidRPr="00CD6A05" w:rsidRDefault="0019302C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noProof/>
          <w:u w:color="000000"/>
          <w:bdr w:val="nil"/>
        </w:rPr>
        <w:t>Výber nástroja</w:t>
      </w:r>
    </w:p>
    <w:p w:rsidR="00AD2AAE" w:rsidRPr="00CD6A05" w:rsidRDefault="00AD2AAE" w:rsidP="00AD2AAE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/>
        <w:rPr>
          <w:rFonts w:eastAsia="Arial Unicode MS"/>
          <w:bCs/>
          <w:noProof/>
          <w:szCs w:val="24"/>
        </w:rPr>
      </w:pPr>
      <w:r w:rsidRPr="00CD6A05">
        <w:rPr>
          <w:noProof/>
        </w:rPr>
        <w:t>Odporúčanie Komisie na rozhodnutie Rady o poverení začať rokovania v súlade s článkom 218 ods. 3 ZFEÚ, v ktorom sa stanovuje, že Komisia predkladá odporúčania Rade, ktorá prijme rozhodnutie poverujúce na začatie rokovaní.</w:t>
      </w:r>
      <w:r w:rsidRPr="00CD6A05">
        <w:rPr>
          <w:b/>
          <w:noProof/>
        </w:rPr>
        <w:t xml:space="preserve"> </w:t>
      </w:r>
    </w:p>
    <w:p w:rsidR="0019302C" w:rsidRPr="00CD6A05" w:rsidRDefault="00AD2AAE" w:rsidP="00AD2AAE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/>
        <w:rPr>
          <w:rFonts w:eastAsia="Arial Unicode MS"/>
          <w:bCs/>
          <w:noProof/>
          <w:szCs w:val="24"/>
        </w:rPr>
      </w:pPr>
      <w:r w:rsidRPr="00CD6A05">
        <w:rPr>
          <w:noProof/>
        </w:rPr>
        <w:t>Vzhľadom na postup prijímania navrhovanej zmeny podľa článku 15 dohovoru OSPAR, a</w:t>
      </w:r>
      <w:r w:rsidR="0072160D">
        <w:rPr>
          <w:noProof/>
        </w:rPr>
        <w:t> </w:t>
      </w:r>
      <w:r w:rsidRPr="00CD6A05">
        <w:rPr>
          <w:noProof/>
        </w:rPr>
        <w:t>najmä na skutočnosť, že zmena nadobudne platnosť až po jej ratifikácii, prijatí alebo schválení najmenej siedmimi zmluvnými stranami (článok 15 ods. 4 a 5 dohovoru OSPAR), vhodným postupom na zabezpečenie účasti Únie na rokovaniach o navrhovanej zmene na 28.</w:t>
      </w:r>
      <w:r w:rsidR="0072160D">
        <w:rPr>
          <w:noProof/>
        </w:rPr>
        <w:t> </w:t>
      </w:r>
      <w:r w:rsidRPr="00CD6A05">
        <w:rPr>
          <w:noProof/>
        </w:rPr>
        <w:t xml:space="preserve">pravidelnom zasadnutí/stretnutí komisie OSPAR je prijatie rozhodnutia Rady podľa článku 218 ods. 3 až 4 ZFEÚ. </w:t>
      </w:r>
    </w:p>
    <w:p w:rsidR="0019302C" w:rsidRPr="00CD6A05" w:rsidRDefault="0019302C" w:rsidP="00550536">
      <w:pPr>
        <w:pStyle w:val="ManualHeading1"/>
        <w:rPr>
          <w:noProof/>
        </w:rPr>
      </w:pPr>
      <w:r w:rsidRPr="00CD6A05">
        <w:rPr>
          <w:noProof/>
        </w:rPr>
        <w:t>3.</w:t>
      </w:r>
      <w:r w:rsidRPr="00CD6A05">
        <w:rPr>
          <w:noProof/>
        </w:rPr>
        <w:tab/>
        <w:t xml:space="preserve">VÝSLEDKY HODNOTENÍ </w:t>
      </w:r>
      <w:r w:rsidRPr="00CD6A05">
        <w:rPr>
          <w:i/>
          <w:iCs/>
          <w:noProof/>
        </w:rPr>
        <w:t>EX POST</w:t>
      </w:r>
      <w:r w:rsidRPr="00CD6A05">
        <w:rPr>
          <w:noProof/>
        </w:rPr>
        <w:t>, KONZULTÁCIÍ SO ZAINTERESOVANÝMI STRANAMI A POSÚDENÍ VPLYVU</w:t>
      </w:r>
    </w:p>
    <w:p w:rsidR="0019302C" w:rsidRPr="00CD6A05" w:rsidRDefault="0019302C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noProof/>
          <w:u w:color="000000"/>
          <w:bdr w:val="nil"/>
        </w:rPr>
        <w:t xml:space="preserve">Hodnotenia </w:t>
      </w:r>
      <w:r w:rsidRPr="00CD6A05">
        <w:rPr>
          <w:i/>
          <w:iCs/>
          <w:noProof/>
          <w:u w:color="000000"/>
          <w:bdr w:val="nil"/>
        </w:rPr>
        <w:t>ex post</w:t>
      </w:r>
      <w:r w:rsidRPr="00CD6A05">
        <w:rPr>
          <w:noProof/>
          <w:u w:color="000000"/>
          <w:bdr w:val="nil"/>
        </w:rPr>
        <w:t>/kontroly vhodnosti existujúcich právnych predpisov</w:t>
      </w:r>
    </w:p>
    <w:p w:rsidR="0019302C" w:rsidRPr="00CD6A05" w:rsidRDefault="00AD2AAE" w:rsidP="00550536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Neuplatňuje sa.</w:t>
      </w:r>
    </w:p>
    <w:p w:rsidR="0019302C" w:rsidRPr="00CD6A05" w:rsidRDefault="0019302C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noProof/>
          <w:u w:color="000000"/>
          <w:bdr w:val="nil"/>
        </w:rPr>
        <w:t>Konzultácie so zainteresovanými stranami</w:t>
      </w:r>
    </w:p>
    <w:p w:rsidR="0019302C" w:rsidRPr="00CD6A05" w:rsidRDefault="00AD2AAE" w:rsidP="00550536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Neuplatňuje sa.</w:t>
      </w:r>
    </w:p>
    <w:p w:rsidR="0019302C" w:rsidRPr="00CD6A05" w:rsidRDefault="0019302C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noProof/>
          <w:u w:color="000000"/>
          <w:bdr w:val="nil"/>
        </w:rPr>
        <w:t>Získavanie a využívanie expertízy</w:t>
      </w:r>
    </w:p>
    <w:p w:rsidR="0019302C" w:rsidRPr="00CD6A05" w:rsidRDefault="00AD2AAE" w:rsidP="00550536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Neuplatňuje sa.</w:t>
      </w:r>
    </w:p>
    <w:p w:rsidR="0019302C" w:rsidRPr="00CD6A05" w:rsidRDefault="0019302C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noProof/>
          <w:u w:color="000000"/>
          <w:bdr w:val="nil"/>
        </w:rPr>
        <w:t>Posúdenie vplyvu</w:t>
      </w:r>
    </w:p>
    <w:p w:rsidR="0019302C" w:rsidRPr="00CD6A05" w:rsidRDefault="00AD2AAE" w:rsidP="00550536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Neuplatňuje sa.</w:t>
      </w:r>
    </w:p>
    <w:p w:rsidR="0019302C" w:rsidRPr="00CD6A05" w:rsidRDefault="0019302C" w:rsidP="00AD2AAE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b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b/>
          <w:noProof/>
          <w:u w:color="000000"/>
          <w:bdr w:val="nil"/>
        </w:rPr>
        <w:t>Regulačná vhodnosť a zjednodušenie</w:t>
      </w:r>
    </w:p>
    <w:p w:rsidR="00AD2AAE" w:rsidRPr="00CD6A05" w:rsidRDefault="00AD2AAE" w:rsidP="00AD2AAE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Neuplatňuje sa.</w:t>
      </w:r>
    </w:p>
    <w:p w:rsidR="0019302C" w:rsidRPr="00CD6A05" w:rsidRDefault="0019302C" w:rsidP="00AD2AAE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b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b/>
          <w:noProof/>
          <w:u w:color="000000"/>
          <w:bdr w:val="nil"/>
        </w:rPr>
        <w:t>Základné práva</w:t>
      </w:r>
    </w:p>
    <w:p w:rsidR="0019302C" w:rsidRPr="00CD6A05" w:rsidRDefault="00AD2AAE" w:rsidP="00550536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Neuplatňuje sa.</w:t>
      </w:r>
    </w:p>
    <w:p w:rsidR="0019302C" w:rsidRPr="00CD6A05" w:rsidRDefault="0019302C" w:rsidP="00550536">
      <w:pPr>
        <w:pStyle w:val="ManualHeading1"/>
        <w:rPr>
          <w:noProof/>
        </w:rPr>
      </w:pPr>
      <w:r w:rsidRPr="00CD6A05">
        <w:rPr>
          <w:noProof/>
        </w:rPr>
        <w:t>4.</w:t>
      </w:r>
      <w:r w:rsidRPr="00CD6A05">
        <w:rPr>
          <w:noProof/>
        </w:rPr>
        <w:tab/>
        <w:t>VPLYV NA ROZPOČET</w:t>
      </w:r>
    </w:p>
    <w:p w:rsidR="0019302C" w:rsidRPr="00CD6A05" w:rsidRDefault="00AD2AAE" w:rsidP="00AD2AAE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/>
        <w:rPr>
          <w:rFonts w:eastAsia="Arial Unicode MS"/>
          <w:noProof/>
          <w:szCs w:val="24"/>
        </w:rPr>
      </w:pPr>
      <w:r w:rsidRPr="00CD6A05">
        <w:rPr>
          <w:noProof/>
        </w:rPr>
        <w:t>Predložené odporúčanie nemá vplyv na rozpočet.</w:t>
      </w:r>
    </w:p>
    <w:p w:rsidR="0019302C" w:rsidRPr="00CD6A05" w:rsidRDefault="0019302C" w:rsidP="00550536">
      <w:pPr>
        <w:pStyle w:val="ManualHeading1"/>
        <w:rPr>
          <w:noProof/>
        </w:rPr>
      </w:pPr>
      <w:r w:rsidRPr="00CD6A05">
        <w:rPr>
          <w:noProof/>
        </w:rPr>
        <w:t>5.</w:t>
      </w:r>
      <w:r w:rsidRPr="00CD6A05">
        <w:rPr>
          <w:noProof/>
        </w:rPr>
        <w:tab/>
        <w:t>ĎALŠIE PRVKY</w:t>
      </w:r>
    </w:p>
    <w:p w:rsidR="0019302C" w:rsidRPr="00CD6A05" w:rsidRDefault="0019302C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noProof/>
          <w:u w:color="000000"/>
          <w:bdr w:val="nil"/>
        </w:rPr>
        <w:t>Plány vykonávania, spôsob monitorovania, hodnotenia a podávania správ</w:t>
      </w:r>
    </w:p>
    <w:p w:rsidR="0019302C" w:rsidRPr="00CD6A05" w:rsidRDefault="00AD2AAE" w:rsidP="00044058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Neuplatňuje sa.</w:t>
      </w:r>
    </w:p>
    <w:p w:rsidR="0019302C" w:rsidRPr="00CD6A05" w:rsidRDefault="0019302C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noProof/>
          <w:u w:color="000000"/>
          <w:bdr w:val="nil"/>
        </w:rPr>
        <w:t>Vysvetľujúce dokumenty (v prípade smerníc)</w:t>
      </w:r>
    </w:p>
    <w:p w:rsidR="0019302C" w:rsidRPr="00CD6A05" w:rsidRDefault="00AD2AAE" w:rsidP="00044058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 w:rsidRPr="00CD6A05">
        <w:rPr>
          <w:noProof/>
        </w:rPr>
        <w:t>Neuplatňuje sa.</w:t>
      </w:r>
    </w:p>
    <w:p w:rsidR="0019302C" w:rsidRPr="00CD6A05" w:rsidRDefault="0019302C" w:rsidP="00A4693B">
      <w:pPr>
        <w:pStyle w:val="ManualHeading2"/>
        <w:rPr>
          <w:rFonts w:eastAsia="Arial Unicode MS"/>
          <w:noProof/>
          <w:u w:color="000000"/>
          <w:bdr w:val="nil"/>
        </w:rPr>
      </w:pPr>
      <w:r w:rsidRPr="00CD6A05">
        <w:rPr>
          <w:noProof/>
          <w:u w:color="000000"/>
          <w:bdr w:val="nil"/>
        </w:rPr>
        <w:t>•</w:t>
      </w:r>
      <w:r w:rsidRPr="00CD6A05">
        <w:rPr>
          <w:noProof/>
        </w:rPr>
        <w:tab/>
      </w:r>
      <w:r w:rsidRPr="00CD6A05">
        <w:rPr>
          <w:noProof/>
          <w:u w:color="000000"/>
          <w:bdr w:val="nil"/>
        </w:rPr>
        <w:t>Podrobné vysvetlenie konkrétnych ustanovení návrhu</w:t>
      </w:r>
    </w:p>
    <w:p w:rsidR="0019302C" w:rsidRPr="00CD6A05" w:rsidRDefault="00AD2AAE" w:rsidP="00AD2AAE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/>
        <w:rPr>
          <w:rFonts w:eastAsia="Arial Unicode MS"/>
          <w:noProof/>
          <w:szCs w:val="24"/>
        </w:rPr>
      </w:pPr>
      <w:r w:rsidRPr="00CD6A05">
        <w:rPr>
          <w:noProof/>
        </w:rPr>
        <w:t xml:space="preserve">Keďže toto odporúčanie sa týka len jednej zmeny/jedného ustanovenia, všetky potrebné vysvetlenia boli poskytnuté v predchádzajúcich oddieloch tejto dôvodovej správy. </w:t>
      </w:r>
    </w:p>
    <w:p w:rsidR="00AD2AAE" w:rsidRPr="00CD6A05" w:rsidRDefault="00AD2AAE" w:rsidP="00580AF7">
      <w:pPr>
        <w:pStyle w:val="Bullet0"/>
        <w:numPr>
          <w:ilvl w:val="0"/>
          <w:numId w:val="6"/>
        </w:numPr>
        <w:rPr>
          <w:b/>
          <w:bCs/>
          <w:noProof/>
          <w:u w:color="000000"/>
          <w:bdr w:val="nil"/>
        </w:rPr>
      </w:pPr>
      <w:r w:rsidRPr="00CD6A05">
        <w:rPr>
          <w:b/>
          <w:noProof/>
          <w:u w:color="000000"/>
          <w:bdr w:val="nil"/>
        </w:rPr>
        <w:t>Voľba vyjednávača</w:t>
      </w:r>
    </w:p>
    <w:p w:rsidR="00AD2AAE" w:rsidRPr="00CD6A05" w:rsidRDefault="00AD2AAE" w:rsidP="00AD2AAE">
      <w:pPr>
        <w:pStyle w:val="Text1"/>
        <w:ind w:left="0"/>
        <w:rPr>
          <w:noProof/>
        </w:rPr>
      </w:pPr>
      <w:r w:rsidRPr="00CD6A05">
        <w:rPr>
          <w:noProof/>
        </w:rPr>
        <w:t>Keďže zamýšľaná dohoda sa vzťahuje výlučne na záležitosti, ktoré nepatria do spoločnej zahraničnej a bezpečnostnej politiky, podľa článku 218 ods. 3 ZFEÚ musí byť za vyjednávača určená Komisia.</w:t>
      </w:r>
    </w:p>
    <w:p w:rsidR="0019302C" w:rsidRPr="00CD6A05" w:rsidRDefault="0019302C" w:rsidP="00750C38">
      <w:pPr>
        <w:rPr>
          <w:noProof/>
        </w:rPr>
        <w:sectPr w:rsidR="0019302C" w:rsidRPr="00CD6A05" w:rsidSect="00C4135E">
          <w:headerReference w:type="even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134" w:right="1417" w:bottom="1134" w:left="1417" w:header="709" w:footer="709" w:gutter="0"/>
          <w:cols w:space="708"/>
          <w:docGrid w:linePitch="360"/>
        </w:sectPr>
      </w:pPr>
    </w:p>
    <w:p w:rsidR="0019302C" w:rsidRPr="00CD6A05" w:rsidRDefault="00CD6A05" w:rsidP="00CD6A05">
      <w:pPr>
        <w:pStyle w:val="Statut"/>
        <w:rPr>
          <w:noProof/>
        </w:rPr>
      </w:pPr>
      <w:r w:rsidRPr="00CD6A05">
        <w:rPr>
          <w:noProof/>
        </w:rPr>
        <w:t>Odporúčanie</w:t>
      </w:r>
    </w:p>
    <w:p w:rsidR="0019302C" w:rsidRPr="00CD6A05" w:rsidRDefault="00CD6A05" w:rsidP="00CD6A05">
      <w:pPr>
        <w:pStyle w:val="Typedudocument"/>
        <w:rPr>
          <w:noProof/>
        </w:rPr>
      </w:pPr>
      <w:r w:rsidRPr="00CD6A05">
        <w:rPr>
          <w:noProof/>
        </w:rPr>
        <w:t>ROZHODNUTIE RADY</w:t>
      </w:r>
    </w:p>
    <w:p w:rsidR="0019302C" w:rsidRPr="00CD6A05" w:rsidRDefault="00CD6A05" w:rsidP="00CD6A05">
      <w:pPr>
        <w:pStyle w:val="Titreobjet"/>
        <w:rPr>
          <w:noProof/>
        </w:rPr>
      </w:pPr>
      <w:r w:rsidRPr="00CD6A05">
        <w:rPr>
          <w:noProof/>
        </w:rPr>
        <w:t>o poverení začať rokovania o zmene článku 1 písm. a) Dohovoru o ochrane morského prostredia severovýchodného Atlantiku</w:t>
      </w:r>
    </w:p>
    <w:p w:rsidR="0019302C" w:rsidRPr="00CD6A05" w:rsidRDefault="0019302C" w:rsidP="00750C38">
      <w:pPr>
        <w:pStyle w:val="Institutionquiagit"/>
        <w:rPr>
          <w:noProof/>
        </w:rPr>
      </w:pPr>
      <w:r w:rsidRPr="00CD6A05">
        <w:rPr>
          <w:noProof/>
        </w:rPr>
        <w:t>RADA EURÓPSKEJ ÚNIE,</w:t>
      </w:r>
    </w:p>
    <w:p w:rsidR="00AD2AAE" w:rsidRPr="00CD6A05" w:rsidRDefault="00AD2AAE" w:rsidP="00AD2AAE">
      <w:pPr>
        <w:rPr>
          <w:noProof/>
          <w:szCs w:val="24"/>
        </w:rPr>
      </w:pPr>
      <w:r w:rsidRPr="00CD6A05">
        <w:rPr>
          <w:noProof/>
        </w:rPr>
        <w:t>so zreteľom na Zmluvu o fungovaní Európskej únie, a najmä na jej článok 192 ods. 1 v</w:t>
      </w:r>
      <w:r w:rsidR="0072160D">
        <w:rPr>
          <w:noProof/>
        </w:rPr>
        <w:t> </w:t>
      </w:r>
      <w:r w:rsidRPr="00CD6A05">
        <w:rPr>
          <w:noProof/>
        </w:rPr>
        <w:t xml:space="preserve">spojení s článkom 218 ods. 3 a 4, </w:t>
      </w:r>
    </w:p>
    <w:p w:rsidR="00AD2AAE" w:rsidRPr="00CD6A05" w:rsidRDefault="00AD2AAE" w:rsidP="00AD2AAE">
      <w:pPr>
        <w:rPr>
          <w:noProof/>
          <w:szCs w:val="24"/>
        </w:rPr>
      </w:pPr>
      <w:r w:rsidRPr="00CD6A05">
        <w:rPr>
          <w:noProof/>
        </w:rPr>
        <w:t>so zreteľom na odporúčanie Európskej komisie,</w:t>
      </w:r>
    </w:p>
    <w:p w:rsidR="00AD2AAE" w:rsidRPr="00CD6A05" w:rsidRDefault="00AD2AAE" w:rsidP="00AD2AAE">
      <w:pPr>
        <w:rPr>
          <w:noProof/>
          <w:szCs w:val="24"/>
        </w:rPr>
      </w:pPr>
      <w:r w:rsidRPr="00CD6A05">
        <w:rPr>
          <w:noProof/>
        </w:rPr>
        <w:t>keďže:</w:t>
      </w:r>
    </w:p>
    <w:p w:rsidR="00AD2AAE" w:rsidRPr="00CD6A05" w:rsidRDefault="005C5FAC" w:rsidP="005C5FAC">
      <w:pPr>
        <w:pStyle w:val="Point0"/>
        <w:rPr>
          <w:noProof/>
        </w:rPr>
      </w:pPr>
      <w:r w:rsidRPr="005C5FAC">
        <w:rPr>
          <w:noProof/>
        </w:rPr>
        <w:t>(1)</w:t>
      </w:r>
      <w:r w:rsidRPr="005C5FAC">
        <w:rPr>
          <w:noProof/>
        </w:rPr>
        <w:tab/>
      </w:r>
      <w:r w:rsidR="00AD2AAE" w:rsidRPr="00CD6A05">
        <w:rPr>
          <w:noProof/>
        </w:rPr>
        <w:t>Únia uzavrela Dohovor o ochrane morského prostredia severovýchodného Atlantiku (ďalej len „dohovor OSPAR“) rozhodnutím Rady 98/249/ES zo 7. októbra 1997</w:t>
      </w:r>
      <w:r w:rsidR="00AD2AAE" w:rsidRPr="00CD6A05">
        <w:rPr>
          <w:rStyle w:val="FootnoteReference"/>
          <w:noProof/>
        </w:rPr>
        <w:footnoteReference w:id="8"/>
      </w:r>
      <w:r w:rsidR="00AD2AAE" w:rsidRPr="00CD6A05">
        <w:rPr>
          <w:noProof/>
        </w:rPr>
        <w:t xml:space="preserve"> a</w:t>
      </w:r>
      <w:r w:rsidR="0072160D">
        <w:rPr>
          <w:noProof/>
        </w:rPr>
        <w:t> </w:t>
      </w:r>
      <w:r w:rsidR="00AD2AAE" w:rsidRPr="00CD6A05">
        <w:rPr>
          <w:noProof/>
        </w:rPr>
        <w:t>tento dohovor nadobudol platnosť 25. marca 1998.</w:t>
      </w:r>
    </w:p>
    <w:p w:rsidR="00AD2AAE" w:rsidRPr="00CD6A05" w:rsidRDefault="005C5FAC" w:rsidP="005C5FAC">
      <w:pPr>
        <w:pStyle w:val="Point0"/>
        <w:rPr>
          <w:noProof/>
        </w:rPr>
      </w:pPr>
      <w:r w:rsidRPr="005C5FAC">
        <w:rPr>
          <w:noProof/>
        </w:rPr>
        <w:t>(2)</w:t>
      </w:r>
      <w:r w:rsidRPr="005C5FAC">
        <w:rPr>
          <w:noProof/>
        </w:rPr>
        <w:tab/>
      </w:r>
      <w:r w:rsidR="00AD2AAE" w:rsidRPr="00CD6A05">
        <w:rPr>
          <w:noProof/>
        </w:rPr>
        <w:t xml:space="preserve">Španielsko a Portugalsko predložili podľa článku 15 ods. 2 dohovoru OSPAR návrh na zmenu článku 1 písm. a) dohovoru OSPAR tak, aby sa do morskej oblasti, na ktorú sa vzťahuje dohovor OSPAR, zahrnuli vody obklopujúce Makaronéziu (Madeira a Kanárske ostrovy). </w:t>
      </w:r>
    </w:p>
    <w:p w:rsidR="00AD2AAE" w:rsidRPr="00CD6A05" w:rsidRDefault="005C5FAC" w:rsidP="005C5FAC">
      <w:pPr>
        <w:pStyle w:val="Point0"/>
        <w:rPr>
          <w:noProof/>
        </w:rPr>
      </w:pPr>
      <w:r w:rsidRPr="005C5FAC">
        <w:rPr>
          <w:noProof/>
        </w:rPr>
        <w:t>(3)</w:t>
      </w:r>
      <w:r w:rsidRPr="005C5FAC">
        <w:rPr>
          <w:noProof/>
        </w:rPr>
        <w:tab/>
      </w:r>
      <w:r w:rsidR="00AD2AAE" w:rsidRPr="00CD6A05">
        <w:rPr>
          <w:noProof/>
        </w:rPr>
        <w:t>Cieľom navrhovanej zmeny je zabezpečiť väčší súlad medzi dohovorom OSPAR a</w:t>
      </w:r>
      <w:r w:rsidR="0072160D">
        <w:rPr>
          <w:noProof/>
        </w:rPr>
        <w:t> </w:t>
      </w:r>
      <w:r w:rsidR="00AD2AAE" w:rsidRPr="00CD6A05">
        <w:rPr>
          <w:noProof/>
        </w:rPr>
        <w:t>pravidlami stanovenými v smernici 2008/56/ES</w:t>
      </w:r>
      <w:r w:rsidR="00AD2AAE" w:rsidRPr="00CD6A05">
        <w:rPr>
          <w:rStyle w:val="FootnoteReference"/>
          <w:noProof/>
        </w:rPr>
        <w:footnoteReference w:id="9"/>
      </w:r>
      <w:r w:rsidR="00AD2AAE" w:rsidRPr="00CD6A05">
        <w:rPr>
          <w:noProof/>
        </w:rPr>
        <w:t>, ktoré sa už uplatňujú v oblasti Makaronézie, a zlepšiť tak koordináciu v záujme ochrany a zachovania bohatej biodiverzity a zraniteľných ekosystémov nachádzajúcich sa v oblasti Makaronézie</w:t>
      </w:r>
    </w:p>
    <w:p w:rsidR="00AD2AAE" w:rsidRPr="00CD6A05" w:rsidRDefault="005C5FAC" w:rsidP="005C5FAC">
      <w:pPr>
        <w:pStyle w:val="Point0"/>
        <w:rPr>
          <w:noProof/>
        </w:rPr>
      </w:pPr>
      <w:r w:rsidRPr="005C5FAC">
        <w:rPr>
          <w:noProof/>
        </w:rPr>
        <w:t>(4)</w:t>
      </w:r>
      <w:r w:rsidRPr="005C5FAC">
        <w:rPr>
          <w:noProof/>
        </w:rPr>
        <w:tab/>
      </w:r>
      <w:r w:rsidR="00AD2AAE" w:rsidRPr="00CD6A05">
        <w:rPr>
          <w:noProof/>
        </w:rPr>
        <w:t>O tomto návrhu na zmenu článku 1 písm. a) dohovoru OSPAR sa bude rokovať na 28. pravidelnom zasadnutí/stretnutí komisie OSPAR, ktoré sa začne 23. júna 2025. Podľa článku 15 ods. 3 dohovoru OSPAR sa má zmena prijať jednomyseľným hlasovaním zmluvných strán.</w:t>
      </w:r>
    </w:p>
    <w:p w:rsidR="00AD2AAE" w:rsidRPr="00CD6A05" w:rsidRDefault="005C5FAC" w:rsidP="005C5FAC">
      <w:pPr>
        <w:pStyle w:val="Point0"/>
        <w:rPr>
          <w:noProof/>
        </w:rPr>
      </w:pPr>
      <w:r w:rsidRPr="005C5FAC">
        <w:rPr>
          <w:noProof/>
        </w:rPr>
        <w:t>(5)</w:t>
      </w:r>
      <w:r w:rsidRPr="005C5FAC">
        <w:rPr>
          <w:noProof/>
        </w:rPr>
        <w:tab/>
      </w:r>
      <w:r w:rsidR="00AD2AAE" w:rsidRPr="00CD6A05">
        <w:rPr>
          <w:noProof/>
        </w:rPr>
        <w:t xml:space="preserve">Po prijatí zmeny komisiou OSPAR podľa článku 15 ods. 4 a 5 dohovoru OSPAR sa zmena predloží zmluvným stranám na ratifikáciu, prijatie alebo schválenie a zmena nadobudne platnosť až po tom, ako depozitár prijme oznámenie o ratifikácii, prijatí alebo schválení najmenej od siedmych zmluvných strán. </w:t>
      </w:r>
    </w:p>
    <w:p w:rsidR="0019302C" w:rsidRPr="00CD6A05" w:rsidRDefault="005C5FAC" w:rsidP="005C5FAC">
      <w:pPr>
        <w:pStyle w:val="Point0"/>
        <w:rPr>
          <w:noProof/>
        </w:rPr>
      </w:pPr>
      <w:r w:rsidRPr="005C5FAC">
        <w:rPr>
          <w:noProof/>
        </w:rPr>
        <w:t>(6)</w:t>
      </w:r>
      <w:r w:rsidRPr="005C5FAC">
        <w:rPr>
          <w:noProof/>
        </w:rPr>
        <w:tab/>
      </w:r>
      <w:r w:rsidR="00AD2AAE" w:rsidRPr="00CD6A05">
        <w:rPr>
          <w:noProof/>
        </w:rPr>
        <w:t xml:space="preserve">Únia by sa mala zúčastniť na rokovaniach o navrhovanej zmene článku 1 písm. a) dohovoru OSPAR v rámci 28. pravidelného zasadnutia/stretnutia komisie OSPAR, </w:t>
      </w:r>
    </w:p>
    <w:p w:rsidR="00AD2AAE" w:rsidRPr="00CD6A05" w:rsidRDefault="00AD2AAE" w:rsidP="006516EB">
      <w:pPr>
        <w:rPr>
          <w:noProof/>
        </w:rPr>
      </w:pPr>
    </w:p>
    <w:p w:rsidR="0019302C" w:rsidRPr="00CD6A05" w:rsidRDefault="0019302C" w:rsidP="00750C38">
      <w:pPr>
        <w:pStyle w:val="Formuledadoption"/>
        <w:rPr>
          <w:noProof/>
        </w:rPr>
      </w:pPr>
      <w:r w:rsidRPr="00CD6A05">
        <w:rPr>
          <w:noProof/>
        </w:rPr>
        <w:t xml:space="preserve">PRIJALA TOTO ROZHODNUTIE: </w:t>
      </w:r>
    </w:p>
    <w:p w:rsidR="0019302C" w:rsidRPr="00CD6A05" w:rsidRDefault="0019302C" w:rsidP="00750C38">
      <w:pPr>
        <w:pStyle w:val="Titrearticle"/>
        <w:rPr>
          <w:noProof/>
        </w:rPr>
      </w:pPr>
      <w:r w:rsidRPr="00CD6A05">
        <w:rPr>
          <w:noProof/>
        </w:rPr>
        <w:t>Článok 1</w:t>
      </w:r>
    </w:p>
    <w:p w:rsidR="00AD2AAE" w:rsidRPr="00CD6A05" w:rsidRDefault="00AD2AAE" w:rsidP="00AD2AAE">
      <w:pPr>
        <w:rPr>
          <w:noProof/>
          <w:szCs w:val="24"/>
        </w:rPr>
      </w:pPr>
      <w:bookmarkStart w:id="1" w:name="_CopyToNewDocument_"/>
      <w:bookmarkEnd w:id="1"/>
      <w:r w:rsidRPr="00CD6A05">
        <w:rPr>
          <w:noProof/>
        </w:rPr>
        <w:t>Komisia sa týmto poveruje zúčastniť sa v mene Únie na rokovaniach v rámci Komisie o</w:t>
      </w:r>
      <w:r w:rsidR="0072160D">
        <w:rPr>
          <w:noProof/>
        </w:rPr>
        <w:t> </w:t>
      </w:r>
      <w:r w:rsidRPr="00CD6A05">
        <w:rPr>
          <w:noProof/>
        </w:rPr>
        <w:t>Dohovore o ochrane morského prostredia severovýchodného Atlantiku (ďalej len „dohovor OSPAR“) o zmene článku 1 písm. a) dohovoru OSPAR, ktorou sa majú vody obklopujúce Makaronéziu (Madeira a Kanárske ostrovy) zahrnúť do morskej oblasti, na ktorú sa vzťahuje dohovor OSPAR.</w:t>
      </w:r>
    </w:p>
    <w:p w:rsidR="0019302C" w:rsidRPr="00CD6A05" w:rsidRDefault="00AD2AAE" w:rsidP="00AD2AAE">
      <w:pPr>
        <w:pStyle w:val="Titrearticle"/>
        <w:rPr>
          <w:noProof/>
        </w:rPr>
      </w:pPr>
      <w:r w:rsidRPr="00CD6A05">
        <w:rPr>
          <w:noProof/>
        </w:rPr>
        <w:t>Článok 2</w:t>
      </w:r>
    </w:p>
    <w:p w:rsidR="00AD2AAE" w:rsidRPr="00CD6A05" w:rsidRDefault="00AD2AAE" w:rsidP="00AD2AAE">
      <w:pPr>
        <w:rPr>
          <w:noProof/>
          <w:szCs w:val="24"/>
        </w:rPr>
      </w:pPr>
      <w:r w:rsidRPr="00CD6A05">
        <w:rPr>
          <w:noProof/>
        </w:rPr>
        <w:t>Smernice na rokovania sú uvedené v prílohe.</w:t>
      </w:r>
    </w:p>
    <w:p w:rsidR="00AD2AAE" w:rsidRPr="00CD6A05" w:rsidRDefault="00AD2AAE" w:rsidP="00AD2AAE">
      <w:pPr>
        <w:pStyle w:val="Titrearticle"/>
        <w:rPr>
          <w:noProof/>
        </w:rPr>
      </w:pPr>
      <w:r w:rsidRPr="00CD6A05">
        <w:rPr>
          <w:noProof/>
        </w:rPr>
        <w:t>Článok 3</w:t>
      </w:r>
    </w:p>
    <w:p w:rsidR="00AD2AAE" w:rsidRPr="00CD6A05" w:rsidRDefault="00AD2AAE" w:rsidP="00AD2AAE">
      <w:pPr>
        <w:rPr>
          <w:noProof/>
          <w:szCs w:val="24"/>
        </w:rPr>
      </w:pPr>
      <w:r w:rsidRPr="00CD6A05">
        <w:rPr>
          <w:noProof/>
        </w:rPr>
        <w:t>Rokovania sa vedú v konzultácii s pracovnou skupinou Rady pre životné prostredie, ktorá sa týmto určuje za osobitný výbor v zmysle článku 218 ods. 4 Zmluvy o fungovaní Európskej únie.</w:t>
      </w:r>
    </w:p>
    <w:p w:rsidR="00AD2AAE" w:rsidRPr="00CD6A05" w:rsidRDefault="00AD2AAE" w:rsidP="00AD2AAE">
      <w:pPr>
        <w:jc w:val="center"/>
        <w:rPr>
          <w:i/>
          <w:noProof/>
        </w:rPr>
      </w:pPr>
      <w:r w:rsidRPr="00CD6A05">
        <w:rPr>
          <w:i/>
          <w:noProof/>
        </w:rPr>
        <w:t>Článok 4</w:t>
      </w:r>
    </w:p>
    <w:p w:rsidR="00AF6CD3" w:rsidRPr="00CD6A05" w:rsidRDefault="00AF6CD3" w:rsidP="0001247D">
      <w:pPr>
        <w:rPr>
          <w:iCs/>
          <w:noProof/>
        </w:rPr>
      </w:pPr>
      <w:r w:rsidRPr="00CD6A05">
        <w:rPr>
          <w:noProof/>
        </w:rPr>
        <w:t>Toto rozhodnutie je určené Komisii.</w:t>
      </w:r>
    </w:p>
    <w:p w:rsidR="00AF6CD3" w:rsidRPr="00CD6A05" w:rsidRDefault="00AF6CD3" w:rsidP="00AD2AAE">
      <w:pPr>
        <w:jc w:val="center"/>
        <w:rPr>
          <w:i/>
          <w:noProof/>
        </w:rPr>
      </w:pPr>
    </w:p>
    <w:p w:rsidR="00AF6CD3" w:rsidRPr="00CD6A05" w:rsidRDefault="00AF6CD3" w:rsidP="00AD2AAE">
      <w:pPr>
        <w:jc w:val="center"/>
        <w:rPr>
          <w:i/>
          <w:noProof/>
        </w:rPr>
      </w:pPr>
    </w:p>
    <w:p w:rsidR="0019302C" w:rsidRPr="00CD6A05" w:rsidRDefault="00CD6A05" w:rsidP="003A5431">
      <w:pPr>
        <w:pStyle w:val="Fait"/>
        <w:rPr>
          <w:noProof/>
        </w:rPr>
      </w:pPr>
      <w:r>
        <w:rPr>
          <w:noProof/>
        </w:rPr>
        <w:t>V Bruseli</w:t>
      </w:r>
    </w:p>
    <w:p w:rsidR="0019302C" w:rsidRPr="00CD6A05" w:rsidRDefault="0019302C" w:rsidP="003A5431">
      <w:pPr>
        <w:pStyle w:val="Institutionquisigne"/>
        <w:rPr>
          <w:noProof/>
        </w:rPr>
      </w:pPr>
      <w:r w:rsidRPr="00CD6A05">
        <w:rPr>
          <w:noProof/>
        </w:rPr>
        <w:tab/>
        <w:t>Za Radu</w:t>
      </w:r>
    </w:p>
    <w:p w:rsidR="0019302C" w:rsidRPr="00CD6A05" w:rsidRDefault="0019302C" w:rsidP="0019302C">
      <w:pPr>
        <w:pStyle w:val="Personnequisigne"/>
        <w:rPr>
          <w:noProof/>
        </w:rPr>
      </w:pPr>
      <w:r w:rsidRPr="00CD6A05">
        <w:rPr>
          <w:noProof/>
        </w:rPr>
        <w:tab/>
        <w:t>predseda</w:t>
      </w:r>
    </w:p>
    <w:sectPr w:rsidR="0019302C" w:rsidRPr="00CD6A05" w:rsidSect="00C4135E"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660" w:rsidRDefault="00816660" w:rsidP="0019302C">
      <w:pPr>
        <w:spacing w:before="0" w:after="0"/>
      </w:pPr>
      <w:r>
        <w:separator/>
      </w:r>
    </w:p>
  </w:endnote>
  <w:endnote w:type="continuationSeparator" w:id="0">
    <w:p w:rsidR="00816660" w:rsidRDefault="00816660" w:rsidP="0019302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35E" w:rsidRPr="00C4135E" w:rsidRDefault="00C4135E" w:rsidP="00C4135E">
    <w:pPr>
      <w:pStyle w:val="Footer"/>
      <w:rPr>
        <w:rFonts w:ascii="Arial" w:hAnsi="Arial" w:cs="Arial"/>
        <w:b/>
        <w:sz w:val="48"/>
      </w:rPr>
    </w:pPr>
    <w:r w:rsidRPr="00C4135E">
      <w:rPr>
        <w:rFonts w:ascii="Arial" w:hAnsi="Arial" w:cs="Arial"/>
        <w:b/>
        <w:sz w:val="48"/>
      </w:rPr>
      <w:t>SK</w:t>
    </w:r>
    <w:r w:rsidRPr="00C4135E">
      <w:rPr>
        <w:rFonts w:ascii="Arial" w:hAnsi="Arial" w:cs="Arial"/>
        <w:b/>
        <w:sz w:val="48"/>
      </w:rPr>
      <w:tab/>
    </w:r>
    <w:r w:rsidRPr="00C4135E">
      <w:rPr>
        <w:rFonts w:ascii="Arial" w:hAnsi="Arial" w:cs="Arial"/>
        <w:b/>
        <w:sz w:val="48"/>
      </w:rPr>
      <w:tab/>
    </w:r>
    <w:r w:rsidRPr="00C4135E">
      <w:tab/>
    </w:r>
    <w:r w:rsidRPr="00C4135E">
      <w:rPr>
        <w:rFonts w:ascii="Arial" w:hAnsi="Arial" w:cs="Arial"/>
        <w:b/>
        <w:sz w:val="48"/>
      </w:rPr>
      <w:t>SK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35E" w:rsidRPr="00C4135E" w:rsidRDefault="00C4135E" w:rsidP="00C4135E">
    <w:pPr>
      <w:pStyle w:val="Footer"/>
      <w:rPr>
        <w:rFonts w:ascii="Arial" w:hAnsi="Arial" w:cs="Arial"/>
        <w:b/>
        <w:sz w:val="48"/>
      </w:rPr>
    </w:pPr>
    <w:r w:rsidRPr="00C4135E">
      <w:rPr>
        <w:rFonts w:ascii="Arial" w:hAnsi="Arial" w:cs="Arial"/>
        <w:b/>
        <w:sz w:val="48"/>
      </w:rPr>
      <w:t>SK</w:t>
    </w:r>
    <w:r w:rsidRPr="00C4135E">
      <w:rPr>
        <w:rFonts w:ascii="Arial" w:hAnsi="Arial" w:cs="Arial"/>
        <w:b/>
        <w:sz w:val="48"/>
      </w:rPr>
      <w:tab/>
    </w:r>
    <w:r w:rsidRPr="00C4135E">
      <w:rPr>
        <w:rFonts w:ascii="Arial" w:hAnsi="Arial" w:cs="Arial"/>
        <w:b/>
        <w:sz w:val="48"/>
      </w:rPr>
      <w:tab/>
    </w:r>
    <w:r w:rsidRPr="00C4135E">
      <w:tab/>
    </w:r>
    <w:r w:rsidRPr="00C4135E">
      <w:rPr>
        <w:rFonts w:ascii="Arial" w:hAnsi="Arial" w:cs="Arial"/>
        <w:b/>
        <w:sz w:val="48"/>
      </w:rPr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35E" w:rsidRDefault="00C4135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35E" w:rsidRPr="00C4135E" w:rsidRDefault="00C4135E" w:rsidP="00C4135E">
    <w:pPr>
      <w:pStyle w:val="Footer"/>
      <w:rPr>
        <w:rFonts w:ascii="Arial" w:hAnsi="Arial" w:cs="Arial"/>
        <w:b/>
        <w:sz w:val="48"/>
      </w:rPr>
    </w:pPr>
    <w:r w:rsidRPr="00C4135E">
      <w:rPr>
        <w:rFonts w:ascii="Arial" w:hAnsi="Arial" w:cs="Arial"/>
        <w:b/>
        <w:sz w:val="48"/>
      </w:rPr>
      <w:t>SK</w:t>
    </w:r>
    <w:r w:rsidRPr="00C4135E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3A5431">
      <w:rPr>
        <w:noProof/>
      </w:rPr>
      <w:t>7</w:t>
    </w:r>
    <w:r>
      <w:fldChar w:fldCharType="end"/>
    </w:r>
    <w:r>
      <w:tab/>
    </w:r>
    <w:r w:rsidRPr="00C4135E">
      <w:tab/>
    </w:r>
    <w:r w:rsidRPr="00C4135E">
      <w:rPr>
        <w:rFonts w:ascii="Arial" w:hAnsi="Arial" w:cs="Arial"/>
        <w:b/>
        <w:sz w:val="48"/>
      </w:rPr>
      <w:t>SK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35E" w:rsidRDefault="00C4135E" w:rsidP="00C413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660" w:rsidRDefault="00816660" w:rsidP="0019302C">
      <w:pPr>
        <w:spacing w:before="0" w:after="0"/>
      </w:pPr>
      <w:r>
        <w:separator/>
      </w:r>
    </w:p>
  </w:footnote>
  <w:footnote w:type="continuationSeparator" w:id="0">
    <w:p w:rsidR="00816660" w:rsidRDefault="00816660" w:rsidP="0019302C">
      <w:pPr>
        <w:spacing w:before="0" w:after="0"/>
      </w:pPr>
      <w:r>
        <w:continuationSeparator/>
      </w:r>
    </w:p>
  </w:footnote>
  <w:footnote w:id="1">
    <w:p w:rsidR="0019302C" w:rsidRPr="000832FD" w:rsidRDefault="0019302C" w:rsidP="0019302C">
      <w:pPr>
        <w:pStyle w:val="FootnoteText"/>
      </w:pPr>
      <w:r>
        <w:rPr>
          <w:rStyle w:val="FootnoteReference"/>
        </w:rPr>
        <w:footnoteRef/>
      </w:r>
      <w:r>
        <w:tab/>
        <w:t>Rozhodnutie Rady 98/249/ES zo 7. októbra 1997 o uzavretí Dohovoru o ochrane morského prostredia v</w:t>
      </w:r>
      <w:r w:rsidR="0072160D">
        <w:t> </w:t>
      </w:r>
      <w:r>
        <w:t>severovýchodnom Atlantiku (Ú. v. ES L 104, 3.4.1998, s. 1).</w:t>
      </w:r>
    </w:p>
  </w:footnote>
  <w:footnote w:id="2">
    <w:p w:rsidR="0019302C" w:rsidRPr="005D4750" w:rsidRDefault="0019302C" w:rsidP="0019302C">
      <w:pPr>
        <w:pStyle w:val="FootnoteText"/>
      </w:pPr>
      <w:r>
        <w:rPr>
          <w:rStyle w:val="FootnoteReference"/>
        </w:rPr>
        <w:footnoteRef/>
      </w:r>
      <w:r>
        <w:tab/>
        <w:t>Návrh sa týka celkovej rozlohy 2 573 750 km</w:t>
      </w:r>
      <w:r>
        <w:rPr>
          <w:vertAlign w:val="superscript"/>
        </w:rPr>
        <w:t>2</w:t>
      </w:r>
      <w:r>
        <w:t>, z toho 875 947 km</w:t>
      </w:r>
      <w:r>
        <w:rPr>
          <w:vertAlign w:val="superscript"/>
        </w:rPr>
        <w:t>2</w:t>
      </w:r>
      <w:r>
        <w:t xml:space="preserve"> sa nachádza v portugalskej a</w:t>
      </w:r>
      <w:r w:rsidR="0072160D">
        <w:t> </w:t>
      </w:r>
      <w:r>
        <w:t>španielskej výhradnej hospodárskej zóne a pobrežných vodách Portugalska a Španielska a</w:t>
      </w:r>
      <w:r w:rsidR="0072160D">
        <w:t> </w:t>
      </w:r>
      <w:r>
        <w:t>1 697 803 km</w:t>
      </w:r>
      <w:r>
        <w:rPr>
          <w:vertAlign w:val="superscript"/>
        </w:rPr>
        <w:t>2</w:t>
      </w:r>
      <w:r>
        <w:t xml:space="preserve"> je na šírom mori (z toho 944 425 km2 sa nachádza v portugalských a španielskych rozšírených kontinentálnych šelfoch a 753 378 km</w:t>
      </w:r>
      <w:r>
        <w:rPr>
          <w:vertAlign w:val="superscript"/>
        </w:rPr>
        <w:t>2</w:t>
      </w:r>
      <w:r>
        <w:t xml:space="preserve"> predstavuje pásmo).</w:t>
      </w:r>
    </w:p>
  </w:footnote>
  <w:footnote w:id="3">
    <w:p w:rsidR="0019302C" w:rsidRPr="005271E4" w:rsidRDefault="0019302C" w:rsidP="0019302C">
      <w:pPr>
        <w:pStyle w:val="FootnoteText"/>
      </w:pPr>
      <w:r>
        <w:rPr>
          <w:rStyle w:val="FootnoteReference"/>
        </w:rPr>
        <w:footnoteRef/>
      </w:r>
      <w:r>
        <w:tab/>
        <w:t>Smernica Európskeho parlamentu a Rady 2008/56/ES zo 17. júna 2008, ktorou sa ustanovuje rámec pre činnosť Spoločenstva v oblasti morskej environmentálnej politiky (rámcová smernica o morskej stratégii) (Ú. v. EÚ L 164, 25.6.2008, s. 19).</w:t>
      </w:r>
    </w:p>
  </w:footnote>
  <w:footnote w:id="4">
    <w:p w:rsidR="008F2549" w:rsidRPr="005271E4" w:rsidRDefault="008F2549">
      <w:pPr>
        <w:pStyle w:val="FootnoteText"/>
      </w:pPr>
      <w:r>
        <w:rPr>
          <w:rStyle w:val="FootnoteReference"/>
        </w:rPr>
        <w:footnoteRef/>
      </w:r>
      <w:r>
        <w:tab/>
        <w:t>Smernica Rady 92/43/EHS z 21. mája 1992 o ochrane prirodzených biotopov a voľne žijúcich živočíchov a rastlín (Ú. v. ES L 206, 22.7.1992, s. 7).</w:t>
      </w:r>
    </w:p>
  </w:footnote>
  <w:footnote w:id="5">
    <w:p w:rsidR="008F2549" w:rsidRPr="005271E4" w:rsidRDefault="008F2549">
      <w:pPr>
        <w:pStyle w:val="FootnoteText"/>
      </w:pPr>
      <w:r>
        <w:rPr>
          <w:rStyle w:val="FootnoteReference"/>
        </w:rPr>
        <w:footnoteRef/>
      </w:r>
      <w:r>
        <w:tab/>
        <w:t>Smernica Európskeho parlamentu a Rady 2009/147/ES z 30. novembra 2009 o ochrane voľne žijúceho vtáctva (Ú. v. EÚ L 20, 26.1.2010, s. 7).</w:t>
      </w:r>
    </w:p>
  </w:footnote>
  <w:footnote w:id="6">
    <w:p w:rsidR="008F2549" w:rsidRPr="008F2549" w:rsidRDefault="008F2549">
      <w:pPr>
        <w:pStyle w:val="FootnoteText"/>
      </w:pPr>
      <w:r>
        <w:rPr>
          <w:rStyle w:val="FootnoteReference"/>
        </w:rPr>
        <w:footnoteRef/>
      </w:r>
      <w:r>
        <w:tab/>
        <w:t>Nariadenie Európskeho parlamentu a Rady (EÚ) 2024/1991 z 24. júna 2024 o obnove prírody a o zmene nariadenia (EÚ) 2022/869 (Ú. v. EÚ L, 2024/1991, 29.7.2024).</w:t>
      </w:r>
    </w:p>
  </w:footnote>
  <w:footnote w:id="7">
    <w:p w:rsidR="008F2549" w:rsidRPr="00A07A01" w:rsidRDefault="008F2549" w:rsidP="00A07A01">
      <w:pPr>
        <w:pStyle w:val="FootnoteText"/>
      </w:pPr>
      <w:r>
        <w:rPr>
          <w:rStyle w:val="FootnoteReference"/>
        </w:rPr>
        <w:footnoteRef/>
      </w:r>
      <w:r>
        <w:tab/>
        <w:t>Oznámenie Komisie Európskemu parlamentu, Rade, Európskemu hospodárskemu a sociálnemu výboru a Výboru regiónov s názvom Stratégia EÚ v oblasti biodiverzity do roku 2030 – Prinavrátenie prírody do našich životov [COM(2020) 380 final].</w:t>
      </w:r>
    </w:p>
  </w:footnote>
  <w:footnote w:id="8">
    <w:p w:rsidR="00AD2AAE" w:rsidRPr="000832FD" w:rsidRDefault="00AD2AAE" w:rsidP="00AD2AAE">
      <w:pPr>
        <w:pStyle w:val="FootnoteText"/>
      </w:pPr>
      <w:r>
        <w:rPr>
          <w:rStyle w:val="FootnoteReference"/>
        </w:rPr>
        <w:footnoteRef/>
      </w:r>
      <w:r>
        <w:tab/>
        <w:t>Rozhodnutie Rady 98/249/ES zo 7. októbra 1997 o uzavretí Dohovoru o ochrane morského prostredia v</w:t>
      </w:r>
      <w:r w:rsidR="0072160D">
        <w:t> </w:t>
      </w:r>
      <w:r>
        <w:t>severovýchodnom Atlantiku (Ú. v. ES L 104, 3.4.1998, s. 1).</w:t>
      </w:r>
    </w:p>
  </w:footnote>
  <w:footnote w:id="9">
    <w:p w:rsidR="00AD2AAE" w:rsidRPr="005D4750" w:rsidRDefault="00AD2AAE" w:rsidP="00AD2AAE">
      <w:pPr>
        <w:pStyle w:val="FootnoteText"/>
      </w:pPr>
      <w:r>
        <w:rPr>
          <w:rStyle w:val="FootnoteReference"/>
        </w:rPr>
        <w:footnoteRef/>
      </w:r>
      <w:r>
        <w:tab/>
        <w:t>Smernica Európskeho parlamentu a Rady 2008/56/ES zo 17. júna 2008, ktorou sa ustanovuje rámec pre činnosť Spoločenstva v oblasti morskej environmentálnej politiky (rámcová smernica o morskej stratégii) (Ú. v. EÚ L 164, 25.6.2008, s. 19).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35E" w:rsidRDefault="00C413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35E" w:rsidRDefault="00C413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195078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F04C382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201A03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2814CFA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</w:num>
  <w:num w:numId="7">
    <w:abstractNumId w:val="15"/>
  </w:num>
  <w:num w:numId="8">
    <w:abstractNumId w:val="8"/>
  </w:num>
  <w:num w:numId="9">
    <w:abstractNumId w:val="17"/>
  </w:num>
  <w:num w:numId="10">
    <w:abstractNumId w:val="7"/>
  </w:num>
  <w:num w:numId="11">
    <w:abstractNumId w:val="9"/>
  </w:num>
  <w:num w:numId="12">
    <w:abstractNumId w:val="10"/>
  </w:num>
  <w:num w:numId="13">
    <w:abstractNumId w:val="5"/>
  </w:num>
  <w:num w:numId="14">
    <w:abstractNumId w:val="16"/>
  </w:num>
  <w:num w:numId="15">
    <w:abstractNumId w:val="4"/>
  </w:num>
  <w:num w:numId="16">
    <w:abstractNumId w:val="11"/>
  </w:num>
  <w:num w:numId="17">
    <w:abstractNumId w:val="13"/>
  </w:num>
  <w:num w:numId="18">
    <w:abstractNumId w:val="14"/>
  </w:num>
  <w:num w:numId="19">
    <w:abstractNumId w:val="6"/>
  </w:num>
  <w:num w:numId="20">
    <w:abstractNumId w:val="12"/>
  </w:num>
  <w:num w:numId="21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5-05-27 17:45:43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CORRIGENDUM" w:val="&lt;UNUSED&gt;"/>
    <w:docVar w:name="LW_COVERPAGE_EXISTS" w:val="True"/>
    <w:docVar w:name="LW_COVERPAGE_GUID" w:val="901BE667-7197-400E-91DF-E5D304B04E37"/>
    <w:docVar w:name="LW_COVERPAGE_TYPE" w:val="1"/>
    <w:docVar w:name="LW_CreatedUtc" w:val="2025-05-02T15:13:38.3862713Z"/>
    <w:docVar w:name="LW_CROSSREFERENCE" w:val="&lt;UNUSED&gt;"/>
    <w:docVar w:name="LW_DocType" w:val="COM"/>
    <w:docVar w:name="LW_EMISSION" w:val="16. 5. 2025"/>
    <w:docVar w:name="LW_EMISSION_ISODATE" w:val="2025-05-16"/>
    <w:docVar w:name="LW_EMISSION_LOCATION" w:val="BRX"/>
    <w:docVar w:name="LW_EMISSION_PREFIX" w:val="V Bruseli"/>
    <w:docVar w:name="LW_EMISSION_SUFFIX" w:val=" "/>
    <w:docVar w:name="LW_ID_DOCMODEL" w:val="SG-001"/>
    <w:docVar w:name="LW_ID_DOCSIGNATURE" w:val="SG-001"/>
    <w:docVar w:name="LW_ID_DOCSTRUCTURE" w:val="COM/PL/ORG/NOEEA"/>
    <w:docVar w:name="LW_ID_DOCTYPE" w:val="SG-001"/>
    <w:docVar w:name="LW_ID_STATUT" w:val="SG-001"/>
    <w:docVar w:name="LW_INSERT_EXP.MOTIFS.NEW" w:val="1"/>
    <w:docVar w:name="LW_LANGUE" w:val="SK"/>
    <w:docVar w:name="LW_LEVEL_OF_SENSITIVITY" w:val="Standard treatment"/>
    <w:docVar w:name="LW_NOM.INST" w:val="EURÓPSKA KOMISIA"/>
    <w:docVar w:name="LW_NOM.INST_JOINTDOC" w:val="&lt;EMPTY&gt;"/>
    <w:docVar w:name="LW_PART_NBR" w:val="1"/>
    <w:docVar w:name="LW_PART_NBR_TOTAL" w:val="1"/>
    <w:docVar w:name="LW_REF.II.NEW.CP" w:val="&lt;UNUSED&gt;"/>
    <w:docVar w:name="LW_REF.II.NEW.CP_NUMBER" w:val="&lt;UNUSED&gt;"/>
    <w:docVar w:name="LW_REF.II.NEW.CP_YEAR" w:val="2025"/>
    <w:docVar w:name="LW_REF.INST.NEW" w:val="COM"/>
    <w:docVar w:name="LW_REF.INST.NEW_ADOPTED" w:val="final"/>
    <w:docVar w:name="LW_REF.INST.NEW_TEXT" w:val="(2025) 255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TATUT.CP" w:val="Odporú\u269?anie"/>
    <w:docVar w:name="LW_SUPERTITRE" w:val="&lt;UNUSED&gt;"/>
    <w:docVar w:name="LW_TITRE.OBJ.CP" w:val="o poverení za\u269?a\u357? rokovania o zmene \u269?lánku 1 písm. a) Dohovoru o ochrane morského prostredia severovýchodného Atlantiku"/>
    <w:docVar w:name="LW_TYPE.DOC.CP" w:val="ROZHODNUTIE RADY"/>
    <w:docVar w:name="LwApiVersions" w:val="LW4CoDe 1.24.5.0; LW 9.0, Build 20240221"/>
  </w:docVars>
  <w:rsids>
    <w:rsidRoot w:val="0019302C"/>
    <w:rsid w:val="0001247D"/>
    <w:rsid w:val="0002553A"/>
    <w:rsid w:val="000374C7"/>
    <w:rsid w:val="00082F96"/>
    <w:rsid w:val="000944A9"/>
    <w:rsid w:val="000A7D39"/>
    <w:rsid w:val="001065F5"/>
    <w:rsid w:val="00113AE7"/>
    <w:rsid w:val="001238EF"/>
    <w:rsid w:val="00191D90"/>
    <w:rsid w:val="0019302C"/>
    <w:rsid w:val="00197613"/>
    <w:rsid w:val="001A1187"/>
    <w:rsid w:val="001B0C73"/>
    <w:rsid w:val="001D73B4"/>
    <w:rsid w:val="00201178"/>
    <w:rsid w:val="00201A19"/>
    <w:rsid w:val="00233DC7"/>
    <w:rsid w:val="00247779"/>
    <w:rsid w:val="00282597"/>
    <w:rsid w:val="00285BEE"/>
    <w:rsid w:val="0029533F"/>
    <w:rsid w:val="002A2AE7"/>
    <w:rsid w:val="002B30AF"/>
    <w:rsid w:val="002D5CD6"/>
    <w:rsid w:val="002E7C81"/>
    <w:rsid w:val="00304A87"/>
    <w:rsid w:val="0033344A"/>
    <w:rsid w:val="00353B8E"/>
    <w:rsid w:val="00365FB3"/>
    <w:rsid w:val="003760BD"/>
    <w:rsid w:val="003A3A5C"/>
    <w:rsid w:val="003A5431"/>
    <w:rsid w:val="003D1D0B"/>
    <w:rsid w:val="00407F50"/>
    <w:rsid w:val="0042648E"/>
    <w:rsid w:val="00465B5B"/>
    <w:rsid w:val="0048311E"/>
    <w:rsid w:val="0048679D"/>
    <w:rsid w:val="004936D2"/>
    <w:rsid w:val="004C1900"/>
    <w:rsid w:val="005271E4"/>
    <w:rsid w:val="00553CCD"/>
    <w:rsid w:val="005733FA"/>
    <w:rsid w:val="00580AF7"/>
    <w:rsid w:val="005B1EB6"/>
    <w:rsid w:val="005C5FAC"/>
    <w:rsid w:val="005D0706"/>
    <w:rsid w:val="00616150"/>
    <w:rsid w:val="0064411B"/>
    <w:rsid w:val="00644359"/>
    <w:rsid w:val="006516EB"/>
    <w:rsid w:val="00680DDD"/>
    <w:rsid w:val="006C5D7E"/>
    <w:rsid w:val="006F2B47"/>
    <w:rsid w:val="00705EC7"/>
    <w:rsid w:val="0072160D"/>
    <w:rsid w:val="0076615A"/>
    <w:rsid w:val="00773331"/>
    <w:rsid w:val="007749D7"/>
    <w:rsid w:val="007932EF"/>
    <w:rsid w:val="007D4DD5"/>
    <w:rsid w:val="007E05B0"/>
    <w:rsid w:val="00816576"/>
    <w:rsid w:val="00816660"/>
    <w:rsid w:val="00874D22"/>
    <w:rsid w:val="008909E2"/>
    <w:rsid w:val="008A1AC5"/>
    <w:rsid w:val="008A2914"/>
    <w:rsid w:val="008E4D8E"/>
    <w:rsid w:val="008F2549"/>
    <w:rsid w:val="0091029A"/>
    <w:rsid w:val="009605CA"/>
    <w:rsid w:val="00961769"/>
    <w:rsid w:val="00967C5C"/>
    <w:rsid w:val="009A3ED0"/>
    <w:rsid w:val="00A07A01"/>
    <w:rsid w:val="00A16BFD"/>
    <w:rsid w:val="00A9231F"/>
    <w:rsid w:val="00A96983"/>
    <w:rsid w:val="00AA0FD2"/>
    <w:rsid w:val="00AD2AAE"/>
    <w:rsid w:val="00AF6CD3"/>
    <w:rsid w:val="00B00A86"/>
    <w:rsid w:val="00B242CD"/>
    <w:rsid w:val="00B25A2B"/>
    <w:rsid w:val="00B91AF4"/>
    <w:rsid w:val="00BD1110"/>
    <w:rsid w:val="00BE1172"/>
    <w:rsid w:val="00C12301"/>
    <w:rsid w:val="00C22684"/>
    <w:rsid w:val="00C4135E"/>
    <w:rsid w:val="00C7231C"/>
    <w:rsid w:val="00C74059"/>
    <w:rsid w:val="00C91CFF"/>
    <w:rsid w:val="00CC4A20"/>
    <w:rsid w:val="00CD5369"/>
    <w:rsid w:val="00CD6A05"/>
    <w:rsid w:val="00D056A4"/>
    <w:rsid w:val="00D13080"/>
    <w:rsid w:val="00D20061"/>
    <w:rsid w:val="00D20381"/>
    <w:rsid w:val="00D52C5B"/>
    <w:rsid w:val="00DA7B30"/>
    <w:rsid w:val="00DC1AA3"/>
    <w:rsid w:val="00DF6D39"/>
    <w:rsid w:val="00EC5E7C"/>
    <w:rsid w:val="00EE0131"/>
    <w:rsid w:val="00EE7D13"/>
    <w:rsid w:val="00F372B0"/>
    <w:rsid w:val="00F8011E"/>
    <w:rsid w:val="00F801BB"/>
    <w:rsid w:val="00FB7FD9"/>
    <w:rsid w:val="00FC38F8"/>
    <w:rsid w:val="00FF59FA"/>
    <w:rsid w:val="00FF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5:docId w15:val="{E1234FD1-E17E-48CE-B759-9DCB1DF5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sk-SK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4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4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4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4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14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14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14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AA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D2A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2AAE"/>
    <w:pPr>
      <w:spacing w:before="0" w:after="160"/>
      <w:jc w:val="left"/>
    </w:pPr>
    <w:rPr>
      <w:rFonts w:ascii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D2AAE"/>
    <w:rPr>
      <w:kern w:val="2"/>
      <w:sz w:val="20"/>
      <w:szCs w:val="20"/>
      <w:lang w:val="sk-SK"/>
      <w14:ligatures w14:val="standardContextual"/>
    </w:rPr>
  </w:style>
  <w:style w:type="paragraph" w:styleId="ListBullet">
    <w:name w:val="List Bullet"/>
    <w:basedOn w:val="Normal"/>
    <w:uiPriority w:val="99"/>
    <w:semiHidden/>
    <w:unhideWhenUsed/>
    <w:rsid w:val="005D0706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5D0706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5D0706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5D0706"/>
    <w:pPr>
      <w:numPr>
        <w:numId w:val="4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9605CA"/>
    <w:rPr>
      <w:color w:val="0000FF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7D13"/>
    <w:pPr>
      <w:spacing w:before="120" w:after="120"/>
      <w:jc w:val="both"/>
    </w:pPr>
    <w:rPr>
      <w:rFonts w:ascii="Times New Roman" w:hAnsi="Times New Roman" w:cs="Times New Roman"/>
      <w:b/>
      <w:bCs/>
      <w:kern w:val="0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7D13"/>
    <w:rPr>
      <w:rFonts w:ascii="Times New Roman" w:hAnsi="Times New Roman" w:cs="Times New Roman"/>
      <w:b/>
      <w:bCs/>
      <w:kern w:val="2"/>
      <w:sz w:val="20"/>
      <w:szCs w:val="20"/>
      <w:lang w:val="sk-SK"/>
      <w14:ligatures w14:val="standardContextual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E7D1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F6CD3"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C4135E"/>
    <w:rPr>
      <w:rFonts w:ascii="Times New Roman" w:hAnsi="Times New Roman" w:cs="Times New Roman"/>
      <w:sz w:val="24"/>
      <w:lang w:val="sk-SK"/>
    </w:rPr>
  </w:style>
  <w:style w:type="character" w:customStyle="1" w:styleId="FooterChar">
    <w:name w:val="Footer Char"/>
    <w:basedOn w:val="DefaultParagraphFont"/>
    <w:link w:val="Footer"/>
    <w:uiPriority w:val="99"/>
    <w:rsid w:val="00C4135E"/>
    <w:rPr>
      <w:rFonts w:ascii="Times New Roman" w:hAnsi="Times New Roman" w:cs="Times New Roman"/>
      <w:sz w:val="24"/>
      <w:lang w:val="sk-SK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sk-SK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sk-SK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sk-SK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sk-SK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sk-SK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sk-SK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sk-SK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C4135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C4135E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C4135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7"/>
      </w:numPr>
    </w:pPr>
  </w:style>
  <w:style w:type="paragraph" w:customStyle="1" w:styleId="Tiret1">
    <w:name w:val="Tiret 1"/>
    <w:basedOn w:val="Point1"/>
    <w:pPr>
      <w:numPr>
        <w:numId w:val="8"/>
      </w:numPr>
    </w:pPr>
  </w:style>
  <w:style w:type="paragraph" w:customStyle="1" w:styleId="Tiret2">
    <w:name w:val="Tiret 2"/>
    <w:basedOn w:val="Point2"/>
    <w:pPr>
      <w:numPr>
        <w:numId w:val="9"/>
      </w:numPr>
    </w:pPr>
  </w:style>
  <w:style w:type="paragraph" w:customStyle="1" w:styleId="Tiret3">
    <w:name w:val="Tiret 3"/>
    <w:basedOn w:val="Point3"/>
    <w:pPr>
      <w:numPr>
        <w:numId w:val="10"/>
      </w:numPr>
    </w:pPr>
  </w:style>
  <w:style w:type="paragraph" w:customStyle="1" w:styleId="Tiret4">
    <w:name w:val="Tiret 4"/>
    <w:basedOn w:val="Point4"/>
    <w:pPr>
      <w:numPr>
        <w:numId w:val="11"/>
      </w:numPr>
    </w:pPr>
  </w:style>
  <w:style w:type="paragraph" w:customStyle="1" w:styleId="Tiret5">
    <w:name w:val="Tiret 5"/>
    <w:basedOn w:val="Point5"/>
    <w:pPr>
      <w:numPr>
        <w:numId w:val="12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3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3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3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3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13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13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13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5"/>
      </w:numPr>
    </w:pPr>
  </w:style>
  <w:style w:type="paragraph" w:customStyle="1" w:styleId="Point1number">
    <w:name w:val="Point 1 (number)"/>
    <w:basedOn w:val="Normal"/>
    <w:pPr>
      <w:numPr>
        <w:ilvl w:val="2"/>
        <w:numId w:val="15"/>
      </w:numPr>
    </w:pPr>
  </w:style>
  <w:style w:type="paragraph" w:customStyle="1" w:styleId="Point2number">
    <w:name w:val="Point 2 (number)"/>
    <w:basedOn w:val="Normal"/>
    <w:pPr>
      <w:numPr>
        <w:ilvl w:val="4"/>
        <w:numId w:val="15"/>
      </w:numPr>
    </w:pPr>
  </w:style>
  <w:style w:type="paragraph" w:customStyle="1" w:styleId="Point3number">
    <w:name w:val="Point 3 (number)"/>
    <w:basedOn w:val="Normal"/>
    <w:pPr>
      <w:numPr>
        <w:ilvl w:val="6"/>
        <w:numId w:val="15"/>
      </w:numPr>
    </w:pPr>
  </w:style>
  <w:style w:type="paragraph" w:customStyle="1" w:styleId="Point0letter">
    <w:name w:val="Point 0 (letter)"/>
    <w:basedOn w:val="Normal"/>
    <w:pPr>
      <w:numPr>
        <w:ilvl w:val="1"/>
        <w:numId w:val="15"/>
      </w:numPr>
    </w:pPr>
  </w:style>
  <w:style w:type="paragraph" w:customStyle="1" w:styleId="Point1letter">
    <w:name w:val="Point 1 (letter)"/>
    <w:basedOn w:val="Normal"/>
    <w:pPr>
      <w:numPr>
        <w:ilvl w:val="3"/>
        <w:numId w:val="15"/>
      </w:numPr>
    </w:pPr>
  </w:style>
  <w:style w:type="paragraph" w:customStyle="1" w:styleId="Point2letter">
    <w:name w:val="Point 2 (letter)"/>
    <w:basedOn w:val="Normal"/>
    <w:pPr>
      <w:numPr>
        <w:ilvl w:val="5"/>
        <w:numId w:val="15"/>
      </w:numPr>
    </w:pPr>
  </w:style>
  <w:style w:type="paragraph" w:customStyle="1" w:styleId="Point3letter">
    <w:name w:val="Point 3 (letter)"/>
    <w:basedOn w:val="Normal"/>
    <w:pPr>
      <w:numPr>
        <w:ilvl w:val="7"/>
        <w:numId w:val="15"/>
      </w:numPr>
    </w:pPr>
  </w:style>
  <w:style w:type="paragraph" w:customStyle="1" w:styleId="Point4letter">
    <w:name w:val="Point 4 (letter)"/>
    <w:basedOn w:val="Normal"/>
    <w:pPr>
      <w:numPr>
        <w:ilvl w:val="8"/>
        <w:numId w:val="15"/>
      </w:numPr>
    </w:pPr>
  </w:style>
  <w:style w:type="paragraph" w:customStyle="1" w:styleId="Bullet0">
    <w:name w:val="Bullet 0"/>
    <w:basedOn w:val="Normal"/>
    <w:pPr>
      <w:numPr>
        <w:numId w:val="16"/>
      </w:numPr>
    </w:pPr>
  </w:style>
  <w:style w:type="paragraph" w:customStyle="1" w:styleId="Bullet1">
    <w:name w:val="Bullet 1"/>
    <w:basedOn w:val="Normal"/>
    <w:pPr>
      <w:numPr>
        <w:numId w:val="17"/>
      </w:numPr>
    </w:pPr>
  </w:style>
  <w:style w:type="paragraph" w:customStyle="1" w:styleId="Bullet2">
    <w:name w:val="Bullet 2"/>
    <w:basedOn w:val="Normal"/>
    <w:pPr>
      <w:numPr>
        <w:numId w:val="18"/>
      </w:numPr>
    </w:pPr>
  </w:style>
  <w:style w:type="paragraph" w:customStyle="1" w:styleId="Bullet3">
    <w:name w:val="Bullet 3"/>
    <w:basedOn w:val="Normal"/>
    <w:pPr>
      <w:numPr>
        <w:numId w:val="19"/>
      </w:numPr>
    </w:pPr>
  </w:style>
  <w:style w:type="paragraph" w:customStyle="1" w:styleId="Bullet4">
    <w:name w:val="Bullet 4"/>
    <w:basedOn w:val="Normal"/>
    <w:pPr>
      <w:numPr>
        <w:numId w:val="20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1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4135E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C4135E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C4135E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C4135E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2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6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9720F-B34E-4E16-8CAC-103A63AF7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13</TotalTime>
  <Pages>8</Pages>
  <Words>1974</Words>
  <Characters>11255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29</cp:revision>
  <dcterms:created xsi:type="dcterms:W3CDTF">2025-05-07T14:50:00Z</dcterms:created>
  <dcterms:modified xsi:type="dcterms:W3CDTF">2025-05-27T15:45:00Z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COM/PL/ORG/NOEEA</vt:lpwstr>
  </property>
  <property fmtid="{D5CDD505-2E9C-101B-9397-08002B2CF9AE}" pid="3" name="Version">
    <vt:lpwstr>8.0.25.0</vt:lpwstr>
  </property>
  <property fmtid="{D5CDD505-2E9C-101B-9397-08002B2CF9AE}" pid="4" name="Last edited using">
    <vt:lpwstr>LW 9.1, Build 20240808</vt:lpwstr>
  </property>
  <property fmtid="{D5CDD505-2E9C-101B-9397-08002B2CF9AE}" pid="5" name="Created using">
    <vt:lpwstr>LW 9.1, Build 20240808</vt:lpwstr>
  </property>
  <property fmtid="{D5CDD505-2E9C-101B-9397-08002B2CF9AE}" pid="6" name="Part">
    <vt:lpwstr>1</vt:lpwstr>
  </property>
  <property fmtid="{D5CDD505-2E9C-101B-9397-08002B2CF9AE}" pid="7" name="Total parts">
    <vt:lpwstr>1</vt:lpwstr>
  </property>
  <property fmtid="{D5CDD505-2E9C-101B-9397-08002B2CF9AE}" pid="8" name="Level of sensitivity">
    <vt:lpwstr>Standard treatment</vt:lpwstr>
  </property>
  <property fmtid="{D5CDD505-2E9C-101B-9397-08002B2CF9AE}" pid="9" name="LWTemplateID">
    <vt:lpwstr>SG-001</vt:lpwstr>
  </property>
  <property fmtid="{D5CDD505-2E9C-101B-9397-08002B2CF9AE}" pid="10" name="MSIP_Label_6bd9ddd1-4d20-43f6-abfa-fc3c07406f94_Enabled">
    <vt:lpwstr>true</vt:lpwstr>
  </property>
  <property fmtid="{D5CDD505-2E9C-101B-9397-08002B2CF9AE}" pid="11" name="MSIP_Label_6bd9ddd1-4d20-43f6-abfa-fc3c07406f94_SetDate">
    <vt:lpwstr>2025-05-02T15:37:02Z</vt:lpwstr>
  </property>
  <property fmtid="{D5CDD505-2E9C-101B-9397-08002B2CF9AE}" pid="12" name="MSIP_Label_6bd9ddd1-4d20-43f6-abfa-fc3c07406f94_Method">
    <vt:lpwstr>Standard</vt:lpwstr>
  </property>
  <property fmtid="{D5CDD505-2E9C-101B-9397-08002B2CF9AE}" pid="13" name="MSIP_Label_6bd9ddd1-4d20-43f6-abfa-fc3c07406f94_Name">
    <vt:lpwstr>Commission Use</vt:lpwstr>
  </property>
  <property fmtid="{D5CDD505-2E9C-101B-9397-08002B2CF9AE}" pid="14" name="MSIP_Label_6bd9ddd1-4d20-43f6-abfa-fc3c07406f94_SiteId">
    <vt:lpwstr>b24c8b06-522c-46fe-9080-70926f8dddb1</vt:lpwstr>
  </property>
  <property fmtid="{D5CDD505-2E9C-101B-9397-08002B2CF9AE}" pid="15" name="MSIP_Label_6bd9ddd1-4d20-43f6-abfa-fc3c07406f94_ActionId">
    <vt:lpwstr>1636e2ec-fe34-4a81-856a-768121f20df1</vt:lpwstr>
  </property>
  <property fmtid="{D5CDD505-2E9C-101B-9397-08002B2CF9AE}" pid="16" name="MSIP_Label_6bd9ddd1-4d20-43f6-abfa-fc3c07406f94_ContentBits">
    <vt:lpwstr>0</vt:lpwstr>
  </property>
  <property fmtid="{D5CDD505-2E9C-101B-9397-08002B2CF9AE}" pid="17" name="DQCStatus">
    <vt:lpwstr>Green (DQC version 03)</vt:lpwstr>
  </property>
</Properties>
</file>