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gedecouverture"/>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alt="83BE66490EFB46349841FCE53EB89DC4" style="width:450.75pt;height:438pt">
            <v:imagedata r:id="rId9" o:title=""/>
          </v:shape>
        </w:pict>
      </w:r>
    </w:p>
    <w:p>
      <w:pPr>
        <w:rPr>
          <w:noProof/>
        </w:rPr>
        <w:sectPr>
          <w:headerReference w:type="even" r:id="rId10"/>
          <w:headerReference w:type="default" r:id="rId11"/>
          <w:footerReference w:type="even" r:id="rId12"/>
          <w:footerReference w:type="default" r:id="rId13"/>
          <w:headerReference w:type="first" r:id="rId14"/>
          <w:footerReference w:type="first" r:id="rId15"/>
          <w:pgSz w:w="11907" w:h="16839"/>
          <w:pgMar w:top="1134" w:right="1417" w:bottom="1134" w:left="1417" w:header="709" w:footer="709" w:gutter="0"/>
          <w:pgNumType w:start="1"/>
          <w:cols w:space="720"/>
          <w:docGrid w:linePitch="360"/>
        </w:sectPr>
      </w:pPr>
    </w:p>
    <w:p>
      <w:pPr>
        <w:pStyle w:val="Typedudocument"/>
        <w:rPr>
          <w:noProof/>
        </w:rPr>
      </w:pPr>
      <w:bookmarkStart w:id="0" w:name="_GoBack"/>
      <w:bookmarkEnd w:id="0"/>
      <w:r>
        <w:rPr>
          <w:noProof/>
        </w:rPr>
        <w:lastRenderedPageBreak/>
        <w:t>PIELIKUMI</w:t>
      </w:r>
    </w:p>
    <w:p>
      <w:pPr>
        <w:pStyle w:val="Accompagnant"/>
        <w:rPr>
          <w:noProof/>
        </w:rPr>
      </w:pPr>
      <w:r>
        <w:rPr>
          <w:noProof/>
        </w:rPr>
        <w:t>dokumentam</w:t>
      </w:r>
    </w:p>
    <w:p>
      <w:pPr>
        <w:pStyle w:val="Typeacteprincipal"/>
        <w:rPr>
          <w:noProof/>
        </w:rPr>
      </w:pPr>
      <w:r>
        <w:rPr>
          <w:noProof/>
        </w:rPr>
        <w:t xml:space="preserve">priekšlikums EIROPAS PARLAMENTA UN PADOMES REGULA </w:t>
      </w:r>
    </w:p>
    <w:p>
      <w:pPr>
        <w:pStyle w:val="Objetacteprincipal"/>
        <w:rPr>
          <w:noProof/>
        </w:rPr>
      </w:pPr>
      <w:r>
        <w:rPr>
          <w:noProof/>
        </w:rPr>
        <w:t xml:space="preserve">par finanšu noteikumiem, ko piemēro Savienības vispārējam budžetam, un ar ko groza Eiropas Parlamenta un Padomes Regulas (ES) Nr. 1296/2013, (ES) Nr. 1299/2013, (ES) Nr. 1301/2013, (ES) Nr. 1303/2013, (ES) Nr. 1304/2013, (ES) Nr. 1305/2013, (ES) Nr. 1306/2013, (ES) Nr. 1307/2013, (ES) Nr. 1308/2013, (ES) Nr. 1309/2013, (ES) Nr. 1316/2013, (ES) Nr. 223/2014, (ES) Nr. 283/2014 un (ES) Nr. 652/2014 un Eiropas Parlamenta un Padomes Lēmumu Nr. 541/2014/ES </w:t>
      </w:r>
    </w:p>
    <w:p>
      <w:pPr>
        <w:pStyle w:val="ChapterTitle"/>
        <w:rPr>
          <w:noProof/>
        </w:rPr>
      </w:pPr>
      <w:r>
        <w:rPr>
          <w:noProof/>
        </w:rPr>
        <w:t>1. nodaļa</w:t>
      </w:r>
      <w:r>
        <w:rPr>
          <w:noProof/>
        </w:rPr>
        <w:br/>
        <w:t>Kopīgie noteikumi</w:t>
      </w:r>
    </w:p>
    <w:p>
      <w:pPr>
        <w:pStyle w:val="SectionTitle"/>
        <w:rPr>
          <w:noProof/>
        </w:rPr>
      </w:pPr>
      <w:r>
        <w:rPr>
          <w:noProof/>
        </w:rPr>
        <w:t>1. iedaļa</w:t>
      </w:r>
    </w:p>
    <w:p>
      <w:pPr>
        <w:pStyle w:val="SectionTitle"/>
        <w:rPr>
          <w:noProof/>
        </w:rPr>
      </w:pPr>
      <w:r>
        <w:rPr>
          <w:noProof/>
        </w:rPr>
        <w:t>Pamatlīgumi un publiskošana</w:t>
      </w:r>
    </w:p>
    <w:p>
      <w:pPr>
        <w:pStyle w:val="NumPar1"/>
        <w:numPr>
          <w:ilvl w:val="0"/>
          <w:numId w:val="10"/>
        </w:numPr>
        <w:rPr>
          <w:b/>
          <w:noProof/>
        </w:rPr>
      </w:pPr>
      <w:r>
        <w:rPr>
          <w:b/>
          <w:noProof/>
        </w:rPr>
        <w:t>Pamatlīgumi un konkrētie līgumi</w:t>
      </w:r>
    </w:p>
    <w:p>
      <w:pPr>
        <w:pStyle w:val="NumPar2"/>
        <w:rPr>
          <w:noProof/>
        </w:rPr>
      </w:pPr>
      <w:r>
        <w:rPr>
          <w:noProof/>
        </w:rPr>
        <w:t>Pamatlīguma termiņš nevar pārsniegt četrus gadus, izņemot ārkārtējus gadījumus, ko jo īpaši attaisno pamatlīguma priekšmets.</w:t>
      </w:r>
    </w:p>
    <w:p>
      <w:pPr>
        <w:pStyle w:val="Text1"/>
        <w:rPr>
          <w:noProof/>
        </w:rPr>
      </w:pPr>
      <w:r>
        <w:rPr>
          <w:noProof/>
        </w:rPr>
        <w:t>Konkrētos līgumus, kas pamatojas uz pamatlīgumiem, piešķir saskaņā ar pamatlīguma noteikumiem.</w:t>
      </w:r>
    </w:p>
    <w:p>
      <w:pPr>
        <w:pStyle w:val="Text1"/>
        <w:rPr>
          <w:noProof/>
        </w:rPr>
      </w:pPr>
      <w:r>
        <w:rPr>
          <w:noProof/>
        </w:rPr>
        <w:t>Piešķirot konkrētos līgumus, puses nevar veikt būtiskas izmaiņas pamatlīgumā.</w:t>
      </w:r>
    </w:p>
    <w:p>
      <w:pPr>
        <w:pStyle w:val="NumPar2"/>
        <w:rPr>
          <w:noProof/>
        </w:rPr>
      </w:pPr>
      <w:r>
        <w:rPr>
          <w:noProof/>
        </w:rPr>
        <w:t>Ja pamatlīgums tiek slēgts ar vienu ekonomikas dalībnieku, konkrētie līgumi tiek piešķirti atbilstoši pamatlīguma noteikumiem.</w:t>
      </w:r>
    </w:p>
    <w:p>
      <w:pPr>
        <w:pStyle w:val="Text1"/>
        <w:rPr>
          <w:noProof/>
        </w:rPr>
      </w:pPr>
      <w:r>
        <w:rPr>
          <w:noProof/>
        </w:rPr>
        <w:t>Pienācīgi pamatotos gadījumos līgumslēdzējas iestādes var rakstiski vērsties pie darbuzņēmēja, lūdzot tam vajadzības gadījumā papildināt piedāvājumu.</w:t>
      </w:r>
    </w:p>
    <w:p>
      <w:pPr>
        <w:pStyle w:val="NumPar2"/>
        <w:rPr>
          <w:noProof/>
        </w:rPr>
      </w:pPr>
      <w:r>
        <w:rPr>
          <w:noProof/>
        </w:rPr>
        <w:t>Ja pamatlīgums jāslēdz ar vairākiem ekonomikas dalībniekiem (“salikts pamatlīgums”), to var slēgt, ar katru darbuzņēmēju parakstot atsevišķus līgumus ar vienādiem noteikumiem.</w:t>
      </w:r>
    </w:p>
    <w:p>
      <w:pPr>
        <w:pStyle w:val="Text1"/>
        <w:rPr>
          <w:noProof/>
        </w:rPr>
      </w:pPr>
      <w:r>
        <w:rPr>
          <w:noProof/>
        </w:rPr>
        <w:t>Konkrētos līgumus, kuri pamatojas uz pamatlīgumiem, kas noslēgti ar vairākiem ekonomikas dalībniekiem, īsteno vienā no šādiem veidiem:</w:t>
      </w:r>
    </w:p>
    <w:p>
      <w:pPr>
        <w:pStyle w:val="Point1"/>
        <w:rPr>
          <w:noProof/>
        </w:rPr>
      </w:pPr>
      <w:r>
        <w:rPr>
          <w:noProof/>
        </w:rPr>
        <w:t>a)</w:t>
      </w:r>
      <w:r>
        <w:rPr>
          <w:noProof/>
        </w:rPr>
        <w:tab/>
        <w:t>saskaņā ar pamatlīguma noteikumiem – neatsākot konkursu, ja pamatlīgumā ir paredzēti visi noteikumi, ar ko reglamentē attiecīgo būvdarbu, piegāžu vai pakalpojumu nodrošināšanu, un objektīvie nosacījumi, pēc kuriem nosaka, kurš darbuzņēmējs veiks minētos būvdarbus, piegādes un pakalpojumus;</w:t>
      </w:r>
    </w:p>
    <w:p>
      <w:pPr>
        <w:pStyle w:val="Point1"/>
        <w:rPr>
          <w:noProof/>
        </w:rPr>
      </w:pPr>
      <w:r>
        <w:rPr>
          <w:noProof/>
        </w:rPr>
        <w:t>b)</w:t>
      </w:r>
      <w:r>
        <w:rPr>
          <w:noProof/>
        </w:rPr>
        <w:tab/>
        <w:t>ja pamatlīgumā nav paredzēti visi noteikumi, ar ko reglamentē attiecīgos būvdarbus, piegādes vai pakalpojumus – atsākot konkursu starp darbuzņēmējiem atbilstoši 1.4. punktam un pamatojoties uz:</w:t>
      </w:r>
    </w:p>
    <w:p>
      <w:pPr>
        <w:pStyle w:val="Point2"/>
        <w:rPr>
          <w:noProof/>
        </w:rPr>
      </w:pPr>
      <w:r>
        <w:rPr>
          <w:noProof/>
        </w:rPr>
        <w:lastRenderedPageBreak/>
        <w:t>i)</w:t>
      </w:r>
      <w:r>
        <w:rPr>
          <w:noProof/>
        </w:rPr>
        <w:tab/>
        <w:t>tiem pašiem vai vajadzības gadījumā precizētiem noteikumiem,</w:t>
      </w:r>
    </w:p>
    <w:p>
      <w:pPr>
        <w:pStyle w:val="Point2"/>
        <w:rPr>
          <w:noProof/>
        </w:rPr>
      </w:pPr>
      <w:r>
        <w:rPr>
          <w:noProof/>
        </w:rPr>
        <w:t>ii)</w:t>
      </w:r>
      <w:r>
        <w:rPr>
          <w:noProof/>
        </w:rPr>
        <w:tab/>
        <w:t>attiecīgā gadījumā pamatojoties uz citiem noteikumiem, kuri norādīti iepirkuma procedūras dokumentos, kas saistīti ar pamatlīgumu;</w:t>
      </w:r>
    </w:p>
    <w:p>
      <w:pPr>
        <w:pStyle w:val="Point1"/>
        <w:rPr>
          <w:noProof/>
        </w:rPr>
      </w:pPr>
      <w:r>
        <w:rPr>
          <w:noProof/>
        </w:rPr>
        <w:t>c)</w:t>
      </w:r>
      <w:r>
        <w:rPr>
          <w:noProof/>
        </w:rPr>
        <w:tab/>
        <w:t>daļēji bez konkursa atsākšanas saskaņā ar a) apakšpunktu un daļēji ar konkursa atsākšanu starp darbuzņēmējiem saskaņā ar b) apakšpunktu, ja līgumslēdzēja iestāde šādu iespēju ir paredzējusi iepirkuma procedūras dokumentos, kas saistīti ar pamatlīgumu.</w:t>
      </w:r>
    </w:p>
    <w:p>
      <w:pPr>
        <w:pStyle w:val="Text1"/>
        <w:rPr>
          <w:noProof/>
        </w:rPr>
      </w:pPr>
      <w:r>
        <w:rPr>
          <w:noProof/>
        </w:rPr>
        <w:t>Otrās daļas c) apakšpunktā minētajos iepirkuma procedūras dokumentos norāda arī to, attiecībā uz kuriem noteikumiem var atsākt konkursu.</w:t>
      </w:r>
    </w:p>
    <w:p>
      <w:pPr>
        <w:pStyle w:val="NumPar2"/>
        <w:rPr>
          <w:noProof/>
        </w:rPr>
      </w:pPr>
      <w:r>
        <w:rPr>
          <w:noProof/>
        </w:rPr>
        <w:t>Saliktu pamatlīgumu ar konkursa atsākšanu noslēdz ar vismaz trim ekonomikas dalībniekiem, ja ir pietiekams skaits pieņemamu piedāvājumu atbilstoši pielikuma 29.3. punktam.</w:t>
      </w:r>
    </w:p>
    <w:p>
      <w:pPr>
        <w:pStyle w:val="Text1"/>
        <w:rPr>
          <w:noProof/>
        </w:rPr>
      </w:pPr>
      <w:r>
        <w:rPr>
          <w:noProof/>
        </w:rPr>
        <w:t>Ja konkrēto līgumu piešķir, atsākot konkursu starp darbuzņēmējiem, līgumslēdzēja iestāde apspriežas ar viņiem rakstiski un nosaka termiņu, kas ir pietiekami ilgs konkrēto piedāvājumu iesniegšanai. Konkrētos piedāvājumus iesniedz rakstiski. Līgumslēdzēja iestāde katru konkrēto līgumu piešķir tam pretendentam, kurš ir iesniedzis saimnieciski visizdevīgāko piedāvājumu, vērtējot pēc piešķiršanas kritērijiem, kas noteikti pamatlīguma iepirkuma procedūras dokumentos.</w:t>
      </w:r>
    </w:p>
    <w:p>
      <w:pPr>
        <w:pStyle w:val="NumPar2"/>
        <w:rPr>
          <w:noProof/>
        </w:rPr>
      </w:pPr>
      <w:r>
        <w:rPr>
          <w:noProof/>
        </w:rPr>
        <w:t>Ja nozarēs, kas pakļautas straujām cenu un tehnoloģiju izmaiņām, pamatlīgumus piešķir bez konkursa atsākšanas, tajos iekļauj noteikumu par termiņa vidusposma pārskatu vai noteikumu par salīdzinošās novērtēšanas sistēmu. Ja saskaņā ar termiņa vidusposma pārskatu konstatēts, ka sākotnēji noteiktie nosacījumi vairs neatbilst cenu un tehnoloģiju izmaiņām, līgumslēdzēja iestāde attiecīgo pamatlīgumu neizmanto un veic vajadzīgos pasākumus, lai izbeigtu šo līgumu.</w:t>
      </w:r>
    </w:p>
    <w:p>
      <w:pPr>
        <w:pStyle w:val="NumPar1"/>
        <w:rPr>
          <w:b/>
          <w:noProof/>
        </w:rPr>
      </w:pPr>
      <w:r>
        <w:rPr>
          <w:b/>
          <w:noProof/>
        </w:rPr>
        <w:t>Pirms konkrēto līgumu noslēgšanas saskaņā pamatlīgumu uzņemas attiecīgās budžeta saistības.</w:t>
      </w:r>
    </w:p>
    <w:p>
      <w:pPr>
        <w:pStyle w:val="NumPar2"/>
        <w:rPr>
          <w:noProof/>
        </w:rPr>
      </w:pPr>
      <w:r>
        <w:rPr>
          <w:noProof/>
        </w:rPr>
        <w:t>Procedūru izsludināšana attiecībā uz līgumiem, kuru vērtība ir vienāda ar vai lielāka par 169. panta 1. punktā noteiktajiem robežlielumiem vai uz kuriem attiecas Direktīva 2014/24/ES</w:t>
      </w:r>
    </w:p>
    <w:p>
      <w:pPr>
        <w:pStyle w:val="NumPar2"/>
        <w:rPr>
          <w:noProof/>
        </w:rPr>
      </w:pPr>
      <w:r>
        <w:rPr>
          <w:noProof/>
        </w:rPr>
        <w:t xml:space="preserve">Lai nodrošinātu procedūras pārredzamību, paziņojumos publicēšanai </w:t>
      </w:r>
      <w:r>
        <w:rPr>
          <w:i/>
          <w:noProof/>
        </w:rPr>
        <w:t>Eiropas Savienības Oficiālajā Vēstnesī</w:t>
      </w:r>
      <w:r>
        <w:rPr>
          <w:noProof/>
        </w:rPr>
        <w:t xml:space="preserve"> ietver visu informāciju, kas noteikta attiecīgajās standarta veidlapās, kā norādīts Direktīvā 2014/24/ES.</w:t>
      </w:r>
    </w:p>
    <w:p>
      <w:pPr>
        <w:pStyle w:val="NumPar2"/>
        <w:rPr>
          <w:noProof/>
        </w:rPr>
      </w:pPr>
      <w:r>
        <w:rPr>
          <w:noProof/>
        </w:rPr>
        <w:t>Līgumslēdzēja iestāde var informēt par saviem nodomiem, kas saistīti ar plānoto iepirkumu attiecīgajā finanšu gadā, publicējot iepriekšēju informatīvu paziņojumu. Tas attiecas uz laikposmu, kas nepārsniedz 12 mēnešus no dienas, kad paziņojums nosūtīts Publikāciju birojam.</w:t>
      </w:r>
    </w:p>
    <w:p>
      <w:pPr>
        <w:pStyle w:val="Text1"/>
        <w:rPr>
          <w:noProof/>
        </w:rPr>
      </w:pPr>
      <w:r>
        <w:rPr>
          <w:noProof/>
        </w:rPr>
        <w:t xml:space="preserve">Iepriekšēju informatīvu paziņojumu līgumslēdzēja iestāde var publicēt vai nu </w:t>
      </w:r>
      <w:r>
        <w:rPr>
          <w:i/>
          <w:noProof/>
        </w:rPr>
        <w:t>Eiropas Savienības Oficiālajā Vēstnesī</w:t>
      </w:r>
      <w:r>
        <w:rPr>
          <w:noProof/>
        </w:rPr>
        <w:t xml:space="preserve">, vai savā pircēju profilā. Otrajā gadījumā paziņojumu par publicēšanu pircēju profilā publicē </w:t>
      </w:r>
      <w:r>
        <w:rPr>
          <w:i/>
          <w:noProof/>
        </w:rPr>
        <w:t>Eiropas Savienības Oficiālajā Vēstnesī</w:t>
      </w:r>
      <w:r>
        <w:rPr>
          <w:noProof/>
        </w:rPr>
        <w:t>.</w:t>
      </w:r>
    </w:p>
    <w:p>
      <w:pPr>
        <w:pStyle w:val="NumPar2"/>
        <w:rPr>
          <w:noProof/>
        </w:rPr>
      </w:pPr>
      <w:r>
        <w:rPr>
          <w:noProof/>
        </w:rPr>
        <w:t xml:space="preserve">Ne vēlāk kā 30 dienu laikā no tāda līguma vai pamatlīguma parakstīšanas, kura vērtība ir vienāda ar vai lielāka par 169. panta 1. punktā noteiktajiem </w:t>
      </w:r>
      <w:r>
        <w:rPr>
          <w:noProof/>
        </w:rPr>
        <w:lastRenderedPageBreak/>
        <w:t xml:space="preserve">robežlielumiem, līgumslēdzēja iestāde Publikāciju birojam nosūta  līgumslēgšanas tiesību piešķiršanas paziņojumu par procedūras rezultātiem. </w:t>
      </w:r>
    </w:p>
    <w:p>
      <w:pPr>
        <w:pStyle w:val="Text1"/>
        <w:rPr>
          <w:noProof/>
        </w:rPr>
      </w:pPr>
      <w:r>
        <w:rPr>
          <w:noProof/>
        </w:rPr>
        <w:t>Savukārt paziņojumus attiecībā uz līgumiem, kuru pamatā ir dinamiskā iepirkumu sistēma, var sagrupēt pa ceturkšņiem. Tādos gadījumos līgumslēdzēja iestāde nosūta minēto paziņojumu ne vēlāk kā 30 dienu laikā no katra ceturkšņa beigām.</w:t>
      </w:r>
    </w:p>
    <w:p>
      <w:pPr>
        <w:pStyle w:val="NumPar2"/>
        <w:rPr>
          <w:noProof/>
        </w:rPr>
      </w:pPr>
      <w:r>
        <w:rPr>
          <w:noProof/>
        </w:rPr>
        <w:t>Piešķiršanas paziņojumu līgumslēdzēja iestāde publicē:</w:t>
      </w:r>
    </w:p>
    <w:p>
      <w:pPr>
        <w:pStyle w:val="Point1"/>
        <w:rPr>
          <w:noProof/>
        </w:rPr>
      </w:pPr>
      <w:r>
        <w:rPr>
          <w:noProof/>
        </w:rPr>
        <w:t>a)</w:t>
      </w:r>
      <w:r>
        <w:rPr>
          <w:noProof/>
        </w:rPr>
        <w:tab/>
        <w:t>pirms tāda līguma vai pamatlīguma parakstīšanas, kura vērtība ir vienāda ar vai lielāka par 169. panta 1. punktā noteiktajiem robežlielumiem un kurš piešķirts saskaņā ar 11.1. punkta b) apakšpunktā izklāstīto procedūru;</w:t>
      </w:r>
    </w:p>
    <w:p>
      <w:pPr>
        <w:pStyle w:val="Point1"/>
        <w:rPr>
          <w:noProof/>
        </w:rPr>
      </w:pPr>
      <w:r>
        <w:rPr>
          <w:noProof/>
        </w:rPr>
        <w:t>b)</w:t>
      </w:r>
      <w:r>
        <w:rPr>
          <w:noProof/>
        </w:rPr>
        <w:tab/>
        <w:t xml:space="preserve">pēc tāda līguma vai pamatlīguma parakstīšanas, kura vērtība ir vienāda ar vai lielāka par 169. panta 1. punktā noteiktajiem robežlielumiem, tostarp kurš piešķirts saskaņā ar 11.1. punkta a) un c) līdz f) apakšpunktā izklāstītajām procedūrām. </w:t>
      </w:r>
    </w:p>
    <w:p>
      <w:pPr>
        <w:pStyle w:val="NumPar2"/>
        <w:rPr>
          <w:noProof/>
        </w:rPr>
      </w:pPr>
      <w:r>
        <w:rPr>
          <w:noProof/>
        </w:rPr>
        <w:t xml:space="preserve">Gadījumos, kas minēti 166. panta 3. punkta a) un b) apakšpunktā, līgumslēdzēja iestāde līguma darbības laikā publicē </w:t>
      </w:r>
      <w:r>
        <w:rPr>
          <w:i/>
          <w:noProof/>
        </w:rPr>
        <w:t>Eiropas Savienības Oficiālajā Vēstnesī</w:t>
      </w:r>
      <w:r>
        <w:rPr>
          <w:noProof/>
        </w:rPr>
        <w:t xml:space="preserve"> paziņojumu par izmaiņām līgumā, ja minēto izmaiņu vērtība ir vienāda vai pārsniedz 169. panta 1. punktā noteiktos robežlielumus vai attiecībā uz procedūrām ārējo darbību jomā ir vienāda ar vai pārsniedz 172. panta 1. punktā noteiktos robežlielumus.</w:t>
      </w:r>
    </w:p>
    <w:p>
      <w:pPr>
        <w:pStyle w:val="NumPar2"/>
        <w:rPr>
          <w:noProof/>
        </w:rPr>
      </w:pPr>
      <w:r>
        <w:rPr>
          <w:noProof/>
        </w:rPr>
        <w:t>Starpiestāžu procedūru gadījumā par piemērojamajiem publiskošanas pasākumiem atbild par procedūru atbildīgā līgumslēdzēja iestāde.</w:t>
      </w:r>
    </w:p>
    <w:p>
      <w:pPr>
        <w:pStyle w:val="NumPar1"/>
        <w:rPr>
          <w:b/>
          <w:noProof/>
        </w:rPr>
      </w:pPr>
      <w:r>
        <w:rPr>
          <w:b/>
          <w:noProof/>
        </w:rPr>
        <w:t>Procedūru izsludināšana attiecībā uz līgumiem, kuru vērtība ir zemāka par 169. panta 1. punktā noteiktajiem robežlielumiem vai uz kuriem neattiecas Direktīva 2014/24/ES</w:t>
      </w:r>
    </w:p>
    <w:p>
      <w:pPr>
        <w:pStyle w:val="NumPar2"/>
        <w:rPr>
          <w:noProof/>
        </w:rPr>
      </w:pPr>
      <w:r>
        <w:rPr>
          <w:noProof/>
        </w:rPr>
        <w:t xml:space="preserve">Procedūras attiecībā uz līgumiem, kuru lēstā vērtība ir zemāka par 169. panta 1. punktā noteiktajiem robežlielumiem, izsludina piemērotā veidā. Šāda izsludināšana ietver piemērotu </w:t>
      </w:r>
      <w:r>
        <w:rPr>
          <w:i/>
          <w:noProof/>
        </w:rPr>
        <w:t>ex ante</w:t>
      </w:r>
      <w:r>
        <w:rPr>
          <w:noProof/>
        </w:rPr>
        <w:t xml:space="preserve"> publiskošanu internetā vai paziņojumu par līgumu, vai – tādu līgumu gadījumā, kurus piešķir saskaņā ar 13. punktā izklāstīto procedūru, – paziņojuma par uzaicinājumu paust ieinteresētību publicēšanu </w:t>
      </w:r>
      <w:r>
        <w:rPr>
          <w:i/>
          <w:noProof/>
        </w:rPr>
        <w:t>Eiropas Savienības Oficiālajā Vēstnesī</w:t>
      </w:r>
      <w:r>
        <w:rPr>
          <w:noProof/>
        </w:rPr>
        <w:t>. Šis pienākums neattiecas uz 11. punktā izklāstīto procedūru un uz sarunu procedūru ļoti zemas vērtības līgumiem saskaņā ar 14.4. punktu.</w:t>
      </w:r>
    </w:p>
    <w:p>
      <w:pPr>
        <w:pStyle w:val="NumPar2"/>
        <w:rPr>
          <w:noProof/>
        </w:rPr>
      </w:pPr>
      <w:r>
        <w:rPr>
          <w:noProof/>
        </w:rPr>
        <w:t>Attiecībā uz līgumiem, kurus piešķir saskaņā ar 11. punkta g) un i) apakšpunktu, līgumslēdzēja iestāde vēlākais līdz nākamā finanšu gada 30. jūnijam nosūta Eiropas Parlamentam un Padomei līgumu sarakstu. Komisijas gadījumā to pievieno 73. panta 9. punktā minētajam gada darbības pārskatu kopsavilkumam.</w:t>
      </w:r>
    </w:p>
    <w:p>
      <w:pPr>
        <w:pStyle w:val="NumPar2"/>
        <w:rPr>
          <w:noProof/>
        </w:rPr>
      </w:pPr>
      <w:r>
        <w:rPr>
          <w:noProof/>
        </w:rPr>
        <w:t>Informācija par līguma piešķiršanu ietver darbuzņēmēja nosaukumu, summu, par kuru uzņemas juridiskās saistības, un līguma priekšmetu, un tiešo un konkrēto līgumu gadījumā tā atbilst 36. panta 3. punkta prasībām.</w:t>
      </w:r>
    </w:p>
    <w:p>
      <w:pPr>
        <w:pStyle w:val="Text1"/>
        <w:rPr>
          <w:noProof/>
        </w:rPr>
      </w:pPr>
      <w:r>
        <w:rPr>
          <w:noProof/>
        </w:rPr>
        <w:t>Vēlākais līdz nākamā finanšu gada 30. jūnijam līgumslēdzēja iestāde publicē līgumu sarakstu savā tīmekļa vietnē attiecībā uz:</w:t>
      </w:r>
    </w:p>
    <w:p>
      <w:pPr>
        <w:pStyle w:val="Point1"/>
        <w:rPr>
          <w:noProof/>
        </w:rPr>
      </w:pPr>
      <w:r>
        <w:rPr>
          <w:noProof/>
        </w:rPr>
        <w:t>a)</w:t>
      </w:r>
      <w:r>
        <w:rPr>
          <w:noProof/>
        </w:rPr>
        <w:tab/>
        <w:t>līgumiem, kuru vērtība ir zemāka par 169. panta 1. punktā noteiktajiem robežlielumiem;</w:t>
      </w:r>
    </w:p>
    <w:p>
      <w:pPr>
        <w:pStyle w:val="Point1"/>
        <w:rPr>
          <w:noProof/>
        </w:rPr>
      </w:pPr>
      <w:r>
        <w:rPr>
          <w:noProof/>
        </w:rPr>
        <w:lastRenderedPageBreak/>
        <w:t>b)</w:t>
      </w:r>
      <w:r>
        <w:rPr>
          <w:noProof/>
        </w:rPr>
        <w:tab/>
        <w:t>līgumiem, kas piešķirti saskaņā ar 11. punkta h) un j) līdz m) apakšpunktu;</w:t>
      </w:r>
    </w:p>
    <w:p>
      <w:pPr>
        <w:pStyle w:val="Point1"/>
        <w:rPr>
          <w:noProof/>
        </w:rPr>
      </w:pPr>
      <w:r>
        <w:rPr>
          <w:noProof/>
        </w:rPr>
        <w:t>c)</w:t>
      </w:r>
      <w:r>
        <w:rPr>
          <w:noProof/>
        </w:rPr>
        <w:tab/>
        <w:t>izmaiņām līgumos, kā noteikts 166. panta 3. punkta c) apakšpunktā;</w:t>
      </w:r>
    </w:p>
    <w:p>
      <w:pPr>
        <w:pStyle w:val="Point1"/>
        <w:rPr>
          <w:noProof/>
        </w:rPr>
      </w:pPr>
      <w:r>
        <w:rPr>
          <w:noProof/>
        </w:rPr>
        <w:t>d)</w:t>
      </w:r>
      <w:r>
        <w:rPr>
          <w:noProof/>
        </w:rPr>
        <w:tab/>
        <w:t>izmaiņām līgumos, kā noteikts 166. panta 3. punkta a) un b) apakšpunktā, ja izmaiņu vērtība ir zemāka par 169. panta 1. punktā noteiktajiem robežlielumiem;</w:t>
      </w:r>
    </w:p>
    <w:p>
      <w:pPr>
        <w:pStyle w:val="Point1"/>
        <w:rPr>
          <w:noProof/>
        </w:rPr>
      </w:pPr>
      <w:r>
        <w:rPr>
          <w:noProof/>
        </w:rPr>
        <w:t>e)</w:t>
      </w:r>
      <w:r>
        <w:rPr>
          <w:noProof/>
        </w:rPr>
        <w:tab/>
        <w:t>konkrētajiem līgumiem pamatlīguma ietvaros.</w:t>
      </w:r>
    </w:p>
    <w:p>
      <w:pPr>
        <w:pStyle w:val="Text1"/>
        <w:rPr>
          <w:noProof/>
        </w:rPr>
      </w:pPr>
      <w:r>
        <w:rPr>
          <w:noProof/>
        </w:rPr>
        <w:t>Attiecībā uz otrās daļas e) apakšpunktu publicējamo informāciju var par vienu un to pašu priekšmetu apkopot pa darbuzņēmējiem.</w:t>
      </w:r>
    </w:p>
    <w:p>
      <w:pPr>
        <w:pStyle w:val="NumPar2"/>
        <w:rPr>
          <w:noProof/>
        </w:rPr>
      </w:pPr>
      <w:r>
        <w:rPr>
          <w:noProof/>
        </w:rPr>
        <w:t>Starpiestāžu pamatlīgumu gadījumā katra līgumslēdzēja iestāde ir atbildīga par tās konkrēto līgumu un to izmaiņu izsludināšanu saskaņā ar 3.3. punktā minētajiem nosacījumiem.</w:t>
      </w:r>
    </w:p>
    <w:p>
      <w:pPr>
        <w:pStyle w:val="NumPar1"/>
        <w:rPr>
          <w:b/>
          <w:noProof/>
        </w:rPr>
      </w:pPr>
      <w:r>
        <w:rPr>
          <w:b/>
          <w:noProof/>
        </w:rPr>
        <w:t>Paziņojumu publicēšana</w:t>
      </w:r>
    </w:p>
    <w:p>
      <w:pPr>
        <w:pStyle w:val="NumPar2"/>
        <w:rPr>
          <w:noProof/>
        </w:rPr>
      </w:pPr>
      <w:r>
        <w:rPr>
          <w:noProof/>
        </w:rPr>
        <w:t>Līgumslēdzēja iestāde 2. un 3. punktā minētos paziņojumus sagatavo un nosūta Publikāciju birojam elektroniski.</w:t>
      </w:r>
    </w:p>
    <w:p>
      <w:pPr>
        <w:pStyle w:val="NumPar2"/>
        <w:rPr>
          <w:noProof/>
        </w:rPr>
      </w:pPr>
      <w:r>
        <w:rPr>
          <w:noProof/>
        </w:rPr>
        <w:t xml:space="preserve">Publikāciju birojs publicē 2. un 3. punktā minētos paziņojumus </w:t>
      </w:r>
      <w:r>
        <w:rPr>
          <w:i/>
          <w:noProof/>
        </w:rPr>
        <w:t>Eiropas Savienības Oficiālajā Vēstnesī</w:t>
      </w:r>
      <w:r>
        <w:rPr>
          <w:noProof/>
        </w:rPr>
        <w:t xml:space="preserve"> ne vēlāk kā:</w:t>
      </w:r>
    </w:p>
    <w:p>
      <w:pPr>
        <w:pStyle w:val="Point1"/>
        <w:rPr>
          <w:noProof/>
        </w:rPr>
      </w:pPr>
      <w:r>
        <w:rPr>
          <w:noProof/>
        </w:rPr>
        <w:t>a)</w:t>
      </w:r>
      <w:r>
        <w:rPr>
          <w:noProof/>
        </w:rPr>
        <w:tab/>
        <w:t>septiņas dienas pēc to nosūtīšanas, ja līgumslēdzēja iestāde izmanto elektronisko sistēmu, lai aizpildītu pielikuma 2.1. punktā minētās standarta veidlapas, un brīvā formā ierakstītais teksts nepārsniedz 500 vārdus;</w:t>
      </w:r>
    </w:p>
    <w:p>
      <w:pPr>
        <w:pStyle w:val="Point1"/>
        <w:rPr>
          <w:noProof/>
        </w:rPr>
      </w:pPr>
      <w:r>
        <w:rPr>
          <w:noProof/>
        </w:rPr>
        <w:t>b)</w:t>
      </w:r>
      <w:r>
        <w:rPr>
          <w:noProof/>
        </w:rPr>
        <w:tab/>
        <w:t>12 dienas pēc to nosūtīšanas visos pārējos gadījumos.</w:t>
      </w:r>
    </w:p>
    <w:p>
      <w:pPr>
        <w:pStyle w:val="NumPar2"/>
        <w:rPr>
          <w:noProof/>
        </w:rPr>
      </w:pPr>
      <w:r>
        <w:rPr>
          <w:noProof/>
        </w:rPr>
        <w:t>Līgumslēdzējai iestādei jāspēj sniegt pierādījumus par to, kura ir bijusi nosūtīšanas diena.</w:t>
      </w:r>
    </w:p>
    <w:p>
      <w:pPr>
        <w:pStyle w:val="NumPar1"/>
        <w:rPr>
          <w:b/>
          <w:noProof/>
        </w:rPr>
      </w:pPr>
      <w:r>
        <w:rPr>
          <w:b/>
          <w:noProof/>
        </w:rPr>
        <w:t>Citi izsludināšanas veidi</w:t>
      </w:r>
    </w:p>
    <w:p>
      <w:pPr>
        <w:pStyle w:val="Text1"/>
        <w:rPr>
          <w:noProof/>
        </w:rPr>
      </w:pPr>
      <w:r>
        <w:rPr>
          <w:noProof/>
        </w:rPr>
        <w:t xml:space="preserve">Papildus izsludināšanai, kas paredzēta 2. un 3. punktā, attiecībā uz iepirkuma procedūrām var izmantot arī cita veida sludinājumus, jo īpaši elektroniskos. Jebkurā šādā sludinājumā atsaucas uz paziņojumu, kas publicēts </w:t>
      </w:r>
      <w:r>
        <w:rPr>
          <w:i/>
          <w:noProof/>
        </w:rPr>
        <w:t>Eiropas Savienības Oficiālajā Vēstnesī</w:t>
      </w:r>
      <w:r>
        <w:rPr>
          <w:noProof/>
        </w:rPr>
        <w:t>, ja šāds paziņojums ir publicēts, un tas nedrīkst tikt publicēts pirms minētā paziņojuma, kurš vienīgais ir autentisks.</w:t>
      </w:r>
    </w:p>
    <w:p>
      <w:pPr>
        <w:pStyle w:val="Text1"/>
        <w:rPr>
          <w:noProof/>
        </w:rPr>
      </w:pPr>
      <w:r>
        <w:rPr>
          <w:noProof/>
        </w:rPr>
        <w:t>Šādi sludinājumi nedrīkst radīt diskrimināciju starp kandidātiem vai pretendentiem, nedz arī ietvert ziņas, kuras nav ietvertas līguma paziņojumā, ja tāds ir bijis publicēts.</w:t>
      </w:r>
    </w:p>
    <w:p>
      <w:pPr>
        <w:pStyle w:val="SectionTitle"/>
        <w:rPr>
          <w:noProof/>
        </w:rPr>
      </w:pPr>
      <w:r>
        <w:rPr>
          <w:noProof/>
        </w:rPr>
        <w:t>2. iedaļa</w:t>
      </w:r>
    </w:p>
    <w:p>
      <w:pPr>
        <w:pStyle w:val="SectionTitle"/>
        <w:rPr>
          <w:noProof/>
        </w:rPr>
      </w:pPr>
      <w:r>
        <w:rPr>
          <w:noProof/>
        </w:rPr>
        <w:t>Iepirkuma procedūras</w:t>
      </w:r>
    </w:p>
    <w:p>
      <w:pPr>
        <w:pStyle w:val="NumPar1"/>
        <w:rPr>
          <w:b/>
          <w:noProof/>
        </w:rPr>
      </w:pPr>
      <w:r>
        <w:rPr>
          <w:b/>
          <w:noProof/>
        </w:rPr>
        <w:t>Minimālais kandidātu skaits un sarunu kārtība</w:t>
      </w:r>
    </w:p>
    <w:p>
      <w:pPr>
        <w:pStyle w:val="NumPar2"/>
        <w:rPr>
          <w:noProof/>
        </w:rPr>
      </w:pPr>
      <w:r>
        <w:rPr>
          <w:noProof/>
        </w:rPr>
        <w:t>Slēgtā procedūrā un tādās procedūrās, kas minētas 13.1. punkta a) un b) apakšpunktā un 14.2. punktā, minimālais kandidātu skaits ir pieci.</w:t>
      </w:r>
    </w:p>
    <w:p>
      <w:pPr>
        <w:pStyle w:val="NumPar2"/>
        <w:rPr>
          <w:noProof/>
        </w:rPr>
      </w:pPr>
      <w:r>
        <w:rPr>
          <w:noProof/>
        </w:rPr>
        <w:lastRenderedPageBreak/>
        <w:t>Konkursa procedūrā ar sarunām, konkursa dialogā, inovācijas partnerībā, vietējā tirgus izpētē saskaņā ar 11.1. punkta g) apakšpunktu un sarunu procedūrā zemas vērtības līgumiem saskaņā ar 14.3. punktu minimālais kandidātu skaits ir trīs.</w:t>
      </w:r>
    </w:p>
    <w:p>
      <w:pPr>
        <w:pStyle w:val="NumPar2"/>
        <w:rPr>
          <w:noProof/>
        </w:rPr>
      </w:pPr>
      <w:r>
        <w:rPr>
          <w:noProof/>
        </w:rPr>
        <w:t>6.1. un 6.2. punktu nepiemēro šādos gadījumos:</w:t>
      </w:r>
    </w:p>
    <w:p>
      <w:pPr>
        <w:pStyle w:val="Point1"/>
        <w:rPr>
          <w:noProof/>
        </w:rPr>
      </w:pPr>
      <w:r>
        <w:rPr>
          <w:noProof/>
        </w:rPr>
        <w:t>a)</w:t>
      </w:r>
      <w:r>
        <w:rPr>
          <w:noProof/>
        </w:rPr>
        <w:tab/>
        <w:t>sarunu procedūrām ļoti zemas vērtības līgumiem saskaņā ar 14.4. punktu;</w:t>
      </w:r>
    </w:p>
    <w:p>
      <w:pPr>
        <w:pStyle w:val="Point1"/>
        <w:rPr>
          <w:noProof/>
        </w:rPr>
      </w:pPr>
      <w:r>
        <w:rPr>
          <w:noProof/>
        </w:rPr>
        <w:t>b)</w:t>
      </w:r>
      <w:r>
        <w:rPr>
          <w:noProof/>
        </w:rPr>
        <w:tab/>
        <w:t>sarunu procedūrām bez līguma paziņojuma iepriekšējas publicēšanas saskaņā ar 11. punktu, izņemot metu konkursus saskaņā ar 11.1. punkta d) apakšpunktu un vietējā tirgus izpēti saskaņā ar 11.1. punkta g) apakšpunktu.</w:t>
      </w:r>
    </w:p>
    <w:p>
      <w:pPr>
        <w:pStyle w:val="NumPar2"/>
        <w:rPr>
          <w:noProof/>
        </w:rPr>
      </w:pPr>
      <w:r>
        <w:rPr>
          <w:noProof/>
        </w:rPr>
        <w:t>Ja atlases kritērijiem atbilstošo kandidātu skaits ir mazāks par 6.1. un 6.2. punktā paredzēto minimālo skaitu, līgumslēdzēja iestāde var turpināt procedūru, uzaicinot tos kandidātus, kam piemīt prasītās spējas. Līgumslēdzēja iestāde nedrīkst iesaistīt citus ekonomikas dalībniekus, kuri sākotnēji neiesniedza dalības pieteikumu vai kurus tā sākotnēji nebija uzaicinājusi.</w:t>
      </w:r>
    </w:p>
    <w:p>
      <w:pPr>
        <w:pStyle w:val="NumPar2"/>
        <w:rPr>
          <w:noProof/>
        </w:rPr>
      </w:pPr>
      <w:r>
        <w:rPr>
          <w:noProof/>
        </w:rPr>
        <w:t>Sarunu laikā līgumslēdzēja iestāde nodrošina vienlīdzīgu attieksmi pret visiem pretendentiem.</w:t>
      </w:r>
    </w:p>
    <w:p>
      <w:pPr>
        <w:pStyle w:val="NumPar2"/>
        <w:rPr>
          <w:noProof/>
        </w:rPr>
      </w:pPr>
      <w:r>
        <w:rPr>
          <w:noProof/>
        </w:rPr>
        <w:t>Sarunas var norisināties secīgos posmos nolūkā samazināt apspriežamo piedāvājumu skaitu, piemērojot piešķiršanas kritērijus, kas norādīti iepirkuma procedūras dokumentos. Līgumslēdzēja iestāde iepirkuma procedūras dokumentos norāda, vai tā izmantos minēto iespēju.</w:t>
      </w:r>
    </w:p>
    <w:p>
      <w:pPr>
        <w:pStyle w:val="NumPar2"/>
        <w:rPr>
          <w:noProof/>
        </w:rPr>
      </w:pPr>
      <w:r>
        <w:rPr>
          <w:noProof/>
        </w:rPr>
        <w:t xml:space="preserve">Attiecībā uz 11.1. punkta d) un g) apakšpunktā un 14.2. un 14.3. punktā paredzētajām procedūrām līgumslēdzēja iestāde uzaicina vismaz visus tos ekonomikas dalībniekus, kuri pauduši ieinteresētību pēc </w:t>
      </w:r>
      <w:r>
        <w:rPr>
          <w:i/>
          <w:noProof/>
        </w:rPr>
        <w:t>ex ante</w:t>
      </w:r>
      <w:r>
        <w:rPr>
          <w:noProof/>
        </w:rPr>
        <w:t xml:space="preserve"> publiskošanas, kā noteikts 3.1. punktā, vai vietējā tirgus izpētes vai metu konkursa.</w:t>
      </w:r>
    </w:p>
    <w:p>
      <w:pPr>
        <w:pStyle w:val="NumPar1"/>
        <w:rPr>
          <w:b/>
          <w:noProof/>
        </w:rPr>
      </w:pPr>
      <w:r>
        <w:rPr>
          <w:b/>
          <w:noProof/>
        </w:rPr>
        <w:t>Inovācijas partnerība</w:t>
      </w:r>
    </w:p>
    <w:p>
      <w:pPr>
        <w:pStyle w:val="NumPar2"/>
        <w:rPr>
          <w:noProof/>
        </w:rPr>
      </w:pPr>
      <w:r>
        <w:rPr>
          <w:noProof/>
        </w:rPr>
        <w:t>Inovācijas partnerības mērķis ir inovatīva produkta, pakalpojuma vai inovatīvu būvdarbu izstrāde un no tās izrietošo būvdarbu, piegāžu vai pakalpojumu sekojoša iegāde ar noteikumu, ka tie atbilst snieguma līmeņiem un maksimālajām izmaksām, par ko vienojušās līgumslēdzējas iestādes un partneri.</w:t>
      </w:r>
    </w:p>
    <w:p>
      <w:pPr>
        <w:pStyle w:val="Text1"/>
        <w:rPr>
          <w:noProof/>
        </w:rPr>
      </w:pPr>
      <w:r>
        <w:rPr>
          <w:noProof/>
        </w:rPr>
        <w:t>Inovācijas partnerība ir strukturēta secīgos posmos, kas atbilst pētniecības un inovācijas procesa soļiem, kuri var ietvert būvdarbu pabeigšanu, produktu izgatavošanu vai pakalpojumu sniegšanu. Inovācijas partnerības ietvaros nosaka starpposma mērķus, kas jāsasniedz partneriem.</w:t>
      </w:r>
    </w:p>
    <w:p>
      <w:pPr>
        <w:pStyle w:val="Text1"/>
        <w:rPr>
          <w:noProof/>
        </w:rPr>
      </w:pPr>
      <w:r>
        <w:rPr>
          <w:noProof/>
        </w:rPr>
        <w:t>Pamatojoties uz minētajiem starpposma mērķiem, līgumslēdzēja iestāde pēc katra posma var nolemt izbeigt inovācijas partnerību vai – gadījumā, ja inovācijas partnerību veido vairāki partneri, – samazināt partneru skaitu, izbeidzot atsevišķus līgumus, ar noteikumu, ka līgumslēdzēja iestāde iepirkuma procedūras dokumentos ir norādījusi minētās iespējas un to izmantošanas nosacījumus.</w:t>
      </w:r>
    </w:p>
    <w:p>
      <w:pPr>
        <w:pStyle w:val="NumPar2"/>
        <w:rPr>
          <w:noProof/>
        </w:rPr>
      </w:pPr>
      <w:r>
        <w:rPr>
          <w:noProof/>
        </w:rPr>
        <w:t>Pirms sākt inovācijas partnerību, līgumslēdzēja iestāde izzina tirgu, kā tas paredzēts 15. punktā, lai pārliecinātos, ka būvdarbi, piegādes vai pakalpojumi nepastāv tirgū vai nepastāv kā tirgum tuvinātas izstrādes darbības.</w:t>
      </w:r>
    </w:p>
    <w:p>
      <w:pPr>
        <w:pStyle w:val="Text1"/>
        <w:rPr>
          <w:noProof/>
        </w:rPr>
      </w:pPr>
      <w:r>
        <w:rPr>
          <w:noProof/>
        </w:rPr>
        <w:t>Ievēro sarunu noteikumus, kas ir paredzēti 158. panta 4. punktā un 6.5. punktā.</w:t>
      </w:r>
    </w:p>
    <w:p>
      <w:pPr>
        <w:pStyle w:val="Text1"/>
        <w:rPr>
          <w:noProof/>
        </w:rPr>
      </w:pPr>
      <w:r>
        <w:rPr>
          <w:noProof/>
        </w:rPr>
        <w:lastRenderedPageBreak/>
        <w:t>Iepirkuma procedūras dokumentos līgumslēdzēja iestāde nosaka vajadzību pēc inovatīviem būvdarbiem, piegādēm vai pakalpojumiem, kuru nevar apmierināt, iegādājoties tādus būvdarbus, piegādes vai pakalpojumus, kas jau ir pieejami tirgū. Tā norāda, kuri šā apraksta elementi nosaka minimālās prasības. Sniegtā informācija ir pietiekami precīza, lai ekonomikas dalībnieki varētu noteikt prasītā risinājuma raksturu un apjomu un izlemt, vai viņi vēlas iesniegt pieteikumu dalībai procedūrā.</w:t>
      </w:r>
    </w:p>
    <w:p>
      <w:pPr>
        <w:pStyle w:val="Text1"/>
        <w:rPr>
          <w:noProof/>
        </w:rPr>
      </w:pPr>
      <w:r>
        <w:rPr>
          <w:noProof/>
        </w:rPr>
        <w:t>Līgumslēdzēja iestāde var izlemt izveidot inovācijas partnerību ar vienu partneri vai vairākiem partneriem, kuri veic atsevišķas pētniecības un izstrādes darbības.</w:t>
      </w:r>
    </w:p>
    <w:p>
      <w:pPr>
        <w:pStyle w:val="Text1"/>
        <w:rPr>
          <w:noProof/>
        </w:rPr>
      </w:pPr>
      <w:r>
        <w:rPr>
          <w:noProof/>
        </w:rPr>
        <w:t>Līgumslēgšanas tiesības piešķir, pamatojoties vienīgi uz labāko cenas un kvalitātes attiecību, kā noteikts 161. panta 4. punktā.</w:t>
      </w:r>
    </w:p>
    <w:p>
      <w:pPr>
        <w:pStyle w:val="NumPar2"/>
        <w:rPr>
          <w:noProof/>
        </w:rPr>
      </w:pPr>
      <w:r>
        <w:rPr>
          <w:noProof/>
        </w:rPr>
        <w:t>Līgumslēdzēja iestāde iepirkuma procedūras dokumentos precizē intelektuālā īpašuma tiesībām piemērojamo kārtību.</w:t>
      </w:r>
    </w:p>
    <w:p>
      <w:pPr>
        <w:pStyle w:val="Text1"/>
        <w:rPr>
          <w:noProof/>
        </w:rPr>
      </w:pPr>
      <w:r>
        <w:rPr>
          <w:noProof/>
        </w:rPr>
        <w:t>Inovācijas partnerības ietvaros līgumslēdzēja iestāde pārējiem partneriem neatklāj piedāvātos risinājumus vai citu konfidenciālu informāciju, ko tai darījis zināmu kāds no partneriem, ja nav saņemta minētā partnera piekrišana.</w:t>
      </w:r>
    </w:p>
    <w:p>
      <w:pPr>
        <w:pStyle w:val="Text1"/>
        <w:rPr>
          <w:noProof/>
        </w:rPr>
      </w:pPr>
      <w:r>
        <w:rPr>
          <w:noProof/>
        </w:rPr>
        <w:t>Līgumslēdzēja iestāde nodrošina, ka partnerības struktūra un jo īpaši dažādo posmu ilgums un vērtība atspoguļo piedāvātā risinājuma inovācijas pakāpi un to pētniecības un inovācijas darbību secību, kuras vajadzīgas, lai izstrādātu inovatīvu risinājumu, kāds tirgū vēl nav pieejams. Būvdarbu, piegāžu vai pakalpojumu lēstā vērtība nav nesamērīga attiecībā pret ieguldījumu, kas nepieciešams to izstrādei.</w:t>
      </w:r>
    </w:p>
    <w:p>
      <w:pPr>
        <w:pStyle w:val="NumPar1"/>
        <w:rPr>
          <w:b/>
          <w:noProof/>
        </w:rPr>
      </w:pPr>
      <w:r>
        <w:rPr>
          <w:b/>
          <w:noProof/>
        </w:rPr>
        <w:t>Metu konkursi</w:t>
      </w:r>
    </w:p>
    <w:p>
      <w:pPr>
        <w:pStyle w:val="NumPar2"/>
        <w:rPr>
          <w:noProof/>
        </w:rPr>
      </w:pPr>
      <w:r>
        <w:rPr>
          <w:noProof/>
        </w:rPr>
        <w:t>Attiecībā uz metu konkursiem piemēro 2. punktā izklāstītos noteikumus par izsludināšanu, un metu konkursi var ietvert godalgu piešķiršanu.</w:t>
      </w:r>
    </w:p>
    <w:p>
      <w:pPr>
        <w:pStyle w:val="Text1"/>
        <w:rPr>
          <w:noProof/>
        </w:rPr>
      </w:pPr>
      <w:r>
        <w:rPr>
          <w:noProof/>
        </w:rPr>
        <w:t>Ja kandidātu skaits metu konkursā ir ierobežots, līgumslēdzēja iestāde nosaka skaidrus un nediskriminējošus atlases kritērijus.</w:t>
      </w:r>
    </w:p>
    <w:p>
      <w:pPr>
        <w:pStyle w:val="Text1"/>
        <w:rPr>
          <w:noProof/>
        </w:rPr>
      </w:pPr>
      <w:r>
        <w:rPr>
          <w:noProof/>
        </w:rPr>
        <w:t>Uzaicināto kandidātu skaitam jābūt pietiekamam, lai nodrošinātu īstu konkurenci.</w:t>
      </w:r>
    </w:p>
    <w:p>
      <w:pPr>
        <w:pStyle w:val="NumPar2"/>
        <w:rPr>
          <w:noProof/>
        </w:rPr>
      </w:pPr>
      <w:r>
        <w:rPr>
          <w:noProof/>
        </w:rPr>
        <w:t>Žūriju ieceļ atbildīgais kredītrīkotājs. Tajā ir vienīgi fiziskas personas, kas ir neatkarīgas no konkursa kandidātiem. Ja dalībai konkursā no kandidātiem tiek prasīta noteikta profesionālā kvalifikācija, vismaz trešajai daļai žūrijas locekļu ir jābūt tādai pašai vai līdzvērtīgai kvalifikācijai.</w:t>
      </w:r>
    </w:p>
    <w:p>
      <w:pPr>
        <w:pStyle w:val="Text1"/>
        <w:rPr>
          <w:noProof/>
        </w:rPr>
      </w:pPr>
      <w:r>
        <w:rPr>
          <w:noProof/>
        </w:rPr>
        <w:t>Žūrija savos atzinumos ir neatkarīga. Tās atzinumus pieņem, pamatojoties uz projektiem, kurus kandidāti tai iesnieguši anonīmi, un vienīgi ievērojot kritērijus, kas norādīti konkursa paziņojumā.</w:t>
      </w:r>
    </w:p>
    <w:p>
      <w:pPr>
        <w:pStyle w:val="NumPar2"/>
        <w:rPr>
          <w:noProof/>
        </w:rPr>
      </w:pPr>
      <w:r>
        <w:rPr>
          <w:noProof/>
        </w:rPr>
        <w:t>Žūrijas priekšlikumus, kas pamatojas uz katra projekta iezīmēm, un tās izveidoto sarindojumu un piezīmes ietver ziņojumā, kuru paraksta tās locekļi.</w:t>
      </w:r>
    </w:p>
    <w:p>
      <w:pPr>
        <w:pStyle w:val="Text1"/>
        <w:rPr>
          <w:noProof/>
        </w:rPr>
      </w:pPr>
      <w:r>
        <w:rPr>
          <w:noProof/>
        </w:rPr>
        <w:t>Kandidāti saglabā anonimitāti, līdz žūrija ir sniegusi savu atzinumu.</w:t>
      </w:r>
    </w:p>
    <w:p>
      <w:pPr>
        <w:pStyle w:val="Text1"/>
        <w:rPr>
          <w:noProof/>
        </w:rPr>
      </w:pPr>
      <w:r>
        <w:rPr>
          <w:noProof/>
        </w:rPr>
        <w:t>Žūrija var aicināt kandidātus atbildēt uz ziņojumā ierakstītiem jautājumiem, lai noskaidrotu projekta detaļas. Par attiecīgi notikušo dialogu tiek sagatavots pilnīgs ziņojums.</w:t>
      </w:r>
    </w:p>
    <w:p>
      <w:pPr>
        <w:pStyle w:val="NumPar2"/>
        <w:rPr>
          <w:noProof/>
        </w:rPr>
      </w:pPr>
      <w:r>
        <w:rPr>
          <w:noProof/>
        </w:rPr>
        <w:t xml:space="preserve">Pēc tam līgumslēdzēja iestāde pieņem piešķiršanas lēmumu, kurā norāda atlasītā kandidāta nosaukumu un adresi un savas izvēles pamatojumu, atsaucoties uz </w:t>
      </w:r>
      <w:r>
        <w:rPr>
          <w:noProof/>
        </w:rPr>
        <w:lastRenderedPageBreak/>
        <w:t>konkursa paziņojumā iekļautajiem kritērijiem, jo īpaši, ja tā novirzās no priekšlikumiem, kas ietverti žūrijas atzinumā.</w:t>
      </w:r>
    </w:p>
    <w:p>
      <w:pPr>
        <w:pStyle w:val="NumPar1"/>
        <w:rPr>
          <w:b/>
          <w:noProof/>
        </w:rPr>
      </w:pPr>
      <w:r>
        <w:rPr>
          <w:b/>
          <w:noProof/>
        </w:rPr>
        <w:t>Dinamiskā iepirkumu sistēma</w:t>
      </w:r>
    </w:p>
    <w:p>
      <w:pPr>
        <w:pStyle w:val="NumPar2"/>
        <w:rPr>
          <w:noProof/>
        </w:rPr>
      </w:pPr>
      <w:r>
        <w:rPr>
          <w:noProof/>
        </w:rPr>
        <w:t>Dinamiskā iepirkumu sistēma ir pilnīgi elektronisks iepirkuma process bieži izmantotiem pirkumiem, kas visā tā darbības laikā ir atvērts jebkuram ekonomikas dalībniekam, kurš atbilst atlases kritērijiem. Tā var būt iedalīta būvdarbu, piegāžu vai pakalpojumu kategorijās, kas ir objektīvi definētas atkarībā no tā iepirkuma raksturlielumiem, ko plānots veikt attiecīgajā kategorijā. Tādā gadījumā katrai kategorijai ir jānosaka savi atlases kritēriji.</w:t>
      </w:r>
    </w:p>
    <w:p>
      <w:pPr>
        <w:pStyle w:val="NumPar2"/>
        <w:rPr>
          <w:noProof/>
        </w:rPr>
      </w:pPr>
      <w:r>
        <w:rPr>
          <w:noProof/>
        </w:rPr>
        <w:t>Līgumslēdzēja iestāde iepirkuma procedūras dokumentos norāda paredzēto pirkumu veidu un lēsto daudzumu un visu nepieciešamo informāciju, kas attiecas uz iepirkumu sistēmu, izmantoto elektronisko aprīkojumu un pieslēguma tehnisko kārtību un specifikācijām.</w:t>
      </w:r>
    </w:p>
    <w:p>
      <w:pPr>
        <w:pStyle w:val="NumPar2"/>
        <w:rPr>
          <w:noProof/>
        </w:rPr>
      </w:pPr>
      <w:r>
        <w:rPr>
          <w:noProof/>
        </w:rPr>
        <w:t>Līgumslēdzēja iestāde dinamiskās iepirkumu sistēmas spēkā esības periodā dod iespēju jebkuram ekonomikas dalībniekam iesniegt pieteikumu dalībai sistēmā. Tā pabeidz šādu pieteikumu vērtēšanu 10 darbdienu laikā no pieteikuma saņemšanas dienas. Šo termiņu var pagarināt līdz 15 darbdienām, ja tas ir pamatoti. Tomēr līgumslēdzēja iestāde piedāvājumu vērtēšanas termiņu var pagarināt, ja tikmēr netiek izsludināts neviens uzaicinājums iesniegt piedāvājumus.</w:t>
      </w:r>
    </w:p>
    <w:p>
      <w:pPr>
        <w:pStyle w:val="Text1"/>
        <w:rPr>
          <w:noProof/>
        </w:rPr>
      </w:pPr>
      <w:r>
        <w:rPr>
          <w:noProof/>
        </w:rPr>
        <w:t>Līgumslēdzēja iestāde pie pirmās izdevības informē kandidātu par to, vai tas ir pielaists dinamiskajai iepirkumu sistēmai.</w:t>
      </w:r>
    </w:p>
    <w:p>
      <w:pPr>
        <w:pStyle w:val="NumPar2"/>
        <w:rPr>
          <w:noProof/>
        </w:rPr>
      </w:pPr>
      <w:r>
        <w:rPr>
          <w:noProof/>
        </w:rPr>
        <w:t>Līgumslēdzēja iestāde aicina visus kandidātus, kas pielaisti sistēmai attiecīgā kategorijā, iesniegt piedāvājumu pamatotā termiņā. Līgumslēdzēja iestāde, pamatojoties uz piešķiršanas kritērijiem, kas noteikti līguma paziņojumā, piešķir līgumu tam pretendentam, kurš ir iesniedzis saimnieciski visizdevīgāko piedāvājumu. Šie kritēriji vajadzības gadījumā var tikt precizēti uzaicinājumā iesniegt piedāvājumus.</w:t>
      </w:r>
    </w:p>
    <w:p>
      <w:pPr>
        <w:pStyle w:val="NumPar2"/>
        <w:rPr>
          <w:noProof/>
        </w:rPr>
      </w:pPr>
      <w:r>
        <w:rPr>
          <w:noProof/>
        </w:rPr>
        <w:t>Līgumslēdzēja iestāde līguma paziņojumā norāda dinamiskās iepirkumu sistēmas spēkā esības periodu.</w:t>
      </w:r>
    </w:p>
    <w:p>
      <w:pPr>
        <w:pStyle w:val="Text1"/>
        <w:rPr>
          <w:noProof/>
        </w:rPr>
      </w:pPr>
      <w:r>
        <w:rPr>
          <w:noProof/>
        </w:rPr>
        <w:t>Dinamiskās iepirkumu sistēmas darbība nevar pārsniegt četrus gadus, izņemot pamatotus izņēmuma gadījumus.</w:t>
      </w:r>
    </w:p>
    <w:p>
      <w:pPr>
        <w:pStyle w:val="Text1"/>
        <w:rPr>
          <w:noProof/>
        </w:rPr>
      </w:pPr>
      <w:r>
        <w:rPr>
          <w:noProof/>
        </w:rPr>
        <w:t>Līgumslēdzēja iestāde nedrīkst izmantot šo sistēmu tādā veidā, kas novērš, ierobežo vai kropļo konkurenci.</w:t>
      </w:r>
    </w:p>
    <w:p>
      <w:pPr>
        <w:pStyle w:val="NumPar1"/>
        <w:rPr>
          <w:b/>
          <w:noProof/>
        </w:rPr>
      </w:pPr>
      <w:r>
        <w:rPr>
          <w:b/>
          <w:noProof/>
        </w:rPr>
        <w:t>Konkursa dialogs</w:t>
      </w:r>
    </w:p>
    <w:p>
      <w:pPr>
        <w:pStyle w:val="NumPar2"/>
        <w:rPr>
          <w:noProof/>
        </w:rPr>
      </w:pPr>
      <w:r>
        <w:rPr>
          <w:noProof/>
        </w:rPr>
        <w:t>Līgumslēdzēja iestāde līguma paziņojumā vai aprakstošā dokumentā norāda savas vajadzības un prasības, piešķiršanas kritērijus un paredzamo laika grafiku.</w:t>
      </w:r>
    </w:p>
    <w:p>
      <w:pPr>
        <w:pStyle w:val="Text1"/>
        <w:rPr>
          <w:noProof/>
        </w:rPr>
      </w:pPr>
      <w:r>
        <w:rPr>
          <w:noProof/>
        </w:rPr>
        <w:t>Līgumu tā piešķir piedāvājumam ar labāko cenas un kvalitātes attiecību.</w:t>
      </w:r>
    </w:p>
    <w:p>
      <w:pPr>
        <w:pStyle w:val="NumPar2"/>
        <w:rPr>
          <w:noProof/>
        </w:rPr>
      </w:pPr>
      <w:r>
        <w:rPr>
          <w:noProof/>
        </w:rPr>
        <w:t>Līgumslēdzēja iestāde rīko dialogu ar kandidātiem, kas atbilst atlases kritērijiem, lai noteiktu un definētu līdzekļus, kas ir vislabāk piemēroti tās vajadzību apmierināšanai. Šā dialoga laikā tā drīkst ar atlasītajiem kandidātiem apspriest visus iepirkuma aspektus, bet tā nevar grozīt 10.1. punktā minētās vajadzības, prasības un piešķiršanas kritērijus.</w:t>
      </w:r>
    </w:p>
    <w:p>
      <w:pPr>
        <w:pStyle w:val="Text1"/>
        <w:rPr>
          <w:noProof/>
        </w:rPr>
      </w:pPr>
      <w:r>
        <w:rPr>
          <w:noProof/>
        </w:rPr>
        <w:lastRenderedPageBreak/>
        <w:t>Dialoga laikā līgumslēdzēja iestāde nodrošina attieksmes vienlīdzību pret visiem pretendentiem un neatklāj piedāvātos risinājumus vai kādu citu konfidenciālu informāciju, ko tai darījis zināmu kāds no pretendentiem, ja nav saņemta attiecīgā pretendenta piekrišana atcelt šo konfidencialitāti.</w:t>
      </w:r>
    </w:p>
    <w:p>
      <w:pPr>
        <w:pStyle w:val="Text1"/>
        <w:rPr>
          <w:noProof/>
        </w:rPr>
      </w:pPr>
      <w:r>
        <w:rPr>
          <w:noProof/>
        </w:rPr>
        <w:t>Var paredzēt, ka konkursa dialogs notiek secīgos posmos, lai samazinātu apspriežamo risinājumu skaitu, piemērojot paziņotos piešķiršanas kritērijus, ja šāda iespēja ir paredzēta līguma paziņojumā vai aprakstošajā dokumentā.</w:t>
      </w:r>
    </w:p>
    <w:p>
      <w:pPr>
        <w:pStyle w:val="NumPar2"/>
        <w:rPr>
          <w:noProof/>
        </w:rPr>
      </w:pPr>
      <w:r>
        <w:rPr>
          <w:noProof/>
        </w:rPr>
        <w:t>Līgumslēdzēja iestāde dialogu turpina tik ilgi, līdz tā var noteikt risinājumu vai risinājumus, ar ko var apmierināt tās vajadzības.</w:t>
      </w:r>
    </w:p>
    <w:p>
      <w:pPr>
        <w:pStyle w:val="Text1"/>
        <w:rPr>
          <w:noProof/>
        </w:rPr>
      </w:pPr>
      <w:r>
        <w:rPr>
          <w:noProof/>
        </w:rPr>
        <w:t>Pēc atlikušo pretendentu informēšanas par dialoga slēgšanu līgumslēdzēja iestāde katru no viņiem aicina iesniegt galīgo piedāvājumu, balstoties uz dialoga laikā piedāvāto un precizēto risinājumu vai risinājumiem. Šie piedāvājumi ietver visus projekta realizācijai prasītos un nepieciešamos elementus.</w:t>
      </w:r>
    </w:p>
    <w:p>
      <w:pPr>
        <w:pStyle w:val="Text1"/>
        <w:rPr>
          <w:noProof/>
        </w:rPr>
      </w:pPr>
      <w:r>
        <w:rPr>
          <w:noProof/>
        </w:rPr>
        <w:t>Pēc līgumslēdzējas iestādes pieprasījuma šie galīgie piedāvājumi var tikt paskaidroti, precizēti un optimizēti ar nosacījumu, ka netiek būtiski mainīts piedāvājums vai iepirkuma procedūras dokumenti.</w:t>
      </w:r>
    </w:p>
    <w:p>
      <w:pPr>
        <w:pStyle w:val="Text1"/>
        <w:rPr>
          <w:noProof/>
        </w:rPr>
      </w:pPr>
      <w:r>
        <w:rPr>
          <w:noProof/>
        </w:rPr>
        <w:t>Līgumslēdzēja iestāde var risināt sarunas ar pretendentu, kura piedāvājums ir ar labāko cenas un kvalitātes attiecību, lai apstiprinātu tajā ietvertās saistības, ar nosacījumu, ka tas neizmaina būtiskus piedāvājuma elementus un nerada konkurences izkropļojumu vai diskriminācijas risku.</w:t>
      </w:r>
    </w:p>
    <w:p>
      <w:pPr>
        <w:pStyle w:val="NumPar2"/>
        <w:rPr>
          <w:noProof/>
        </w:rPr>
      </w:pPr>
      <w:r>
        <w:rPr>
          <w:noProof/>
        </w:rPr>
        <w:t>Līgumslēdzēja iestāde var paredzēt maksājumus atlasītajiem kandidātiem, kas piedalās dialogā.</w:t>
      </w:r>
    </w:p>
    <w:p>
      <w:pPr>
        <w:pStyle w:val="NumPar1"/>
        <w:rPr>
          <w:b/>
          <w:noProof/>
        </w:rPr>
      </w:pPr>
      <w:r>
        <w:rPr>
          <w:b/>
          <w:noProof/>
        </w:rPr>
        <w:t>Sarunu procedūras bez paziņojuma par līgumu iepriekšējas publicēšanas izmantošana</w:t>
      </w:r>
    </w:p>
    <w:p>
      <w:pPr>
        <w:pStyle w:val="NumPar2"/>
        <w:rPr>
          <w:noProof/>
        </w:rPr>
      </w:pPr>
      <w:r>
        <w:rPr>
          <w:noProof/>
        </w:rPr>
        <w:t>Ja līgumslēdzēja iestāde izmanto sarunu procedūru bez paziņojuma par līgumu iepriekšējas publicēšanas, tā ievēro 158. panta 4. punktā un 6.5. punktā paredzētos sarunu noteikumus.</w:t>
      </w:r>
    </w:p>
    <w:p>
      <w:pPr>
        <w:pStyle w:val="Text1"/>
        <w:rPr>
          <w:noProof/>
        </w:rPr>
      </w:pPr>
      <w:r>
        <w:rPr>
          <w:noProof/>
        </w:rPr>
        <w:t>Līgumslēdzēja iestāde var neatkarīgi no līguma lēstās vērtības izmanot sarunu procedūru  šādos gadījumos:</w:t>
      </w:r>
    </w:p>
    <w:p>
      <w:pPr>
        <w:pStyle w:val="Point1"/>
        <w:rPr>
          <w:noProof/>
        </w:rPr>
      </w:pPr>
      <w:r>
        <w:rPr>
          <w:noProof/>
        </w:rPr>
        <w:t>a)</w:t>
      </w:r>
      <w:r>
        <w:rPr>
          <w:noProof/>
        </w:rPr>
        <w:tab/>
        <w:t>ja, atsaucoties uz atklātu vai slēgtu procedūru, pēc šīs procedūras slēgšanas nav ticis iesniegts neviens piedāvājums vai neviens piemērots piedāvājums, vai neviens dalības pieteikums, vai neviens piemērots dalības pieteikums 11.2. punkta nozīmē, ar noteikumu, ka sākotnējie iepirkuma procedūras dokumenti nav būtiski mainīti;</w:t>
      </w:r>
    </w:p>
    <w:p>
      <w:pPr>
        <w:pStyle w:val="Point1"/>
        <w:rPr>
          <w:noProof/>
        </w:rPr>
      </w:pPr>
      <w:r>
        <w:rPr>
          <w:noProof/>
        </w:rPr>
        <w:t>b)</w:t>
      </w:r>
      <w:r>
        <w:rPr>
          <w:noProof/>
        </w:rPr>
        <w:tab/>
        <w:t>ja, ievērojot 11.3. punktā paredzētos nosacījumus, būvdarbus, piegādes vai pakalpojumus var nodrošināt viens vienīgs ekonomikas dalībnieks jebkura no šādiem iemesliem dēļ:</w:t>
      </w:r>
    </w:p>
    <w:p>
      <w:pPr>
        <w:pStyle w:val="Point2"/>
        <w:rPr>
          <w:noProof/>
        </w:rPr>
      </w:pPr>
      <w:r>
        <w:rPr>
          <w:noProof/>
        </w:rPr>
        <w:t>i)</w:t>
      </w:r>
      <w:r>
        <w:rPr>
          <w:noProof/>
        </w:rPr>
        <w:tab/>
        <w:t>iepirkuma mērķis ir radīt vai iegādāties unikālu mākslas darbu vai māksliniecisku izpildījumu,</w:t>
      </w:r>
    </w:p>
    <w:p>
      <w:pPr>
        <w:pStyle w:val="Point2"/>
        <w:rPr>
          <w:noProof/>
        </w:rPr>
      </w:pPr>
      <w:r>
        <w:rPr>
          <w:noProof/>
        </w:rPr>
        <w:t>ii)</w:t>
      </w:r>
      <w:r>
        <w:rPr>
          <w:noProof/>
        </w:rPr>
        <w:tab/>
        <w:t>konkurences nav tehnisku iemeslu dēļ,</w:t>
      </w:r>
    </w:p>
    <w:p>
      <w:pPr>
        <w:pStyle w:val="Point2"/>
        <w:rPr>
          <w:noProof/>
        </w:rPr>
      </w:pPr>
      <w:r>
        <w:rPr>
          <w:noProof/>
        </w:rPr>
        <w:t>iii)</w:t>
      </w:r>
      <w:r>
        <w:rPr>
          <w:noProof/>
        </w:rPr>
        <w:tab/>
        <w:t>jānodrošina ekskluzīvu tiesību, tostarp intelektuālā īpašuma tiesību, aizsardzība;</w:t>
      </w:r>
    </w:p>
    <w:p>
      <w:pPr>
        <w:pStyle w:val="Point1"/>
        <w:rPr>
          <w:noProof/>
        </w:rPr>
      </w:pPr>
      <w:r>
        <w:rPr>
          <w:noProof/>
        </w:rPr>
        <w:lastRenderedPageBreak/>
        <w:t>c)</w:t>
      </w:r>
      <w:r>
        <w:rPr>
          <w:noProof/>
        </w:rPr>
        <w:tab/>
        <w:t>ciktāl tas noteikti nepieciešams – ja ārkārtējas steidzamības gadījumā, ko radījis neparedzēts notikums, nav iespējams ievērot termiņus, kas noteikti 24., 26. un 41. punktā, un ja šāda ārkārtēja steidzamība nav radusies līgumslēdzējas iestādes dēļ;</w:t>
      </w:r>
    </w:p>
    <w:p>
      <w:pPr>
        <w:pStyle w:val="Point1"/>
        <w:rPr>
          <w:noProof/>
        </w:rPr>
      </w:pPr>
      <w:r>
        <w:rPr>
          <w:noProof/>
        </w:rPr>
        <w:t>d)</w:t>
      </w:r>
      <w:r>
        <w:rPr>
          <w:noProof/>
        </w:rPr>
        <w:tab/>
        <w:t>ja pakalpojumu līgumu slēdz pēc metu konkursa, un tas ir jāpiešķir minētā konkursa uzvarētājam vai vienam no uzvarētājiem; pēdējā no minētajiem gadījumiem uz sarunām jāuzaicina visi uzvarētāji;</w:t>
      </w:r>
    </w:p>
    <w:p>
      <w:pPr>
        <w:pStyle w:val="Point1"/>
        <w:rPr>
          <w:noProof/>
        </w:rPr>
      </w:pPr>
      <w:r>
        <w:rPr>
          <w:noProof/>
        </w:rPr>
        <w:t>e)</w:t>
      </w:r>
      <w:r>
        <w:rPr>
          <w:noProof/>
        </w:rPr>
        <w:tab/>
        <w:t>attiecībā uz jauniem pakalpojumiem vai būvdarbiem, kas ir tādu līdzīgu pakalpojumu vai būvdarbu atkārtošanās, kurus tā pati līgumslēdzēja iestāde bija uzticējusi ekonomikas dalībniekam sākotnējā līgumā, ar nosacījumu, ka šie pakalpojumi vai būvdarbi atbilst pamatprojektam, attiecībā uz kuru tika piešķirts sākotnējais līgums pēc līguma paziņojuma publicēšanas atbilstīgi 11.4. punktā minētajiem nosacījumiem;</w:t>
      </w:r>
    </w:p>
    <w:p>
      <w:pPr>
        <w:pStyle w:val="Point1"/>
        <w:rPr>
          <w:noProof/>
        </w:rPr>
      </w:pPr>
      <w:r>
        <w:rPr>
          <w:noProof/>
        </w:rPr>
        <w:t>f)</w:t>
      </w:r>
      <w:r>
        <w:rPr>
          <w:noProof/>
        </w:rPr>
        <w:tab/>
        <w:t>piegādes līgumiem:</w:t>
      </w:r>
    </w:p>
    <w:p>
      <w:pPr>
        <w:pStyle w:val="Point2"/>
        <w:rPr>
          <w:noProof/>
        </w:rPr>
      </w:pPr>
      <w:r>
        <w:rPr>
          <w:noProof/>
        </w:rPr>
        <w:t>i)</w:t>
      </w:r>
      <w:r>
        <w:rPr>
          <w:noProof/>
        </w:rPr>
        <w:tab/>
        <w:t>par papildu piegādēm, kas paredzētas vai nu piegāžu vai iekārtu daļējai aizstāšanai, vai esošo piegāžu vai iekārtu papildināšanai, ja piegādātāja maiņas dēļ līgumslēdzējai iestādei vajadzētu iegādāties piegādes ar atšķirīgiem tehniskajiem parametriem un tas radītu nesaderību vai nesamērīgas tehniskās grūtības ekspluatācijā un apkopē; ja iestādes piešķir līgumus savā vārdā, šādu līgumu ilgums nedrīkst pārsniegt trīs gadus;</w:t>
      </w:r>
    </w:p>
    <w:p>
      <w:pPr>
        <w:pStyle w:val="Point2"/>
        <w:rPr>
          <w:noProof/>
        </w:rPr>
      </w:pPr>
      <w:r>
        <w:rPr>
          <w:noProof/>
        </w:rPr>
        <w:t>ii)</w:t>
      </w:r>
      <w:r>
        <w:rPr>
          <w:noProof/>
        </w:rPr>
        <w:tab/>
        <w:t>ja attiecīgos produktus ražo tikai pētniecības, eksperimentu, pētījumu vai izstrādes nolūkiem; tomēr šie līgumi nevar būt par ražošanu vairumā, ko veic, lai pārbaudītu komerciālo dzīvotspēju vai lai atgūtu pētniecības un izstrādes izmaksas;</w:t>
      </w:r>
    </w:p>
    <w:p>
      <w:pPr>
        <w:pStyle w:val="Point2"/>
        <w:rPr>
          <w:noProof/>
        </w:rPr>
      </w:pPr>
      <w:r>
        <w:rPr>
          <w:noProof/>
        </w:rPr>
        <w:t>iii)</w:t>
      </w:r>
      <w:r>
        <w:rPr>
          <w:noProof/>
        </w:rPr>
        <w:tab/>
        <w:t>piegādēm, ko kotē un iegādājas preču biržā;</w:t>
      </w:r>
    </w:p>
    <w:p>
      <w:pPr>
        <w:pStyle w:val="Point2"/>
        <w:rPr>
          <w:noProof/>
        </w:rPr>
      </w:pPr>
      <w:r>
        <w:rPr>
          <w:noProof/>
        </w:rPr>
        <w:t>iv)</w:t>
      </w:r>
      <w:r>
        <w:rPr>
          <w:noProof/>
        </w:rPr>
        <w:tab/>
        <w:t>piegāžu iegādēm ar īpaši izdevīgiem nosacījumiem vai nu no ekonomikas dalībnieka, kas izbeidz savu saimniecisko darbību pavisam, vai no likvidatoriem maksātnespējas procedūrā vai mierizlīgumā ar kreditoriem, vai līdzīgā procedūrā saskaņā ar valsts tiesību aktiem;</w:t>
      </w:r>
    </w:p>
    <w:p>
      <w:pPr>
        <w:pStyle w:val="Point1"/>
        <w:rPr>
          <w:noProof/>
        </w:rPr>
      </w:pPr>
      <w:r>
        <w:rPr>
          <w:noProof/>
        </w:rPr>
        <w:t>g)</w:t>
      </w:r>
      <w:r>
        <w:rPr>
          <w:noProof/>
        </w:rPr>
        <w:tab/>
        <w:t>ēku līgumiem pēc vietējā tirgus izpētes;</w:t>
      </w:r>
    </w:p>
    <w:p>
      <w:pPr>
        <w:pStyle w:val="Point1"/>
        <w:rPr>
          <w:noProof/>
        </w:rPr>
      </w:pPr>
      <w:r>
        <w:rPr>
          <w:noProof/>
        </w:rPr>
        <w:t>h)</w:t>
      </w:r>
      <w:r>
        <w:rPr>
          <w:noProof/>
        </w:rPr>
        <w:tab/>
        <w:t>līgumiem attiecībā uz vienu no turpmāk minētajiem:</w:t>
      </w:r>
    </w:p>
    <w:p>
      <w:pPr>
        <w:pStyle w:val="Point2"/>
        <w:rPr>
          <w:noProof/>
        </w:rPr>
      </w:pPr>
      <w:r>
        <w:rPr>
          <w:noProof/>
        </w:rPr>
        <w:t>i)</w:t>
      </w:r>
      <w:r>
        <w:rPr>
          <w:noProof/>
        </w:rPr>
        <w:tab/>
        <w:t>tādu tiesisko pārstāvību šķīrējtiesā, samierināšanā vai tiesvedībā, ko veic zvērināts advokāts Padomes Direktīvas 77/249/EEK</w:t>
      </w:r>
      <w:r>
        <w:rPr>
          <w:rStyle w:val="FootnoteReference"/>
          <w:noProof/>
        </w:rPr>
        <w:footnoteReference w:id="2"/>
      </w:r>
      <w:r>
        <w:rPr>
          <w:noProof/>
        </w:rPr>
        <w:t xml:space="preserve"> 1. panta nozīmē;</w:t>
      </w:r>
    </w:p>
    <w:p>
      <w:pPr>
        <w:pStyle w:val="Point2"/>
        <w:rPr>
          <w:noProof/>
        </w:rPr>
      </w:pPr>
      <w:r>
        <w:rPr>
          <w:noProof/>
        </w:rPr>
        <w:t>ii)</w:t>
      </w:r>
      <w:r>
        <w:rPr>
          <w:noProof/>
        </w:rPr>
        <w:tab/>
        <w:t>juridiskām konsultācijām, ko sniedz, gatavojoties kādam no iepriekš minētajiem procesiem, vai ja ir drošas pazīmes un liela varbūtība, ka lieta, uz kuru konsultācijas attiecas, kļūs par šāda procesa priekšmetu, ar noteikumu, ka konsultācijas sniedz zvērināts advokāts Direktīvas 77/249/EEK 1. panta nozīmē;</w:t>
      </w:r>
    </w:p>
    <w:p>
      <w:pPr>
        <w:pStyle w:val="Point2"/>
        <w:rPr>
          <w:noProof/>
        </w:rPr>
      </w:pPr>
      <w:r>
        <w:rPr>
          <w:noProof/>
        </w:rPr>
        <w:t>iii)</w:t>
      </w:r>
      <w:r>
        <w:rPr>
          <w:noProof/>
        </w:rPr>
        <w:tab/>
        <w:t>šķīrējtiesas un samierināšanas pakalpojumiem;</w:t>
      </w:r>
    </w:p>
    <w:p>
      <w:pPr>
        <w:pStyle w:val="Point2"/>
        <w:rPr>
          <w:noProof/>
        </w:rPr>
      </w:pPr>
      <w:r>
        <w:rPr>
          <w:noProof/>
        </w:rPr>
        <w:lastRenderedPageBreak/>
        <w:t>iv)</w:t>
      </w:r>
      <w:r>
        <w:rPr>
          <w:noProof/>
        </w:rPr>
        <w:tab/>
        <w:t>dokumentu apliecināšanas un autentificēšanas pakalpojumiem, kas jāsniedz notāriem;</w:t>
      </w:r>
    </w:p>
    <w:p>
      <w:pPr>
        <w:pStyle w:val="Point1"/>
        <w:rPr>
          <w:noProof/>
        </w:rPr>
      </w:pPr>
      <w:r>
        <w:rPr>
          <w:noProof/>
        </w:rPr>
        <w:t>i)</w:t>
      </w:r>
      <w:r>
        <w:rPr>
          <w:noProof/>
        </w:rPr>
        <w:tab/>
        <w:t>attiecībā uz līgumiem, kuri atzīti par slepeniem, vai līgumiem, kuru izpildē jāievēro īpaši drošības pasākumi, saskaņā ar spēkā esošajiem administratīvajiem noteikumiem vai ja tas vajadzīgs Savienības būtisko interešu aizsardzībai, ja attiecīgās būtiskās intereses nevar tikt nodrošinātas ar citiem līdzekļiem; šie pasākumi var ietvert prasības aizsargāt tās informācijas konfidencialitāti, ko līgumslēdzēja iestāde dara pieejamu iepirkuma procedūrā;</w:t>
      </w:r>
    </w:p>
    <w:p>
      <w:pPr>
        <w:pStyle w:val="Point1"/>
        <w:rPr>
          <w:noProof/>
        </w:rPr>
      </w:pPr>
      <w:r>
        <w:rPr>
          <w:noProof/>
        </w:rPr>
        <w:t>j)</w:t>
      </w:r>
      <w:r>
        <w:rPr>
          <w:noProof/>
        </w:rPr>
        <w:tab/>
        <w:t>finanšu pakalpojumiem saistībā ar vērtspapīru vai citu finanšu instrumentu emisiju, pārdošanu, pirkšanu vai pārvešanu Eiropas Parlamenta un Padomes Direktīvas 2004/39/EK</w:t>
      </w:r>
      <w:r>
        <w:rPr>
          <w:rStyle w:val="FootnoteReference"/>
          <w:noProof/>
        </w:rPr>
        <w:footnoteReference w:id="3"/>
      </w:r>
      <w:r>
        <w:rPr>
          <w:noProof/>
        </w:rPr>
        <w:t xml:space="preserve"> nozīmē, centrālas bankas pakalpojumiem un operācijām, ko veic ar Eiropas Finanšu stabilitātes instrumenta un Eiropas stabilizācijas mehānisma palīdzību;</w:t>
      </w:r>
    </w:p>
    <w:p>
      <w:pPr>
        <w:pStyle w:val="Point1"/>
        <w:rPr>
          <w:noProof/>
        </w:rPr>
      </w:pPr>
      <w:r>
        <w:rPr>
          <w:noProof/>
        </w:rPr>
        <w:t>k)</w:t>
      </w:r>
      <w:r>
        <w:rPr>
          <w:noProof/>
        </w:rPr>
        <w:tab/>
        <w:t>aizdevumiem neatkarīgi no tā, vai tie ir saistīti ar vērtspapīru vai citu finanšu instrumentu emisiju, pārdošanu, pirkšanu vai pārvešanu;</w:t>
      </w:r>
    </w:p>
    <w:p>
      <w:pPr>
        <w:pStyle w:val="Point1"/>
        <w:rPr>
          <w:noProof/>
        </w:rPr>
      </w:pPr>
      <w:r>
        <w:rPr>
          <w:noProof/>
        </w:rPr>
        <w:t>l)</w:t>
      </w:r>
      <w:r>
        <w:rPr>
          <w:noProof/>
        </w:rPr>
        <w:tab/>
        <w:t>publisko sakaru tīklu un elektronisko komunikāciju pakalpojumu iegādei Eiropas Parlamenta un Padomes Direktīvas 2002/21/EK nozīmē</w:t>
      </w:r>
      <w:r>
        <w:rPr>
          <w:rStyle w:val="FootnoteReference"/>
          <w:noProof/>
        </w:rPr>
        <w:footnoteReference w:id="4"/>
      </w:r>
      <w:r>
        <w:rPr>
          <w:noProof/>
        </w:rPr>
        <w:t>;</w:t>
      </w:r>
    </w:p>
    <w:p>
      <w:pPr>
        <w:pStyle w:val="Point1"/>
        <w:rPr>
          <w:noProof/>
        </w:rPr>
      </w:pPr>
      <w:r>
        <w:rPr>
          <w:noProof/>
        </w:rPr>
        <w:t>m)</w:t>
      </w:r>
      <w:r>
        <w:rPr>
          <w:noProof/>
        </w:rPr>
        <w:tab/>
        <w:t>pakalpojumiem, ko sniedz starptautiska organizācija, ja tā nav tiesīga piedalīties konkursa procedūrās saskaņā ar statūtiem vai dibināšanas aktu.</w:t>
      </w:r>
    </w:p>
    <w:p>
      <w:pPr>
        <w:pStyle w:val="NumPar2"/>
        <w:rPr>
          <w:noProof/>
        </w:rPr>
      </w:pPr>
      <w:r>
        <w:rPr>
          <w:noProof/>
        </w:rPr>
        <w:t>Piedāvājumu uzskata par nepiemērotu, ja tas neattiecas uz līguma priekšmetu, un dalības pieteikumu uzskata par nepiemērotu, ja attiecīgais ekonomikas dalībnieks saskaņā ar 132. panta 1. punktu ir izslēgšanas situācijā vai neatbilst atlases kritērijiem.</w:t>
      </w:r>
    </w:p>
    <w:p>
      <w:pPr>
        <w:pStyle w:val="NumPar2"/>
        <w:rPr>
          <w:noProof/>
        </w:rPr>
      </w:pPr>
      <w:r>
        <w:rPr>
          <w:noProof/>
        </w:rPr>
        <w:t>Izņēmumi, kas izklāstīti 11.1. punkta b) apakšpunkta ii) un iii) punktā, ir piemērojami tikai tad, ja nav nevienas pamatotas alternatīvas vai aizstājēja un ja konkurences trūkums nav radies tādēļ, ka, definējot iepirkumu, ir mākslīgi sašaurināti iepirkuma parametri.</w:t>
      </w:r>
    </w:p>
    <w:p>
      <w:pPr>
        <w:pStyle w:val="NumPar2"/>
        <w:rPr>
          <w:noProof/>
        </w:rPr>
      </w:pPr>
      <w:r>
        <w:rPr>
          <w:noProof/>
        </w:rPr>
        <w:t>Gadījumos, kas minēti 11.1. punkta e) apakšpunktā, pamatprojektā min iespējamo jauno pakalpojumu vai būvdarbu apmēru un nosacījumus, saskaņā ar kuriem tos piešķirs. Iespēju izmantot sarunu procedūru dara zināmu brīdī, kad izsludina konkursu par pamatprojektu, un turpmākiem pakalpojumiem vai būvdarbiem lēsto kopsummu ņem vērā, piemērojot robežlielumus, kas noteikti 169. panta 1. punktā vai ārējo darbību jomai 172. panta 1. punktā. Ja iestādes piešķir līgumus savā vārdā, minēto procedūru var izmantot tikai sākotnējā līguma izpildes laikā un tikai pirmo triju gadu laikā pēc tā parakstīšanas.</w:t>
      </w:r>
    </w:p>
    <w:p>
      <w:pPr>
        <w:pStyle w:val="NumPar1"/>
        <w:rPr>
          <w:b/>
          <w:noProof/>
        </w:rPr>
      </w:pPr>
      <w:r>
        <w:rPr>
          <w:b/>
          <w:noProof/>
        </w:rPr>
        <w:t>Konkursa procedūras ar sarunām vai konkursa dialoga izmantošana</w:t>
      </w:r>
    </w:p>
    <w:p>
      <w:pPr>
        <w:pStyle w:val="NumPar2"/>
        <w:rPr>
          <w:noProof/>
        </w:rPr>
      </w:pPr>
      <w:r>
        <w:rPr>
          <w:noProof/>
        </w:rPr>
        <w:lastRenderedPageBreak/>
        <w:t>Ja līgumslēdzēja iestāde izmanto konkursa procedūru ar sarunām vai konkursa dialogu, tā ievēro 158. panta 4. punktā un 6.5. punktā paredzētos sarunu noteikumus. Līgumslēdzēja iestāde var neatkarīgi no līguma lēstās vērtības izmanot minētās procedūras šādos gadījumos:</w:t>
      </w:r>
    </w:p>
    <w:p>
      <w:pPr>
        <w:pStyle w:val="Point1"/>
        <w:rPr>
          <w:noProof/>
        </w:rPr>
      </w:pPr>
      <w:r>
        <w:rPr>
          <w:noProof/>
        </w:rPr>
        <w:t>a)</w:t>
      </w:r>
      <w:r>
        <w:rPr>
          <w:noProof/>
        </w:rPr>
        <w:tab/>
        <w:t>ja, atsaucoties uz atklātu vai slēgtu procedūru, pēc šīs procedūras slēgšanas ir iesniegti vienīgi neatbilstīgi vai nepieņemami piedāvājumi, kā noteikts 12.2. un 12.3. punktā, ar noteikumu, ka sākotnējie iepirkuma procedūras dokumenti nav būtiski mainīti; līguma paziņojuma publicēšanu var atcelt saskaņā ar 12.4. punktā izklāstītajiem nosacījumiem;</w:t>
      </w:r>
    </w:p>
    <w:p>
      <w:pPr>
        <w:pStyle w:val="Point1"/>
        <w:rPr>
          <w:noProof/>
        </w:rPr>
      </w:pPr>
      <w:r>
        <w:rPr>
          <w:noProof/>
        </w:rPr>
        <w:t>b)</w:t>
      </w:r>
      <w:r>
        <w:rPr>
          <w:noProof/>
        </w:rPr>
        <w:tab/>
        <w:t>attiecībā uz būvdarbiem, piegādēm vai pakalpojumiem, kas atbilst vienam vai vairākiem no šādiem kritērijiem:</w:t>
      </w:r>
    </w:p>
    <w:p>
      <w:pPr>
        <w:pStyle w:val="Point2"/>
        <w:rPr>
          <w:noProof/>
        </w:rPr>
      </w:pPr>
      <w:r>
        <w:rPr>
          <w:noProof/>
        </w:rPr>
        <w:t>i)</w:t>
      </w:r>
      <w:r>
        <w:rPr>
          <w:noProof/>
        </w:rPr>
        <w:tab/>
        <w:t>ja līgumslēdzējas iestādes vajadzības nevar apmierināt, nepielāgojot jau pieejamu risinājumu;</w:t>
      </w:r>
    </w:p>
    <w:p>
      <w:pPr>
        <w:pStyle w:val="Point2"/>
        <w:rPr>
          <w:noProof/>
        </w:rPr>
      </w:pPr>
      <w:r>
        <w:rPr>
          <w:noProof/>
        </w:rPr>
        <w:t>ii)</w:t>
      </w:r>
      <w:r>
        <w:rPr>
          <w:noProof/>
        </w:rPr>
        <w:tab/>
        <w:t>būvdarbi, piegādes vai pakalpojumi ietver projektēšanu vai inovatīvus risinājumus;</w:t>
      </w:r>
    </w:p>
    <w:p>
      <w:pPr>
        <w:pStyle w:val="Point2"/>
        <w:rPr>
          <w:noProof/>
        </w:rPr>
      </w:pPr>
      <w:r>
        <w:rPr>
          <w:noProof/>
        </w:rPr>
        <w:t>iii)</w:t>
      </w:r>
      <w:r>
        <w:rPr>
          <w:noProof/>
        </w:rPr>
        <w:tab/>
        <w:t>līgumslēgšanas tiesības nevar piešķirt bez iepriekšējas sarunu veikšanas, ņemot vērā īpašus apstākļus, kas attiecas uz līguma raksturu, sarežģītību vai juridisko un finansiālo struktūru vai riskiem, kas ir saistīti ar līguma priekšmetu;</w:t>
      </w:r>
    </w:p>
    <w:p>
      <w:pPr>
        <w:pStyle w:val="Point2"/>
        <w:rPr>
          <w:noProof/>
        </w:rPr>
      </w:pPr>
      <w:r>
        <w:rPr>
          <w:noProof/>
        </w:rPr>
        <w:t>iv)</w:t>
      </w:r>
      <w:r>
        <w:rPr>
          <w:noProof/>
        </w:rPr>
        <w:tab/>
        <w:t>līgumslēdzēja iestāde nevar pietiekami precīzi sagatavot tehniskās specifikācijas pēc kāda standarta, kā paredzēts 17.3. punktā;</w:t>
      </w:r>
    </w:p>
    <w:p>
      <w:pPr>
        <w:pStyle w:val="Point1"/>
        <w:rPr>
          <w:noProof/>
        </w:rPr>
      </w:pPr>
      <w:r>
        <w:rPr>
          <w:noProof/>
        </w:rPr>
        <w:t>c)</w:t>
      </w:r>
      <w:r>
        <w:rPr>
          <w:noProof/>
        </w:rPr>
        <w:tab/>
        <w:t>koncesijas līgumiem;</w:t>
      </w:r>
    </w:p>
    <w:p>
      <w:pPr>
        <w:pStyle w:val="Point1"/>
        <w:rPr>
          <w:noProof/>
        </w:rPr>
      </w:pPr>
      <w:r>
        <w:rPr>
          <w:noProof/>
        </w:rPr>
        <w:t>d)</w:t>
      </w:r>
      <w:r>
        <w:rPr>
          <w:noProof/>
        </w:rPr>
        <w:tab/>
        <w:t>pakalpojumu līgumiem, kas minēti Direktīvas 2014/24/ES XIV pielikumā;</w:t>
      </w:r>
    </w:p>
    <w:p>
      <w:pPr>
        <w:pStyle w:val="Point1"/>
        <w:rPr>
          <w:noProof/>
        </w:rPr>
      </w:pPr>
      <w:r>
        <w:rPr>
          <w:noProof/>
        </w:rPr>
        <w:t>e)</w:t>
      </w:r>
      <w:r>
        <w:rPr>
          <w:noProof/>
        </w:rPr>
        <w:tab/>
        <w:t xml:space="preserve">zinātniskās izpētes un izstrādes pakalpojumiem, izņemot tos, uz kuriem attiecas </w:t>
      </w:r>
      <w:r>
        <w:rPr>
          <w:i/>
          <w:noProof/>
        </w:rPr>
        <w:t>CPV</w:t>
      </w:r>
      <w:r>
        <w:rPr>
          <w:noProof/>
        </w:rPr>
        <w:t xml:space="preserve"> kodi 73000000-2 līdz 73120000-9, 73300000-5, 73420000-2 un 73430000-5, izņemot, ja no tiem labumu gūst vienīgi līgumslēdzēja iestāde, kas izmanto tos savām vajadzībām, vai ja līgumslēdzēja iestāde pilnībā atlīdzina sniegtos pakalpojumus;</w:t>
      </w:r>
    </w:p>
    <w:p>
      <w:pPr>
        <w:pStyle w:val="Point1"/>
        <w:rPr>
          <w:noProof/>
        </w:rPr>
      </w:pPr>
      <w:r>
        <w:rPr>
          <w:noProof/>
        </w:rPr>
        <w:t>f)</w:t>
      </w:r>
      <w:r>
        <w:rPr>
          <w:noProof/>
        </w:rPr>
        <w:tab/>
        <w:t>pakalpojumu līgumiem par tāda programmu materiāla iegādi, izstrādi, producēšanu vai līdzproducēšanu, kas paredzēts audiovizuālo vai radio mediju pakalpojumiem, kā definēts Eiropas Parlamenta un Padomes Direktīvā 2010/13/ES</w:t>
      </w:r>
      <w:r>
        <w:rPr>
          <w:rStyle w:val="FootnoteReference"/>
          <w:noProof/>
        </w:rPr>
        <w:footnoteReference w:id="5"/>
      </w:r>
      <w:r>
        <w:rPr>
          <w:noProof/>
        </w:rPr>
        <w:t>, vai līgumiem par raidlaiku vai programmu nodrošināšanu.</w:t>
      </w:r>
    </w:p>
    <w:p>
      <w:pPr>
        <w:pStyle w:val="NumPar2"/>
        <w:rPr>
          <w:noProof/>
        </w:rPr>
      </w:pPr>
      <w:r>
        <w:rPr>
          <w:noProof/>
        </w:rPr>
        <w:t>Piedāvājumu uzskata par neatbilstīgu jebkurā no šādiem gadījumiem:</w:t>
      </w:r>
    </w:p>
    <w:p>
      <w:pPr>
        <w:pStyle w:val="Point1"/>
        <w:rPr>
          <w:noProof/>
        </w:rPr>
      </w:pPr>
      <w:r>
        <w:rPr>
          <w:noProof/>
        </w:rPr>
        <w:t>a)</w:t>
      </w:r>
      <w:r>
        <w:rPr>
          <w:noProof/>
        </w:rPr>
        <w:tab/>
        <w:t>tas neatbilst minimālajām prasībām, kas noteiktas iepirkuma procedūras dokumentos;</w:t>
      </w:r>
    </w:p>
    <w:p>
      <w:pPr>
        <w:pStyle w:val="Point1"/>
        <w:rPr>
          <w:noProof/>
        </w:rPr>
      </w:pPr>
      <w:r>
        <w:rPr>
          <w:noProof/>
        </w:rPr>
        <w:t>b)</w:t>
      </w:r>
      <w:r>
        <w:rPr>
          <w:noProof/>
        </w:rPr>
        <w:tab/>
        <w:t>tas neatbilst iesniegšanas prasībām, kas noteiktas 162. panta 3. punktā;</w:t>
      </w:r>
    </w:p>
    <w:p>
      <w:pPr>
        <w:pStyle w:val="Point1"/>
        <w:rPr>
          <w:noProof/>
        </w:rPr>
      </w:pPr>
      <w:r>
        <w:rPr>
          <w:noProof/>
        </w:rPr>
        <w:t>c)</w:t>
      </w:r>
      <w:r>
        <w:rPr>
          <w:noProof/>
        </w:rPr>
        <w:tab/>
        <w:t>pretendents ir noraidīts saskaņā ar 137. panta 1. punkta b) vai c) apakšpunktu;</w:t>
      </w:r>
    </w:p>
    <w:p>
      <w:pPr>
        <w:pStyle w:val="Point1"/>
        <w:rPr>
          <w:noProof/>
        </w:rPr>
      </w:pPr>
      <w:r>
        <w:rPr>
          <w:noProof/>
        </w:rPr>
        <w:t>d)</w:t>
      </w:r>
      <w:r>
        <w:rPr>
          <w:noProof/>
        </w:rPr>
        <w:tab/>
        <w:t>līgumslēdzēja iestāde ir paziņojusi, ka piedāvājums ir nepamatoti lēts.</w:t>
      </w:r>
    </w:p>
    <w:p>
      <w:pPr>
        <w:pStyle w:val="NumPar2"/>
        <w:rPr>
          <w:noProof/>
        </w:rPr>
      </w:pPr>
      <w:r>
        <w:rPr>
          <w:noProof/>
        </w:rPr>
        <w:lastRenderedPageBreak/>
        <w:t>Piedāvājumu uzskata par nepieņemamu jebkurā no šādiem gadījumiem:</w:t>
      </w:r>
    </w:p>
    <w:p>
      <w:pPr>
        <w:pStyle w:val="Point1"/>
        <w:rPr>
          <w:noProof/>
        </w:rPr>
      </w:pPr>
      <w:r>
        <w:rPr>
          <w:noProof/>
        </w:rPr>
        <w:t>a)</w:t>
      </w:r>
      <w:r>
        <w:rPr>
          <w:noProof/>
        </w:rPr>
        <w:tab/>
        <w:t>ja piedāvājuma cena pārsniedz līgumslēdzējas iestādes maksimālo budžetu, kas noteikts un dokumentāli reģistrēts pirms iepirkuma procedūras sākšanas;</w:t>
      </w:r>
    </w:p>
    <w:p>
      <w:pPr>
        <w:pStyle w:val="Point1"/>
        <w:rPr>
          <w:noProof/>
        </w:rPr>
      </w:pPr>
      <w:r>
        <w:rPr>
          <w:noProof/>
        </w:rPr>
        <w:t>b)</w:t>
      </w:r>
      <w:r>
        <w:rPr>
          <w:noProof/>
        </w:rPr>
        <w:tab/>
        <w:t>ja piedāvājums neatbilst minimālajiem kvalitātes līmeņiem atbilstoši piešķiršanas kritērijiem.</w:t>
      </w:r>
    </w:p>
    <w:p>
      <w:pPr>
        <w:pStyle w:val="NumPar2"/>
        <w:rPr>
          <w:noProof/>
        </w:rPr>
      </w:pPr>
      <w:r>
        <w:rPr>
          <w:noProof/>
        </w:rPr>
        <w:t>Gadījumos, kas minēti 12.1. punkta a) apakšpunktā, līgumslēdzējai iestādei nav jāpublicē līguma paziņojums, ja tā konkursa procedūrā ar sarunām ietver visus tos pretendentus, kas atbilst izslēgšanas un atlases kritērijiem, izņemot tos, kuri ir iesnieguši piedāvājumu, kas atzīts par nepamatoti lētu.</w:t>
      </w:r>
    </w:p>
    <w:p>
      <w:pPr>
        <w:pStyle w:val="NumPar1"/>
        <w:rPr>
          <w:b/>
          <w:noProof/>
        </w:rPr>
      </w:pPr>
      <w:r>
        <w:rPr>
          <w:b/>
          <w:noProof/>
        </w:rPr>
        <w:t>Procedūra ar uzaicinājumu paust ieinteresētību</w:t>
      </w:r>
    </w:p>
    <w:p>
      <w:pPr>
        <w:pStyle w:val="NumPar2"/>
        <w:rPr>
          <w:noProof/>
        </w:rPr>
      </w:pPr>
      <w:r>
        <w:rPr>
          <w:noProof/>
        </w:rPr>
        <w:t>Līgumiem, kuru vērtība nepārsniedz 169. panta 1. punktā vai 172. panta 1. punktā minētos robežlielumus, un neskarot 11. un 12. punktu, līgumslēdzēja iestāde var izmantot uzaicinājumu paust ieinteresētību, lai veiktu kādu no šādām darbībām:</w:t>
      </w:r>
    </w:p>
    <w:p>
      <w:pPr>
        <w:pStyle w:val="Point2"/>
        <w:rPr>
          <w:noProof/>
        </w:rPr>
      </w:pPr>
      <w:r>
        <w:rPr>
          <w:noProof/>
        </w:rPr>
        <w:t>a)</w:t>
      </w:r>
      <w:r>
        <w:rPr>
          <w:noProof/>
        </w:rPr>
        <w:tab/>
        <w:t>iepriekš atlasīt kandidātus, kurus paredzēts aicināt iesniegt piedāvājumus turpmākos uzaicinājumos uz slēgtu konkursu;</w:t>
      </w:r>
    </w:p>
    <w:p>
      <w:pPr>
        <w:pStyle w:val="Point2"/>
        <w:rPr>
          <w:noProof/>
        </w:rPr>
      </w:pPr>
      <w:r>
        <w:rPr>
          <w:noProof/>
        </w:rPr>
        <w:t>b)</w:t>
      </w:r>
      <w:r>
        <w:rPr>
          <w:noProof/>
        </w:rPr>
        <w:tab/>
        <w:t>izveidot to pārdevēju sarakstu, kurus paredzēts aicināt iesniegt dalības pieteikumus vai piedāvājumus.</w:t>
      </w:r>
    </w:p>
    <w:p>
      <w:pPr>
        <w:pStyle w:val="NumPar2"/>
        <w:rPr>
          <w:noProof/>
        </w:rPr>
      </w:pPr>
      <w:r>
        <w:rPr>
          <w:noProof/>
        </w:rPr>
        <w:t>Saraksts, kuru sastāda pēc uzaicinājuma paust ieinteresētību, ir derīgs ne vairāk kā četrus gadus no dienas, kad ir publicēts 3.1. punktā minētais paziņojums.</w:t>
      </w:r>
    </w:p>
    <w:p>
      <w:pPr>
        <w:pStyle w:val="Text1"/>
        <w:rPr>
          <w:noProof/>
        </w:rPr>
      </w:pPr>
      <w:r>
        <w:rPr>
          <w:noProof/>
        </w:rPr>
        <w:t>Pirmajā daļā norādītais saraksts var ietvert apakšsarakstus.</w:t>
      </w:r>
    </w:p>
    <w:p>
      <w:pPr>
        <w:pStyle w:val="Text1"/>
        <w:rPr>
          <w:noProof/>
        </w:rPr>
      </w:pPr>
      <w:r>
        <w:rPr>
          <w:noProof/>
        </w:rPr>
        <w:t>Jebkurš ieinteresēts ekonomikas dalībnieks var paust interesi jebkurā brīdī minētā saraksta derīguma perioda laikā, izņemot šā perioda pēdējos trīs mēnešus.</w:t>
      </w:r>
    </w:p>
    <w:p>
      <w:pPr>
        <w:pStyle w:val="NumPar2"/>
        <w:rPr>
          <w:noProof/>
        </w:rPr>
      </w:pPr>
      <w:r>
        <w:rPr>
          <w:noProof/>
        </w:rPr>
        <w:t>Kad  paredzēts piešķirt līgumu, līgumslēdzēja iestāde aicina visus kandidātus vai pārdevējus, kas ir iekļauti attiecīgajā sarakstā vai apakšsarakstā, veikt vienu no turpmāk norādītajām darbībām:</w:t>
      </w:r>
    </w:p>
    <w:p>
      <w:pPr>
        <w:pStyle w:val="Point1"/>
        <w:rPr>
          <w:noProof/>
        </w:rPr>
      </w:pPr>
      <w:r>
        <w:rPr>
          <w:noProof/>
        </w:rPr>
        <w:t>a)</w:t>
      </w:r>
      <w:r>
        <w:rPr>
          <w:noProof/>
        </w:rPr>
        <w:tab/>
        <w:t>iesniegt piedāvājumu 13.1. punkta a) apakšpunktā minētajā gadījumā;</w:t>
      </w:r>
    </w:p>
    <w:p>
      <w:pPr>
        <w:pStyle w:val="Point1"/>
        <w:rPr>
          <w:noProof/>
        </w:rPr>
      </w:pPr>
      <w:r>
        <w:rPr>
          <w:noProof/>
        </w:rPr>
        <w:t>b)</w:t>
      </w:r>
      <w:r>
        <w:rPr>
          <w:noProof/>
        </w:rPr>
        <w:tab/>
        <w:t>ja tiek izmantots 13.1. punkta b) apakšpunktā minētais saraksts, iesniegt vienu no šādiem dokumentiem:</w:t>
      </w:r>
    </w:p>
    <w:p>
      <w:pPr>
        <w:pStyle w:val="Point2"/>
        <w:rPr>
          <w:noProof/>
        </w:rPr>
      </w:pPr>
      <w:r>
        <w:rPr>
          <w:noProof/>
        </w:rPr>
        <w:t>i)</w:t>
      </w:r>
      <w:r>
        <w:rPr>
          <w:noProof/>
        </w:rPr>
        <w:tab/>
        <w:t>piedāvājumus, tostarp dokumentus saistībā ar izslēgšanas un atlases kritērijiem;</w:t>
      </w:r>
    </w:p>
    <w:p>
      <w:pPr>
        <w:pStyle w:val="Point2"/>
        <w:rPr>
          <w:noProof/>
        </w:rPr>
      </w:pPr>
      <w:r>
        <w:rPr>
          <w:noProof/>
        </w:rPr>
        <w:t>ii)</w:t>
      </w:r>
      <w:r>
        <w:rPr>
          <w:noProof/>
        </w:rPr>
        <w:tab/>
        <w:t>dokumentus saistībā ar izslēgšanas un atlases kritērijiem un – otrā posmā – minētajiem kritērijiem atbilstīgo pārdevēju piedāvājumus.</w:t>
      </w:r>
    </w:p>
    <w:p>
      <w:pPr>
        <w:pStyle w:val="NumPar1"/>
        <w:rPr>
          <w:b/>
          <w:noProof/>
        </w:rPr>
      </w:pPr>
      <w:r>
        <w:rPr>
          <w:b/>
          <w:noProof/>
        </w:rPr>
        <w:t>Vidējas, zemas un ļoti zemas vērtības līgumi</w:t>
      </w:r>
    </w:p>
    <w:p>
      <w:pPr>
        <w:pStyle w:val="NumPar2"/>
        <w:rPr>
          <w:noProof/>
        </w:rPr>
      </w:pPr>
      <w:r>
        <w:rPr>
          <w:noProof/>
        </w:rPr>
        <w:t>Vidējas, zemas un ļoti zemas vērtības līgumus var piešķirt ar sarunu procedūru saskaņā ar sarunu kārtību, kas noteikta 158. panta 4. punktā un 6.5. punktā. Sākotnējo piedāvājumu var iesniegt tikai tie kandidāti, kurus vienlaicīgi un rakstveidā uzaicinājusi līgumslēdzēja iestāde.</w:t>
      </w:r>
    </w:p>
    <w:p>
      <w:pPr>
        <w:pStyle w:val="NumPar2"/>
        <w:rPr>
          <w:noProof/>
        </w:rPr>
      </w:pPr>
      <w:r>
        <w:rPr>
          <w:noProof/>
        </w:rPr>
        <w:t>Līgumu, kura vērtība pārsniedz EUR 60 000, bet ir mazāka par 169. panta 1. punktā minētajām robežvērtībām, uzskata par vidējas vērtības līgumu. Šīm procedūrām piemēro 3.1. punktu un 6.1. un 6.4. punktu.</w:t>
      </w:r>
    </w:p>
    <w:p>
      <w:pPr>
        <w:pStyle w:val="NumPar2"/>
        <w:rPr>
          <w:noProof/>
        </w:rPr>
      </w:pPr>
      <w:r>
        <w:rPr>
          <w:noProof/>
        </w:rPr>
        <w:lastRenderedPageBreak/>
        <w:t xml:space="preserve">Līgumu, kura vērtība nepārsniedz EUR 60 000, uzskata par zemas vērtības līgumu. Šīm procedūrām piemēro 3.1. punktu un 6.2. un 6.4. punktu. </w:t>
      </w:r>
    </w:p>
    <w:p>
      <w:pPr>
        <w:pStyle w:val="NumPar2"/>
        <w:rPr>
          <w:noProof/>
        </w:rPr>
      </w:pPr>
      <w:r>
        <w:rPr>
          <w:noProof/>
        </w:rPr>
        <w:t>Līgumu, kura vērtība nepārsniedz EUR 15 000, uzskata par ļoti zemas vērtības līgumu. Šīm procedūrām piemēro 6.3. punktu.</w:t>
      </w:r>
    </w:p>
    <w:p>
      <w:pPr>
        <w:pStyle w:val="NumPar2"/>
        <w:rPr>
          <w:noProof/>
        </w:rPr>
      </w:pPr>
      <w:r>
        <w:rPr>
          <w:noProof/>
        </w:rPr>
        <w:t>Maksājumus par izdevumiem, kuru summa nepārsniedz EUR 1000, var apmaksāt, pamatojoties uz rēķinu, bez iepriekšējas piedāvājuma pieņemšanas.</w:t>
      </w:r>
    </w:p>
    <w:p>
      <w:pPr>
        <w:pStyle w:val="NumPar1"/>
        <w:rPr>
          <w:b/>
          <w:noProof/>
        </w:rPr>
      </w:pPr>
      <w:r>
        <w:rPr>
          <w:b/>
          <w:noProof/>
        </w:rPr>
        <w:t>Iepriekšēja tirgus izzināšana</w:t>
      </w:r>
    </w:p>
    <w:p>
      <w:pPr>
        <w:pStyle w:val="NumPar2"/>
        <w:rPr>
          <w:noProof/>
        </w:rPr>
      </w:pPr>
      <w:r>
        <w:rPr>
          <w:noProof/>
        </w:rPr>
        <w:t>Attiecībā uz iepriekšēju tirgus izzināšanu līgumslēdzējas iestādes var lūgt vai pieņemt konsultācijas no neatkarīgiem ekspertiem vai iestādēm, vai no ekonomikas dalībniekiem. Minētās konsultācijas var izmantot iepirkuma procedūras plānošanā un rīkošanā ar noteikumu, ka šādas konsultācijas nerada konkurences izkropļojumus un neizraisa nediskriminācijas un pārredzamības principu pārkāpumu.</w:t>
      </w:r>
    </w:p>
    <w:p>
      <w:pPr>
        <w:pStyle w:val="NumPar2"/>
        <w:rPr>
          <w:noProof/>
        </w:rPr>
      </w:pPr>
      <w:r>
        <w:rPr>
          <w:noProof/>
        </w:rPr>
        <w:t>Ja ekonomikas dalībnieks ir konsultējis līgumslēdzēju iestādi vai ir citādi bijis iesaistīts iepirkuma procedūras sagatavošanā, līgumslēdzēja iestāde piemēro atbilstīgus pasākumus, kas paredzēti 137. pantā, lai nodrošinātu, ka ar minēto ekonomikas dalībnieku dalību netiek izkropļota konkurence.</w:t>
      </w:r>
    </w:p>
    <w:p>
      <w:pPr>
        <w:pStyle w:val="NumPar1"/>
        <w:rPr>
          <w:b/>
          <w:noProof/>
        </w:rPr>
      </w:pPr>
      <w:r>
        <w:rPr>
          <w:b/>
          <w:noProof/>
        </w:rPr>
        <w:t>Iepirkuma procedūras dokumenti</w:t>
      </w:r>
    </w:p>
    <w:p>
      <w:pPr>
        <w:pStyle w:val="NumPar2"/>
        <w:rPr>
          <w:noProof/>
        </w:rPr>
      </w:pPr>
      <w:r>
        <w:rPr>
          <w:noProof/>
        </w:rPr>
        <w:t>Iepirkuma procedūras dokumenti ir šādi:</w:t>
      </w:r>
    </w:p>
    <w:p>
      <w:pPr>
        <w:pStyle w:val="Point1"/>
        <w:rPr>
          <w:noProof/>
        </w:rPr>
      </w:pPr>
      <w:r>
        <w:rPr>
          <w:noProof/>
        </w:rPr>
        <w:t>a)</w:t>
      </w:r>
      <w:r>
        <w:rPr>
          <w:noProof/>
        </w:rPr>
        <w:tab/>
        <w:t>attiecīgā gadījumā līguma paziņojums vai citi sludinājumi, kā noteikts 2. līdz 5. punktā;</w:t>
      </w:r>
    </w:p>
    <w:p>
      <w:pPr>
        <w:pStyle w:val="Point1"/>
        <w:rPr>
          <w:noProof/>
        </w:rPr>
      </w:pPr>
      <w:r>
        <w:rPr>
          <w:noProof/>
        </w:rPr>
        <w:t>b)</w:t>
      </w:r>
      <w:r>
        <w:rPr>
          <w:noProof/>
        </w:rPr>
        <w:tab/>
        <w:t>uzaicinājums iesniegt piedāvājumus;</w:t>
      </w:r>
    </w:p>
    <w:p>
      <w:pPr>
        <w:pStyle w:val="Point1"/>
        <w:rPr>
          <w:noProof/>
        </w:rPr>
      </w:pPr>
      <w:r>
        <w:rPr>
          <w:noProof/>
        </w:rPr>
        <w:t>c)</w:t>
      </w:r>
      <w:r>
        <w:rPr>
          <w:noProof/>
        </w:rPr>
        <w:tab/>
        <w:t>konkursa specifikācijas vai aprakstošie dokumenti konkursa dialoga procedūras gadījumā; tie ietver tehniskās specifikācijas un attiecīgos kritērijus;</w:t>
      </w:r>
    </w:p>
    <w:p>
      <w:pPr>
        <w:pStyle w:val="Point1"/>
        <w:rPr>
          <w:noProof/>
        </w:rPr>
      </w:pPr>
      <w:r>
        <w:rPr>
          <w:noProof/>
        </w:rPr>
        <w:t>d)</w:t>
      </w:r>
      <w:r>
        <w:rPr>
          <w:noProof/>
        </w:rPr>
        <w:tab/>
        <w:t>līguma projekts, kura pamatā ir līguma paraugs.</w:t>
      </w:r>
    </w:p>
    <w:p>
      <w:pPr>
        <w:pStyle w:val="Text1"/>
        <w:rPr>
          <w:noProof/>
        </w:rPr>
      </w:pPr>
      <w:r>
        <w:rPr>
          <w:noProof/>
        </w:rPr>
        <w:t>Pirmās daļas d) apakšpunktu nepiemēro gadījumiem, kad ārkārtas un pienācīgi pamatotu apstākļu dēļ līguma paraugu nevar izmantot.</w:t>
      </w:r>
    </w:p>
    <w:p>
      <w:pPr>
        <w:pStyle w:val="NumPar2"/>
        <w:rPr>
          <w:noProof/>
        </w:rPr>
      </w:pPr>
      <w:r>
        <w:rPr>
          <w:noProof/>
        </w:rPr>
        <w:t>Uzaicinājumā iesniegt piedāvājumus norāda:</w:t>
      </w:r>
    </w:p>
    <w:p>
      <w:pPr>
        <w:pStyle w:val="Point1"/>
        <w:rPr>
          <w:noProof/>
        </w:rPr>
      </w:pPr>
      <w:r>
        <w:rPr>
          <w:noProof/>
        </w:rPr>
        <w:t>a)</w:t>
      </w:r>
      <w:r>
        <w:rPr>
          <w:noProof/>
        </w:rPr>
        <w:tab/>
        <w:t>noteikumus, ar ko reglamentē piedāvājumu iesniegšanu, tostarp jo īpaši nosacījumus par to konfidencialitātes saglabāšanu līdz atvēršanai, pieteikumu pieņemšanas termiņu (datums un laiks) un adresi, uz kādu tie jāsūta vai jāpiegādā, vai interneta adresi, ja iesniegšana paredzēta elektroniski;</w:t>
      </w:r>
    </w:p>
    <w:p>
      <w:pPr>
        <w:pStyle w:val="Point1"/>
        <w:rPr>
          <w:noProof/>
        </w:rPr>
      </w:pPr>
      <w:r>
        <w:rPr>
          <w:noProof/>
        </w:rPr>
        <w:t>b)</w:t>
      </w:r>
      <w:r>
        <w:rPr>
          <w:noProof/>
        </w:rPr>
        <w:tab/>
        <w:t>ka piedāvājuma iesniegšana nozīmē piekrišanu iepirkuma procedūras dokumentos paredzētajiem noteikumiem un ka iesniegtais piedāvājums darbuzņēmējam, ar kuru tiek noslēgts līgums, tā izpildes laikā ir saistošs;</w:t>
      </w:r>
    </w:p>
    <w:p>
      <w:pPr>
        <w:pStyle w:val="Point1"/>
        <w:rPr>
          <w:noProof/>
        </w:rPr>
      </w:pPr>
      <w:r>
        <w:rPr>
          <w:noProof/>
        </w:rPr>
        <w:t>c)</w:t>
      </w:r>
      <w:r>
        <w:rPr>
          <w:noProof/>
        </w:rPr>
        <w:tab/>
        <w:t>laikposmu, kurā piedāvājums paliek spēkā un nekādā ziņā nevar tikt grozīts;</w:t>
      </w:r>
    </w:p>
    <w:p>
      <w:pPr>
        <w:pStyle w:val="Point1"/>
        <w:rPr>
          <w:noProof/>
        </w:rPr>
      </w:pPr>
      <w:r>
        <w:rPr>
          <w:noProof/>
        </w:rPr>
        <w:t>d)</w:t>
      </w:r>
      <w:r>
        <w:rPr>
          <w:noProof/>
        </w:rPr>
        <w:tab/>
        <w:t>aizliegumu par jebkādiem kontaktiem starp līgumslēdzēju iestādi un pretendentiem procedūras laikā, izņemot ārkārtējos gadījumos 163. pantā norādītajos apstākļos, un, ja noteikumi paredz apmeklējumu uz vietas, precizē apmeklējuma kārtību;</w:t>
      </w:r>
    </w:p>
    <w:p>
      <w:pPr>
        <w:pStyle w:val="Point1"/>
        <w:rPr>
          <w:noProof/>
        </w:rPr>
      </w:pPr>
      <w:r>
        <w:rPr>
          <w:noProof/>
        </w:rPr>
        <w:t>e)</w:t>
      </w:r>
      <w:r>
        <w:rPr>
          <w:noProof/>
        </w:rPr>
        <w:tab/>
        <w:t>pierādījumu veidu attiecībā uz atbilstību piedāvājuma pieņemšanas termiņam;</w:t>
      </w:r>
    </w:p>
    <w:p>
      <w:pPr>
        <w:pStyle w:val="Point1"/>
        <w:rPr>
          <w:noProof/>
        </w:rPr>
      </w:pPr>
      <w:r>
        <w:rPr>
          <w:noProof/>
        </w:rPr>
        <w:lastRenderedPageBreak/>
        <w:t>f)</w:t>
      </w:r>
      <w:r>
        <w:rPr>
          <w:noProof/>
        </w:rPr>
        <w:tab/>
        <w:t>ka piedāvājuma iesniegšana nozīmē piekrišanu elektroniski saņemt paziņojumu par procedūras rezultātiem.</w:t>
      </w:r>
    </w:p>
    <w:p>
      <w:pPr>
        <w:pStyle w:val="NumPar2"/>
        <w:rPr>
          <w:noProof/>
        </w:rPr>
      </w:pPr>
      <w:r>
        <w:rPr>
          <w:noProof/>
        </w:rPr>
        <w:t>Konkursa specifikācijās norāda:</w:t>
      </w:r>
    </w:p>
    <w:p>
      <w:pPr>
        <w:pStyle w:val="Point1"/>
        <w:rPr>
          <w:noProof/>
        </w:rPr>
      </w:pPr>
      <w:r>
        <w:rPr>
          <w:noProof/>
        </w:rPr>
        <w:t>a)</w:t>
      </w:r>
      <w:r>
        <w:rPr>
          <w:noProof/>
        </w:rPr>
        <w:tab/>
        <w:t>izslēgšanas un atlases kritērijus;</w:t>
      </w:r>
    </w:p>
    <w:p>
      <w:pPr>
        <w:pStyle w:val="Point1"/>
        <w:rPr>
          <w:noProof/>
        </w:rPr>
      </w:pPr>
      <w:r>
        <w:rPr>
          <w:noProof/>
        </w:rPr>
        <w:t>b)</w:t>
      </w:r>
      <w:r>
        <w:rPr>
          <w:noProof/>
        </w:rPr>
        <w:tab/>
        <w:t>līguma piešķiršanas kritērijus un to relatīvo svērumu vai, ja objektīvu iemeslu dēļ svēruma noteikšana nav iespējama, tos norāda dilstošā secībā pēc to svarīguma, kas attiecas arī uz variantiem, ja tie līguma paziņojumā ir atļauti;</w:t>
      </w:r>
    </w:p>
    <w:p>
      <w:pPr>
        <w:pStyle w:val="Point1"/>
        <w:rPr>
          <w:noProof/>
        </w:rPr>
      </w:pPr>
      <w:r>
        <w:rPr>
          <w:noProof/>
        </w:rPr>
        <w:t>c)</w:t>
      </w:r>
      <w:r>
        <w:rPr>
          <w:noProof/>
        </w:rPr>
        <w:tab/>
        <w:t>tehniskās specifikācijas, kas minētas 17. punktā;</w:t>
      </w:r>
    </w:p>
    <w:p>
      <w:pPr>
        <w:pStyle w:val="Point1"/>
        <w:rPr>
          <w:noProof/>
        </w:rPr>
      </w:pPr>
      <w:r>
        <w:rPr>
          <w:noProof/>
        </w:rPr>
        <w:t>d)</w:t>
      </w:r>
      <w:r>
        <w:rPr>
          <w:noProof/>
        </w:rPr>
        <w:tab/>
        <w:t>ja ir atļauti varianti, minimālās prasības, kas jāievēro;</w:t>
      </w:r>
    </w:p>
    <w:p>
      <w:pPr>
        <w:pStyle w:val="Point1"/>
        <w:rPr>
          <w:noProof/>
        </w:rPr>
      </w:pPr>
      <w:r>
        <w:rPr>
          <w:noProof/>
        </w:rPr>
        <w:t>e)</w:t>
      </w:r>
      <w:r>
        <w:rPr>
          <w:noProof/>
        </w:rPr>
        <w:tab/>
        <w:t>informāciju par to, vai piemēro Protokolu par Eiropas Savienības privilēģijām un neaizskaramību vai – attiecīgos gadījumos – Vīnes Konvenciju par diplomātiskajām attiecībām vai Vīnes Konvenciju par konsulārajām attiecībām;</w:t>
      </w:r>
    </w:p>
    <w:p>
      <w:pPr>
        <w:pStyle w:val="Point1"/>
        <w:rPr>
          <w:noProof/>
        </w:rPr>
      </w:pPr>
      <w:r>
        <w:rPr>
          <w:noProof/>
        </w:rPr>
        <w:t>f)</w:t>
      </w:r>
      <w:r>
        <w:rPr>
          <w:noProof/>
        </w:rPr>
        <w:tab/>
        <w:t>pierādījumus attiecībā uz piekļuvi iepirkuma procedūrām;</w:t>
      </w:r>
    </w:p>
    <w:p>
      <w:pPr>
        <w:pStyle w:val="Point1"/>
        <w:rPr>
          <w:noProof/>
        </w:rPr>
      </w:pPr>
      <w:r>
        <w:rPr>
          <w:noProof/>
        </w:rPr>
        <w:t>g)</w:t>
      </w:r>
      <w:r>
        <w:rPr>
          <w:noProof/>
        </w:rPr>
        <w:tab/>
        <w:t>attiecībā uz dinamisko iepirkumu sistēmu vai elektroniskajiem katalogiem – izmantojamo elektronisko aprīkojumu, pieslēguma tehnisko kārtību un nepieciešamās specifikācijas.</w:t>
      </w:r>
    </w:p>
    <w:p>
      <w:pPr>
        <w:pStyle w:val="NumPar2"/>
        <w:rPr>
          <w:noProof/>
        </w:rPr>
      </w:pPr>
      <w:r>
        <w:rPr>
          <w:noProof/>
        </w:rPr>
        <w:t>Līguma projektā norāda:</w:t>
      </w:r>
    </w:p>
    <w:p>
      <w:pPr>
        <w:pStyle w:val="Point1"/>
        <w:rPr>
          <w:noProof/>
        </w:rPr>
      </w:pPr>
      <w:r>
        <w:rPr>
          <w:noProof/>
        </w:rPr>
        <w:t>a)</w:t>
      </w:r>
      <w:r>
        <w:rPr>
          <w:noProof/>
        </w:rPr>
        <w:tab/>
        <w:t>līgumsodu par līguma noteikumu neievērošanu;</w:t>
      </w:r>
    </w:p>
    <w:p>
      <w:pPr>
        <w:pStyle w:val="Point1"/>
        <w:rPr>
          <w:noProof/>
        </w:rPr>
      </w:pPr>
      <w:r>
        <w:rPr>
          <w:noProof/>
        </w:rPr>
        <w:t>b)</w:t>
      </w:r>
      <w:r>
        <w:rPr>
          <w:noProof/>
        </w:rPr>
        <w:tab/>
        <w:t>rekvizītus, kam jābūt ietvertiem rēķinos un attiecīgajos apliecinošajos dokumentos saskaņā ar 109. pantu;</w:t>
      </w:r>
    </w:p>
    <w:p>
      <w:pPr>
        <w:pStyle w:val="Point1"/>
        <w:rPr>
          <w:noProof/>
        </w:rPr>
      </w:pPr>
      <w:r>
        <w:rPr>
          <w:noProof/>
        </w:rPr>
        <w:t>c)</w:t>
      </w:r>
      <w:r>
        <w:rPr>
          <w:noProof/>
        </w:rPr>
        <w:tab/>
        <w:t>ka gadījumos, kad iestādes piešķir līgumus savā vārdā, tiesību akti, kas attiecas uz līgumu, ir Savienības tiesību akti, kurus vajadzības gadījumā papildina valsts tiesību akti, vai, ja nepieciešams attiecībā uz ēku līgumiem, vienīgi valsts tiesību akti;</w:t>
      </w:r>
    </w:p>
    <w:p>
      <w:pPr>
        <w:pStyle w:val="Point1"/>
        <w:rPr>
          <w:noProof/>
        </w:rPr>
      </w:pPr>
      <w:r>
        <w:rPr>
          <w:noProof/>
        </w:rPr>
        <w:t>d)</w:t>
      </w:r>
      <w:r>
        <w:rPr>
          <w:noProof/>
        </w:rPr>
        <w:tab/>
        <w:t>tiesu, kas ir kompetenta izskatīt strīdus;</w:t>
      </w:r>
    </w:p>
    <w:p>
      <w:pPr>
        <w:pStyle w:val="Point1"/>
        <w:rPr>
          <w:noProof/>
        </w:rPr>
      </w:pPr>
      <w:r>
        <w:rPr>
          <w:noProof/>
        </w:rPr>
        <w:t>e)</w:t>
      </w:r>
      <w:r>
        <w:rPr>
          <w:noProof/>
        </w:rPr>
        <w:tab/>
        <w:t>ka darbuzņēmējs ievēro piemērojamās saistības vides, sociālo un darba tiesību jomā, kas noteiktas Savienības tiesību aktos, valsts tiesību aktos, koplīgumos vai starptautiskajos vides, sociālo un darba tiesību noteikumos, kuri uzskaitīti Direktīvas 2014/24/ES X pielikumā;</w:t>
      </w:r>
    </w:p>
    <w:p>
      <w:pPr>
        <w:pStyle w:val="Point1"/>
        <w:rPr>
          <w:noProof/>
        </w:rPr>
      </w:pPr>
      <w:r>
        <w:rPr>
          <w:noProof/>
        </w:rPr>
        <w:t>f)</w:t>
      </w:r>
      <w:r>
        <w:rPr>
          <w:noProof/>
        </w:rPr>
        <w:tab/>
        <w:t>vai būs vajadzīga intelektuālā īpašuma tiesību nodošana;</w:t>
      </w:r>
    </w:p>
    <w:p>
      <w:pPr>
        <w:pStyle w:val="Point1"/>
        <w:rPr>
          <w:noProof/>
        </w:rPr>
      </w:pPr>
      <w:r>
        <w:rPr>
          <w:noProof/>
        </w:rPr>
        <w:t>g)</w:t>
      </w:r>
      <w:r>
        <w:rPr>
          <w:noProof/>
        </w:rPr>
        <w:tab/>
        <w:t>ka cenas, kas ietvertas piedāvājumos, ir stingri noteiktas un tās nevar pārskatīt, vai paredz nosacījumus un/vai formulas cenu pārskatīšanai līguma darbības laikā.</w:t>
      </w:r>
    </w:p>
    <w:p>
      <w:pPr>
        <w:pStyle w:val="Text2"/>
        <w:rPr>
          <w:noProof/>
        </w:rPr>
      </w:pPr>
      <w:r>
        <w:rPr>
          <w:noProof/>
        </w:rPr>
        <w:t>Attiecībā uz pirmās daļas g) apakšpunktu, ja līgumā ir paredzēta cenu pārskatīšana, līgumslēdzēja iestāde jo īpaši ņem vērā:</w:t>
      </w:r>
    </w:p>
    <w:p>
      <w:pPr>
        <w:pStyle w:val="Point2"/>
        <w:rPr>
          <w:noProof/>
        </w:rPr>
      </w:pPr>
      <w:r>
        <w:rPr>
          <w:noProof/>
        </w:rPr>
        <w:t>i)</w:t>
      </w:r>
      <w:r>
        <w:rPr>
          <w:noProof/>
        </w:rPr>
        <w:tab/>
        <w:t>iepirkuma procedūras priekšmetu un ekonomisko situāciju, kurā šī procedūra notiek;</w:t>
      </w:r>
    </w:p>
    <w:p>
      <w:pPr>
        <w:pStyle w:val="Point2"/>
        <w:rPr>
          <w:noProof/>
        </w:rPr>
      </w:pPr>
      <w:r>
        <w:rPr>
          <w:noProof/>
        </w:rPr>
        <w:t>ii)</w:t>
      </w:r>
      <w:r>
        <w:rPr>
          <w:noProof/>
        </w:rPr>
        <w:tab/>
        <w:t>līguma veidu, uzdevumus un līguma ilgumu;</w:t>
      </w:r>
    </w:p>
    <w:p>
      <w:pPr>
        <w:pStyle w:val="Point2"/>
        <w:rPr>
          <w:noProof/>
        </w:rPr>
      </w:pPr>
      <w:r>
        <w:rPr>
          <w:noProof/>
        </w:rPr>
        <w:t>iii)</w:t>
      </w:r>
      <w:r>
        <w:rPr>
          <w:noProof/>
        </w:rPr>
        <w:tab/>
        <w:t>savas finansiālās intereses.</w:t>
      </w:r>
    </w:p>
    <w:p>
      <w:pPr>
        <w:pStyle w:val="Text1"/>
        <w:rPr>
          <w:noProof/>
        </w:rPr>
      </w:pPr>
      <w:r>
        <w:rPr>
          <w:noProof/>
        </w:rPr>
        <w:lastRenderedPageBreak/>
        <w:t>Pirmās daļas c) un d) apakšpunkta noteikumus var atcelt attiecībā uz līgumiem, kas parakstīti saskaņā ar 11.1. punkta m) apakšpunktu.</w:t>
      </w:r>
    </w:p>
    <w:p>
      <w:pPr>
        <w:pStyle w:val="NumPar1"/>
        <w:rPr>
          <w:b/>
          <w:noProof/>
        </w:rPr>
      </w:pPr>
      <w:r>
        <w:rPr>
          <w:b/>
          <w:noProof/>
        </w:rPr>
        <w:t>Tehniskās specifikācijas</w:t>
      </w:r>
    </w:p>
    <w:p>
      <w:pPr>
        <w:pStyle w:val="NumPar2"/>
        <w:rPr>
          <w:noProof/>
        </w:rPr>
      </w:pPr>
      <w:r>
        <w:rPr>
          <w:noProof/>
        </w:rPr>
        <w:t>Tehniskās specifikācijas visiem ekonomikas dalībniekiem sniedz vienlīdzīgu piekļuvi iepirkuma procedūrām, un to rezultātā netiek radīti nepamatoti šķēršļi iepirkuma atvēršanai konkurencei.</w:t>
      </w:r>
    </w:p>
    <w:p>
      <w:pPr>
        <w:pStyle w:val="Text1"/>
        <w:rPr>
          <w:noProof/>
        </w:rPr>
      </w:pPr>
      <w:r>
        <w:rPr>
          <w:noProof/>
        </w:rPr>
        <w:t>Tehniskajās specifikācijās iekļauj nepieciešamos raksturlielumus attiecībā uz būvdarbiem, piegādēm vai pakalpojumiem, tostarp minimālās prasības, lai šie būvdarbi, piegādes vai pakalpojumi atbilstu līgumslēdzējas iestādes paredzētajiem mērķiem.</w:t>
      </w:r>
    </w:p>
    <w:p>
      <w:pPr>
        <w:pStyle w:val="NumPar2"/>
        <w:rPr>
          <w:noProof/>
        </w:rPr>
      </w:pPr>
      <w:r>
        <w:rPr>
          <w:noProof/>
        </w:rPr>
        <w:t>17.1. punktā minētajos raksturlielumos var pēc vajadzības iekļaut:</w:t>
      </w:r>
    </w:p>
    <w:p>
      <w:pPr>
        <w:pStyle w:val="Point1"/>
        <w:rPr>
          <w:noProof/>
        </w:rPr>
      </w:pPr>
      <w:r>
        <w:rPr>
          <w:noProof/>
        </w:rPr>
        <w:t>a)</w:t>
      </w:r>
      <w:r>
        <w:rPr>
          <w:noProof/>
        </w:rPr>
        <w:tab/>
        <w:t>kvalitātes līmeni;</w:t>
      </w:r>
    </w:p>
    <w:p>
      <w:pPr>
        <w:pStyle w:val="Point1"/>
        <w:rPr>
          <w:noProof/>
        </w:rPr>
      </w:pPr>
      <w:r>
        <w:rPr>
          <w:noProof/>
        </w:rPr>
        <w:t>b)</w:t>
      </w:r>
      <w:r>
        <w:rPr>
          <w:noProof/>
        </w:rPr>
        <w:tab/>
        <w:t>ekoloģiskos un klimata raksturlielumus;</w:t>
      </w:r>
    </w:p>
    <w:p>
      <w:pPr>
        <w:pStyle w:val="Point1"/>
        <w:rPr>
          <w:noProof/>
        </w:rPr>
      </w:pPr>
      <w:r>
        <w:rPr>
          <w:noProof/>
        </w:rPr>
        <w:t>c)</w:t>
      </w:r>
      <w:r>
        <w:rPr>
          <w:noProof/>
        </w:rPr>
        <w:tab/>
        <w:t>pirkumiem, kas paredzēti lietošanai fiziskām personām, – piekļuves kritērijus personām ar invaliditāti vai projektēšanu visu lietotāju ērtībām, izņemot pienācīgi pamatotos gadījumos;</w:t>
      </w:r>
    </w:p>
    <w:p>
      <w:pPr>
        <w:pStyle w:val="Point1"/>
        <w:rPr>
          <w:noProof/>
        </w:rPr>
      </w:pPr>
      <w:r>
        <w:rPr>
          <w:noProof/>
        </w:rPr>
        <w:t>d)</w:t>
      </w:r>
      <w:r>
        <w:rPr>
          <w:noProof/>
        </w:rPr>
        <w:tab/>
        <w:t>atbilstības novērtēšanas līmeņus un procedūras;</w:t>
      </w:r>
    </w:p>
    <w:p>
      <w:pPr>
        <w:pStyle w:val="Point1"/>
        <w:rPr>
          <w:noProof/>
        </w:rPr>
      </w:pPr>
      <w:r>
        <w:rPr>
          <w:noProof/>
        </w:rPr>
        <w:t>e)</w:t>
      </w:r>
      <w:r>
        <w:rPr>
          <w:noProof/>
        </w:rPr>
        <w:tab/>
        <w:t>piegādes veiktspēju vai pielietojumu;</w:t>
      </w:r>
    </w:p>
    <w:p>
      <w:pPr>
        <w:pStyle w:val="Point1"/>
        <w:rPr>
          <w:noProof/>
        </w:rPr>
      </w:pPr>
      <w:r>
        <w:rPr>
          <w:noProof/>
        </w:rPr>
        <w:t>f)</w:t>
      </w:r>
      <w:r>
        <w:rPr>
          <w:noProof/>
        </w:rPr>
        <w:tab/>
        <w:t>nekaitīgumu vai izmērus, tostarp piegādēm – tirdzniecības nosaukumu un instrukcijas lietotājiem, bet visiem līgumiem – terminoloģiju, simbolus, testēšanu un testēšanas metodes, iepakojumu, zīmes un marķējumu, ražošanas procesus un paņēmienus;</w:t>
      </w:r>
    </w:p>
    <w:p>
      <w:pPr>
        <w:pStyle w:val="Point1"/>
        <w:rPr>
          <w:noProof/>
        </w:rPr>
      </w:pPr>
      <w:r>
        <w:rPr>
          <w:noProof/>
        </w:rPr>
        <w:t>g)</w:t>
      </w:r>
      <w:r>
        <w:rPr>
          <w:noProof/>
        </w:rPr>
        <w:tab/>
        <w:t>būvdarbu līgumiem – procedūras, kas attiecas uz kvalitātes nodrošināšanu, un noteikumus, kas attiecas uz projektēšanu un tāmēšanu, būvju testēšanas, inspekcijas un pieņemšanas nosacījumus, būvniecības metodes vai paņēmienus un visus citus tehniskos nosacījumus, kurus līgumslēdzēja iestāde saskaņā ar vispārīgiem vai īpašiem noteikumiem var noteikt pabeigtām būvēm un tajās izmantotajiem materiāliem vai daļām.</w:t>
      </w:r>
    </w:p>
    <w:p>
      <w:pPr>
        <w:pStyle w:val="NumPar2"/>
        <w:rPr>
          <w:noProof/>
        </w:rPr>
      </w:pPr>
      <w:r>
        <w:rPr>
          <w:noProof/>
        </w:rPr>
        <w:t>Tehniskās specifikācijas formulē kādā no šādiem veidiem:</w:t>
      </w:r>
    </w:p>
    <w:p>
      <w:pPr>
        <w:pStyle w:val="Point1"/>
        <w:rPr>
          <w:noProof/>
        </w:rPr>
      </w:pPr>
      <w:r>
        <w:rPr>
          <w:noProof/>
        </w:rPr>
        <w:t>a)</w:t>
      </w:r>
      <w:r>
        <w:rPr>
          <w:noProof/>
        </w:rPr>
        <w:tab/>
        <w:t>prioritārā secībā, atsaucoties uz Eiropas standartiem, Eiropas tehniskajiem novērtējumiem, kopējām tehniskajām specifikācijām, starptautiskiem standartiem, citām tehnisko atsauču sistēmām, ko noteikušas Eiropas standartizācijas struktūras, vai, ja to nav, tad to ekvivalentiem valstīs; katrā atsaucē iekļauj vārdus “vai līdzvērtīgs”;</w:t>
      </w:r>
    </w:p>
    <w:p>
      <w:pPr>
        <w:pStyle w:val="Point1"/>
        <w:rPr>
          <w:noProof/>
        </w:rPr>
      </w:pPr>
      <w:r>
        <w:rPr>
          <w:noProof/>
        </w:rPr>
        <w:t>b)</w:t>
      </w:r>
      <w:r>
        <w:rPr>
          <w:noProof/>
        </w:rPr>
        <w:tab/>
        <w:t>atbilstoši darbības rezultātiem vai funkcionālajām prasībām, ietverot vides raksturlielumus, ar noteikumu, ka šie parametri ir pietiekami precīzi, lai pretendenti varētu noteikt līguma priekšmetu un lai līgumslēdzēja iestāde varētu piešķirt līgumslēgšanas tiesības;</w:t>
      </w:r>
    </w:p>
    <w:p>
      <w:pPr>
        <w:pStyle w:val="Point1"/>
        <w:rPr>
          <w:noProof/>
        </w:rPr>
      </w:pPr>
      <w:r>
        <w:rPr>
          <w:noProof/>
        </w:rPr>
        <w:t>c)</w:t>
      </w:r>
      <w:r>
        <w:rPr>
          <w:noProof/>
        </w:rPr>
        <w:tab/>
        <w:t>kā abu metožu, kas noteiktas a) un b) apakšpunktā, kombināciju.</w:t>
      </w:r>
    </w:p>
    <w:p>
      <w:pPr>
        <w:pStyle w:val="NumPar2"/>
        <w:rPr>
          <w:noProof/>
        </w:rPr>
      </w:pPr>
      <w:r>
        <w:rPr>
          <w:noProof/>
        </w:rPr>
        <w:t xml:space="preserve">Ja līgumslēdzēja iestāde specifikācijām izmanto 17.3. punkta a) apakšpunktā  paredzēto iespēju norādīt atsauces, tā nenoraida piedāvājumu tāpēc, ka tas neatbilst minētajām specifikācijām, ja pretendents, izmantojot jebkādus piemērotus līdzekļus, </w:t>
      </w:r>
      <w:r>
        <w:rPr>
          <w:noProof/>
        </w:rPr>
        <w:lastRenderedPageBreak/>
        <w:t>pierāda, ka piedāvātais risinājums līdzvērtīgi nodrošina tehnisko specifikāciju prasību izpildi.</w:t>
      </w:r>
    </w:p>
    <w:p>
      <w:pPr>
        <w:pStyle w:val="NumPar2"/>
        <w:rPr>
          <w:noProof/>
        </w:rPr>
      </w:pPr>
      <w:r>
        <w:rPr>
          <w:noProof/>
        </w:rPr>
        <w:t>Ja līgumslēdzēja iestāde izmanto 17.3. punkta b) apakšpunktā noteikto iespēju tehniskās specifikācijas formulēt atbilstoši darbības rezultātiem vai funkcionālajām prasībām, tad tā nenoraida piedāvājumu, kas atbilst valsts standartam, ar ko transponēts Eiropas standarts, Eiropas tehniskajam apstiprinājumam, kopējām tehniskajām specifikācijām, starptautiskam standartam vai Eiropas standartizācijas struktūras noteiktajām tehnisko atsauču sistēmām, ja minētās specifikācijas atbilst tās noteiktajiem darbības rezultātiem vai funkcionālajām prasībām.</w:t>
      </w:r>
    </w:p>
    <w:p>
      <w:pPr>
        <w:pStyle w:val="Text1"/>
        <w:rPr>
          <w:noProof/>
        </w:rPr>
      </w:pPr>
      <w:r>
        <w:rPr>
          <w:noProof/>
        </w:rPr>
        <w:t>Pretendents jebkurā piemērotā veidā pierāda, ka standartam atbilstīgie būvdarbi, piegādes vai pakalpojumi atbilst darbības rezultātiem vai funkcionālajām prasībām, ko noteikusi līgumslēdzēja iestāde.</w:t>
      </w:r>
    </w:p>
    <w:p>
      <w:pPr>
        <w:pStyle w:val="NumPar2"/>
        <w:rPr>
          <w:noProof/>
        </w:rPr>
      </w:pPr>
      <w:r>
        <w:rPr>
          <w:noProof/>
        </w:rPr>
        <w:t>Ja līgumslēdzēja iestāde plāno iegādāties būvdarbus, piegādes vai pakalpojumus ar konkrētiem vides, sociāliem vai citiem raksturlielumiem, tā var prasīt īpašu marķējumu vai izvirzīt marķējumam īpašas prasības, ja ir ievēroti visi turpmākie uzskaitītie nosacījumi:</w:t>
      </w:r>
    </w:p>
    <w:p>
      <w:pPr>
        <w:pStyle w:val="Point1"/>
        <w:rPr>
          <w:noProof/>
        </w:rPr>
      </w:pPr>
      <w:r>
        <w:rPr>
          <w:noProof/>
        </w:rPr>
        <w:t>a)</w:t>
      </w:r>
      <w:r>
        <w:rPr>
          <w:noProof/>
        </w:rPr>
        <w:tab/>
        <w:t>marķējuma prasības attiecas tikai uz kritērijiem, kas ir saistīti ar līguma priekšmetu, un ir piemērotas pirkuma raksturlielumu noteikšanai;</w:t>
      </w:r>
    </w:p>
    <w:p>
      <w:pPr>
        <w:pStyle w:val="Point1"/>
        <w:rPr>
          <w:noProof/>
        </w:rPr>
      </w:pPr>
      <w:r>
        <w:rPr>
          <w:noProof/>
        </w:rPr>
        <w:t>b)</w:t>
      </w:r>
      <w:r>
        <w:rPr>
          <w:noProof/>
        </w:rPr>
        <w:tab/>
        <w:t>marķējuma prasības balstās uz objektīvi pārbaudāmiem un nediskriminējošiem kritērijiem;</w:t>
      </w:r>
    </w:p>
    <w:p>
      <w:pPr>
        <w:pStyle w:val="Point1"/>
        <w:rPr>
          <w:noProof/>
        </w:rPr>
      </w:pPr>
      <w:r>
        <w:rPr>
          <w:noProof/>
        </w:rPr>
        <w:t>c)</w:t>
      </w:r>
      <w:r>
        <w:rPr>
          <w:noProof/>
        </w:rPr>
        <w:tab/>
        <w:t>marķējumi ir noteikti atklātā un pārredzamā procedūrā, kurā var piedalīties visas attiecīgās ieinteresētās personas;</w:t>
      </w:r>
    </w:p>
    <w:p>
      <w:pPr>
        <w:pStyle w:val="Point1"/>
        <w:rPr>
          <w:noProof/>
        </w:rPr>
      </w:pPr>
      <w:r>
        <w:rPr>
          <w:noProof/>
        </w:rPr>
        <w:t>d)</w:t>
      </w:r>
      <w:r>
        <w:rPr>
          <w:noProof/>
        </w:rPr>
        <w:tab/>
        <w:t>marķējumi ir pieejami visām ieinteresētajām personām;</w:t>
      </w:r>
    </w:p>
    <w:p>
      <w:pPr>
        <w:pStyle w:val="Point1"/>
        <w:rPr>
          <w:noProof/>
        </w:rPr>
      </w:pPr>
      <w:r>
        <w:rPr>
          <w:noProof/>
        </w:rPr>
        <w:t>e)</w:t>
      </w:r>
      <w:r>
        <w:rPr>
          <w:noProof/>
        </w:rPr>
        <w:tab/>
        <w:t>marķējuma prasības nosaka trešā persona, uz kuru ekonomikas dalībniekam, kurš piesakās marķējuma saņemšanai, nav izšķirošas ietekmes.</w:t>
      </w:r>
    </w:p>
    <w:p>
      <w:pPr>
        <w:pStyle w:val="Text1"/>
        <w:rPr>
          <w:noProof/>
        </w:rPr>
      </w:pPr>
      <w:r>
        <w:rPr>
          <w:noProof/>
        </w:rPr>
        <w:t>Līgumslēdzēja iestāde var prasīt, lai nolūkā pierādīt atbilstību iepirkuma procedūras dokumentiem ekonomikas dalībnieki iesniegtu testa ziņojumu vai sertifikātu, ko izsniegusi atbilstības novērtēšanas struktūra, kas ir akreditēta saskaņā ar Eiropas Parlamenta un Padomes Regulu (EK) Nr. 765/2008</w:t>
      </w:r>
      <w:r>
        <w:rPr>
          <w:rStyle w:val="FootnoteReference"/>
          <w:noProof/>
        </w:rPr>
        <w:footnoteReference w:id="6"/>
      </w:r>
      <w:r>
        <w:rPr>
          <w:noProof/>
        </w:rPr>
        <w:t>, vai līdzvērtīga atbilstības novērtēšanas struktūra.</w:t>
      </w:r>
    </w:p>
    <w:p>
      <w:pPr>
        <w:pStyle w:val="NumPar2"/>
        <w:rPr>
          <w:noProof/>
        </w:rPr>
      </w:pPr>
      <w:r>
        <w:rPr>
          <w:noProof/>
        </w:rPr>
        <w:t>Līgumslēdzēja iestāde pieņem jebkuru citu piemērotu pierādījumu veidu, atšķirīgu no 17.6. punktā minētā, piemēram, ražotāja tehnisko dokumentāciju, ja attiecīgajam ekonomikas dalībniekam nebija piekļuves minētajiem sertifikātiem vai testa ziņojumiem vai ja nav iespējams iegūt tos vai saņemt īpašu marķējumu attiecīgajos termiņos tādu iemeslu dēļ, par kuriem šis ekonomikas dalībnieks nav atbildīgs, un ja attiecīgais ekonomikas dalībnieks pierāda, ka būvdarbi, piegādes vai pakalpojumi atbilst īpašā marķējuma prasībām vai īpašajām līgumslēdzējas iestādes norādītajām prasībām.</w:t>
      </w:r>
    </w:p>
    <w:p>
      <w:pPr>
        <w:pStyle w:val="NumPar2"/>
        <w:rPr>
          <w:noProof/>
        </w:rPr>
      </w:pPr>
      <w:r>
        <w:rPr>
          <w:noProof/>
        </w:rPr>
        <w:lastRenderedPageBreak/>
        <w:t>Izņemot tad, ja līguma priekšmets to attaisno, tehniskajās specifikācijās nemin konkrētus ražotājus vai avotus vai konkrētus procesus, kuri raksturo kāda konkrēta ekonomikas dalībnieka nodrošinātos produktus vai pakalpojumus, vai preču zīmes, patentus, tipus, konkrētu izcelsmi vai ražošanas veidu, kas dažiem produktiem vai ekonomikas dalībniekiem var nodrošināt priekšrocības vai izraisīt to izslēgšanu.</w:t>
      </w:r>
    </w:p>
    <w:p>
      <w:pPr>
        <w:pStyle w:val="Text1"/>
        <w:rPr>
          <w:noProof/>
        </w:rPr>
      </w:pPr>
      <w:r>
        <w:rPr>
          <w:noProof/>
        </w:rPr>
        <w:t>Izņēmuma gadījumos šādu norādi var atļaut, ja nav iespējams sagatavot pietiekami detalizētu un skaidru līguma priekšmeta aprakstu. Tādā gadījumā norādi lieto kopā ar vārdiem “vai līdzvērtīgs”.</w:t>
      </w:r>
    </w:p>
    <w:p>
      <w:pPr>
        <w:pStyle w:val="NumPar1"/>
        <w:rPr>
          <w:b/>
          <w:noProof/>
        </w:rPr>
      </w:pPr>
      <w:r>
        <w:rPr>
          <w:b/>
          <w:noProof/>
        </w:rPr>
        <w:t>Izslēgšanas un atlases kritēriji</w:t>
      </w:r>
    </w:p>
    <w:p>
      <w:pPr>
        <w:pStyle w:val="NumPar2"/>
        <w:rPr>
          <w:noProof/>
        </w:rPr>
      </w:pPr>
      <w:r>
        <w:rPr>
          <w:noProof/>
        </w:rPr>
        <w:t>Piemērojot 133. pantu, līgumslēdzēja iestāde pieņem Eiropas vienoto iepirkuma procedūras dokumentu (</w:t>
      </w:r>
      <w:r>
        <w:rPr>
          <w:i/>
          <w:noProof/>
        </w:rPr>
        <w:t>ESPD</w:t>
      </w:r>
      <w:r>
        <w:rPr>
          <w:noProof/>
        </w:rPr>
        <w:t xml:space="preserve">), kas minēts Direktīvā 2014/24/ES, vai, ja tas nav iespējams, – parakstītu un datētu apliecinājumu ar godavārdu. </w:t>
      </w:r>
    </w:p>
    <w:p>
      <w:pPr>
        <w:pStyle w:val="Text1"/>
        <w:rPr>
          <w:noProof/>
        </w:rPr>
      </w:pPr>
      <w:r>
        <w:rPr>
          <w:noProof/>
        </w:rPr>
        <w:t xml:space="preserve">Ekonomikas dalībnieks var vēlreiz izmantot </w:t>
      </w:r>
      <w:r>
        <w:rPr>
          <w:i/>
          <w:noProof/>
        </w:rPr>
        <w:t>ESPD</w:t>
      </w:r>
      <w:r>
        <w:rPr>
          <w:noProof/>
        </w:rPr>
        <w:t xml:space="preserve">, kas jau ir izmantots kādā no iepriekšējām iepirkuma procedūrām, ja tas apliecina, ka šajā dokumentā iekļautā informācija joprojām ir pareiza. </w:t>
      </w:r>
    </w:p>
    <w:p>
      <w:pPr>
        <w:pStyle w:val="NumPar2"/>
        <w:rPr>
          <w:noProof/>
        </w:rPr>
      </w:pPr>
      <w:r>
        <w:rPr>
          <w:noProof/>
        </w:rPr>
        <w:t>Līgumslēdzēja iestāde iepirkuma procedūras dokumentos norāda atlases kritērijus, minimālo spēju līmeni un pierādījumus, kas nepieciešami šo spēju apliecināšanai. Visas prasības ir saistītas un samērīgas ar līguma priekšmetu.</w:t>
      </w:r>
    </w:p>
    <w:p>
      <w:pPr>
        <w:pStyle w:val="Text1"/>
        <w:rPr>
          <w:noProof/>
        </w:rPr>
      </w:pPr>
      <w:r>
        <w:rPr>
          <w:noProof/>
        </w:rPr>
        <w:t>Līgumslēdzēja iestāde iepirkuma procedūras dokumentos norāda veidu, kādā atlases kritēriji ir izpildāmi ekonomikas dalībnieku grupām, ņemot vērā 18.6. punktu.</w:t>
      </w:r>
    </w:p>
    <w:p>
      <w:pPr>
        <w:pStyle w:val="Text1"/>
        <w:rPr>
          <w:noProof/>
        </w:rPr>
      </w:pPr>
      <w:r>
        <w:rPr>
          <w:noProof/>
        </w:rPr>
        <w:t>Ja līguma sadala daļās, līgumslēdzēja iestāde var noteikt minimālos spēju līmeņus katrai daļai. Tā var noteikt papildu minimālos spēju līmeņus gadījumā, ja vienam un tam pašam darbuzņēmējam piešķir vairākas daļas.</w:t>
      </w:r>
    </w:p>
    <w:p>
      <w:pPr>
        <w:pStyle w:val="NumPar2"/>
        <w:rPr>
          <w:noProof/>
        </w:rPr>
      </w:pPr>
      <w:r>
        <w:rPr>
          <w:noProof/>
        </w:rPr>
        <w:t>Attiecībā uz spējām veikt profesionālo darbību līgumslēdzēja iestāde var prasīt, lai ekonomikas dalībnieks atbilstu vismaz vienam no šādiem nosacījumiem:</w:t>
      </w:r>
    </w:p>
    <w:p>
      <w:pPr>
        <w:pStyle w:val="Point1"/>
        <w:rPr>
          <w:noProof/>
        </w:rPr>
      </w:pPr>
      <w:r>
        <w:rPr>
          <w:noProof/>
        </w:rPr>
        <w:t>a)</w:t>
      </w:r>
      <w:r>
        <w:rPr>
          <w:noProof/>
        </w:rPr>
        <w:tab/>
        <w:t>tas ir iekļauts attiecīgā profesionālā reģistrā vai komercreģistrā; izņēmums ir starptautiskās organizācijas;</w:t>
      </w:r>
    </w:p>
    <w:p>
      <w:pPr>
        <w:pStyle w:val="Point1"/>
        <w:rPr>
          <w:i/>
          <w:noProof/>
        </w:rPr>
      </w:pPr>
      <w:r>
        <w:rPr>
          <w:noProof/>
        </w:rPr>
        <w:t>b)</w:t>
      </w:r>
      <w:r>
        <w:rPr>
          <w:noProof/>
        </w:rPr>
        <w:tab/>
        <w:t>attiecībā uz pakalpojumu līgumiem – tam ir īpaša atļauja, kas apliecina, ka tam ir atļauts izpildīt līgumu reģistrācijas valstī vai ka tas ir kādas konkrētas profesionālās organizācijas biedrs.</w:t>
      </w:r>
    </w:p>
    <w:p>
      <w:pPr>
        <w:pStyle w:val="NumPar2"/>
        <w:rPr>
          <w:noProof/>
        </w:rPr>
      </w:pPr>
      <w:r>
        <w:rPr>
          <w:noProof/>
        </w:rPr>
        <w:t xml:space="preserve">Saņemot dalības pieteikumus vai piedāvājumus, līgumslēdzēja iestāde pieņem </w:t>
      </w:r>
      <w:r>
        <w:rPr>
          <w:i/>
          <w:noProof/>
        </w:rPr>
        <w:t>ESPD</w:t>
      </w:r>
      <w:r>
        <w:rPr>
          <w:noProof/>
        </w:rPr>
        <w:t xml:space="preserve"> vai pretējā gadījumā – apliecinājumu ar godavārdu, ka kandidāts vai pretendents atbilst atlases kritērijiem. Prasību iesniegt </w:t>
      </w:r>
      <w:r>
        <w:rPr>
          <w:i/>
          <w:noProof/>
        </w:rPr>
        <w:t>ESPD</w:t>
      </w:r>
      <w:r>
        <w:rPr>
          <w:noProof/>
        </w:rPr>
        <w:t xml:space="preserve"> vai apliecinājumu ar godavārdu var atcelt attiecībā uz ļoti zemas vērtības līgumiem. </w:t>
      </w:r>
    </w:p>
    <w:p>
      <w:pPr>
        <w:pStyle w:val="Text1"/>
        <w:rPr>
          <w:noProof/>
        </w:rPr>
      </w:pPr>
      <w:r>
        <w:rPr>
          <w:noProof/>
        </w:rPr>
        <w:t>Līgumslēdzēja iestāde jebkurā brīdī procedūras laikā var lūgt pretendentiem un kandidātiem iesniegt atjauninātu apliecinājumu vai visus apliecinošos dokumentus, vai daļu no tiem, ja tas ir nepieciešams, lai nodrošinātu procedūras pareizu norisi.</w:t>
      </w:r>
    </w:p>
    <w:p>
      <w:pPr>
        <w:pStyle w:val="Text1"/>
        <w:rPr>
          <w:noProof/>
        </w:rPr>
      </w:pPr>
      <w:r>
        <w:rPr>
          <w:noProof/>
        </w:rPr>
        <w:t>Līgumslēdzēja iestāde pieprasa, lai kandidāti vai izraudzītais pretendents iesniegtu atjauninātus apliecinošos dokumentus, izņemot, ja tā jau tos ir saņēmusi citas procedūras vajadzībām un ja dokumenti joprojām atspoguļo jaunāko informāciju, vai tā var tiem piekļūt bez maksas valsts datubāzē.</w:t>
      </w:r>
    </w:p>
    <w:p>
      <w:pPr>
        <w:pStyle w:val="NumPar2"/>
        <w:rPr>
          <w:noProof/>
        </w:rPr>
      </w:pPr>
      <w:r>
        <w:rPr>
          <w:noProof/>
        </w:rPr>
        <w:lastRenderedPageBreak/>
        <w:t>Līgumslēdzēja iestāde var, balstoties uz tās veikto risku novērtējumu, izlemt neprasīt pierādījumus par ekonomikas dalībnieku juridiskajām, regulatīvajām, finansiālajām, saimnieciskajām, tehniskajām un profesionālajām spējām šādos gadījumos:</w:t>
      </w:r>
    </w:p>
    <w:p>
      <w:pPr>
        <w:pStyle w:val="Point1"/>
        <w:rPr>
          <w:noProof/>
        </w:rPr>
      </w:pPr>
      <w:r>
        <w:rPr>
          <w:noProof/>
        </w:rPr>
        <w:t>a)</w:t>
      </w:r>
      <w:r>
        <w:rPr>
          <w:noProof/>
        </w:rPr>
        <w:tab/>
        <w:t>procedūrās līgumiem, ko iestādes piešķir savā vārdā un kuru vērtība, nepārsniedz 169. panta 1. punktā noteikto vērtību;</w:t>
      </w:r>
    </w:p>
    <w:p>
      <w:pPr>
        <w:pStyle w:val="Point1"/>
        <w:rPr>
          <w:noProof/>
        </w:rPr>
      </w:pPr>
      <w:r>
        <w:rPr>
          <w:noProof/>
        </w:rPr>
        <w:t>b)</w:t>
      </w:r>
      <w:r>
        <w:rPr>
          <w:noProof/>
        </w:rPr>
        <w:tab/>
        <w:t>procedūrās ārējo darbību jomā piešķirtiem līgumiem, kuru vērtība nepārsniedz 172. panta 1. punktā norādītos robežlielumus;</w:t>
      </w:r>
    </w:p>
    <w:p>
      <w:pPr>
        <w:pStyle w:val="Point1"/>
        <w:rPr>
          <w:noProof/>
        </w:rPr>
      </w:pPr>
      <w:r>
        <w:rPr>
          <w:noProof/>
        </w:rPr>
        <w:t>c)</w:t>
      </w:r>
      <w:r>
        <w:rPr>
          <w:noProof/>
        </w:rPr>
        <w:tab/>
        <w:t>procedūrās saskaņā ar 11.1. punkta b) un e) apakšpunktu, f) apakšpunkta i) un iv) punktu, h) un m) apakšpunktu.</w:t>
      </w:r>
    </w:p>
    <w:p>
      <w:pPr>
        <w:pStyle w:val="Text1"/>
        <w:rPr>
          <w:noProof/>
        </w:rPr>
      </w:pPr>
      <w:r>
        <w:rPr>
          <w:noProof/>
        </w:rPr>
        <w:t xml:space="preserve">Ja līgumslēdzēja iestāde izlemj nepieprasīt pierādījumus par ekonomikas dalībnieku juridiskajām, regulatīvajām, finansiālajām, saimnieciskajām, tehniskajām un profesionālajām spējām, priekšfinansējumu nepiešķir, izņemot pienācīgi pamatotos gadījumos. </w:t>
      </w:r>
    </w:p>
    <w:p>
      <w:pPr>
        <w:pStyle w:val="NumPar2"/>
        <w:rPr>
          <w:noProof/>
        </w:rPr>
      </w:pPr>
      <w:r>
        <w:rPr>
          <w:noProof/>
        </w:rPr>
        <w:t>Ekonomikas dalībnieks vajadzības gadījumā un konkrētam līgumam var paļauties uz citu subjektu spējām neatkarīgi no to saikņu juridiskā rakstura, kādas šim ekonomikas dalībniekam ir ar šiem subjektiem. Šādā gadījumā ekonomikas dalībnieks pierāda līgumslēdzējai iestādei, ka tā rīcībā būs līguma izpildei nepieciešamie resursi, uzrādot minēto subjektu saistības šajā sakarībā.</w:t>
      </w:r>
    </w:p>
    <w:p>
      <w:pPr>
        <w:pStyle w:val="Text1"/>
        <w:rPr>
          <w:noProof/>
        </w:rPr>
      </w:pPr>
      <w:r>
        <w:rPr>
          <w:noProof/>
        </w:rPr>
        <w:t>Attiecībā uz tehniskajiem un profesionālajiem kritērijiem ekonomikas dalībnieks var paļauties uz citu subjektu spējām tikai tad, ja šie subjekti veiks būvdarbus vai sniegs pakalpojumus, kur šīs spējas ir nepieciešamas.</w:t>
      </w:r>
    </w:p>
    <w:p>
      <w:pPr>
        <w:pStyle w:val="Text1"/>
        <w:rPr>
          <w:noProof/>
        </w:rPr>
      </w:pPr>
      <w:r>
        <w:rPr>
          <w:noProof/>
        </w:rPr>
        <w:t>Ja ekonomikas dalībnieks paļaujas uz citu subjektu spējām saistībā ar kritērijiem, kas attiecas uz saimniecisko un finansiālo stāvokli, līgumslēdzēja iestāde var prasīt, lai attiecīgais ekonomikas dalībnieks un šie subjekti būtu solidāri atbildīgi par līguma izpildi.</w:t>
      </w:r>
    </w:p>
    <w:p>
      <w:pPr>
        <w:pStyle w:val="Text1"/>
        <w:rPr>
          <w:noProof/>
        </w:rPr>
      </w:pPr>
      <w:r>
        <w:rPr>
          <w:noProof/>
        </w:rPr>
        <w:t>Līgumslēdzēja iestāde var pieprasīt ziņas no pretendenta par jebkuru līguma daļu, par kuru pretendents plāno slēgt apakšlīgumu, un par apakšuzņēmēju identitāti.</w:t>
      </w:r>
    </w:p>
    <w:p>
      <w:pPr>
        <w:pStyle w:val="Text1"/>
        <w:rPr>
          <w:noProof/>
        </w:rPr>
      </w:pPr>
      <w:r>
        <w:rPr>
          <w:noProof/>
        </w:rPr>
        <w:t>Attiecībā uz būvdarbiem vai pakalpojumiem, ko sniedz objektā, kas atrodas līgumslēdzējas iestādes tiešā uzraudzībā, līgumslēdzēja iestāde pieprasa, lai darbuzņēmējs norādītu līguma izpildē iesaistīto apakšuzņēmēju nosaukumus, kontaktinformāciju un pilnvarotos pārstāvjus, tostarp jebkādas izmaiņas attiecībā uz apakšuzņēmējiem.</w:t>
      </w:r>
    </w:p>
    <w:p>
      <w:pPr>
        <w:pStyle w:val="NumPar2"/>
        <w:rPr>
          <w:noProof/>
        </w:rPr>
      </w:pPr>
      <w:r>
        <w:rPr>
          <w:noProof/>
        </w:rPr>
        <w:t>Līgumslēdzēja iestāde pārbauda, vai subjekti, uz kuru spējām ekonomikas dalībnieks plāno paļauties, un plānotie apakšuzņēmēji gadījumos, kad apakšlīgumi veido ievērojamu daļu no attiecīgā līguma, atbilst attiecīgajiem atlases kritērijiem.</w:t>
      </w:r>
    </w:p>
    <w:p>
      <w:pPr>
        <w:pStyle w:val="Text1"/>
        <w:rPr>
          <w:noProof/>
        </w:rPr>
      </w:pPr>
      <w:r>
        <w:rPr>
          <w:noProof/>
        </w:rPr>
        <w:t>Līgumslēdzēja iestāde pieprasa, lai ekonomikas dalībnieks aizstātu subjektu vai apakšuzņēmēju, kas neatbilst attiecīgajam atlases kritērijam.</w:t>
      </w:r>
    </w:p>
    <w:p>
      <w:pPr>
        <w:pStyle w:val="NumPar2"/>
        <w:rPr>
          <w:noProof/>
        </w:rPr>
      </w:pPr>
      <w:r>
        <w:rPr>
          <w:noProof/>
        </w:rPr>
        <w:t>Attiecībā uz būvdarbu līgumiem, pakalpojumu līgumiem un izvietošanas vai uzstādīšanas darbiem saistībā ar piegādes līgumu līgumslēdzēja iestāde var prasīt, lai konkrētus kritiski svarīgus uzdevumus pildītu tieši pats pretendents vai – ja piedāvājumu iesniegusi ekonomikas dalībnieku grupa, – šīs grupas dalībnieks.</w:t>
      </w:r>
    </w:p>
    <w:p>
      <w:pPr>
        <w:pStyle w:val="NumPar2"/>
        <w:rPr>
          <w:noProof/>
        </w:rPr>
      </w:pPr>
      <w:r>
        <w:rPr>
          <w:noProof/>
        </w:rPr>
        <w:t xml:space="preserve">Līgumslēdzēja iestāde nepieprasa, lai ekonomikas dalībnieku grupām, iesniedzot piedāvājumu vai dalības pieteikumu, būtu noteikta juridiska forma, bet atlasītajai </w:t>
      </w:r>
      <w:r>
        <w:rPr>
          <w:noProof/>
        </w:rPr>
        <w:lastRenderedPageBreak/>
        <w:t>grupai var prasīt iegūt noteiktu juridisko formu, kad tai ir piešķirts līgums, ja šāda pārveide ir vajadzīga līguma pienācīgai izpildei.</w:t>
      </w:r>
    </w:p>
    <w:p>
      <w:pPr>
        <w:pStyle w:val="NumPar1"/>
        <w:rPr>
          <w:b/>
          <w:noProof/>
        </w:rPr>
      </w:pPr>
      <w:r>
        <w:rPr>
          <w:b/>
          <w:noProof/>
        </w:rPr>
        <w:t>Saimnieciskās un finansiālās spējas</w:t>
      </w:r>
    </w:p>
    <w:p>
      <w:pPr>
        <w:pStyle w:val="NumPar2"/>
        <w:rPr>
          <w:noProof/>
        </w:rPr>
      </w:pPr>
      <w:r>
        <w:rPr>
          <w:noProof/>
        </w:rPr>
        <w:t>Lai pārliecinātos, ka ekonomikas dalībniekiem ir līguma izpildei nepieciešamās saimnieciskās un finansiālās spējas, līgumslēdzēja iestāde var jo īpaši pieprasīt, lai:</w:t>
      </w:r>
    </w:p>
    <w:p>
      <w:pPr>
        <w:pStyle w:val="Point1"/>
        <w:rPr>
          <w:noProof/>
        </w:rPr>
      </w:pPr>
      <w:r>
        <w:rPr>
          <w:noProof/>
        </w:rPr>
        <w:t>a)</w:t>
      </w:r>
      <w:r>
        <w:rPr>
          <w:noProof/>
        </w:rPr>
        <w:tab/>
        <w:t>ekonomikas dalībniekiem būtu konkrēts gada minimālais apgrozījums, tostarp konkrēts minimālais apgrozījums līguma jomā;</w:t>
      </w:r>
    </w:p>
    <w:p>
      <w:pPr>
        <w:pStyle w:val="Point1"/>
        <w:rPr>
          <w:noProof/>
        </w:rPr>
      </w:pPr>
      <w:r>
        <w:rPr>
          <w:noProof/>
        </w:rPr>
        <w:t>b)</w:t>
      </w:r>
      <w:r>
        <w:rPr>
          <w:noProof/>
        </w:rPr>
        <w:tab/>
        <w:t>ekonomikas dalībnieki sniegtu informāciju par saviem gada pārskatiem, uzrādot attiecības starp aktīviem un saistībām;</w:t>
      </w:r>
    </w:p>
    <w:p>
      <w:pPr>
        <w:pStyle w:val="Point1"/>
        <w:rPr>
          <w:noProof/>
        </w:rPr>
      </w:pPr>
      <w:r>
        <w:rPr>
          <w:noProof/>
        </w:rPr>
        <w:t>c)</w:t>
      </w:r>
      <w:r>
        <w:rPr>
          <w:noProof/>
        </w:rPr>
        <w:tab/>
        <w:t>ekonomikas dalībnieki nodrošinātu pienācīgu profesionālā riska apdrošināšanas līmeni.</w:t>
      </w:r>
    </w:p>
    <w:p>
      <w:pPr>
        <w:pStyle w:val="Text1"/>
        <w:rPr>
          <w:noProof/>
        </w:rPr>
      </w:pPr>
      <w:r>
        <w:rPr>
          <w:noProof/>
        </w:rPr>
        <w:t>Attiecībā uz pirmās daļas a) apakšpunktu gada minimālais apgrozījums nedrīkst līguma lēsto vērtību pārsniegt vairāk nekā divkārt, izņemot atbilstīgi pamatotos ar iegādes raksturu saistītos gadījumos, kurus līgumslēdzēja iestāde norāda iepirkuma procedūras dokumentos.</w:t>
      </w:r>
    </w:p>
    <w:p>
      <w:pPr>
        <w:pStyle w:val="Text1"/>
        <w:rPr>
          <w:noProof/>
        </w:rPr>
      </w:pPr>
      <w:r>
        <w:rPr>
          <w:noProof/>
        </w:rPr>
        <w:t>Attiecībā uz pirmās daļas b) apakšpunktu līgumslēdzēja iestāde iepirkuma procedūras dokumentos norāda šīm attiecībām piemērojamās metodes un kritērijus.</w:t>
      </w:r>
    </w:p>
    <w:p>
      <w:pPr>
        <w:pStyle w:val="NumPar2"/>
        <w:rPr>
          <w:noProof/>
        </w:rPr>
      </w:pPr>
      <w:r>
        <w:rPr>
          <w:noProof/>
        </w:rPr>
        <w:t>Attiecībā uz dinamiskajām iepirkumu sistēmām maksimālo gada apgrozījumu aprēķina, pamatojoties uz to paredzamo konkrēto līgumu maksimālo apmēru, kurus piešķir saskaņā ar minēto sistēmu.</w:t>
      </w:r>
    </w:p>
    <w:p>
      <w:pPr>
        <w:pStyle w:val="NumPar2"/>
        <w:rPr>
          <w:noProof/>
        </w:rPr>
      </w:pPr>
      <w:r>
        <w:rPr>
          <w:noProof/>
        </w:rPr>
        <w:t>Līgumslēdzēja iestāde iepirkuma procedūras dokumentos nosaka, kādi pierādījumi ekonomikas dalībniekam ir jāiesniedz, lai pierādītu savas saimnieciskās un finansiālās spējas. Tā var jo īpaši pieprasīt vienu vai vairākus šādus dokumentus:</w:t>
      </w:r>
    </w:p>
    <w:p>
      <w:pPr>
        <w:pStyle w:val="Point1"/>
        <w:rPr>
          <w:noProof/>
        </w:rPr>
      </w:pPr>
      <w:r>
        <w:rPr>
          <w:noProof/>
        </w:rPr>
        <w:t>a)</w:t>
      </w:r>
      <w:r>
        <w:rPr>
          <w:noProof/>
        </w:rPr>
        <w:tab/>
        <w:t>atbilstīgas izziņas no bankas vai, attiecīgā gadījumā, pierādījumus par attiecīgu profesionālās darbības apdrošināšanu;</w:t>
      </w:r>
    </w:p>
    <w:p>
      <w:pPr>
        <w:pStyle w:val="Point1"/>
        <w:rPr>
          <w:noProof/>
        </w:rPr>
      </w:pPr>
      <w:r>
        <w:rPr>
          <w:noProof/>
        </w:rPr>
        <w:t>b)</w:t>
      </w:r>
      <w:r>
        <w:rPr>
          <w:noProof/>
        </w:rPr>
        <w:tab/>
        <w:t>finanšu pārskatus vai to izvilkumus par laikposmu, kas vienāds ar vai mazāks par pēdējiem trim gadiem, par kuriem konti ir noslēgti;</w:t>
      </w:r>
    </w:p>
    <w:p>
      <w:pPr>
        <w:pStyle w:val="Point1"/>
        <w:rPr>
          <w:noProof/>
        </w:rPr>
      </w:pPr>
      <w:r>
        <w:rPr>
          <w:noProof/>
        </w:rPr>
        <w:t>c)</w:t>
      </w:r>
      <w:r>
        <w:rPr>
          <w:noProof/>
        </w:rPr>
        <w:tab/>
        <w:t>pārskatu par ekonomikas dalībnieka kopējo apgrozījumu un attiecīgā gadījumā par apgrozījumu līguma jomā par ne vairāk kā pēdējiem trim finanšu gadiem, par kuriem pieejama informācija.</w:t>
      </w:r>
    </w:p>
    <w:p>
      <w:pPr>
        <w:pStyle w:val="Text1"/>
        <w:rPr>
          <w:noProof/>
        </w:rPr>
      </w:pPr>
      <w:r>
        <w:rPr>
          <w:noProof/>
        </w:rPr>
        <w:t>Ja pamatotu iemeslu dēļ ekonomikas dalībnieks nespēj iesniegt līgumslēdzējas iestādes pieprasītos dokumentus, tas var apliecināt savas saimnieciskās un finansiālās spējas ar jebkādiem citiem dokumentiem, ko līgumslēdzēja iestāde uzskata par piemērotiem.</w:t>
      </w:r>
    </w:p>
    <w:p>
      <w:pPr>
        <w:pStyle w:val="NumPar1"/>
        <w:rPr>
          <w:b/>
          <w:noProof/>
        </w:rPr>
      </w:pPr>
      <w:r>
        <w:rPr>
          <w:b/>
          <w:noProof/>
        </w:rPr>
        <w:t>Tehniskās un profesionālās spējas</w:t>
      </w:r>
    </w:p>
    <w:p>
      <w:pPr>
        <w:pStyle w:val="NumPar2"/>
        <w:rPr>
          <w:noProof/>
        </w:rPr>
      </w:pPr>
      <w:r>
        <w:rPr>
          <w:noProof/>
        </w:rPr>
        <w:t>Līgumslēdzēja iestāde pārbauda, vai kandidāti vai pretendenti atbilst obligātajiem atlases kritērijiem attiecībā uz tehniskajām un profesionālajām spējām, saskaņā ar 20.2. līdz 20.5. punktu.</w:t>
      </w:r>
    </w:p>
    <w:p>
      <w:pPr>
        <w:pStyle w:val="NumPar2"/>
        <w:rPr>
          <w:noProof/>
        </w:rPr>
      </w:pPr>
      <w:r>
        <w:rPr>
          <w:noProof/>
        </w:rPr>
        <w:t>Līgumslēdzēja iestāde iepirkuma procedūras dokumentos nosaka, kādi pierādījumi ekonomikas dalībniekam ir jāiesniedz, lai pierādītu savas tehniskās un profesionālās spējas. Tā var pieprasīt vienu vai vairākus šādus dokumentus:</w:t>
      </w:r>
    </w:p>
    <w:p>
      <w:pPr>
        <w:pStyle w:val="Point1"/>
        <w:rPr>
          <w:noProof/>
        </w:rPr>
      </w:pPr>
      <w:r>
        <w:rPr>
          <w:noProof/>
        </w:rPr>
        <w:lastRenderedPageBreak/>
        <w:t>a)</w:t>
      </w:r>
      <w:r>
        <w:rPr>
          <w:noProof/>
        </w:rPr>
        <w:tab/>
        <w:t>būvdarbiem, piegādēm, kuru īstenošanai ir vajadzīgi izvietošanas vai uzstādīšanas darbi, vai pakalpojumiem – to personu, kas atbildīgas par izpildi, apliecinājumi par izglītību un profesionālo kvalifikāciju, prasmēm, pieredzi un kompetenci;</w:t>
      </w:r>
    </w:p>
    <w:p>
      <w:pPr>
        <w:pStyle w:val="Point1"/>
        <w:rPr>
          <w:noProof/>
        </w:rPr>
      </w:pPr>
      <w:r>
        <w:rPr>
          <w:noProof/>
        </w:rPr>
        <w:t>b)</w:t>
      </w:r>
      <w:r>
        <w:rPr>
          <w:noProof/>
        </w:rPr>
        <w:tab/>
        <w:t>saraksts:</w:t>
      </w:r>
    </w:p>
    <w:p>
      <w:pPr>
        <w:pStyle w:val="Point2"/>
        <w:rPr>
          <w:noProof/>
        </w:rPr>
      </w:pPr>
      <w:r>
        <w:rPr>
          <w:noProof/>
        </w:rPr>
        <w:t>i)</w:t>
      </w:r>
      <w:r>
        <w:rPr>
          <w:noProof/>
        </w:rPr>
        <w:tab/>
        <w:t>ar trijos pēdējos gados sniegtajiem nozīmīgākajiem pakalpojumiem un nozīmīgākajām piegādēm, norādot summas, datumus un gan valsts, gan privātos klientus, pēc pieprasījuma pievienojot klientu izziņas;</w:t>
      </w:r>
    </w:p>
    <w:p>
      <w:pPr>
        <w:pStyle w:val="Point2"/>
        <w:rPr>
          <w:noProof/>
        </w:rPr>
      </w:pPr>
      <w:r>
        <w:rPr>
          <w:noProof/>
        </w:rPr>
        <w:t>ii)</w:t>
      </w:r>
      <w:r>
        <w:rPr>
          <w:noProof/>
        </w:rPr>
        <w:tab/>
        <w:t>ar iepriekšējo piecu gadu laikā veiktajiem būvdarbiem, kas papildināts ar apliecinājumiem par svarīgāko būvdarbu apmierinošu  realizāciju;</w:t>
      </w:r>
    </w:p>
    <w:p>
      <w:pPr>
        <w:pStyle w:val="Point1"/>
        <w:rPr>
          <w:noProof/>
        </w:rPr>
      </w:pPr>
      <w:r>
        <w:rPr>
          <w:noProof/>
        </w:rPr>
        <w:t>c)</w:t>
      </w:r>
      <w:r>
        <w:rPr>
          <w:noProof/>
        </w:rPr>
        <w:tab/>
        <w:t>pārskats par ekonomikas dalībniekam pieejamo tehnisko aprīkojumu, darbarīkiem vai materiāliem, kurus ekonomikas dalībnieks izmantos, izpildot pakalpojumu vai būvdarbu līgumu;</w:t>
      </w:r>
    </w:p>
    <w:p>
      <w:pPr>
        <w:pStyle w:val="Point1"/>
        <w:rPr>
          <w:noProof/>
        </w:rPr>
      </w:pPr>
      <w:r>
        <w:rPr>
          <w:noProof/>
        </w:rPr>
        <w:t>d)</w:t>
      </w:r>
      <w:r>
        <w:rPr>
          <w:noProof/>
        </w:rPr>
        <w:tab/>
        <w:t>apraksts par tehnisko bāzi un līdzekļiem, kas ekonomikas dalībniekam pieejami kvalitātes nodrošināšanai, un apraksts par pieejamo pētījumu un zinātniskās izpētes materiāli tehnisko bāzi;</w:t>
      </w:r>
    </w:p>
    <w:p>
      <w:pPr>
        <w:pStyle w:val="Point1"/>
        <w:rPr>
          <w:noProof/>
        </w:rPr>
      </w:pPr>
      <w:r>
        <w:rPr>
          <w:noProof/>
        </w:rPr>
        <w:t>e)</w:t>
      </w:r>
      <w:r>
        <w:rPr>
          <w:noProof/>
        </w:rPr>
        <w:tab/>
        <w:t>norāde par ekonomikas dalībniekam pieejamajiem tehniskajiem darbiniekiem vai tehniskām struktūrām, jo īpaši tām, kas atbild par kvalitātes kontroli, neatkarīgi no tā, vai tās ir tieši piederīgas šim ekonomikas dalībniekam;</w:t>
      </w:r>
    </w:p>
    <w:p>
      <w:pPr>
        <w:pStyle w:val="Point1"/>
        <w:rPr>
          <w:noProof/>
        </w:rPr>
      </w:pPr>
      <w:r>
        <w:rPr>
          <w:noProof/>
        </w:rPr>
        <w:t>f)</w:t>
      </w:r>
      <w:r>
        <w:rPr>
          <w:noProof/>
        </w:rPr>
        <w:tab/>
        <w:t>attiecībā uz piegādēm – paraugi, apraksti vai autentiskas fotogrāfijas vai sertifikāti, ko sastādījuši oficiāli kvalitātes kontroles institūti vai aģentūras, kuru kompetence ir vispāratzīta, un kas apliecina produktu atbilstību, to skaidri identificējot ar atsaucēm uz tehniskajām specifikācijām vai standartiem;</w:t>
      </w:r>
    </w:p>
    <w:p>
      <w:pPr>
        <w:pStyle w:val="Point1"/>
        <w:rPr>
          <w:noProof/>
        </w:rPr>
      </w:pPr>
      <w:r>
        <w:rPr>
          <w:noProof/>
        </w:rPr>
        <w:t>g)</w:t>
      </w:r>
      <w:r>
        <w:rPr>
          <w:noProof/>
        </w:rPr>
        <w:tab/>
        <w:t>attiecībā uz būvdarbiem vai pakalpojumiem – pārskats par ekonomikas dalībnieka gada vidējo darbinieku skaitu un vadošo darbinieku skaitu pēdējos trijos gados;</w:t>
      </w:r>
    </w:p>
    <w:p>
      <w:pPr>
        <w:pStyle w:val="Point1"/>
        <w:rPr>
          <w:noProof/>
        </w:rPr>
      </w:pPr>
      <w:r>
        <w:rPr>
          <w:noProof/>
        </w:rPr>
        <w:t>h)</w:t>
      </w:r>
      <w:r>
        <w:rPr>
          <w:noProof/>
        </w:rPr>
        <w:tab/>
        <w:t>ziņas par piegādes ķēdes pārvaldību un izsekošanas sistēmām, ko ekonomikas dalībnieks varēs piemērot, izpildot līgumu;</w:t>
      </w:r>
    </w:p>
    <w:p>
      <w:pPr>
        <w:pStyle w:val="Point1"/>
        <w:rPr>
          <w:noProof/>
        </w:rPr>
      </w:pPr>
      <w:r>
        <w:rPr>
          <w:noProof/>
        </w:rPr>
        <w:t>i)</w:t>
      </w:r>
      <w:r>
        <w:rPr>
          <w:noProof/>
        </w:rPr>
        <w:tab/>
        <w:t>apraksts par vides vadības pasākumiem, kurus ekonomikas dalībnieks varēs piemērot, izpildot līgumu.</w:t>
      </w:r>
    </w:p>
    <w:p>
      <w:pPr>
        <w:pStyle w:val="Text1"/>
        <w:rPr>
          <w:noProof/>
        </w:rPr>
      </w:pPr>
      <w:r>
        <w:rPr>
          <w:noProof/>
        </w:rPr>
        <w:t>Attiecībā uz pirmās daļas b) apakšpunkta i) punktu, ja vajadzīgs nolūkā nodrošināt atbilstīgu konkurences līmeni, līgumslēdzēja iestāde var norādīt, ka tiks ņemti vērā pieradījumi par pirms vairāk nekā trīs gadiem īstenotajām attiecīgajām piegādēm vai pakalpojumiem.</w:t>
      </w:r>
    </w:p>
    <w:p>
      <w:pPr>
        <w:pStyle w:val="Text1"/>
        <w:rPr>
          <w:noProof/>
        </w:rPr>
      </w:pPr>
      <w:r>
        <w:rPr>
          <w:noProof/>
        </w:rPr>
        <w:t>Attiecībā uz pirmās daļas b) apakšpunkta ii) punktu, ja vajadzīgs nolūkā nodrošināt atbilstīgu konkurences līmeni, līgumslēdzēja iestāde var norādīt, ka tiks ņemti vērā pieradījumi par pirms vairāk nekā pieciem gadiem īstenotajiem attiecīgajiem būvdarbiem.</w:t>
      </w:r>
    </w:p>
    <w:p>
      <w:pPr>
        <w:pStyle w:val="NumPar2"/>
        <w:rPr>
          <w:noProof/>
        </w:rPr>
      </w:pPr>
      <w:r>
        <w:rPr>
          <w:noProof/>
        </w:rPr>
        <w:t xml:space="preserve">Ja piegādes vai pakalpojumi ir kompleksi vai izņēmuma kārtā ir vajadzīgi īpašam nolūkam, tehnisko un profesionālo spēju pierādījumus var nodrošināt ar pārbaudēm, ko veic līgumslēdzēja iestāde vai līgumslēdzējas iestādes uzdevumā tās valsts kompetenta oficiāla struktūra, kurā ekonomikas dalībnieks veic darbību, ja šī struktūra tam piekrīt. Šādas pārbaudes attiecas uz piegādātāja tehniskajām spējām un </w:t>
      </w:r>
      <w:r>
        <w:rPr>
          <w:noProof/>
        </w:rPr>
        <w:lastRenderedPageBreak/>
        <w:t>ražošanas jaudu un attiecīgā gadījumā uz tā pētījumu un zinātniskās izpētes materiāli tehnisko bāzi un kvalitātes kontroles pasākumiem.</w:t>
      </w:r>
    </w:p>
    <w:p>
      <w:pPr>
        <w:pStyle w:val="NumPar2"/>
        <w:rPr>
          <w:noProof/>
        </w:rPr>
      </w:pPr>
      <w:r>
        <w:rPr>
          <w:noProof/>
        </w:rPr>
        <w:t>Ja līgumslēdzēja iestāde pieprasa neatkarīgu struktūru izdotus sertifikātus, kas apliecina, ka ekonomikas dalībnieks atbilst zināmiem kvalitātes nodrošināšanas standartiem, tostarp attiecībā uz personu ar invaliditāti piekļuvi, tā atsaucas uz kvalitātes nodrošināšanas sistēmām, kuru pamatā ir attiecīgo Eiropas standartu sērijas, ko apstiprinājušas akreditētas struktūras. Līgumslēdzējas iestādes pieņem arī citus pierādījumus par līdzvērtīgiem kvalitātes nodrošināšanas pasākumiem no tāda ekonomikas dalībnieka, kuram acīmredzami nav pieejami šādi sertifikāti vai nav iespējas tos saņemt attiecīgos termiņos tādu iemeslu dēļ, par kuriem šāds ekonomikas dalībnieks nav atbildīgs, un ja attiecīgais ekonomikas dalībnieks pierāda, ka piedāvātie kvalitātes nodrošināšanas pasākumi atbilst prasītajiem kvalitātes nodrošināšanas standartiem.</w:t>
      </w:r>
    </w:p>
    <w:p>
      <w:pPr>
        <w:pStyle w:val="NumPar2"/>
        <w:rPr>
          <w:noProof/>
        </w:rPr>
      </w:pPr>
      <w:r>
        <w:rPr>
          <w:noProof/>
        </w:rPr>
        <w:t>Ja līgumslēdzēja iestāde pieprasa uzrādīt sertifikātus, kurus izdevušas neatkarīgas struktūras un kas apliecina, ka ekonomikas dalībnieks atbilst konkrētām vides vadības sistēmām vai standartiem, tā atsaucas uz Savienības Vides vadības un audita sistēmu vai uz citām vides vadības sistēmām, kuras atzītas saskaņā ar Eiropas Parlamenta un Padomes Regulas (EK) Nr. 1221/2009</w:t>
      </w:r>
      <w:r>
        <w:rPr>
          <w:rStyle w:val="FootnoteReference"/>
          <w:noProof/>
        </w:rPr>
        <w:footnoteReference w:id="7"/>
      </w:r>
      <w:r>
        <w:rPr>
          <w:noProof/>
        </w:rPr>
        <w:t xml:space="preserve"> 45. pantu, vai citiem vides vadības standartiem, kas pamatojas uz attiecīgajiem Eiropas vai starptautiskajiem standartiem, kurus izstrādājušas akreditētas struktūras. Ja ekonomikas dalībniekam šādi sertifikāti acīmredzami nav bijuši pieejami vai tos nav iespējams iegūt attiecīgajos termiņos tādu iemeslu dēļ, par kuriem šis ekonomikas dalībnieks nav atbildīgs, līgumslēdzēja iestāde pieņem arī citus pierādījumus par vides vadības pasākumiem, ja ekonomikas dalībnieks pierāda, ka šie pasākumi ir līdzvērtīgi pasākumiem, kas jānodrošina saskaņā ar piemērojamo vides vadības sistēmu vai standartu.</w:t>
      </w:r>
    </w:p>
    <w:p>
      <w:pPr>
        <w:pStyle w:val="NumPar2"/>
        <w:rPr>
          <w:noProof/>
        </w:rPr>
      </w:pPr>
      <w:r>
        <w:rPr>
          <w:noProof/>
        </w:rPr>
        <w:t>Līgumslēdzēja iestāde var secināt, ka ekonomikas dalībniekam nav nepieciešamo profesionālo spēju, lai izpildītu līgumu saskaņā ar atbilstīgu kvalitātes standartu, ja līgumslēdzēja iestāde konstatē, ka ekonomikas dalībniekam ir interešu konflikts, kas var negatīvi ietekmēt līguma izpildi.</w:t>
      </w:r>
    </w:p>
    <w:p>
      <w:pPr>
        <w:pStyle w:val="NumPar1"/>
        <w:rPr>
          <w:b/>
          <w:noProof/>
        </w:rPr>
      </w:pPr>
      <w:r>
        <w:rPr>
          <w:b/>
          <w:noProof/>
        </w:rPr>
        <w:t>Piešķiršanas kritēriji</w:t>
      </w:r>
    </w:p>
    <w:p>
      <w:pPr>
        <w:pStyle w:val="NumPar2"/>
        <w:rPr>
          <w:noProof/>
        </w:rPr>
      </w:pPr>
      <w:r>
        <w:rPr>
          <w:noProof/>
        </w:rPr>
        <w:t>Kvalitātes kritēriji var ietvert tādus elementus kā tehniskās priekšrocības, estētiskie un funkcionālie raksturlielumi, pieejamība, projektēšana visu lietotāju ērtībām, sociālie, vides un inovatīvie raksturlielumi, ražošanas, sniegšanas un tirdzniecības process un cits īpašs process jebkurā to aprites cikla posmā, personāla, kuram uzdota attiecīgā līguma izpilde, organizācija, pēcpārdošanas pakalpojumi, tehniskā palīdzība vai piegādes nosacījumi, piemēram, piegādes datums, piegādes process, piegādes laikposms vai izpildes laikposms.</w:t>
      </w:r>
    </w:p>
    <w:p>
      <w:pPr>
        <w:pStyle w:val="NumPar2"/>
        <w:rPr>
          <w:noProof/>
        </w:rPr>
      </w:pPr>
      <w:r>
        <w:rPr>
          <w:noProof/>
        </w:rPr>
        <w:t xml:space="preserve">Līgumslēdzēja iestāde iepirkuma procedūras dokumentos norāda relatīvo svērumu, ko tā piešķir katram no izraudzītajiem kritērijiem, lai noteiktu saimnieciski visizdevīgāko piedāvājumu, izņemot gadījumus, kad to nosaka, izmantojot zemākās </w:t>
      </w:r>
      <w:r>
        <w:rPr>
          <w:noProof/>
        </w:rPr>
        <w:lastRenderedPageBreak/>
        <w:t>cenas metodi. Šos svērumus var izteikt kā vērtību diapazonu ar atbilstīgu maksimālo starpību.</w:t>
      </w:r>
    </w:p>
    <w:p>
      <w:pPr>
        <w:pStyle w:val="Text1"/>
        <w:rPr>
          <w:noProof/>
        </w:rPr>
      </w:pPr>
      <w:r>
        <w:rPr>
          <w:noProof/>
        </w:rPr>
        <w:t>Svērums, kādu piešķir cenai vai izmaksām attiecībā pret pārējiem kritērijiem, nedrīkst neitralizēt cenas vai izmaksu kritēriju.</w:t>
      </w:r>
    </w:p>
    <w:p>
      <w:pPr>
        <w:pStyle w:val="Text1"/>
        <w:rPr>
          <w:noProof/>
        </w:rPr>
      </w:pPr>
      <w:r>
        <w:rPr>
          <w:noProof/>
        </w:rPr>
        <w:t>Ja svērumu noteikšana objektīvu iemeslu dēļ nav iespējama, līgumslēdzēja iestāde kritērijus norāda dilstošā secībā pēc svarīguma.</w:t>
      </w:r>
    </w:p>
    <w:p>
      <w:pPr>
        <w:pStyle w:val="NumPar2"/>
        <w:rPr>
          <w:noProof/>
        </w:rPr>
      </w:pPr>
      <w:r>
        <w:rPr>
          <w:noProof/>
        </w:rPr>
        <w:t>Līgumslēdzēja iestāde var noteikt minimālos kvalitātes līmeņus. Piedāvājumus, kuru kvalitātes līmeņi ir zemāki, noraida.</w:t>
      </w:r>
    </w:p>
    <w:p>
      <w:pPr>
        <w:pStyle w:val="NumPar2"/>
        <w:rPr>
          <w:noProof/>
        </w:rPr>
      </w:pPr>
      <w:r>
        <w:rPr>
          <w:noProof/>
        </w:rPr>
        <w:t>Aprites cikla izmaksas attiecīgajā apmērā pilnībā vai daļēji aptver visas šādas izmaksas visā būvdarbu, piegāžu vai pakalpojumu aprites ciklā:</w:t>
      </w:r>
    </w:p>
    <w:p>
      <w:pPr>
        <w:pStyle w:val="Point1"/>
        <w:rPr>
          <w:noProof/>
        </w:rPr>
      </w:pPr>
      <w:r>
        <w:rPr>
          <w:noProof/>
        </w:rPr>
        <w:t>a)</w:t>
      </w:r>
      <w:r>
        <w:rPr>
          <w:noProof/>
        </w:rPr>
        <w:tab/>
        <w:t>izmaksas, kas rodas līgumslēdzējai iestādei vai citiem lietotājiem, piemēram:</w:t>
      </w:r>
    </w:p>
    <w:p>
      <w:pPr>
        <w:pStyle w:val="Point2"/>
        <w:rPr>
          <w:noProof/>
        </w:rPr>
      </w:pPr>
      <w:r>
        <w:rPr>
          <w:noProof/>
        </w:rPr>
        <w:t>i)</w:t>
      </w:r>
      <w:r>
        <w:rPr>
          <w:noProof/>
        </w:rPr>
        <w:tab/>
        <w:t>izmaksas, kas saistītas ar iegādi;</w:t>
      </w:r>
    </w:p>
    <w:p>
      <w:pPr>
        <w:pStyle w:val="Point2"/>
        <w:rPr>
          <w:noProof/>
        </w:rPr>
      </w:pPr>
      <w:r>
        <w:rPr>
          <w:noProof/>
        </w:rPr>
        <w:t>ii)</w:t>
      </w:r>
      <w:r>
        <w:rPr>
          <w:noProof/>
        </w:rPr>
        <w:tab/>
        <w:t>lietošanas izmaksas, piemēram, elektroenerģijas un citu resursu patēriņš;</w:t>
      </w:r>
    </w:p>
    <w:p>
      <w:pPr>
        <w:pStyle w:val="Point2"/>
        <w:rPr>
          <w:noProof/>
        </w:rPr>
      </w:pPr>
      <w:r>
        <w:rPr>
          <w:noProof/>
        </w:rPr>
        <w:t>iii)</w:t>
      </w:r>
      <w:r>
        <w:rPr>
          <w:noProof/>
        </w:rPr>
        <w:tab/>
        <w:t>apkopes izmaksas;</w:t>
      </w:r>
    </w:p>
    <w:p>
      <w:pPr>
        <w:pStyle w:val="Point2"/>
        <w:rPr>
          <w:noProof/>
        </w:rPr>
      </w:pPr>
      <w:r>
        <w:rPr>
          <w:noProof/>
        </w:rPr>
        <w:t>iv)</w:t>
      </w:r>
      <w:r>
        <w:rPr>
          <w:noProof/>
        </w:rPr>
        <w:tab/>
        <w:t>aprites cikla beigu izmaksas, piemēram, savākšanas un otrreizējas pārstrādes izmaksas;</w:t>
      </w:r>
    </w:p>
    <w:p>
      <w:pPr>
        <w:pStyle w:val="Point1"/>
        <w:rPr>
          <w:noProof/>
        </w:rPr>
      </w:pPr>
      <w:r>
        <w:rPr>
          <w:noProof/>
        </w:rPr>
        <w:t>b)</w:t>
      </w:r>
      <w:r>
        <w:rPr>
          <w:noProof/>
        </w:rPr>
        <w:tab/>
        <w:t>izmaksas, kas saistāmas ar ārēju ietekmi uz vidi un kam ir saikne ar būvdarbiem, piegādēm vai pakalpojumiem to aprites ciklā, ar noteikumu, ka tās var izteikt naudā un pārbaudīt.</w:t>
      </w:r>
    </w:p>
    <w:p>
      <w:pPr>
        <w:pStyle w:val="NumPar2"/>
        <w:rPr>
          <w:noProof/>
        </w:rPr>
      </w:pPr>
      <w:r>
        <w:rPr>
          <w:noProof/>
        </w:rPr>
        <w:t>Ja līgumslēdzēja iestāde izmaksas vērtē, izmantojot aprites cikla izmaksu pieeju, tā iepirkuma procedūras dokumentos norāda datus, kas jāsniedz pretendentiem, un metodi, ko tā izmantos, lai, balstoties uz minētajiem datiem, noteiktu aprites cikla izmaksas.</w:t>
      </w:r>
    </w:p>
    <w:p>
      <w:pPr>
        <w:pStyle w:val="Text1"/>
        <w:rPr>
          <w:noProof/>
        </w:rPr>
      </w:pPr>
      <w:r>
        <w:rPr>
          <w:noProof/>
        </w:rPr>
        <w:t>Metodei, ko izmanto, lai novērtētu izmaksas, kas saistāmas ar ārēju ietekmi uz vidi, jāatbilst šādiem nosacījumiem:</w:t>
      </w:r>
    </w:p>
    <w:p>
      <w:pPr>
        <w:pStyle w:val="Point1"/>
        <w:rPr>
          <w:noProof/>
        </w:rPr>
      </w:pPr>
      <w:r>
        <w:rPr>
          <w:noProof/>
        </w:rPr>
        <w:t>a)</w:t>
      </w:r>
      <w:r>
        <w:rPr>
          <w:noProof/>
        </w:rPr>
        <w:tab/>
        <w:t>tās pamatā ir objektīvi pārbaudāmi un nediskriminējoši kritēriji;</w:t>
      </w:r>
    </w:p>
    <w:p>
      <w:pPr>
        <w:pStyle w:val="Point1"/>
        <w:rPr>
          <w:noProof/>
        </w:rPr>
      </w:pPr>
      <w:r>
        <w:rPr>
          <w:noProof/>
        </w:rPr>
        <w:t>b)</w:t>
      </w:r>
      <w:r>
        <w:rPr>
          <w:noProof/>
        </w:rPr>
        <w:tab/>
        <w:t>tā ir pieejama visām ieinteresētajām personām;</w:t>
      </w:r>
    </w:p>
    <w:p>
      <w:pPr>
        <w:pStyle w:val="Point1"/>
        <w:rPr>
          <w:noProof/>
        </w:rPr>
      </w:pPr>
      <w:r>
        <w:rPr>
          <w:noProof/>
        </w:rPr>
        <w:t>c)</w:t>
      </w:r>
      <w:r>
        <w:rPr>
          <w:noProof/>
        </w:rPr>
        <w:tab/>
        <w:t>ekonomikas dalībnieki spēj sagādāt nepieciešamos datus bez liekiem pūliņiem.</w:t>
      </w:r>
    </w:p>
    <w:p>
      <w:pPr>
        <w:pStyle w:val="Text1"/>
        <w:rPr>
          <w:noProof/>
        </w:rPr>
      </w:pPr>
      <w:r>
        <w:rPr>
          <w:noProof/>
        </w:rPr>
        <w:t>Attiecīgajā gadījumā aprites cikla izmaksu aprēķināšanai līgumslēdzēja iestāde izmanto obligātās kopējās metodes, kā paredzēts Direktīvas 2014/24/ES XIII pielikumā.</w:t>
      </w:r>
    </w:p>
    <w:p>
      <w:pPr>
        <w:pStyle w:val="NumPar1"/>
        <w:rPr>
          <w:b/>
          <w:noProof/>
        </w:rPr>
      </w:pPr>
      <w:r>
        <w:rPr>
          <w:b/>
          <w:noProof/>
        </w:rPr>
        <w:t>Elektronisko izsoļu izmantošana</w:t>
      </w:r>
    </w:p>
    <w:p>
      <w:pPr>
        <w:pStyle w:val="NumPar2"/>
        <w:rPr>
          <w:noProof/>
        </w:rPr>
      </w:pPr>
      <w:r>
        <w:rPr>
          <w:noProof/>
        </w:rPr>
        <w:t>Līgumslēdzēja iestāde var izmantot elektroniskās izsoles, kurās uzrāda jaunas cenas, kas ir pārskatītas un pazeminātas, vai jaunas vērtības attiecībā uz konkrētiem piedāvājuma elementiem.</w:t>
      </w:r>
    </w:p>
    <w:p>
      <w:pPr>
        <w:pStyle w:val="Text1"/>
        <w:rPr>
          <w:noProof/>
        </w:rPr>
      </w:pPr>
      <w:r>
        <w:rPr>
          <w:noProof/>
        </w:rPr>
        <w:t>Līgumslēdzēja iestāde elektronisko izsoli strukturē kā daudzkārtēju elektronisko procesu, kuru īsteno pēc piedāvājumu pilnīga sākotnējā vērtējuma, kas tos ļauj sarindot, izmantojot automātiskas vērtēšanas metodes.</w:t>
      </w:r>
    </w:p>
    <w:p>
      <w:pPr>
        <w:pStyle w:val="NumPar2"/>
        <w:rPr>
          <w:noProof/>
        </w:rPr>
      </w:pPr>
      <w:r>
        <w:rPr>
          <w:noProof/>
        </w:rPr>
        <w:t xml:space="preserve">Atklātā, slēgtā vai konkursa procedūrā ar sarunām līgumslēdzēja iestāde var pieņemt lēmumu par to, ka pirms publiskā līguma slēgšanas tiesību piešķiršanas rīko </w:t>
      </w:r>
      <w:r>
        <w:rPr>
          <w:noProof/>
        </w:rPr>
        <w:lastRenderedPageBreak/>
        <w:t>elektronisko izsoli, ja vien ir iespējams precīzi sagatavot iepirkuma procedūras dokumentus.</w:t>
      </w:r>
    </w:p>
    <w:p>
      <w:pPr>
        <w:pStyle w:val="Text1"/>
        <w:rPr>
          <w:noProof/>
        </w:rPr>
      </w:pPr>
      <w:r>
        <w:rPr>
          <w:noProof/>
        </w:rPr>
        <w:t>Elektroniskā izsole var tikt izmantota, saskaņā ar 1.3. punkta b) apakšpunktu atsākot konkursu starp pamatlīguma pusēm un uzsākot konkursu par līgumiem, kas piešķirami 9. punktā minētās dinamiskās iepirkumu sistēmas ietvaros.</w:t>
      </w:r>
    </w:p>
    <w:p>
      <w:pPr>
        <w:pStyle w:val="Text1"/>
        <w:rPr>
          <w:noProof/>
        </w:rPr>
      </w:pPr>
      <w:r>
        <w:rPr>
          <w:noProof/>
        </w:rPr>
        <w:t>Elektroniskās izsoles pamatā ir viena no piešķiršanas metodēm, kas noteiktas 161. panta 4. punktā.</w:t>
      </w:r>
    </w:p>
    <w:p>
      <w:pPr>
        <w:pStyle w:val="NumPar2"/>
        <w:rPr>
          <w:noProof/>
        </w:rPr>
      </w:pPr>
      <w:r>
        <w:rPr>
          <w:noProof/>
        </w:rPr>
        <w:t>Līgumslēdzēja iestāde, kas nolemj izmantot elektronisko izsoli, to min līguma paziņojumā.</w:t>
      </w:r>
    </w:p>
    <w:p>
      <w:pPr>
        <w:pStyle w:val="Text1"/>
        <w:rPr>
          <w:noProof/>
        </w:rPr>
      </w:pPr>
      <w:r>
        <w:rPr>
          <w:noProof/>
        </w:rPr>
        <w:t>Iepirkuma procedūras dokumentos ietver:</w:t>
      </w:r>
    </w:p>
    <w:p>
      <w:pPr>
        <w:pStyle w:val="Point1"/>
        <w:rPr>
          <w:noProof/>
        </w:rPr>
      </w:pPr>
      <w:r>
        <w:rPr>
          <w:noProof/>
        </w:rPr>
        <w:t>a)</w:t>
      </w:r>
      <w:r>
        <w:rPr>
          <w:noProof/>
        </w:rPr>
        <w:tab/>
        <w:t>to elementu vērtību, kuri būs elektroniskās izsoles priekšmets, ja šie elementi ir kvantitatīvi nosakāmi, un tos var izteikt skaitļos vai procentos;</w:t>
      </w:r>
    </w:p>
    <w:p>
      <w:pPr>
        <w:pStyle w:val="Point1"/>
        <w:rPr>
          <w:noProof/>
        </w:rPr>
      </w:pPr>
      <w:r>
        <w:rPr>
          <w:noProof/>
        </w:rPr>
        <w:t>b)</w:t>
      </w:r>
      <w:r>
        <w:rPr>
          <w:noProof/>
        </w:rPr>
        <w:tab/>
        <w:t>jebkurus iesniedzamo vērtību ierobežojumus, kas izriet no līguma priekšmeta specifikācijām;</w:t>
      </w:r>
    </w:p>
    <w:p>
      <w:pPr>
        <w:pStyle w:val="Point1"/>
        <w:rPr>
          <w:noProof/>
        </w:rPr>
      </w:pPr>
      <w:r>
        <w:rPr>
          <w:noProof/>
        </w:rPr>
        <w:t>c)</w:t>
      </w:r>
      <w:r>
        <w:rPr>
          <w:noProof/>
        </w:rPr>
        <w:tab/>
        <w:t>informāciju, kas tiks darīta zināma pretendentiem elektroniskās izsoles laikā, un attiecīgā gadījumā laiku, kad šī informācija tiks darīta zināma;</w:t>
      </w:r>
    </w:p>
    <w:p>
      <w:pPr>
        <w:pStyle w:val="Point1"/>
        <w:rPr>
          <w:noProof/>
        </w:rPr>
      </w:pPr>
      <w:r>
        <w:rPr>
          <w:noProof/>
        </w:rPr>
        <w:t>d)</w:t>
      </w:r>
      <w:r>
        <w:rPr>
          <w:noProof/>
        </w:rPr>
        <w:tab/>
        <w:t>būtisko informāciju par elektroniskās izsoles procesu, tostarp par to, vai tā ietver posmus un kā tā tiks slēgta, kā noteikts 22.7. punktā;</w:t>
      </w:r>
    </w:p>
    <w:p>
      <w:pPr>
        <w:pStyle w:val="Point1"/>
        <w:rPr>
          <w:noProof/>
        </w:rPr>
      </w:pPr>
      <w:r>
        <w:rPr>
          <w:noProof/>
        </w:rPr>
        <w:t>e)</w:t>
      </w:r>
      <w:r>
        <w:rPr>
          <w:noProof/>
        </w:rPr>
        <w:tab/>
        <w:t>nosacījumus, ar kādiem pretendenti varēs izteikt savu piedāvājumu, un jo īpaši par minimālo cenas soli, kas vajadzības gadījumā tiks pieprasīts piedāvājumā;</w:t>
      </w:r>
    </w:p>
    <w:p>
      <w:pPr>
        <w:pStyle w:val="Point1"/>
        <w:rPr>
          <w:noProof/>
        </w:rPr>
      </w:pPr>
      <w:r>
        <w:rPr>
          <w:noProof/>
        </w:rPr>
        <w:t>f)</w:t>
      </w:r>
      <w:r>
        <w:rPr>
          <w:noProof/>
        </w:rPr>
        <w:tab/>
        <w:t>būtisko informāciju par izmantojamo elektronisko aprīkojumu, pieslēguma kārtību un tehniskajām specifikācijām.</w:t>
      </w:r>
    </w:p>
    <w:p>
      <w:pPr>
        <w:pStyle w:val="NumPar2"/>
        <w:rPr>
          <w:noProof/>
        </w:rPr>
      </w:pPr>
      <w:r>
        <w:rPr>
          <w:noProof/>
        </w:rPr>
        <w:t>Visi pretendenti, kas ir iesnieguši pieņemamus piedāvājumus, elektroniskā veidā tiek vienlaicīgi aicināti piedalīties elektroniskajā izsolē, izmantojot pieslēgumus saskaņā ar instrukcijām. Uzaicinājumā norāda elektroniskās izsoles uzsākšanas datumu un laiku.</w:t>
      </w:r>
    </w:p>
    <w:p>
      <w:pPr>
        <w:pStyle w:val="Text1"/>
        <w:rPr>
          <w:noProof/>
        </w:rPr>
      </w:pPr>
      <w:r>
        <w:rPr>
          <w:noProof/>
        </w:rPr>
        <w:t>Elektroniskā izsole var notikt vairākos secīgos posmos. Elektroniskā izsole nevar sākties ātrāk par divām darbdienām pēc uzaicinājumu izsūtīšanas dienas.</w:t>
      </w:r>
    </w:p>
    <w:p>
      <w:pPr>
        <w:pStyle w:val="NumPar2"/>
        <w:rPr>
          <w:noProof/>
        </w:rPr>
      </w:pPr>
      <w:r>
        <w:rPr>
          <w:noProof/>
        </w:rPr>
        <w:t>Uzaicinājumam pievieno attiecīgā piedāvājuma pilnīga vērtējuma rezultātu.</w:t>
      </w:r>
    </w:p>
    <w:p>
      <w:pPr>
        <w:pStyle w:val="Text1"/>
        <w:rPr>
          <w:noProof/>
        </w:rPr>
      </w:pPr>
      <w:r>
        <w:rPr>
          <w:noProof/>
        </w:rPr>
        <w:t>Uzaicinājumā norāda arī matemātisko formulu, ko elektroniskajā izsolē izmantos, lai automātiski no jauna sarindotu pretendentus, pamatojoties uz iesniegtām jaunām cenām un/vai jaunām vērtībām. Šī formula ietver visu saimnieciski visizdevīgākā piedāvājuma noteikšanai paredzēto kritēriju svērumu, kā noteikts iepirkuma procedūras dokumentos. Šajā nolūkā iespējamos diapazonus iepriekš aizstāj ar noteiktu vērtību.</w:t>
      </w:r>
    </w:p>
    <w:p>
      <w:pPr>
        <w:pStyle w:val="Text1"/>
        <w:rPr>
          <w:noProof/>
        </w:rPr>
      </w:pPr>
      <w:r>
        <w:rPr>
          <w:noProof/>
        </w:rPr>
        <w:t>Gadījumos, ja ir pieļaujami varianti, formulas jāsniedz katram variantam atsevišķi.</w:t>
      </w:r>
    </w:p>
    <w:p>
      <w:pPr>
        <w:pStyle w:val="NumPar2"/>
        <w:rPr>
          <w:noProof/>
        </w:rPr>
      </w:pPr>
      <w:r>
        <w:rPr>
          <w:noProof/>
        </w:rPr>
        <w:t>Katrā elektroniskās izsoles posmā līgumslēdzēja iestāde visiem pretendentiem tūlīt dara zināmu vismaz tādu informāciju, kas tiem ļauj jebkurā brīdī noskaidrot savu attiecīgo vietu. Tā arī var, ja tas iepriekš norādīts, jebkurā konkrētā izsoles posmā paziņot citu informāciju par citām iesniegtajām cenām vai vērtībām, kā arī paziņot dalībnieku skaitu. Tomēr tā nevienā elektroniskās izsoles posmā neatklāj pretendentu identitāti.</w:t>
      </w:r>
    </w:p>
    <w:p>
      <w:pPr>
        <w:pStyle w:val="NumPar2"/>
        <w:rPr>
          <w:noProof/>
        </w:rPr>
      </w:pPr>
      <w:r>
        <w:rPr>
          <w:noProof/>
        </w:rPr>
        <w:lastRenderedPageBreak/>
        <w:t>Līgumslēdzēja iestāde slēdz elektronisko izsoli vienā vai vairākos no šādiem veidiem:</w:t>
      </w:r>
    </w:p>
    <w:p>
      <w:pPr>
        <w:pStyle w:val="Point1"/>
        <w:rPr>
          <w:noProof/>
        </w:rPr>
      </w:pPr>
      <w:r>
        <w:rPr>
          <w:noProof/>
        </w:rPr>
        <w:t>a)</w:t>
      </w:r>
      <w:r>
        <w:rPr>
          <w:noProof/>
        </w:rPr>
        <w:tab/>
        <w:t>iepriekš noteiktā datumā un laikā;</w:t>
      </w:r>
    </w:p>
    <w:p>
      <w:pPr>
        <w:pStyle w:val="Point1"/>
        <w:rPr>
          <w:noProof/>
        </w:rPr>
      </w:pPr>
      <w:r>
        <w:rPr>
          <w:noProof/>
        </w:rPr>
        <w:t>b)</w:t>
      </w:r>
      <w:r>
        <w:rPr>
          <w:noProof/>
        </w:rPr>
        <w:tab/>
        <w:t>ja tā vairs nesaņem jaunas cenas vai jaunas vērtības, kas atbilst prasībām par minimālo cenas soli, ar noteikumu, ka tā ir iepriekš noteikusi laiku, kam tā ļaus paiet pēc pēdējā iesnieguma saņemšanas, pirms tā slēgs elektronisko izsoli;</w:t>
      </w:r>
    </w:p>
    <w:p>
      <w:pPr>
        <w:pStyle w:val="Point1"/>
        <w:rPr>
          <w:noProof/>
        </w:rPr>
      </w:pPr>
      <w:r>
        <w:rPr>
          <w:noProof/>
        </w:rPr>
        <w:t>c)</w:t>
      </w:r>
      <w:r>
        <w:rPr>
          <w:noProof/>
        </w:rPr>
        <w:tab/>
        <w:t>kad ir noslēdzies iepriekš noteiktais izsoles posmu skaits.</w:t>
      </w:r>
    </w:p>
    <w:p>
      <w:pPr>
        <w:pStyle w:val="NumPar2"/>
        <w:rPr>
          <w:noProof/>
        </w:rPr>
      </w:pPr>
      <w:r>
        <w:rPr>
          <w:noProof/>
        </w:rPr>
        <w:t>Pēc elektroniskās izsoles slēgšanas līgumslēdzēja iestāde piešķir līgumu, pamatojoties uz elektroniskās izsoles rezultātiem.</w:t>
      </w:r>
    </w:p>
    <w:p>
      <w:pPr>
        <w:pStyle w:val="NumPar1"/>
        <w:rPr>
          <w:b/>
          <w:noProof/>
        </w:rPr>
      </w:pPr>
      <w:r>
        <w:rPr>
          <w:b/>
          <w:noProof/>
        </w:rPr>
        <w:t>Pārmērīgi zemas cenas piedāvājumi</w:t>
      </w:r>
    </w:p>
    <w:p>
      <w:pPr>
        <w:pStyle w:val="NumPar2"/>
        <w:rPr>
          <w:noProof/>
        </w:rPr>
      </w:pPr>
      <w:r>
        <w:rPr>
          <w:noProof/>
        </w:rPr>
        <w:t>Ja konkrēta līguma gadījumā piedāvātā cena vai izmaksas šķiet nepamatoti zemas, līgumslēdzēja iestāde rakstveidā pieprasa sīkāku informāciju par tiem elementiem, kuri veido cenu vai izmaksas un kurus tā uzskata par būtiskiem, un tā dod pretendentam iespēju iesniegt savus apsvērumus.</w:t>
      </w:r>
    </w:p>
    <w:p>
      <w:pPr>
        <w:pStyle w:val="Text1"/>
        <w:rPr>
          <w:noProof/>
        </w:rPr>
      </w:pPr>
      <w:r>
        <w:rPr>
          <w:noProof/>
        </w:rPr>
        <w:t>Līgumslēdzēja iestāde var jo īpaši ņemt vērā apsvērumus, kas attiecas uz:</w:t>
      </w:r>
    </w:p>
    <w:p>
      <w:pPr>
        <w:pStyle w:val="Point1"/>
        <w:rPr>
          <w:noProof/>
        </w:rPr>
      </w:pPr>
      <w:r>
        <w:rPr>
          <w:noProof/>
        </w:rPr>
        <w:t>a)</w:t>
      </w:r>
      <w:r>
        <w:rPr>
          <w:noProof/>
        </w:rPr>
        <w:tab/>
        <w:t>ražošanas procesa, pakalpojumu sniegšanas vai būvniecības metodes saimniecisko organizāciju;</w:t>
      </w:r>
    </w:p>
    <w:p>
      <w:pPr>
        <w:pStyle w:val="Point1"/>
        <w:rPr>
          <w:noProof/>
        </w:rPr>
      </w:pPr>
      <w:r>
        <w:rPr>
          <w:noProof/>
        </w:rPr>
        <w:t>b)</w:t>
      </w:r>
      <w:r>
        <w:rPr>
          <w:noProof/>
        </w:rPr>
        <w:tab/>
        <w:t>pretendenta izraudzītajiem tehniskajiem risinājumiem vai pretendentam pieejamiem ārkārtīgi labvēlīgiem nosacījumiem;</w:t>
      </w:r>
    </w:p>
    <w:p>
      <w:pPr>
        <w:pStyle w:val="Point1"/>
        <w:rPr>
          <w:noProof/>
        </w:rPr>
      </w:pPr>
      <w:r>
        <w:rPr>
          <w:noProof/>
        </w:rPr>
        <w:t>c)</w:t>
      </w:r>
      <w:r>
        <w:rPr>
          <w:noProof/>
        </w:rPr>
        <w:tab/>
        <w:t>piedāvājuma savdabību;</w:t>
      </w:r>
    </w:p>
    <w:p>
      <w:pPr>
        <w:pStyle w:val="Point1"/>
        <w:rPr>
          <w:noProof/>
        </w:rPr>
      </w:pPr>
      <w:r>
        <w:rPr>
          <w:noProof/>
        </w:rPr>
        <w:t>d)</w:t>
      </w:r>
      <w:r>
        <w:rPr>
          <w:noProof/>
        </w:rPr>
        <w:tab/>
        <w:t>to, vai pretendents ievēro piemērojamās prasības vides, sociālo un darba tiesību jomā;</w:t>
      </w:r>
    </w:p>
    <w:p>
      <w:pPr>
        <w:pStyle w:val="Point1"/>
        <w:rPr>
          <w:noProof/>
        </w:rPr>
      </w:pPr>
      <w:r>
        <w:rPr>
          <w:noProof/>
        </w:rPr>
        <w:t>e)</w:t>
      </w:r>
      <w:r>
        <w:rPr>
          <w:noProof/>
        </w:rPr>
        <w:tab/>
        <w:t>to, vai apakšuzņēmēji ievēro visas piemērojamās prasības vides, sociālo un darba tiesību jomā;</w:t>
      </w:r>
    </w:p>
    <w:p>
      <w:pPr>
        <w:pStyle w:val="Point1"/>
        <w:rPr>
          <w:noProof/>
        </w:rPr>
      </w:pPr>
      <w:r>
        <w:rPr>
          <w:noProof/>
        </w:rPr>
        <w:t>f)</w:t>
      </w:r>
      <w:r>
        <w:rPr>
          <w:noProof/>
        </w:rPr>
        <w:tab/>
        <w:t>pretendenta iespējas saskaņā ar piemērojamiem noteikumiem saņemt valsts atbalstu.</w:t>
      </w:r>
    </w:p>
    <w:p>
      <w:pPr>
        <w:pStyle w:val="NumPar2"/>
        <w:rPr>
          <w:noProof/>
        </w:rPr>
      </w:pPr>
      <w:r>
        <w:rPr>
          <w:noProof/>
        </w:rPr>
        <w:t>Līgumslēdzēja iestāde var noraidīt piedāvājumu tikai tad, ja sniegtie pierādījumi apmierinoši neizskaidro piedāvātās cenas vai izmaksu zemo līmeni.</w:t>
      </w:r>
    </w:p>
    <w:p>
      <w:pPr>
        <w:pStyle w:val="Text1"/>
        <w:rPr>
          <w:noProof/>
        </w:rPr>
      </w:pPr>
      <w:r>
        <w:rPr>
          <w:noProof/>
        </w:rPr>
        <w:t>Līgumslēdzēja iestāde noraida piedāvājumu, ja tā ir konstatējusi, ka piedāvājums ir nepamatoti lēts tāpēc, ka tas neatbilst piemērojamām prasībām vides, sociālo un darba tiesību jomā.</w:t>
      </w:r>
    </w:p>
    <w:p>
      <w:pPr>
        <w:pStyle w:val="NumPar2"/>
        <w:rPr>
          <w:noProof/>
        </w:rPr>
      </w:pPr>
      <w:r>
        <w:rPr>
          <w:noProof/>
        </w:rPr>
        <w:t>Ja līgumslēdzēja iestāde konstatē, ka piedāvājums ir nepamatoti lēts, jo pretendents ir saņēmis valsts atbalstu, tā var noraidīt piedāvājumu, pamatojoties tikai uz šo iemeslu, bet vienīgi tad, ja pretendents nevar līgumslēdzējas iestādes noteiktā pietiekamā termiņā pierādīt, ka attiecīgais atbalsts bija saderīgs ar iekšējo tirgu LESD 107. panta nozīmē.</w:t>
      </w:r>
    </w:p>
    <w:p>
      <w:pPr>
        <w:pStyle w:val="NumPar1"/>
        <w:rPr>
          <w:b/>
          <w:noProof/>
        </w:rPr>
      </w:pPr>
      <w:r>
        <w:rPr>
          <w:b/>
          <w:noProof/>
        </w:rPr>
        <w:t xml:space="preserve">Piedāvājumu un dalības pieteikumu pieņemšanas termiņi </w:t>
      </w:r>
    </w:p>
    <w:p>
      <w:pPr>
        <w:pStyle w:val="NumPar2"/>
        <w:rPr>
          <w:noProof/>
        </w:rPr>
      </w:pPr>
      <w:r>
        <w:rPr>
          <w:noProof/>
        </w:rPr>
        <w:t>Termiņi tiek noteikti ilgāki nekā šajā pantā paredzētie minimālie termiņi, ja piedāvājumus ir iespējams izstrādāt vienīgi pēc izpildes vietas apmeklējuma vai arī pēc iepirkuma procedūras apliecinošo dokumentu izskatīšanas uz vietas.</w:t>
      </w:r>
    </w:p>
    <w:p>
      <w:pPr>
        <w:pStyle w:val="Text1"/>
        <w:rPr>
          <w:noProof/>
        </w:rPr>
      </w:pPr>
      <w:r>
        <w:rPr>
          <w:noProof/>
        </w:rPr>
        <w:lastRenderedPageBreak/>
        <w:t>Termiņu pagarina par piecām dienām katrā no šādiem gadījumiem:</w:t>
      </w:r>
    </w:p>
    <w:p>
      <w:pPr>
        <w:pStyle w:val="Point1"/>
        <w:rPr>
          <w:noProof/>
        </w:rPr>
      </w:pPr>
      <w:r>
        <w:rPr>
          <w:noProof/>
        </w:rPr>
        <w:t>a)</w:t>
      </w:r>
      <w:r>
        <w:rPr>
          <w:noProof/>
        </w:rPr>
        <w:tab/>
        <w:t>līgumslēdzēja iestāde nenodrošina tiešu bezmaksas piekļuvi iepirkuma procedūras dokumentiem elektroniskā veidā;</w:t>
      </w:r>
    </w:p>
    <w:p>
      <w:pPr>
        <w:pStyle w:val="Point1"/>
        <w:rPr>
          <w:noProof/>
        </w:rPr>
      </w:pPr>
      <w:r>
        <w:rPr>
          <w:noProof/>
        </w:rPr>
        <w:t>b)</w:t>
      </w:r>
      <w:r>
        <w:rPr>
          <w:noProof/>
        </w:rPr>
        <w:tab/>
        <w:t>līguma paziņojums tiek publicēts saskaņā ar 4.2. punkta b) apakšpunktu.</w:t>
      </w:r>
    </w:p>
    <w:p>
      <w:pPr>
        <w:pStyle w:val="NumPar2"/>
        <w:rPr>
          <w:noProof/>
        </w:rPr>
      </w:pPr>
      <w:r>
        <w:rPr>
          <w:noProof/>
        </w:rPr>
        <w:t>Atklātās procedūrās piedāvājumu pieņemšanas termiņš ir vismaz 37 dienas no līguma paziņojuma nosūtīšanas dienas.</w:t>
      </w:r>
    </w:p>
    <w:p>
      <w:pPr>
        <w:pStyle w:val="NumPar2"/>
        <w:rPr>
          <w:noProof/>
        </w:rPr>
      </w:pPr>
      <w:r>
        <w:rPr>
          <w:noProof/>
        </w:rPr>
        <w:t>Termiņš dalības pieteikumu pieņemšanai slēgtās procedūrās, konkursa dialogā, konkursa procedūrās ar sarunām, dinamiskajās iepirkumu sistēmās un inovācijas partnerībās ir vismaz 32 dienas no līguma paziņojuma nosūtīšanas dienas.</w:t>
      </w:r>
    </w:p>
    <w:p>
      <w:pPr>
        <w:pStyle w:val="NumPar2"/>
        <w:rPr>
          <w:noProof/>
        </w:rPr>
      </w:pPr>
      <w:r>
        <w:rPr>
          <w:noProof/>
        </w:rPr>
        <w:t>Slēgtās procedūrās un konkursa procedūrās ar sarunām piedāvājumu pieņemšanas termiņš ir vismaz 30 dienas no uzaicinājuma iesniegt piedāvājumus nosūtīšanas dienas.</w:t>
      </w:r>
    </w:p>
    <w:p>
      <w:pPr>
        <w:pStyle w:val="NumPar2"/>
        <w:rPr>
          <w:noProof/>
        </w:rPr>
      </w:pPr>
      <w:r>
        <w:rPr>
          <w:noProof/>
        </w:rPr>
        <w:t>Dinamiskajās iepirkumu sistēmās piedāvājumu pieņemšanas termiņš ir vismaz 10 dienas no uzaicinājuma iesniegt piedāvājumus nosūtīšanas dienas.</w:t>
      </w:r>
    </w:p>
    <w:p>
      <w:pPr>
        <w:pStyle w:val="NumPar2"/>
        <w:rPr>
          <w:noProof/>
        </w:rPr>
      </w:pPr>
      <w:r>
        <w:rPr>
          <w:noProof/>
        </w:rPr>
        <w:t>Procedūrās pēc uzaicinājuma paust ieinteresētību, kas minētas 13.1. punktā, piedāvājumu pieņemšanas minimālais termiņš ir:</w:t>
      </w:r>
    </w:p>
    <w:p>
      <w:pPr>
        <w:pStyle w:val="Point1"/>
        <w:rPr>
          <w:noProof/>
        </w:rPr>
      </w:pPr>
      <w:r>
        <w:rPr>
          <w:noProof/>
        </w:rPr>
        <w:t>a)</w:t>
      </w:r>
      <w:r>
        <w:rPr>
          <w:noProof/>
        </w:rPr>
        <w:tab/>
        <w:t>vismaz 10 dienas, skaitot no uzaicinājuma iesniegt piedāvājumus nosūtīšanas dienas, piedāvājumu saņemšanai 13.1. punkta a) apakšpunkta un 13.3. punkta b) apakšpunkta i) punktā minētās procedūras gadījumā;</w:t>
      </w:r>
    </w:p>
    <w:p>
      <w:pPr>
        <w:pStyle w:val="Point1"/>
        <w:rPr>
          <w:noProof/>
        </w:rPr>
      </w:pPr>
      <w:r>
        <w:rPr>
          <w:noProof/>
        </w:rPr>
        <w:t>b)</w:t>
      </w:r>
      <w:r>
        <w:rPr>
          <w:noProof/>
        </w:rPr>
        <w:tab/>
        <w:t>vismaz 10 dienas dalības pieteikumu saņemšanai un vismaz 10 dienas piedāvājumu saņemšanai 13.3. punkta b) apakšpunkta ii) punktā minētās divu posmu procedūras gadījumā.</w:t>
      </w:r>
    </w:p>
    <w:p>
      <w:pPr>
        <w:pStyle w:val="NumPar2"/>
        <w:rPr>
          <w:noProof/>
        </w:rPr>
      </w:pPr>
      <w:r>
        <w:rPr>
          <w:noProof/>
        </w:rPr>
        <w:t>Līgumslēdzēja iestāde var samazināt piedāvājumu pieņemšanas termiņus par piecām dienām atklātās vai slēgtās procedūrās, ja tā akceptē piedāvājumu iesniegšanu elektroniskā veidā.</w:t>
      </w:r>
    </w:p>
    <w:p>
      <w:pPr>
        <w:pStyle w:val="NumPar1"/>
        <w:rPr>
          <w:b/>
          <w:noProof/>
        </w:rPr>
      </w:pPr>
      <w:r>
        <w:rPr>
          <w:b/>
          <w:noProof/>
        </w:rPr>
        <w:t>Piekļuve iepirkuma procedūras dokumentiem un termiņš papildu informācijas sniegšanai</w:t>
      </w:r>
    </w:p>
    <w:p>
      <w:pPr>
        <w:pStyle w:val="NumPar2"/>
        <w:rPr>
          <w:noProof/>
        </w:rPr>
      </w:pPr>
      <w:r>
        <w:rPr>
          <w:noProof/>
        </w:rPr>
        <w:t>Līgumslēdzēja iestāde bez maksas piedāvā tiešu elektronisko piekļuvi iepirkuma procedūras dokumentiem, sākot no dienas, kad publicēts līguma paziņojums, vai – attiecībā uz procedūrām bez paziņojuma par līgumu iepriekšējas publicēšanas vai saskaņā ar 13. punktu – no dienas, kad nosūtīts uzaicinājums iesniegt piedāvājumus.</w:t>
      </w:r>
    </w:p>
    <w:p>
      <w:pPr>
        <w:pStyle w:val="Text1"/>
        <w:rPr>
          <w:noProof/>
        </w:rPr>
      </w:pPr>
      <w:r>
        <w:rPr>
          <w:noProof/>
        </w:rPr>
        <w:t>Pamatotos gadījumos līgumslēdzēja iestāde var nosūtīt iepirkuma procedūras dokumentus citā tās norādītā veidā, ja tehnisku iemeslu dēļ tieša pieeja elektroniskā veidā nav iespējama vai ja iepirkuma procedūras dokumenti satur konfidenciālu informāciju. Šādos gadījumos piemēro 24.1. punkta otro daļu, izņemot steidzamus gadījumus, kā noteikts 26.1. punktā.</w:t>
      </w:r>
    </w:p>
    <w:p>
      <w:pPr>
        <w:pStyle w:val="Text1"/>
        <w:rPr>
          <w:noProof/>
        </w:rPr>
      </w:pPr>
      <w:r>
        <w:rPr>
          <w:noProof/>
        </w:rPr>
        <w:t>Līgumslēdzēja iestāde ekonomikas dalībniekiem var piemērot prasības, kas paredzētas, lai aizsargātu iepirkuma procedūras dokumentos iekļautās informācijas konfidencialitāti. Tā paziņo par šīm prasībām, kā arī to, kā iegūstama piekļuve attiecīgajiem iepirkuma procedūras dokumentiem.</w:t>
      </w:r>
    </w:p>
    <w:p>
      <w:pPr>
        <w:pStyle w:val="NumPar2"/>
        <w:rPr>
          <w:noProof/>
        </w:rPr>
      </w:pPr>
      <w:r>
        <w:rPr>
          <w:noProof/>
        </w:rPr>
        <w:lastRenderedPageBreak/>
        <w:t>Papildu informāciju saistībā ar iepirkuma procedūras dokumentiem līgumslēdzēja iestāde visiem ieinteresētajiem ekonomikas dalībniekiem sniedz pēc iespējas drīz vienlaicīgi un rakstveidā.</w:t>
      </w:r>
    </w:p>
    <w:p>
      <w:pPr>
        <w:pStyle w:val="Text1"/>
        <w:rPr>
          <w:noProof/>
        </w:rPr>
      </w:pPr>
      <w:r>
        <w:rPr>
          <w:noProof/>
        </w:rPr>
        <w:t>Līgumslēdzējai iestādei nav pienākums atbildēt uz tādiem pieprasījumiem saņemt papildu informāciju, kas iesniegti mazāk nekā sešas darbdienas pirms pieteikumu pieņemšanas termiņa.</w:t>
      </w:r>
    </w:p>
    <w:p>
      <w:pPr>
        <w:pStyle w:val="NumPar2"/>
        <w:rPr>
          <w:noProof/>
        </w:rPr>
      </w:pPr>
      <w:r>
        <w:rPr>
          <w:noProof/>
        </w:rPr>
        <w:t>Līgumslēdzēja iestāde pagarina piedāvājumu pieņemšanas termiņu, ja:</w:t>
      </w:r>
    </w:p>
    <w:p>
      <w:pPr>
        <w:pStyle w:val="Point1"/>
        <w:rPr>
          <w:noProof/>
        </w:rPr>
      </w:pPr>
      <w:r>
        <w:rPr>
          <w:noProof/>
        </w:rPr>
        <w:t>a)</w:t>
      </w:r>
      <w:r>
        <w:rPr>
          <w:noProof/>
        </w:rPr>
        <w:tab/>
        <w:t>tā nebija sniegusi papildu informāciju vēlākais sešas dienas pirms piedāvājumu pieņemšanas termiņa, lai gan ekonomikas dalībnieks to pieprasīja laikus;</w:t>
      </w:r>
    </w:p>
    <w:p>
      <w:pPr>
        <w:pStyle w:val="Point1"/>
        <w:rPr>
          <w:noProof/>
        </w:rPr>
      </w:pPr>
      <w:r>
        <w:rPr>
          <w:noProof/>
        </w:rPr>
        <w:t>b)</w:t>
      </w:r>
      <w:r>
        <w:rPr>
          <w:noProof/>
        </w:rPr>
        <w:tab/>
        <w:t>tā veic būtiskas izmaiņas iepirkuma procedūras dokumentos.</w:t>
      </w:r>
    </w:p>
    <w:p>
      <w:pPr>
        <w:pStyle w:val="NumPar1"/>
        <w:rPr>
          <w:b/>
          <w:noProof/>
        </w:rPr>
      </w:pPr>
      <w:r>
        <w:rPr>
          <w:b/>
          <w:noProof/>
        </w:rPr>
        <w:t>Termiņi steidzamos gadījumos</w:t>
      </w:r>
    </w:p>
    <w:p>
      <w:pPr>
        <w:pStyle w:val="NumPar2"/>
        <w:rPr>
          <w:noProof/>
        </w:rPr>
      </w:pPr>
      <w:r>
        <w:rPr>
          <w:noProof/>
        </w:rPr>
        <w:t>Ja pienācīgi pamatotos steidzamības gadījumos nav iespējams ievērot minimālos termiņus, kas atklātām vai slēgtām procedūrām noteikti 24.2. un 24.3. punktā, līgumslēdzēja iestāde var noteikt:</w:t>
      </w:r>
    </w:p>
    <w:p>
      <w:pPr>
        <w:pStyle w:val="Point1"/>
        <w:rPr>
          <w:noProof/>
        </w:rPr>
      </w:pPr>
      <w:r>
        <w:rPr>
          <w:noProof/>
        </w:rPr>
        <w:t>a)</w:t>
      </w:r>
      <w:r>
        <w:rPr>
          <w:noProof/>
        </w:rPr>
        <w:tab/>
        <w:t>dalības pieteikumu vai piedāvājumu pieņemšanas termiņu atklātās procedūrās, kurš ir vismaz 15 dienas pēc līguma paziņojuma nosūtīšanas dienas;</w:t>
      </w:r>
    </w:p>
    <w:p>
      <w:pPr>
        <w:pStyle w:val="Point1"/>
        <w:rPr>
          <w:noProof/>
        </w:rPr>
      </w:pPr>
      <w:r>
        <w:rPr>
          <w:noProof/>
        </w:rPr>
        <w:t>b)</w:t>
      </w:r>
      <w:r>
        <w:rPr>
          <w:noProof/>
        </w:rPr>
        <w:tab/>
        <w:t>piedāvājumu pieņemšanas termiņu, kurš ir vismaz 10 dienas no dienas, kad nosūtīts uzaicinājums iesniegt piedāvājumus.</w:t>
      </w:r>
    </w:p>
    <w:p>
      <w:pPr>
        <w:pStyle w:val="NumPar2"/>
        <w:rPr>
          <w:noProof/>
        </w:rPr>
      </w:pPr>
      <w:r>
        <w:rPr>
          <w:noProof/>
        </w:rPr>
        <w:t>Steidzamos gadījumos 25.2. punkta pirmajā daļā un 25.3. punkta a) apakšpunktā noteiktais termiņš ir četras dienas.</w:t>
      </w:r>
    </w:p>
    <w:p>
      <w:pPr>
        <w:pStyle w:val="NumPar1"/>
        <w:rPr>
          <w:b/>
          <w:noProof/>
        </w:rPr>
      </w:pPr>
      <w:r>
        <w:rPr>
          <w:b/>
          <w:noProof/>
        </w:rPr>
        <w:t>Elektroniskie katalogi</w:t>
      </w:r>
    </w:p>
    <w:p>
      <w:pPr>
        <w:pStyle w:val="NumPar2"/>
        <w:rPr>
          <w:noProof/>
        </w:rPr>
      </w:pPr>
      <w:r>
        <w:rPr>
          <w:noProof/>
        </w:rPr>
        <w:t>Ja ir prasīta elektronisko saziņas līdzekļu izmantošana, līgumslēdzēja iestāde var prasīt, lai piedāvājumi tiktu iesniegti elektroniska kataloga formātā vai lai piedāvājumos tiktu iekļauts elektronisks katalogs.</w:t>
      </w:r>
    </w:p>
    <w:p>
      <w:pPr>
        <w:pStyle w:val="NumPar2"/>
        <w:rPr>
          <w:noProof/>
        </w:rPr>
      </w:pPr>
      <w:r>
        <w:rPr>
          <w:noProof/>
        </w:rPr>
        <w:t>Ja piedāvājumi tiek pieņemti vai pieprasīti elektronisko katalogu formātā, līgumslēdzēja iestāde:</w:t>
      </w:r>
    </w:p>
    <w:p>
      <w:pPr>
        <w:pStyle w:val="Point1"/>
        <w:rPr>
          <w:noProof/>
        </w:rPr>
      </w:pPr>
      <w:r>
        <w:rPr>
          <w:noProof/>
        </w:rPr>
        <w:t>a)</w:t>
      </w:r>
      <w:r>
        <w:rPr>
          <w:noProof/>
        </w:rPr>
        <w:tab/>
        <w:t>to norāda paziņojumā par līgumu;</w:t>
      </w:r>
    </w:p>
    <w:p>
      <w:pPr>
        <w:pStyle w:val="Point1"/>
        <w:rPr>
          <w:noProof/>
        </w:rPr>
      </w:pPr>
      <w:r>
        <w:rPr>
          <w:noProof/>
        </w:rPr>
        <w:t>b)</w:t>
      </w:r>
      <w:r>
        <w:rPr>
          <w:noProof/>
        </w:rPr>
        <w:tab/>
        <w:t>iepirkuma procedūras dokumentos norāda visu vajadzīgo informāciju par katalogam nepieciešamo formātu, izmantojamo elektronisko aprīkojumu un pieslēguma tehnisko kārtību un specifikācijām.</w:t>
      </w:r>
    </w:p>
    <w:p>
      <w:pPr>
        <w:pStyle w:val="NumPar2"/>
        <w:rPr>
          <w:noProof/>
        </w:rPr>
      </w:pPr>
      <w:r>
        <w:rPr>
          <w:noProof/>
        </w:rPr>
        <w:t>Ja pēc piedāvājumu iesniegšanas elektronisko katalogu formātā ir noslēgts salikts pamatlīgums, līgumslēdzēja iestāde var paredzēt, ka konkursa atsākšana par konkrētiem līgumiem notiks, pamatojoties uz atjauninātiem katalogiem, izmantojot vienu no šādām metodēm:</w:t>
      </w:r>
    </w:p>
    <w:p>
      <w:pPr>
        <w:pStyle w:val="Point1"/>
        <w:rPr>
          <w:noProof/>
        </w:rPr>
      </w:pPr>
      <w:r>
        <w:rPr>
          <w:noProof/>
        </w:rPr>
        <w:t>a)</w:t>
      </w:r>
      <w:r>
        <w:rPr>
          <w:noProof/>
        </w:rPr>
        <w:tab/>
        <w:t>līgumslēdzēja iestāde aicina darbuzņēmējus atkārtoti iesniegt elektroniskos katalogus, kas pielāgoti konkrētā līguma prasībām;</w:t>
      </w:r>
    </w:p>
    <w:p>
      <w:pPr>
        <w:pStyle w:val="Point1"/>
        <w:rPr>
          <w:noProof/>
        </w:rPr>
      </w:pPr>
      <w:r>
        <w:rPr>
          <w:noProof/>
        </w:rPr>
        <w:t>b)</w:t>
      </w:r>
      <w:r>
        <w:rPr>
          <w:noProof/>
        </w:rPr>
        <w:tab/>
        <w:t>līgumslēdzēja iestāde paziņo darbuzņēmējiem, ka tā plāno no jau iesniegtajiem elektroniskajiem katalogiem apkopot informāciju, kas vajadzīga, lai izveidotu piedāvājumus, kuri ir pielāgoti konkrētā līguma prasībām, ar noteikumu, ka minētās metodes izmantošana ir paziņota pamatlīguma iepirkuma procedūras dokumentos.</w:t>
      </w:r>
    </w:p>
    <w:p>
      <w:pPr>
        <w:pStyle w:val="NumPar2"/>
        <w:rPr>
          <w:noProof/>
        </w:rPr>
      </w:pPr>
      <w:r>
        <w:rPr>
          <w:noProof/>
        </w:rPr>
        <w:lastRenderedPageBreak/>
        <w:t>Ja izmanto metodi, kas noteikta 27.3. punkta b) apakšpunktā, līgumslēdzēja iestāde paziņo darbuzņēmējiem datumu un laiku, kad tā paredzējusi apkopot informāciju, kas vajadzīga, lai izveidotu piedāvājumus, kuri ir pielāgoti konkrētā līguma prasībām, un dod darbuzņēmējiem iespēju atteikties no minētās informācijas apkopošanas.</w:t>
      </w:r>
    </w:p>
    <w:p>
      <w:pPr>
        <w:pStyle w:val="Text1"/>
        <w:rPr>
          <w:noProof/>
        </w:rPr>
      </w:pPr>
      <w:r>
        <w:rPr>
          <w:noProof/>
        </w:rPr>
        <w:t>Līgumslēdzēja iestāde paredz atbilstīgu laikposmu no paziņojuma līdz informācijas faktiskajai apkopošanai.</w:t>
      </w:r>
    </w:p>
    <w:p>
      <w:pPr>
        <w:pStyle w:val="Text1"/>
        <w:rPr>
          <w:noProof/>
        </w:rPr>
      </w:pPr>
      <w:r>
        <w:rPr>
          <w:noProof/>
        </w:rPr>
        <w:t>Pirms konkrētā līguma slēgšanas tiesību piešķiršanas līgumslēdzēja iestāde attiecīgajam darbuzņēmējam uzrāda apkopoto informāciju, lai dotu iespēju apstrīdēt vai apstiprināt, ka šādi sagatavotajā piedāvājumā nav nekādu būtisku kļūdu.</w:t>
      </w:r>
    </w:p>
    <w:p>
      <w:pPr>
        <w:pStyle w:val="NumPar1"/>
        <w:rPr>
          <w:b/>
          <w:noProof/>
        </w:rPr>
      </w:pPr>
      <w:r>
        <w:rPr>
          <w:b/>
          <w:noProof/>
        </w:rPr>
        <w:t>Piedāvājumu un dalības pieteikumu atvēršana</w:t>
      </w:r>
    </w:p>
    <w:p>
      <w:pPr>
        <w:pStyle w:val="NumPar2"/>
        <w:rPr>
          <w:noProof/>
        </w:rPr>
      </w:pPr>
      <w:r>
        <w:rPr>
          <w:noProof/>
        </w:rPr>
        <w:t>Atklātās procedūrās piedāvājumu atvēršanā var piedalīties pretendentu pilnvarotie pārstāvji.</w:t>
      </w:r>
    </w:p>
    <w:p>
      <w:pPr>
        <w:pStyle w:val="NumPar2"/>
        <w:rPr>
          <w:noProof/>
        </w:rPr>
      </w:pPr>
      <w:r>
        <w:rPr>
          <w:noProof/>
        </w:rPr>
        <w:t>Ja līguma vērtība ir vienāda ar vai lielāka par 169. panta 1. punktā noteiktajiem robežlielumiem, atbildīgais kredītrīkotājs piedāvājumu atvēršanai ieceļ komisiju. Atsākot konkursu saskaņā ar pamatlīgumu un gadījumos, kas noteikti 11.1. punktā, izņemot minētā punkta d) un g) apakšpunktu, kredītrīkotājs var atcelt šo pienākumu, pamatojoties uz risku analīzi.</w:t>
      </w:r>
    </w:p>
    <w:p>
      <w:pPr>
        <w:pStyle w:val="Text1"/>
        <w:rPr>
          <w:noProof/>
        </w:rPr>
      </w:pPr>
      <w:r>
        <w:rPr>
          <w:noProof/>
        </w:rPr>
        <w:t>Atvēršanas komisijā ir vismaz divas personas, kas attiecīgajā iestādē pārstāv vismaz divas organizatoriskās vienības bez hierarhiskas saiknes to starpā. Lai novērstu jebkādu interešu konfliktu, uz šīm personām attiecas 59. pantā noteiktie pienākumi.</w:t>
      </w:r>
    </w:p>
    <w:p>
      <w:pPr>
        <w:pStyle w:val="Text1"/>
        <w:rPr>
          <w:noProof/>
        </w:rPr>
      </w:pPr>
      <w:r>
        <w:rPr>
          <w:noProof/>
        </w:rPr>
        <w:t>Pārstāvniecībās un vietējās vienībās, kas minētas 145. pantā, vai kas izolētas kādā dalībvalstī, ja nepastāv atsevišķas vienības, nepiemēro prasības, kas attiecas uz organizatoriskajām vienībām bez hierarhiskas saiknes to starpā.</w:t>
      </w:r>
    </w:p>
    <w:p>
      <w:pPr>
        <w:pStyle w:val="NumPar2"/>
        <w:rPr>
          <w:noProof/>
        </w:rPr>
      </w:pPr>
      <w:r>
        <w:rPr>
          <w:noProof/>
        </w:rPr>
        <w:t>Starpiestāžu iepirkuma procedūras gadījumā atvēršanas komisiju norīko par iepirkuma procedūru atbildīgās iestādes atbildīgais kredītrīkotājs.</w:t>
      </w:r>
    </w:p>
    <w:p>
      <w:pPr>
        <w:pStyle w:val="NumPar2"/>
        <w:rPr>
          <w:noProof/>
        </w:rPr>
      </w:pPr>
      <w:r>
        <w:rPr>
          <w:noProof/>
        </w:rPr>
        <w:t>Līgumslēdzēja iestāde jebkurā piemērotā veidā pārbauda un nodrošina sākotnējā piedāvājuma, tostarp finanšu piedāvājuma un pierādījumu par dokumentu saņemšanas datumu un laiku, integritāti, kā paredzēts 144. panta 2. un 4. punktā.</w:t>
      </w:r>
    </w:p>
    <w:p>
      <w:pPr>
        <w:pStyle w:val="NumPar2"/>
        <w:rPr>
          <w:noProof/>
        </w:rPr>
      </w:pPr>
      <w:r>
        <w:rPr>
          <w:noProof/>
        </w:rPr>
        <w:t>Atklātās procedūrās, kurās līgumu piešķir atbilstoši zemākās cenas vai zemāko izmaksu metodēm saskaņā ar 161. panta 4. punktu, cenas, kas ietvertas prasībām atbilstošajos piedāvājumos, nolasa skaļi.</w:t>
      </w:r>
    </w:p>
    <w:p>
      <w:pPr>
        <w:pStyle w:val="NumPar2"/>
        <w:rPr>
          <w:noProof/>
        </w:rPr>
      </w:pPr>
      <w:r>
        <w:rPr>
          <w:noProof/>
        </w:rPr>
        <w:t>Saņemto piedāvājumu atvēršanas rakstisko protokolu paraksta persona vai personas, kas atbild par atvēršanu, vai atvēršanas komisijas locekļi. Protokolā norāda piedāvājumus, kas atbilst 144. panta prasībām, un tos, kuri tām neatbilst, un sniedz pamatojumu piedāvājumu noraidīšanai, kā noteikts 162. panta 4. punktā. Minēto protokolu var parakstīt elektroniskā sistēmā, kas pietiekami nodrošina parakstītāja identifikāciju.</w:t>
      </w:r>
    </w:p>
    <w:p>
      <w:pPr>
        <w:pStyle w:val="NumPar1"/>
        <w:jc w:val="left"/>
        <w:rPr>
          <w:b/>
          <w:noProof/>
        </w:rPr>
      </w:pPr>
      <w:r>
        <w:rPr>
          <w:b/>
          <w:noProof/>
        </w:rPr>
        <w:t>Piedāvājumu un dalības pieteikumu vērtēšana</w:t>
      </w:r>
    </w:p>
    <w:p>
      <w:pPr>
        <w:pStyle w:val="NumPar2"/>
        <w:rPr>
          <w:noProof/>
        </w:rPr>
      </w:pPr>
      <w:r>
        <w:rPr>
          <w:noProof/>
        </w:rPr>
        <w:t>Atbildīgais kredītrīkotājs var pieņemt lēmumu, ka vērtēšanas komisijai piedāvājumi ir jāizvērtē un jāsarindo, pamatojoties tikai uz piešķiršanas kritērijiem, bet izslēgšanas un atlases kritēriji izvērtējami, izmantojot citus atbilstīgus līdzekļus, kas garantē interešu konflikta nepastāvēšanu.</w:t>
      </w:r>
    </w:p>
    <w:p>
      <w:pPr>
        <w:pStyle w:val="NumPar2"/>
        <w:rPr>
          <w:noProof/>
        </w:rPr>
      </w:pPr>
      <w:r>
        <w:rPr>
          <w:noProof/>
        </w:rPr>
        <w:lastRenderedPageBreak/>
        <w:t>Starpiestāžu iepirkuma procedūras gadījumā vērtēšanas komisiju ieceļ par iepirkuma procedūru atbildīgās iestādes atbildīgais kredītrīkotājs. Vērtēšanas komisijas sastāvam pēc iespējas jāatspoguļo iepirkumu procedūras starpiestāžu raksturs.</w:t>
      </w:r>
    </w:p>
    <w:p>
      <w:pPr>
        <w:pStyle w:val="NumPar2"/>
        <w:rPr>
          <w:noProof/>
        </w:rPr>
      </w:pPr>
      <w:r>
        <w:rPr>
          <w:noProof/>
        </w:rPr>
        <w:t>Par pieņemamiem uzskata dalības pieteikumus un piedāvājumus, kas ir piemēroti saskaņā ar 11.2. punktu un kas nav neatbilstīgi vai nepieņemami saskaņā ar 12.2. un 12.3. punktu.</w:t>
      </w:r>
    </w:p>
    <w:p>
      <w:pPr>
        <w:pStyle w:val="NumPar1"/>
        <w:rPr>
          <w:b/>
          <w:noProof/>
        </w:rPr>
      </w:pPr>
      <w:r>
        <w:rPr>
          <w:b/>
          <w:noProof/>
        </w:rPr>
        <w:t>Vērtēšanas rezultāti un piešķiršanas lēmums</w:t>
      </w:r>
    </w:p>
    <w:p>
      <w:pPr>
        <w:pStyle w:val="NumPar2"/>
        <w:rPr>
          <w:noProof/>
        </w:rPr>
      </w:pPr>
      <w:r>
        <w:rPr>
          <w:noProof/>
        </w:rPr>
        <w:t>Vērtēšanas rezultāts ir vērtējuma ziņojums, kas ietver priekšlikumu piešķirt līgumslēgšanas tiesības. Vērtējuma ziņojumu datē un paraksta persona vai personas, kuras veica vērtēšanu, vai vērtēšanas komisijas locekļi. Minēto ziņojumu var parakstīt elektroniskā sistēmā, kas pietiekami nodrošina parakstītāja identifikāciju.</w:t>
      </w:r>
    </w:p>
    <w:p>
      <w:pPr>
        <w:pStyle w:val="Text1"/>
        <w:rPr>
          <w:noProof/>
        </w:rPr>
      </w:pPr>
      <w:r>
        <w:rPr>
          <w:noProof/>
        </w:rPr>
        <w:t>Ja vērtēšanas komisija nav bijusi atbildīga par piedāvājumu novērtēšanu pēc izslēgšanas un atlases kritērijiem, vērtējuma ziņojumu paraksta arī personas, kurām atbildīgais kredītrīkotājs bija uzdevis to veikt.</w:t>
      </w:r>
    </w:p>
    <w:p>
      <w:pPr>
        <w:pStyle w:val="NumPar2"/>
        <w:rPr>
          <w:noProof/>
        </w:rPr>
      </w:pPr>
      <w:r>
        <w:rPr>
          <w:noProof/>
        </w:rPr>
        <w:t>Vērtējuma ziņojumā norāda:</w:t>
      </w:r>
    </w:p>
    <w:p>
      <w:pPr>
        <w:pStyle w:val="Point1"/>
        <w:rPr>
          <w:noProof/>
        </w:rPr>
      </w:pPr>
      <w:r>
        <w:rPr>
          <w:noProof/>
        </w:rPr>
        <w:t>a)</w:t>
      </w:r>
      <w:r>
        <w:rPr>
          <w:noProof/>
        </w:rPr>
        <w:tab/>
        <w:t>līgumslēdzējas iestādes nosaukumu un adresi, līguma priekšmetu un vērtību vai pamatlīguma priekšmetu un maksimālo vērtību;</w:t>
      </w:r>
    </w:p>
    <w:p>
      <w:pPr>
        <w:pStyle w:val="Point1"/>
        <w:rPr>
          <w:noProof/>
        </w:rPr>
      </w:pPr>
      <w:r>
        <w:rPr>
          <w:noProof/>
        </w:rPr>
        <w:t>b)</w:t>
      </w:r>
      <w:r>
        <w:rPr>
          <w:noProof/>
        </w:rPr>
        <w:tab/>
        <w:t>noraidīto kandidātu vai pretendentu nosaukumus un noraidījuma iemeslus, atsaucoties uz kādu no situācijām, kas minētas 137. pantā, vai uz atlases kritērijiem;</w:t>
      </w:r>
    </w:p>
    <w:p>
      <w:pPr>
        <w:pStyle w:val="Point1"/>
        <w:rPr>
          <w:noProof/>
        </w:rPr>
      </w:pPr>
      <w:r>
        <w:rPr>
          <w:noProof/>
        </w:rPr>
        <w:t>c)</w:t>
      </w:r>
      <w:r>
        <w:rPr>
          <w:noProof/>
        </w:rPr>
        <w:tab/>
        <w:t>atsauces uz noraidītajiem piedāvājumiem un noraidījuma iemeslus, atsaucoties uz kādu šādiem apstākļiem:</w:t>
      </w:r>
    </w:p>
    <w:p>
      <w:pPr>
        <w:pStyle w:val="Point2"/>
        <w:rPr>
          <w:noProof/>
        </w:rPr>
      </w:pPr>
      <w:r>
        <w:rPr>
          <w:noProof/>
        </w:rPr>
        <w:t>i)</w:t>
      </w:r>
      <w:r>
        <w:rPr>
          <w:noProof/>
        </w:rPr>
        <w:tab/>
        <w:t>neatbilstība minimālajām prasībām, kas noteiktas 161. panta 1. punkta a) apakšpunktā,</w:t>
      </w:r>
    </w:p>
    <w:p>
      <w:pPr>
        <w:pStyle w:val="Point2"/>
        <w:rPr>
          <w:noProof/>
        </w:rPr>
      </w:pPr>
      <w:r>
        <w:rPr>
          <w:noProof/>
        </w:rPr>
        <w:t>ii)</w:t>
      </w:r>
      <w:r>
        <w:rPr>
          <w:noProof/>
        </w:rPr>
        <w:tab/>
        <w:t>neatbilstība minimālajiem kvalitātes līmeņiem, kas noteikti 21. punktā,</w:t>
      </w:r>
    </w:p>
    <w:p>
      <w:pPr>
        <w:pStyle w:val="Point2"/>
        <w:rPr>
          <w:noProof/>
        </w:rPr>
      </w:pPr>
      <w:r>
        <w:rPr>
          <w:noProof/>
        </w:rPr>
        <w:t>iii)</w:t>
      </w:r>
      <w:r>
        <w:rPr>
          <w:noProof/>
        </w:rPr>
        <w:tab/>
        <w:t>piedāvājumi atzīti par nesamērīgi lētiem, kā minēts 23. punktā;</w:t>
      </w:r>
    </w:p>
    <w:p>
      <w:pPr>
        <w:pStyle w:val="Point1"/>
        <w:rPr>
          <w:noProof/>
        </w:rPr>
      </w:pPr>
      <w:r>
        <w:rPr>
          <w:noProof/>
        </w:rPr>
        <w:t>d)</w:t>
      </w:r>
      <w:r>
        <w:rPr>
          <w:noProof/>
        </w:rPr>
        <w:tab/>
        <w:t>atlasīto kandidātu vai pretendentu vārdus un to atlasīšanas iemeslus;</w:t>
      </w:r>
    </w:p>
    <w:p>
      <w:pPr>
        <w:pStyle w:val="Point1"/>
        <w:rPr>
          <w:noProof/>
        </w:rPr>
      </w:pPr>
      <w:r>
        <w:rPr>
          <w:noProof/>
        </w:rPr>
        <w:t>e)</w:t>
      </w:r>
      <w:r>
        <w:rPr>
          <w:noProof/>
        </w:rPr>
        <w:tab/>
        <w:t>to pretendentu vārdus, kas sarindoti atbilstoši to iegūtajam vērtējumam, un vērtējumu pamatojumus;</w:t>
      </w:r>
    </w:p>
    <w:p>
      <w:pPr>
        <w:pStyle w:val="Point1"/>
        <w:rPr>
          <w:noProof/>
        </w:rPr>
      </w:pPr>
      <w:r>
        <w:rPr>
          <w:noProof/>
        </w:rPr>
        <w:t>f)</w:t>
      </w:r>
      <w:r>
        <w:rPr>
          <w:noProof/>
        </w:rPr>
        <w:tab/>
        <w:t>izvirzīto kandidātu vai izraudzītā pretendenta vārdus un attiecīgās izvēles iemeslus;</w:t>
      </w:r>
    </w:p>
    <w:p>
      <w:pPr>
        <w:pStyle w:val="Point1"/>
        <w:rPr>
          <w:noProof/>
        </w:rPr>
      </w:pPr>
      <w:r>
        <w:rPr>
          <w:noProof/>
        </w:rPr>
        <w:t>g)</w:t>
      </w:r>
      <w:r>
        <w:rPr>
          <w:noProof/>
        </w:rPr>
        <w:tab/>
        <w:t>ja zināms, līguma vai pamatlīguma proporcionālo daļu, par kuru piedāvātais darbuzņēmējs nodomājis slēgt apakšuzņēmuma līgumus ar trešām personām.</w:t>
      </w:r>
    </w:p>
    <w:p>
      <w:pPr>
        <w:pStyle w:val="NumPar2"/>
        <w:rPr>
          <w:noProof/>
        </w:rPr>
      </w:pPr>
      <w:r>
        <w:rPr>
          <w:noProof/>
        </w:rPr>
        <w:t>Līgumslēdzēja iestāde pēc tam pieņem lēmumu, kurā sniedz:</w:t>
      </w:r>
    </w:p>
    <w:p>
      <w:pPr>
        <w:pStyle w:val="Point1"/>
        <w:rPr>
          <w:noProof/>
        </w:rPr>
      </w:pPr>
      <w:r>
        <w:rPr>
          <w:noProof/>
        </w:rPr>
        <w:t>a)</w:t>
      </w:r>
      <w:r>
        <w:rPr>
          <w:noProof/>
        </w:rPr>
        <w:tab/>
        <w:t>vērtējuma ziņojuma apstiprinājumu, kurā ietverta visa informācija, kas uzskaitīta 30.2. punktā un ko papildina ar turpmāk uzskaitīto:</w:t>
      </w:r>
    </w:p>
    <w:p>
      <w:pPr>
        <w:pStyle w:val="Point2"/>
        <w:rPr>
          <w:noProof/>
        </w:rPr>
      </w:pPr>
      <w:r>
        <w:rPr>
          <w:noProof/>
        </w:rPr>
        <w:t>i)</w:t>
      </w:r>
      <w:r>
        <w:rPr>
          <w:noProof/>
        </w:rPr>
        <w:tab/>
        <w:t>izraudzītā pretendenta nosaukumu un izraudzīšanās iemeslus, atsaucoties uz iepriekš paziņotajiem atlases un piešķiršanas kritērijiem, attiecīgā gadījumā norādot iemeslus, kādēļ tā nav rīkojusies saskaņā ar vērtējuma ziņojumā sniegto ieteikumu;</w:t>
      </w:r>
    </w:p>
    <w:p>
      <w:pPr>
        <w:pStyle w:val="Point2"/>
        <w:rPr>
          <w:noProof/>
        </w:rPr>
      </w:pPr>
      <w:r>
        <w:rPr>
          <w:noProof/>
        </w:rPr>
        <w:lastRenderedPageBreak/>
        <w:t>ii)</w:t>
      </w:r>
      <w:r>
        <w:rPr>
          <w:noProof/>
        </w:rPr>
        <w:tab/>
        <w:t>ja piemēro sarunu procedūru bez iepriekšējas publicēšanas, konkursa procedūru ar sarunām vai konkursa dialogu – 11., 12. un 39. punktā  minētos apstākļus, kuri pamato iepriekšminēto procedūru izmantošanu;</w:t>
      </w:r>
    </w:p>
    <w:p>
      <w:pPr>
        <w:pStyle w:val="Point1"/>
        <w:rPr>
          <w:noProof/>
        </w:rPr>
      </w:pPr>
      <w:r>
        <w:rPr>
          <w:noProof/>
        </w:rPr>
        <w:t>b)</w:t>
      </w:r>
      <w:r>
        <w:rPr>
          <w:noProof/>
        </w:rPr>
        <w:tab/>
        <w:t>attiecīgā gadījumā – iemeslus, kādēļ līgumslēdzēja iestāde izlēmusi nepiešķirt līgumu.</w:t>
      </w:r>
    </w:p>
    <w:p>
      <w:pPr>
        <w:pStyle w:val="NumPar2"/>
        <w:rPr>
          <w:noProof/>
        </w:rPr>
      </w:pPr>
      <w:r>
        <w:rPr>
          <w:noProof/>
        </w:rPr>
        <w:t>Kredītrīkotājs var apvienot vērtējuma ziņojuma un piešķiršanas lēmuma saturu vienā dokumentā un to parakstīt jebkurā no šādiem gadījumiem:</w:t>
      </w:r>
    </w:p>
    <w:p>
      <w:pPr>
        <w:pStyle w:val="Point1"/>
        <w:rPr>
          <w:noProof/>
        </w:rPr>
      </w:pPr>
      <w:r>
        <w:rPr>
          <w:noProof/>
        </w:rPr>
        <w:t>a)</w:t>
      </w:r>
      <w:r>
        <w:rPr>
          <w:noProof/>
        </w:rPr>
        <w:tab/>
        <w:t>attiecībā uz procedūrām, kuru vērtība ir zemāka par 169. panta 1. punktā noteiktajiem robežlielumiem, ja saņemts tikai viens piedāvājums;</w:t>
      </w:r>
    </w:p>
    <w:p>
      <w:pPr>
        <w:pStyle w:val="Point1"/>
        <w:rPr>
          <w:noProof/>
        </w:rPr>
      </w:pPr>
      <w:r>
        <w:rPr>
          <w:noProof/>
        </w:rPr>
        <w:t>b)</w:t>
      </w:r>
      <w:r>
        <w:rPr>
          <w:noProof/>
        </w:rPr>
        <w:tab/>
        <w:t>atsākot konkursu saskaņā ar pamatlīgumu, ja nebija iecelta vērtēšanas komisija;</w:t>
      </w:r>
    </w:p>
    <w:p>
      <w:pPr>
        <w:pStyle w:val="Point1"/>
        <w:rPr>
          <w:noProof/>
        </w:rPr>
      </w:pPr>
      <w:r>
        <w:rPr>
          <w:noProof/>
        </w:rPr>
        <w:t>c)</w:t>
      </w:r>
      <w:r>
        <w:rPr>
          <w:noProof/>
        </w:rPr>
        <w:tab/>
        <w:t>gadījumos, kas minēti 11.1. punkta c) un e) apakšpunktā, f) apakšpunkta i) un iii) punktā un h) apakšpunktā, ja nebija iecelta vērtēšanas komisija.</w:t>
      </w:r>
    </w:p>
    <w:p>
      <w:pPr>
        <w:pStyle w:val="NumPar2"/>
        <w:rPr>
          <w:noProof/>
        </w:rPr>
      </w:pPr>
      <w:r>
        <w:rPr>
          <w:noProof/>
        </w:rPr>
        <w:t>Starpiestāžu iepirkuma procedūras gadījumā 30.3. punktā minēto lēmumu pieņem līgumslēdzēja iestāde, kas atbildīga par iepirkuma procedūru.</w:t>
      </w:r>
    </w:p>
    <w:p>
      <w:pPr>
        <w:pStyle w:val="NumPar1"/>
        <w:rPr>
          <w:b/>
          <w:noProof/>
        </w:rPr>
      </w:pPr>
      <w:r>
        <w:rPr>
          <w:b/>
          <w:noProof/>
        </w:rPr>
        <w:t>Informācija kandidātiem un pretendentiem</w:t>
      </w:r>
    </w:p>
    <w:p>
      <w:pPr>
        <w:pStyle w:val="NumPar2"/>
        <w:rPr>
          <w:noProof/>
        </w:rPr>
      </w:pPr>
      <w:r>
        <w:rPr>
          <w:noProof/>
        </w:rPr>
        <w:t>Tiklīdz iespējams, līgumslēdzēja iestāde visus kandidātus vai pretendentus vienlaicīgi un individuāli elektroniski informē par lēmumiem, kas pieņemti attiecībā uz procedūras iznākumu, pēc šādiem posmiem:</w:t>
      </w:r>
    </w:p>
    <w:p>
      <w:pPr>
        <w:pStyle w:val="Point1"/>
        <w:rPr>
          <w:noProof/>
        </w:rPr>
      </w:pPr>
      <w:r>
        <w:rPr>
          <w:noProof/>
        </w:rPr>
        <w:t>a)</w:t>
      </w:r>
      <w:r>
        <w:rPr>
          <w:noProof/>
        </w:rPr>
        <w:tab/>
        <w:t>pēc atvēršanas posma attiecībā uz gadījumiem, kas minēti 162. panta 3. punktā;</w:t>
      </w:r>
    </w:p>
    <w:p>
      <w:pPr>
        <w:pStyle w:val="Point1"/>
        <w:rPr>
          <w:noProof/>
        </w:rPr>
      </w:pPr>
      <w:r>
        <w:rPr>
          <w:noProof/>
        </w:rPr>
        <w:t>b)</w:t>
      </w:r>
      <w:r>
        <w:rPr>
          <w:noProof/>
        </w:rPr>
        <w:tab/>
        <w:t>kad pieņemts lēmums, pamatojoties uz izslēgšanas un atlases kritērijiem, ja iepirkuma procedūru organizē divos atsevišķos posmos;</w:t>
      </w:r>
    </w:p>
    <w:p>
      <w:pPr>
        <w:pStyle w:val="Point1"/>
        <w:rPr>
          <w:noProof/>
        </w:rPr>
      </w:pPr>
      <w:r>
        <w:rPr>
          <w:noProof/>
        </w:rPr>
        <w:t>c)</w:t>
      </w:r>
      <w:r>
        <w:rPr>
          <w:noProof/>
        </w:rPr>
        <w:tab/>
        <w:t>pēc piešķiršanas lēmuma.</w:t>
      </w:r>
    </w:p>
    <w:p>
      <w:pPr>
        <w:pStyle w:val="Text1"/>
        <w:rPr>
          <w:noProof/>
        </w:rPr>
      </w:pPr>
      <w:r>
        <w:rPr>
          <w:noProof/>
        </w:rPr>
        <w:t>Ikvienā gadījumā līgumslēdzēja iestāde norāda iemeslus, kāpēc dalības pieteikums vai piedāvājums nav pieņemts, un pieejamos tiesiskās aizsardzības līdzekļus.</w:t>
      </w:r>
    </w:p>
    <w:p>
      <w:pPr>
        <w:pStyle w:val="Text1"/>
        <w:rPr>
          <w:noProof/>
        </w:rPr>
      </w:pPr>
      <w:r>
        <w:rPr>
          <w:noProof/>
        </w:rPr>
        <w:t>Informējot izraudzīto pretendentu, līgumslēdzēja iestāde norāda, ka paziņotais lēmums līgumslēdzējai iestādei neuzliek nekādas saistības.</w:t>
      </w:r>
    </w:p>
    <w:p>
      <w:pPr>
        <w:pStyle w:val="NumPar2"/>
        <w:rPr>
          <w:noProof/>
        </w:rPr>
      </w:pPr>
      <w:r>
        <w:rPr>
          <w:noProof/>
        </w:rPr>
        <w:t>Līgumslēdzēja iestāde pēc iespējas drīz un jebkurā gadījumā 15 dienu laikā no rakstiska pieprasījuma saņemšanas sniedz informāciju, kas noteikta 164. panta 3. punktā. Ja līgumslēdzēja iestāde piešķir līgumus savā vārdā, tā izmanto elektroniskos saziņas līdzekļus. Pretendents arī var nosūtīt pieprasījumu elektroniski.</w:t>
      </w:r>
    </w:p>
    <w:p>
      <w:pPr>
        <w:pStyle w:val="NumPar2"/>
        <w:rPr>
          <w:noProof/>
        </w:rPr>
      </w:pPr>
      <w:r>
        <w:rPr>
          <w:noProof/>
        </w:rPr>
        <w:t>Ja līgumslēdzēja iestāde izmanto elektronisko saziņu, uzskata, ka kandidāti vai pretendenti ir saņēmuši informāciju, ja līgumslēdzēja iestāde var pierādīt, ka minēto informāciju tā ir nosūtījusi uz e-pasta adresi, kura minēta piedāvājumā vai dalības pieteikumā.</w:t>
      </w:r>
    </w:p>
    <w:p>
      <w:pPr>
        <w:pStyle w:val="Text1"/>
        <w:rPr>
          <w:noProof/>
        </w:rPr>
      </w:pPr>
      <w:r>
        <w:rPr>
          <w:noProof/>
        </w:rPr>
        <w:t>Šādā gadījumā uzskata, ka kandidāts vai pretendents informāciju ir saņēmis dienā, kad līgumslēdzēja iestāde to ir nosūtījusi.</w:t>
      </w:r>
    </w:p>
    <w:p>
      <w:pPr>
        <w:pStyle w:val="ChapterTitle"/>
        <w:rPr>
          <w:noProof/>
        </w:rPr>
      </w:pPr>
      <w:r>
        <w:rPr>
          <w:noProof/>
        </w:rPr>
        <w:lastRenderedPageBreak/>
        <w:t>2. NODAĻA</w:t>
      </w:r>
    </w:p>
    <w:p>
      <w:pPr>
        <w:pStyle w:val="ChapterTitle"/>
        <w:rPr>
          <w:noProof/>
        </w:rPr>
      </w:pPr>
      <w:r>
        <w:rPr>
          <w:noProof/>
        </w:rPr>
        <w:t>Noteikumi par līgumiem, kurus Savienības iestādes piešķir savā vārdā</w:t>
      </w:r>
    </w:p>
    <w:p>
      <w:pPr>
        <w:pStyle w:val="NumPar1"/>
        <w:rPr>
          <w:b/>
          <w:noProof/>
        </w:rPr>
      </w:pPr>
      <w:r>
        <w:rPr>
          <w:b/>
          <w:noProof/>
        </w:rPr>
        <w:t>Centralizēto iepirkumu struktūra</w:t>
      </w:r>
    </w:p>
    <w:p>
      <w:pPr>
        <w:pStyle w:val="NumPar2"/>
        <w:rPr>
          <w:noProof/>
        </w:rPr>
      </w:pPr>
      <w:r>
        <w:rPr>
          <w:noProof/>
        </w:rPr>
        <w:t>Centralizēto iepirkumu struktūra var darboties kā:</w:t>
      </w:r>
    </w:p>
    <w:p>
      <w:pPr>
        <w:pStyle w:val="Point1"/>
        <w:rPr>
          <w:noProof/>
        </w:rPr>
      </w:pPr>
      <w:r>
        <w:rPr>
          <w:noProof/>
        </w:rPr>
        <w:t>a)</w:t>
      </w:r>
      <w:r>
        <w:rPr>
          <w:noProof/>
        </w:rPr>
        <w:tab/>
        <w:t>vairumtirgotājs, kas pērk, veido krājumus un tālākpārdod preces un pakalpojumus citām līgumslēdzējām iestādēm;</w:t>
      </w:r>
    </w:p>
    <w:p>
      <w:pPr>
        <w:pStyle w:val="Point1"/>
        <w:rPr>
          <w:noProof/>
        </w:rPr>
      </w:pPr>
      <w:r>
        <w:rPr>
          <w:noProof/>
        </w:rPr>
        <w:t>b)</w:t>
      </w:r>
      <w:r>
        <w:rPr>
          <w:noProof/>
        </w:rPr>
        <w:tab/>
        <w:t>starpnieks, kas piešķir pamatlīgumus vai pārvalda dinamiskās iepirkumu sistēmas, ko var izmantot arī citas līgumslēdzējas iestādes, kā norādīts sākotnējā paziņojumā.</w:t>
      </w:r>
    </w:p>
    <w:p>
      <w:pPr>
        <w:pStyle w:val="NumPar2"/>
        <w:rPr>
          <w:noProof/>
        </w:rPr>
      </w:pPr>
      <w:r>
        <w:rPr>
          <w:noProof/>
        </w:rPr>
        <w:t>Centralizēto iepirkumu struktūra visas iepirkuma procedūras veic, izmantojot elektroniskos saziņas līdzekļus.</w:t>
      </w:r>
    </w:p>
    <w:p>
      <w:pPr>
        <w:pStyle w:val="NumPar1"/>
        <w:rPr>
          <w:b/>
          <w:noProof/>
        </w:rPr>
      </w:pPr>
      <w:r>
        <w:rPr>
          <w:b/>
          <w:noProof/>
        </w:rPr>
        <w:t>Daļas</w:t>
      </w:r>
    </w:p>
    <w:p>
      <w:pPr>
        <w:pStyle w:val="NumPar2"/>
        <w:rPr>
          <w:noProof/>
        </w:rPr>
      </w:pPr>
      <w:r>
        <w:rPr>
          <w:noProof/>
        </w:rPr>
        <w:t>Attiecīgā gadījumā, ciktāl tas ir tehniski iespējams un izmaksu ziņā lietderīgi, līgumus piešķir atsevišķu daļu veidā vienā procedūrā.</w:t>
      </w:r>
    </w:p>
    <w:p>
      <w:pPr>
        <w:pStyle w:val="NumPar2"/>
        <w:rPr>
          <w:noProof/>
        </w:rPr>
      </w:pPr>
      <w:r>
        <w:rPr>
          <w:noProof/>
        </w:rPr>
        <w:t>Ja līguma priekšmets ir sadalīts vairākās daļās, kur katra daļa ir atsevišķa līguma priekšmets, piemērojamā robežlieluma kopējā vērtējumā ņem vērā visu daļu kopvērtību.</w:t>
      </w:r>
    </w:p>
    <w:p>
      <w:pPr>
        <w:pStyle w:val="Text1"/>
        <w:rPr>
          <w:noProof/>
        </w:rPr>
      </w:pPr>
      <w:r>
        <w:rPr>
          <w:noProof/>
        </w:rPr>
        <w:t>Ja visu daļu kopvērtība ir vienāda ar vai lielāka par robežlielumiem, kas noteikti 169. panta 1. punktā, katrai daļai piemēro 157. panta 1. punktu, 158. un 159. pantu.</w:t>
      </w:r>
    </w:p>
    <w:p>
      <w:pPr>
        <w:pStyle w:val="NumPar2"/>
        <w:rPr>
          <w:noProof/>
        </w:rPr>
      </w:pPr>
      <w:r>
        <w:rPr>
          <w:noProof/>
        </w:rPr>
        <w:t>Ja līgumu piešķir atsevišķu daļu veidā, piedāvājumus izvērtē atsevišķi katrai daļai. Ja tam pašam pretendentam piešķir vairākas daļas, var parakstīt vienu līgumu par visām šīm daļām.</w:t>
      </w:r>
    </w:p>
    <w:p>
      <w:pPr>
        <w:pStyle w:val="NumPar1"/>
        <w:rPr>
          <w:b/>
          <w:noProof/>
        </w:rPr>
      </w:pPr>
      <w:r>
        <w:rPr>
          <w:b/>
          <w:noProof/>
        </w:rPr>
        <w:t>Noteikumi par līguma vērtības aplēšanu</w:t>
      </w:r>
    </w:p>
    <w:p>
      <w:pPr>
        <w:pStyle w:val="NumPar2"/>
        <w:rPr>
          <w:noProof/>
        </w:rPr>
      </w:pPr>
      <w:r>
        <w:rPr>
          <w:noProof/>
        </w:rPr>
        <w:t>Līgumslēdzēja iestāde līguma vērtību aplēš, pamatojoties uz kopējo maksājamo summu, ieskaitot visa veida iespējas un atjaunošanu.</w:t>
      </w:r>
    </w:p>
    <w:p>
      <w:pPr>
        <w:pStyle w:val="Text1"/>
        <w:rPr>
          <w:noProof/>
        </w:rPr>
      </w:pPr>
      <w:r>
        <w:rPr>
          <w:noProof/>
        </w:rPr>
        <w:t>Šo aplēsi nosaka vēlākais tad, kad līgumslēdzēja iestāde sāk iepirkuma procedūru.</w:t>
      </w:r>
    </w:p>
    <w:p>
      <w:pPr>
        <w:pStyle w:val="NumPar2"/>
        <w:rPr>
          <w:noProof/>
        </w:rPr>
      </w:pPr>
      <w:r>
        <w:rPr>
          <w:noProof/>
        </w:rPr>
        <w:t>Pamatlīgumu un dinamisko iepirkumu sistēmu gadījumā vērtība, kas jāņem vērā, ir visu to līgumu maksimālā vērtība, kuri paredzēti visā pamatlīguma vai dinamiskās iepirkumu sistēmas darbības laikā.</w:t>
      </w:r>
    </w:p>
    <w:p>
      <w:pPr>
        <w:pStyle w:val="Text1"/>
        <w:rPr>
          <w:noProof/>
        </w:rPr>
      </w:pPr>
      <w:r>
        <w:rPr>
          <w:noProof/>
        </w:rPr>
        <w:t>Inovācijas partnerības gadījumā vērtība, kas jāņem vērā, ir maksimālā lēstā vērtība, ko veido pētniecības un izstrādes darbības, kuras tiks īstenotas visos paredzētās partnerības posmos, kā arī būvdarbi, piegādes vai pakalpojumi, kurus iegādāsies paredzētās partnerības darbības rezultātā.</w:t>
      </w:r>
    </w:p>
    <w:p>
      <w:pPr>
        <w:pStyle w:val="Text1"/>
        <w:rPr>
          <w:noProof/>
        </w:rPr>
      </w:pPr>
      <w:r>
        <w:rPr>
          <w:noProof/>
        </w:rPr>
        <w:t>Ja līgumslēdzēja iestāde ir paredzējusi kandidātiem vai pretendentiem piešķirt samaksu, to ņem vērā līguma lēstās vērtības aprēķinā.</w:t>
      </w:r>
    </w:p>
    <w:p>
      <w:pPr>
        <w:pStyle w:val="NumPar2"/>
        <w:rPr>
          <w:noProof/>
        </w:rPr>
      </w:pPr>
      <w:r>
        <w:rPr>
          <w:noProof/>
        </w:rPr>
        <w:t>Pakalpojumu līgumiem ņem vērā:</w:t>
      </w:r>
    </w:p>
    <w:p>
      <w:pPr>
        <w:pStyle w:val="Point1"/>
        <w:rPr>
          <w:noProof/>
        </w:rPr>
      </w:pPr>
      <w:r>
        <w:rPr>
          <w:noProof/>
        </w:rPr>
        <w:lastRenderedPageBreak/>
        <w:t>a)</w:t>
      </w:r>
      <w:r>
        <w:rPr>
          <w:noProof/>
        </w:rPr>
        <w:tab/>
        <w:t>apdrošināšanas pakalpojumiem – maksājamās prēmijas un citus atlīdzības veidus;</w:t>
      </w:r>
    </w:p>
    <w:p>
      <w:pPr>
        <w:pStyle w:val="Point1"/>
        <w:rPr>
          <w:noProof/>
        </w:rPr>
      </w:pPr>
      <w:r>
        <w:rPr>
          <w:noProof/>
        </w:rPr>
        <w:t>b)</w:t>
      </w:r>
      <w:r>
        <w:rPr>
          <w:noProof/>
        </w:rPr>
        <w:tab/>
        <w:t>banku vai finanšu pakalpojumiem – maksas, komisijas maksas, procentus un cita veida atlīdzību;</w:t>
      </w:r>
    </w:p>
    <w:p>
      <w:pPr>
        <w:pStyle w:val="Point1"/>
        <w:rPr>
          <w:noProof/>
        </w:rPr>
      </w:pPr>
      <w:r>
        <w:rPr>
          <w:noProof/>
        </w:rPr>
        <w:t>c)</w:t>
      </w:r>
      <w:r>
        <w:rPr>
          <w:noProof/>
        </w:rPr>
        <w:tab/>
        <w:t>projektēšanas līgumiem – maksas, komisijas maksas un cita veida atlīdzību.</w:t>
      </w:r>
    </w:p>
    <w:p>
      <w:pPr>
        <w:pStyle w:val="NumPar2"/>
        <w:rPr>
          <w:noProof/>
        </w:rPr>
      </w:pPr>
      <w:r>
        <w:rPr>
          <w:noProof/>
        </w:rPr>
        <w:t>Attiecībā uz pakalpojumu līgumiem, kuros nav precizēta kopējā cena, vai piegādes līgumiem par produktu līzingu, nomu vai nomu ar izpirkuma tiesībām, pamats lēstās līguma vērtības aprēķināšanai ir:</w:t>
      </w:r>
    </w:p>
    <w:p>
      <w:pPr>
        <w:pStyle w:val="Point1"/>
        <w:rPr>
          <w:noProof/>
        </w:rPr>
      </w:pPr>
      <w:r>
        <w:rPr>
          <w:noProof/>
        </w:rPr>
        <w:t>a) līgumiem uz noteiktu laiku:</w:t>
      </w:r>
    </w:p>
    <w:p>
      <w:pPr>
        <w:pStyle w:val="Point2"/>
        <w:rPr>
          <w:noProof/>
        </w:rPr>
      </w:pPr>
      <w:r>
        <w:rPr>
          <w:noProof/>
        </w:rPr>
        <w:t>i)</w:t>
      </w:r>
      <w:r>
        <w:rPr>
          <w:noProof/>
        </w:rPr>
        <w:tab/>
        <w:t>ja pakalpojumu līgumu ilgums ir 48 mēneši vai mazāks un piegādes līgumu termiņš ir 12 mēneši vai mazāks – līguma kopvērtība tā darbības laikā;</w:t>
      </w:r>
    </w:p>
    <w:p>
      <w:pPr>
        <w:pStyle w:val="Point2"/>
        <w:rPr>
          <w:noProof/>
        </w:rPr>
      </w:pPr>
      <w:r>
        <w:rPr>
          <w:noProof/>
        </w:rPr>
        <w:t>ii)</w:t>
      </w:r>
      <w:r>
        <w:rPr>
          <w:noProof/>
        </w:rPr>
        <w:tab/>
        <w:t>ja piegādes līguma ilgums ir vairāk nekā 12 mēneši – kopvērtība, ieskaitot lēsto atlikušo vērtību;</w:t>
      </w:r>
    </w:p>
    <w:p>
      <w:pPr>
        <w:pStyle w:val="Point1"/>
        <w:rPr>
          <w:noProof/>
        </w:rPr>
      </w:pPr>
      <w:r>
        <w:rPr>
          <w:noProof/>
        </w:rPr>
        <w:t>b) beztermiņa līgumiem vai pakalpojumu līgumiem, kuru termiņš pārsniedz 48 mēnešus, – mēneša vērtība, kas reizināta ar 48.</w:t>
      </w:r>
    </w:p>
    <w:p>
      <w:pPr>
        <w:pStyle w:val="NumPar2"/>
        <w:rPr>
          <w:noProof/>
        </w:rPr>
      </w:pPr>
      <w:r>
        <w:rPr>
          <w:noProof/>
        </w:rPr>
        <w:t>Piegādes vai pakalpojumu līgumiem, kurus piešķir regulāri vai kurus ir paredzēts atjaunot noteiktā periodā, pamats līguma lēstās vērtības aprēķināšanai ir kāds no šādiem:</w:t>
      </w:r>
    </w:p>
    <w:p>
      <w:pPr>
        <w:pStyle w:val="Point1"/>
        <w:rPr>
          <w:noProof/>
        </w:rPr>
      </w:pPr>
      <w:r>
        <w:rPr>
          <w:noProof/>
        </w:rPr>
        <w:t>a)</w:t>
      </w:r>
      <w:r>
        <w:rPr>
          <w:noProof/>
        </w:rPr>
        <w:tab/>
        <w:t>to viena veida secīgo līgumu kopējā faktiskā vērtība, kuru slēgšanas tiesības ir piešķirtas iepriekšējos 12 mēnešos vai iepriekšējā finanšu gadā, kas, ja iespējams, koriģēta, lai ņemtu vērā daudzuma vai vērtības izmaiņas, kuras notiktu 12 mēnešu laikā pēc sākotnējā līguma;</w:t>
      </w:r>
    </w:p>
    <w:p>
      <w:pPr>
        <w:pStyle w:val="Point1"/>
        <w:rPr>
          <w:noProof/>
        </w:rPr>
      </w:pPr>
      <w:r>
        <w:rPr>
          <w:noProof/>
        </w:rPr>
        <w:t>b)</w:t>
      </w:r>
      <w:r>
        <w:rPr>
          <w:noProof/>
        </w:rPr>
        <w:tab/>
        <w:t>to viena veida secīgo līgumu kopējā lēstā vērtība, kuru slēgšanas tiesības ir paredzēts piešķirt attiecīgā finanšu gada laikā.</w:t>
      </w:r>
    </w:p>
    <w:p>
      <w:pPr>
        <w:pStyle w:val="NumPar2"/>
        <w:rPr>
          <w:noProof/>
        </w:rPr>
      </w:pPr>
      <w:r>
        <w:rPr>
          <w:noProof/>
        </w:rPr>
        <w:t>Būvdarbu līgumiem ņem vērā ne tikai būvdarbu vērtību, bet arī lēsto kopvērtību piegādēm un pakalpojumiem, kas nepieciešami, lai veiktu būvdarbus, un kurus līgumslēdzēja iestāde nodrošina darbuzņēmējam.</w:t>
      </w:r>
    </w:p>
    <w:p>
      <w:pPr>
        <w:pStyle w:val="NumPar2"/>
        <w:rPr>
          <w:noProof/>
        </w:rPr>
      </w:pPr>
      <w:r>
        <w:rPr>
          <w:noProof/>
        </w:rPr>
        <w:t>Koncesijas līgumu vērtība ir koncesionāra lēstais kopējais apgrozījums visā līguma darbības laikā.</w:t>
      </w:r>
    </w:p>
    <w:p>
      <w:pPr>
        <w:pStyle w:val="Text1"/>
        <w:rPr>
          <w:noProof/>
        </w:rPr>
      </w:pPr>
      <w:r>
        <w:rPr>
          <w:noProof/>
        </w:rPr>
        <w:t>Vērtību aprēķina, izmantojot objektīvu metodi, kas precizēta iepirkuma procedūras dokumentos, jo īpaši ņemot vērā:</w:t>
      </w:r>
    </w:p>
    <w:p>
      <w:pPr>
        <w:pStyle w:val="Point1"/>
        <w:rPr>
          <w:noProof/>
        </w:rPr>
      </w:pPr>
      <w:r>
        <w:rPr>
          <w:noProof/>
        </w:rPr>
        <w:t>a)</w:t>
      </w:r>
      <w:r>
        <w:rPr>
          <w:noProof/>
        </w:rPr>
        <w:tab/>
        <w:t>ieņēmumus no tām būvdarbu vai pakalpojumu lietotāju segtajām maksām un soda naudām, kas netiek iekasētas līgumslēdzējas iestādes labā;</w:t>
      </w:r>
    </w:p>
    <w:p>
      <w:pPr>
        <w:pStyle w:val="Point1"/>
        <w:rPr>
          <w:noProof/>
        </w:rPr>
      </w:pPr>
      <w:r>
        <w:rPr>
          <w:noProof/>
        </w:rPr>
        <w:t>b)</w:t>
      </w:r>
      <w:r>
        <w:rPr>
          <w:noProof/>
        </w:rPr>
        <w:tab/>
        <w:t>jebkuru tādu dotāciju vai citu finansiālu priekšrocību vērtību, ko par koncesijas izpildi piešķir trešās personas;</w:t>
      </w:r>
    </w:p>
    <w:p>
      <w:pPr>
        <w:pStyle w:val="Point1"/>
        <w:rPr>
          <w:noProof/>
        </w:rPr>
      </w:pPr>
      <w:r>
        <w:rPr>
          <w:noProof/>
        </w:rPr>
        <w:t>c)</w:t>
      </w:r>
      <w:r>
        <w:rPr>
          <w:noProof/>
        </w:rPr>
        <w:tab/>
        <w:t>ieņēmumus par jebkādu koncesijai piederīgu aktīvu pārdošanu;</w:t>
      </w:r>
    </w:p>
    <w:p>
      <w:pPr>
        <w:pStyle w:val="Point1"/>
        <w:rPr>
          <w:noProof/>
        </w:rPr>
      </w:pPr>
      <w:r>
        <w:rPr>
          <w:noProof/>
        </w:rPr>
        <w:t>d)</w:t>
      </w:r>
      <w:r>
        <w:rPr>
          <w:noProof/>
        </w:rPr>
        <w:tab/>
        <w:t>visu to piegāžu un pakalpojumu vērtību, ko līgumslēdzēja iestāde nodrošina koncesionāram, ar nosacījumu, ka minētās piegādes un pakalpojumi ir vajadzīgi būvdarbu izpildei vai pakalpojumu sniegšanai;</w:t>
      </w:r>
    </w:p>
    <w:p>
      <w:pPr>
        <w:pStyle w:val="Point1"/>
        <w:rPr>
          <w:noProof/>
        </w:rPr>
      </w:pPr>
      <w:r>
        <w:rPr>
          <w:noProof/>
        </w:rPr>
        <w:t>e)</w:t>
      </w:r>
      <w:r>
        <w:rPr>
          <w:noProof/>
        </w:rPr>
        <w:tab/>
        <w:t>samaksu kandidātiem vai pretendentiem.</w:t>
      </w:r>
    </w:p>
    <w:p>
      <w:pPr>
        <w:pStyle w:val="NumPar1"/>
        <w:rPr>
          <w:b/>
          <w:noProof/>
        </w:rPr>
      </w:pPr>
      <w:r>
        <w:rPr>
          <w:b/>
          <w:noProof/>
        </w:rPr>
        <w:lastRenderedPageBreak/>
        <w:t>Nogaidīšanas termiņš pirms līguma parakstīšanas</w:t>
      </w:r>
    </w:p>
    <w:p>
      <w:pPr>
        <w:pStyle w:val="NumPar2"/>
        <w:rPr>
          <w:noProof/>
        </w:rPr>
      </w:pPr>
      <w:r>
        <w:rPr>
          <w:noProof/>
        </w:rPr>
        <w:t>Nogaidīšanas termiņu sāk skaitīt no vienas no šādām dienām:</w:t>
      </w:r>
    </w:p>
    <w:p>
      <w:pPr>
        <w:pStyle w:val="Point1"/>
        <w:rPr>
          <w:noProof/>
        </w:rPr>
      </w:pPr>
      <w:r>
        <w:rPr>
          <w:noProof/>
        </w:rPr>
        <w:t>a)</w:t>
      </w:r>
      <w:r>
        <w:rPr>
          <w:noProof/>
        </w:rPr>
        <w:tab/>
        <w:t>nākamās dienas pēc dienas, kad elektroniskā veidā vienlaicīgi nosūtīti paziņojumi izraudzītajiem un neizraudzītajiem pretendentiem;</w:t>
      </w:r>
    </w:p>
    <w:p>
      <w:pPr>
        <w:pStyle w:val="Point1"/>
        <w:rPr>
          <w:noProof/>
        </w:rPr>
      </w:pPr>
      <w:r>
        <w:rPr>
          <w:noProof/>
        </w:rPr>
        <w:t>b)</w:t>
      </w:r>
      <w:r>
        <w:rPr>
          <w:noProof/>
        </w:rPr>
        <w:tab/>
        <w:t xml:space="preserve">ja līgumu vai pamatlīgumu piešķir saskaņā 11.1. punkta b) apakšpunktu – nākamās dienas pēc dienas, kad </w:t>
      </w:r>
      <w:r>
        <w:rPr>
          <w:i/>
          <w:noProof/>
        </w:rPr>
        <w:t>Eiropas Savienības Oficiālajā Vēstnesī</w:t>
      </w:r>
      <w:r>
        <w:rPr>
          <w:noProof/>
        </w:rPr>
        <w:t xml:space="preserve"> publicēts 2.4. punktā minētais līgumslēgšanas tiesību piešķiršanas paziņojums.</w:t>
      </w:r>
    </w:p>
    <w:p>
      <w:pPr>
        <w:pStyle w:val="Text1"/>
        <w:rPr>
          <w:noProof/>
        </w:rPr>
      </w:pPr>
      <w:r>
        <w:rPr>
          <w:noProof/>
        </w:rPr>
        <w:t>Vajadzības gadījumā līgumslēdzēja iestāde var apturēt līguma parakstīšanu, lai veiktu papildu pārbaudi, ja to attaisno pieprasījumi vai piezīmes, ko iesnieguši kandidāti vai pretendenti, kuri netika izraudzīti vai kuri uzskata, ka viņu tiesības ir aizskartas, vai jebkura cita attiecīga informācija, ko tā saņēmusi 169. panta 3. punktā noteiktajā periodā. Apturēšanas gadījumā visus kandidātus vai pretendentus informē trīs darbdienu laikā no apturēšanas lēmuma.</w:t>
      </w:r>
    </w:p>
    <w:p>
      <w:pPr>
        <w:pStyle w:val="Text1"/>
        <w:rPr>
          <w:noProof/>
        </w:rPr>
      </w:pPr>
      <w:r>
        <w:rPr>
          <w:noProof/>
        </w:rPr>
        <w:t>Ja līgumu vai pamatlīgumu nevar parakstīt ar izraudzīto pretendentu, līgumslēdzēja iestāde to var piešķirt nākamajam labākajam pretendentam.</w:t>
      </w:r>
    </w:p>
    <w:p>
      <w:pPr>
        <w:pStyle w:val="NumPar2"/>
        <w:rPr>
          <w:noProof/>
        </w:rPr>
      </w:pPr>
      <w:r>
        <w:rPr>
          <w:noProof/>
        </w:rPr>
        <w:t>Periodu, kas noteikts 35.1. punktā, nepiemēro šādos gadījumos:</w:t>
      </w:r>
    </w:p>
    <w:p>
      <w:pPr>
        <w:pStyle w:val="Point1"/>
        <w:rPr>
          <w:noProof/>
        </w:rPr>
      </w:pPr>
      <w:r>
        <w:rPr>
          <w:noProof/>
        </w:rPr>
        <w:t>a)</w:t>
      </w:r>
      <w:r>
        <w:rPr>
          <w:noProof/>
        </w:rPr>
        <w:tab/>
        <w:t>procedūrā, kurā ir iesniegts tikai viens piedāvājums;</w:t>
      </w:r>
    </w:p>
    <w:p>
      <w:pPr>
        <w:pStyle w:val="Point1"/>
        <w:rPr>
          <w:noProof/>
        </w:rPr>
      </w:pPr>
      <w:r>
        <w:rPr>
          <w:noProof/>
        </w:rPr>
        <w:t>b)</w:t>
      </w:r>
      <w:r>
        <w:rPr>
          <w:noProof/>
        </w:rPr>
        <w:tab/>
        <w:t>gadījumos, kad izmanto konkrētos līgumus, kuru pamatā ir pamatlīgums;</w:t>
      </w:r>
    </w:p>
    <w:p>
      <w:pPr>
        <w:pStyle w:val="Point1"/>
        <w:rPr>
          <w:noProof/>
        </w:rPr>
      </w:pPr>
      <w:r>
        <w:rPr>
          <w:noProof/>
        </w:rPr>
        <w:t>c)</w:t>
      </w:r>
      <w:r>
        <w:rPr>
          <w:noProof/>
        </w:rPr>
        <w:tab/>
        <w:t>dinamiskajās iepirkumu sistēmās;</w:t>
      </w:r>
    </w:p>
    <w:p>
      <w:pPr>
        <w:pStyle w:val="Point1"/>
        <w:rPr>
          <w:noProof/>
        </w:rPr>
      </w:pPr>
      <w:r>
        <w:rPr>
          <w:noProof/>
        </w:rPr>
        <w:t>d)</w:t>
      </w:r>
      <w:r>
        <w:rPr>
          <w:noProof/>
        </w:rPr>
        <w:tab/>
        <w:t>sarunu procedūrā bez iepriekšējas publicēšanas, kas minēta 11. punktā, izņemot 11.1. punkta b) apakšpunktā paredzēto procedūru.</w:t>
      </w:r>
    </w:p>
    <w:p>
      <w:pPr>
        <w:pStyle w:val="ChapterTitle"/>
        <w:rPr>
          <w:noProof/>
        </w:rPr>
      </w:pPr>
      <w:r>
        <w:rPr>
          <w:rStyle w:val="italics"/>
          <w:noProof/>
        </w:rPr>
        <w:t>3. NODAĻA</w:t>
      </w:r>
    </w:p>
    <w:p>
      <w:pPr>
        <w:pStyle w:val="ChapterTitle"/>
        <w:rPr>
          <w:rStyle w:val="italics"/>
          <w:noProof/>
        </w:rPr>
      </w:pPr>
      <w:r>
        <w:rPr>
          <w:rStyle w:val="italics"/>
          <w:noProof/>
        </w:rPr>
        <w:t>Iepirkums ārējo darbību jomā</w:t>
      </w:r>
    </w:p>
    <w:p>
      <w:pPr>
        <w:pStyle w:val="NumPar1"/>
        <w:rPr>
          <w:b/>
          <w:noProof/>
        </w:rPr>
      </w:pPr>
      <w:r>
        <w:rPr>
          <w:b/>
          <w:noProof/>
        </w:rPr>
        <w:t>Īpaši noteikumi par ārējo līgumu robežlielumiem un piešķiršanas kārtību</w:t>
      </w:r>
    </w:p>
    <w:p>
      <w:pPr>
        <w:pStyle w:val="Text1"/>
        <w:rPr>
          <w:noProof/>
        </w:rPr>
      </w:pPr>
      <w:r>
        <w:rPr>
          <w:noProof/>
        </w:rPr>
        <w:t xml:space="preserve">2. punkts, izņemot 2.5. punktu, 3., 4. un 6. punkts, 12.1. punkta a) un c) līdz f) apakšpunkts, 12.4., 13.3., 14.,15., 17.3. līdz 17.7. punkts, 20.4., 23.3., 24., 25.2., 25.3., 26., 28. un 29. punkts, izņemot 29.3. punktu, neattiecas uz iepirkuma līgumiem, ko noslēdz 172. panta 2. punktā minētās līgumslēdzējas iestādes vai kas tiek noslēgti to vārdā. </w:t>
      </w:r>
    </w:p>
    <w:p>
      <w:pPr>
        <w:pStyle w:val="Text1"/>
        <w:rPr>
          <w:noProof/>
        </w:rPr>
      </w:pPr>
      <w:r>
        <w:rPr>
          <w:noProof/>
        </w:rPr>
        <w:t xml:space="preserve">Par publiskā iepirkuma noteikumu īstenošanu saskaņā ar šo nodaļu lemj Komisija, tostarp par atbilstīgām kontrolēm, kas atbildīgajam kredītrīkotājam jāveic gadījumos, kad Komisija nav līgumslēdzēja iestāde. </w:t>
      </w:r>
    </w:p>
    <w:p>
      <w:pPr>
        <w:pStyle w:val="NumPar1"/>
        <w:rPr>
          <w:b/>
          <w:noProof/>
        </w:rPr>
      </w:pPr>
      <w:r>
        <w:rPr>
          <w:b/>
          <w:noProof/>
        </w:rPr>
        <w:t>Publiskošana</w:t>
      </w:r>
    </w:p>
    <w:p>
      <w:pPr>
        <w:pStyle w:val="NumPar2"/>
        <w:rPr>
          <w:noProof/>
        </w:rPr>
      </w:pPr>
      <w:r>
        <w:rPr>
          <w:noProof/>
        </w:rPr>
        <w:t xml:space="preserve">Attiecīgā gadījumā iepriekšēju informatīvu paziņojumu par uzaicinājumiem iesniegt piedāvājumus saskaņā ar slēgto procedūru vai atklāto procedūru, kas minētas 38.1. punkta attiecīgi a) un b) apakšpunktā, pēc iespējas drīz elektroniski nosūta Publikāciju birojam. </w:t>
      </w:r>
    </w:p>
    <w:p>
      <w:pPr>
        <w:pStyle w:val="NumPar2"/>
        <w:rPr>
          <w:noProof/>
        </w:rPr>
      </w:pPr>
      <w:r>
        <w:rPr>
          <w:noProof/>
        </w:rPr>
        <w:lastRenderedPageBreak/>
        <w:t>Pēc līguma parakstīšanas nosūta līgumslēgšanas tiesību piešķiršanas paziņojumu, izņemot gadījumos, kad, ja tas vēl aizvien ir nepieciešams, līgums ir atzīts par slepenu vai kad līguma izpildei piemērojami īpaši drošības pasākumi, vai kad tas ir vajadzīgs Eiropas Savienības vai saņēmējvalsts būtisko interešu aizsardzībai un kad tiek uzskatīts, ka piešķiršanas paziņojuma publicēšana nav lietderīga.</w:t>
      </w:r>
    </w:p>
    <w:p>
      <w:pPr>
        <w:pStyle w:val="NumPar1"/>
        <w:rPr>
          <w:b/>
          <w:noProof/>
        </w:rPr>
      </w:pPr>
      <w:r>
        <w:rPr>
          <w:b/>
          <w:noProof/>
        </w:rPr>
        <w:t>Robežvertības un procedūras</w:t>
      </w:r>
    </w:p>
    <w:p>
      <w:pPr>
        <w:pStyle w:val="NumPar2"/>
        <w:rPr>
          <w:noProof/>
        </w:rPr>
      </w:pPr>
      <w:r>
        <w:rPr>
          <w:noProof/>
        </w:rPr>
        <w:t xml:space="preserve">Iepirkuma procedūras ārējo darbību jomā ir šādas: </w:t>
      </w:r>
    </w:p>
    <w:p>
      <w:pPr>
        <w:pStyle w:val="Point1"/>
        <w:rPr>
          <w:noProof/>
        </w:rPr>
      </w:pPr>
      <w:r>
        <w:rPr>
          <w:noProof/>
        </w:rPr>
        <w:t>a)</w:t>
      </w:r>
      <w:r>
        <w:rPr>
          <w:noProof/>
        </w:rPr>
        <w:tab/>
        <w:t xml:space="preserve">slēgtā procedūra, kas paredzēta 158. panta 1. punkta b) apakšpunktā; </w:t>
      </w:r>
    </w:p>
    <w:p>
      <w:pPr>
        <w:pStyle w:val="Point1"/>
        <w:rPr>
          <w:noProof/>
        </w:rPr>
      </w:pPr>
      <w:r>
        <w:rPr>
          <w:noProof/>
        </w:rPr>
        <w:t>b)</w:t>
      </w:r>
      <w:r>
        <w:rPr>
          <w:noProof/>
        </w:rPr>
        <w:tab/>
        <w:t>atklātā procedūra, kas paredzēta 158. panta 1. punkta a) apakšpunktā;</w:t>
      </w:r>
    </w:p>
    <w:p>
      <w:pPr>
        <w:pStyle w:val="Point1"/>
        <w:rPr>
          <w:noProof/>
        </w:rPr>
      </w:pPr>
      <w:r>
        <w:rPr>
          <w:noProof/>
        </w:rPr>
        <w:t>c)</w:t>
      </w:r>
      <w:r>
        <w:rPr>
          <w:noProof/>
        </w:rPr>
        <w:tab/>
        <w:t xml:space="preserve">vietēja atklātā procedūra; </w:t>
      </w:r>
    </w:p>
    <w:p>
      <w:pPr>
        <w:pStyle w:val="Point1"/>
        <w:rPr>
          <w:noProof/>
        </w:rPr>
      </w:pPr>
      <w:r>
        <w:rPr>
          <w:noProof/>
        </w:rPr>
        <w:t>d)</w:t>
      </w:r>
      <w:r>
        <w:rPr>
          <w:noProof/>
        </w:rPr>
        <w:tab/>
        <w:t xml:space="preserve">vienkāršotā procedūra. </w:t>
      </w:r>
    </w:p>
    <w:p>
      <w:pPr>
        <w:pStyle w:val="NumPar2"/>
        <w:rPr>
          <w:noProof/>
        </w:rPr>
      </w:pPr>
      <w:r>
        <w:rPr>
          <w:noProof/>
        </w:rPr>
        <w:t xml:space="preserve">Iepirkuma procedūru izmantošana saskaņā ar robežvērtībām ir šāda: </w:t>
      </w:r>
    </w:p>
    <w:p>
      <w:pPr>
        <w:pStyle w:val="Point1"/>
        <w:rPr>
          <w:noProof/>
        </w:rPr>
      </w:pPr>
      <w:r>
        <w:rPr>
          <w:noProof/>
        </w:rPr>
        <w:t>a)</w:t>
      </w:r>
      <w:r>
        <w:rPr>
          <w:noProof/>
        </w:rPr>
        <w:tab/>
        <w:t xml:space="preserve">atklāto vai slēgto procedūru var izmantot: </w:t>
      </w:r>
    </w:p>
    <w:p>
      <w:pPr>
        <w:pStyle w:val="Point2"/>
        <w:rPr>
          <w:noProof/>
        </w:rPr>
      </w:pPr>
      <w:r>
        <w:rPr>
          <w:noProof/>
        </w:rPr>
        <w:t>i)</w:t>
      </w:r>
      <w:r>
        <w:rPr>
          <w:noProof/>
        </w:rPr>
        <w:tab/>
        <w:t xml:space="preserve">pakalpojumu un piegādes līgumiem un pakalpojumu koncesijas līgumiem, kuru vērtība ir vismaz EUR 300 000; </w:t>
      </w:r>
    </w:p>
    <w:p>
      <w:pPr>
        <w:pStyle w:val="Point2"/>
        <w:rPr>
          <w:noProof/>
        </w:rPr>
      </w:pPr>
      <w:r>
        <w:rPr>
          <w:noProof/>
        </w:rPr>
        <w:t>ii)</w:t>
      </w:r>
      <w:r>
        <w:rPr>
          <w:noProof/>
        </w:rPr>
        <w:tab/>
        <w:t xml:space="preserve">būvdarbu līgumiem, kuru vērtība ir vismaz EUR 5 000 000; </w:t>
      </w:r>
    </w:p>
    <w:p>
      <w:pPr>
        <w:pStyle w:val="Point1"/>
        <w:rPr>
          <w:noProof/>
        </w:rPr>
      </w:pPr>
      <w:r>
        <w:rPr>
          <w:noProof/>
        </w:rPr>
        <w:t>b)</w:t>
      </w:r>
      <w:r>
        <w:rPr>
          <w:noProof/>
        </w:rPr>
        <w:tab/>
        <w:t>vietējo atklāto procedūru var izmantot:</w:t>
      </w:r>
    </w:p>
    <w:p>
      <w:pPr>
        <w:pStyle w:val="Point2"/>
        <w:rPr>
          <w:noProof/>
        </w:rPr>
      </w:pPr>
      <w:r>
        <w:rPr>
          <w:noProof/>
        </w:rPr>
        <w:t>i)</w:t>
      </w:r>
      <w:r>
        <w:rPr>
          <w:noProof/>
        </w:rPr>
        <w:tab/>
        <w:t>piegādes līgumiem, kuru vērtība ir vismaz EUR 100 000, bet mazāka par EUR 300 000;</w:t>
      </w:r>
    </w:p>
    <w:p>
      <w:pPr>
        <w:pStyle w:val="Point2"/>
        <w:rPr>
          <w:noProof/>
        </w:rPr>
      </w:pPr>
      <w:r>
        <w:rPr>
          <w:noProof/>
        </w:rPr>
        <w:t>ii)</w:t>
      </w:r>
      <w:r>
        <w:rPr>
          <w:noProof/>
        </w:rPr>
        <w:tab/>
        <w:t>būvdarbu līgumiem un būvdarbu koncesijas līgumiem, kuru vērtība ir vismaz EUR 300 000, bet mazāka par EUR 5 000 000;</w:t>
      </w:r>
    </w:p>
    <w:p>
      <w:pPr>
        <w:pStyle w:val="Point1"/>
        <w:rPr>
          <w:noProof/>
        </w:rPr>
      </w:pPr>
      <w:r>
        <w:rPr>
          <w:noProof/>
        </w:rPr>
        <w:t>c)</w:t>
      </w:r>
      <w:r>
        <w:rPr>
          <w:noProof/>
        </w:rPr>
        <w:tab/>
        <w:t>vienkāršoto procedūru var izmantot:</w:t>
      </w:r>
    </w:p>
    <w:p>
      <w:pPr>
        <w:pStyle w:val="Point2"/>
        <w:rPr>
          <w:noProof/>
        </w:rPr>
      </w:pPr>
      <w:r>
        <w:rPr>
          <w:noProof/>
        </w:rPr>
        <w:t>i)</w:t>
      </w:r>
      <w:r>
        <w:rPr>
          <w:noProof/>
        </w:rPr>
        <w:tab/>
        <w:t>pakalpojumu līgumiem, pakalpojumu koncesijas līgumiem, būvdarbu līgumiem un būvdarbu koncesijas līgumiem, kuru vērtība ir mazāka par EUR 300 000;</w:t>
      </w:r>
    </w:p>
    <w:p>
      <w:pPr>
        <w:pStyle w:val="Point2"/>
        <w:rPr>
          <w:noProof/>
        </w:rPr>
      </w:pPr>
      <w:r>
        <w:rPr>
          <w:noProof/>
        </w:rPr>
        <w:t>ii)</w:t>
      </w:r>
      <w:r>
        <w:rPr>
          <w:noProof/>
        </w:rPr>
        <w:tab/>
        <w:t>piegādes līgumiem, kuru vērtība ir mazāka par EUR 100 000;</w:t>
      </w:r>
    </w:p>
    <w:p>
      <w:pPr>
        <w:pStyle w:val="Point1"/>
        <w:rPr>
          <w:noProof/>
        </w:rPr>
      </w:pPr>
      <w:r>
        <w:rPr>
          <w:noProof/>
        </w:rPr>
        <w:t>d)</w:t>
      </w:r>
      <w:r>
        <w:rPr>
          <w:noProof/>
        </w:rPr>
        <w:tab/>
        <w:t>līgumus, kuru vērtība nepārsniedz EUR 20 000, var piešķirt, pamatojoties uz vienu piedāvājumu;</w:t>
      </w:r>
    </w:p>
    <w:p>
      <w:pPr>
        <w:pStyle w:val="Point1"/>
        <w:rPr>
          <w:noProof/>
        </w:rPr>
      </w:pPr>
      <w:r>
        <w:rPr>
          <w:noProof/>
        </w:rPr>
        <w:t>e)</w:t>
      </w:r>
      <w:r>
        <w:rPr>
          <w:noProof/>
        </w:rPr>
        <w:tab/>
        <w:t>izdevumus, kuru summa nepārsniedz EUR 2500, var apmaksāt, pamatojoties uz rēķinu, bez iepriekšējas piedāvājuma pieņemšanas.</w:t>
      </w:r>
    </w:p>
    <w:p>
      <w:pPr>
        <w:pStyle w:val="NumPar2"/>
        <w:rPr>
          <w:noProof/>
        </w:rPr>
      </w:pPr>
      <w:r>
        <w:rPr>
          <w:noProof/>
        </w:rPr>
        <w:t xml:space="preserve">Slēgtajā procedūrā, kas minēta 38.1. punkta a) apakšpunktā, līguma paziņojumā norāda kandidātu skaitu, kuri tiks uzaicināti iesniegt piedāvājumus. Pakalpojumu līgumiem uzaicina vismaz četrus kandidātus. To kandidātu skaitam, kuri tiek uzaicināti iesniegt piedāvājumus, jābūt pietiekamam, lai nodrošinātu īstu konkurenci. </w:t>
      </w:r>
    </w:p>
    <w:p>
      <w:pPr>
        <w:pStyle w:val="Text1"/>
        <w:rPr>
          <w:noProof/>
        </w:rPr>
      </w:pPr>
      <w:r>
        <w:rPr>
          <w:noProof/>
        </w:rPr>
        <w:t>Atlasīto kandidātu sarakstu publicē Komisijas tīmekļa vietnē.</w:t>
      </w:r>
    </w:p>
    <w:p>
      <w:pPr>
        <w:pStyle w:val="Text1"/>
        <w:rPr>
          <w:noProof/>
        </w:rPr>
      </w:pPr>
      <w:r>
        <w:rPr>
          <w:noProof/>
        </w:rPr>
        <w:t>Ja to kandidātu skaits, kuri atbilst atlases kritērijiem vai minimālajam spēju līmenim, ir mazāks par minimālo skaitu, tad līgumslēdzēja iestāde var uzaicināt iesniegt piedāvājumu tikai tos kandidātus, kuri atbilst piedāvājuma iesniegšanas kritērijam.</w:t>
      </w:r>
    </w:p>
    <w:p>
      <w:pPr>
        <w:pStyle w:val="NumPar2"/>
        <w:rPr>
          <w:noProof/>
        </w:rPr>
      </w:pPr>
      <w:r>
        <w:rPr>
          <w:noProof/>
        </w:rPr>
        <w:lastRenderedPageBreak/>
        <w:t xml:space="preserve">Saskaņā ar vietējo atklāto procedūru, kas minēta 38.1. punkta c) apakšpunktā, vietējiem uzaicinājumiem iesniegt piedāvājumus paziņojumu par līgumu publicē vismaz saņēmējvalsts oficiālajā izdevumā vai jebkādā līdzvērtīgā izdevumā. </w:t>
      </w:r>
    </w:p>
    <w:p>
      <w:pPr>
        <w:pStyle w:val="NumPar2"/>
        <w:rPr>
          <w:noProof/>
        </w:rPr>
      </w:pPr>
      <w:r>
        <w:rPr>
          <w:noProof/>
        </w:rPr>
        <w:t xml:space="preserve">Saskaņā ar vienkāršoto procedūru, kas minēta 38.1. punkta b) apakšpunktā, līgumslēdzēja iestāde izveido sarakstu ar vismaz trim pretendentiem pēc savas izvēles bez paziņojuma publicēšanas. </w:t>
      </w:r>
    </w:p>
    <w:p>
      <w:pPr>
        <w:pStyle w:val="Text1"/>
        <w:rPr>
          <w:noProof/>
        </w:rPr>
      </w:pPr>
      <w:r>
        <w:rPr>
          <w:noProof/>
        </w:rPr>
        <w:t>Pretendentus vienkāršotajai procedūrai var izvēlēties no pārdevēju saraksta, kas minēts 13.1. punkta b) apakšpunktā, izsludinot uzaicinājumu paust ieinteresētību.</w:t>
      </w:r>
    </w:p>
    <w:p>
      <w:pPr>
        <w:pStyle w:val="Text1"/>
        <w:rPr>
          <w:noProof/>
        </w:rPr>
      </w:pPr>
      <w:r>
        <w:rPr>
          <w:noProof/>
        </w:rPr>
        <w:t>Ja pēc apspriedes ar pretendentiem līgumslēdzēja iestāde saņem tikai vienu piedāvājumu, kas ir administratīvi un tehniski derīgs, līgumu var piešķirt, ja ir izpildīti piešķiršanas kritēriji.</w:t>
      </w:r>
    </w:p>
    <w:p>
      <w:pPr>
        <w:pStyle w:val="NumPar2"/>
        <w:rPr>
          <w:noProof/>
        </w:rPr>
      </w:pPr>
      <w:r>
        <w:rPr>
          <w:noProof/>
        </w:rPr>
        <w:t>Attiecībā uz juridiskiem pakalpojumiem, uz kuriem neattiecas 11.1. punkta h) apakšpunkts, līgumslēdzējas iestādes var izmantot konkursa procedūru ar sarunām neatkarīgi no līguma lēstās vērtības.</w:t>
      </w:r>
    </w:p>
    <w:p>
      <w:pPr>
        <w:pStyle w:val="NumPar1"/>
        <w:rPr>
          <w:b/>
          <w:noProof/>
        </w:rPr>
      </w:pPr>
      <w:r>
        <w:rPr>
          <w:b/>
          <w:noProof/>
        </w:rPr>
        <w:t>Sarunu procedūras izmantošana pakalpojumu, piegādes un būvdarbu līgumiem</w:t>
      </w:r>
    </w:p>
    <w:p>
      <w:pPr>
        <w:pStyle w:val="NumPar2"/>
        <w:rPr>
          <w:noProof/>
        </w:rPr>
      </w:pPr>
      <w:r>
        <w:rPr>
          <w:noProof/>
        </w:rPr>
        <w:t xml:space="preserve">Līgumslēdzējas iestādes var izmantot sarunu procedūru, pamatojoties uz vienu piedāvājumu, šādos gadījumos: </w:t>
      </w:r>
    </w:p>
    <w:p>
      <w:pPr>
        <w:pStyle w:val="Point1"/>
        <w:rPr>
          <w:noProof/>
        </w:rPr>
      </w:pPr>
      <w:r>
        <w:rPr>
          <w:noProof/>
        </w:rPr>
        <w:t>a)</w:t>
      </w:r>
      <w:r>
        <w:rPr>
          <w:noProof/>
        </w:rPr>
        <w:tab/>
        <w:t xml:space="preserve">ja pakalpojumu sniegšana tiek uzticēta publiskā sektora struktūrām vai bezpeļņas iestādēm vai apvienībām, un tā attiecas uz institucionāla rakstura darbībām vai ir paredzēta, lai cilvēkiem sniegtu palīdzību sociālajā jomā; </w:t>
      </w:r>
    </w:p>
    <w:p>
      <w:pPr>
        <w:pStyle w:val="Point1"/>
        <w:rPr>
          <w:noProof/>
        </w:rPr>
      </w:pPr>
      <w:r>
        <w:rPr>
          <w:noProof/>
        </w:rPr>
        <w:t>b)</w:t>
      </w:r>
      <w:r>
        <w:rPr>
          <w:noProof/>
        </w:rPr>
        <w:tab/>
        <w:t xml:space="preserve">ja līgumu piešķiršanas procedūra ir bijusi nerezultatīva, tas ir, ja nav saņemts neviens kvalitatīvi un/vai finansiāli vērtīgs piedāvājums – šādā gadījumā līgumslēdzēja iestāde pēc iepirkuma procedūras atcelšanas pēc savas izvēles var risināt dialogu ar vienu vai vairākiem pretendentiem no to pretendentu vidus, kas piedalījās uzaicinājumā iesniegt piedāvājumus, ar noteikumu, ka iepirkuma procedūras dokumenti netiek būtiski mainīti; </w:t>
      </w:r>
    </w:p>
    <w:p>
      <w:pPr>
        <w:pStyle w:val="Point1"/>
        <w:rPr>
          <w:noProof/>
        </w:rPr>
      </w:pPr>
      <w:r>
        <w:rPr>
          <w:noProof/>
        </w:rPr>
        <w:t>c)</w:t>
      </w:r>
      <w:r>
        <w:rPr>
          <w:noProof/>
        </w:rPr>
        <w:tab/>
        <w:t xml:space="preserve">ja jānoslēdz jauns līgums pēc esoša līguma pirmstermiņa izbeigšanas. </w:t>
      </w:r>
    </w:p>
    <w:p>
      <w:pPr>
        <w:pStyle w:val="NumPar2"/>
        <w:rPr>
          <w:iCs/>
          <w:noProof/>
        </w:rPr>
      </w:pPr>
      <w:r>
        <w:rPr>
          <w:noProof/>
        </w:rPr>
        <w:t xml:space="preserve">Attiecībā uz 11.1. punkta c) apakšpunktu darbības, ko veic krīzes situācijās, kā noteikts 172. panta 2. punktā, uzskata par atbilstošām ārkārtējās steidzamības gadījumiem. Deleģētais kredītrīkotājs attiecīgos gadījumos saskaņoti ar attiecīgiem citiem deleģētiem kredītrīkotājiem nosaka, ka ir ārkārtējas steidzamības situācija, un regulāri pārskata savu lēmumu, ņemot vērā pareizas finanšu vadības principu. </w:t>
      </w:r>
    </w:p>
    <w:p>
      <w:pPr>
        <w:pStyle w:val="NumPar2"/>
        <w:rPr>
          <w:noProof/>
        </w:rPr>
      </w:pPr>
      <w:r>
        <w:rPr>
          <w:noProof/>
        </w:rPr>
        <w:t>Institucionāla rakstura darbības, kas minētas 39.1. punkta a) apakšpunktā, ietver pakalpojumus, kuri ir tieši saistīti ar publiskā sektora struktūru normatīvi noteikto misiju.</w:t>
      </w:r>
    </w:p>
    <w:p>
      <w:pPr>
        <w:pStyle w:val="NumPar1"/>
        <w:rPr>
          <w:b/>
          <w:noProof/>
        </w:rPr>
      </w:pPr>
      <w:r>
        <w:rPr>
          <w:b/>
          <w:noProof/>
        </w:rPr>
        <w:t>Konkursa specifikācijas</w:t>
      </w:r>
    </w:p>
    <w:p>
      <w:pPr>
        <w:pStyle w:val="Text1"/>
        <w:rPr>
          <w:noProof/>
        </w:rPr>
      </w:pPr>
      <w:r>
        <w:rPr>
          <w:noProof/>
        </w:rPr>
        <w:t>Atkāpjoties no 16.3. punkta, visās procedūrās, kurās izmanto dalības pieteikumu, konkursa specifikācijas var sadalīt atbilstoši procedūras diviem posmiem, un pirmajā posmā var iekļaut tikai to informāciju, kas minēta 16.3. punkta a) un f) apakšpunktā.</w:t>
      </w:r>
    </w:p>
    <w:p>
      <w:pPr>
        <w:pStyle w:val="NumPar1"/>
        <w:rPr>
          <w:b/>
          <w:noProof/>
        </w:rPr>
      </w:pPr>
      <w:r>
        <w:rPr>
          <w:b/>
          <w:noProof/>
        </w:rPr>
        <w:t>Procedūru termiņi</w:t>
      </w:r>
    </w:p>
    <w:p>
      <w:pPr>
        <w:pStyle w:val="NumPar2"/>
        <w:rPr>
          <w:noProof/>
        </w:rPr>
      </w:pPr>
      <w:r>
        <w:rPr>
          <w:noProof/>
        </w:rPr>
        <w:lastRenderedPageBreak/>
        <w:t xml:space="preserve">Pakalpojumu līgumiem minimālais termiņš no nākamās dienas pēc uzaicinājuma iesniegt piedāvājumus vēstules nosūtīšanas dienas līdz piedāvājumu pieņemšanas pēdējai dienai ir 50 dienas. Tomēr steidzamos gadījumos ir pieļaujami citi termiņi. </w:t>
      </w:r>
    </w:p>
    <w:p>
      <w:pPr>
        <w:pStyle w:val="NumPar2"/>
        <w:rPr>
          <w:noProof/>
        </w:rPr>
      </w:pPr>
      <w:r>
        <w:rPr>
          <w:noProof/>
        </w:rPr>
        <w:t xml:space="preserve">Pretendenti var rakstiski iesniegt jautājumus pirms piedāvājumu pieņemšanas pēdējās dienas. Līgumslēdzēja iestāde atbildes uz jautājumiem sniedz pirms piedāvājumu pieņemšanas pēdējās dienas. </w:t>
      </w:r>
    </w:p>
    <w:p>
      <w:pPr>
        <w:pStyle w:val="NumPar2"/>
        <w:rPr>
          <w:noProof/>
        </w:rPr>
      </w:pPr>
      <w:r>
        <w:rPr>
          <w:noProof/>
        </w:rPr>
        <w:t xml:space="preserve">Slēgtās procedūrās dalības pieteikumu pieņemšanas termiņš ir vismaz 30 dienas no nākamās dienas pēc līguma paziņojuma publicēšanas dienas. Termiņš no nākamās dienas pēc uzaicinājuma vēstules nosūtīšanas dienas līdz piedāvājumu pieņemšanas pēdējai dienai ir vismaz 50 dienas. Tomēr atsevišķos izņēmuma gadījumos ir pieļaujami citi termiņi. </w:t>
      </w:r>
    </w:p>
    <w:p>
      <w:pPr>
        <w:pStyle w:val="NumPar2"/>
        <w:rPr>
          <w:noProof/>
        </w:rPr>
      </w:pPr>
      <w:r>
        <w:rPr>
          <w:noProof/>
        </w:rPr>
        <w:t xml:space="preserve">Atklātās procedūrās piedāvājumu pieņemšanas termiņi, kuru skaitīšana sākas no nākamās dienas pēc līguma paziņojuma publicēšanas dienas, ir vismaz: </w:t>
      </w:r>
    </w:p>
    <w:p>
      <w:pPr>
        <w:pStyle w:val="Point1"/>
        <w:rPr>
          <w:noProof/>
        </w:rPr>
      </w:pPr>
      <w:r>
        <w:rPr>
          <w:noProof/>
        </w:rPr>
        <w:t>a)</w:t>
      </w:r>
      <w:r>
        <w:rPr>
          <w:noProof/>
        </w:rPr>
        <w:tab/>
        <w:t xml:space="preserve">90 dienas būvdarbu līgumiem; </w:t>
      </w:r>
    </w:p>
    <w:p>
      <w:pPr>
        <w:pStyle w:val="Point1"/>
        <w:rPr>
          <w:noProof/>
        </w:rPr>
      </w:pPr>
      <w:r>
        <w:rPr>
          <w:noProof/>
        </w:rPr>
        <w:t>b)</w:t>
      </w:r>
      <w:r>
        <w:rPr>
          <w:noProof/>
        </w:rPr>
        <w:tab/>
        <w:t xml:space="preserve">60 dienas piegādes līgumiem. </w:t>
      </w:r>
    </w:p>
    <w:p>
      <w:pPr>
        <w:pStyle w:val="Text1"/>
        <w:rPr>
          <w:i/>
          <w:iCs/>
          <w:noProof/>
        </w:rPr>
      </w:pPr>
      <w:r>
        <w:rPr>
          <w:noProof/>
        </w:rPr>
        <w:t xml:space="preserve">Tomēr atsevišķos izņēmuma gadījumos ir pieļaujami citi termiņi. </w:t>
      </w:r>
    </w:p>
    <w:p>
      <w:pPr>
        <w:pStyle w:val="NumPar2"/>
        <w:rPr>
          <w:noProof/>
        </w:rPr>
      </w:pPr>
      <w:r>
        <w:rPr>
          <w:noProof/>
        </w:rPr>
        <w:t xml:space="preserve">Vietējās atklātajās procedūrās piedāvājumu pieņemšanas termiņi, kuru skaitīšana sākas no līguma paziņojuma publicēšanas dienas, ir vismaz: </w:t>
      </w:r>
    </w:p>
    <w:p>
      <w:pPr>
        <w:pStyle w:val="Point1"/>
        <w:rPr>
          <w:noProof/>
        </w:rPr>
      </w:pPr>
      <w:r>
        <w:rPr>
          <w:noProof/>
        </w:rPr>
        <w:t>a)</w:t>
      </w:r>
      <w:r>
        <w:rPr>
          <w:noProof/>
        </w:rPr>
        <w:tab/>
        <w:t xml:space="preserve">60 dienas būvdarbu līgumiem; </w:t>
      </w:r>
    </w:p>
    <w:p>
      <w:pPr>
        <w:pStyle w:val="Point1"/>
        <w:rPr>
          <w:noProof/>
        </w:rPr>
      </w:pPr>
      <w:r>
        <w:rPr>
          <w:noProof/>
        </w:rPr>
        <w:t>b)</w:t>
      </w:r>
      <w:r>
        <w:rPr>
          <w:noProof/>
        </w:rPr>
        <w:tab/>
        <w:t xml:space="preserve">30 dienas piegādes līgumiem. </w:t>
      </w:r>
    </w:p>
    <w:p>
      <w:pPr>
        <w:pStyle w:val="Text1"/>
        <w:rPr>
          <w:noProof/>
        </w:rPr>
      </w:pPr>
      <w:r>
        <w:rPr>
          <w:noProof/>
        </w:rPr>
        <w:t>Tomēr atsevišķos izņēmuma gadījumos ir pieļaujami citi termiņi.</w:t>
      </w:r>
    </w:p>
    <w:p>
      <w:pPr>
        <w:pStyle w:val="NumPar2"/>
        <w:rPr>
          <w:noProof/>
        </w:rPr>
      </w:pPr>
      <w:r>
        <w:rPr>
          <w:noProof/>
        </w:rPr>
        <w:t xml:space="preserve">Vienkāršotām procedūrām, kas minētas 38.1. punkta d) apakšpunktā, kandidātiem piedāvājumu iesniegšanai dod laiku vismaz 30 dienas no uzaicinājuma iesniegt piedāvājumus vēstules nosūtīšanas dienas. </w:t>
      </w:r>
    </w:p>
    <w:sectPr>
      <w:footerReference w:type="default" r:id="rId16"/>
      <w:footerReference w:type="first" r:id="rId17"/>
      <w:pgSz w:w="11907" w:h="16839"/>
      <w:pgMar w:top="1134" w:right="1417" w:bottom="1134" w:left="1417" w:header="709"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before="0" w:after="0"/>
      </w:pPr>
      <w:r>
        <w:separator/>
      </w:r>
    </w:p>
  </w:endnote>
  <w:endnote w:type="continuationSeparator" w:id="0">
    <w:p>
      <w:pPr>
        <w:spacing w:before="0" w:after="0"/>
      </w:pPr>
      <w:r>
        <w:continuationSeparator/>
      </w:r>
    </w:p>
  </w:endnote>
  <w:endnote w:type="continuationNotice" w:id="1">
    <w:p>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EUAlbertina">
    <w:altName w:val="EU Albertina"/>
    <w:panose1 w:val="00000000000000000000"/>
    <w:charset w:val="00"/>
    <w:family w:val="auto"/>
    <w:notTrueType/>
    <w:pitch w:val="default"/>
    <w:sig w:usb0="00000003" w:usb1="00000000" w:usb2="00000000" w:usb3="00000000" w:csb0="00000001" w:csb1="00000000"/>
  </w:font>
  <w:font w:name="NVTWN N+ EU Albertina# 20">
    <w:altName w:val="EU Albertina Bold"/>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LV</w:t>
    </w:r>
    <w:r>
      <w:rPr>
        <w:rFonts w:ascii="Arial" w:hAnsi="Arial" w:cs="Arial"/>
        <w:b/>
        <w:sz w:val="48"/>
      </w:rPr>
      <w:tab/>
    </w:r>
    <w:r>
      <w:rPr>
        <w:rFonts w:ascii="Arial" w:hAnsi="Arial" w:cs="Arial"/>
        <w:b/>
        <w:sz w:val="48"/>
      </w:rPr>
      <w:tab/>
    </w:r>
    <w:r>
      <w:fldChar w:fldCharType="begin"/>
    </w:r>
    <w:r>
      <w:instrText xml:space="preserve"> DOCVARIABLE "LW_Confidence" \* MERGEFORMAT </w:instrText>
    </w:r>
    <w:r>
      <w:fldChar w:fldCharType="separate"/>
    </w:r>
    <w:r>
      <w:t xml:space="preserve"> </w:t>
    </w:r>
    <w:r>
      <w:fldChar w:fldCharType="end"/>
    </w:r>
    <w:r>
      <w:tab/>
    </w:r>
    <w:r>
      <w:rPr>
        <w:rFonts w:ascii="Arial" w:hAnsi="Arial" w:cs="Arial"/>
        <w:b/>
        <w:sz w:val="48"/>
      </w:rPr>
      <w:t>LV</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LV</w:t>
    </w:r>
    <w:r>
      <w:rPr>
        <w:rFonts w:ascii="Arial" w:hAnsi="Arial" w:cs="Arial"/>
        <w:b/>
        <w:sz w:val="48"/>
      </w:rPr>
      <w:tab/>
    </w:r>
    <w:r>
      <w:fldChar w:fldCharType="begin"/>
    </w:r>
    <w:r>
      <w:instrText xml:space="preserve"> PAGE  \* MERGEFORMAT </w:instrText>
    </w:r>
    <w:r>
      <w:fldChar w:fldCharType="separate"/>
    </w:r>
    <w:r>
      <w:rPr>
        <w:noProof/>
      </w:rPr>
      <w:t>1</w:t>
    </w:r>
    <w:r>
      <w:fldChar w:fldCharType="end"/>
    </w:r>
    <w:r>
      <w:tab/>
    </w:r>
    <w:r>
      <w:fldChar w:fldCharType="begin"/>
    </w:r>
    <w:r>
      <w:instrText xml:space="preserve"> DOCVARIABLE "LW_Confidence" \* MERGEFORMAT </w:instrText>
    </w:r>
    <w:r>
      <w:fldChar w:fldCharType="separate"/>
    </w:r>
    <w:r>
      <w:t xml:space="preserve"> </w:t>
    </w:r>
    <w:r>
      <w:fldChar w:fldCharType="end"/>
    </w:r>
    <w:r>
      <w:tab/>
    </w:r>
    <w:r>
      <w:rPr>
        <w:rFonts w:ascii="Arial" w:hAnsi="Arial" w:cs="Arial"/>
        <w:b/>
        <w:sz w:val="48"/>
      </w:rPr>
      <w:t>LV</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before="0" w:after="0"/>
      </w:pPr>
      <w:r>
        <w:separator/>
      </w:r>
    </w:p>
  </w:footnote>
  <w:footnote w:type="continuationSeparator" w:id="0">
    <w:p>
      <w:pPr>
        <w:spacing w:before="0" w:after="0"/>
      </w:pPr>
      <w:r>
        <w:continuationSeparator/>
      </w:r>
    </w:p>
  </w:footnote>
  <w:footnote w:type="continuationNotice" w:id="1">
    <w:p>
      <w:pPr>
        <w:spacing w:before="0" w:after="0"/>
      </w:pPr>
    </w:p>
  </w:footnote>
  <w:footnote w:id="2">
    <w:p>
      <w:pPr>
        <w:pStyle w:val="FootnoteText"/>
      </w:pPr>
      <w:r>
        <w:rPr>
          <w:rStyle w:val="FootnoteReference"/>
        </w:rPr>
        <w:footnoteRef/>
      </w:r>
      <w:r>
        <w:tab/>
        <w:t>Padomes 1977. gada 22. marta Direktīva 77/249/EEK par pasākumiem, kas palīdz advokātiem sekmīgi īstenot brīvību sniegt pakalpojumus (OV L 78, 26.3.1977., 17. lpp.).</w:t>
      </w:r>
    </w:p>
  </w:footnote>
  <w:footnote w:id="3">
    <w:p>
      <w:pPr>
        <w:pStyle w:val="FootnoteText"/>
      </w:pPr>
      <w:r>
        <w:rPr>
          <w:rStyle w:val="FootnoteReference"/>
        </w:rPr>
        <w:footnoteRef/>
      </w:r>
      <w:r>
        <w:tab/>
        <w:t>Eiropas Parlamenta un Padomes 2004. gada 21. aprīļa Direktīva 2004/39/EK, kas attiecas uz finanšu instrumentu tirgiem un ar ko groza Padomes Direktīvas 85/611/EEK un 93/6/EEK un Eiropas Parlamenta un Padomes Direktīvu 2000/12/EK un atceļ Padomes Direktīvu 93/22/EEK (OV L 145, 30.4.2004., 1. lpp.).</w:t>
      </w:r>
    </w:p>
  </w:footnote>
  <w:footnote w:id="4">
    <w:p>
      <w:pPr>
        <w:pStyle w:val="FootnoteText"/>
      </w:pPr>
      <w:r>
        <w:rPr>
          <w:rStyle w:val="FootnoteReference"/>
        </w:rPr>
        <w:footnoteRef/>
      </w:r>
      <w:r>
        <w:tab/>
        <w:t>Eiropas Parlamenta un Padomes 2002. gada 7. marta Direktīva 2002/21/EK par kopējiem reglamentējošiem noteikumiem attiecībā uz elektronisko komunikāciju tīkliem un pakalpojumiem (pamatdirektīva) (OV L 108, 24.4.2002., 33. lpp.).</w:t>
      </w:r>
    </w:p>
  </w:footnote>
  <w:footnote w:id="5">
    <w:p>
      <w:pPr>
        <w:pStyle w:val="FootnoteText"/>
      </w:pPr>
      <w:r>
        <w:rPr>
          <w:rStyle w:val="FootnoteReference"/>
        </w:rPr>
        <w:footnoteRef/>
      </w:r>
      <w:r>
        <w:tab/>
        <w:t>Eiropas Parlamenta un Padomes 2010. gada 10. marta Direktīva 2010/13/ES par to, lai koordinētu dažus dalībvalstu normatīvajos un administratīvajos aktos paredzētus noteikumus par audiovizuālo mediju pakalpojumu sniegšanu (Audiovizuālo mediju pakalpojumu direktīva) (OV L 95, 15.4.2010., 1. lpp.).</w:t>
      </w:r>
    </w:p>
  </w:footnote>
  <w:footnote w:id="6">
    <w:p>
      <w:pPr>
        <w:pStyle w:val="FootnoteText"/>
      </w:pPr>
      <w:r>
        <w:rPr>
          <w:rStyle w:val="FootnoteReference"/>
        </w:rPr>
        <w:footnoteRef/>
      </w:r>
      <w:r>
        <w:tab/>
        <w:t>Eiropas Parlamenta un Padomes 2008. gada 9. jūlija Regula (EK) Nr. 765/2008, ar ko nosaka akreditācijas un tirgus uzraudzības prasības attiecībā uz produktu tirdzniecību un atceļ Regulu (EEK) Nr. 339/93 (OV L 218, 13.8.2008., 30. lpp.).</w:t>
      </w:r>
    </w:p>
  </w:footnote>
  <w:footnote w:id="7">
    <w:p>
      <w:pPr>
        <w:pStyle w:val="FootnoteText"/>
      </w:pPr>
      <w:r>
        <w:rPr>
          <w:rStyle w:val="FootnoteReference"/>
        </w:rPr>
        <w:footnoteRef/>
      </w:r>
      <w:r>
        <w:tab/>
        <w:t>Eiropas Parlamenta un Padomes 2009. gada 25. novembra Regula (EK) Nr. 1221/2009 par organizāciju brīvprātīgu dalību Kopienas vides vadības un audita sistēmā (</w:t>
      </w:r>
      <w:r>
        <w:rPr>
          <w:i/>
        </w:rPr>
        <w:t>EMAS</w:t>
      </w:r>
      <w:r>
        <w:t>), kā arī par Regulas (EK) Nr. 761/2001 un Komisijas Lēmumu 2001/681/EK un 2006/193/EK atcelšanu (OV L 342, 22.12.2009., 1. lpp.).</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2243CD0"/>
    <w:lvl w:ilvl="0">
      <w:start w:val="1"/>
      <w:numFmt w:val="decimal"/>
      <w:pStyle w:val="ListNumber4"/>
      <w:lvlText w:val="%1."/>
      <w:lvlJc w:val="left"/>
      <w:pPr>
        <w:tabs>
          <w:tab w:val="num" w:pos="1209"/>
        </w:tabs>
        <w:ind w:left="1209" w:hanging="360"/>
      </w:pPr>
    </w:lvl>
  </w:abstractNum>
  <w:abstractNum w:abstractNumId="1">
    <w:nsid w:val="FFFFFF7E"/>
    <w:multiLevelType w:val="singleLevel"/>
    <w:tmpl w:val="D76A81A2"/>
    <w:lvl w:ilvl="0">
      <w:start w:val="1"/>
      <w:numFmt w:val="decimal"/>
      <w:pStyle w:val="ListNumber3"/>
      <w:lvlText w:val="%1."/>
      <w:lvlJc w:val="left"/>
      <w:pPr>
        <w:tabs>
          <w:tab w:val="num" w:pos="926"/>
        </w:tabs>
        <w:ind w:left="926" w:hanging="360"/>
      </w:pPr>
    </w:lvl>
  </w:abstractNum>
  <w:abstractNum w:abstractNumId="2">
    <w:nsid w:val="FFFFFF7F"/>
    <w:multiLevelType w:val="singleLevel"/>
    <w:tmpl w:val="C1323AF4"/>
    <w:lvl w:ilvl="0">
      <w:start w:val="1"/>
      <w:numFmt w:val="decimal"/>
      <w:pStyle w:val="ListNumber2"/>
      <w:lvlText w:val="%1."/>
      <w:lvlJc w:val="left"/>
      <w:pPr>
        <w:tabs>
          <w:tab w:val="num" w:pos="643"/>
        </w:tabs>
        <w:ind w:left="643" w:hanging="360"/>
      </w:pPr>
    </w:lvl>
  </w:abstractNum>
  <w:abstractNum w:abstractNumId="3">
    <w:nsid w:val="FFFFFF81"/>
    <w:multiLevelType w:val="singleLevel"/>
    <w:tmpl w:val="DE76DDA2"/>
    <w:lvl w:ilvl="0">
      <w:start w:val="1"/>
      <w:numFmt w:val="bullet"/>
      <w:pStyle w:val="ListBullet4"/>
      <w:lvlText w:val=""/>
      <w:lvlJc w:val="left"/>
      <w:pPr>
        <w:tabs>
          <w:tab w:val="num" w:pos="1209"/>
        </w:tabs>
        <w:ind w:left="1209" w:hanging="360"/>
      </w:pPr>
      <w:rPr>
        <w:rFonts w:ascii="Symbol" w:hAnsi="Symbol" w:hint="default"/>
      </w:rPr>
    </w:lvl>
  </w:abstractNum>
  <w:abstractNum w:abstractNumId="4">
    <w:nsid w:val="FFFFFF82"/>
    <w:multiLevelType w:val="singleLevel"/>
    <w:tmpl w:val="F0EE95EE"/>
    <w:lvl w:ilvl="0">
      <w:start w:val="1"/>
      <w:numFmt w:val="bullet"/>
      <w:pStyle w:val="ListBullet3"/>
      <w:lvlText w:val=""/>
      <w:lvlJc w:val="left"/>
      <w:pPr>
        <w:tabs>
          <w:tab w:val="num" w:pos="926"/>
        </w:tabs>
        <w:ind w:left="926" w:hanging="360"/>
      </w:pPr>
      <w:rPr>
        <w:rFonts w:ascii="Symbol" w:hAnsi="Symbol" w:hint="default"/>
      </w:rPr>
    </w:lvl>
  </w:abstractNum>
  <w:abstractNum w:abstractNumId="5">
    <w:nsid w:val="FFFFFF83"/>
    <w:multiLevelType w:val="singleLevel"/>
    <w:tmpl w:val="00E0F5E6"/>
    <w:lvl w:ilvl="0">
      <w:start w:val="1"/>
      <w:numFmt w:val="bullet"/>
      <w:pStyle w:val="ListBullet2"/>
      <w:lvlText w:val=""/>
      <w:lvlJc w:val="left"/>
      <w:pPr>
        <w:tabs>
          <w:tab w:val="num" w:pos="643"/>
        </w:tabs>
        <w:ind w:left="643" w:hanging="360"/>
      </w:pPr>
      <w:rPr>
        <w:rFonts w:ascii="Symbol" w:hAnsi="Symbol" w:hint="default"/>
      </w:rPr>
    </w:lvl>
  </w:abstractNum>
  <w:abstractNum w:abstractNumId="6">
    <w:nsid w:val="FFFFFF88"/>
    <w:multiLevelType w:val="singleLevel"/>
    <w:tmpl w:val="78D046A6"/>
    <w:lvl w:ilvl="0">
      <w:start w:val="1"/>
      <w:numFmt w:val="decimal"/>
      <w:pStyle w:val="ListNumber"/>
      <w:lvlText w:val="%1."/>
      <w:lvlJc w:val="left"/>
      <w:pPr>
        <w:tabs>
          <w:tab w:val="num" w:pos="360"/>
        </w:tabs>
        <w:ind w:left="360" w:hanging="360"/>
      </w:pPr>
    </w:lvl>
  </w:abstractNum>
  <w:abstractNum w:abstractNumId="7">
    <w:nsid w:val="FFFFFF89"/>
    <w:multiLevelType w:val="singleLevel"/>
    <w:tmpl w:val="5202A36E"/>
    <w:lvl w:ilvl="0">
      <w:start w:val="1"/>
      <w:numFmt w:val="bullet"/>
      <w:pStyle w:val="ListBullet"/>
      <w:lvlText w:val=""/>
      <w:lvlJc w:val="left"/>
      <w:pPr>
        <w:tabs>
          <w:tab w:val="num" w:pos="360"/>
        </w:tabs>
        <w:ind w:left="360" w:hanging="360"/>
      </w:pPr>
      <w:rPr>
        <w:rFonts w:ascii="Symbol" w:hAnsi="Symbol" w:hint="default"/>
      </w:rPr>
    </w:lvl>
  </w:abstractNum>
  <w:abstractNum w:abstractNumId="8">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9">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1">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2">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3">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4">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5">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6">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7">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8">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9">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65A10DDB"/>
    <w:multiLevelType w:val="multilevel"/>
    <w:tmpl w:val="5148BAC6"/>
    <w:lvl w:ilvl="0">
      <w:start w:val="1"/>
      <w:numFmt w:val="decimal"/>
      <w:lvlText w:val="%1."/>
      <w:lvlJc w:val="left"/>
      <w:pPr>
        <w:ind w:left="360" w:hanging="360"/>
      </w:pPr>
      <w:rPr>
        <w:rFonts w:hint="default"/>
        <w:b/>
      </w:rPr>
    </w:lvl>
    <w:lvl w:ilvl="1">
      <w:start w:val="1"/>
      <w:numFmt w:val="decimal"/>
      <w:pStyle w:val="numpar20"/>
      <w:lvlText w:val="%1.%2."/>
      <w:lvlJc w:val="left"/>
      <w:pPr>
        <w:ind w:left="432" w:hanging="432"/>
      </w:pPr>
      <w:rPr>
        <w:b/>
      </w:rPr>
    </w:lvl>
    <w:lvl w:ilvl="2">
      <w:start w:val="1"/>
      <w:numFmt w:val="decimal"/>
      <w:lvlText w:val="%1.%2.%3."/>
      <w:lvlJc w:val="left"/>
      <w:pPr>
        <w:ind w:left="504" w:hanging="504"/>
      </w:pPr>
    </w:lvl>
    <w:lvl w:ilvl="3">
      <w:start w:val="1"/>
      <w:numFmt w:val="decimal"/>
      <w:lvlText w:val="%1.%2.%3.%4."/>
      <w:lvlJc w:val="left"/>
      <w:pPr>
        <w:ind w:left="1215"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2">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7"/>
  </w:num>
  <w:num w:numId="2">
    <w:abstractNumId w:val="5"/>
  </w:num>
  <w:num w:numId="3">
    <w:abstractNumId w:val="4"/>
  </w:num>
  <w:num w:numId="4">
    <w:abstractNumId w:val="3"/>
  </w:num>
  <w:num w:numId="5">
    <w:abstractNumId w:val="6"/>
  </w:num>
  <w:num w:numId="6">
    <w:abstractNumId w:val="2"/>
  </w:num>
  <w:num w:numId="7">
    <w:abstractNumId w:val="1"/>
  </w:num>
  <w:num w:numId="8">
    <w:abstractNumId w:val="0"/>
  </w:num>
  <w:num w:numId="9">
    <w:abstractNumId w:val="20"/>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num>
  <w:num w:numId="12">
    <w:abstractNumId w:val="12"/>
  </w:num>
  <w:num w:numId="13">
    <w:abstractNumId w:val="21"/>
  </w:num>
  <w:num w:numId="14">
    <w:abstractNumId w:val="11"/>
  </w:num>
  <w:num w:numId="15">
    <w:abstractNumId w:val="13"/>
  </w:num>
  <w:num w:numId="16">
    <w:abstractNumId w:val="9"/>
  </w:num>
  <w:num w:numId="17">
    <w:abstractNumId w:val="19"/>
  </w:num>
  <w:num w:numId="18">
    <w:abstractNumId w:val="8"/>
  </w:num>
  <w:num w:numId="19">
    <w:abstractNumId w:val="14"/>
  </w:num>
  <w:num w:numId="20">
    <w:abstractNumId w:val="16"/>
  </w:num>
  <w:num w:numId="21">
    <w:abstractNumId w:val="17"/>
  </w:num>
  <w:num w:numId="22">
    <w:abstractNumId w:val="10"/>
  </w:num>
  <w:num w:numId="23">
    <w:abstractNumId w:val="15"/>
  </w:num>
  <w:num w:numId="24">
    <w:abstractNumId w:val="22"/>
  </w:num>
  <w:num w:numId="25">
    <w:abstractNumId w:val="18"/>
  </w:num>
  <w:num w:numId="26">
    <w:abstractNumId w:val="12"/>
  </w:num>
  <w:num w:numId="27">
    <w:abstractNumId w:val="21"/>
  </w:num>
  <w:num w:numId="28">
    <w:abstractNumId w:val="11"/>
  </w:num>
  <w:num w:numId="29">
    <w:abstractNumId w:val="13"/>
  </w:num>
  <w:num w:numId="30">
    <w:abstractNumId w:val="9"/>
  </w:num>
  <w:num w:numId="31">
    <w:abstractNumId w:val="19"/>
  </w:num>
  <w:num w:numId="32">
    <w:abstractNumId w:val="8"/>
  </w:num>
  <w:num w:numId="33">
    <w:abstractNumId w:val="14"/>
  </w:num>
  <w:num w:numId="34">
    <w:abstractNumId w:val="16"/>
  </w:num>
  <w:num w:numId="35">
    <w:abstractNumId w:val="17"/>
  </w:num>
  <w:num w:numId="36">
    <w:abstractNumId w:val="10"/>
  </w:num>
  <w:num w:numId="37">
    <w:abstractNumId w:val="15"/>
  </w:num>
  <w:num w:numId="38">
    <w:abstractNumId w:val="2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75"/>
  <w:hideSpellingErrors/>
  <w:hideGrammaticalErrors/>
  <w:attachedTemplate r:id="rId1"/>
  <w:revisionView w:markup="0"/>
  <w:defaultTabStop w:val="720"/>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VERPAGE_EXISTS" w:val="True"/>
    <w:docVar w:name="DQCDateTime" w:val="2016-11-14 10:25:45"/>
    <w:docVar w:name="DQCResult_Distribution" w:val="0;0"/>
    <w:docVar w:name="DQCResult_DocumentContent" w:val="0;0"/>
    <w:docVar w:name="DQCResult_DocumentSize" w:val="0;0"/>
    <w:docVar w:name="DQCResult_DocumentVersions" w:val="0;0"/>
    <w:docVar w:name="DQCResult_ExistenceOfMacros" w:val="0;0"/>
    <w:docVar w:name="DQCResult_InvalidFootnotes" w:val="0;0"/>
    <w:docVar w:name="DQCResult_LinkedStyles" w:val="0;0"/>
    <w:docVar w:name="DQCResult_ModifiedMargins" w:val="0;0"/>
    <w:docVar w:name="DQCResult_ModifiedMarkers" w:val="0;0"/>
    <w:docVar w:name="DQCResult_ModifiedNumbering" w:val="0;0"/>
    <w:docVar w:name="DQCResult_Objects" w:val="0;0"/>
    <w:docVar w:name="DQCResult_Sections" w:val="0;0"/>
    <w:docVar w:name="DQCResult_StructureCheck" w:val="0;0"/>
    <w:docVar w:name="DQCResult_SuperfluousWhitespace" w:val="0;6"/>
    <w:docVar w:name="DQCResult_UnknownFonts" w:val="0;0"/>
    <w:docVar w:name="DQCResult_UnknownStyles" w:val="0;0"/>
    <w:docVar w:name="DQCStatus" w:val="Green"/>
    <w:docVar w:name="DQCVersion" w:val="3"/>
    <w:docVar w:name="DQCWithWarnings" w:val="0"/>
    <w:docVar w:name="LW_ACCOMPAGNANT.CP" w:val="dokumentam"/>
    <w:docVar w:name="LW_ANNEX_NBR_FIRST" w:val="1"/>
    <w:docVar w:name="LW_ANNEX_NBR_LAST" w:val="1"/>
    <w:docVar w:name="LW_CONFIDENCE" w:val=" "/>
    <w:docVar w:name="LW_CONST_RESTREINT_UE" w:val="RESTREINT UE"/>
    <w:docVar w:name="LW_CORRIGENDUM" w:val="&lt;UNUSED&gt;"/>
    <w:docVar w:name="LW_COVERPAGE_GUID" w:val="83BE66490EFB46349841FCE53EB89DC4"/>
    <w:docVar w:name="LW_CROSSREFERENCE" w:val="&lt;UNUSED&gt;"/>
    <w:docVar w:name="LW_DocType" w:val="ANNEX"/>
    <w:docVar w:name="LW_EMISSION" w:val="14.9.2016"/>
    <w:docVar w:name="LW_EMISSION_ISODATE" w:val="2016-09-14"/>
    <w:docVar w:name="LW_EMISSION_LOCATION" w:val="BRX"/>
    <w:docVar w:name="LW_EMISSION_PREFIX" w:val="Brisel\u275?, "/>
    <w:docVar w:name="LW_EMISSION_SUFFIX" w:val="."/>
    <w:docVar w:name="LW_ID_DOCSTRUCTURE" w:val="COM/ANNEX"/>
    <w:docVar w:name="LW_ID_DOCTYPE" w:val="SG-017"/>
    <w:docVar w:name="LW_LANGUE" w:val="LV"/>
    <w:docVar w:name="LW_MARKING" w:val="&lt;UNUSED&gt;"/>
    <w:docVar w:name="LW_NOM.INST" w:val="EIROPAS KOMISIJA"/>
    <w:docVar w:name="LW_NOM.INST_JOINTDOC" w:val="&lt;EMPTY&gt;"/>
    <w:docVar w:name="LW_OBJETACTEPRINCIPAL.CP" w:val="par finan\u353?u noteikumiem, ko piem\u275?ro Savien\u299?bas visp\u257?r\u275?jam bud\u382?etam, un ar ko groza Eiropas Parlamenta un Padomes Regulas (ES) Nr. 1296/2013, (ES) Nr. 1299/2013, (ES) Nr. 1301/2013, (ES) Nr. 1303/2013, (ES) Nr. 1304/2013, (ES) Nr. 1305/2013, (ES) Nr. 1306/2013, (ES) Nr. 1307/2013, (ES) Nr. 1308/2013, (ES) Nr. 1309/2013, (ES) Nr. 1316/2013, (ES) Nr. 223/2014, (ES) Nr. 283/2014 un (ES) Nr. 652/2014 un Eiropas Parlamenta un Padomes L\u275?mumu Nr. 541/2014/ES "/>
    <w:docVar w:name="LW_PART_NBR" w:val="1"/>
    <w:docVar w:name="LW_PART_NBR_TOTAL" w:val="1"/>
    <w:docVar w:name="LW_REF.INST.NEW" w:val="COM"/>
    <w:docVar w:name="LW_REF.INST.NEW_ADOPTED" w:val="final"/>
    <w:docVar w:name="LW_REF.INST.NEW_TEXT" w:val="(2016) 605"/>
    <w:docVar w:name="LW_REF.INTERNE" w:val="&lt;UNUSED&gt;"/>
    <w:docVar w:name="LW_SUPERTITRE" w:val="&lt;UNUSED&gt;"/>
    <w:docVar w:name="LW_TITRE.OBJ.CP" w:val="&lt;UNUSED&gt;"/>
    <w:docVar w:name="LW_TYPE.DOC.CP" w:val="PIELIKUMI"/>
    <w:docVar w:name="LW_TYPEACTEPRINCIPAL.CP" w:val="priek\u353?likums EIROPAS PARLAMENTA UN PADOMES REGULA "/>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v-LV" w:eastAsia="lv-LV" w:bidi="lv-LV"/>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rPr>
  </w:style>
  <w:style w:type="paragraph" w:styleId="Heading1">
    <w:name w:val="heading 1"/>
    <w:basedOn w:val="Normal"/>
    <w:next w:val="Text1"/>
    <w:link w:val="Heading1Char"/>
    <w:uiPriority w:val="9"/>
    <w:qFormat/>
    <w:pPr>
      <w:keepNext/>
      <w:numPr>
        <w:numId w:val="31"/>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31"/>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31"/>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31"/>
      </w:numPr>
      <w:outlineLvl w:val="3"/>
    </w:pPr>
    <w:rPr>
      <w:rFonts w:eastAsiaTheme="majorEastAsia"/>
      <w:bCs/>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9"/>
    <w:semiHidden/>
    <w:unhideWhenUsed/>
    <w:pPr>
      <w:numPr>
        <w:numId w:val="1"/>
      </w:numPr>
      <w:contextualSpacing/>
    </w:pPr>
  </w:style>
  <w:style w:type="paragraph" w:styleId="ListBullet2">
    <w:name w:val="List Bullet 2"/>
    <w:basedOn w:val="Normal"/>
    <w:uiPriority w:val="99"/>
    <w:semiHidden/>
    <w:unhideWhenUsed/>
    <w:pPr>
      <w:numPr>
        <w:numId w:val="2"/>
      </w:numPr>
      <w:contextualSpacing/>
    </w:pPr>
  </w:style>
  <w:style w:type="paragraph" w:styleId="ListBullet3">
    <w:name w:val="List Bullet 3"/>
    <w:basedOn w:val="Normal"/>
    <w:uiPriority w:val="99"/>
    <w:semiHidden/>
    <w:unhideWhenUsed/>
    <w:pPr>
      <w:numPr>
        <w:numId w:val="3"/>
      </w:numPr>
      <w:contextualSpacing/>
    </w:pPr>
  </w:style>
  <w:style w:type="paragraph" w:styleId="ListBullet4">
    <w:name w:val="List Bullet 4"/>
    <w:basedOn w:val="Normal"/>
    <w:uiPriority w:val="99"/>
    <w:semiHidden/>
    <w:unhideWhenUsed/>
    <w:pPr>
      <w:numPr>
        <w:numId w:val="4"/>
      </w:numPr>
      <w:contextualSpacing/>
    </w:pPr>
  </w:style>
  <w:style w:type="table" w:styleId="TableGrid">
    <w:name w:val="Table Grid"/>
    <w:basedOn w:val="TableNormal"/>
    <w:uiPriority w:val="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anualNumPar1Char">
    <w:name w:val="Manual NumPar 1 Char"/>
    <w:basedOn w:val="Normal"/>
    <w:next w:val="Normal"/>
    <w:pPr>
      <w:spacing w:line="360" w:lineRule="auto"/>
      <w:ind w:left="850" w:hanging="850"/>
    </w:pPr>
    <w:rPr>
      <w:rFonts w:asciiTheme="minorHAnsi" w:hAnsiTheme="minorHAnsi" w:cstheme="minorBidi"/>
      <w:szCs w:val="24"/>
    </w:rPr>
  </w:style>
  <w:style w:type="paragraph" w:customStyle="1" w:styleId="Text1Char">
    <w:name w:val="Text 1 Char"/>
    <w:basedOn w:val="Normal"/>
    <w:pPr>
      <w:spacing w:line="360" w:lineRule="auto"/>
      <w:ind w:left="850"/>
    </w:pPr>
    <w:rPr>
      <w:rFonts w:asciiTheme="minorHAnsi" w:hAnsiTheme="minorHAnsi" w:cstheme="minorBidi"/>
      <w:szCs w:val="24"/>
    </w:rPr>
  </w:style>
  <w:style w:type="character" w:styleId="CommentReference">
    <w:name w:val="annotation reference"/>
    <w:basedOn w:val="DefaultParagraphFont"/>
    <w:uiPriority w:val="99"/>
    <w:unhideWhenUsed/>
    <w:rPr>
      <w:sz w:val="16"/>
      <w:szCs w:val="16"/>
    </w:rPr>
  </w:style>
  <w:style w:type="paragraph" w:styleId="CommentText">
    <w:name w:val="annotation text"/>
    <w:basedOn w:val="Normal"/>
    <w:link w:val="CommentTextChar"/>
    <w:uiPriority w:val="99"/>
    <w:unhideWhenUsed/>
    <w:rPr>
      <w:rFonts w:asciiTheme="minorHAnsi" w:hAnsiTheme="minorHAnsi" w:cstheme="minorBidi"/>
      <w:sz w:val="20"/>
      <w:szCs w:val="20"/>
    </w:rPr>
  </w:style>
  <w:style w:type="character" w:customStyle="1" w:styleId="CommentTextChar">
    <w:name w:val="Comment Text Char"/>
    <w:basedOn w:val="DefaultParagraphFont"/>
    <w:link w:val="CommentText"/>
    <w:uiPriority w:val="99"/>
    <w:rPr>
      <w:sz w:val="20"/>
      <w:szCs w:val="20"/>
      <w:lang w:val="lv-LV"/>
    </w:rPr>
  </w:style>
  <w:style w:type="paragraph" w:styleId="CommentSubject">
    <w:name w:val="annotation subject"/>
    <w:basedOn w:val="CommentText"/>
    <w:next w:val="CommentText"/>
    <w:link w:val="CommentSubjectChar"/>
    <w:uiPriority w:val="99"/>
    <w:unhideWhenUsed/>
    <w:rPr>
      <w:b/>
      <w:bCs/>
    </w:rPr>
  </w:style>
  <w:style w:type="character" w:customStyle="1" w:styleId="CommentSubjectChar">
    <w:name w:val="Comment Subject Char"/>
    <w:basedOn w:val="CommentTextChar"/>
    <w:link w:val="CommentSubject"/>
    <w:uiPriority w:val="99"/>
    <w:rPr>
      <w:b/>
      <w:bCs/>
      <w:sz w:val="20"/>
      <w:szCs w:val="20"/>
      <w:lang w:val="lv-LV"/>
    </w:rPr>
  </w:style>
  <w:style w:type="paragraph" w:styleId="BalloonText">
    <w:name w:val="Balloon Text"/>
    <w:basedOn w:val="Normal"/>
    <w:link w:val="BalloonTextChar"/>
    <w:uiPriority w:val="99"/>
    <w:unhideWhenUsed/>
    <w:pPr>
      <w:spacing w:after="0"/>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lang w:val="lv-LV"/>
    </w:rPr>
  </w:style>
  <w:style w:type="paragraph" w:styleId="NoSpacing">
    <w:name w:val="No Spacing"/>
    <w:uiPriority w:val="1"/>
    <w:qFormat/>
    <w:pPr>
      <w:spacing w:after="0" w:line="240" w:lineRule="auto"/>
    </w:pPr>
  </w:style>
  <w:style w:type="character" w:styleId="Emphasis">
    <w:name w:val="Emphasis"/>
    <w:qFormat/>
    <w:rPr>
      <w:i/>
      <w:iCs/>
    </w:rPr>
  </w:style>
  <w:style w:type="paragraph" w:styleId="ListParagraph">
    <w:name w:val="List Paragraph"/>
    <w:basedOn w:val="Normal"/>
    <w:uiPriority w:val="34"/>
    <w:qFormat/>
    <w:pPr>
      <w:ind w:left="720"/>
      <w:contextualSpacing/>
    </w:pPr>
    <w:rPr>
      <w:rFonts w:asciiTheme="minorHAnsi" w:hAnsiTheme="minorHAnsi" w:cstheme="minorBidi"/>
      <w:sz w:val="22"/>
    </w:rPr>
  </w:style>
  <w:style w:type="character" w:styleId="Strong">
    <w:name w:val="Strong"/>
    <w:qFormat/>
    <w:rPr>
      <w:b/>
      <w:bCs/>
    </w:rPr>
  </w:style>
  <w:style w:type="paragraph" w:customStyle="1" w:styleId="CM4">
    <w:name w:val="CM4"/>
    <w:basedOn w:val="Normal"/>
    <w:next w:val="Normal"/>
    <w:uiPriority w:val="99"/>
    <w:pPr>
      <w:autoSpaceDE w:val="0"/>
      <w:autoSpaceDN w:val="0"/>
      <w:adjustRightInd w:val="0"/>
      <w:spacing w:after="0"/>
    </w:pPr>
    <w:rPr>
      <w:rFonts w:eastAsia="Times New Roman"/>
      <w:szCs w:val="24"/>
    </w:rPr>
  </w:style>
  <w:style w:type="character" w:customStyle="1" w:styleId="numerique2">
    <w:name w:val="numerique2"/>
  </w:style>
  <w:style w:type="table" w:customStyle="1" w:styleId="TableGrid1">
    <w:name w:val="Table Grid1"/>
    <w:basedOn w:val="TableNormal"/>
    <w:next w:val="TableGrid"/>
    <w:uiPriority w:val="5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Pr>
      <w:color w:val="0000FF" w:themeColor="hyperlink"/>
      <w:u w:val="single"/>
    </w:rPr>
  </w:style>
  <w:style w:type="paragraph" w:styleId="NormalWeb">
    <w:name w:val="Normal (Web)"/>
    <w:basedOn w:val="Normal"/>
    <w:uiPriority w:val="99"/>
    <w:unhideWhenUsed/>
    <w:pPr>
      <w:spacing w:before="100" w:beforeAutospacing="1" w:after="100" w:afterAutospacing="1"/>
    </w:pPr>
    <w:rPr>
      <w:rFonts w:eastAsia="Times New Roman"/>
      <w:szCs w:val="24"/>
    </w:rPr>
  </w:style>
  <w:style w:type="paragraph" w:customStyle="1" w:styleId="title-article-norm">
    <w:name w:val="title-article-norm"/>
    <w:basedOn w:val="Normal"/>
    <w:pPr>
      <w:spacing w:before="240"/>
      <w:jc w:val="center"/>
    </w:pPr>
    <w:rPr>
      <w:rFonts w:eastAsia="Times New Roman"/>
      <w:i/>
      <w:iCs/>
      <w:szCs w:val="24"/>
    </w:rPr>
  </w:style>
  <w:style w:type="paragraph" w:customStyle="1" w:styleId="CM3">
    <w:name w:val="CM3"/>
    <w:basedOn w:val="Normal"/>
    <w:next w:val="Normal"/>
    <w:uiPriority w:val="99"/>
    <w:pPr>
      <w:autoSpaceDE w:val="0"/>
      <w:autoSpaceDN w:val="0"/>
      <w:adjustRightInd w:val="0"/>
      <w:spacing w:after="0"/>
    </w:pPr>
    <w:rPr>
      <w:rFonts w:ascii="EUAlbertina" w:eastAsia="Times New Roman" w:hAnsi="EUAlbertina"/>
      <w:szCs w:val="24"/>
    </w:rPr>
  </w:style>
  <w:style w:type="paragraph" w:customStyle="1" w:styleId="Normal2">
    <w:name w:val="Normal2"/>
    <w:basedOn w:val="Normal"/>
    <w:pPr>
      <w:spacing w:after="0"/>
    </w:pPr>
    <w:rPr>
      <w:rFonts w:eastAsia="Times New Roman"/>
      <w:szCs w:val="24"/>
    </w:rPr>
  </w:style>
  <w:style w:type="paragraph" w:customStyle="1" w:styleId="CM1">
    <w:name w:val="CM1"/>
    <w:basedOn w:val="Normal"/>
    <w:next w:val="Normal"/>
    <w:uiPriority w:val="99"/>
    <w:pPr>
      <w:autoSpaceDE w:val="0"/>
      <w:autoSpaceDN w:val="0"/>
      <w:adjustRightInd w:val="0"/>
      <w:spacing w:after="0"/>
    </w:pPr>
    <w:rPr>
      <w:rFonts w:ascii="EUAlbertina" w:eastAsia="Times New Roman" w:hAnsi="EUAlbertina"/>
      <w:szCs w:val="24"/>
    </w:rPr>
  </w:style>
  <w:style w:type="numbering" w:customStyle="1" w:styleId="NoList1">
    <w:name w:val="No List1"/>
    <w:next w:val="NoList"/>
    <w:uiPriority w:val="99"/>
    <w:semiHidden/>
    <w:unhideWhenUsed/>
  </w:style>
  <w:style w:type="table" w:customStyle="1" w:styleId="TableGrid2">
    <w:name w:val="Table Grid2"/>
    <w:basedOn w:val="TableNormal"/>
    <w:next w:val="TableGrid"/>
    <w:uiPriority w:val="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itlebold">
    <w:name w:val="titlebold"/>
    <w:basedOn w:val="DefaultParagraphFont"/>
  </w:style>
  <w:style w:type="character" w:customStyle="1" w:styleId="bold">
    <w:name w:val="bold"/>
    <w:basedOn w:val="DefaultParagraphFont"/>
  </w:style>
  <w:style w:type="character" w:customStyle="1" w:styleId="suitrap">
    <w:name w:val="suitrap"/>
    <w:basedOn w:val="DefaultParagraphFont"/>
  </w:style>
  <w:style w:type="character" w:customStyle="1" w:styleId="alpha2">
    <w:name w:val="alpha2"/>
    <w:basedOn w:val="DefaultParagraphFont"/>
  </w:style>
  <w:style w:type="paragraph" w:styleId="PlainText">
    <w:name w:val="Plain Text"/>
    <w:basedOn w:val="Normal"/>
    <w:link w:val="PlainTextChar"/>
    <w:uiPriority w:val="99"/>
    <w:unhideWhenUsed/>
    <w:pPr>
      <w:spacing w:after="0"/>
    </w:pPr>
    <w:rPr>
      <w:rFonts w:ascii="Calibri" w:hAnsi="Calibri" w:cstheme="minorBidi"/>
      <w:sz w:val="22"/>
      <w:szCs w:val="21"/>
    </w:rPr>
  </w:style>
  <w:style w:type="character" w:customStyle="1" w:styleId="PlainTextChar">
    <w:name w:val="Plain Text Char"/>
    <w:basedOn w:val="DefaultParagraphFont"/>
    <w:link w:val="PlainText"/>
    <w:uiPriority w:val="99"/>
    <w:rPr>
      <w:rFonts w:ascii="Calibri" w:hAnsi="Calibri"/>
      <w:szCs w:val="21"/>
      <w:lang w:val="lv-LV"/>
    </w:rPr>
  </w:style>
  <w:style w:type="numbering" w:customStyle="1" w:styleId="NoList2">
    <w:name w:val="No List2"/>
    <w:next w:val="NoList"/>
    <w:uiPriority w:val="99"/>
    <w:semiHidden/>
    <w:unhideWhenUsed/>
  </w:style>
  <w:style w:type="table" w:customStyle="1" w:styleId="TableGrid3">
    <w:name w:val="Table Grid3"/>
    <w:basedOn w:val="TableNormal"/>
    <w:next w:val="TableGrid"/>
    <w:uiPriority w:val="5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vision">
    <w:name w:val="Revision"/>
    <w:hidden/>
    <w:uiPriority w:val="99"/>
    <w:semiHidden/>
    <w:pPr>
      <w:spacing w:after="0" w:line="240" w:lineRule="auto"/>
    </w:pPr>
    <w:rPr>
      <w:rFonts w:ascii="Times New Roman" w:eastAsia="Times New Roman" w:hAnsi="Times New Roman" w:cs="Times New Roman"/>
      <w:sz w:val="24"/>
      <w:szCs w:val="24"/>
    </w:rPr>
  </w:style>
  <w:style w:type="paragraph" w:customStyle="1" w:styleId="norm">
    <w:name w:val="norm"/>
    <w:basedOn w:val="Normal"/>
    <w:pPr>
      <w:spacing w:before="100" w:beforeAutospacing="1" w:after="100" w:afterAutospacing="1"/>
    </w:pPr>
    <w:rPr>
      <w:rFonts w:eastAsia="Times New Roman"/>
      <w:szCs w:val="24"/>
    </w:rPr>
  </w:style>
  <w:style w:type="paragraph" w:customStyle="1" w:styleId="List1">
    <w:name w:val="List1"/>
    <w:basedOn w:val="Normal"/>
    <w:pPr>
      <w:spacing w:before="100" w:beforeAutospacing="1" w:after="100" w:afterAutospacing="1"/>
    </w:pPr>
    <w:rPr>
      <w:rFonts w:eastAsia="Times New Roman"/>
      <w:szCs w:val="24"/>
    </w:rPr>
  </w:style>
  <w:style w:type="paragraph" w:customStyle="1" w:styleId="title-division-1">
    <w:name w:val="title-division-1"/>
    <w:basedOn w:val="Normal"/>
    <w:pPr>
      <w:spacing w:before="100" w:beforeAutospacing="1" w:after="100" w:afterAutospacing="1"/>
    </w:pPr>
    <w:rPr>
      <w:rFonts w:eastAsia="Times New Roman"/>
      <w:szCs w:val="24"/>
    </w:rPr>
  </w:style>
  <w:style w:type="paragraph" w:customStyle="1" w:styleId="title-division-2">
    <w:name w:val="title-division-2"/>
    <w:basedOn w:val="Normal"/>
    <w:pPr>
      <w:spacing w:before="100" w:beforeAutospacing="1" w:after="100" w:afterAutospacing="1"/>
    </w:pPr>
    <w:rPr>
      <w:rFonts w:eastAsia="Times New Roman"/>
      <w:szCs w:val="24"/>
    </w:rPr>
  </w:style>
  <w:style w:type="character" w:customStyle="1" w:styleId="boldface">
    <w:name w:val="boldface"/>
    <w:basedOn w:val="DefaultParagraphFont"/>
  </w:style>
  <w:style w:type="paragraph" w:customStyle="1" w:styleId="modref">
    <w:name w:val="modref"/>
    <w:basedOn w:val="Normal"/>
    <w:pPr>
      <w:spacing w:before="100" w:beforeAutospacing="1" w:after="100" w:afterAutospacing="1"/>
    </w:pPr>
    <w:rPr>
      <w:rFonts w:eastAsia="Times New Roman"/>
      <w:szCs w:val="24"/>
    </w:rPr>
  </w:style>
  <w:style w:type="character" w:customStyle="1" w:styleId="italics">
    <w:name w:val="italics"/>
    <w:basedOn w:val="DefaultParagraphFont"/>
  </w:style>
  <w:style w:type="character" w:customStyle="1" w:styleId="expanded">
    <w:name w:val="expanded"/>
    <w:basedOn w:val="DefaultParagraphFont"/>
  </w:style>
  <w:style w:type="character" w:customStyle="1" w:styleId="superscript">
    <w:name w:val="superscript"/>
    <w:basedOn w:val="DefaultParagraphFont"/>
  </w:style>
  <w:style w:type="paragraph" w:customStyle="1" w:styleId="stitle-article-norm">
    <w:name w:val="stitle-article-norm"/>
    <w:basedOn w:val="Normal"/>
    <w:pPr>
      <w:spacing w:before="100" w:beforeAutospacing="1" w:after="100" w:afterAutospacing="1"/>
    </w:pPr>
    <w:rPr>
      <w:rFonts w:eastAsia="Times New Roman"/>
      <w:szCs w:val="24"/>
    </w:rPr>
  </w:style>
  <w:style w:type="paragraph" w:customStyle="1" w:styleId="Default">
    <w:name w:val="Default"/>
    <w:pPr>
      <w:autoSpaceDE w:val="0"/>
      <w:autoSpaceDN w:val="0"/>
      <w:adjustRightInd w:val="0"/>
      <w:spacing w:after="0" w:line="240" w:lineRule="auto"/>
    </w:pPr>
    <w:rPr>
      <w:rFonts w:ascii="NVTWN N+ EU Albertina# 20" w:hAnsi="NVTWN N+ EU Albertina# 20" w:cs="NVTWN N+ EU Albertina# 20"/>
      <w:color w:val="000000"/>
      <w:sz w:val="24"/>
      <w:szCs w:val="24"/>
    </w:rPr>
  </w:style>
  <w:style w:type="table" w:customStyle="1" w:styleId="TableGrid4">
    <w:name w:val="Table Grid4"/>
    <w:basedOn w:val="TableNormal"/>
    <w:next w:val="TableGrid"/>
    <w:uiPriority w:val="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iPriority w:val="35"/>
    <w:semiHidden/>
    <w:unhideWhenUsed/>
    <w:qFormat/>
    <w:rPr>
      <w:b/>
      <w:bCs/>
      <w:color w:val="4F81BD" w:themeColor="accent1"/>
      <w:sz w:val="18"/>
      <w:szCs w:val="18"/>
    </w:rPr>
  </w:style>
  <w:style w:type="paragraph" w:styleId="TableofFigures">
    <w:name w:val="table of figures"/>
    <w:basedOn w:val="Normal"/>
    <w:next w:val="Normal"/>
    <w:uiPriority w:val="99"/>
    <w:semiHidden/>
    <w:unhideWhenUsed/>
    <w:pPr>
      <w:spacing w:after="0"/>
    </w:pPr>
  </w:style>
  <w:style w:type="paragraph" w:styleId="ListNumber">
    <w:name w:val="List Number"/>
    <w:basedOn w:val="Normal"/>
    <w:uiPriority w:val="99"/>
    <w:semiHidden/>
    <w:unhideWhenUsed/>
    <w:pPr>
      <w:numPr>
        <w:numId w:val="5"/>
      </w:numPr>
      <w:contextualSpacing/>
    </w:pPr>
  </w:style>
  <w:style w:type="paragraph" w:styleId="ListNumber2">
    <w:name w:val="List Number 2"/>
    <w:basedOn w:val="Normal"/>
    <w:uiPriority w:val="99"/>
    <w:semiHidden/>
    <w:unhideWhenUsed/>
    <w:pPr>
      <w:numPr>
        <w:numId w:val="6"/>
      </w:numPr>
      <w:contextualSpacing/>
    </w:pPr>
  </w:style>
  <w:style w:type="paragraph" w:styleId="ListNumber3">
    <w:name w:val="List Number 3"/>
    <w:basedOn w:val="Normal"/>
    <w:uiPriority w:val="99"/>
    <w:semiHidden/>
    <w:unhideWhenUsed/>
    <w:pPr>
      <w:numPr>
        <w:numId w:val="7"/>
      </w:numPr>
      <w:contextualSpacing/>
    </w:pPr>
  </w:style>
  <w:style w:type="paragraph" w:styleId="ListNumber4">
    <w:name w:val="List Number 4"/>
    <w:basedOn w:val="Normal"/>
    <w:uiPriority w:val="99"/>
    <w:semiHidden/>
    <w:unhideWhenUsed/>
    <w:pPr>
      <w:numPr>
        <w:numId w:val="8"/>
      </w:numPr>
      <w:contextualSpacing/>
    </w:pPr>
  </w:style>
  <w:style w:type="paragraph" w:customStyle="1" w:styleId="ManNumPar1">
    <w:name w:val="ManNumPar 1"/>
    <w:basedOn w:val="NumPar1"/>
    <w:pPr>
      <w:numPr>
        <w:numId w:val="0"/>
      </w:numPr>
      <w:tabs>
        <w:tab w:val="num" w:pos="850"/>
      </w:tabs>
      <w:ind w:left="850" w:hanging="850"/>
    </w:pPr>
  </w:style>
  <w:style w:type="paragraph" w:customStyle="1" w:styleId="ManNumPar0">
    <w:name w:val="ManNumPar 0"/>
    <w:basedOn w:val="ManNumPar1"/>
  </w:style>
  <w:style w:type="paragraph" w:customStyle="1" w:styleId="NumPar0">
    <w:name w:val="NumPar 0"/>
    <w:basedOn w:val="NumPar1"/>
    <w:pPr>
      <w:numPr>
        <w:numId w:val="0"/>
      </w:numPr>
      <w:tabs>
        <w:tab w:val="num" w:pos="850"/>
      </w:tabs>
      <w:ind w:left="850" w:hanging="850"/>
    </w:pPr>
  </w:style>
  <w:style w:type="paragraph" w:customStyle="1" w:styleId="Titra">
    <w:name w:val="Titra"/>
    <w:basedOn w:val="Normal"/>
  </w:style>
  <w:style w:type="paragraph" w:customStyle="1" w:styleId="Text14">
    <w:name w:val="Text 14"/>
    <w:basedOn w:val="NumPar1"/>
    <w:pPr>
      <w:numPr>
        <w:numId w:val="0"/>
      </w:numPr>
      <w:tabs>
        <w:tab w:val="num" w:pos="850"/>
      </w:tabs>
      <w:ind w:left="850" w:hanging="850"/>
    </w:pPr>
  </w:style>
  <w:style w:type="paragraph" w:customStyle="1" w:styleId="Text10">
    <w:name w:val="Text1"/>
    <w:basedOn w:val="Normal"/>
    <w:rPr>
      <w:sz w:val="22"/>
    </w:rPr>
  </w:style>
  <w:style w:type="paragraph" w:customStyle="1" w:styleId="ManNumPar2">
    <w:name w:val="ManNumPar 2"/>
    <w:basedOn w:val="ManNumPar0"/>
  </w:style>
  <w:style w:type="paragraph" w:customStyle="1" w:styleId="NumPa1">
    <w:name w:val="NumPa 1"/>
    <w:basedOn w:val="Normal"/>
    <w:rPr>
      <w:rFonts w:eastAsia="Times New Roman"/>
      <w:noProof/>
    </w:rPr>
  </w:style>
  <w:style w:type="paragraph" w:customStyle="1" w:styleId="Point12">
    <w:name w:val="Point 12"/>
    <w:basedOn w:val="Normal"/>
    <w:rPr>
      <w:rFonts w:eastAsia="Times New Roman"/>
    </w:rPr>
  </w:style>
  <w:style w:type="paragraph" w:customStyle="1" w:styleId="Point">
    <w:name w:val="Point"/>
    <w:basedOn w:val="Point1"/>
  </w:style>
  <w:style w:type="paragraph" w:customStyle="1" w:styleId="Normal8">
    <w:name w:val="Normal8"/>
    <w:basedOn w:val="Normal"/>
    <w:pPr>
      <w:spacing w:after="0"/>
    </w:pPr>
    <w:rPr>
      <w:rFonts w:eastAsia="Times New Roman"/>
      <w:szCs w:val="24"/>
    </w:rPr>
  </w:style>
  <w:style w:type="paragraph" w:customStyle="1" w:styleId="normal20">
    <w:name w:val="normal2"/>
    <w:basedOn w:val="Normal"/>
    <w:pPr>
      <w:spacing w:after="0" w:line="312" w:lineRule="atLeast"/>
    </w:pPr>
    <w:rPr>
      <w:rFonts w:eastAsia="Times New Roman"/>
      <w:szCs w:val="24"/>
    </w:rPr>
  </w:style>
  <w:style w:type="paragraph" w:customStyle="1" w:styleId="Tect1">
    <w:name w:val="Tect 1"/>
    <w:basedOn w:val="Normal"/>
    <w:rPr>
      <w:szCs w:val="24"/>
    </w:rPr>
  </w:style>
  <w:style w:type="paragraph" w:customStyle="1" w:styleId="Tetx1">
    <w:name w:val="Tetx 1"/>
    <w:basedOn w:val="Normal"/>
  </w:style>
  <w:style w:type="paragraph" w:customStyle="1" w:styleId="Text">
    <w:name w:val="Text"/>
    <w:basedOn w:val="Normal"/>
  </w:style>
  <w:style w:type="paragraph" w:customStyle="1" w:styleId="numpar">
    <w:name w:val="num par"/>
    <w:basedOn w:val="Text1"/>
  </w:style>
  <w:style w:type="numbering" w:customStyle="1" w:styleId="NoList3">
    <w:name w:val="No List3"/>
    <w:next w:val="NoList"/>
    <w:uiPriority w:val="99"/>
    <w:semiHidden/>
    <w:unhideWhenUsed/>
  </w:style>
  <w:style w:type="table" w:customStyle="1" w:styleId="TableGrid5">
    <w:name w:val="Table Grid5"/>
    <w:basedOn w:val="TableNormal"/>
    <w:next w:val="TableGrid"/>
    <w:uiPriority w:val="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 Grid11"/>
    <w:basedOn w:val="TableNormal"/>
    <w:next w:val="TableGrid"/>
    <w:uiPriority w:val="5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
    <w:name w:val="No List11"/>
    <w:next w:val="NoList"/>
    <w:uiPriority w:val="99"/>
    <w:semiHidden/>
    <w:unhideWhenUsed/>
  </w:style>
  <w:style w:type="table" w:customStyle="1" w:styleId="TableGrid21">
    <w:name w:val="Table Grid21"/>
    <w:basedOn w:val="TableNormal"/>
    <w:next w:val="TableGrid"/>
    <w:uiPriority w:val="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21">
    <w:name w:val="No List21"/>
    <w:next w:val="NoList"/>
    <w:uiPriority w:val="99"/>
    <w:semiHidden/>
    <w:unhideWhenUsed/>
  </w:style>
  <w:style w:type="table" w:customStyle="1" w:styleId="TableGrid31">
    <w:name w:val="Table Grid31"/>
    <w:basedOn w:val="TableNormal"/>
    <w:next w:val="TableGrid"/>
    <w:uiPriority w:val="5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
    <w:name w:val="Table Grid41"/>
    <w:basedOn w:val="TableNormal"/>
    <w:next w:val="TableGrid"/>
    <w:uiPriority w:val="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ointr1">
    <w:name w:val="Pointr 1"/>
    <w:basedOn w:val="Normal"/>
    <w:pPr>
      <w:autoSpaceDE w:val="0"/>
      <w:autoSpaceDN w:val="0"/>
      <w:adjustRightInd w:val="0"/>
      <w:spacing w:after="0"/>
    </w:pPr>
    <w:rPr>
      <w:szCs w:val="24"/>
    </w:rPr>
  </w:style>
  <w:style w:type="paragraph" w:customStyle="1" w:styleId="NumPar10">
    <w:name w:val="NumPar1"/>
    <w:basedOn w:val="Text1"/>
  </w:style>
  <w:style w:type="paragraph" w:customStyle="1" w:styleId="Normail">
    <w:name w:val="Normail"/>
    <w:basedOn w:val="Text1"/>
  </w:style>
  <w:style w:type="paragraph" w:customStyle="1" w:styleId="Point1numberetter">
    <w:name w:val="Point 1 (numberetter)"/>
    <w:basedOn w:val="Point0"/>
  </w:style>
  <w:style w:type="paragraph" w:customStyle="1" w:styleId="numpar20">
    <w:name w:val="num par 2"/>
    <w:basedOn w:val="Normal"/>
    <w:pPr>
      <w:numPr>
        <w:ilvl w:val="1"/>
        <w:numId w:val="9"/>
      </w:numPr>
      <w:spacing w:before="240" w:after="240" w:line="276" w:lineRule="auto"/>
      <w:jc w:val="left"/>
    </w:pPr>
    <w:rPr>
      <w:b/>
    </w:rPr>
  </w:style>
  <w:style w:type="paragraph" w:customStyle="1" w:styleId="NumPa2">
    <w:name w:val="NumPa 2"/>
    <w:basedOn w:val="numpar20"/>
  </w:style>
  <w:style w:type="paragraph" w:customStyle="1" w:styleId="NumPar5">
    <w:name w:val="NumPar"/>
    <w:basedOn w:val="NumPar1"/>
    <w:pPr>
      <w:numPr>
        <w:numId w:val="0"/>
      </w:numPr>
      <w:tabs>
        <w:tab w:val="num" w:pos="850"/>
      </w:tabs>
      <w:ind w:left="850" w:hanging="850"/>
    </w:pPr>
  </w:style>
  <w:style w:type="paragraph" w:customStyle="1" w:styleId="Ptext1">
    <w:name w:val="Ptext 1"/>
    <w:basedOn w:val="Normal"/>
    <w:pPr>
      <w:ind w:left="850"/>
    </w:pPr>
  </w:style>
  <w:style w:type="paragraph" w:customStyle="1" w:styleId="mormal">
    <w:name w:val="mormal"/>
    <w:basedOn w:val="NumPar2"/>
    <w:pPr>
      <w:numPr>
        <w:ilvl w:val="0"/>
        <w:numId w:val="0"/>
      </w:numPr>
      <w:tabs>
        <w:tab w:val="num" w:pos="850"/>
      </w:tabs>
      <w:ind w:left="850" w:hanging="850"/>
    </w:pPr>
  </w:style>
  <w:style w:type="paragraph" w:styleId="Header">
    <w:name w:val="header"/>
    <w:basedOn w:val="Normal"/>
    <w:link w:val="HeaderChar"/>
    <w:uiPriority w:val="99"/>
    <w:unhideWhenUsed/>
    <w:pPr>
      <w:tabs>
        <w:tab w:val="center" w:pos="4535"/>
        <w:tab w:val="right" w:pos="9071"/>
      </w:tabs>
      <w:spacing w:before="0"/>
    </w:pPr>
    <w:rPr>
      <w:lang w:eastAsia="en-US" w:bidi="ar-SA"/>
    </w:rPr>
  </w:style>
  <w:style w:type="character" w:customStyle="1" w:styleId="HeaderChar">
    <w:name w:val="Header Char"/>
    <w:basedOn w:val="DefaultParagraphFont"/>
    <w:link w:val="Header"/>
    <w:uiPriority w:val="99"/>
    <w:rPr>
      <w:rFonts w:ascii="Times New Roman" w:hAnsi="Times New Roman" w:cs="Times New Roman"/>
      <w:sz w:val="24"/>
      <w:lang w:eastAsia="en-US" w:bidi="ar-SA"/>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shd w:val="clear" w:color="auto" w:fill="auto"/>
      <w:lang w:val="en-GB"/>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shd w:val="clear" w:color="auto" w:fill="auto"/>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shd w:val="clear" w:color="auto" w:fill="auto"/>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shd w:val="clear" w:color="auto" w:fill="auto"/>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shd w:val="clear" w:color="auto" w:fill="auto"/>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rPr>
      <w:lang w:eastAsia="en-US" w:bidi="ar-SA"/>
    </w:r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25"/>
      </w:numPr>
    </w:pPr>
  </w:style>
  <w:style w:type="paragraph" w:customStyle="1" w:styleId="Tiret1">
    <w:name w:val="Tiret 1"/>
    <w:basedOn w:val="Point1"/>
    <w:pPr>
      <w:numPr>
        <w:numId w:val="26"/>
      </w:numPr>
    </w:pPr>
  </w:style>
  <w:style w:type="paragraph" w:customStyle="1" w:styleId="Tiret2">
    <w:name w:val="Tiret 2"/>
    <w:basedOn w:val="Point2"/>
    <w:pPr>
      <w:numPr>
        <w:numId w:val="27"/>
      </w:numPr>
    </w:pPr>
  </w:style>
  <w:style w:type="paragraph" w:customStyle="1" w:styleId="Tiret3">
    <w:name w:val="Tiret 3"/>
    <w:basedOn w:val="Point3"/>
    <w:pPr>
      <w:numPr>
        <w:numId w:val="28"/>
      </w:numPr>
    </w:pPr>
  </w:style>
  <w:style w:type="paragraph" w:customStyle="1" w:styleId="Tiret4">
    <w:name w:val="Tiret 4"/>
    <w:basedOn w:val="Point4"/>
    <w:pPr>
      <w:numPr>
        <w:numId w:val="29"/>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30"/>
      </w:numPr>
    </w:pPr>
  </w:style>
  <w:style w:type="paragraph" w:customStyle="1" w:styleId="NumPar2">
    <w:name w:val="NumPar 2"/>
    <w:basedOn w:val="Normal"/>
    <w:next w:val="Text1"/>
    <w:pPr>
      <w:numPr>
        <w:ilvl w:val="1"/>
        <w:numId w:val="30"/>
      </w:numPr>
    </w:pPr>
  </w:style>
  <w:style w:type="paragraph" w:customStyle="1" w:styleId="NumPar3">
    <w:name w:val="NumPar 3"/>
    <w:basedOn w:val="Normal"/>
    <w:next w:val="Text1"/>
    <w:pPr>
      <w:numPr>
        <w:ilvl w:val="2"/>
        <w:numId w:val="30"/>
      </w:numPr>
    </w:pPr>
  </w:style>
  <w:style w:type="paragraph" w:customStyle="1" w:styleId="NumPar4">
    <w:name w:val="NumPar 4"/>
    <w:basedOn w:val="Normal"/>
    <w:next w:val="Text1"/>
    <w:pPr>
      <w:numPr>
        <w:ilvl w:val="3"/>
        <w:numId w:val="30"/>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32"/>
      </w:numPr>
    </w:pPr>
  </w:style>
  <w:style w:type="paragraph" w:customStyle="1" w:styleId="Point1number">
    <w:name w:val="Point 1 (number)"/>
    <w:basedOn w:val="Normal"/>
    <w:pPr>
      <w:numPr>
        <w:ilvl w:val="2"/>
        <w:numId w:val="32"/>
      </w:numPr>
    </w:pPr>
  </w:style>
  <w:style w:type="paragraph" w:customStyle="1" w:styleId="Point2number">
    <w:name w:val="Point 2 (number)"/>
    <w:basedOn w:val="Normal"/>
    <w:pPr>
      <w:numPr>
        <w:ilvl w:val="4"/>
        <w:numId w:val="32"/>
      </w:numPr>
    </w:pPr>
  </w:style>
  <w:style w:type="paragraph" w:customStyle="1" w:styleId="Point3number">
    <w:name w:val="Point 3 (number)"/>
    <w:basedOn w:val="Normal"/>
    <w:pPr>
      <w:numPr>
        <w:ilvl w:val="6"/>
        <w:numId w:val="32"/>
      </w:numPr>
    </w:pPr>
  </w:style>
  <w:style w:type="paragraph" w:customStyle="1" w:styleId="Point0letter">
    <w:name w:val="Point 0 (letter)"/>
    <w:basedOn w:val="Normal"/>
    <w:pPr>
      <w:numPr>
        <w:ilvl w:val="1"/>
        <w:numId w:val="32"/>
      </w:numPr>
    </w:pPr>
  </w:style>
  <w:style w:type="paragraph" w:customStyle="1" w:styleId="Point1letter">
    <w:name w:val="Point 1 (letter)"/>
    <w:basedOn w:val="Normal"/>
    <w:pPr>
      <w:numPr>
        <w:ilvl w:val="3"/>
        <w:numId w:val="32"/>
      </w:numPr>
    </w:pPr>
  </w:style>
  <w:style w:type="paragraph" w:customStyle="1" w:styleId="Point2letter">
    <w:name w:val="Point 2 (letter)"/>
    <w:basedOn w:val="Normal"/>
    <w:pPr>
      <w:numPr>
        <w:ilvl w:val="5"/>
        <w:numId w:val="32"/>
      </w:numPr>
    </w:pPr>
  </w:style>
  <w:style w:type="paragraph" w:customStyle="1" w:styleId="Point3letter">
    <w:name w:val="Point 3 (letter)"/>
    <w:basedOn w:val="Normal"/>
    <w:pPr>
      <w:numPr>
        <w:ilvl w:val="7"/>
        <w:numId w:val="32"/>
      </w:numPr>
    </w:pPr>
  </w:style>
  <w:style w:type="paragraph" w:customStyle="1" w:styleId="Point4letter">
    <w:name w:val="Point 4 (letter)"/>
    <w:basedOn w:val="Normal"/>
    <w:pPr>
      <w:numPr>
        <w:ilvl w:val="8"/>
        <w:numId w:val="32"/>
      </w:numPr>
    </w:pPr>
  </w:style>
  <w:style w:type="paragraph" w:customStyle="1" w:styleId="Bullet0">
    <w:name w:val="Bullet 0"/>
    <w:basedOn w:val="Normal"/>
    <w:pPr>
      <w:numPr>
        <w:numId w:val="33"/>
      </w:numPr>
    </w:pPr>
  </w:style>
  <w:style w:type="paragraph" w:customStyle="1" w:styleId="Bullet1">
    <w:name w:val="Bullet 1"/>
    <w:basedOn w:val="Normal"/>
    <w:pPr>
      <w:numPr>
        <w:numId w:val="34"/>
      </w:numPr>
    </w:pPr>
  </w:style>
  <w:style w:type="paragraph" w:customStyle="1" w:styleId="Bullet2">
    <w:name w:val="Bullet 2"/>
    <w:basedOn w:val="Normal"/>
    <w:pPr>
      <w:numPr>
        <w:numId w:val="35"/>
      </w:numPr>
    </w:pPr>
  </w:style>
  <w:style w:type="paragraph" w:customStyle="1" w:styleId="Bullet3">
    <w:name w:val="Bullet 3"/>
    <w:basedOn w:val="Normal"/>
    <w:pPr>
      <w:numPr>
        <w:numId w:val="36"/>
      </w:numPr>
    </w:pPr>
  </w:style>
  <w:style w:type="paragraph" w:customStyle="1" w:styleId="Bullet4">
    <w:name w:val="Bullet 4"/>
    <w:basedOn w:val="Normal"/>
    <w:pPr>
      <w:numPr>
        <w:numId w:val="37"/>
      </w:numPr>
    </w:p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38"/>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mission">
    <w:name w:val="Emission"/>
    <w:basedOn w:val="Normal"/>
    <w:next w:val="Rfrenceinstitutionnelle"/>
    <w:pPr>
      <w:spacing w:before="0" w:after="0"/>
      <w:ind w:left="5103"/>
      <w:jc w:val="left"/>
    </w:p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ManualConsidrant">
    <w:name w:val="Manual Considérant"/>
    <w:basedOn w:val="Normal"/>
    <w:pPr>
      <w:ind w:left="709" w:hanging="709"/>
    </w:p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stitutionnelle">
    <w:name w:val="Référence institutionnelle"/>
    <w:basedOn w:val="Normal"/>
    <w:next w:val="Confidentialit"/>
    <w:pPr>
      <w:spacing w:before="0" w:after="240"/>
      <w:ind w:left="5103"/>
      <w:jc w:val="left"/>
    </w:p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ous-titreobjet">
    <w:name w:val="Sous-titre objet"/>
    <w:basedOn w:val="Normal"/>
    <w:pPr>
      <w:spacing w:before="0" w:after="0"/>
      <w:jc w:val="center"/>
    </w:pPr>
    <w:rPr>
      <w:b/>
    </w:r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Sous-titreobjet"/>
    <w:pPr>
      <w:spacing w:before="180" w:after="180"/>
      <w:jc w:val="center"/>
    </w:pPr>
    <w:rPr>
      <w:b/>
    </w:rPr>
  </w:style>
  <w:style w:type="paragraph" w:customStyle="1" w:styleId="Typedudocument">
    <w:name w:val="Type du document"/>
    <w:basedOn w:val="Normal"/>
    <w:next w:val="Titreobjet"/>
    <w:pPr>
      <w:spacing w:before="360" w:after="18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Pagedecouverture">
    <w:name w:val="Page de couverture"/>
    <w:basedOn w:val="Normal"/>
    <w:next w:val="Normal"/>
    <w:pPr>
      <w:spacing w:before="0" w:after="0"/>
    </w:p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ous-titreobjetPagedecouverture">
    <w:name w:val="Sous-titre objet (Page de couverture)"/>
    <w:basedOn w:val="Sous-titreobje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Sous-titreobjet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180" w:after="240"/>
      <w:jc w:val="center"/>
    </w:pPr>
    <w:rPr>
      <w:b/>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v-LV" w:eastAsia="lv-LV" w:bidi="lv-LV"/>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rPr>
  </w:style>
  <w:style w:type="paragraph" w:styleId="Heading1">
    <w:name w:val="heading 1"/>
    <w:basedOn w:val="Normal"/>
    <w:next w:val="Text1"/>
    <w:link w:val="Heading1Char"/>
    <w:uiPriority w:val="9"/>
    <w:qFormat/>
    <w:pPr>
      <w:keepNext/>
      <w:numPr>
        <w:numId w:val="31"/>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31"/>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31"/>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31"/>
      </w:numPr>
      <w:outlineLvl w:val="3"/>
    </w:pPr>
    <w:rPr>
      <w:rFonts w:eastAsiaTheme="majorEastAsia"/>
      <w:bCs/>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9"/>
    <w:semiHidden/>
    <w:unhideWhenUsed/>
    <w:pPr>
      <w:numPr>
        <w:numId w:val="1"/>
      </w:numPr>
      <w:contextualSpacing/>
    </w:pPr>
  </w:style>
  <w:style w:type="paragraph" w:styleId="ListBullet2">
    <w:name w:val="List Bullet 2"/>
    <w:basedOn w:val="Normal"/>
    <w:uiPriority w:val="99"/>
    <w:semiHidden/>
    <w:unhideWhenUsed/>
    <w:pPr>
      <w:numPr>
        <w:numId w:val="2"/>
      </w:numPr>
      <w:contextualSpacing/>
    </w:pPr>
  </w:style>
  <w:style w:type="paragraph" w:styleId="ListBullet3">
    <w:name w:val="List Bullet 3"/>
    <w:basedOn w:val="Normal"/>
    <w:uiPriority w:val="99"/>
    <w:semiHidden/>
    <w:unhideWhenUsed/>
    <w:pPr>
      <w:numPr>
        <w:numId w:val="3"/>
      </w:numPr>
      <w:contextualSpacing/>
    </w:pPr>
  </w:style>
  <w:style w:type="paragraph" w:styleId="ListBullet4">
    <w:name w:val="List Bullet 4"/>
    <w:basedOn w:val="Normal"/>
    <w:uiPriority w:val="99"/>
    <w:semiHidden/>
    <w:unhideWhenUsed/>
    <w:pPr>
      <w:numPr>
        <w:numId w:val="4"/>
      </w:numPr>
      <w:contextualSpacing/>
    </w:pPr>
  </w:style>
  <w:style w:type="table" w:styleId="TableGrid">
    <w:name w:val="Table Grid"/>
    <w:basedOn w:val="TableNormal"/>
    <w:uiPriority w:val="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anualNumPar1Char">
    <w:name w:val="Manual NumPar 1 Char"/>
    <w:basedOn w:val="Normal"/>
    <w:next w:val="Normal"/>
    <w:pPr>
      <w:spacing w:line="360" w:lineRule="auto"/>
      <w:ind w:left="850" w:hanging="850"/>
    </w:pPr>
    <w:rPr>
      <w:rFonts w:asciiTheme="minorHAnsi" w:hAnsiTheme="minorHAnsi" w:cstheme="minorBidi"/>
      <w:szCs w:val="24"/>
    </w:rPr>
  </w:style>
  <w:style w:type="paragraph" w:customStyle="1" w:styleId="Text1Char">
    <w:name w:val="Text 1 Char"/>
    <w:basedOn w:val="Normal"/>
    <w:pPr>
      <w:spacing w:line="360" w:lineRule="auto"/>
      <w:ind w:left="850"/>
    </w:pPr>
    <w:rPr>
      <w:rFonts w:asciiTheme="minorHAnsi" w:hAnsiTheme="minorHAnsi" w:cstheme="minorBidi"/>
      <w:szCs w:val="24"/>
    </w:rPr>
  </w:style>
  <w:style w:type="character" w:styleId="CommentReference">
    <w:name w:val="annotation reference"/>
    <w:basedOn w:val="DefaultParagraphFont"/>
    <w:uiPriority w:val="99"/>
    <w:unhideWhenUsed/>
    <w:rPr>
      <w:sz w:val="16"/>
      <w:szCs w:val="16"/>
    </w:rPr>
  </w:style>
  <w:style w:type="paragraph" w:styleId="CommentText">
    <w:name w:val="annotation text"/>
    <w:basedOn w:val="Normal"/>
    <w:link w:val="CommentTextChar"/>
    <w:uiPriority w:val="99"/>
    <w:unhideWhenUsed/>
    <w:rPr>
      <w:rFonts w:asciiTheme="minorHAnsi" w:hAnsiTheme="minorHAnsi" w:cstheme="minorBidi"/>
      <w:sz w:val="20"/>
      <w:szCs w:val="20"/>
    </w:rPr>
  </w:style>
  <w:style w:type="character" w:customStyle="1" w:styleId="CommentTextChar">
    <w:name w:val="Comment Text Char"/>
    <w:basedOn w:val="DefaultParagraphFont"/>
    <w:link w:val="CommentText"/>
    <w:uiPriority w:val="99"/>
    <w:rPr>
      <w:sz w:val="20"/>
      <w:szCs w:val="20"/>
      <w:lang w:val="lv-LV"/>
    </w:rPr>
  </w:style>
  <w:style w:type="paragraph" w:styleId="CommentSubject">
    <w:name w:val="annotation subject"/>
    <w:basedOn w:val="CommentText"/>
    <w:next w:val="CommentText"/>
    <w:link w:val="CommentSubjectChar"/>
    <w:uiPriority w:val="99"/>
    <w:unhideWhenUsed/>
    <w:rPr>
      <w:b/>
      <w:bCs/>
    </w:rPr>
  </w:style>
  <w:style w:type="character" w:customStyle="1" w:styleId="CommentSubjectChar">
    <w:name w:val="Comment Subject Char"/>
    <w:basedOn w:val="CommentTextChar"/>
    <w:link w:val="CommentSubject"/>
    <w:uiPriority w:val="99"/>
    <w:rPr>
      <w:b/>
      <w:bCs/>
      <w:sz w:val="20"/>
      <w:szCs w:val="20"/>
      <w:lang w:val="lv-LV"/>
    </w:rPr>
  </w:style>
  <w:style w:type="paragraph" w:styleId="BalloonText">
    <w:name w:val="Balloon Text"/>
    <w:basedOn w:val="Normal"/>
    <w:link w:val="BalloonTextChar"/>
    <w:uiPriority w:val="99"/>
    <w:unhideWhenUsed/>
    <w:pPr>
      <w:spacing w:after="0"/>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lang w:val="lv-LV"/>
    </w:rPr>
  </w:style>
  <w:style w:type="paragraph" w:styleId="NoSpacing">
    <w:name w:val="No Spacing"/>
    <w:uiPriority w:val="1"/>
    <w:qFormat/>
    <w:pPr>
      <w:spacing w:after="0" w:line="240" w:lineRule="auto"/>
    </w:pPr>
  </w:style>
  <w:style w:type="character" w:styleId="Emphasis">
    <w:name w:val="Emphasis"/>
    <w:qFormat/>
    <w:rPr>
      <w:i/>
      <w:iCs/>
    </w:rPr>
  </w:style>
  <w:style w:type="paragraph" w:styleId="ListParagraph">
    <w:name w:val="List Paragraph"/>
    <w:basedOn w:val="Normal"/>
    <w:uiPriority w:val="34"/>
    <w:qFormat/>
    <w:pPr>
      <w:ind w:left="720"/>
      <w:contextualSpacing/>
    </w:pPr>
    <w:rPr>
      <w:rFonts w:asciiTheme="minorHAnsi" w:hAnsiTheme="minorHAnsi" w:cstheme="minorBidi"/>
      <w:sz w:val="22"/>
    </w:rPr>
  </w:style>
  <w:style w:type="character" w:styleId="Strong">
    <w:name w:val="Strong"/>
    <w:qFormat/>
    <w:rPr>
      <w:b/>
      <w:bCs/>
    </w:rPr>
  </w:style>
  <w:style w:type="paragraph" w:customStyle="1" w:styleId="CM4">
    <w:name w:val="CM4"/>
    <w:basedOn w:val="Normal"/>
    <w:next w:val="Normal"/>
    <w:uiPriority w:val="99"/>
    <w:pPr>
      <w:autoSpaceDE w:val="0"/>
      <w:autoSpaceDN w:val="0"/>
      <w:adjustRightInd w:val="0"/>
      <w:spacing w:after="0"/>
    </w:pPr>
    <w:rPr>
      <w:rFonts w:eastAsia="Times New Roman"/>
      <w:szCs w:val="24"/>
    </w:rPr>
  </w:style>
  <w:style w:type="character" w:customStyle="1" w:styleId="numerique2">
    <w:name w:val="numerique2"/>
  </w:style>
  <w:style w:type="table" w:customStyle="1" w:styleId="TableGrid1">
    <w:name w:val="Table Grid1"/>
    <w:basedOn w:val="TableNormal"/>
    <w:next w:val="TableGrid"/>
    <w:uiPriority w:val="5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Pr>
      <w:color w:val="0000FF" w:themeColor="hyperlink"/>
      <w:u w:val="single"/>
    </w:rPr>
  </w:style>
  <w:style w:type="paragraph" w:styleId="NormalWeb">
    <w:name w:val="Normal (Web)"/>
    <w:basedOn w:val="Normal"/>
    <w:uiPriority w:val="99"/>
    <w:unhideWhenUsed/>
    <w:pPr>
      <w:spacing w:before="100" w:beforeAutospacing="1" w:after="100" w:afterAutospacing="1"/>
    </w:pPr>
    <w:rPr>
      <w:rFonts w:eastAsia="Times New Roman"/>
      <w:szCs w:val="24"/>
    </w:rPr>
  </w:style>
  <w:style w:type="paragraph" w:customStyle="1" w:styleId="title-article-norm">
    <w:name w:val="title-article-norm"/>
    <w:basedOn w:val="Normal"/>
    <w:pPr>
      <w:spacing w:before="240"/>
      <w:jc w:val="center"/>
    </w:pPr>
    <w:rPr>
      <w:rFonts w:eastAsia="Times New Roman"/>
      <w:i/>
      <w:iCs/>
      <w:szCs w:val="24"/>
    </w:rPr>
  </w:style>
  <w:style w:type="paragraph" w:customStyle="1" w:styleId="CM3">
    <w:name w:val="CM3"/>
    <w:basedOn w:val="Normal"/>
    <w:next w:val="Normal"/>
    <w:uiPriority w:val="99"/>
    <w:pPr>
      <w:autoSpaceDE w:val="0"/>
      <w:autoSpaceDN w:val="0"/>
      <w:adjustRightInd w:val="0"/>
      <w:spacing w:after="0"/>
    </w:pPr>
    <w:rPr>
      <w:rFonts w:ascii="EUAlbertina" w:eastAsia="Times New Roman" w:hAnsi="EUAlbertina"/>
      <w:szCs w:val="24"/>
    </w:rPr>
  </w:style>
  <w:style w:type="paragraph" w:customStyle="1" w:styleId="Normal2">
    <w:name w:val="Normal2"/>
    <w:basedOn w:val="Normal"/>
    <w:pPr>
      <w:spacing w:after="0"/>
    </w:pPr>
    <w:rPr>
      <w:rFonts w:eastAsia="Times New Roman"/>
      <w:szCs w:val="24"/>
    </w:rPr>
  </w:style>
  <w:style w:type="paragraph" w:customStyle="1" w:styleId="CM1">
    <w:name w:val="CM1"/>
    <w:basedOn w:val="Normal"/>
    <w:next w:val="Normal"/>
    <w:uiPriority w:val="99"/>
    <w:pPr>
      <w:autoSpaceDE w:val="0"/>
      <w:autoSpaceDN w:val="0"/>
      <w:adjustRightInd w:val="0"/>
      <w:spacing w:after="0"/>
    </w:pPr>
    <w:rPr>
      <w:rFonts w:ascii="EUAlbertina" w:eastAsia="Times New Roman" w:hAnsi="EUAlbertina"/>
      <w:szCs w:val="24"/>
    </w:rPr>
  </w:style>
  <w:style w:type="numbering" w:customStyle="1" w:styleId="NoList1">
    <w:name w:val="No List1"/>
    <w:next w:val="NoList"/>
    <w:uiPriority w:val="99"/>
    <w:semiHidden/>
    <w:unhideWhenUsed/>
  </w:style>
  <w:style w:type="table" w:customStyle="1" w:styleId="TableGrid2">
    <w:name w:val="Table Grid2"/>
    <w:basedOn w:val="TableNormal"/>
    <w:next w:val="TableGrid"/>
    <w:uiPriority w:val="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itlebold">
    <w:name w:val="titlebold"/>
    <w:basedOn w:val="DefaultParagraphFont"/>
  </w:style>
  <w:style w:type="character" w:customStyle="1" w:styleId="bold">
    <w:name w:val="bold"/>
    <w:basedOn w:val="DefaultParagraphFont"/>
  </w:style>
  <w:style w:type="character" w:customStyle="1" w:styleId="suitrap">
    <w:name w:val="suitrap"/>
    <w:basedOn w:val="DefaultParagraphFont"/>
  </w:style>
  <w:style w:type="character" w:customStyle="1" w:styleId="alpha2">
    <w:name w:val="alpha2"/>
    <w:basedOn w:val="DefaultParagraphFont"/>
  </w:style>
  <w:style w:type="paragraph" w:styleId="PlainText">
    <w:name w:val="Plain Text"/>
    <w:basedOn w:val="Normal"/>
    <w:link w:val="PlainTextChar"/>
    <w:uiPriority w:val="99"/>
    <w:unhideWhenUsed/>
    <w:pPr>
      <w:spacing w:after="0"/>
    </w:pPr>
    <w:rPr>
      <w:rFonts w:ascii="Calibri" w:hAnsi="Calibri" w:cstheme="minorBidi"/>
      <w:sz w:val="22"/>
      <w:szCs w:val="21"/>
    </w:rPr>
  </w:style>
  <w:style w:type="character" w:customStyle="1" w:styleId="PlainTextChar">
    <w:name w:val="Plain Text Char"/>
    <w:basedOn w:val="DefaultParagraphFont"/>
    <w:link w:val="PlainText"/>
    <w:uiPriority w:val="99"/>
    <w:rPr>
      <w:rFonts w:ascii="Calibri" w:hAnsi="Calibri"/>
      <w:szCs w:val="21"/>
      <w:lang w:val="lv-LV"/>
    </w:rPr>
  </w:style>
  <w:style w:type="numbering" w:customStyle="1" w:styleId="NoList2">
    <w:name w:val="No List2"/>
    <w:next w:val="NoList"/>
    <w:uiPriority w:val="99"/>
    <w:semiHidden/>
    <w:unhideWhenUsed/>
  </w:style>
  <w:style w:type="table" w:customStyle="1" w:styleId="TableGrid3">
    <w:name w:val="Table Grid3"/>
    <w:basedOn w:val="TableNormal"/>
    <w:next w:val="TableGrid"/>
    <w:uiPriority w:val="5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vision">
    <w:name w:val="Revision"/>
    <w:hidden/>
    <w:uiPriority w:val="99"/>
    <w:semiHidden/>
    <w:pPr>
      <w:spacing w:after="0" w:line="240" w:lineRule="auto"/>
    </w:pPr>
    <w:rPr>
      <w:rFonts w:ascii="Times New Roman" w:eastAsia="Times New Roman" w:hAnsi="Times New Roman" w:cs="Times New Roman"/>
      <w:sz w:val="24"/>
      <w:szCs w:val="24"/>
    </w:rPr>
  </w:style>
  <w:style w:type="paragraph" w:customStyle="1" w:styleId="norm">
    <w:name w:val="norm"/>
    <w:basedOn w:val="Normal"/>
    <w:pPr>
      <w:spacing w:before="100" w:beforeAutospacing="1" w:after="100" w:afterAutospacing="1"/>
    </w:pPr>
    <w:rPr>
      <w:rFonts w:eastAsia="Times New Roman"/>
      <w:szCs w:val="24"/>
    </w:rPr>
  </w:style>
  <w:style w:type="paragraph" w:customStyle="1" w:styleId="List1">
    <w:name w:val="List1"/>
    <w:basedOn w:val="Normal"/>
    <w:pPr>
      <w:spacing w:before="100" w:beforeAutospacing="1" w:after="100" w:afterAutospacing="1"/>
    </w:pPr>
    <w:rPr>
      <w:rFonts w:eastAsia="Times New Roman"/>
      <w:szCs w:val="24"/>
    </w:rPr>
  </w:style>
  <w:style w:type="paragraph" w:customStyle="1" w:styleId="title-division-1">
    <w:name w:val="title-division-1"/>
    <w:basedOn w:val="Normal"/>
    <w:pPr>
      <w:spacing w:before="100" w:beforeAutospacing="1" w:after="100" w:afterAutospacing="1"/>
    </w:pPr>
    <w:rPr>
      <w:rFonts w:eastAsia="Times New Roman"/>
      <w:szCs w:val="24"/>
    </w:rPr>
  </w:style>
  <w:style w:type="paragraph" w:customStyle="1" w:styleId="title-division-2">
    <w:name w:val="title-division-2"/>
    <w:basedOn w:val="Normal"/>
    <w:pPr>
      <w:spacing w:before="100" w:beforeAutospacing="1" w:after="100" w:afterAutospacing="1"/>
    </w:pPr>
    <w:rPr>
      <w:rFonts w:eastAsia="Times New Roman"/>
      <w:szCs w:val="24"/>
    </w:rPr>
  </w:style>
  <w:style w:type="character" w:customStyle="1" w:styleId="boldface">
    <w:name w:val="boldface"/>
    <w:basedOn w:val="DefaultParagraphFont"/>
  </w:style>
  <w:style w:type="paragraph" w:customStyle="1" w:styleId="modref">
    <w:name w:val="modref"/>
    <w:basedOn w:val="Normal"/>
    <w:pPr>
      <w:spacing w:before="100" w:beforeAutospacing="1" w:after="100" w:afterAutospacing="1"/>
    </w:pPr>
    <w:rPr>
      <w:rFonts w:eastAsia="Times New Roman"/>
      <w:szCs w:val="24"/>
    </w:rPr>
  </w:style>
  <w:style w:type="character" w:customStyle="1" w:styleId="italics">
    <w:name w:val="italics"/>
    <w:basedOn w:val="DefaultParagraphFont"/>
  </w:style>
  <w:style w:type="character" w:customStyle="1" w:styleId="expanded">
    <w:name w:val="expanded"/>
    <w:basedOn w:val="DefaultParagraphFont"/>
  </w:style>
  <w:style w:type="character" w:customStyle="1" w:styleId="superscript">
    <w:name w:val="superscript"/>
    <w:basedOn w:val="DefaultParagraphFont"/>
  </w:style>
  <w:style w:type="paragraph" w:customStyle="1" w:styleId="stitle-article-norm">
    <w:name w:val="stitle-article-norm"/>
    <w:basedOn w:val="Normal"/>
    <w:pPr>
      <w:spacing w:before="100" w:beforeAutospacing="1" w:after="100" w:afterAutospacing="1"/>
    </w:pPr>
    <w:rPr>
      <w:rFonts w:eastAsia="Times New Roman"/>
      <w:szCs w:val="24"/>
    </w:rPr>
  </w:style>
  <w:style w:type="paragraph" w:customStyle="1" w:styleId="Default">
    <w:name w:val="Default"/>
    <w:pPr>
      <w:autoSpaceDE w:val="0"/>
      <w:autoSpaceDN w:val="0"/>
      <w:adjustRightInd w:val="0"/>
      <w:spacing w:after="0" w:line="240" w:lineRule="auto"/>
    </w:pPr>
    <w:rPr>
      <w:rFonts w:ascii="NVTWN N+ EU Albertina# 20" w:hAnsi="NVTWN N+ EU Albertina# 20" w:cs="NVTWN N+ EU Albertina# 20"/>
      <w:color w:val="000000"/>
      <w:sz w:val="24"/>
      <w:szCs w:val="24"/>
    </w:rPr>
  </w:style>
  <w:style w:type="table" w:customStyle="1" w:styleId="TableGrid4">
    <w:name w:val="Table Grid4"/>
    <w:basedOn w:val="TableNormal"/>
    <w:next w:val="TableGrid"/>
    <w:uiPriority w:val="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iPriority w:val="35"/>
    <w:semiHidden/>
    <w:unhideWhenUsed/>
    <w:qFormat/>
    <w:rPr>
      <w:b/>
      <w:bCs/>
      <w:color w:val="4F81BD" w:themeColor="accent1"/>
      <w:sz w:val="18"/>
      <w:szCs w:val="18"/>
    </w:rPr>
  </w:style>
  <w:style w:type="paragraph" w:styleId="TableofFigures">
    <w:name w:val="table of figures"/>
    <w:basedOn w:val="Normal"/>
    <w:next w:val="Normal"/>
    <w:uiPriority w:val="99"/>
    <w:semiHidden/>
    <w:unhideWhenUsed/>
    <w:pPr>
      <w:spacing w:after="0"/>
    </w:pPr>
  </w:style>
  <w:style w:type="paragraph" w:styleId="ListNumber">
    <w:name w:val="List Number"/>
    <w:basedOn w:val="Normal"/>
    <w:uiPriority w:val="99"/>
    <w:semiHidden/>
    <w:unhideWhenUsed/>
    <w:pPr>
      <w:numPr>
        <w:numId w:val="5"/>
      </w:numPr>
      <w:contextualSpacing/>
    </w:pPr>
  </w:style>
  <w:style w:type="paragraph" w:styleId="ListNumber2">
    <w:name w:val="List Number 2"/>
    <w:basedOn w:val="Normal"/>
    <w:uiPriority w:val="99"/>
    <w:semiHidden/>
    <w:unhideWhenUsed/>
    <w:pPr>
      <w:numPr>
        <w:numId w:val="6"/>
      </w:numPr>
      <w:contextualSpacing/>
    </w:pPr>
  </w:style>
  <w:style w:type="paragraph" w:styleId="ListNumber3">
    <w:name w:val="List Number 3"/>
    <w:basedOn w:val="Normal"/>
    <w:uiPriority w:val="99"/>
    <w:semiHidden/>
    <w:unhideWhenUsed/>
    <w:pPr>
      <w:numPr>
        <w:numId w:val="7"/>
      </w:numPr>
      <w:contextualSpacing/>
    </w:pPr>
  </w:style>
  <w:style w:type="paragraph" w:styleId="ListNumber4">
    <w:name w:val="List Number 4"/>
    <w:basedOn w:val="Normal"/>
    <w:uiPriority w:val="99"/>
    <w:semiHidden/>
    <w:unhideWhenUsed/>
    <w:pPr>
      <w:numPr>
        <w:numId w:val="8"/>
      </w:numPr>
      <w:contextualSpacing/>
    </w:pPr>
  </w:style>
  <w:style w:type="paragraph" w:customStyle="1" w:styleId="ManNumPar1">
    <w:name w:val="ManNumPar 1"/>
    <w:basedOn w:val="NumPar1"/>
    <w:pPr>
      <w:numPr>
        <w:numId w:val="0"/>
      </w:numPr>
      <w:tabs>
        <w:tab w:val="num" w:pos="850"/>
      </w:tabs>
      <w:ind w:left="850" w:hanging="850"/>
    </w:pPr>
  </w:style>
  <w:style w:type="paragraph" w:customStyle="1" w:styleId="ManNumPar0">
    <w:name w:val="ManNumPar 0"/>
    <w:basedOn w:val="ManNumPar1"/>
  </w:style>
  <w:style w:type="paragraph" w:customStyle="1" w:styleId="NumPar0">
    <w:name w:val="NumPar 0"/>
    <w:basedOn w:val="NumPar1"/>
    <w:pPr>
      <w:numPr>
        <w:numId w:val="0"/>
      </w:numPr>
      <w:tabs>
        <w:tab w:val="num" w:pos="850"/>
      </w:tabs>
      <w:ind w:left="850" w:hanging="850"/>
    </w:pPr>
  </w:style>
  <w:style w:type="paragraph" w:customStyle="1" w:styleId="Titra">
    <w:name w:val="Titra"/>
    <w:basedOn w:val="Normal"/>
  </w:style>
  <w:style w:type="paragraph" w:customStyle="1" w:styleId="Text14">
    <w:name w:val="Text 14"/>
    <w:basedOn w:val="NumPar1"/>
    <w:pPr>
      <w:numPr>
        <w:numId w:val="0"/>
      </w:numPr>
      <w:tabs>
        <w:tab w:val="num" w:pos="850"/>
      </w:tabs>
      <w:ind w:left="850" w:hanging="850"/>
    </w:pPr>
  </w:style>
  <w:style w:type="paragraph" w:customStyle="1" w:styleId="Text10">
    <w:name w:val="Text1"/>
    <w:basedOn w:val="Normal"/>
    <w:rPr>
      <w:sz w:val="22"/>
    </w:rPr>
  </w:style>
  <w:style w:type="paragraph" w:customStyle="1" w:styleId="ManNumPar2">
    <w:name w:val="ManNumPar 2"/>
    <w:basedOn w:val="ManNumPar0"/>
  </w:style>
  <w:style w:type="paragraph" w:customStyle="1" w:styleId="NumPa1">
    <w:name w:val="NumPa 1"/>
    <w:basedOn w:val="Normal"/>
    <w:rPr>
      <w:rFonts w:eastAsia="Times New Roman"/>
      <w:noProof/>
    </w:rPr>
  </w:style>
  <w:style w:type="paragraph" w:customStyle="1" w:styleId="Point12">
    <w:name w:val="Point 12"/>
    <w:basedOn w:val="Normal"/>
    <w:rPr>
      <w:rFonts w:eastAsia="Times New Roman"/>
    </w:rPr>
  </w:style>
  <w:style w:type="paragraph" w:customStyle="1" w:styleId="Point">
    <w:name w:val="Point"/>
    <w:basedOn w:val="Point1"/>
  </w:style>
  <w:style w:type="paragraph" w:customStyle="1" w:styleId="Normal8">
    <w:name w:val="Normal8"/>
    <w:basedOn w:val="Normal"/>
    <w:pPr>
      <w:spacing w:after="0"/>
    </w:pPr>
    <w:rPr>
      <w:rFonts w:eastAsia="Times New Roman"/>
      <w:szCs w:val="24"/>
    </w:rPr>
  </w:style>
  <w:style w:type="paragraph" w:customStyle="1" w:styleId="normal20">
    <w:name w:val="normal2"/>
    <w:basedOn w:val="Normal"/>
    <w:pPr>
      <w:spacing w:after="0" w:line="312" w:lineRule="atLeast"/>
    </w:pPr>
    <w:rPr>
      <w:rFonts w:eastAsia="Times New Roman"/>
      <w:szCs w:val="24"/>
    </w:rPr>
  </w:style>
  <w:style w:type="paragraph" w:customStyle="1" w:styleId="Tect1">
    <w:name w:val="Tect 1"/>
    <w:basedOn w:val="Normal"/>
    <w:rPr>
      <w:szCs w:val="24"/>
    </w:rPr>
  </w:style>
  <w:style w:type="paragraph" w:customStyle="1" w:styleId="Tetx1">
    <w:name w:val="Tetx 1"/>
    <w:basedOn w:val="Normal"/>
  </w:style>
  <w:style w:type="paragraph" w:customStyle="1" w:styleId="Text">
    <w:name w:val="Text"/>
    <w:basedOn w:val="Normal"/>
  </w:style>
  <w:style w:type="paragraph" w:customStyle="1" w:styleId="numpar">
    <w:name w:val="num par"/>
    <w:basedOn w:val="Text1"/>
  </w:style>
  <w:style w:type="numbering" w:customStyle="1" w:styleId="NoList3">
    <w:name w:val="No List3"/>
    <w:next w:val="NoList"/>
    <w:uiPriority w:val="99"/>
    <w:semiHidden/>
    <w:unhideWhenUsed/>
  </w:style>
  <w:style w:type="table" w:customStyle="1" w:styleId="TableGrid5">
    <w:name w:val="Table Grid5"/>
    <w:basedOn w:val="TableNormal"/>
    <w:next w:val="TableGrid"/>
    <w:uiPriority w:val="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 Grid11"/>
    <w:basedOn w:val="TableNormal"/>
    <w:next w:val="TableGrid"/>
    <w:uiPriority w:val="5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
    <w:name w:val="No List11"/>
    <w:next w:val="NoList"/>
    <w:uiPriority w:val="99"/>
    <w:semiHidden/>
    <w:unhideWhenUsed/>
  </w:style>
  <w:style w:type="table" w:customStyle="1" w:styleId="TableGrid21">
    <w:name w:val="Table Grid21"/>
    <w:basedOn w:val="TableNormal"/>
    <w:next w:val="TableGrid"/>
    <w:uiPriority w:val="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21">
    <w:name w:val="No List21"/>
    <w:next w:val="NoList"/>
    <w:uiPriority w:val="99"/>
    <w:semiHidden/>
    <w:unhideWhenUsed/>
  </w:style>
  <w:style w:type="table" w:customStyle="1" w:styleId="TableGrid31">
    <w:name w:val="Table Grid31"/>
    <w:basedOn w:val="TableNormal"/>
    <w:next w:val="TableGrid"/>
    <w:uiPriority w:val="5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
    <w:name w:val="Table Grid41"/>
    <w:basedOn w:val="TableNormal"/>
    <w:next w:val="TableGrid"/>
    <w:uiPriority w:val="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ointr1">
    <w:name w:val="Pointr 1"/>
    <w:basedOn w:val="Normal"/>
    <w:pPr>
      <w:autoSpaceDE w:val="0"/>
      <w:autoSpaceDN w:val="0"/>
      <w:adjustRightInd w:val="0"/>
      <w:spacing w:after="0"/>
    </w:pPr>
    <w:rPr>
      <w:szCs w:val="24"/>
    </w:rPr>
  </w:style>
  <w:style w:type="paragraph" w:customStyle="1" w:styleId="NumPar10">
    <w:name w:val="NumPar1"/>
    <w:basedOn w:val="Text1"/>
  </w:style>
  <w:style w:type="paragraph" w:customStyle="1" w:styleId="Normail">
    <w:name w:val="Normail"/>
    <w:basedOn w:val="Text1"/>
  </w:style>
  <w:style w:type="paragraph" w:customStyle="1" w:styleId="Point1numberetter">
    <w:name w:val="Point 1 (numberetter)"/>
    <w:basedOn w:val="Point0"/>
  </w:style>
  <w:style w:type="paragraph" w:customStyle="1" w:styleId="numpar20">
    <w:name w:val="num par 2"/>
    <w:basedOn w:val="Normal"/>
    <w:pPr>
      <w:numPr>
        <w:ilvl w:val="1"/>
        <w:numId w:val="9"/>
      </w:numPr>
      <w:spacing w:before="240" w:after="240" w:line="276" w:lineRule="auto"/>
      <w:jc w:val="left"/>
    </w:pPr>
    <w:rPr>
      <w:b/>
    </w:rPr>
  </w:style>
  <w:style w:type="paragraph" w:customStyle="1" w:styleId="NumPa2">
    <w:name w:val="NumPa 2"/>
    <w:basedOn w:val="numpar20"/>
  </w:style>
  <w:style w:type="paragraph" w:customStyle="1" w:styleId="NumPar5">
    <w:name w:val="NumPar"/>
    <w:basedOn w:val="NumPar1"/>
    <w:pPr>
      <w:numPr>
        <w:numId w:val="0"/>
      </w:numPr>
      <w:tabs>
        <w:tab w:val="num" w:pos="850"/>
      </w:tabs>
      <w:ind w:left="850" w:hanging="850"/>
    </w:pPr>
  </w:style>
  <w:style w:type="paragraph" w:customStyle="1" w:styleId="Ptext1">
    <w:name w:val="Ptext 1"/>
    <w:basedOn w:val="Normal"/>
    <w:pPr>
      <w:ind w:left="850"/>
    </w:pPr>
  </w:style>
  <w:style w:type="paragraph" w:customStyle="1" w:styleId="mormal">
    <w:name w:val="mormal"/>
    <w:basedOn w:val="NumPar2"/>
    <w:pPr>
      <w:numPr>
        <w:ilvl w:val="0"/>
        <w:numId w:val="0"/>
      </w:numPr>
      <w:tabs>
        <w:tab w:val="num" w:pos="850"/>
      </w:tabs>
      <w:ind w:left="850" w:hanging="850"/>
    </w:pPr>
  </w:style>
  <w:style w:type="paragraph" w:styleId="Header">
    <w:name w:val="header"/>
    <w:basedOn w:val="Normal"/>
    <w:link w:val="HeaderChar"/>
    <w:uiPriority w:val="99"/>
    <w:unhideWhenUsed/>
    <w:pPr>
      <w:tabs>
        <w:tab w:val="center" w:pos="4535"/>
        <w:tab w:val="right" w:pos="9071"/>
      </w:tabs>
      <w:spacing w:before="0"/>
    </w:pPr>
    <w:rPr>
      <w:lang w:eastAsia="en-US" w:bidi="ar-SA"/>
    </w:rPr>
  </w:style>
  <w:style w:type="character" w:customStyle="1" w:styleId="HeaderChar">
    <w:name w:val="Header Char"/>
    <w:basedOn w:val="DefaultParagraphFont"/>
    <w:link w:val="Header"/>
    <w:uiPriority w:val="99"/>
    <w:rPr>
      <w:rFonts w:ascii="Times New Roman" w:hAnsi="Times New Roman" w:cs="Times New Roman"/>
      <w:sz w:val="24"/>
      <w:lang w:eastAsia="en-US" w:bidi="ar-SA"/>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shd w:val="clear" w:color="auto" w:fill="auto"/>
      <w:lang w:val="en-GB"/>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shd w:val="clear" w:color="auto" w:fill="auto"/>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shd w:val="clear" w:color="auto" w:fill="auto"/>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shd w:val="clear" w:color="auto" w:fill="auto"/>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shd w:val="clear" w:color="auto" w:fill="auto"/>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rPr>
      <w:lang w:eastAsia="en-US" w:bidi="ar-SA"/>
    </w:r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25"/>
      </w:numPr>
    </w:pPr>
  </w:style>
  <w:style w:type="paragraph" w:customStyle="1" w:styleId="Tiret1">
    <w:name w:val="Tiret 1"/>
    <w:basedOn w:val="Point1"/>
    <w:pPr>
      <w:numPr>
        <w:numId w:val="26"/>
      </w:numPr>
    </w:pPr>
  </w:style>
  <w:style w:type="paragraph" w:customStyle="1" w:styleId="Tiret2">
    <w:name w:val="Tiret 2"/>
    <w:basedOn w:val="Point2"/>
    <w:pPr>
      <w:numPr>
        <w:numId w:val="27"/>
      </w:numPr>
    </w:pPr>
  </w:style>
  <w:style w:type="paragraph" w:customStyle="1" w:styleId="Tiret3">
    <w:name w:val="Tiret 3"/>
    <w:basedOn w:val="Point3"/>
    <w:pPr>
      <w:numPr>
        <w:numId w:val="28"/>
      </w:numPr>
    </w:pPr>
  </w:style>
  <w:style w:type="paragraph" w:customStyle="1" w:styleId="Tiret4">
    <w:name w:val="Tiret 4"/>
    <w:basedOn w:val="Point4"/>
    <w:pPr>
      <w:numPr>
        <w:numId w:val="29"/>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30"/>
      </w:numPr>
    </w:pPr>
  </w:style>
  <w:style w:type="paragraph" w:customStyle="1" w:styleId="NumPar2">
    <w:name w:val="NumPar 2"/>
    <w:basedOn w:val="Normal"/>
    <w:next w:val="Text1"/>
    <w:pPr>
      <w:numPr>
        <w:ilvl w:val="1"/>
        <w:numId w:val="30"/>
      </w:numPr>
    </w:pPr>
  </w:style>
  <w:style w:type="paragraph" w:customStyle="1" w:styleId="NumPar3">
    <w:name w:val="NumPar 3"/>
    <w:basedOn w:val="Normal"/>
    <w:next w:val="Text1"/>
    <w:pPr>
      <w:numPr>
        <w:ilvl w:val="2"/>
        <w:numId w:val="30"/>
      </w:numPr>
    </w:pPr>
  </w:style>
  <w:style w:type="paragraph" w:customStyle="1" w:styleId="NumPar4">
    <w:name w:val="NumPar 4"/>
    <w:basedOn w:val="Normal"/>
    <w:next w:val="Text1"/>
    <w:pPr>
      <w:numPr>
        <w:ilvl w:val="3"/>
        <w:numId w:val="30"/>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32"/>
      </w:numPr>
    </w:pPr>
  </w:style>
  <w:style w:type="paragraph" w:customStyle="1" w:styleId="Point1number">
    <w:name w:val="Point 1 (number)"/>
    <w:basedOn w:val="Normal"/>
    <w:pPr>
      <w:numPr>
        <w:ilvl w:val="2"/>
        <w:numId w:val="32"/>
      </w:numPr>
    </w:pPr>
  </w:style>
  <w:style w:type="paragraph" w:customStyle="1" w:styleId="Point2number">
    <w:name w:val="Point 2 (number)"/>
    <w:basedOn w:val="Normal"/>
    <w:pPr>
      <w:numPr>
        <w:ilvl w:val="4"/>
        <w:numId w:val="32"/>
      </w:numPr>
    </w:pPr>
  </w:style>
  <w:style w:type="paragraph" w:customStyle="1" w:styleId="Point3number">
    <w:name w:val="Point 3 (number)"/>
    <w:basedOn w:val="Normal"/>
    <w:pPr>
      <w:numPr>
        <w:ilvl w:val="6"/>
        <w:numId w:val="32"/>
      </w:numPr>
    </w:pPr>
  </w:style>
  <w:style w:type="paragraph" w:customStyle="1" w:styleId="Point0letter">
    <w:name w:val="Point 0 (letter)"/>
    <w:basedOn w:val="Normal"/>
    <w:pPr>
      <w:numPr>
        <w:ilvl w:val="1"/>
        <w:numId w:val="32"/>
      </w:numPr>
    </w:pPr>
  </w:style>
  <w:style w:type="paragraph" w:customStyle="1" w:styleId="Point1letter">
    <w:name w:val="Point 1 (letter)"/>
    <w:basedOn w:val="Normal"/>
    <w:pPr>
      <w:numPr>
        <w:ilvl w:val="3"/>
        <w:numId w:val="32"/>
      </w:numPr>
    </w:pPr>
  </w:style>
  <w:style w:type="paragraph" w:customStyle="1" w:styleId="Point2letter">
    <w:name w:val="Point 2 (letter)"/>
    <w:basedOn w:val="Normal"/>
    <w:pPr>
      <w:numPr>
        <w:ilvl w:val="5"/>
        <w:numId w:val="32"/>
      </w:numPr>
    </w:pPr>
  </w:style>
  <w:style w:type="paragraph" w:customStyle="1" w:styleId="Point3letter">
    <w:name w:val="Point 3 (letter)"/>
    <w:basedOn w:val="Normal"/>
    <w:pPr>
      <w:numPr>
        <w:ilvl w:val="7"/>
        <w:numId w:val="32"/>
      </w:numPr>
    </w:pPr>
  </w:style>
  <w:style w:type="paragraph" w:customStyle="1" w:styleId="Point4letter">
    <w:name w:val="Point 4 (letter)"/>
    <w:basedOn w:val="Normal"/>
    <w:pPr>
      <w:numPr>
        <w:ilvl w:val="8"/>
        <w:numId w:val="32"/>
      </w:numPr>
    </w:pPr>
  </w:style>
  <w:style w:type="paragraph" w:customStyle="1" w:styleId="Bullet0">
    <w:name w:val="Bullet 0"/>
    <w:basedOn w:val="Normal"/>
    <w:pPr>
      <w:numPr>
        <w:numId w:val="33"/>
      </w:numPr>
    </w:pPr>
  </w:style>
  <w:style w:type="paragraph" w:customStyle="1" w:styleId="Bullet1">
    <w:name w:val="Bullet 1"/>
    <w:basedOn w:val="Normal"/>
    <w:pPr>
      <w:numPr>
        <w:numId w:val="34"/>
      </w:numPr>
    </w:pPr>
  </w:style>
  <w:style w:type="paragraph" w:customStyle="1" w:styleId="Bullet2">
    <w:name w:val="Bullet 2"/>
    <w:basedOn w:val="Normal"/>
    <w:pPr>
      <w:numPr>
        <w:numId w:val="35"/>
      </w:numPr>
    </w:pPr>
  </w:style>
  <w:style w:type="paragraph" w:customStyle="1" w:styleId="Bullet3">
    <w:name w:val="Bullet 3"/>
    <w:basedOn w:val="Normal"/>
    <w:pPr>
      <w:numPr>
        <w:numId w:val="36"/>
      </w:numPr>
    </w:pPr>
  </w:style>
  <w:style w:type="paragraph" w:customStyle="1" w:styleId="Bullet4">
    <w:name w:val="Bullet 4"/>
    <w:basedOn w:val="Normal"/>
    <w:pPr>
      <w:numPr>
        <w:numId w:val="37"/>
      </w:numPr>
    </w:p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38"/>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mission">
    <w:name w:val="Emission"/>
    <w:basedOn w:val="Normal"/>
    <w:next w:val="Rfrenceinstitutionnelle"/>
    <w:pPr>
      <w:spacing w:before="0" w:after="0"/>
      <w:ind w:left="5103"/>
      <w:jc w:val="left"/>
    </w:p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ManualConsidrant">
    <w:name w:val="Manual Considérant"/>
    <w:basedOn w:val="Normal"/>
    <w:pPr>
      <w:ind w:left="709" w:hanging="709"/>
    </w:p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stitutionnelle">
    <w:name w:val="Référence institutionnelle"/>
    <w:basedOn w:val="Normal"/>
    <w:next w:val="Confidentialit"/>
    <w:pPr>
      <w:spacing w:before="0" w:after="240"/>
      <w:ind w:left="5103"/>
      <w:jc w:val="left"/>
    </w:p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ous-titreobjet">
    <w:name w:val="Sous-titre objet"/>
    <w:basedOn w:val="Normal"/>
    <w:pPr>
      <w:spacing w:before="0" w:after="0"/>
      <w:jc w:val="center"/>
    </w:pPr>
    <w:rPr>
      <w:b/>
    </w:r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Sous-titreobjet"/>
    <w:pPr>
      <w:spacing w:before="180" w:after="180"/>
      <w:jc w:val="center"/>
    </w:pPr>
    <w:rPr>
      <w:b/>
    </w:rPr>
  </w:style>
  <w:style w:type="paragraph" w:customStyle="1" w:styleId="Typedudocument">
    <w:name w:val="Type du document"/>
    <w:basedOn w:val="Normal"/>
    <w:next w:val="Titreobjet"/>
    <w:pPr>
      <w:spacing w:before="360" w:after="18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Pagedecouverture">
    <w:name w:val="Page de couverture"/>
    <w:basedOn w:val="Normal"/>
    <w:next w:val="Normal"/>
    <w:pPr>
      <w:spacing w:before="0" w:after="0"/>
    </w:p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ous-titreobjetPagedecouverture">
    <w:name w:val="Sous-titre objet (Page de couverture)"/>
    <w:basedOn w:val="Sous-titreobje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Sous-titreobjet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180" w:after="240"/>
      <w:jc w:val="center"/>
    </w:pPr>
    <w:rPr>
      <w:b/>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ANNEX.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62285E-78E8-4C94-AE66-92E772B010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ANNEX.dotm</Template>
  <TotalTime>0</TotalTime>
  <Pages>36</Pages>
  <Words>11436</Words>
  <Characters>78451</Characters>
  <Application>Microsoft Office Word</Application>
  <DocSecurity>0</DocSecurity>
  <Lines>1376</Lines>
  <Paragraphs>619</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89268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7</cp:revision>
  <cp:lastPrinted>2016-07-06T14:56:00Z</cp:lastPrinted>
  <dcterms:created xsi:type="dcterms:W3CDTF">2016-11-10T08:20:00Z</dcterms:created>
  <dcterms:modified xsi:type="dcterms:W3CDTF">2016-11-14T09:25:00Z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COM/ANNEX</vt:lpwstr>
  </property>
  <property fmtid="{D5CDD505-2E9C-101B-9397-08002B2CF9AE}" pid="3" name="Classification">
    <vt:lpwstr> </vt:lpwstr>
  </property>
  <property fmtid="{D5CDD505-2E9C-101B-9397-08002B2CF9AE}" pid="4" name="Version">
    <vt:lpwstr>5.84.2.0</vt:lpwstr>
  </property>
  <property fmtid="{D5CDD505-2E9C-101B-9397-08002B2CF9AE}" pid="5" name="Last edited using">
    <vt:lpwstr>LW 5.8.4, Build 20150407</vt:lpwstr>
  </property>
  <property fmtid="{D5CDD505-2E9C-101B-9397-08002B2CF9AE}" pid="6" name="Created using">
    <vt:lpwstr>LW 5.8.4, Build 20150407</vt:lpwstr>
  </property>
  <property fmtid="{D5CDD505-2E9C-101B-9397-08002B2CF9AE}" pid="7" name="First annex">
    <vt:lpwstr>1</vt:lpwstr>
  </property>
  <property fmtid="{D5CDD505-2E9C-101B-9397-08002B2CF9AE}" pid="8" name="Last annex">
    <vt:lpwstr>1</vt:lpwstr>
  </property>
  <property fmtid="{D5CDD505-2E9C-101B-9397-08002B2CF9AE}" pid="9" name="Part">
    <vt:lpwstr>1</vt:lpwstr>
  </property>
  <property fmtid="{D5CDD505-2E9C-101B-9397-08002B2CF9AE}" pid="10" name="Total parts">
    <vt:lpwstr>1</vt:lpwstr>
  </property>
  <property fmtid="{D5CDD505-2E9C-101B-9397-08002B2CF9AE}" pid="11" name="LWTemplateID">
    <vt:lpwstr>SG-017</vt:lpwstr>
  </property>
  <property fmtid="{D5CDD505-2E9C-101B-9397-08002B2CF9AE}" pid="12" name="DQCStatus">
    <vt:lpwstr>Green (DQC version 03)</vt:lpwstr>
  </property>
  <property name="OP_sanitized" fmtid="{D5CDD505-2E9C-101B-9397-08002B2CF9AE}" pid="13">
    <vt:lpwstr>True</vt:lpwstr>
  </property>
</Properties>
</file>