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alt="EB687DF1-4453-41C5-BA80-AB785D3B4D93" style="width:450.8pt;height:383.75pt">
            <v:imagedata r:id="rId12" o:title=""/>
          </v:shape>
        </w:pict>
      </w:r>
    </w:p>
    <w:p>
      <w:pPr>
        <w:rPr>
          <w:noProof/>
        </w:rPr>
        <w:sectPr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pStyle w:val="Annexetitre"/>
        <w:rPr>
          <w:noProof/>
        </w:rPr>
      </w:pPr>
      <w:bookmarkStart w:id="0" w:name="_GoBack"/>
      <w:bookmarkEnd w:id="0"/>
      <w:r>
        <w:rPr>
          <w:noProof/>
        </w:rPr>
        <w:lastRenderedPageBreak/>
        <w:t>LIITE I</w:t>
      </w:r>
      <w:r>
        <w:rPr>
          <w:rStyle w:val="FootnoteReference"/>
          <w:noProof/>
        </w:rPr>
        <w:footnoteReference w:id="2"/>
      </w:r>
      <w:r>
        <w:rPr>
          <w:noProof/>
        </w:rPr>
        <w:t xml:space="preserve">  </w:t>
      </w:r>
    </w:p>
    <w:p>
      <w:pPr>
        <w:rPr>
          <w:b/>
          <w:noProof/>
          <w:u w:val="single"/>
        </w:rPr>
      </w:pPr>
    </w:p>
    <w:p>
      <w:pPr>
        <w:pStyle w:val="Annexetitreexpos"/>
        <w:rPr>
          <w:noProof/>
        </w:rPr>
      </w:pPr>
      <w:r>
        <w:rPr>
          <w:noProof/>
        </w:rPr>
        <w:t xml:space="preserve">ESR+:n yhteistyössä hallinnoitavasta toimintalohkosta myönnettävää yleistä tukea koskevat yhteiset indikaattorit </w:t>
      </w:r>
    </w:p>
    <w:p>
      <w:pPr>
        <w:rPr>
          <w:noProof/>
        </w:rPr>
      </w:pPr>
    </w:p>
    <w:p>
      <w:pPr>
        <w:rPr>
          <w:noProof/>
        </w:rPr>
      </w:pPr>
      <w:r>
        <w:rPr>
          <w:noProof/>
        </w:rPr>
        <w:t>Kaikki henkilötiedot on eriteltävä sukupuolen (nainen, mies, ei-binäärinen) mukaan. Jos tietyt tulokset eivät ole mahdollisia, niitä koskevia tietoja ei tarvitse kerätä eikä toimittaa.</w:t>
      </w:r>
    </w:p>
    <w:p>
      <w:pPr>
        <w:rPr>
          <w:noProof/>
        </w:rPr>
      </w:pPr>
    </w:p>
    <w:p>
      <w:pPr>
        <w:pStyle w:val="Point0"/>
        <w:rPr>
          <w:b/>
          <w:noProof/>
        </w:rPr>
      </w:pPr>
      <w:r>
        <w:rPr>
          <w:b/>
          <w:noProof/>
        </w:rPr>
        <w:t>1)  Ihmisiin kohdistuvien toimien yhteiset tuotosindikaattorit:</w:t>
      </w:r>
    </w:p>
    <w:p>
      <w:pPr>
        <w:rPr>
          <w:noProof/>
          <w:vertAlign w:val="superscript"/>
        </w:rPr>
      </w:pPr>
      <w:r>
        <w:rPr>
          <w:noProof/>
        </w:rPr>
        <w:t>1a) Osallistujia koskevat yhteiset tuotosindikaattorit</w:t>
      </w:r>
    </w:p>
    <w:p>
      <w:pPr>
        <w:rPr>
          <w:noProof/>
        </w:rPr>
      </w:pPr>
    </w:p>
    <w:p>
      <w:pPr>
        <w:pStyle w:val="Tiret0"/>
        <w:numPr>
          <w:ilvl w:val="0"/>
          <w:numId w:val="9"/>
        </w:numPr>
        <w:rPr>
          <w:noProof/>
        </w:rPr>
      </w:pPr>
      <w:r>
        <w:rPr>
          <w:noProof/>
        </w:rPr>
        <w:t xml:space="preserve">Osallistujia koskevat yhteiset tuotosindikaattorit ovat seuraavat:  </w:t>
      </w:r>
    </w:p>
    <w:p>
      <w:pPr>
        <w:pStyle w:val="Tiret0"/>
        <w:rPr>
          <w:noProof/>
        </w:rPr>
      </w:pPr>
      <w:r>
        <w:rPr>
          <w:noProof/>
        </w:rPr>
        <w:t xml:space="preserve">työttömät, mukaan lukien pitkäaikaistyöttömät* </w:t>
      </w:r>
    </w:p>
    <w:p>
      <w:pPr>
        <w:pStyle w:val="Tiret0"/>
        <w:rPr>
          <w:noProof/>
        </w:rPr>
      </w:pPr>
      <w:r>
        <w:rPr>
          <w:noProof/>
        </w:rPr>
        <w:t xml:space="preserve">pitkäaikaistyöttömät* </w:t>
      </w:r>
    </w:p>
    <w:p>
      <w:pPr>
        <w:pStyle w:val="Tiret0"/>
        <w:rPr>
          <w:noProof/>
        </w:rPr>
      </w:pPr>
      <w:r>
        <w:rPr>
          <w:noProof/>
        </w:rPr>
        <w:t>työelämän ulkopuolella olevat*</w:t>
      </w:r>
    </w:p>
    <w:p>
      <w:pPr>
        <w:pStyle w:val="Tiret0"/>
        <w:rPr>
          <w:noProof/>
        </w:rPr>
      </w:pPr>
      <w:r>
        <w:rPr>
          <w:noProof/>
        </w:rPr>
        <w:t xml:space="preserve">työlliset, mukaan lukien itsenäiset ammatinharjoittajat* </w:t>
      </w:r>
    </w:p>
    <w:p>
      <w:pPr>
        <w:pStyle w:val="Tiret0"/>
        <w:rPr>
          <w:noProof/>
        </w:rPr>
      </w:pPr>
      <w:r>
        <w:rPr>
          <w:noProof/>
        </w:rPr>
        <w:t xml:space="preserve">alle 30-vuotiaat* </w:t>
      </w:r>
    </w:p>
    <w:p>
      <w:pPr>
        <w:pStyle w:val="Tiret0"/>
        <w:rPr>
          <w:noProof/>
        </w:rPr>
      </w:pPr>
      <w:r>
        <w:rPr>
          <w:noProof/>
        </w:rPr>
        <w:t xml:space="preserve">yli 54-vuotiaat* </w:t>
      </w:r>
    </w:p>
    <w:p>
      <w:pPr>
        <w:pStyle w:val="Tiret0"/>
        <w:rPr>
          <w:noProof/>
        </w:rPr>
      </w:pPr>
      <w:r>
        <w:rPr>
          <w:noProof/>
        </w:rPr>
        <w:t>henkilöt, joilla on ylemmän perusasteen tai sitä vähäisempi koulutus (ISCED 0–2)*</w:t>
      </w:r>
    </w:p>
    <w:p>
      <w:pPr>
        <w:pStyle w:val="Tiret0"/>
        <w:rPr>
          <w:noProof/>
        </w:rPr>
      </w:pPr>
      <w:r>
        <w:rPr>
          <w:noProof/>
        </w:rPr>
        <w:t xml:space="preserve">henkilöt, joilla on keskiasteen (ISCED 3) tai keskiasteen jälkeinen (ISCED 4) koulutus* </w:t>
      </w:r>
    </w:p>
    <w:p>
      <w:pPr>
        <w:pStyle w:val="Tiret0"/>
        <w:rPr>
          <w:noProof/>
        </w:rPr>
      </w:pPr>
      <w:r>
        <w:rPr>
          <w:noProof/>
        </w:rPr>
        <w:t xml:space="preserve">henkilöt, joilla on korkea-asteen koulutus (ISCED 5–8)*. </w:t>
      </w:r>
    </w:p>
    <w:p>
      <w:pPr>
        <w:rPr>
          <w:noProof/>
        </w:rPr>
      </w:pPr>
    </w:p>
    <w:p>
      <w:pPr>
        <w:rPr>
          <w:noProof/>
        </w:rPr>
      </w:pPr>
      <w:r>
        <w:rPr>
          <w:noProof/>
        </w:rPr>
        <w:t xml:space="preserve">Osallistujien kokonaismäärä lasketaan automaattisesti ammattiasemaan liittyvien yhteisten tuotosindikaattorien perusteella. </w:t>
      </w:r>
    </w:p>
    <w:p>
      <w:pPr>
        <w:rPr>
          <w:noProof/>
        </w:rPr>
      </w:pPr>
    </w:p>
    <w:p>
      <w:pPr>
        <w:rPr>
          <w:noProof/>
        </w:rPr>
      </w:pPr>
      <w:r>
        <w:rPr>
          <w:noProof/>
        </w:rPr>
        <w:t xml:space="preserve">1b) Muut yhteiset tuotosindikaattorit </w:t>
      </w:r>
    </w:p>
    <w:p>
      <w:pPr>
        <w:rPr>
          <w:noProof/>
        </w:rPr>
      </w:pPr>
      <w:r>
        <w:rPr>
          <w:noProof/>
        </w:rPr>
        <w:t xml:space="preserve">Jos näitä indikaattoreita koskevia tietoja ei kerätä tietorekistereistä, niiden arvot voidaan määrittää edunsaajan tietoihin perustuvien arvioiden mukaisesti. </w:t>
      </w:r>
    </w:p>
    <w:p>
      <w:pPr>
        <w:pStyle w:val="Tiret0"/>
        <w:rPr>
          <w:noProof/>
        </w:rPr>
      </w:pPr>
      <w:r>
        <w:rPr>
          <w:noProof/>
        </w:rPr>
        <w:t>vammaiset**</w:t>
      </w:r>
    </w:p>
    <w:p>
      <w:pPr>
        <w:pStyle w:val="Tiret0"/>
        <w:rPr>
          <w:noProof/>
        </w:rPr>
      </w:pPr>
      <w:r>
        <w:rPr>
          <w:noProof/>
        </w:rPr>
        <w:t>kolmannen maan kansalaiset</w:t>
      </w:r>
    </w:p>
    <w:p>
      <w:pPr>
        <w:pStyle w:val="Tiret0"/>
        <w:rPr>
          <w:noProof/>
        </w:rPr>
      </w:pPr>
      <w:r>
        <w:rPr>
          <w:noProof/>
        </w:rPr>
        <w:t>ulkomaalaistaustaiset henkilöt</w:t>
      </w:r>
    </w:p>
    <w:p>
      <w:pPr>
        <w:pStyle w:val="Tiret0"/>
        <w:rPr>
          <w:noProof/>
        </w:rPr>
      </w:pPr>
      <w:r>
        <w:rPr>
          <w:noProof/>
        </w:rPr>
        <w:t xml:space="preserve">vähemmistöt (myös marginalisoituneet yhteisöt kuten romanit)** </w:t>
      </w:r>
    </w:p>
    <w:p>
      <w:pPr>
        <w:pStyle w:val="Tiret0"/>
        <w:rPr>
          <w:noProof/>
        </w:rPr>
      </w:pPr>
      <w:r>
        <w:rPr>
          <w:noProof/>
        </w:rPr>
        <w:t>asunnottomat tai asuntomarkkinoilta syrjäytyneet*</w:t>
      </w:r>
    </w:p>
    <w:p>
      <w:pPr>
        <w:pStyle w:val="Tiret0"/>
        <w:rPr>
          <w:noProof/>
        </w:rPr>
      </w:pPr>
      <w:r>
        <w:rPr>
          <w:noProof/>
        </w:rPr>
        <w:lastRenderedPageBreak/>
        <w:t>maaseutualueilla asuvat*.</w:t>
      </w:r>
    </w:p>
    <w:p>
      <w:pPr>
        <w:rPr>
          <w:noProof/>
        </w:rPr>
      </w:pPr>
    </w:p>
    <w:p>
      <w:pPr>
        <w:rPr>
          <w:b/>
          <w:noProof/>
        </w:rPr>
      </w:pPr>
      <w:r>
        <w:rPr>
          <w:b/>
          <w:noProof/>
        </w:rPr>
        <w:t xml:space="preserve">2) Yhteisöjä koskevat yhteiset tuotosindikaattorit ovat seuraavat: </w:t>
      </w:r>
    </w:p>
    <w:p>
      <w:pPr>
        <w:pStyle w:val="Tiret0"/>
        <w:rPr>
          <w:noProof/>
        </w:rPr>
      </w:pPr>
      <w:r>
        <w:rPr>
          <w:noProof/>
        </w:rPr>
        <w:t xml:space="preserve">kansallisella, alueellisella tai paikallisella tasolla tuettujen viranomaisten tai julkisten palvelujen lukumäärä </w:t>
      </w:r>
    </w:p>
    <w:p>
      <w:pPr>
        <w:pStyle w:val="Tiret0"/>
        <w:rPr>
          <w:noProof/>
        </w:rPr>
      </w:pPr>
      <w:r>
        <w:rPr>
          <w:noProof/>
        </w:rPr>
        <w:t xml:space="preserve">tuettujen mikroyritysten sekä pienten ja keskisuurten yritysten (mukaan lukien osuustoiminnalliset ja yhteiskunnalliset yritykset) lukumäärä. </w:t>
      </w:r>
    </w:p>
    <w:p>
      <w:pPr>
        <w:rPr>
          <w:noProof/>
        </w:rPr>
      </w:pPr>
    </w:p>
    <w:p>
      <w:pPr>
        <w:rPr>
          <w:b/>
          <w:noProof/>
        </w:rPr>
      </w:pPr>
      <w:r>
        <w:rPr>
          <w:b/>
          <w:noProof/>
        </w:rPr>
        <w:t xml:space="preserve">3) Osallistujia koskevat välittömät yhteiset tulosindikaattorit ovat seuraavat:  </w:t>
      </w:r>
    </w:p>
    <w:p>
      <w:pPr>
        <w:rPr>
          <w:noProof/>
        </w:rPr>
      </w:pPr>
      <w:r>
        <w:rPr>
          <w:noProof/>
        </w:rPr>
        <w:t xml:space="preserve"> </w:t>
      </w:r>
    </w:p>
    <w:p>
      <w:pPr>
        <w:pStyle w:val="Tiret0"/>
        <w:rPr>
          <w:noProof/>
        </w:rPr>
      </w:pPr>
      <w:r>
        <w:rPr>
          <w:noProof/>
        </w:rPr>
        <w:t xml:space="preserve">osallistujat, jotka ovat ryhtyneet työnhakuun jättäessään toimen* </w:t>
      </w:r>
    </w:p>
    <w:p>
      <w:pPr>
        <w:pStyle w:val="Tiret0"/>
        <w:rPr>
          <w:noProof/>
        </w:rPr>
      </w:pPr>
      <w:r>
        <w:rPr>
          <w:noProof/>
        </w:rPr>
        <w:t xml:space="preserve">osallistujat, jotka ovat koulutuksessa jättäessään toimen* </w:t>
      </w:r>
    </w:p>
    <w:p>
      <w:pPr>
        <w:pStyle w:val="Tiret0"/>
        <w:rPr>
          <w:noProof/>
        </w:rPr>
      </w:pPr>
      <w:r>
        <w:rPr>
          <w:noProof/>
        </w:rPr>
        <w:t xml:space="preserve">osallistujat, jotka saavat ammattipätevyyden jättäessään toimen* </w:t>
      </w:r>
    </w:p>
    <w:p>
      <w:pPr>
        <w:pStyle w:val="Tiret0"/>
        <w:rPr>
          <w:noProof/>
        </w:rPr>
      </w:pPr>
      <w:r>
        <w:rPr>
          <w:noProof/>
        </w:rPr>
        <w:t xml:space="preserve">osallistujat, jotka ovat työelämässä, myös itsenäisinä ammatinharjoittajina, jättäessään toimen*. </w:t>
      </w:r>
    </w:p>
    <w:p>
      <w:pPr>
        <w:rPr>
          <w:noProof/>
        </w:rPr>
      </w:pPr>
    </w:p>
    <w:p>
      <w:pPr>
        <w:rPr>
          <w:b/>
          <w:noProof/>
        </w:rPr>
      </w:pPr>
      <w:r>
        <w:rPr>
          <w:b/>
          <w:noProof/>
        </w:rPr>
        <w:t xml:space="preserve">4) Osallistujia koskevat yhteiset pitkän aikavälin tulosindikaattorit ovat seuraavat: </w:t>
      </w:r>
    </w:p>
    <w:p>
      <w:pPr>
        <w:rPr>
          <w:noProof/>
        </w:rPr>
      </w:pPr>
    </w:p>
    <w:p>
      <w:pPr>
        <w:pStyle w:val="Tiret0"/>
        <w:rPr>
          <w:noProof/>
        </w:rPr>
      </w:pPr>
      <w:r>
        <w:rPr>
          <w:noProof/>
        </w:rPr>
        <w:t>osallistujat, jotka ovat työelämässä, myös itsenäisinä ammatinharjoittajina, kuuden kuukauden kuluessa siitä, kun he ovat jättäneet toimen*</w:t>
      </w:r>
    </w:p>
    <w:p>
      <w:pPr>
        <w:pStyle w:val="Tiret0"/>
        <w:rPr>
          <w:noProof/>
        </w:rPr>
      </w:pPr>
      <w:r>
        <w:rPr>
          <w:noProof/>
        </w:rPr>
        <w:t xml:space="preserve">osallistujat, joiden työmarkkinatilanne on parantunut kuuden kuukauden kuluessa siitä, kun he ovat jättäneet toimen*. </w:t>
      </w:r>
    </w:p>
    <w:p>
      <w:pPr>
        <w:rPr>
          <w:noProof/>
        </w:rPr>
      </w:pPr>
      <w:r>
        <w:rPr>
          <w:noProof/>
        </w:rPr>
        <w:t>Vähimmäisvaatimuksena on, että tiedot kerätään edustavasta osallistujien otoksesta kunkin erityistavoitteen osalta. Otoksen sisäinen validiteetti varmistetaan niin, että tiedot voidaan yleistää erityistavoitteiden tasolla.</w:t>
      </w: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  <w:r>
        <w:rPr>
          <w:noProof/>
        </w:rPr>
        <w:br w:type="column"/>
      </w:r>
    </w:p>
    <w:p>
      <w:pPr>
        <w:pStyle w:val="Annexetitre"/>
        <w:rPr>
          <w:noProof/>
        </w:rPr>
      </w:pPr>
      <w:r>
        <w:rPr>
          <w:noProof/>
        </w:rPr>
        <w:t>LIITE II</w:t>
      </w:r>
    </w:p>
    <w:p>
      <w:pPr>
        <w:pStyle w:val="Annexetitreexpos"/>
        <w:rPr>
          <w:noProof/>
        </w:rPr>
      </w:pPr>
      <w:r>
        <w:rPr>
          <w:noProof/>
        </w:rPr>
        <w:t xml:space="preserve">ESR+:sta aineellisen puutteen torjumiseen myönnettävää tukea koskevat yhteiset indikaattorit </w:t>
      </w:r>
    </w:p>
    <w:p>
      <w:pPr>
        <w:rPr>
          <w:noProof/>
        </w:rPr>
      </w:pPr>
    </w:p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3"/>
        <w:gridCol w:w="20"/>
      </w:tblGrid>
      <w:tr>
        <w:trPr>
          <w:tblCellSpacing w:w="0" w:type="dxa"/>
        </w:trPr>
        <w:tc>
          <w:tcPr>
            <w:tcW w:w="9053" w:type="dxa"/>
          </w:tcPr>
          <w:p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 1) Tuotosindikaattorit </w:t>
            </w:r>
          </w:p>
          <w:p>
            <w:pPr>
              <w:rPr>
                <w:noProof/>
              </w:rPr>
            </w:pPr>
            <w:r>
              <w:rPr>
                <w:b/>
                <w:noProof/>
              </w:rPr>
              <w:t xml:space="preserve">a) </w:t>
            </w:r>
            <w:r>
              <w:rPr>
                <w:noProof/>
              </w:rPr>
              <w:t>Jaettujen elintarvikkeiden ja tavaroiden rahallinen kokonaisarvo</w:t>
            </w:r>
          </w:p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0"/>
              <w:gridCol w:w="88"/>
              <w:gridCol w:w="8595"/>
            </w:tblGrid>
            <w:tr>
              <w:trPr>
                <w:tblCellSpacing w:w="0" w:type="dxa"/>
              </w:trPr>
              <w:tc>
                <w:tcPr>
                  <w:tcW w:w="354" w:type="dxa"/>
                  <w:hideMark/>
                </w:tcPr>
                <w:p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i)</w:t>
                  </w:r>
                </w:p>
              </w:tc>
              <w:tc>
                <w:tcPr>
                  <w:tcW w:w="8301" w:type="dxa"/>
                  <w:gridSpan w:val="2"/>
                  <w:hideMark/>
                </w:tcPr>
                <w:p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elintarvikeavun kokonaisarvo</w:t>
                  </w:r>
                </w:p>
                <w:tbl>
                  <w:tblPr>
                    <w:tblW w:w="5000" w:type="pct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5"/>
                    <w:gridCol w:w="8118"/>
                  </w:tblGrid>
                  <w:tr>
                    <w:trPr>
                      <w:tblCellSpacing w:w="0" w:type="dxa"/>
                    </w:trPr>
                    <w:tc>
                      <w:tcPr>
                        <w:tcW w:w="632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ia)</w:t>
                        </w:r>
                      </w:p>
                    </w:tc>
                    <w:tc>
                      <w:tcPr>
                        <w:tcW w:w="9119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lapsille tarkoitettujen elintarvikkeiden rahallinen kokonaisarvo</w:t>
                        </w:r>
                      </w:p>
                    </w:tc>
                  </w:tr>
                  <w:tr>
                    <w:trPr>
                      <w:tblCellSpacing w:w="0" w:type="dxa"/>
                    </w:trPr>
                    <w:tc>
                      <w:tcPr>
                        <w:tcW w:w="632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ib) </w:t>
                        </w:r>
                      </w:p>
                    </w:tc>
                    <w:tc>
                      <w:tcPr>
                        <w:tcW w:w="9119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asunnottomille tarkoitettujen elintarvikkeiden rahallinen kokonaisarvo</w:t>
                        </w:r>
                      </w:p>
                    </w:tc>
                  </w:tr>
                  <w:tr>
                    <w:trPr>
                      <w:trHeight w:val="80"/>
                      <w:tblCellSpacing w:w="0" w:type="dxa"/>
                    </w:trPr>
                    <w:tc>
                      <w:tcPr>
                        <w:tcW w:w="632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ic)</w:t>
                        </w:r>
                      </w:p>
                    </w:tc>
                    <w:tc>
                      <w:tcPr>
                        <w:tcW w:w="9119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muille kohderyhmille tarkoitettujen elintarvikkeiden rahallinen kokonaisarvo</w:t>
                        </w:r>
                      </w:p>
                    </w:tc>
                  </w:tr>
                </w:tbl>
                <w:p>
                  <w:pPr>
                    <w:rPr>
                      <w:noProof/>
                    </w:rPr>
                  </w:pPr>
                </w:p>
              </w:tc>
            </w:tr>
            <w:tr>
              <w:trPr>
                <w:tblCellSpacing w:w="0" w:type="dxa"/>
              </w:trPr>
              <w:tc>
                <w:tcPr>
                  <w:tcW w:w="438" w:type="dxa"/>
                  <w:gridSpan w:val="2"/>
                  <w:hideMark/>
                </w:tcPr>
                <w:p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 ii)</w:t>
                  </w:r>
                </w:p>
              </w:tc>
              <w:tc>
                <w:tcPr>
                  <w:tcW w:w="8217" w:type="dxa"/>
                  <w:hideMark/>
                </w:tcPr>
                <w:p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 jaettujen tavaroiden kokonaisarvo</w:t>
                  </w:r>
                </w:p>
                <w:tbl>
                  <w:tblPr>
                    <w:tblW w:w="5000" w:type="pct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3"/>
                    <w:gridCol w:w="7952"/>
                  </w:tblGrid>
                  <w:tr>
                    <w:trPr>
                      <w:tblCellSpacing w:w="0" w:type="dxa"/>
                    </w:trPr>
                    <w:tc>
                      <w:tcPr>
                        <w:tcW w:w="720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iia)</w:t>
                        </w:r>
                      </w:p>
                    </w:tc>
                    <w:tc>
                      <w:tcPr>
                        <w:tcW w:w="8933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lapsille tarkoitettujen tavaroiden rahallinen kokonaisarvo</w:t>
                        </w:r>
                      </w:p>
                    </w:tc>
                  </w:tr>
                  <w:tr>
                    <w:trPr>
                      <w:tblCellSpacing w:w="0" w:type="dxa"/>
                    </w:trPr>
                    <w:tc>
                      <w:tcPr>
                        <w:tcW w:w="720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iib)</w:t>
                        </w:r>
                      </w:p>
                    </w:tc>
                    <w:tc>
                      <w:tcPr>
                        <w:tcW w:w="8933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asunnottomille tarkoitettujen tavaroiden rahallinen kokonaisarvo</w:t>
                        </w:r>
                      </w:p>
                    </w:tc>
                  </w:tr>
                  <w:tr>
                    <w:trPr>
                      <w:trHeight w:val="80"/>
                      <w:tblCellSpacing w:w="0" w:type="dxa"/>
                    </w:trPr>
                    <w:tc>
                      <w:tcPr>
                        <w:tcW w:w="720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iic)</w:t>
                        </w:r>
                      </w:p>
                    </w:tc>
                    <w:tc>
                      <w:tcPr>
                        <w:tcW w:w="8933" w:type="dxa"/>
                        <w:hideMark/>
                      </w:tcPr>
                      <w:p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muille kohderyhmille tarkoitettujen tavaroiden rahallinen kokonaisarvo</w:t>
                        </w:r>
                      </w:p>
                    </w:tc>
                  </w:tr>
                </w:tbl>
                <w:p>
                  <w:pPr>
                    <w:rPr>
                      <w:noProof/>
                    </w:rPr>
                  </w:pPr>
                </w:p>
              </w:tc>
            </w:tr>
          </w:tbl>
          <w:p>
            <w:pPr>
              <w:rPr>
                <w:b/>
                <w:noProof/>
              </w:rPr>
            </w:pPr>
          </w:p>
          <w:p>
            <w:pPr>
              <w:rPr>
                <w:noProof/>
              </w:rPr>
            </w:pPr>
            <w:r>
              <w:rPr>
                <w:noProof/>
              </w:rPr>
              <w:t>b) Jaetun elintarvikeavun kokonaismäärä (tonnia)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josta</w:t>
            </w:r>
            <w:r>
              <w:rPr>
                <w:rStyle w:val="FootnoteReference"/>
                <w:noProof/>
              </w:rPr>
              <w:footnoteReference w:id="3"/>
            </w:r>
            <w:r>
              <w:rPr>
                <w:noProof/>
              </w:rPr>
              <w:t>:</w:t>
            </w:r>
          </w:p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1"/>
              <w:gridCol w:w="17"/>
              <w:gridCol w:w="8795"/>
            </w:tblGrid>
            <w:tr>
              <w:trPr>
                <w:tblCellSpacing w:w="0" w:type="dxa"/>
              </w:trPr>
              <w:tc>
                <w:tcPr>
                  <w:tcW w:w="258" w:type="dxa"/>
                  <w:gridSpan w:val="2"/>
                  <w:hideMark/>
                </w:tcPr>
                <w:p>
                  <w:pPr>
                    <w:pStyle w:val="Point0letter"/>
                    <w:numPr>
                      <w:ilvl w:val="1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>a)</w:t>
                  </w:r>
                </w:p>
              </w:tc>
              <w:tc>
                <w:tcPr>
                  <w:tcW w:w="8795" w:type="dxa"/>
                  <w:hideMark/>
                </w:tcPr>
                <w:p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 niiden elintarvikkeiden osuus, joiden osalta ohjelmasta maksettiin vain kuljetus, jakelu ja varastointi (%)</w:t>
                  </w:r>
                </w:p>
              </w:tc>
            </w:tr>
            <w:tr>
              <w:trPr>
                <w:tblCellSpacing w:w="0" w:type="dxa"/>
              </w:trPr>
              <w:tc>
                <w:tcPr>
                  <w:tcW w:w="241" w:type="dxa"/>
                  <w:hideMark/>
                </w:tcPr>
                <w:p>
                  <w:pPr>
                    <w:pStyle w:val="Point0letter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 b)</w:t>
                  </w:r>
                </w:p>
              </w:tc>
              <w:tc>
                <w:tcPr>
                  <w:tcW w:w="8812" w:type="dxa"/>
                  <w:gridSpan w:val="2"/>
                  <w:hideMark/>
                </w:tcPr>
                <w:p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 ESR+:sta yhteisrahoitettujen elintarvikkeiden osuus edunsaajille jaettujen elintarvikkeiden kokonaismäärästä (%)</w:t>
                  </w:r>
                </w:p>
              </w:tc>
            </w:tr>
          </w:tbl>
          <w:p>
            <w:pPr>
              <w:rPr>
                <w:b/>
                <w:noProof/>
              </w:rPr>
            </w:pPr>
            <w:r>
              <w:rPr>
                <w:b/>
                <w:noProof/>
              </w:rPr>
              <w:t>3) Yhteiset tulosindikaattorit</w:t>
            </w:r>
            <w:r>
              <w:rPr>
                <w:rStyle w:val="FootnoteReference"/>
                <w:b/>
                <w:noProof/>
              </w:rPr>
              <w:footnoteReference w:id="4"/>
            </w:r>
          </w:p>
          <w:p>
            <w:pPr>
              <w:rPr>
                <w:b/>
                <w:noProof/>
              </w:rPr>
            </w:pPr>
            <w:r>
              <w:rPr>
                <w:b/>
                <w:noProof/>
              </w:rPr>
              <w:t>Elintarvikeavun loppukäyttäjien lukumäärä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- alle 18-vuotiaiden lasten lukumäärä</w:t>
            </w:r>
          </w:p>
          <w:p>
            <w:pPr>
              <w:rPr>
                <w:noProof/>
                <w:szCs w:val="24"/>
              </w:rPr>
            </w:pPr>
            <w:r>
              <w:rPr>
                <w:noProof/>
              </w:rPr>
              <w:t>- 18–29-vuotiaiden nuorten lukumäärä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 xml:space="preserve">- yli 54-vuotiaiden loppukäyttäjien lukumäärä 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- vammaisten loppukäyttäjien lukumäärä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- kolmansien maiden kansalaisten lukumäärä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 xml:space="preserve">- ulkomaalaistaustaisten ja vähemmistöihin kuuluvien (myös marginalisoituneet yhteisöt kuten romanit) loppukäyttäjien lukumäärä 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- asunnottomien tai asuntomarkkinoilta syrjäytyneiden loppukäyttäjien lukumäärä.</w:t>
            </w:r>
          </w:p>
          <w:p>
            <w:pPr>
              <w:rPr>
                <w:noProof/>
              </w:rPr>
            </w:pPr>
          </w:p>
          <w:p>
            <w:pPr>
              <w:rPr>
                <w:b/>
                <w:noProof/>
              </w:rPr>
            </w:pPr>
            <w:r>
              <w:rPr>
                <w:b/>
                <w:noProof/>
              </w:rPr>
              <w:t>Aineellisen avun loppukäyttäjien lukumäärä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- alle 18-vuotiaiden lasten lukumäärä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- 18–29-vuotiaiden nuorten lukumäärä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 xml:space="preserve">- yli 54-vuotiaiden loppukäyttäjien lukumäärä 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- vammaisten loppukäyttäjien lukumäärä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 xml:space="preserve">- kolmansien maiden kansalaisten lukumäärä 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 xml:space="preserve">- ulkomaalaistaustaisten ja vähemmistöihin kuuluvien (myös marginalisoituneet yhteisöt kuten romanit) loppukäyttäjien lukumäärä </w:t>
            </w:r>
          </w:p>
          <w:p>
            <w:pPr>
              <w:rPr>
                <w:noProof/>
              </w:rPr>
            </w:pPr>
            <w:r>
              <w:rPr>
                <w:noProof/>
              </w:rPr>
              <w:t>- asunnottomien tai asuntomarkkinoilta syrjäytyneiden loppukäyttäjien lukumäärä.</w:t>
            </w:r>
          </w:p>
          <w:p>
            <w:pPr>
              <w:rPr>
                <w:noProof/>
              </w:rPr>
            </w:pPr>
          </w:p>
          <w:p>
            <w:pPr>
              <w:rPr>
                <w:noProof/>
              </w:rPr>
            </w:pPr>
          </w:p>
        </w:tc>
        <w:tc>
          <w:tcPr>
            <w:tcW w:w="20" w:type="dxa"/>
          </w:tcPr>
          <w:p>
            <w:pPr>
              <w:rPr>
                <w:noProof/>
              </w:rPr>
            </w:pPr>
          </w:p>
        </w:tc>
      </w:tr>
    </w:tbl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  <w:r>
        <w:rPr>
          <w:noProof/>
        </w:rPr>
        <w:br w:type="column"/>
      </w:r>
    </w:p>
    <w:p>
      <w:pPr>
        <w:pStyle w:val="Annexetitre"/>
        <w:rPr>
          <w:noProof/>
        </w:rPr>
      </w:pPr>
      <w:r>
        <w:rPr>
          <w:noProof/>
        </w:rPr>
        <w:t>LIITE III</w:t>
      </w:r>
    </w:p>
    <w:p>
      <w:pPr>
        <w:pStyle w:val="Annexetitreexpos"/>
        <w:rPr>
          <w:noProof/>
        </w:rPr>
      </w:pPr>
      <w:r>
        <w:rPr>
          <w:noProof/>
        </w:rPr>
        <w:t>Terveysalan toimintalohkoa koskevat indikaattorit</w:t>
      </w:r>
    </w:p>
    <w:p>
      <w:pPr>
        <w:rPr>
          <w:rFonts w:ascii="EC Square Sans Cond Pro" w:hAnsi="EC Square Sans Cond Pro"/>
          <w:b/>
          <w:noProof/>
          <w:szCs w:val="24"/>
        </w:rPr>
      </w:pPr>
    </w:p>
    <w:p>
      <w:pPr>
        <w:rPr>
          <w:b/>
          <w:noProof/>
          <w:szCs w:val="24"/>
        </w:rPr>
      </w:pPr>
      <w:r>
        <w:rPr>
          <w:b/>
          <w:noProof/>
        </w:rPr>
        <w:t>Terveysalan yhdennetyn toiminnan taso ja ohjelman tulosten käyttö kansallisissa terveyspolitiikoissa</w:t>
      </w:r>
    </w:p>
    <w:p>
      <w:pPr>
        <w:rPr>
          <w:noProof/>
          <w:szCs w:val="24"/>
        </w:rPr>
      </w:pPr>
      <w:r>
        <w:rPr>
          <w:noProof/>
        </w:rPr>
        <w:t>1. eurooppalaisista osaamisverkostoista tuettujen potilaiden lukumäärä</w:t>
      </w:r>
    </w:p>
    <w:p>
      <w:pPr>
        <w:rPr>
          <w:noProof/>
          <w:szCs w:val="24"/>
        </w:rPr>
      </w:pPr>
      <w:r>
        <w:rPr>
          <w:noProof/>
        </w:rPr>
        <w:t>2. yhteisiä kliinisiä arviointeja koskevien terveysteknologioiden lukumäärä</w:t>
      </w:r>
    </w:p>
    <w:p>
      <w:pPr>
        <w:rPr>
          <w:noProof/>
          <w:szCs w:val="24"/>
        </w:rPr>
      </w:pPr>
      <w:r>
        <w:rPr>
          <w:noProof/>
        </w:rPr>
        <w:t xml:space="preserve">3. siirrettyjen parhaiden käytäntöjen lukumäärä </w:t>
      </w:r>
    </w:p>
    <w:p>
      <w:pPr>
        <w:rPr>
          <w:noProof/>
          <w:szCs w:val="24"/>
        </w:rPr>
      </w:pPr>
      <w:r>
        <w:rPr>
          <w:noProof/>
        </w:rPr>
        <w:t>4. ohjelman tulosten käyttöaste kansallisissa terveyspolitiikoissa mitattuna ”ennen ja jälkeen” -kyselylomakkeella.</w:t>
      </w:r>
    </w:p>
    <w:p>
      <w:pPr>
        <w:rPr>
          <w:b/>
          <w:noProof/>
        </w:rPr>
      </w:pPr>
    </w:p>
    <w:sectPr>
      <w:footerReference w:type="default" r:id="rId19"/>
      <w:footerReference w:type="first" r:id="rId20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  <w:endnote w:type="continuationNotice" w:id="1">
    <w:p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C Square Sans Cond Pro">
    <w:altName w:val="Segoe UI"/>
    <w:charset w:val="00"/>
    <w:family w:val="swiss"/>
    <w:pitch w:val="variable"/>
    <w:sig w:usb0="00000001" w:usb1="500000D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FI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FI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FI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FI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  <w:footnote w:type="continuationNotice" w:id="1">
    <w:p>
      <w:pPr>
        <w:spacing w:before="0" w:after="0"/>
      </w:pPr>
    </w:p>
  </w:footnote>
  <w:footnote w:id="2">
    <w:p>
      <w:pPr>
        <w:pStyle w:val="FootnoteText"/>
      </w:pPr>
      <w:r>
        <w:rPr>
          <w:rStyle w:val="FootnoteReference"/>
        </w:rPr>
        <w:footnoteRef/>
      </w:r>
      <w:r>
        <w:tab/>
        <w:t>Tähdellä (*) merkittyjen indikaattoreiden osalta toimitetut tiedot ovat asetuksen (EU) 2016/679 4 artiklan 1 kohdassa tarkoitettuja henkilötietoja. Kahdella tähdellä (**) merkittyjen indikaattoreiden osalta toimitetut tiedot ovat asetuksen (EU) 2016/679 9 artiklassa tarkoitettuja erityisiä tietoryhmiä.</w:t>
      </w:r>
    </w:p>
  </w:footnote>
  <w:footnote w:id="3">
    <w:p>
      <w:pPr>
        <w:pStyle w:val="FootnoteText"/>
      </w:pPr>
      <w:r>
        <w:rPr>
          <w:rStyle w:val="FootnoteReference"/>
        </w:rPr>
        <w:footnoteRef/>
      </w:r>
      <w:r>
        <w:tab/>
        <w:t>Näitä indikaattoreita koskevat arvot määritetään edunsaajien tietoihin perustuvien arvioiden mukaisesti.</w:t>
      </w:r>
    </w:p>
  </w:footnote>
  <w:footnote w:id="4">
    <w:p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ab/>
        <w:t xml:space="preserve">Ks. edellinen alaviite.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7732276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790AE0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103AE99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FBF8E7D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FA54037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AF12D99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D0CE2BF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B7085B9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  <w:lvlOverride w:ilvl="0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2"/>
  </w:num>
  <w:num w:numId="13">
    <w:abstractNumId w:val="20"/>
  </w:num>
  <w:num w:numId="14">
    <w:abstractNumId w:val="11"/>
  </w:num>
  <w:num w:numId="15">
    <w:abstractNumId w:val="13"/>
  </w:num>
  <w:num w:numId="16">
    <w:abstractNumId w:val="9"/>
  </w:num>
  <w:num w:numId="17">
    <w:abstractNumId w:val="19"/>
  </w:num>
  <w:num w:numId="18">
    <w:abstractNumId w:val="8"/>
  </w:num>
  <w:num w:numId="19">
    <w:abstractNumId w:val="14"/>
  </w:num>
  <w:num w:numId="20">
    <w:abstractNumId w:val="16"/>
  </w:num>
  <w:num w:numId="21">
    <w:abstractNumId w:val="17"/>
  </w:num>
  <w:num w:numId="22">
    <w:abstractNumId w:val="10"/>
  </w:num>
  <w:num w:numId="23">
    <w:abstractNumId w:val="15"/>
  </w:num>
  <w:num w:numId="24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92"/>
  <w:hideSpellingErrors/>
  <w:hideGrammaticalErrors/>
  <w:attachedTemplate r:id="rId1"/>
  <w:revisionView w:markup="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18-06-04 20:44:55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28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ehdotukseen"/>
    <w:docVar w:name="LW_ACCOMPAGNANT.CP" w:val="ehdotukseen"/>
    <w:docVar w:name="LW_ANNEX_NBR_FIRST" w:val="1"/>
    <w:docVar w:name="LW_ANNEX_NBR_LAST" w:val="3"/>
    <w:docVar w:name="LW_ANNEX_UNIQUE" w:val="0"/>
    <w:docVar w:name="LW_CORRIGENDUM" w:val="&lt;UNUSED&gt;"/>
    <w:docVar w:name="LW_COVERPAGE_EXISTS" w:val="True"/>
    <w:docVar w:name="LW_COVERPAGE_GUID" w:val="EB687DF1-4453-41C5-BA80-AB785D3B4D93"/>
    <w:docVar w:name="LW_COVERPAGE_TYPE" w:val="1"/>
    <w:docVar w:name="LW_CROSSREFERENCE" w:val="{SEC(2018) 273 final}_x000b_{SWD(2018) 289 final}"/>
    <w:docVar w:name="LW_DocType" w:val="ANNEX"/>
    <w:docVar w:name="LW_EMISSION" w:val="30.5.2018"/>
    <w:docVar w:name="LW_EMISSION_ISODATE" w:val="2018-05-30"/>
    <w:docVar w:name="LW_EMISSION_LOCATION" w:val="BRX"/>
    <w:docVar w:name="LW_EMISSION_PREFIX" w:val="Bryssel"/>
    <w:docVar w:name="LW_EMISSION_SUFFIX" w:val="&lt;EMPTY&gt;"/>
    <w:docVar w:name="LW_ID_DOCSTRUCTURE" w:val="COM/ANNEX"/>
    <w:docVar w:name="LW_ID_DOCTYPE" w:val="SG-017"/>
    <w:docVar w:name="LW_LANGUE" w:val="FI"/>
    <w:docVar w:name="LW_LEVEL_OF_SENSITIVITY" w:val="Standard treatment"/>
    <w:docVar w:name="LW_NOM.INST" w:val="EUROOPAN KOMISSIO"/>
    <w:docVar w:name="LW_NOM.INST_JOINTDOC" w:val="&lt;EMPTY&gt;"/>
    <w:docVar w:name="LW_OBJETACTEPRINCIPAL" w:val="Euroopan sosiaalirahasto plussasta (ESR+)"/>
    <w:docVar w:name="LW_OBJETACTEPRINCIPAL.CP" w:val="Euroopan sosiaalirahasto plussasta (ESR+)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18) 382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YPE.DOC" w:val="LIITTEET"/>
    <w:docVar w:name="LW_TYPE.DOC.CP" w:val="LIITTEET"/>
    <w:docVar w:name="LW_TYPEACTEPRINCIPAL" w:val="EUROOPAN PARLAMENTIN JA NEUVOSTON ASETUS"/>
    <w:docVar w:name="LW_TYPEACTEPRINCIPAL.CP" w:val="EUROOPAN PARLAMENTIN JA NEUVOSTON ASETUS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fi-FI" w:bidi="fi-F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7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7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7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7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fi-F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fi-FI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fi-FI"/>
    </w:rPr>
  </w:style>
  <w:style w:type="table" w:styleId="TableGrid">
    <w:name w:val="Table Grid"/>
    <w:aliases w:val="Document Table,CV1,Standard table format,Simple table"/>
    <w:basedOn w:val="TableNormal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1Char">
    <w:name w:val="Text 1 Char"/>
    <w:basedOn w:val="DefaultParagraphFont"/>
    <w:locked/>
    <w:rPr>
      <w:rFonts w:ascii="Times New Roman" w:hAnsi="Times New Roman" w:cs="Times New Roman"/>
      <w:sz w:val="24"/>
      <w:lang w:val="fi-FI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11"/>
      </w:numPr>
    </w:pPr>
  </w:style>
  <w:style w:type="paragraph" w:customStyle="1" w:styleId="Tiret1">
    <w:name w:val="Tiret 1"/>
    <w:basedOn w:val="Point1"/>
    <w:pPr>
      <w:numPr>
        <w:numId w:val="12"/>
      </w:numPr>
    </w:pPr>
  </w:style>
  <w:style w:type="paragraph" w:customStyle="1" w:styleId="Tiret2">
    <w:name w:val="Tiret 2"/>
    <w:basedOn w:val="Point2"/>
    <w:pPr>
      <w:numPr>
        <w:numId w:val="13"/>
      </w:numPr>
    </w:pPr>
  </w:style>
  <w:style w:type="paragraph" w:customStyle="1" w:styleId="Tiret3">
    <w:name w:val="Tiret 3"/>
    <w:basedOn w:val="Point3"/>
    <w:pPr>
      <w:numPr>
        <w:numId w:val="14"/>
      </w:numPr>
    </w:pPr>
  </w:style>
  <w:style w:type="paragraph" w:customStyle="1" w:styleId="Tiret4">
    <w:name w:val="Tiret 4"/>
    <w:basedOn w:val="Point4"/>
    <w:pPr>
      <w:numPr>
        <w:numId w:val="15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6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6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6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6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8"/>
      </w:numPr>
    </w:pPr>
  </w:style>
  <w:style w:type="paragraph" w:customStyle="1" w:styleId="Point1number">
    <w:name w:val="Point 1 (number)"/>
    <w:basedOn w:val="Normal"/>
    <w:pPr>
      <w:numPr>
        <w:ilvl w:val="2"/>
        <w:numId w:val="18"/>
      </w:numPr>
    </w:pPr>
  </w:style>
  <w:style w:type="paragraph" w:customStyle="1" w:styleId="Point2number">
    <w:name w:val="Point 2 (number)"/>
    <w:basedOn w:val="Normal"/>
    <w:pPr>
      <w:numPr>
        <w:ilvl w:val="4"/>
        <w:numId w:val="18"/>
      </w:numPr>
    </w:pPr>
  </w:style>
  <w:style w:type="paragraph" w:customStyle="1" w:styleId="Point3number">
    <w:name w:val="Point 3 (number)"/>
    <w:basedOn w:val="Normal"/>
    <w:pPr>
      <w:numPr>
        <w:ilvl w:val="6"/>
        <w:numId w:val="18"/>
      </w:numPr>
    </w:pPr>
  </w:style>
  <w:style w:type="paragraph" w:customStyle="1" w:styleId="Point0letter">
    <w:name w:val="Point 0 (letter)"/>
    <w:basedOn w:val="Normal"/>
    <w:pPr>
      <w:numPr>
        <w:ilvl w:val="1"/>
        <w:numId w:val="18"/>
      </w:numPr>
    </w:pPr>
  </w:style>
  <w:style w:type="paragraph" w:customStyle="1" w:styleId="Point1letter">
    <w:name w:val="Point 1 (letter)"/>
    <w:basedOn w:val="Normal"/>
    <w:pPr>
      <w:numPr>
        <w:ilvl w:val="3"/>
        <w:numId w:val="18"/>
      </w:numPr>
    </w:pPr>
  </w:style>
  <w:style w:type="paragraph" w:customStyle="1" w:styleId="Point2letter">
    <w:name w:val="Point 2 (letter)"/>
    <w:basedOn w:val="Normal"/>
    <w:pPr>
      <w:numPr>
        <w:ilvl w:val="5"/>
        <w:numId w:val="18"/>
      </w:numPr>
    </w:pPr>
  </w:style>
  <w:style w:type="paragraph" w:customStyle="1" w:styleId="Point3letter">
    <w:name w:val="Point 3 (letter)"/>
    <w:basedOn w:val="Normal"/>
    <w:pPr>
      <w:numPr>
        <w:ilvl w:val="7"/>
        <w:numId w:val="18"/>
      </w:numPr>
    </w:pPr>
  </w:style>
  <w:style w:type="paragraph" w:customStyle="1" w:styleId="Point4letter">
    <w:name w:val="Point 4 (letter)"/>
    <w:basedOn w:val="Normal"/>
    <w:pPr>
      <w:numPr>
        <w:ilvl w:val="8"/>
        <w:numId w:val="18"/>
      </w:numPr>
    </w:pPr>
  </w:style>
  <w:style w:type="paragraph" w:customStyle="1" w:styleId="Bullet0">
    <w:name w:val="Bullet 0"/>
    <w:basedOn w:val="Normal"/>
    <w:pPr>
      <w:numPr>
        <w:numId w:val="19"/>
      </w:numPr>
    </w:pPr>
  </w:style>
  <w:style w:type="paragraph" w:customStyle="1" w:styleId="Bullet1">
    <w:name w:val="Bullet 1"/>
    <w:basedOn w:val="Normal"/>
    <w:pPr>
      <w:numPr>
        <w:numId w:val="20"/>
      </w:numPr>
    </w:pPr>
  </w:style>
  <w:style w:type="paragraph" w:customStyle="1" w:styleId="Bullet2">
    <w:name w:val="Bullet 2"/>
    <w:basedOn w:val="Normal"/>
    <w:pPr>
      <w:numPr>
        <w:numId w:val="21"/>
      </w:numPr>
    </w:pPr>
  </w:style>
  <w:style w:type="paragraph" w:customStyle="1" w:styleId="Bullet3">
    <w:name w:val="Bullet 3"/>
    <w:basedOn w:val="Normal"/>
    <w:pPr>
      <w:numPr>
        <w:numId w:val="22"/>
      </w:numPr>
    </w:pPr>
  </w:style>
  <w:style w:type="paragraph" w:customStyle="1" w:styleId="Bullet4">
    <w:name w:val="Bullet 4"/>
    <w:basedOn w:val="Normal"/>
    <w:pPr>
      <w:numPr>
        <w:numId w:val="23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4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fi-FI" w:bidi="fi-F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7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7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7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7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fi-F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fi-FI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fi-FI"/>
    </w:rPr>
  </w:style>
  <w:style w:type="table" w:styleId="TableGrid">
    <w:name w:val="Table Grid"/>
    <w:aliases w:val="Document Table,CV1,Standard table format,Simple table"/>
    <w:basedOn w:val="TableNormal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1Char">
    <w:name w:val="Text 1 Char"/>
    <w:basedOn w:val="DefaultParagraphFont"/>
    <w:locked/>
    <w:rPr>
      <w:rFonts w:ascii="Times New Roman" w:hAnsi="Times New Roman" w:cs="Times New Roman"/>
      <w:sz w:val="24"/>
      <w:lang w:val="fi-FI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11"/>
      </w:numPr>
    </w:pPr>
  </w:style>
  <w:style w:type="paragraph" w:customStyle="1" w:styleId="Tiret1">
    <w:name w:val="Tiret 1"/>
    <w:basedOn w:val="Point1"/>
    <w:pPr>
      <w:numPr>
        <w:numId w:val="12"/>
      </w:numPr>
    </w:pPr>
  </w:style>
  <w:style w:type="paragraph" w:customStyle="1" w:styleId="Tiret2">
    <w:name w:val="Tiret 2"/>
    <w:basedOn w:val="Point2"/>
    <w:pPr>
      <w:numPr>
        <w:numId w:val="13"/>
      </w:numPr>
    </w:pPr>
  </w:style>
  <w:style w:type="paragraph" w:customStyle="1" w:styleId="Tiret3">
    <w:name w:val="Tiret 3"/>
    <w:basedOn w:val="Point3"/>
    <w:pPr>
      <w:numPr>
        <w:numId w:val="14"/>
      </w:numPr>
    </w:pPr>
  </w:style>
  <w:style w:type="paragraph" w:customStyle="1" w:styleId="Tiret4">
    <w:name w:val="Tiret 4"/>
    <w:basedOn w:val="Point4"/>
    <w:pPr>
      <w:numPr>
        <w:numId w:val="15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6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6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6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6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8"/>
      </w:numPr>
    </w:pPr>
  </w:style>
  <w:style w:type="paragraph" w:customStyle="1" w:styleId="Point1number">
    <w:name w:val="Point 1 (number)"/>
    <w:basedOn w:val="Normal"/>
    <w:pPr>
      <w:numPr>
        <w:ilvl w:val="2"/>
        <w:numId w:val="18"/>
      </w:numPr>
    </w:pPr>
  </w:style>
  <w:style w:type="paragraph" w:customStyle="1" w:styleId="Point2number">
    <w:name w:val="Point 2 (number)"/>
    <w:basedOn w:val="Normal"/>
    <w:pPr>
      <w:numPr>
        <w:ilvl w:val="4"/>
        <w:numId w:val="18"/>
      </w:numPr>
    </w:pPr>
  </w:style>
  <w:style w:type="paragraph" w:customStyle="1" w:styleId="Point3number">
    <w:name w:val="Point 3 (number)"/>
    <w:basedOn w:val="Normal"/>
    <w:pPr>
      <w:numPr>
        <w:ilvl w:val="6"/>
        <w:numId w:val="18"/>
      </w:numPr>
    </w:pPr>
  </w:style>
  <w:style w:type="paragraph" w:customStyle="1" w:styleId="Point0letter">
    <w:name w:val="Point 0 (letter)"/>
    <w:basedOn w:val="Normal"/>
    <w:pPr>
      <w:numPr>
        <w:ilvl w:val="1"/>
        <w:numId w:val="18"/>
      </w:numPr>
    </w:pPr>
  </w:style>
  <w:style w:type="paragraph" w:customStyle="1" w:styleId="Point1letter">
    <w:name w:val="Point 1 (letter)"/>
    <w:basedOn w:val="Normal"/>
    <w:pPr>
      <w:numPr>
        <w:ilvl w:val="3"/>
        <w:numId w:val="18"/>
      </w:numPr>
    </w:pPr>
  </w:style>
  <w:style w:type="paragraph" w:customStyle="1" w:styleId="Point2letter">
    <w:name w:val="Point 2 (letter)"/>
    <w:basedOn w:val="Normal"/>
    <w:pPr>
      <w:numPr>
        <w:ilvl w:val="5"/>
        <w:numId w:val="18"/>
      </w:numPr>
    </w:pPr>
  </w:style>
  <w:style w:type="paragraph" w:customStyle="1" w:styleId="Point3letter">
    <w:name w:val="Point 3 (letter)"/>
    <w:basedOn w:val="Normal"/>
    <w:pPr>
      <w:numPr>
        <w:ilvl w:val="7"/>
        <w:numId w:val="18"/>
      </w:numPr>
    </w:pPr>
  </w:style>
  <w:style w:type="paragraph" w:customStyle="1" w:styleId="Point4letter">
    <w:name w:val="Point 4 (letter)"/>
    <w:basedOn w:val="Normal"/>
    <w:pPr>
      <w:numPr>
        <w:ilvl w:val="8"/>
        <w:numId w:val="18"/>
      </w:numPr>
    </w:pPr>
  </w:style>
  <w:style w:type="paragraph" w:customStyle="1" w:styleId="Bullet0">
    <w:name w:val="Bullet 0"/>
    <w:basedOn w:val="Normal"/>
    <w:pPr>
      <w:numPr>
        <w:numId w:val="19"/>
      </w:numPr>
    </w:pPr>
  </w:style>
  <w:style w:type="paragraph" w:customStyle="1" w:styleId="Bullet1">
    <w:name w:val="Bullet 1"/>
    <w:basedOn w:val="Normal"/>
    <w:pPr>
      <w:numPr>
        <w:numId w:val="20"/>
      </w:numPr>
    </w:pPr>
  </w:style>
  <w:style w:type="paragraph" w:customStyle="1" w:styleId="Bullet2">
    <w:name w:val="Bullet 2"/>
    <w:basedOn w:val="Normal"/>
    <w:pPr>
      <w:numPr>
        <w:numId w:val="21"/>
      </w:numPr>
    </w:pPr>
  </w:style>
  <w:style w:type="paragraph" w:customStyle="1" w:styleId="Bullet3">
    <w:name w:val="Bullet 3"/>
    <w:basedOn w:val="Normal"/>
    <w:pPr>
      <w:numPr>
        <w:numId w:val="22"/>
      </w:numPr>
    </w:pPr>
  </w:style>
  <w:style w:type="paragraph" w:customStyle="1" w:styleId="Bullet4">
    <w:name w:val="Bullet 4"/>
    <w:basedOn w:val="Normal"/>
    <w:pPr>
      <w:numPr>
        <w:numId w:val="23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4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5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microsoft.com/office/2007/relationships/stylesWithEffects" Target="stylesWithEffects.xml"/><Relationship Id="rId12" Type="http://schemas.openxmlformats.org/officeDocument/2006/relationships/image" Target="media/image1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89239F874EA5FD41B34AF9113097C08F" ma:contentTypeVersion="0" ma:contentTypeDescription="Create a new document in this library." ma:contentTypeScope="" ma:versionID="99fc3b33ce158b1cfa40fb971bf5e058">
  <xsd:schema xmlns:xsd="http://www.w3.org/2001/XMLSchema" xmlns:xs="http://www.w3.org/2001/XMLSchema" xmlns:p="http://schemas.microsoft.com/office/2006/metadata/properties" xmlns:ns2="http://schemas.microsoft.com/sharepoint/v3/fields" xmlns:ns3="4E797991-D6A1-4B98-93D1-0DE95956AA90" targetNamespace="http://schemas.microsoft.com/office/2006/metadata/properties" ma:root="true" ma:fieldsID="d7a5695c33f04cc0477b592f9a9edf29" ns2:_="" ns3:_="">
    <xsd:import namespace="http://schemas.microsoft.com/sharepoint/v3/fields"/>
    <xsd:import namespace="4E797991-D6A1-4B98-93D1-0DE95956AA90"/>
    <xsd:element name="properties">
      <xsd:complexType>
        <xsd:sequence>
          <xsd:element name="documentManagement">
            <xsd:complexType>
              <xsd:all>
                <xsd:element ref="ns3:EC_Collab_Reference" minOccurs="0"/>
                <xsd:element ref="ns2:_Status" minOccurs="0"/>
                <xsd:element ref="ns3:EC_Collab_DocumentLanguage"/>
                <xsd:element ref="ns3:EC_Collab_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3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97991-D6A1-4B98-93D1-0DE95956AA90" elementFormDefault="qualified">
    <xsd:import namespace="http://schemas.microsoft.com/office/2006/documentManagement/types"/>
    <xsd:import namespace="http://schemas.microsoft.com/office/infopath/2007/PartnerControls"/>
    <xsd:element name="EC_Collab_Reference" ma:index="12" nillable="true" ma:displayName="Reference" ma:internalName="EC_Collab_Reference">
      <xsd:simpleType>
        <xsd:restriction base="dms:Text"/>
      </xsd:simpleType>
    </xsd:element>
    <xsd:element name="EC_Collab_DocumentLanguage" ma:index="14" ma:displayName="Language" ma:default="EN" ma:internalName="EC_Collab_DocumentLanguage">
      <xsd:simpleType>
        <xsd:restriction base="dms:Choice">
          <xsd:enumeration value="BG"/>
          <xsd:enumeration value="ES"/>
          <xsd:enumeration value="CS"/>
          <xsd:enumeration value="DA"/>
          <xsd:enumeration value="DE"/>
          <xsd:enumeration value="ET"/>
          <xsd:enumeration value="EL"/>
          <xsd:enumeration value="EN"/>
          <xsd:enumeration value="FR"/>
          <xsd:enumeration value="GA"/>
          <xsd:enumeration value="IT"/>
          <xsd:enumeration value="LT"/>
          <xsd:enumeration value="LV"/>
          <xsd:enumeration value="HU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FI"/>
          <xsd:enumeration value="SV"/>
          <xsd:enumeration value="HR"/>
          <xsd:enumeration value="MK"/>
          <xsd:enumeration value="TR"/>
          <xsd:enumeration value="EU"/>
          <xsd:enumeration value="CA"/>
          <xsd:enumeration value="GL"/>
          <xsd:enumeration value="AB"/>
          <xsd:enumeration value="AA"/>
          <xsd:enumeration value="AF"/>
          <xsd:enumeration value="AK"/>
          <xsd:enumeration value="SQ"/>
          <xsd:enumeration value="AM"/>
          <xsd:enumeration value="AR"/>
          <xsd:enumeration value="AN"/>
          <xsd:enumeration value="HY"/>
          <xsd:enumeration value="AS"/>
          <xsd:enumeration value="AV"/>
          <xsd:enumeration value="AE"/>
          <xsd:enumeration value="AY"/>
          <xsd:enumeration value="AZ"/>
          <xsd:enumeration value="BM"/>
          <xsd:enumeration value="BA"/>
          <xsd:enumeration value="BE"/>
          <xsd:enumeration value="BN"/>
          <xsd:enumeration value="BH"/>
          <xsd:enumeration value="BI"/>
          <xsd:enumeration value="NB"/>
          <xsd:enumeration value="BS"/>
          <xsd:enumeration value="BR"/>
          <xsd:enumeration value="MY"/>
          <xsd:enumeration value="KM"/>
          <xsd:enumeration value="CH"/>
          <xsd:enumeration value="CE"/>
          <xsd:enumeration value="NY"/>
          <xsd:enumeration value="ZH"/>
          <xsd:enumeration value="CU"/>
          <xsd:enumeration value="CV"/>
          <xsd:enumeration value="KW"/>
          <xsd:enumeration value="CO"/>
          <xsd:enumeration value="CR"/>
          <xsd:enumeration value="DV"/>
          <xsd:enumeration value="DZ"/>
          <xsd:enumeration value="EO"/>
          <xsd:enumeration value="EE"/>
          <xsd:enumeration value="FO"/>
          <xsd:enumeration value="FJ"/>
          <xsd:enumeration value="FF"/>
          <xsd:enumeration value="GD"/>
          <xsd:enumeration value="LG"/>
          <xsd:enumeration value="KA"/>
          <xsd:enumeration value="GN"/>
          <xsd:enumeration value="GU"/>
          <xsd:enumeration value="HT"/>
          <xsd:enumeration value="HA"/>
          <xsd:enumeration value="HE"/>
          <xsd:enumeration value="HZ"/>
          <xsd:enumeration value="HI"/>
          <xsd:enumeration value="HO"/>
          <xsd:enumeration value="IS"/>
          <xsd:enumeration value="IO"/>
          <xsd:enumeration value="IG"/>
          <xsd:enumeration value="ID"/>
          <xsd:enumeration value="IA"/>
          <xsd:enumeration value="IE"/>
          <xsd:enumeration value="IU"/>
          <xsd:enumeration value="IK"/>
          <xsd:enumeration value="JA"/>
          <xsd:enumeration value="JV"/>
          <xsd:enumeration value="KL"/>
          <xsd:enumeration value="KN"/>
          <xsd:enumeration value="KR"/>
          <xsd:enumeration value="KS"/>
          <xsd:enumeration value="KK"/>
          <xsd:enumeration value="KI"/>
          <xsd:enumeration value="RW"/>
          <xsd:enumeration value="KY"/>
          <xsd:enumeration value="KV"/>
          <xsd:enumeration value="KG"/>
          <xsd:enumeration value="KO"/>
          <xsd:enumeration value="KJ"/>
          <xsd:enumeration value="KU"/>
          <xsd:enumeration value="LO"/>
          <xsd:enumeration value="LA"/>
          <xsd:enumeration value="LI"/>
          <xsd:enumeration value="LN"/>
          <xsd:enumeration value="LU"/>
          <xsd:enumeration value="LB"/>
          <xsd:enumeration value="MG"/>
          <xsd:enumeration value="MS"/>
          <xsd:enumeration value="ML"/>
          <xsd:enumeration value="GV"/>
          <xsd:enumeration value="MI"/>
          <xsd:enumeration value="MR"/>
          <xsd:enumeration value="MH"/>
          <xsd:enumeration value="MN"/>
          <xsd:enumeration value="NA"/>
          <xsd:enumeration value="NV"/>
          <xsd:enumeration value="ND"/>
          <xsd:enumeration value="NR"/>
          <xsd:enumeration value="NG"/>
          <xsd:enumeration value="NE"/>
          <xsd:enumeration value="SE"/>
          <xsd:enumeration value="NO"/>
          <xsd:enumeration value="NN"/>
          <xsd:enumeration value="OC"/>
          <xsd:enumeration value="OJ"/>
          <xsd:enumeration value="OR"/>
          <xsd:enumeration value="OM"/>
          <xsd:enumeration value="OS"/>
          <xsd:enumeration value="PI"/>
          <xsd:enumeration value="PA"/>
          <xsd:enumeration value="FA"/>
          <xsd:enumeration value="PS"/>
          <xsd:enumeration value="QU"/>
          <xsd:enumeration value="RM"/>
          <xsd:enumeration value="RN"/>
          <xsd:enumeration value="RU"/>
          <xsd:enumeration value="SM"/>
          <xsd:enumeration value="SG"/>
          <xsd:enumeration value="SA"/>
          <xsd:enumeration value="SC"/>
          <xsd:enumeration value="SR"/>
          <xsd:enumeration value="SN"/>
          <xsd:enumeration value="II"/>
          <xsd:enumeration value="SD"/>
          <xsd:enumeration value="SI"/>
          <xsd:enumeration value="SO"/>
          <xsd:enumeration value="ST"/>
          <xsd:enumeration value="SU"/>
          <xsd:enumeration value="SW"/>
          <xsd:enumeration value="SS"/>
          <xsd:enumeration value="TL"/>
          <xsd:enumeration value="TY"/>
          <xsd:enumeration value="TG"/>
          <xsd:enumeration value="TA"/>
          <xsd:enumeration value="TT"/>
          <xsd:enumeration value="TE"/>
          <xsd:enumeration value="TH"/>
          <xsd:enumeration value="BO"/>
          <xsd:enumeration value="TI"/>
          <xsd:enumeration value="TO"/>
          <xsd:enumeration value="TS"/>
          <xsd:enumeration value="TN"/>
          <xsd:enumeration value="TK"/>
          <xsd:enumeration value="TW"/>
          <xsd:enumeration value="UG"/>
          <xsd:enumeration value="UK"/>
          <xsd:enumeration value="UR"/>
          <xsd:enumeration value="UZ"/>
          <xsd:enumeration value="VE"/>
          <xsd:enumeration value="VI"/>
          <xsd:enumeration value="VO"/>
          <xsd:enumeration value="WA"/>
          <xsd:enumeration value="CY"/>
          <xsd:enumeration value="FY"/>
          <xsd:enumeration value="WO"/>
          <xsd:enumeration value="XH"/>
          <xsd:enumeration value="YI"/>
          <xsd:enumeration value="YO"/>
          <xsd:enumeration value="ZA"/>
          <xsd:enumeration value="ZU"/>
        </xsd:restriction>
      </xsd:simpleType>
    </xsd:element>
    <xsd:element name="EC_Collab_Status" ma:index="15" ma:displayName="EC Status" ma:default="Not Started" ma:internalName="EC_Collab_Status">
      <xsd:simpleType>
        <xsd:restriction base="dms:Choice">
          <xsd:enumeration value="Not Started"/>
          <xsd:enumeration value="Draft"/>
          <xsd:enumeration value="Reviewed"/>
          <xsd:enumeration value="Scheduled"/>
          <xsd:enumeration value="Published"/>
          <xsd:enumeration value="Final"/>
          <xsd:enumeration value="Expir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 ma:index="8" ma:displayName="Subject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tatus xmlns="http://schemas.microsoft.com/sharepoint/v3/fields">Not Started</_Status>
    <EC_Collab_DocumentLanguage xmlns="4E797991-D6A1-4B98-93D1-0DE95956AA90">EN</EC_Collab_DocumentLanguage>
    <EC_Collab_Status xmlns="4E797991-D6A1-4B98-93D1-0DE95956AA90">Not Started</EC_Collab_Status>
    <EC_Collab_Reference xmlns="4E797991-D6A1-4B98-93D1-0DE95956AA90" xsi:nil="true"/>
  </documentManagement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1DF1-F6A7-4683-A88D-3F7E414E3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4E797991-D6A1-4B98-93D1-0DE95956A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7EA59C-E272-4F8C-95C5-A5984BA388B1}">
  <ds:schemaRefs>
    <ds:schemaRef ds:uri="http://purl.org/dc/terms/"/>
    <ds:schemaRef ds:uri="http://www.w3.org/XML/1998/namespace"/>
    <ds:schemaRef ds:uri="http://schemas.microsoft.com/office/infopath/2007/PartnerControls"/>
    <ds:schemaRef ds:uri="http://schemas.microsoft.com/sharepoint/v3/fields"/>
    <ds:schemaRef ds:uri="http://schemas.openxmlformats.org/package/2006/metadata/core-properties"/>
    <ds:schemaRef ds:uri="http://purl.org/dc/elements/1.1/"/>
    <ds:schemaRef ds:uri="4E797991-D6A1-4B98-93D1-0DE95956AA90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9C88729-F544-44F8-A409-F896C8FC6D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CA5AB0-932D-4F24-8EB8-EC4DE4345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0</TotalTime>
  <Pages>6</Pages>
  <Words>522</Words>
  <Characters>4666</Characters>
  <Application>Microsoft Office Word</Application>
  <DocSecurity>0</DocSecurity>
  <Lines>150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180524 - Egreffe ESF+ Annexes</vt:lpstr>
    </vt:vector>
  </TitlesOfParts>
  <Company>European Commission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180524 - Egreffe ESF+ Annexes</dc:title>
  <dc:subject>180524 - Egreffe ESF+ Annexes</dc:subject>
  <dc:creator/>
  <cp:lastModifiedBy/>
  <cp:revision>10</cp:revision>
  <dcterms:created xsi:type="dcterms:W3CDTF">2018-06-04T12:12:00Z</dcterms:created>
  <dcterms:modified xsi:type="dcterms:W3CDTF">2018-06-04T18:44:00Z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6.0.1.0</vt:lpwstr>
  </property>
  <property fmtid="{D5CDD505-2E9C-101B-9397-08002B2CF9AE}" pid="4" name="Last edited using">
    <vt:lpwstr>LW 6.0, Build 20171009</vt:lpwstr>
  </property>
  <property fmtid="{D5CDD505-2E9C-101B-9397-08002B2CF9AE}" pid="5" name="Created using">
    <vt:lpwstr>LW 6.0, Build 20171009</vt:lpwstr>
  </property>
  <property fmtid="{D5CDD505-2E9C-101B-9397-08002B2CF9AE}" pid="6" name="First annex">
    <vt:lpwstr>1</vt:lpwstr>
  </property>
  <property fmtid="{D5CDD505-2E9C-101B-9397-08002B2CF9AE}" pid="7" name="Last annex">
    <vt:lpwstr>3</vt:lpwstr>
  </property>
  <property fmtid="{D5CDD505-2E9C-101B-9397-08002B2CF9AE}" pid="8" name="Unique annex">
    <vt:lpwstr>0</vt:lpwstr>
  </property>
  <property fmtid="{D5CDD505-2E9C-101B-9397-08002B2CF9AE}" pid="9" name="Part">
    <vt:lpwstr>&lt;UNUSED&gt;</vt:lpwstr>
  </property>
  <property fmtid="{D5CDD505-2E9C-101B-9397-08002B2CF9AE}" pid="10" name="Total parts">
    <vt:lpwstr>&lt;UNUSED&gt;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ContentTypeId">
    <vt:lpwstr>0x010100258AA79CEB83498886A3A086811232500089239F874EA5FD41B34AF9113097C08F</vt:lpwstr>
  </property>
  <property fmtid="{D5CDD505-2E9C-101B-9397-08002B2CF9AE}" pid="14" name="DQCStatus">
    <vt:lpwstr>Green (DQC version 03)</vt:lpwstr>
  </property>
  <property name="OP_sanitized" fmtid="{D5CDD505-2E9C-101B-9397-08002B2CF9AE}" pid="15">
    <vt:lpwstr>True</vt:lpwstr>
  </property>
</Properties>
</file>