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17F" w:rsidRDefault="00FE7689">
      <w:pPr>
        <w:pStyle w:val="Pagedecouverture"/>
        <w:rPr>
          <w:noProof/>
          <w:highlight w:val="yellow"/>
        </w:rPr>
      </w:pPr>
      <w:r w:rsidRPr="00FE768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8C0D8059-96EB-409E-996A-A57D186D7C1B" style="width:450pt;height:397.8pt">
            <v:imagedata r:id="rId10" o:title=""/>
          </v:shape>
        </w:pict>
      </w:r>
      <w:bookmarkStart w:id="0" w:name="_GoBack"/>
      <w:bookmarkEnd w:id="0"/>
    </w:p>
    <w:p w:rsidR="001F017F" w:rsidRDefault="001F017F">
      <w:pPr>
        <w:rPr>
          <w:noProof/>
          <w:color w:val="000000" w:themeColor="text1"/>
        </w:rPr>
        <w:sectPr w:rsidR="001F017F">
          <w:footerReference w:type="default" r:id="rId11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1F017F" w:rsidRDefault="00FE7689">
      <w:pPr>
        <w:suppressAutoHyphens/>
        <w:jc w:val="center"/>
        <w:rPr>
          <w:b/>
          <w:noProof/>
          <w:color w:val="000000" w:themeColor="text1"/>
          <w:u w:val="single"/>
        </w:rPr>
      </w:pPr>
      <w:r>
        <w:rPr>
          <w:b/>
          <w:noProof/>
          <w:color w:val="000000" w:themeColor="text1"/>
          <w:u w:val="single"/>
        </w:rPr>
        <w:lastRenderedPageBreak/>
        <w:t>PŘÍLOHA II</w:t>
      </w:r>
    </w:p>
    <w:p w:rsidR="001F017F" w:rsidRDefault="00FE7689">
      <w:pPr>
        <w:suppressAutoHyphens/>
        <w:jc w:val="center"/>
        <w:rPr>
          <w:b/>
          <w:noProof/>
          <w:color w:val="000000" w:themeColor="text1"/>
          <w:u w:val="single"/>
        </w:rPr>
      </w:pPr>
      <w:r>
        <w:rPr>
          <w:b/>
          <w:noProof/>
          <w:color w:val="000000" w:themeColor="text1"/>
          <w:u w:val="single"/>
        </w:rPr>
        <w:t xml:space="preserve">Postoj Unie k některým návrhům, které budou projednávány na 18. zasedání konference smluvních stran Úmluvy o mezinárodním obchodu </w:t>
      </w:r>
      <w:r>
        <w:rPr>
          <w:b/>
          <w:noProof/>
          <w:color w:val="000000" w:themeColor="text1"/>
          <w:u w:val="single"/>
        </w:rPr>
        <w:t>ohroženými druhy volně žijících živočichů a planě rostoucích rostlin (CITES) v Kolombu, Šrí Lanka, 23. května až 3. června 2019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97"/>
        <w:gridCol w:w="3097"/>
        <w:gridCol w:w="3095"/>
      </w:tblGrid>
      <w:tr w:rsidR="001F017F">
        <w:tc>
          <w:tcPr>
            <w:tcW w:w="1667" w:type="pct"/>
          </w:tcPr>
          <w:p w:rsidR="001F017F" w:rsidRDefault="00FE7689">
            <w:pPr>
              <w:suppressAutoHyphens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„+“ označuje souhlasný postoj</w:t>
            </w:r>
          </w:p>
        </w:tc>
        <w:tc>
          <w:tcPr>
            <w:tcW w:w="1667" w:type="pct"/>
          </w:tcPr>
          <w:p w:rsidR="001F017F" w:rsidRDefault="00FE7689">
            <w:pPr>
              <w:suppressAutoHyphens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„–“ označuje zamítavý postoj</w:t>
            </w:r>
          </w:p>
        </w:tc>
        <w:tc>
          <w:tcPr>
            <w:tcW w:w="1666" w:type="pct"/>
          </w:tcPr>
          <w:p w:rsidR="001F017F" w:rsidRDefault="00FE7689">
            <w:pPr>
              <w:suppressAutoHyphens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„0“ označuje dosud nevymezený postoj</w:t>
            </w:r>
          </w:p>
        </w:tc>
      </w:tr>
      <w:tr w:rsidR="001F017F">
        <w:tc>
          <w:tcPr>
            <w:tcW w:w="5000" w:type="pct"/>
            <w:gridSpan w:val="3"/>
          </w:tcPr>
          <w:p w:rsidR="001F017F" w:rsidRDefault="00FE7689">
            <w:pPr>
              <w:suppressAutoHyphens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„( )“ označuje, že je třeba </w:t>
            </w:r>
            <w:r>
              <w:rPr>
                <w:noProof/>
                <w:color w:val="000000" w:themeColor="text1"/>
                <w:sz w:val="20"/>
              </w:rPr>
              <w:t>provést další analýzu</w:t>
            </w:r>
          </w:p>
        </w:tc>
      </w:tr>
    </w:tbl>
    <w:p w:rsidR="001F017F" w:rsidRDefault="00FE7689">
      <w:pPr>
        <w:pStyle w:val="Heading1"/>
        <w:numPr>
          <w:ilvl w:val="0"/>
          <w:numId w:val="13"/>
        </w:numPr>
        <w:suppressAutoHyphens/>
        <w:rPr>
          <w:noProof/>
        </w:rPr>
      </w:pPr>
      <w:r>
        <w:rPr>
          <w:noProof/>
        </w:rPr>
        <w:t>Pracovní dokumenty</w:t>
      </w:r>
    </w:p>
    <w:tbl>
      <w:tblPr>
        <w:tblW w:w="9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620" w:firstRow="1" w:lastRow="0" w:firstColumn="0" w:lastColumn="0" w:noHBand="1" w:noVBand="1"/>
      </w:tblPr>
      <w:tblGrid>
        <w:gridCol w:w="651"/>
        <w:gridCol w:w="634"/>
        <w:gridCol w:w="126"/>
        <w:gridCol w:w="620"/>
        <w:gridCol w:w="2351"/>
        <w:gridCol w:w="1423"/>
        <w:gridCol w:w="2410"/>
        <w:gridCol w:w="992"/>
      </w:tblGrid>
      <w:tr w:rsidR="001F017F">
        <w:trPr>
          <w:cantSplit/>
          <w:tblHeader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bCs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Č.</w:t>
            </w:r>
          </w:p>
        </w:tc>
        <w:tc>
          <w:tcPr>
            <w:tcW w:w="3731" w:type="dxa"/>
            <w:gridSpan w:val="4"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bCs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Bod pořadu jednání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bCs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Navrhovatel</w:t>
            </w:r>
            <w:r>
              <w:rPr>
                <w:rStyle w:val="Heading1Char"/>
                <w:noProof/>
                <w:vertAlign w:val="superscript"/>
              </w:rPr>
              <w:footnoteReference w:id="2"/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bCs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Poznámky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bCs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Postoj</w:t>
            </w:r>
          </w:p>
        </w:tc>
      </w:tr>
      <w:tr w:rsidR="001F017F">
        <w:trPr>
          <w:cantSplit/>
        </w:trPr>
        <w:tc>
          <w:tcPr>
            <w:tcW w:w="4382" w:type="dxa"/>
            <w:gridSpan w:val="5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Slavnostní zahájení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žádný dokument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9207" w:type="dxa"/>
            <w:gridSpan w:val="8"/>
            <w:tcMar>
              <w:top w:w="60" w:type="dxa"/>
              <w:left w:w="135" w:type="dxa"/>
              <w:bottom w:w="60" w:type="dxa"/>
              <w:right w:w="135" w:type="dxa"/>
            </w:tcMar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Správní a finanční záležitosti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Volba</w:t>
            </w:r>
            <w:r>
              <w:rPr>
                <w:noProof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>předsedy, náhradního předsedy a místopředsedů zasedání a předsedů výborů I a II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žádný dokument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Přijetí </w:t>
            </w:r>
            <w:r>
              <w:rPr>
                <w:b/>
                <w:noProof/>
                <w:color w:val="000000" w:themeColor="text1"/>
                <w:sz w:val="20"/>
              </w:rPr>
              <w:t>pořadu jednání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Přijetí </w:t>
            </w:r>
            <w:r>
              <w:rPr>
                <w:b/>
                <w:noProof/>
                <w:color w:val="000000" w:themeColor="text1"/>
                <w:sz w:val="20"/>
              </w:rPr>
              <w:t>pracovního programu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Jednací řád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4.1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Jednací řád pro 18. zasedání konference smluvních stran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4.1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Vzít na vědomí dokument s aktuálním jednacím řádem, který zůstane </w:t>
            </w:r>
            <w:r>
              <w:rPr>
                <w:noProof/>
                <w:color w:val="000000" w:themeColor="text1"/>
                <w:sz w:val="20"/>
              </w:rPr>
              <w:t>v platnosti, pokud na konferenci smluvních stran nedojde k jeho změně (viz článek 32).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4.2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Přezkum jednacího řádu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4.2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Podpora ponechání jednacího řádu v nezměněné podobě na zasedání CoP 18; také podpora nového mandátu pro SV k přezkumu </w:t>
            </w:r>
            <w:r>
              <w:rPr>
                <w:noProof/>
                <w:color w:val="000000" w:themeColor="text1"/>
                <w:sz w:val="20"/>
              </w:rPr>
              <w:t>článku 25 (</w:t>
            </w:r>
            <w:r>
              <w:rPr>
                <w:i/>
                <w:noProof/>
                <w:color w:val="000000" w:themeColor="text1"/>
                <w:sz w:val="20"/>
              </w:rPr>
              <w:t>Postup pro rozhodování o změnách příloh</w:t>
            </w:r>
            <w:r>
              <w:rPr>
                <w:noProof/>
                <w:color w:val="000000" w:themeColor="text1"/>
                <w:sz w:val="20"/>
              </w:rPr>
              <w:t xml:space="preserve">) na zasedání CoP 19.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Mandátový</w:t>
            </w:r>
            <w:r>
              <w:rPr>
                <w:noProof/>
                <w:color w:val="000000" w:themeColor="text1"/>
                <w:sz w:val="20"/>
              </w:rPr>
              <w:t xml:space="preserve"> výbor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5.1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Zřízení mandátového výboru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žádný dokument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5.2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mandátového výboru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žádný dokument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Přijetí </w:t>
            </w:r>
            <w:r>
              <w:rPr>
                <w:b/>
                <w:noProof/>
                <w:color w:val="000000" w:themeColor="text1"/>
                <w:sz w:val="20"/>
              </w:rPr>
              <w:t>pozorovatelů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lastRenderedPageBreak/>
              <w:t>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Správa, finance a rozpočet</w:t>
            </w:r>
            <w:r>
              <w:rPr>
                <w:noProof/>
                <w:color w:val="000000" w:themeColor="text1"/>
                <w:sz w:val="20"/>
              </w:rPr>
              <w:t xml:space="preserve"> sekretariátu a zasedání konference smluvních stran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7.1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Správa sekretariátu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7.2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výkonného ředitele Programu OSN pro životní prostředí (UNEP) o správních a jiných otázkách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7.3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Finanční zprávy za roky 2016 až 2019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1: Finanční zpráva o pracovním programu s vyčíslením nákladů za rok 2016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7.3 A1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2: Svěřenský fond úmluvy CITES (CTL) – stav příspěvků ke dni 31. </w:t>
            </w:r>
            <w:r>
              <w:rPr>
                <w:noProof/>
                <w:color w:val="000000" w:themeColor="text1"/>
                <w:sz w:val="20"/>
              </w:rPr>
              <w:t>prosince 2016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3: Vnější svěřenský fond úmluvy CITES (QTL) – stav příspěvků ke dni 31. prosince 2016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4: Finanční zpráva o pracovním programu s vyčíslením nákladů za rok 2017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 xml:space="preserve">CoP18 Doc. 7.3 </w:t>
            </w:r>
            <w:r>
              <w:rPr>
                <w:noProof/>
                <w:color w:val="000000" w:themeColor="text1"/>
                <w:sz w:val="20"/>
                <w:u w:val="single"/>
              </w:rPr>
              <w:t>A4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5: Svěřenský fond úmluvy CITES (CTL) – stav příspěvků ke dni 31. prosince 2017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6: Vnější svěřenský fond úmluvy CITES (QTL) – stav příspěvků ke dni 31. prosince 2017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7: Finanční zpráva o pracovním programu s vyčíslením nákladů za rok 2018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7.3 A7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8: Svěřenský fond úmluvy CITES (CTL) – stav příspěvků ke dni 31. prosince 2018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A8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9: Svěřenský fond úmluvy CITES (CTL) – roční rozdělení neuhrazených příspěvků ke dni 31. prosince 2018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10: Vnější svěřenský fond úmluvy CITES (QTL) – stav příspěvků ke dni 31. prosince 2018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A10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11: Výkaz finančních výsledků a pozice za rok končící dnem 31. prosince 2017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7.3 A11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12: Finanční zpráva o pracovním programu s vyčíslením nákladů za rok 2019 (do 31. března 2019)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13: Svěřenský fond </w:t>
            </w:r>
            <w:r>
              <w:rPr>
                <w:noProof/>
                <w:color w:val="000000" w:themeColor="text1"/>
                <w:sz w:val="20"/>
              </w:rPr>
              <w:t>úmluvy CITES (CTL) – stav příspěvků ke dni 31. března 2019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14: Vnější svěřenský fond úmluvy CITES (QTL) – stav příspěvků ke dni 31. března 2019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7.4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Rozpočet a pracovní program na období 2020 až 2022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7.4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</w:t>
            </w:r>
            <w:r>
              <w:rPr>
                <w:noProof/>
                <w:color w:val="000000" w:themeColor="text1"/>
                <w:sz w:val="20"/>
              </w:rPr>
              <w:t>1: Návrh usnesení o </w:t>
            </w:r>
            <w:r>
              <w:rPr>
                <w:i/>
                <w:noProof/>
                <w:color w:val="000000" w:themeColor="text1"/>
                <w:sz w:val="20"/>
              </w:rPr>
              <w:t xml:space="preserve">financování a pracovním programu sekretariátu s vyčíslením nákladů na tříleté období 2020–2022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7.4 A1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2: Rozpočtový scénář – nulový skutečný růst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7.4 A2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3: Rozpočtový scénář – nulový nominální růst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7.4 A3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4: Rozpočtový scénář – přírůstek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7.4 A4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7.5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Přístup k financování, včetně financování z Globálního fondu životního prostředí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7.6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Projekt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 xml:space="preserve"> finanční podpory účasti delegátů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7.6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Podpora ponechání stávajících výběrových kritérií; sek. prozkoumá možnost rozšíření projektu ze zasedání konference smluvních stran na zasedání výborů.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 usnesení o </w:t>
            </w:r>
            <w:r>
              <w:rPr>
                <w:b/>
                <w:noProof/>
                <w:color w:val="000000" w:themeColor="text1"/>
                <w:sz w:val="20"/>
              </w:rPr>
              <w:t>jazykové strategii</w:t>
            </w:r>
            <w:r>
              <w:rPr>
                <w:noProof/>
                <w:color w:val="000000" w:themeColor="text1"/>
                <w:sz w:val="20"/>
              </w:rPr>
              <w:t xml:space="preserve"> pro úmluvu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8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IQ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Není jasné, proč by jako úřední jazyk úmluvy CITES měla být přidána arabština, ale nikoli ostatní jazyky OSN (čínština, ruština). Rozpočtové důsledky a případná další zpoždění při přípravě dokumentů jsou argumenty k zamítnutí </w:t>
            </w:r>
            <w:r>
              <w:rPr>
                <w:noProof/>
                <w:color w:val="000000" w:themeColor="text1"/>
                <w:sz w:val="20"/>
              </w:rPr>
              <w:t>návrhu.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9207" w:type="dxa"/>
            <w:gridSpan w:val="8"/>
            <w:tcMar>
              <w:top w:w="60" w:type="dxa"/>
              <w:left w:w="135" w:type="dxa"/>
              <w:bottom w:w="60" w:type="dxa"/>
              <w:right w:w="135" w:type="dxa"/>
            </w:tcMar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Strategické otázky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Zprávy a doporučení</w:t>
            </w:r>
            <w:r>
              <w:rPr>
                <w:noProof/>
              </w:rPr>
              <w:t xml:space="preserve"> </w:t>
            </w:r>
            <w:r>
              <w:rPr>
                <w:b/>
                <w:noProof/>
                <w:color w:val="000000" w:themeColor="text1"/>
                <w:sz w:val="20"/>
              </w:rPr>
              <w:t>výborů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9.1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Stálý</w:t>
            </w:r>
            <w:r>
              <w:rPr>
                <w:noProof/>
                <w:color w:val="000000" w:themeColor="text1"/>
                <w:sz w:val="20"/>
              </w:rPr>
              <w:t xml:space="preserve"> výbor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46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9.1.1</w:t>
            </w:r>
          </w:p>
        </w:tc>
        <w:tc>
          <w:tcPr>
            <w:tcW w:w="23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předsedy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9.1.1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46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9.1.2</w:t>
            </w:r>
          </w:p>
        </w:tc>
        <w:tc>
          <w:tcPr>
            <w:tcW w:w="23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Volba nových regionálních a náhradních regionálních členů 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9.2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Výbor pro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zvířata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46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9.2.1</w:t>
            </w:r>
          </w:p>
        </w:tc>
        <w:tc>
          <w:tcPr>
            <w:tcW w:w="23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předsedy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46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9.2.2</w:t>
            </w:r>
          </w:p>
        </w:tc>
        <w:tc>
          <w:tcPr>
            <w:tcW w:w="23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Volba nových regionálních a náhradních regionálních členů 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9.3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Výbor pro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rostliny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46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9.3.1</w:t>
            </w:r>
          </w:p>
        </w:tc>
        <w:tc>
          <w:tcPr>
            <w:tcW w:w="23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předsedy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9.3.1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46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9.3.2</w:t>
            </w:r>
          </w:p>
        </w:tc>
        <w:tc>
          <w:tcPr>
            <w:tcW w:w="23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Volba nových regionálních a náhradních </w:t>
            </w:r>
            <w:r>
              <w:rPr>
                <w:noProof/>
                <w:color w:val="000000" w:themeColor="text1"/>
                <w:sz w:val="20"/>
              </w:rPr>
              <w:t>regionálních členů 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Strategická vize</w:t>
            </w:r>
            <w:r>
              <w:rPr>
                <w:noProof/>
                <w:color w:val="000000" w:themeColor="text1"/>
                <w:sz w:val="20"/>
              </w:rPr>
              <w:t xml:space="preserve"> pro úmluvu CITES po roce 2020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10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Podpora přijetí revidované strategické vize; dát sek. za úkol porovnat cíle se stávajícími rozhodnutími a usneseními; pověřit SV prací </w:t>
            </w:r>
            <w:r>
              <w:rPr>
                <w:noProof/>
                <w:color w:val="000000" w:themeColor="text1"/>
                <w:sz w:val="20"/>
              </w:rPr>
              <w:t>na ukazatelích.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Přezkum úmluvy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CO, NA, ZW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Otevírá několik důležitých otázek týkající se způsobů obživy a přezkumu příloh. Současná podoba a oblast působnosti návrhu se však jeví jako neobjektivní, protože vychází z historických úvah bez důkladného zohlednění stále složitějších problémů v oblasti o</w:t>
            </w:r>
            <w:r>
              <w:rPr>
                <w:noProof/>
                <w:color w:val="000000" w:themeColor="text1"/>
                <w:sz w:val="20"/>
              </w:rPr>
              <w:t>bchodu s volně žijícími a planě rostoucími druhy a jejich ochrany, a to i vzhledem k možným dalekosáhlým důsledkům. Adresáti návrhů rozhodnutí nejsou uvedeni. Je zapotřebí další diskuse i v souvislosti s ostatními návrhy týkajícími se venkovských společens</w:t>
            </w:r>
            <w:r>
              <w:rPr>
                <w:noProof/>
                <w:color w:val="000000" w:themeColor="text1"/>
                <w:sz w:val="20"/>
              </w:rPr>
              <w:t xml:space="preserve">tví atd. (body 17 a 18) a s ohledem na požadavky na zdroje.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Zajištění lepšího provádění v souvislosti se </w:t>
            </w:r>
            <w:r>
              <w:rPr>
                <w:b/>
                <w:noProof/>
                <w:color w:val="000000" w:themeColor="text1"/>
                <w:sz w:val="20"/>
              </w:rPr>
              <w:t>zařazením mořských druhů ryb na seznam</w:t>
            </w:r>
            <w:r>
              <w:rPr>
                <w:noProof/>
                <w:color w:val="000000" w:themeColor="text1"/>
                <w:sz w:val="20"/>
              </w:rPr>
              <w:t xml:space="preserve"> v přílohách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AG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Uznat, že je stále třeba podporovat účinnější provádění v souvislosti se zařazením mořských živočichů na seznam. Přezkum účinnosti předchozích zařazení na seznam by se však měl zaměřit na konkrétní případy s jasným odůvodněním a spíše využít stávající mech</w:t>
            </w:r>
            <w:r>
              <w:rPr>
                <w:noProof/>
                <w:color w:val="000000" w:themeColor="text1"/>
                <w:sz w:val="20"/>
              </w:rPr>
              <w:t xml:space="preserve">anismy a doporučení na základě předchozích přezkumů, než zavádět nový postup ad hoc. Nesouhlasit s „embargem“ na nová zařazení jakýchkoli druhů na seznam; důležité je, zda jsou splněna kritéria pro zařazení na seznam.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Revize usnesení Conf. 11.1 (Re</w:t>
            </w:r>
            <w:r>
              <w:rPr>
                <w:noProof/>
                <w:color w:val="000000" w:themeColor="text1"/>
                <w:sz w:val="20"/>
              </w:rPr>
              <w:t>v. CoP17) o 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zřízení výborů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13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SV/sek.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navrhované nové usnesení; změny navrhované sekretariátem vyžadují další posouzení.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Možný </w:t>
            </w:r>
            <w:r>
              <w:rPr>
                <w:b/>
                <w:noProof/>
                <w:color w:val="000000" w:themeColor="text1"/>
                <w:sz w:val="20"/>
              </w:rPr>
              <w:t>střet zájmů</w:t>
            </w:r>
            <w:r>
              <w:rPr>
                <w:noProof/>
                <w:color w:val="000000" w:themeColor="text1"/>
                <w:sz w:val="20"/>
              </w:rPr>
              <w:t xml:space="preserve"> ve výboru pro zvířata a výboru pro rostliny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Stálý výbor na svém 70. </w:t>
            </w:r>
            <w:r>
              <w:rPr>
                <w:noProof/>
                <w:color w:val="000000" w:themeColor="text1"/>
                <w:sz w:val="20"/>
              </w:rPr>
              <w:t>zasedání přijal standardní formulář pro podávání prohlášení o zájmech; podpora pro zrušení rozhodnutí 16.09 a 16.10.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Spolupráce</w:t>
            </w:r>
            <w:r>
              <w:rPr>
                <w:noProof/>
                <w:color w:val="000000" w:themeColor="text1"/>
                <w:sz w:val="20"/>
              </w:rPr>
              <w:t xml:space="preserve"> s organizacemi a mnohostrannými environmentálními dohodami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15.1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Spolupráce s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jinými úmluvami v oblasti biologické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 xml:space="preserve"> rozmanitosti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15.1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obnovení rozhodnutí 17.55 a 17.56.</w:t>
            </w:r>
          </w:p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Synergie mezi biologickou ochranou a mnohostrannými environmentálními dohodami by měly být i nadále posilovány a je vhodné, aby stálý výbor pokračoval v přezkumu.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15.2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Komise</w:t>
            </w:r>
            <w:r>
              <w:rPr>
                <w:noProof/>
                <w:color w:val="000000" w:themeColor="text1"/>
                <w:sz w:val="20"/>
              </w:rPr>
              <w:t xml:space="preserve"> pro zachování živých mořských zdrojů v Antarktidě (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CCAMLR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15.2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změny usnesení Conf.12.4 navržené společně sekretariáty úmluvy CITES a komise CCAMLR.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15.3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Celosvětová strategie pro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ochranu rostlin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15,3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</w:t>
            </w:r>
            <w:r>
              <w:rPr>
                <w:noProof/>
                <w:color w:val="000000" w:themeColor="text1"/>
                <w:sz w:val="20"/>
              </w:rPr>
              <w:t>nové návrhy rozhodnutí nahrazující rozhodnutí 17.53 a 17.54.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15.4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Mezivládní vědecko-politická platforma pro biologickou rozmanitost a ekosystémové služby (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IPBES</w:t>
            </w:r>
            <w:r>
              <w:rPr>
                <w:noProof/>
                <w:color w:val="000000" w:themeColor="text1"/>
                <w:sz w:val="20"/>
              </w:rPr>
              <w:t>)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15,4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SV/sek.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 usnesení o </w:t>
            </w:r>
            <w:r>
              <w:rPr>
                <w:i/>
                <w:noProof/>
                <w:color w:val="000000" w:themeColor="text1"/>
                <w:sz w:val="20"/>
              </w:rPr>
              <w:t xml:space="preserve"> spolupráci s Mezivládní vědecko-politickou platformou pro biologickou rozmanitost a ekosystémové služby </w:t>
            </w:r>
            <w:r>
              <w:rPr>
                <w:noProof/>
                <w:color w:val="000000" w:themeColor="text1"/>
                <w:sz w:val="20"/>
              </w:rPr>
              <w:t xml:space="preserve">v příloze 3 tohoto dokumentu. 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634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15.5</w:t>
            </w:r>
          </w:p>
        </w:tc>
        <w:tc>
          <w:tcPr>
            <w:tcW w:w="3097" w:type="dxa"/>
            <w:gridSpan w:val="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Mezinárodní sdružení pro boj proti trestné činnosti poškozující volně žijící a planě rostoucí druhy (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ICCWC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15,5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výzvu smluvním stranám, aby pokračovaly ve financování činností sdružení ICCWC.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15.6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Spolupráce mezi úmluvou CITES a Úmluvou o </w:t>
            </w:r>
            <w:r>
              <w:rPr>
                <w:b/>
                <w:noProof/>
                <w:color w:val="000000" w:themeColor="text1"/>
                <w:sz w:val="20"/>
              </w:rPr>
              <w:t>ochraně světového kulturního a přírodního dědictví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15.6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Norsko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návrh </w:t>
            </w:r>
            <w:r>
              <w:rPr>
                <w:noProof/>
                <w:color w:val="000000" w:themeColor="text1"/>
                <w:sz w:val="20"/>
              </w:rPr>
              <w:t>usnesení (který vyzývá k vypracování memoranda o porozumění mezi Úmluvou o ochraně světového kulturního a přírodního dědictví a úmluvou CITES) a návrh rozhodnutí uvedeného v přílohách 1 a 2.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Program úmluvy CITES pro druhy </w:t>
            </w:r>
            <w:r>
              <w:rPr>
                <w:b/>
                <w:noProof/>
                <w:color w:val="000000" w:themeColor="text1"/>
                <w:sz w:val="20"/>
              </w:rPr>
              <w:t>stromů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Dokument nebyl ke </w:t>
            </w:r>
            <w:r>
              <w:rPr>
                <w:i/>
                <w:noProof/>
                <w:color w:val="000000" w:themeColor="text1"/>
                <w:sz w:val="20"/>
              </w:rPr>
              <w:t>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Venkovská společenství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se souvisejícími návrhy v rámci bodu 18.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17.1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stálého výboru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17.1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SV/sek.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Lze podpořit návrh sekretariátu na změnu usnesení Conf. 16.6 o </w:t>
            </w:r>
            <w:r>
              <w:rPr>
                <w:i/>
                <w:noProof/>
                <w:color w:val="000000" w:themeColor="text1"/>
                <w:sz w:val="20"/>
              </w:rPr>
              <w:t>způsobech obživy</w:t>
            </w:r>
            <w:r>
              <w:rPr>
                <w:noProof/>
                <w:color w:val="000000" w:themeColor="text1"/>
                <w:sz w:val="20"/>
              </w:rPr>
              <w:t xml:space="preserve">.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Návrh na zrušení rozhodnutí ze zasedání CoP 17 by mohl být předčasný; může být vyžadována další práce mezi zasedáními (připojit k pracovní skupině zabývající se způsoby obživy?).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17.2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Navrhované změny usnesení Conf. 4.6 (Rev. CoP17) [</w:t>
            </w:r>
            <w:r>
              <w:rPr>
                <w:i/>
                <w:noProof/>
                <w:color w:val="000000" w:themeColor="text1"/>
                <w:sz w:val="20"/>
              </w:rPr>
              <w:t>Předložení návrhů</w:t>
            </w:r>
            <w:r>
              <w:rPr>
                <w:i/>
                <w:noProof/>
                <w:color w:val="000000" w:themeColor="text1"/>
                <w:sz w:val="20"/>
              </w:rPr>
              <w:t xml:space="preserve"> usnesení</w:t>
            </w:r>
            <w:r>
              <w:rPr>
                <w:noProof/>
                <w:color w:val="000000" w:themeColor="text1"/>
                <w:sz w:val="20"/>
              </w:rPr>
              <w:t xml:space="preserve">] a usnesení Conf. 9.24 (Rev. CoP17).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17.2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NA, ZW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Navrhovaná změna usnesení 4.6 ve své nynější podobě se jeví, že je na nesprávném místě, protože usnesení se jinak zaměřuje na formální náležitosti a postupy pro předkládání návrhů.</w:t>
            </w:r>
          </w:p>
          <w:p w:rsidR="001F017F" w:rsidRDefault="00FE7689">
            <w:pPr>
              <w:suppressAutoHyphens/>
              <w:spacing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Jakékoli změny usnesení 9.24 by přinejmenším měly vyjasnit zeměpisný rozsah konzultací s venkovskými společenstvími, tj. každou smluvní stranou na jejím území; požadovat další diskusi. </w:t>
            </w:r>
          </w:p>
          <w:p w:rsidR="001F017F" w:rsidRDefault="00FE7689">
            <w:pPr>
              <w:suppressAutoHyphens/>
              <w:spacing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dokumentem 18.3.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17.3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Participační </w:t>
            </w:r>
            <w:r>
              <w:rPr>
                <w:noProof/>
                <w:color w:val="000000" w:themeColor="text1"/>
                <w:sz w:val="20"/>
              </w:rPr>
              <w:t>mechanismus pro venkovská společenství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BW, CO, NA, ZW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Nesouhlasit s vytvořením stálého výboru pro venkovská společenství; zvážit alternativní způsoby, jak vyslyšet názory venkovských společenství.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Úmluva CITES a </w:t>
            </w:r>
            <w:r>
              <w:rPr>
                <w:b/>
                <w:noProof/>
                <w:color w:val="000000" w:themeColor="text1"/>
                <w:sz w:val="20"/>
              </w:rPr>
              <w:t>způsoby obživy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Projednat společně </w:t>
            </w:r>
            <w:r>
              <w:rPr>
                <w:i/>
                <w:noProof/>
                <w:color w:val="000000" w:themeColor="text1"/>
                <w:sz w:val="20"/>
              </w:rPr>
              <w:t>se souvisejícími návrhy v rámci bodu 17.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18.1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sekretariátu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18.1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opětovné zřízení pracovní skupiny, vypracování pokynů prostřednictvím konzultací, k projednání na zasedání CoP 19.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18.2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 Peru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18.2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PE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Lze schválit pokračování pracovní skupiny, ale zpochybnit návrh přidat do jejího mandátu práci na možném systému pro potvrzení „výrobků z druhů uvedených na seznamu úmluvy CITES vyráběných venkovskými společenstvími, které jsou v souladu s ustanoveními úm</w:t>
            </w:r>
            <w:r>
              <w:rPr>
                <w:noProof/>
                <w:color w:val="000000" w:themeColor="text1"/>
                <w:sz w:val="20"/>
              </w:rPr>
              <w:t>luvy CITES“.</w:t>
            </w:r>
          </w:p>
          <w:p w:rsidR="001F017F" w:rsidRDefault="00FE7689">
            <w:pPr>
              <w:suppressAutoHyphens/>
              <w:spacing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lze také schválit vyhlášení „Mezinárodního dne způsobů obživy ve venkovských společenstvích“, přičemž však pro tento účel nemusí být zapotřebí zvláštní usnesení; zvážit také důsledky pro zdroje.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18.3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Navrhované změny usnesení Conf. 9.24 (Rev. CoP17).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18.3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CN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Lze zvážit myšlenku zahrnout nějaký druh „analýz životních podmínek“ do odůvodnění návrhů na zařazení na seznam (usnesení Conf. 9.24, příloha 6), možnost se jeví zatím nedostatečně připravená na to, aby o ní bylo rozhodnuto na zasedání CoP 18; navrhované z</w:t>
            </w:r>
            <w:r>
              <w:rPr>
                <w:noProof/>
                <w:color w:val="000000" w:themeColor="text1"/>
                <w:sz w:val="20"/>
              </w:rPr>
              <w:t xml:space="preserve">nění je částečně nejasné. </w:t>
            </w:r>
          </w:p>
          <w:p w:rsidR="001F017F" w:rsidRDefault="00FE7689">
            <w:pPr>
              <w:suppressAutoHyphens/>
              <w:spacing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dokumentem 17.2.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(0)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Potravinové zabezpečení</w:t>
            </w:r>
            <w:r>
              <w:rPr>
                <w:noProof/>
                <w:color w:val="000000" w:themeColor="text1"/>
                <w:sz w:val="20"/>
              </w:rPr>
              <w:t xml:space="preserve"> a způsoby obživy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Nesouhlasit s obnovením rozhodnutí, jelikož pracovní skupina nepokročila a velmi podobné otázky se řeší v rámci </w:t>
            </w:r>
            <w:r>
              <w:rPr>
                <w:noProof/>
                <w:color w:val="000000" w:themeColor="text1"/>
                <w:sz w:val="20"/>
              </w:rPr>
              <w:t>„venkovských společenství“ a „způsobů obživy“; podpořit připomínky sekretariátu.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Strategie pro snižování poptávky</w:t>
            </w:r>
            <w:r>
              <w:rPr>
                <w:noProof/>
                <w:color w:val="000000" w:themeColor="text1"/>
                <w:sz w:val="20"/>
              </w:rPr>
              <w:t xml:space="preserve"> v zájmu boje proti nezákonnému obchodu s druhy uvedenými na seznamu úmluvy CITES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20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přijetí návrhů rozhodnutí u</w:t>
            </w:r>
            <w:r>
              <w:rPr>
                <w:noProof/>
                <w:color w:val="000000" w:themeColor="text1"/>
                <w:sz w:val="20"/>
              </w:rPr>
              <w:t>vedených v příloze 1 a souhlasit se zrušením rozhodnutí 17.44 až 17.48.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Vytváření kapacit</w:t>
            </w:r>
            <w:r>
              <w:rPr>
                <w:noProof/>
                <w:color w:val="000000" w:themeColor="text1"/>
                <w:sz w:val="20"/>
              </w:rPr>
              <w:t xml:space="preserve"> a identifikační materiály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21.1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Vytváření kapacit a identifikační materiály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21.1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VZ/VR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rozhodnutí o zřízení společné pracovní</w:t>
            </w:r>
            <w:r>
              <w:rPr>
                <w:noProof/>
                <w:color w:val="000000" w:themeColor="text1"/>
                <w:sz w:val="20"/>
              </w:rPr>
              <w:t xml:space="preserve"> skupiny VZ/VR pro identifikační materiály; také PODPOŘIT návrh sek. na zrušení rozhodnutí uvedených v bodě 54.1.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21.2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Činnosti spojené s vytvářením kapacit uvedené v usneseních a rozhodnutích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21.2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přijetí návrhů rozhodnutí </w:t>
            </w:r>
            <w:r>
              <w:rPr>
                <w:noProof/>
                <w:color w:val="000000" w:themeColor="text1"/>
                <w:sz w:val="20"/>
              </w:rPr>
              <w:t>(revize, vylepšení internetových stránek úmluvy CITES, online kurzy Virtual College), přičemž sek. navrhne změny.</w:t>
            </w:r>
          </w:p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dokumenty 21.3, 28 a 29.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21.3</w:t>
            </w:r>
          </w:p>
        </w:tc>
        <w:tc>
          <w:tcPr>
            <w:tcW w:w="2971" w:type="dxa"/>
            <w:gridSpan w:val="2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Rámec pro usnadnění koordinace, transparentnosti a odpovědnosti v rámci snah úmluvy CITES v oblasti vytváření kapacit.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21.3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US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Cenná iniciativa, ale přijetí návrhu usnesení a rámce na zasedání CoP 18 se jeví jako předčasné. Místo toho podpořit </w:t>
            </w:r>
            <w:r>
              <w:rPr>
                <w:noProof/>
                <w:color w:val="000000" w:themeColor="text1"/>
                <w:sz w:val="20"/>
              </w:rPr>
              <w:t>začlenění příslušných prvků do bodu 21.2, jak navrhuje sek., k projednání SV a na zasedání CoP 19.</w:t>
            </w:r>
          </w:p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dokumenty 21.2 a 28.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Světový den OSN </w:t>
            </w:r>
            <w:r>
              <w:rPr>
                <w:b/>
                <w:noProof/>
                <w:color w:val="000000" w:themeColor="text1"/>
                <w:sz w:val="20"/>
              </w:rPr>
              <w:t>volně žijících a planě rostoucích druhů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změn usnesení Conf. 17.1, v němž</w:t>
            </w:r>
            <w:r>
              <w:rPr>
                <w:noProof/>
                <w:color w:val="000000" w:themeColor="text1"/>
                <w:sz w:val="20"/>
              </w:rPr>
              <w:t xml:space="preserve"> jsou smluvní strany a státy, které nejsou smluvními stranami, vyzvány k určení jednoho ústředního místa pro koordinaci oslavy Světového dne volně žijících a planě rostoucích druhů ve své zemi.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Zapojení</w:t>
            </w:r>
            <w:r>
              <w:rPr>
                <w:noProof/>
              </w:rPr>
              <w:t xml:space="preserve"> </w:t>
            </w:r>
            <w:r>
              <w:rPr>
                <w:b/>
                <w:noProof/>
                <w:color w:val="000000" w:themeColor="text1"/>
                <w:sz w:val="20"/>
              </w:rPr>
              <w:t>mládeže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23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navrhované</w:t>
            </w:r>
            <w:r>
              <w:rPr>
                <w:noProof/>
                <w:color w:val="000000" w:themeColor="text1"/>
                <w:sz w:val="20"/>
              </w:rPr>
              <w:t xml:space="preserve"> revize usnesení Conf. 17.5 o zapojení mládeže (příloha 1) a zrušení rozhodnutí 17.26 a 17.27.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 </w:t>
            </w:r>
          </w:p>
        </w:tc>
      </w:tr>
      <w:tr w:rsidR="001F017F">
        <w:trPr>
          <w:cantSplit/>
        </w:trPr>
        <w:tc>
          <w:tcPr>
            <w:tcW w:w="9207" w:type="dxa"/>
            <w:gridSpan w:val="8"/>
            <w:tcMar>
              <w:top w:w="60" w:type="dxa"/>
              <w:left w:w="135" w:type="dxa"/>
              <w:bottom w:w="60" w:type="dxa"/>
              <w:right w:w="135" w:type="dxa"/>
            </w:tcMar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Otázky výkladu a provádění</w:t>
            </w:r>
          </w:p>
        </w:tc>
      </w:tr>
      <w:tr w:rsidR="001F017F">
        <w:trPr>
          <w:cantSplit/>
        </w:trPr>
        <w:tc>
          <w:tcPr>
            <w:tcW w:w="4382" w:type="dxa"/>
            <w:gridSpan w:val="5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Stávající usnesení a rozhodnutí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Přezkum </w:t>
            </w:r>
            <w:r>
              <w:rPr>
                <w:b/>
                <w:noProof/>
                <w:color w:val="000000" w:themeColor="text1"/>
                <w:sz w:val="20"/>
              </w:rPr>
              <w:t>usnesení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24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Obecně podpořit změny usnesení Conf. 4.6, </w:t>
            </w:r>
            <w:r>
              <w:rPr>
                <w:i/>
                <w:noProof/>
                <w:color w:val="000000" w:themeColor="text1"/>
                <w:sz w:val="20"/>
              </w:rPr>
              <w:t>Předložení dokumentů</w:t>
            </w:r>
            <w:r>
              <w:rPr>
                <w:noProof/>
                <w:color w:val="000000" w:themeColor="text1"/>
                <w:sz w:val="20"/>
              </w:rPr>
              <w:t xml:space="preserve"> (včetně rozhodnutí o centralizovaném financování); přezkoumat navrhované začlenění rozhodnutí 14.19. Podpořit změny usnesení 12.8 </w:t>
            </w:r>
            <w:r>
              <w:rPr>
                <w:i/>
                <w:noProof/>
                <w:color w:val="000000" w:themeColor="text1"/>
                <w:sz w:val="20"/>
              </w:rPr>
              <w:t>Přezkum významného obchodu</w:t>
            </w:r>
            <w:r>
              <w:rPr>
                <w:noProof/>
                <w:color w:val="000000" w:themeColor="text1"/>
                <w:sz w:val="20"/>
              </w:rPr>
              <w:t xml:space="preserve"> (dle 70. zasedání SV) a 14.3 </w:t>
            </w:r>
            <w:r>
              <w:rPr>
                <w:i/>
                <w:noProof/>
                <w:color w:val="000000" w:themeColor="text1"/>
                <w:sz w:val="20"/>
              </w:rPr>
              <w:t>Postupy pro dodržování úmluvy</w:t>
            </w:r>
            <w:r>
              <w:rPr>
                <w:noProof/>
                <w:color w:val="000000" w:themeColor="text1"/>
                <w:sz w:val="20"/>
              </w:rPr>
              <w:t xml:space="preserve"> (včetně usnesení 10</w:t>
            </w:r>
            <w:r>
              <w:rPr>
                <w:noProof/>
                <w:color w:val="000000" w:themeColor="text1"/>
                <w:sz w:val="20"/>
              </w:rPr>
              <w:t>.10).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Přezkum </w:t>
            </w:r>
            <w:r>
              <w:rPr>
                <w:b/>
                <w:noProof/>
                <w:color w:val="000000" w:themeColor="text1"/>
                <w:sz w:val="20"/>
              </w:rPr>
              <w:t>rozhodnutí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 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4382" w:type="dxa"/>
            <w:gridSpan w:val="5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Obecné dodržování a prosazování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Vnitrostátní právní předpisy</w:t>
            </w:r>
            <w:r>
              <w:rPr>
                <w:noProof/>
                <w:color w:val="000000" w:themeColor="text1"/>
                <w:sz w:val="20"/>
              </w:rPr>
              <w:t xml:space="preserve"> provádějící úmluvu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soubor rozhodnutí, ale požadovat jasnější lhůty a zvážit navržení </w:t>
            </w:r>
            <w:r>
              <w:rPr>
                <w:noProof/>
                <w:color w:val="000000" w:themeColor="text1"/>
                <w:sz w:val="20"/>
              </w:rPr>
              <w:t>dalších opatření k tomu, aby smluvní strany, jejichž právní předpisy spadají do kategorií 2 nebo 3, předkládaly sekretariátu podrobné informace o opatřeních pro účinné provádění úmluvy.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27.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Otázky </w:t>
            </w:r>
            <w:r>
              <w:rPr>
                <w:b/>
                <w:noProof/>
                <w:color w:val="000000" w:themeColor="text1"/>
                <w:sz w:val="20"/>
              </w:rPr>
              <w:t>dodržování</w:t>
            </w:r>
            <w:r>
              <w:rPr>
                <w:noProof/>
                <w:color w:val="000000" w:themeColor="text1"/>
                <w:sz w:val="20"/>
              </w:rPr>
              <w:t xml:space="preserve"> úmluvy CITES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sek.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Podpořit navrhované změ</w:t>
            </w:r>
            <w:r>
              <w:rPr>
                <w:noProof/>
                <w:color w:val="000000" w:themeColor="text1"/>
                <w:sz w:val="20"/>
              </w:rPr>
              <w:t>ny usnesení Conf. 11.3 (Rev. CoP17) a přijetí návrhů rozhodnutí, jejichž cílem je přezkoumat politiku úmluvy CITES v oblasti udělování povolení a související záležitosti týkající se dodržování úmluvy.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Program pro </w:t>
            </w:r>
            <w:r>
              <w:rPr>
                <w:b/>
                <w:noProof/>
                <w:color w:val="000000" w:themeColor="text1"/>
                <w:sz w:val="20"/>
              </w:rPr>
              <w:t>pomoc s dodržováním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Obecně </w:t>
            </w:r>
            <w:r>
              <w:rPr>
                <w:noProof/>
                <w:color w:val="000000" w:themeColor="text1"/>
                <w:sz w:val="20"/>
              </w:rPr>
              <w:t>podpořit soubor rozhodnutí zaměřených na vytvoření programu pro pomoc s dodržováním s cílem pomoci smluvním stranám s dlouhodobými problémy při dodržování úmluvy a souvisejících doporučení Stálého výboru. Přesto zpochybnit rozpočtové důsledky související s</w:t>
            </w:r>
            <w:r>
              <w:rPr>
                <w:noProof/>
                <w:color w:val="000000" w:themeColor="text1"/>
                <w:sz w:val="20"/>
              </w:rPr>
              <w:t> vytvořením programu.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dokumentem 21 a s rozpočtovými dokumenty.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Celostátní přezkumy</w:t>
            </w:r>
            <w:r>
              <w:rPr>
                <w:noProof/>
                <w:color w:val="000000" w:themeColor="text1"/>
                <w:sz w:val="20"/>
              </w:rPr>
              <w:t xml:space="preserve"> významného obchodu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29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VZ/VR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mandát sek. k provádění analýz a mandát výborů k posuzování možností, vydávání doporučení </w:t>
            </w:r>
            <w:r>
              <w:rPr>
                <w:noProof/>
                <w:color w:val="000000" w:themeColor="text1"/>
                <w:sz w:val="20"/>
              </w:rPr>
              <w:t>pro zasedání CoP 19.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Dodržování úmluvy v případě ebenů (</w:t>
            </w:r>
            <w:r>
              <w:rPr>
                <w:i/>
                <w:noProof/>
                <w:color w:val="000000" w:themeColor="text1"/>
                <w:sz w:val="20"/>
              </w:rPr>
              <w:t>Diospyros</w:t>
            </w:r>
            <w:r>
              <w:rPr>
                <w:noProof/>
                <w:color w:val="000000" w:themeColor="text1"/>
                <w:sz w:val="20"/>
              </w:rPr>
              <w:t xml:space="preserve"> spp.) a palisandrů a růžových dřev (</w:t>
            </w:r>
            <w:r>
              <w:rPr>
                <w:i/>
                <w:noProof/>
                <w:color w:val="000000" w:themeColor="text1"/>
                <w:sz w:val="20"/>
              </w:rPr>
              <w:t>Dalbergia</w:t>
            </w:r>
            <w:r>
              <w:rPr>
                <w:noProof/>
                <w:color w:val="000000" w:themeColor="text1"/>
                <w:sz w:val="20"/>
              </w:rPr>
              <w:t xml:space="preserve"> spp.) </w:t>
            </w:r>
            <w:r>
              <w:rPr>
                <w:b/>
                <w:noProof/>
                <w:color w:val="000000" w:themeColor="text1"/>
                <w:sz w:val="20"/>
              </w:rPr>
              <w:t>z Madagaskaru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30.1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Madagaskaru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Vzít na vědomí.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dokumentem 30.2.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30.2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stálého výboru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30.2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Podpořit, ale i nadále dbát na to, že je třeba nesoustředit veškeré diskuse na plán využití, který navrhl Madagaskar. Vyzvat k důraznému zaměření na potřebu významnějšího úsilí při prosazování úmluvy, aby bylo možné</w:t>
            </w:r>
            <w:r>
              <w:rPr>
                <w:noProof/>
                <w:color w:val="000000" w:themeColor="text1"/>
                <w:sz w:val="20"/>
              </w:rPr>
              <w:t xml:space="preserve"> bojovat proti nezákonné těžbě dřeva a rozbíjet sítě nezákonných obchodníků. Navrhnout změnu návrhu rozhodnutí 18.BB, aby zohledňovalo doporučení Úřadu OSN pro drogy a kriminalitu z roku 2017 v této oblasti, a vložit preventivní znění s cílem zajistit, že </w:t>
            </w:r>
            <w:r>
              <w:rPr>
                <w:noProof/>
                <w:color w:val="000000" w:themeColor="text1"/>
                <w:sz w:val="20"/>
              </w:rPr>
              <w:t>jakékoli budoucí plány využití budou dostatečně bezpečné.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Domácí trhy</w:t>
            </w:r>
            <w:r>
              <w:rPr>
                <w:noProof/>
                <w:color w:val="000000" w:themeColor="text1"/>
                <w:sz w:val="20"/>
              </w:rPr>
              <w:t xml:space="preserve"> pro často nezákonně obchodované exempláře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31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navrhovanou změnu usnesení Conf. 10.10 (Rev. CoP17) a návrh revidovaných rozhodnutí 17.87–17.88, včetně </w:t>
            </w:r>
            <w:r>
              <w:rPr>
                <w:noProof/>
                <w:color w:val="000000" w:themeColor="text1"/>
                <w:sz w:val="20"/>
              </w:rPr>
              <w:t>vnitrostátních kontrol výrobků z volně žijících a planě rostoucích druhů jiných než slonovina.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Otázky</w:t>
            </w:r>
            <w:r>
              <w:rPr>
                <w:noProof/>
              </w:rPr>
              <w:t xml:space="preserve"> </w:t>
            </w:r>
            <w:r>
              <w:rPr>
                <w:b/>
                <w:noProof/>
                <w:color w:val="000000" w:themeColor="text1"/>
                <w:sz w:val="20"/>
              </w:rPr>
              <w:t>prosazování</w:t>
            </w:r>
            <w:r>
              <w:rPr>
                <w:noProof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>CoP18 Doc. 32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předkládané návrhy rozhodnutí a navrhovanou změnu usnesení Conf. 11.3 (Rev.COP17). Souhlasit se zrušením </w:t>
            </w:r>
            <w:r>
              <w:rPr>
                <w:noProof/>
                <w:color w:val="000000" w:themeColor="text1"/>
                <w:sz w:val="20"/>
              </w:rPr>
              <w:t>rozhodnutí 17.83 až 17.85.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Boj s </w:t>
            </w:r>
            <w:r>
              <w:rPr>
                <w:b/>
                <w:noProof/>
                <w:color w:val="000000" w:themeColor="text1"/>
                <w:sz w:val="20"/>
              </w:rPr>
              <w:t>počítačovou trestnou činností</w:t>
            </w:r>
            <w:r>
              <w:rPr>
                <w:noProof/>
                <w:color w:val="000000" w:themeColor="text1"/>
                <w:sz w:val="20"/>
              </w:rPr>
              <w:t xml:space="preserve"> v oblasti volně žijících a planě rostoucích druhů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33.1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sekretariátu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33.1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překládané návrhy rozhodnutí.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33.2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stálého výboru </w:t>
            </w:r>
            <w:r>
              <w:rPr>
                <w:noProof/>
                <w:color w:val="000000" w:themeColor="text1"/>
                <w:sz w:val="20"/>
                <w:u w:val="single"/>
              </w:rPr>
              <w:t xml:space="preserve">CoP18 </w:t>
            </w:r>
            <w:r>
              <w:rPr>
                <w:noProof/>
                <w:color w:val="000000" w:themeColor="text1"/>
                <w:sz w:val="20"/>
                <w:u w:val="single"/>
              </w:rPr>
              <w:t>Doc. 33.2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navrhované změny usnesení Conf. 11.3 (Rev. COP17) a přijetí návrhů rozhodnutí ve znění pozměněném sekretariátem. Souhlasit se zrušením rozhodnutí 17.94 až 17.96.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Podpora sankcionování trestné činnosti v oblasti volně žijících a </w:t>
            </w:r>
            <w:r>
              <w:rPr>
                <w:noProof/>
                <w:color w:val="000000" w:themeColor="text1"/>
                <w:sz w:val="20"/>
              </w:rPr>
              <w:t>planě rostoucích druhů v </w:t>
            </w:r>
            <w:r>
              <w:rPr>
                <w:b/>
                <w:noProof/>
                <w:color w:val="000000" w:themeColor="text1"/>
                <w:sz w:val="20"/>
              </w:rPr>
              <w:t>západní a střední Africe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Nakládání se </w:t>
            </w:r>
            <w:r>
              <w:rPr>
                <w:b/>
                <w:noProof/>
                <w:color w:val="000000" w:themeColor="text1"/>
                <w:sz w:val="20"/>
              </w:rPr>
              <w:t xml:space="preserve">zabavenými exempláři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35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zrušení rozhodnutí 17.118 a 17.119 a přijetí předkládaných návrhů rozhodnutí. Nesouhlasit s jakýmikoli dodatky, které by mohly ohrozit citlivé informace o záchranných stanicích, nebo by vedly k dodatečným povinnostem pro smluvní strany. Také nesou</w:t>
            </w:r>
            <w:r>
              <w:rPr>
                <w:noProof/>
                <w:color w:val="000000" w:themeColor="text1"/>
                <w:sz w:val="20"/>
              </w:rPr>
              <w:t xml:space="preserve">hlasit s případným obnovením pracovní skupiny SV.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Uchovávání a správa </w:t>
            </w:r>
            <w:r>
              <w:rPr>
                <w:b/>
                <w:noProof/>
                <w:color w:val="000000" w:themeColor="text1"/>
                <w:sz w:val="20"/>
              </w:rPr>
              <w:t>údajů o nezákonném obchodu</w:t>
            </w:r>
            <w:r>
              <w:rPr>
                <w:noProof/>
                <w:color w:val="000000" w:themeColor="text1"/>
                <w:sz w:val="20"/>
              </w:rPr>
              <w:t xml:space="preserve"> shromážděných prostřednictvím výročních zpráv smluvních stran o nezákonném obchodu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36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Obecná podpora zásady systematičtějšího ukládání </w:t>
            </w:r>
            <w:r>
              <w:rPr>
                <w:noProof/>
                <w:color w:val="000000" w:themeColor="text1"/>
                <w:sz w:val="20"/>
              </w:rPr>
              <w:t>a správy údajů o nezákonném obchodu shromážděných prostřednictvím výročních zpráv o nezákonném obchodu. Sdílet obavy sekretariátu, pokud jde o omezenou přidanou hodnotu takové databáze v případě, že není zaručeno dlouhodobé financování a pouze omezený poče</w:t>
            </w:r>
            <w:r>
              <w:rPr>
                <w:noProof/>
                <w:color w:val="000000" w:themeColor="text1"/>
                <w:sz w:val="20"/>
              </w:rPr>
              <w:t>t smluvních stran ve skutečnosti podává zprávy a poskytuje údaje. Zvážit navržení vyjádření, které by povzbudilo smluvní strany k systematičtějšímu předkládání výročních zpráv o nezákonném obchodu.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rozpočtovými dokumenty.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Prac</w:t>
            </w:r>
            <w:r>
              <w:rPr>
                <w:noProof/>
                <w:color w:val="000000" w:themeColor="text1"/>
                <w:sz w:val="20"/>
              </w:rPr>
              <w:t xml:space="preserve">ovní podmínky </w:t>
            </w:r>
            <w:r>
              <w:rPr>
                <w:b/>
                <w:noProof/>
                <w:color w:val="000000" w:themeColor="text1"/>
                <w:sz w:val="20"/>
              </w:rPr>
              <w:t>strážců</w:t>
            </w:r>
            <w:r>
              <w:rPr>
                <w:noProof/>
                <w:color w:val="000000" w:themeColor="text1"/>
                <w:sz w:val="20"/>
              </w:rPr>
              <w:t xml:space="preserve"> volně žijících a planě rostoucích druhů a jejich důsledky pro provádění úmluvy CITES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37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NP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Uvítat zprávu a uznat význam této otázky.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4382" w:type="dxa"/>
            <w:gridSpan w:val="5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Regulace obchodu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38.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Určení a úloha </w:t>
            </w:r>
            <w:r>
              <w:rPr>
                <w:b/>
                <w:noProof/>
                <w:color w:val="000000" w:themeColor="text1"/>
                <w:sz w:val="20"/>
              </w:rPr>
              <w:t>řídicích orgánů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38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Obecně </w:t>
            </w:r>
            <w:r>
              <w:rPr>
                <w:noProof/>
                <w:color w:val="000000" w:themeColor="text1"/>
                <w:sz w:val="20"/>
              </w:rPr>
              <w:t>podpořit navrhované usnesení. Potřeba bližšího prozkoumání některých aspektů textu.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Pokyny pro </w:t>
            </w:r>
            <w:r>
              <w:rPr>
                <w:b/>
                <w:noProof/>
                <w:color w:val="000000" w:themeColor="text1"/>
                <w:sz w:val="20"/>
              </w:rPr>
              <w:t>zjišťování zákonného získání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39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návrh usnesení.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>Projednat společně s dokumentem 40.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40.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Náležitá péče</w:t>
            </w:r>
            <w:r>
              <w:rPr>
                <w:noProof/>
                <w:color w:val="000000" w:themeColor="text1"/>
                <w:sz w:val="20"/>
              </w:rPr>
              <w:t xml:space="preserve"> smluvních stran úmluvy CITES a povinnosti dovážejících zemí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US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podpořit záměr a přístup. Potřeba bližšího prozkoumání některých aspektů navrhovaných změn usnesení Conf. 11.3.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Elektronické systémy</w:t>
            </w:r>
            <w:r>
              <w:rPr>
                <w:noProof/>
                <w:color w:val="000000" w:themeColor="text1"/>
                <w:sz w:val="20"/>
              </w:rPr>
              <w:t xml:space="preserve"> a informační technologie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41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předkládané návrhy rozhodnutí, které by nahradily rozhodnutí 17.156 až 17.159 s cílem posoudit užitečnost a proveditelnost </w:t>
            </w:r>
            <w:r>
              <w:rPr>
                <w:i/>
                <w:noProof/>
                <w:color w:val="000000" w:themeColor="text1"/>
                <w:sz w:val="20"/>
              </w:rPr>
              <w:t>rámce pro provádění úmluvy CITES elektronickou cestou (eCITES)</w:t>
            </w:r>
            <w:r>
              <w:rPr>
                <w:noProof/>
                <w:color w:val="000000" w:themeColor="text1"/>
                <w:sz w:val="20"/>
              </w:rPr>
              <w:t xml:space="preserve"> a obnovit mandát pracovní skupiny.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Sledovatelnost</w:t>
            </w:r>
            <w:r>
              <w:rPr>
                <w:noProof/>
                <w:color w:val="000000" w:themeColor="text1"/>
                <w:sz w:val="20"/>
              </w:rPr>
              <w:t xml:space="preserve"> CoP18 Doc. 42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sek., předseda SV, MX a CH jako předsedové pracovní skupiny pro sledovatelnost mezi zasedáními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Souhlasit s pracovní definicí sledovatelnosti v rámci úmluvy CITES a podpořit přijetí návrhů rozhodnutí uvedených v příloze 1, včetně změn navrhov</w:t>
            </w:r>
            <w:r>
              <w:rPr>
                <w:noProof/>
                <w:color w:val="000000" w:themeColor="text1"/>
                <w:sz w:val="20"/>
              </w:rPr>
              <w:t>aných sekretariátem.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Exempláře vzniklé ze </w:t>
            </w:r>
            <w:r>
              <w:rPr>
                <w:b/>
                <w:noProof/>
                <w:color w:val="000000" w:themeColor="text1"/>
                <w:sz w:val="20"/>
              </w:rPr>
              <w:t xml:space="preserve">syntetické nebo kultivované DNA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43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návrhy rozhodnutí ve znění navrženém sekretariátem, které nahrazují rozhodnutí 17.89–17.91, aby byly nadále posuzovány důsledky exemplářů vzniklých </w:t>
            </w:r>
            <w:r>
              <w:rPr>
                <w:noProof/>
                <w:color w:val="000000" w:themeColor="text1"/>
                <w:sz w:val="20"/>
              </w:rPr>
              <w:t>pomocí biotechnologií, které mohou mít dopad na výklad a provádění úmluvy. Některá rozhodnutí by mohlo být potřeba v zájmu jasnosti vylepšit.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Definice pojmu </w:t>
            </w:r>
            <w:r>
              <w:rPr>
                <w:b/>
                <w:noProof/>
                <w:color w:val="000000" w:themeColor="text1"/>
                <w:sz w:val="20"/>
              </w:rPr>
              <w:t>„vhodná a přijatelná místa určení“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44.1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stálého výboru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44.1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doporučení a návrhy rozhodnutí týkající se definice pojmu „vhodná a přijatelná místa určení“. Mohou být však nezbytné některé změny v textu, aby nedošlo k mylnému výkladu.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44.2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Mezinárodní obchod s živými slony africkými: Navrhovaná revize usnesení Conf. 11.20 (Rev. CoP17) o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definice pojmu „vhodná a přijatelná místa určení“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44.2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BF, JO, LB, LR, NE, NG, SD, SY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 dokumentu jsou navrženy změny usnesení Conf. 11.20, podle nichž mohou být živí sloni afričtí přesouvání pouze do programů na konzervaci </w:t>
            </w:r>
            <w:r>
              <w:rPr>
                <w:i/>
                <w:noProof/>
                <w:color w:val="000000" w:themeColor="text1"/>
                <w:sz w:val="20"/>
              </w:rPr>
              <w:t>in situ</w:t>
            </w:r>
            <w:r>
              <w:rPr>
                <w:noProof/>
                <w:color w:val="000000" w:themeColor="text1"/>
                <w:sz w:val="20"/>
              </w:rPr>
              <w:t xml:space="preserve"> v jejich přirozeném místě výskytu, čímž se vyloučí obchod se slony africkými odchycenými ve volné přírodě do m</w:t>
            </w:r>
            <w:r>
              <w:rPr>
                <w:noProof/>
                <w:color w:val="000000" w:themeColor="text1"/>
                <w:sz w:val="20"/>
              </w:rPr>
              <w:t xml:space="preserve">íst určení za účelem jejich využití v zajetí </w:t>
            </w:r>
            <w:r>
              <w:rPr>
                <w:i/>
                <w:noProof/>
                <w:color w:val="000000" w:themeColor="text1"/>
                <w:sz w:val="20"/>
              </w:rPr>
              <w:t>ex situ</w:t>
            </w:r>
            <w:r>
              <w:rPr>
                <w:noProof/>
                <w:color w:val="000000" w:themeColor="text1"/>
                <w:sz w:val="20"/>
              </w:rPr>
              <w:t>, a to i v případech, kdy by to bylo přínosné pro účely ochrany. Zvážit také v souvislosti se stávajícím režimem pro exempláře uvedené na seznamu v příloze 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Zjišťování, zda obchod nepředstavuje</w:t>
            </w:r>
            <w:r>
              <w:rPr>
                <w:noProof/>
              </w:rPr>
              <w:t xml:space="preserve"> </w:t>
            </w:r>
            <w:r>
              <w:rPr>
                <w:b/>
                <w:noProof/>
                <w:color w:val="000000" w:themeColor="text1"/>
                <w:sz w:val="20"/>
              </w:rPr>
              <w:t>hrozbu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45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předkládané návrhy rozhodnutí, jejichž cílem je řešit nedostatky a potřeby smluvních stran, pokud jde o zjišťování, zda obchod neohrožuje druhy, a podporu provádění usnesení Conf. 16.7 (Rev. CoP17). Podpora druhého </w:t>
            </w:r>
            <w:r>
              <w:rPr>
                <w:noProof/>
                <w:color w:val="000000" w:themeColor="text1"/>
                <w:sz w:val="20"/>
              </w:rPr>
              <w:t>mezinárodního pracovního setkání o zjišťování, zda obchod neohrožuje druhy.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Kvóty pro </w:t>
            </w:r>
            <w:r>
              <w:rPr>
                <w:b/>
                <w:noProof/>
                <w:color w:val="000000" w:themeColor="text1"/>
                <w:sz w:val="20"/>
              </w:rPr>
              <w:t>lovecké trofeje z leopardů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 Ke dni 13.2. nebyl k dispozici žádný dokument.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Zvýšení kvót pro </w:t>
            </w:r>
            <w:r>
              <w:rPr>
                <w:b/>
                <w:noProof/>
                <w:color w:val="000000" w:themeColor="text1"/>
                <w:sz w:val="20"/>
              </w:rPr>
              <w:t>lovecké trofeje z koz šrouborohých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47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PK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zvýšení kvót pro lovecké trofeje z koz šrouborohých v Pákistánu z 12 na 20 kusů ročně, pokud Pákistán poskytne více informací o tom, která nová společenství/oblasti se připojí ke komunitnímu programu loveckých trofejí. 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Projednat společně návrhem </w:t>
            </w:r>
            <w:r>
              <w:rPr>
                <w:i/>
                <w:noProof/>
                <w:color w:val="000000" w:themeColor="text1"/>
                <w:sz w:val="20"/>
              </w:rPr>
              <w:t>na zařazení do seznamu č. 1.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 xml:space="preserve">Lovecké trofeje z nosorožců </w:t>
            </w:r>
            <w:r>
              <w:rPr>
                <w:noProof/>
                <w:color w:val="000000" w:themeColor="text1"/>
                <w:sz w:val="20"/>
              </w:rPr>
              <w:t>černých: Vývozní kvóta pro Jižní Afriku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ZA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Navrhované zvýšení kvóty ze současných 5 dospělých samců nosorožce černého na maximálně 0,5 % celkové populace tohoto druhu v zemi se jeví jako </w:t>
            </w:r>
            <w:r>
              <w:rPr>
                <w:noProof/>
                <w:color w:val="000000" w:themeColor="text1"/>
                <w:sz w:val="20"/>
              </w:rPr>
              <w:t>rozumné, pokud Jižní Afrika každý rok zveřejní konkrétní kvótu (absolutní počet exemplářů).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Důsledky přesunu druhu do </w:t>
            </w:r>
            <w:r>
              <w:rPr>
                <w:b/>
                <w:noProof/>
                <w:color w:val="000000" w:themeColor="text1"/>
                <w:sz w:val="20"/>
              </w:rPr>
              <w:t>přílohy 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49.1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sekretariátu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49.1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změny usnesení Conf. 12.3, aby bylo jasné, že po </w:t>
            </w:r>
            <w:r>
              <w:rPr>
                <w:noProof/>
                <w:color w:val="000000" w:themeColor="text1"/>
                <w:sz w:val="20"/>
              </w:rPr>
              <w:t xml:space="preserve">přeřazení druhu výše do seznamu se použijí pravidla platná v době obchodování (nikoli v okamžiku získání), a usnesení Conf. 13.6. Dále zanalyzovat návrh na přidání nového odstavce (11) do usnesení Conf.12.3 a návrh rozhodnutí, podle kterého by stálý výbor </w:t>
            </w:r>
            <w:r>
              <w:rPr>
                <w:noProof/>
                <w:color w:val="000000" w:themeColor="text1"/>
                <w:sz w:val="20"/>
              </w:rPr>
              <w:t>zvážil, zda jsou potřeba pokyny během přechodného období, včetně pro období mezi rozhodnutím o zařazení na seznam a jeho vstupem v platnost, a zda se má stálý výbor zabývat zvláštními podmínkami pro rostliny s poznámkami včetně druhů dřevin.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49.2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Obchod s exempláři uvedenými „před přílohou I“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49.2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CI, NG, SN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Začlenit do změn navrhovaných v dokumentu 49.1.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Změny usnesení Conf.  10.13 (Rev. CoP15) o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 xml:space="preserve">provádění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úmluvy v případě druhů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dřeva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hyperlink r:id="rId12">
              <w:r>
                <w:rPr>
                  <w:noProof/>
                  <w:color w:val="000000" w:themeColor="text1"/>
                  <w:sz w:val="20"/>
                  <w:u w:val="single"/>
                </w:rPr>
                <w:t>CoP18 Doc. 50</w:t>
              </w:r>
            </w:hyperlink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Podpořit, ale navrhnout zahrnutí odkazu na potřebu vycházet při zjišťování nezávadnosti z odpovídajících konverzních faktorů, a další drobné změny.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Zásoby a sklady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pokračování činností mezi zasedáními s jasněji definovaným mandátem, s výjimkou řízení zásob.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Přivezení z moře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obnovený mandát sekretariátu k monitorování provádění usnesení </w:t>
            </w:r>
            <w:r>
              <w:rPr>
                <w:noProof/>
                <w:color w:val="000000" w:themeColor="text1"/>
                <w:sz w:val="20"/>
              </w:rPr>
              <w:t>Conf. 14.6 a podávání zpráv o vyjednáváních týkajících se biologické rozmanitosti v oblastech nacházejících se mimo jurisdikci jednotlivých států; SV přezkoumá informace.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Kódy účelu</w:t>
            </w:r>
            <w:r>
              <w:rPr>
                <w:noProof/>
                <w:color w:val="000000" w:themeColor="text1"/>
                <w:sz w:val="20"/>
              </w:rPr>
              <w:t xml:space="preserve"> na povoleních a potvrzeních úmluvy CITES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Předběžná podpora pro návrhy změn rozhodnutí 14.54 a usnesení Conf. 12.3 (Rev. CoP17) o </w:t>
            </w:r>
            <w:r>
              <w:rPr>
                <w:i/>
                <w:noProof/>
                <w:color w:val="000000" w:themeColor="text1"/>
                <w:sz w:val="20"/>
              </w:rPr>
              <w:t>povoleních a potvrzeních</w:t>
            </w:r>
            <w:r>
              <w:rPr>
                <w:noProof/>
                <w:color w:val="000000" w:themeColor="text1"/>
                <w:sz w:val="20"/>
              </w:rPr>
              <w:t>; dvojí kontrola v souvislosti s dostupnými připomínkami sekretariátu. Zpochybnit potřebu nové pracovní skupiny pro období mezi zasedáními.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Identifikace</w:t>
            </w:r>
            <w:r>
              <w:rPr>
                <w:noProof/>
                <w:color w:val="000000" w:themeColor="text1"/>
                <w:sz w:val="20"/>
              </w:rPr>
              <w:t xml:space="preserve"> obchodovaných exemplářů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54.1</w:t>
            </w:r>
          </w:p>
        </w:tc>
        <w:tc>
          <w:tcPr>
            <w:tcW w:w="2971" w:type="dxa"/>
            <w:gridSpan w:val="2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Příručka</w:t>
            </w:r>
            <w:r>
              <w:rPr>
                <w:noProof/>
                <w:color w:val="000000" w:themeColor="text1"/>
                <w:sz w:val="20"/>
              </w:rPr>
              <w:t xml:space="preserve"> pro identifikaci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54.1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VZ, VR, sek.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dokumentem 21.1.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54.2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Identifikace druhů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stromů</w:t>
            </w:r>
            <w:r>
              <w:rPr>
                <w:noProof/>
                <w:color w:val="000000" w:themeColor="text1"/>
                <w:sz w:val="20"/>
              </w:rPr>
              <w:t xml:space="preserve"> uvedených na seznamu úmluvy CITES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54.2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</w:t>
            </w:r>
            <w:r>
              <w:rPr>
                <w:noProof/>
                <w:color w:val="000000" w:themeColor="text1"/>
                <w:sz w:val="20"/>
              </w:rPr>
              <w:t xml:space="preserve"> nový soubor rozhodnutí a zrušení předchozích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54.3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Identifikace obchodovaných exemplářů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jesetera velkého</w:t>
            </w:r>
            <w:r>
              <w:rPr>
                <w:noProof/>
                <w:color w:val="000000" w:themeColor="text1"/>
                <w:sz w:val="20"/>
              </w:rPr>
              <w:t xml:space="preserve"> a veslonose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54.3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obnovení rozhodnutí. Zvážit, zda se nějaký členský stát EU může zavázat k financování již </w:t>
            </w:r>
            <w:r>
              <w:rPr>
                <w:noProof/>
                <w:color w:val="000000" w:themeColor="text1"/>
                <w:sz w:val="20"/>
              </w:rPr>
              <w:t>dávno potřebné studie.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Provádění úmluvy CITES v případě obchodu s druhy </w:t>
            </w:r>
            <w:r>
              <w:rPr>
                <w:b/>
                <w:noProof/>
                <w:color w:val="000000" w:themeColor="text1"/>
                <w:sz w:val="20"/>
              </w:rPr>
              <w:t>léčivých rostlin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4382" w:type="dxa"/>
            <w:gridSpan w:val="5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Výjimky a zvláštní ustanovení pro obchod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Zjednodušený postup</w:t>
            </w:r>
            <w:r>
              <w:rPr>
                <w:noProof/>
                <w:color w:val="000000" w:themeColor="text1"/>
                <w:sz w:val="20"/>
              </w:rPr>
              <w:t xml:space="preserve"> pro povolení a potvrzení 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podpořit navrhované změny usnesení Conf. 11.15 (Rev. CoP12), usnesení Conf. 12.3 (Rev. CoP17) a návrhy rozhodnutí určené sekretariátu; zohlednit připomínky sekretariátu a zvážit potřebu dalších změn.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Provádění úmluvy v souvislosti s exempláři </w:t>
            </w:r>
            <w:r>
              <w:rPr>
                <w:b/>
                <w:noProof/>
                <w:color w:val="000000" w:themeColor="text1"/>
                <w:sz w:val="20"/>
              </w:rPr>
              <w:t>chovanými v zajetí</w:t>
            </w:r>
            <w:r>
              <w:rPr>
                <w:noProof/>
                <w:color w:val="000000" w:themeColor="text1"/>
                <w:sz w:val="20"/>
              </w:rPr>
              <w:t xml:space="preserve"> a na farmách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57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rozhodnutí v podobě předložené stálým výborem a pozměněné sekretariátem.</w:t>
            </w:r>
          </w:p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Provádění </w:t>
            </w:r>
            <w:r>
              <w:rPr>
                <w:b/>
                <w:noProof/>
                <w:color w:val="000000" w:themeColor="text1"/>
                <w:sz w:val="20"/>
              </w:rPr>
              <w:t>usnesení Conf. 17.7</w:t>
            </w:r>
            <w:r>
              <w:rPr>
                <w:noProof/>
                <w:color w:val="000000" w:themeColor="text1"/>
                <w:sz w:val="20"/>
              </w:rPr>
              <w:t xml:space="preserve"> o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přezkumu obchodu s exempláři živočichů nahlášenými jako odchovanými v zajetí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58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rozhodnutí v podobě předložené stálým výborem a schválené sekretariátem.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 rozpočtovými dokumenty.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Definice pojmu </w:t>
            </w:r>
            <w:r>
              <w:rPr>
                <w:b/>
                <w:noProof/>
                <w:color w:val="000000" w:themeColor="text1"/>
                <w:sz w:val="20"/>
              </w:rPr>
              <w:t>„uměle vypěstovaný“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59.1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Pokyny</w:t>
            </w:r>
            <w:r>
              <w:rPr>
                <w:noProof/>
                <w:color w:val="000000" w:themeColor="text1"/>
                <w:sz w:val="20"/>
              </w:rPr>
              <w:t xml:space="preserve"> k pojmu „uměle vypěstovaný“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59.1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 rozhodnutí. Lze podpořit změny navrhované sekretariátem. Navrhnout, aby se pokyny zveřejňovaly až po jejich přezkumu VR.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59.2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Kódy původu</w:t>
            </w:r>
            <w:r>
              <w:rPr>
                <w:noProof/>
                <w:color w:val="000000" w:themeColor="text1"/>
                <w:sz w:val="20"/>
              </w:rPr>
              <w:t xml:space="preserve"> pro obchodované exempláře rostlin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59.2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vytvoření kódu původu Y prostřednictvím změn usnesení Conf. 11.11 (Rev. CoP17) a usnesení Conf. 12.3 (Rev. CoP17) i návrhy rozhodnutí. Další změny, které sekretariát navrhuje, nicméně vyžadují</w:t>
            </w:r>
            <w:r>
              <w:rPr>
                <w:noProof/>
                <w:color w:val="000000" w:themeColor="text1"/>
                <w:sz w:val="20"/>
              </w:rPr>
              <w:t xml:space="preserve"> podrobnější prozkoumání, aby nebyl ohrožen původní návrh stálého výboru (zejména pokud jde o orlí dřevo („agarwood“) a potřebu zjišťování nezávadnosti).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9207" w:type="dxa"/>
            <w:gridSpan w:val="8"/>
            <w:tcMar>
              <w:top w:w="60" w:type="dxa"/>
              <w:left w:w="135" w:type="dxa"/>
              <w:bottom w:w="60" w:type="dxa"/>
              <w:right w:w="135" w:type="dxa"/>
            </w:tcMar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  <w:u w:val="single"/>
              </w:rPr>
              <w:t>Otázky týkající se jednotlivých druhů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Nezákonný obchod s </w:t>
            </w:r>
            <w:r>
              <w:rPr>
                <w:b/>
                <w:noProof/>
                <w:color w:val="000000" w:themeColor="text1"/>
                <w:sz w:val="20"/>
              </w:rPr>
              <w:t>gepardy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Acinonyx jubatus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 xml:space="preserve">CoP18 </w:t>
            </w:r>
            <w:r>
              <w:rPr>
                <w:noProof/>
                <w:color w:val="000000" w:themeColor="text1"/>
                <w:sz w:val="20"/>
                <w:u w:val="single"/>
              </w:rPr>
              <w:t>Doc. 60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 rozhodnutí, který vyzývá sekretariát, aby poskytl konečnou verzi souboru zdrojů k obchodu s gepardy v rámci úmluvy CITES, jsou-li tyto zdroje dostupné. Souhlasit se zrušením rozhodnutí 17.124 až 17.130.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Jeseteři velcí</w:t>
            </w:r>
            <w:r>
              <w:rPr>
                <w:noProof/>
                <w:color w:val="000000" w:themeColor="text1"/>
                <w:sz w:val="20"/>
              </w:rPr>
              <w:t xml:space="preserve"> a veslonosi (Acipenseriformes spp.)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obnovený mandát SV, aby se zabýval otázkou označování kaviáru. Zvážit, zda je v zájmu dosažení pokroku zapotřebí jasnějších pokynů týkajících se zaměření a oblasti působnosti.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Návrhy rozhodnutí o ochraně </w:t>
            </w:r>
            <w:r>
              <w:rPr>
                <w:b/>
                <w:noProof/>
                <w:color w:val="000000" w:themeColor="text1"/>
                <w:sz w:val="20"/>
              </w:rPr>
              <w:t>obojživelníků</w:t>
            </w:r>
            <w:r>
              <w:rPr>
                <w:noProof/>
                <w:color w:val="000000" w:themeColor="text1"/>
                <w:sz w:val="20"/>
              </w:rPr>
              <w:t xml:space="preserve"> (Amphibia)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CR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Široká škála návrhů rozhodnutí určených smluvním stranám, výborům a sekretariátu, předložených bez odůvodnění nebo předchozího posouzení VZ, SV. Požadované informace se nevztahují konkrétně na obojži</w:t>
            </w:r>
            <w:r>
              <w:rPr>
                <w:noProof/>
                <w:color w:val="000000" w:themeColor="text1"/>
                <w:sz w:val="20"/>
              </w:rPr>
              <w:t>velníky, ale platily by pro všechny taxony uvedené na seznamu úmluvy CITES. Lepším řešením by mohl být cílenější návrh obsahující konkrétní opatření.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Úhoř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 xml:space="preserve">Anguilla </w:t>
            </w:r>
            <w:r>
              <w:rPr>
                <w:noProof/>
                <w:color w:val="000000" w:themeColor="text1"/>
                <w:sz w:val="20"/>
              </w:rPr>
              <w:t xml:space="preserve">spp.)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63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VZ, SV, 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Vzácné </w:t>
            </w:r>
            <w:r>
              <w:rPr>
                <w:b/>
                <w:noProof/>
                <w:color w:val="000000" w:themeColor="text1"/>
                <w:sz w:val="20"/>
              </w:rPr>
              <w:t>korály</w:t>
            </w:r>
            <w:r>
              <w:rPr>
                <w:noProof/>
                <w:color w:val="000000" w:themeColor="text1"/>
                <w:sz w:val="20"/>
              </w:rPr>
              <w:t xml:space="preserve"> (řád Antipatharia a čeleď Coralliidae)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 rozhodnutí, který VR a SV uděluje mandát, aby zanalyzovaly průzkum vzácných korálů a studii provedenou organizací FAO a vyvodily z nich závěry.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Provádění usnesení Conf. 16.10 o </w:t>
            </w:r>
            <w:r>
              <w:rPr>
                <w:i/>
                <w:noProof/>
                <w:color w:val="000000" w:themeColor="text1"/>
                <w:sz w:val="20"/>
              </w:rPr>
              <w:t xml:space="preserve">provádění úmluvy v případě taxonů produkujících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orlí dřevo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 xml:space="preserve">Aquilaria </w:t>
            </w:r>
            <w:r>
              <w:rPr>
                <w:noProof/>
                <w:color w:val="000000" w:themeColor="text1"/>
                <w:sz w:val="20"/>
              </w:rPr>
              <w:t xml:space="preserve">spp. a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Gyrinops </w:t>
            </w:r>
            <w:r>
              <w:rPr>
                <w:noProof/>
                <w:color w:val="000000" w:themeColor="text1"/>
                <w:sz w:val="20"/>
              </w:rPr>
              <w:t xml:space="preserve">spp.)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65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přijetí návrhů rozhodnutí o taxonech produkujících orlí dřevo („agarwood“) a zrušení předchozích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Obchod s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Boswellia</w:t>
            </w:r>
            <w:r>
              <w:rPr>
                <w:i/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 xml:space="preserve">spp. (Burseraceae)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66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LK, US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soubor návrhů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67.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Pyskoun obrovský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Cheilinus undulatus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67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Souhlasit s návrhem rozhodnutí, jehož cílem je poskytnout pomoc hlavním vyvážejícím a dovážejícím zemím při řešení </w:t>
            </w:r>
            <w:r>
              <w:rPr>
                <w:noProof/>
                <w:color w:val="000000" w:themeColor="text1"/>
                <w:sz w:val="20"/>
              </w:rPr>
              <w:t>zbývajících problémů spojených s prováděním.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 xml:space="preserve">Příčnoústí </w:t>
            </w:r>
            <w:r>
              <w:rPr>
                <w:noProof/>
                <w:color w:val="000000" w:themeColor="text1"/>
                <w:sz w:val="20"/>
              </w:rPr>
              <w:t>(Elasmobranchii spp.)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68.1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výboru pro zvířata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VZ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Vzít zprávu na vědomí.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68.2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sekretariátu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Slonovití</w:t>
            </w:r>
            <w:r>
              <w:rPr>
                <w:noProof/>
                <w:color w:val="000000" w:themeColor="text1"/>
                <w:sz w:val="20"/>
              </w:rPr>
              <w:t xml:space="preserve"> (Elephantidae spp.)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69.1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Provádění</w:t>
            </w:r>
            <w:r>
              <w:rPr>
                <w:noProof/>
                <w:color w:val="000000" w:themeColor="text1"/>
                <w:sz w:val="20"/>
              </w:rPr>
              <w:t xml:space="preserve"> usnesení Conf. 10.10 (Rev. CoP17) o </w:t>
            </w:r>
            <w:r>
              <w:rPr>
                <w:i/>
                <w:noProof/>
                <w:color w:val="000000" w:themeColor="text1"/>
                <w:sz w:val="20"/>
              </w:rPr>
              <w:t>obchodu s exempláři slonů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sek./SV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Zásoby a sklady</w:t>
            </w:r>
            <w:r>
              <w:rPr>
                <w:noProof/>
                <w:color w:val="000000" w:themeColor="text1"/>
                <w:sz w:val="20"/>
              </w:rPr>
              <w:t>:</w:t>
            </w:r>
            <w:r>
              <w:rPr>
                <w:noProof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>podpořit rozhodnutí, aby SV přezkoumal pokyny připravené sekretariátem.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Sloni indičtí</w:t>
            </w:r>
            <w:r>
              <w:rPr>
                <w:noProof/>
                <w:color w:val="000000" w:themeColor="text1"/>
                <w:sz w:val="20"/>
              </w:rPr>
              <w:t xml:space="preserve">: lze podpořit obnovení </w:t>
            </w:r>
            <w:r>
              <w:rPr>
                <w:noProof/>
                <w:color w:val="000000" w:themeColor="text1"/>
                <w:sz w:val="20"/>
              </w:rPr>
              <w:t>rozhodnutí, ale je třeba zajistit větší objem nákupů od států, na jejichž území se tento druh vyskytuje, aby tato rozhodnutí byla účinná.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Vnitrostátní akční plány pro slonovinu (NIAP)</w:t>
            </w:r>
            <w:r>
              <w:rPr>
                <w:noProof/>
                <w:color w:val="000000" w:themeColor="text1"/>
                <w:sz w:val="20"/>
              </w:rPr>
              <w:t xml:space="preserve">: podpořit navrhované revize usnesení Conf. 10.10, odst. 26 písm. g) a přílohy III (procesní pokyny pro NIAP) a usnesení Conf. 14.3 o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dodržování 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sym w:font="Wingdings" w:char="F0E0"/>
            </w:r>
            <w:r>
              <w:rPr>
                <w:noProof/>
                <w:color w:val="000000" w:themeColor="text1"/>
                <w:sz w:val="20"/>
              </w:rPr>
              <w:t xml:space="preserve"> dokument 24);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zvážit žádost sekretariátu o vytvoření nového postu (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sym w:font="Wingdings" w:char="F0E0"/>
            </w:r>
            <w:r>
              <w:rPr>
                <w:noProof/>
                <w:color w:val="000000" w:themeColor="text1"/>
                <w:sz w:val="20"/>
              </w:rPr>
              <w:t xml:space="preserve"> rozpočet).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 xml:space="preserve">Přezkum </w:t>
            </w:r>
            <w:r>
              <w:rPr>
                <w:noProof/>
                <w:color w:val="000000" w:themeColor="text1"/>
                <w:sz w:val="20"/>
                <w:u w:val="single"/>
              </w:rPr>
              <w:t>Informačního systému obchodování s výrobky ze slonů (ETIS)</w:t>
            </w:r>
            <w:r>
              <w:rPr>
                <w:noProof/>
                <w:color w:val="000000" w:themeColor="text1"/>
                <w:sz w:val="20"/>
              </w:rPr>
              <w:t>: podpořit mandát dle dohody na 70. zasedání SV.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Finanční a provozní udržitelnost systémů MIKE a ETIS</w:t>
            </w:r>
            <w:r>
              <w:rPr>
                <w:noProof/>
              </w:rPr>
              <w:t>:</w:t>
            </w:r>
            <w:r>
              <w:rPr>
                <w:noProof/>
                <w:color w:val="000000" w:themeColor="text1"/>
                <w:sz w:val="20"/>
              </w:rPr>
              <w:t xml:space="preserve"> podpořit návrh rozhodnutí, aby sek. vypracoval návrh (náklady: 30 000 USD), SV přezkoumá.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Domácí trhy se slonovinou</w:t>
            </w:r>
            <w:r>
              <w:rPr>
                <w:noProof/>
                <w:color w:val="000000" w:themeColor="text1"/>
                <w:sz w:val="20"/>
              </w:rPr>
              <w:t>: Podpořit navrhovanou změnu usnesení Conf. 10.10 dle  dokumentu 31.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69.2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o monitorování nezákonného vybíjení slonů (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MIKE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69.2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Vzít zprávu na vědomí.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69.3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o Informačním systému obchodování s výrobky ze slonů (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ETIS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CoP18, 69.3.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Vzít zprávu na vědomí; zvážit důsledky pro proces NIAP (konkrétní země označené systémem ETIS, které v současné době</w:t>
            </w:r>
            <w:r>
              <w:rPr>
                <w:noProof/>
                <w:color w:val="000000" w:themeColor="text1"/>
                <w:sz w:val="20"/>
              </w:rPr>
              <w:t xml:space="preserve"> nemají NIAP).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69.4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noProof/>
                <w:color w:val="000000" w:themeColor="text1"/>
                <w:sz w:val="20"/>
              </w:rPr>
              <w:t>Zásoby</w:t>
            </w:r>
            <w:r>
              <w:rPr>
                <w:b/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 xml:space="preserve">slonoviny: navrhovaná revize usnesení Conf. 10.10 (Rev. CoP17) o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obchodu s exempláři slonů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69.4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BF, TD, CI, GA, JO, KE, LR, NE, NG, SD, SY 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Uznat, že je důležité pokyny dokončit, ale zpochybnit proveditelnost </w:t>
            </w:r>
            <w:r>
              <w:rPr>
                <w:noProof/>
                <w:color w:val="000000" w:themeColor="text1"/>
                <w:sz w:val="20"/>
              </w:rPr>
              <w:t>a vhodnost pracovní skupiny během zasedání pro tento účel. Zvážit alternativní návrhy sekretariátu.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69.5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Provádění aspektů usnesení Conf. 10.10 (Rev. CoP17) o uzavření 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domácích trhů se slonovinou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BF, CI, ET, GA, KE, LR, NE, NG, SY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Napadnout závěry usnesení o trhu se slonovinou v EU (odstavec 28); vyzdvihnout probíhající úsilí EU.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Nesouhlasit s navrhovanými změnami usnesení Conf. 10.10 a souvisejícími návrhy rozhodnutí vzhledem k tomu, že jsou nepřiměřené a částečně nejasné.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–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Kareta pravá (</w:t>
            </w:r>
            <w:r>
              <w:rPr>
                <w:i/>
                <w:noProof/>
                <w:color w:val="000000" w:themeColor="text1"/>
                <w:sz w:val="20"/>
              </w:rPr>
              <w:t>Eretmochelys imbricata</w:t>
            </w:r>
            <w:r>
              <w:rPr>
                <w:noProof/>
                <w:color w:val="000000" w:themeColor="text1"/>
                <w:sz w:val="20"/>
              </w:rPr>
              <w:t>) a další </w:t>
            </w:r>
            <w:r>
              <w:rPr>
                <w:b/>
                <w:noProof/>
                <w:color w:val="000000" w:themeColor="text1"/>
                <w:sz w:val="20"/>
              </w:rPr>
              <w:t>mořské želvy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Cheloniidae</w:t>
            </w:r>
            <w:r>
              <w:rPr>
                <w:noProof/>
                <w:color w:val="000000" w:themeColor="text1"/>
                <w:sz w:val="20"/>
              </w:rPr>
              <w:t xml:space="preserve"> a </w:t>
            </w:r>
            <w:r>
              <w:rPr>
                <w:i/>
                <w:noProof/>
                <w:color w:val="000000" w:themeColor="text1"/>
                <w:sz w:val="20"/>
              </w:rPr>
              <w:t>Dermochelyidae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pokračování v práci prostřednictvím návrhů rozhodnutí předložených sekretariátem a vytvoření pracovní skupiny pro mořské želvy pro období mezi </w:t>
            </w:r>
            <w:r>
              <w:rPr>
                <w:noProof/>
                <w:color w:val="000000" w:themeColor="text1"/>
                <w:sz w:val="20"/>
              </w:rPr>
              <w:t>zasedáními.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Velké asijské kočkovité šelmy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Felidae</w:t>
            </w:r>
            <w:r>
              <w:rPr>
                <w:noProof/>
                <w:color w:val="000000" w:themeColor="text1"/>
                <w:sz w:val="20"/>
              </w:rPr>
              <w:t xml:space="preserve"> spp.)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71.1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stálého výboru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71.2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 rozhodnutí o velkých asijských kočkovitých šelmách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71.2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IN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Obecná podpora úsilí </w:t>
            </w:r>
            <w:r>
              <w:rPr>
                <w:noProof/>
                <w:color w:val="000000" w:themeColor="text1"/>
                <w:sz w:val="20"/>
              </w:rPr>
              <w:t>o monitorování a lepší řízení obchodu s velkými asijskými kočkami. Tento dokument je však třeba posoudit, jakmile bude k dispozici zpráva stálého výboru, aby se předešlo překrývání nebo nesrovnalostem.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 přijetí návrhu rozhodnutí by bylo třeba provést dalš</w:t>
            </w:r>
            <w:r>
              <w:rPr>
                <w:noProof/>
                <w:color w:val="000000" w:themeColor="text1"/>
                <w:sz w:val="20"/>
              </w:rPr>
              <w:t>í důkladnou analýzu a změny. Také by se měla zvážit vazba na usnesení Conf. 12.5 (Rev. 17).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Koníček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Hippocampus</w:t>
            </w:r>
            <w:r>
              <w:rPr>
                <w:noProof/>
                <w:color w:val="000000" w:themeColor="text1"/>
                <w:sz w:val="20"/>
              </w:rPr>
              <w:t xml:space="preserve"> spp.) na seznamu úmluvy CITES – cesta k úspěchu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MV, MC, LK, US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soubor rozhodnutí, aby ve výboru pro zvířata a ve stálém výboru</w:t>
            </w:r>
            <w:r>
              <w:rPr>
                <w:noProof/>
                <w:color w:val="000000" w:themeColor="text1"/>
                <w:sz w:val="20"/>
              </w:rPr>
              <w:t xml:space="preserve"> byly zahájeny diskuse týkající se řízení a udržitelného využívání koníčků.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73.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Lidoopi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Hominidae</w:t>
            </w:r>
            <w:r>
              <w:rPr>
                <w:noProof/>
                <w:color w:val="000000" w:themeColor="text1"/>
                <w:sz w:val="20"/>
              </w:rPr>
              <w:t xml:space="preserve"> spp.)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73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SV, sek.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změny usnesení Conf. 13.4 (Rev. CoP16) o ochraně lidoopů a obchodu s nimi navrhované sekretariátem, jakož i zrušení</w:t>
            </w:r>
            <w:r>
              <w:rPr>
                <w:noProof/>
                <w:color w:val="000000" w:themeColor="text1"/>
                <w:sz w:val="20"/>
              </w:rPr>
              <w:t xml:space="preserve"> rozhodnutí 17.232 a 17.233. Návrh vychází ze zprávy o stavu lidoopů a relativním vlivu nezákonného obchodu a jiných faktorů ovlivňujících jejich stav, která byla společně vypracována sekretariátem, svazem IUCN a partnerstvím GRASP ve spolupráci s dalšími </w:t>
            </w:r>
            <w:r>
              <w:rPr>
                <w:noProof/>
                <w:color w:val="000000" w:themeColor="text1"/>
                <w:sz w:val="20"/>
              </w:rPr>
              <w:t>partnery a  projednána v rámci 30. zasedání výboru pro zvířata a 70. zasedání stálého výboru. Mohly by být žádoucí některé redakční změny.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Obchod s druhy </w:t>
            </w:r>
            <w:r>
              <w:rPr>
                <w:b/>
                <w:noProof/>
                <w:color w:val="000000" w:themeColor="text1"/>
                <w:sz w:val="20"/>
              </w:rPr>
              <w:t>růžových dřev [</w:t>
            </w:r>
            <w:r>
              <w:rPr>
                <w:i/>
                <w:noProof/>
                <w:color w:val="000000" w:themeColor="text1"/>
                <w:sz w:val="20"/>
              </w:rPr>
              <w:t>Leguminosae (Fabaceae)</w:t>
            </w:r>
            <w:r>
              <w:rPr>
                <w:noProof/>
                <w:color w:val="000000" w:themeColor="text1"/>
                <w:sz w:val="20"/>
              </w:rPr>
              <w:t xml:space="preserve">] 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přijetí návrhů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Luskoun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 xml:space="preserve">Manis </w:t>
            </w:r>
            <w:r>
              <w:rPr>
                <w:noProof/>
                <w:color w:val="000000" w:themeColor="text1"/>
                <w:sz w:val="20"/>
              </w:rPr>
              <w:t xml:space="preserve">spp.)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sek., začlenění návrhu 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soubor návrhů rozhodnutí podle doporučení 69. zasedání stálého výboru se změnami navrženými sekretariátem a podpořit zrušení rozhodnutí 17.239 až 17.240.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Lev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Panthera leo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76.1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Zpráva sekretariátu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76.2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Ochrana lvů a obchod s nimi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NG, TG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podpořit další opatření zaměřená na kontrolu mezinárodního obchodu se lvími částmi a odvozeninami, i když některé prvky návrhu</w:t>
            </w:r>
            <w:r>
              <w:rPr>
                <w:noProof/>
                <w:color w:val="000000" w:themeColor="text1"/>
                <w:sz w:val="20"/>
              </w:rPr>
              <w:t xml:space="preserve"> usnesení mohou vyžadovat významnější formulační změny. Dokument je třeba projednat společně s dokumenty 76.1 a 96 (nejsou dosud k dispozici).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Jaguár</w:t>
            </w:r>
            <w:r>
              <w:rPr>
                <w:noProof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Panthera onca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77.1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Obchod s jaguáry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CR, MX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podpořit soubor návrhů rozhodnutí, které</w:t>
            </w:r>
            <w:r>
              <w:rPr>
                <w:noProof/>
                <w:color w:val="000000" w:themeColor="text1"/>
                <w:sz w:val="20"/>
              </w:rPr>
              <w:t xml:space="preserve"> vyzývají k vypracování studie o nezákonném obchodu s jaguáry; mohly by být vhodné některé úpravy a mohly by být doplněny některé prvky z dokumentu 77.2.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77.2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Nezákonný obchod s jaguáry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77.2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PE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Obecně podpořit zvýšenou ochranu jaguárů. </w:t>
            </w:r>
            <w:r>
              <w:rPr>
                <w:noProof/>
                <w:color w:val="000000" w:themeColor="text1"/>
                <w:sz w:val="20"/>
              </w:rPr>
              <w:t>Pro některé z navrhovaných prvků by však mohla být vhodnější forma rozhodnutí než usnesení. Ke zvážení, zda by návrh nebo jeho části měly být sloučeny s návrhem předloženým Kostarikou (77.1) do jednoho souboru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Nezákonný obchod s </w:t>
            </w:r>
            <w:r>
              <w:rPr>
                <w:b/>
                <w:noProof/>
                <w:color w:val="000000" w:themeColor="text1"/>
                <w:sz w:val="20"/>
              </w:rPr>
              <w:t>antilopo</w:t>
            </w:r>
            <w:r>
              <w:rPr>
                <w:b/>
                <w:noProof/>
                <w:color w:val="000000" w:themeColor="text1"/>
                <w:sz w:val="20"/>
              </w:rPr>
              <w:t>u orongem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Pantholops hodgsonii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78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Podpora návrhu doporučení a návrhu sekretariátu na změnu odst. 2 písm. b) usnesení Conf. 11.8 (Rev. CoP17).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Obchod s</w:t>
            </w:r>
            <w:r>
              <w:rPr>
                <w:noProof/>
              </w:rPr>
              <w:t xml:space="preserve"> </w:t>
            </w:r>
            <w:r>
              <w:rPr>
                <w:b/>
                <w:noProof/>
                <w:color w:val="000000" w:themeColor="text1"/>
                <w:sz w:val="20"/>
              </w:rPr>
              <w:t>pěvci</w:t>
            </w:r>
            <w:r>
              <w:rPr>
                <w:noProof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>a řízení jejich ochrany (Passeriformes)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US, LK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Obecně podpořit návrh VZ, </w:t>
            </w:r>
            <w:r>
              <w:rPr>
                <w:noProof/>
                <w:color w:val="000000" w:themeColor="text1"/>
                <w:sz w:val="20"/>
              </w:rPr>
              <w:t>aby se posoudily důsledky obchodu s pěvci na jejich ochranu. Případně zlepšit zaměření a vyjasnit oblast působnosti.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Slivoň africká (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>Prunus africana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80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přijetí návrhů rozhodnutí. V závislosti na výsledcích regionálního zasedání pro Afriku programu pro druhy stromů úmluvy CITES plánovaného v březnu 2019 by mohly být zapotřebí další revize návrhů rozhodnutí.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Žako šedý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Psittacus erithacu</w:t>
            </w:r>
            <w:r>
              <w:rPr>
                <w:i/>
                <w:noProof/>
                <w:color w:val="000000" w:themeColor="text1"/>
                <w:sz w:val="20"/>
              </w:rPr>
              <w:t>s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Lze prodloužit lhůtu pro registraci chovných zařízení. Před odsouhlasením přidání nového odstavce f) do rozhodnutí 17.256 je však třeba získat více informací o možné repopulaci druhu </w:t>
            </w:r>
            <w:r>
              <w:rPr>
                <w:i/>
                <w:noProof/>
                <w:color w:val="000000" w:themeColor="text1"/>
                <w:sz w:val="20"/>
              </w:rPr>
              <w:t>Psittacus erithacus</w:t>
            </w:r>
            <w:r>
              <w:rPr>
                <w:noProof/>
                <w:color w:val="000000" w:themeColor="text1"/>
                <w:sz w:val="20"/>
              </w:rPr>
              <w:t xml:space="preserve">. Změny textu před jeho přijetím se jeví jako </w:t>
            </w:r>
            <w:r>
              <w:rPr>
                <w:noProof/>
                <w:color w:val="000000" w:themeColor="text1"/>
                <w:sz w:val="20"/>
              </w:rPr>
              <w:t>nezbytné.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Parmovec skvělý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Pterapogon kauderni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soubor návrhů rozhodnutí; EU je připravena podpořit Indonésii při provádění rozhodnutí 18.AA.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Nosorožcovití</w:t>
            </w:r>
            <w:r>
              <w:rPr>
                <w:noProof/>
                <w:color w:val="000000" w:themeColor="text1"/>
                <w:sz w:val="20"/>
              </w:rPr>
              <w:t xml:space="preserve"> (Rhinocerotidae spp.)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83.1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Zpráva stálého výboru a </w:t>
            </w:r>
            <w:r>
              <w:rPr>
                <w:noProof/>
                <w:color w:val="000000" w:themeColor="text1"/>
                <w:sz w:val="20"/>
              </w:rPr>
              <w:t>sekretariátu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760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83.2</w:t>
            </w:r>
          </w:p>
        </w:tc>
        <w:tc>
          <w:tcPr>
            <w:tcW w:w="2971" w:type="dxa"/>
            <w:gridSpan w:val="2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Revize usnesení Conf. 9.14 (Rev. CoP17) o </w:t>
            </w:r>
            <w:r>
              <w:rPr>
                <w:i/>
                <w:noProof/>
                <w:color w:val="000000" w:themeColor="text1"/>
                <w:sz w:val="20"/>
              </w:rPr>
              <w:t>ochraně afrických a asijských nosorožců a obchodu s nimi</w:t>
            </w:r>
            <w:r>
              <w:rPr>
                <w:noProof/>
                <w:color w:val="000000" w:themeColor="text1"/>
                <w:sz w:val="20"/>
              </w:rPr>
              <w:t xml:space="preserve"> a souvisejících rozhodnutí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KE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Navrhované změny usnesení o a) uzavření domácích trhů; b) </w:t>
            </w:r>
            <w:r>
              <w:rPr>
                <w:noProof/>
                <w:color w:val="000000" w:themeColor="text1"/>
                <w:sz w:val="20"/>
              </w:rPr>
              <w:t>zahrnutí soukromě držených rohů nosorožců do evidence zásob a zničení zásob; c) pravidelné podávání zpráv SV smluvními stranami. Je třeba dále prozkoumat přínosy ochrany a zanalyzovat navrhované změny a návrhy rozhodnutí, jakmile bude dokument 83.1 k dispo</w:t>
            </w:r>
            <w:r>
              <w:rPr>
                <w:noProof/>
                <w:color w:val="000000" w:themeColor="text1"/>
                <w:sz w:val="20"/>
              </w:rPr>
              <w:t>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(0)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Zoborožec štítnatý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Rhinoplax vigil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84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rozhodnutí uvedené v příloze 1 včetně změn navrhovaných sekretariátem a zrušení rozhodnutí 17.264, 17.265 a 17.266.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Křídlatec velký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Strombus gigas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Dokument </w:t>
            </w:r>
            <w:r>
              <w:rPr>
                <w:i/>
                <w:noProof/>
                <w:color w:val="000000" w:themeColor="text1"/>
                <w:sz w:val="20"/>
              </w:rPr>
              <w:t>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Sajga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 xml:space="preserve">Saiga </w:t>
            </w:r>
            <w:r>
              <w:rPr>
                <w:noProof/>
                <w:color w:val="000000" w:themeColor="text1"/>
                <w:sz w:val="20"/>
              </w:rPr>
              <w:t xml:space="preserve">spp.)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86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dokument, který vychází z výsledků diskusí ve stálém výboru a zaměřuje se na státy, na jejichž území se sajga vyskytuje, s cílem zlepšit řízení zásob částí a odvozenin tohoto druhu, zlepšit jejich kapacity v rámci boje proti nezákonnému obchodu a </w:t>
            </w:r>
            <w:r>
              <w:rPr>
                <w:noProof/>
                <w:color w:val="000000" w:themeColor="text1"/>
                <w:sz w:val="20"/>
              </w:rPr>
              <w:t xml:space="preserve">posílit úsilí v oblasti konzervace </w:t>
            </w:r>
            <w:r>
              <w:rPr>
                <w:i/>
                <w:noProof/>
                <w:color w:val="000000" w:themeColor="text1"/>
                <w:sz w:val="20"/>
              </w:rPr>
              <w:t>in situ</w:t>
            </w:r>
            <w:r>
              <w:rPr>
                <w:noProof/>
                <w:color w:val="000000" w:themeColor="text1"/>
                <w:sz w:val="20"/>
              </w:rPr>
              <w:t xml:space="preserve"> a </w:t>
            </w:r>
            <w:r>
              <w:rPr>
                <w:i/>
                <w:noProof/>
                <w:color w:val="000000" w:themeColor="text1"/>
                <w:sz w:val="20"/>
              </w:rPr>
              <w:t>ex situ</w:t>
            </w:r>
            <w:r>
              <w:rPr>
                <w:noProof/>
                <w:color w:val="000000" w:themeColor="text1"/>
                <w:sz w:val="20"/>
              </w:rPr>
              <w:t xml:space="preserve">; podpořit návrh sekretariátu, aby se výbor pro zvířata zapojil do provádění jednoho rozhodnutí. Rozhodnutí mohou vyžadovat určité změny v závislosti na důsledcích případného přeřazení celého rodu </w:t>
            </w:r>
            <w:r>
              <w:rPr>
                <w:i/>
                <w:noProof/>
                <w:color w:val="000000" w:themeColor="text1"/>
                <w:sz w:val="20"/>
              </w:rPr>
              <w:t>Saiga</w:t>
            </w:r>
            <w:r>
              <w:rPr>
                <w:noProof/>
                <w:color w:val="000000" w:themeColor="text1"/>
                <w:sz w:val="20"/>
              </w:rPr>
              <w:t xml:space="preserve"> s</w:t>
            </w:r>
            <w:r>
              <w:rPr>
                <w:noProof/>
                <w:color w:val="000000" w:themeColor="text1"/>
                <w:sz w:val="20"/>
              </w:rPr>
              <w:t>pp. výše do seznamu do přílohy I.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Zvážit, zda by měly být zachovány některé prvky rozhodnutí 17.268, 17.269 a 17.270.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Ochrana </w:t>
            </w:r>
            <w:r>
              <w:rPr>
                <w:b/>
                <w:noProof/>
                <w:color w:val="000000" w:themeColor="text1"/>
                <w:sz w:val="20"/>
              </w:rPr>
              <w:t>vodnice posvátné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Telmatobius culeus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88.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Želvy</w:t>
            </w:r>
            <w:r>
              <w:rPr>
                <w:noProof/>
                <w:color w:val="000000" w:themeColor="text1"/>
                <w:sz w:val="20"/>
              </w:rPr>
              <w:t xml:space="preserve"> (Testudines spp.)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 xml:space="preserve">CoP18 </w:t>
            </w:r>
            <w:r>
              <w:rPr>
                <w:noProof/>
                <w:color w:val="000000" w:themeColor="text1"/>
                <w:sz w:val="20"/>
                <w:u w:val="single"/>
              </w:rPr>
              <w:t>Doc. 88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SV, sek.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podpořit návrh revidované verze usnesení Conf. 11.9 o</w:t>
            </w:r>
            <w:r>
              <w:rPr>
                <w:i/>
                <w:noProof/>
                <w:color w:val="000000" w:themeColor="text1"/>
                <w:sz w:val="20"/>
              </w:rPr>
              <w:t xml:space="preserve"> ochraně mořských a sladkovodních želv a obchodu s nimi </w:t>
            </w:r>
            <w:r>
              <w:rPr>
                <w:noProof/>
                <w:color w:val="000000" w:themeColor="text1"/>
                <w:sz w:val="20"/>
              </w:rPr>
              <w:t>a návrhy rozhodnutí předložené sekretariátem; zvážit potřebu zaměřit budoucí činnost na praktické aspekty.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 xml:space="preserve">Smuha </w:t>
            </w:r>
            <w:r>
              <w:rPr>
                <w:b/>
                <w:noProof/>
                <w:color w:val="000000" w:themeColor="text1"/>
                <w:sz w:val="20"/>
              </w:rPr>
              <w:t>MacDonaldova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Totoaba macdonaldi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89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návrhy rozhodnutí o dalším shromažďování informací od smluvních stran; opatření ke zvyšování povědomí a prosazování; sekretariát má provést studii (návrh schválen SV) zabývající se sviňuchou </w:t>
            </w:r>
            <w:r>
              <w:rPr>
                <w:noProof/>
                <w:color w:val="000000" w:themeColor="text1"/>
                <w:sz w:val="20"/>
              </w:rPr>
              <w:t>kalifornskou a smuhou MacDonaldovou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 xml:space="preserve">Delfín skákavý </w:t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Tursiops truncatus ponticus</w:t>
            </w:r>
            <w:r>
              <w:rPr>
                <w:noProof/>
                <w:color w:val="000000" w:themeColor="text1"/>
                <w:sz w:val="20"/>
              </w:rPr>
              <w:t xml:space="preserve">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90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návrh rozhodnutí, aby sekretariát spolupracoval s Dohodou o ochraně kytovců v Černém moři, Středozemním moři a přilehlé atlantské oblasti </w:t>
            </w:r>
            <w:r>
              <w:rPr>
                <w:noProof/>
                <w:color w:val="000000" w:themeColor="text1"/>
                <w:sz w:val="20"/>
              </w:rPr>
              <w:t>(ACCOBAMS).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Ochrana </w:t>
            </w:r>
            <w:r>
              <w:rPr>
                <w:b/>
                <w:noProof/>
                <w:color w:val="000000" w:themeColor="text1"/>
                <w:sz w:val="20"/>
              </w:rPr>
              <w:t>vikuní</w:t>
            </w:r>
            <w:r>
              <w:rPr>
                <w:noProof/>
                <w:color w:val="000000" w:themeColor="text1"/>
                <w:sz w:val="20"/>
              </w:rPr>
              <w:t xml:space="preserve"> (</w:t>
            </w:r>
            <w:r>
              <w:rPr>
                <w:i/>
                <w:noProof/>
                <w:color w:val="000000" w:themeColor="text1"/>
                <w:sz w:val="20"/>
              </w:rPr>
              <w:t>Vicugna vicugna</w:t>
            </w:r>
            <w:r>
              <w:rPr>
                <w:noProof/>
                <w:color w:val="000000" w:themeColor="text1"/>
                <w:sz w:val="20"/>
              </w:rPr>
              <w:t>) a obchod s jejich vlnou a výrobky z ní vyrobenými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AR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Obecně podpořit návrh usnesení o ochraně vikuní a obchodu s jejich vlnou a výrobků z ní vyrobenými; dokument byl vypracován podle úmluvy o ochraně vikuní „Convention for the Conservation and Management of Vicuña“. Je zapotřebí další diskuse o formátu a náv</w:t>
            </w:r>
            <w:r>
              <w:rPr>
                <w:noProof/>
                <w:color w:val="000000" w:themeColor="text1"/>
                <w:sz w:val="20"/>
              </w:rPr>
              <w:t xml:space="preserve">rhu textu. </w:t>
            </w:r>
            <w:r>
              <w:rPr>
                <w:i/>
                <w:noProof/>
                <w:color w:val="000000" w:themeColor="text1"/>
                <w:sz w:val="20"/>
              </w:rPr>
              <w:t>Projednat společně s dokumentem 53.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Druhy uvedené na seznamu v </w:t>
            </w:r>
            <w:r>
              <w:rPr>
                <w:b/>
                <w:noProof/>
                <w:color w:val="000000" w:themeColor="text1"/>
                <w:sz w:val="20"/>
              </w:rPr>
              <w:t>příloze I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sek., VZ, 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zrušení rozhodnutí 17.22 až 17.25. Podpořit přijetí.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93.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Druhy</w:t>
            </w:r>
            <w:r>
              <w:rPr>
                <w:b/>
                <w:noProof/>
                <w:color w:val="000000" w:themeColor="text1"/>
                <w:sz w:val="20"/>
              </w:rPr>
              <w:t xml:space="preserve"> dřevin z neotropické oblasti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93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VR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</w:t>
            </w:r>
            <w:r>
              <w:rPr>
                <w:noProof/>
                <w:color w:val="000000" w:themeColor="text1"/>
                <w:sz w:val="20"/>
              </w:rPr>
              <w:t>přijetí návrhů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Řízení ochrany </w:t>
            </w:r>
            <w:r>
              <w:rPr>
                <w:b/>
                <w:noProof/>
                <w:color w:val="000000" w:themeColor="text1"/>
                <w:sz w:val="20"/>
              </w:rPr>
              <w:t>mořských okrasných ryb</w:t>
            </w:r>
            <w:r>
              <w:rPr>
                <w:noProof/>
                <w:color w:val="000000" w:themeColor="text1"/>
                <w:sz w:val="20"/>
              </w:rPr>
              <w:t xml:space="preserve"> a obchod s nimi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CH, US, EU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návrhy rozhodnutí (spolunavrhla EU).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Pokyny, činnosti a nástroje zaměřené na posílení kapacity smluvních stran regulovat obchod </w:t>
            </w:r>
            <w:r>
              <w:rPr>
                <w:b/>
                <w:noProof/>
                <w:color w:val="000000" w:themeColor="text1"/>
                <w:sz w:val="20"/>
              </w:rPr>
              <w:t xml:space="preserve">s masem volně žijících živočichů </w:t>
            </w:r>
            <w:r>
              <w:rPr>
                <w:noProof/>
                <w:color w:val="000000" w:themeColor="text1"/>
                <w:sz w:val="20"/>
              </w:rPr>
              <w:t>(</w:t>
            </w:r>
            <w:r>
              <w:rPr>
                <w:i/>
                <w:noProof/>
                <w:color w:val="000000" w:themeColor="text1"/>
                <w:sz w:val="20"/>
              </w:rPr>
              <w:t>bushmeat</w:t>
            </w:r>
            <w:r>
              <w:rPr>
                <w:noProof/>
                <w:color w:val="000000" w:themeColor="text1"/>
                <w:sz w:val="20"/>
              </w:rPr>
              <w:t>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Iniciativa pro africké šelmy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Obchod se </w:t>
            </w:r>
            <w:r>
              <w:rPr>
                <w:b/>
                <w:noProof/>
                <w:color w:val="000000" w:themeColor="text1"/>
                <w:sz w:val="20"/>
              </w:rPr>
              <w:t>supy</w:t>
            </w:r>
            <w:r>
              <w:rPr>
                <w:noProof/>
                <w:color w:val="000000" w:themeColor="text1"/>
                <w:sz w:val="20"/>
              </w:rPr>
              <w:t xml:space="preserve"> a řízení ochrany v západní Africe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97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BF, NE, SN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soubor rozhodnutí, která podpoří synergie s Úmluvou o ochraně stěhovavých druhů volně žijících živočichů (CMS). Je velmi důležité řešit nezákonné otravy a obchod založený na náboženském přesvědčení, přičemž existují silné vazby mezi pytlačením slo</w:t>
            </w:r>
            <w:r>
              <w:rPr>
                <w:noProof/>
                <w:color w:val="000000" w:themeColor="text1"/>
                <w:sz w:val="20"/>
              </w:rPr>
              <w:t xml:space="preserve">nů/nosorožců a otravami supů. Jeden z druhů uvedených v tomto dokumentu, sup mrchožravý, se pravidelně rozmnožuje v EU a přezimuje v Africe. 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+</w:t>
            </w:r>
          </w:p>
        </w:tc>
      </w:tr>
      <w:tr w:rsidR="001F017F">
        <w:trPr>
          <w:cantSplit/>
        </w:trPr>
        <w:tc>
          <w:tcPr>
            <w:tcW w:w="4382" w:type="dxa"/>
            <w:gridSpan w:val="5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u w:val="single"/>
              </w:rPr>
              <w:t>Úprava příloh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98.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Výhrady</w:t>
            </w:r>
            <w:r>
              <w:rPr>
                <w:noProof/>
                <w:color w:val="000000" w:themeColor="text1"/>
                <w:sz w:val="20"/>
              </w:rPr>
              <w:t xml:space="preserve"> týkající se změn příloh I a II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98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navrhované změny usnesení Conf. 4.25 o </w:t>
            </w:r>
            <w:r>
              <w:rPr>
                <w:i/>
                <w:noProof/>
                <w:color w:val="000000" w:themeColor="text1"/>
                <w:sz w:val="20"/>
              </w:rPr>
              <w:t>výhradách</w:t>
            </w:r>
            <w:r>
              <w:rPr>
                <w:noProof/>
                <w:color w:val="000000" w:themeColor="text1"/>
                <w:sz w:val="20"/>
              </w:rPr>
              <w:t>, aby byla potvrzena 90denní lhůta pro podávání výhrad k návrhům na zařazení na seznam v přílohách I a II a aby se vyjasnilo, kdy se stažení výhrady stává účinným.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99.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Standardní </w:t>
            </w:r>
            <w:r>
              <w:rPr>
                <w:b/>
                <w:noProof/>
                <w:color w:val="000000" w:themeColor="text1"/>
                <w:sz w:val="20"/>
              </w:rPr>
              <w:t>názvosloví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</w:t>
            </w:r>
            <w:r>
              <w:rPr>
                <w:noProof/>
                <w:color w:val="000000" w:themeColor="text1"/>
                <w:sz w:val="20"/>
                <w:u w:val="single"/>
              </w:rPr>
              <w:t xml:space="preserve"> Doc. 99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VZ, VR, sek.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navrhované změny přílohy k rozhodnutí Conf. 12.11 a související návrhy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Příloha 5: Navrhované nové standardní názvosloví ptáků v úmluvě CITES (třída Aves)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99 A5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Vzít na vědomí zprávu poradce o </w:t>
            </w:r>
            <w:r>
              <w:rPr>
                <w:noProof/>
                <w:color w:val="000000" w:themeColor="text1"/>
                <w:sz w:val="20"/>
              </w:rPr>
              <w:t>standardním názvosloví ptáků.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Příloha 6: Navrhované změny publikované literatury týkající se názvosloví druhů živočichů uvedených na seznamu úmluvy CITES, u nichž výbor pro zvířata v době předložení dokumentů na zasedání CoP 18 zatím nedospěl k doporučení ohledně přijetí nebo zamítnutí</w:t>
            </w:r>
            <w:r>
              <w:rPr>
                <w:noProof/>
                <w:color w:val="000000" w:themeColor="text1"/>
                <w:sz w:val="20"/>
              </w:rPr>
              <w:t xml:space="preserve"> pro účely úmluvy CITES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99 A6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100.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Zařazení druhů do </w:t>
            </w:r>
            <w:r>
              <w:rPr>
                <w:b/>
                <w:noProof/>
                <w:color w:val="000000" w:themeColor="text1"/>
                <w:sz w:val="20"/>
              </w:rPr>
              <w:t>přílohy III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Dokument nebyl ke dni 1. 3. k dispozici.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 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101.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Poznámky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101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navrhované změny usnesení Conf. 11.21 (Rev. CoP17), revizi odstavce 7 oddílu týkajícího</w:t>
            </w:r>
            <w:r>
              <w:rPr>
                <w:noProof/>
                <w:color w:val="000000" w:themeColor="text1"/>
                <w:sz w:val="20"/>
              </w:rPr>
              <w:t xml:space="preserve"> se výkladu příloh úmluvy CITES a návrhy rozhodnutí uvedené v příloze 4. Podpořit navrhované změny rozhodnutí 16.162 (Rev. CoP17), ale lze také podpořit případné změny v závislosti na výsledku projednání poznámky #15.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102.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Poznámky k </w:t>
            </w:r>
            <w:r>
              <w:rPr>
                <w:b/>
                <w:noProof/>
                <w:color w:val="000000" w:themeColor="text1"/>
                <w:sz w:val="20"/>
              </w:rPr>
              <w:t>orchidejím</w:t>
            </w:r>
            <w:r>
              <w:rPr>
                <w:noProof/>
                <w:color w:val="000000" w:themeColor="text1"/>
                <w:sz w:val="20"/>
              </w:rPr>
              <w:t xml:space="preserve"> uvedeným</w:t>
            </w:r>
            <w:r>
              <w:rPr>
                <w:noProof/>
                <w:color w:val="000000" w:themeColor="text1"/>
                <w:sz w:val="20"/>
              </w:rPr>
              <w:t xml:space="preserve"> v příloze II 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 102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návrh definice pojmu „kosmetický přípravek“ a přijetí navrhovaných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0" w:type="auto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103.</w:t>
            </w:r>
          </w:p>
        </w:tc>
        <w:tc>
          <w:tcPr>
            <w:tcW w:w="3731" w:type="dxa"/>
            <w:gridSpan w:val="4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Pokyny k </w:t>
            </w:r>
            <w:r>
              <w:rPr>
                <w:b/>
                <w:noProof/>
                <w:color w:val="000000" w:themeColor="text1"/>
                <w:sz w:val="20"/>
              </w:rPr>
              <w:t>zveřejňování</w:t>
            </w:r>
            <w:r>
              <w:rPr>
                <w:noProof/>
                <w:color w:val="000000" w:themeColor="text1"/>
                <w:sz w:val="20"/>
              </w:rPr>
              <w:t xml:space="preserve"> příloh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103</w:t>
            </w:r>
          </w:p>
        </w:tc>
        <w:tc>
          <w:tcPr>
            <w:tcW w:w="1423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CA</w:t>
            </w:r>
          </w:p>
        </w:tc>
        <w:tc>
          <w:tcPr>
            <w:tcW w:w="2410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Zvážit potřebu navrhovaných pokynů k poznámkám, a to i s ohledem na dostupné </w:t>
            </w:r>
            <w:r>
              <w:rPr>
                <w:noProof/>
                <w:color w:val="000000" w:themeColor="text1"/>
                <w:sz w:val="20"/>
              </w:rPr>
              <w:t>připomínky sek.</w:t>
            </w:r>
          </w:p>
        </w:tc>
        <w:tc>
          <w:tcPr>
            <w:tcW w:w="992" w:type="dxa"/>
            <w:shd w:val="clear" w:color="auto" w:fill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0" w:type="auto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104.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Přezkum usnesení Conf. 10.9 </w:t>
            </w:r>
            <w:r>
              <w:rPr>
                <w:i/>
                <w:noProof/>
                <w:color w:val="000000" w:themeColor="text1"/>
                <w:sz w:val="20"/>
              </w:rPr>
              <w:t>o zvážení návrhů na přesun</w:t>
            </w:r>
            <w:r>
              <w:rPr>
                <w:b/>
                <w:i/>
                <w:noProof/>
                <w:color w:val="000000" w:themeColor="text1"/>
                <w:sz w:val="20"/>
              </w:rPr>
              <w:t xml:space="preserve"> populací slona afrického z přílohy I do přílohy II</w:t>
            </w:r>
            <w:r>
              <w:rPr>
                <w:noProof/>
                <w:color w:val="000000" w:themeColor="text1"/>
                <w:sz w:val="20"/>
                <w:u w:val="single"/>
              </w:rPr>
              <w:t>CoP18 Doc. 104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navrhované zrušení usnesení a zrušení souvisejícího rozhodnutí.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  <w:trHeight w:val="326"/>
        </w:trPr>
        <w:tc>
          <w:tcPr>
            <w:tcW w:w="9207" w:type="dxa"/>
            <w:gridSpan w:val="8"/>
            <w:tcMar>
              <w:top w:w="60" w:type="dxa"/>
              <w:left w:w="135" w:type="dxa"/>
              <w:bottom w:w="60" w:type="dxa"/>
              <w:right w:w="135" w:type="dxa"/>
            </w:tcMar>
            <w:hideMark/>
          </w:tcPr>
          <w:p w:rsidR="001F017F" w:rsidRDefault="00FE7689">
            <w:pPr>
              <w:keepNext/>
              <w:suppressAutoHyphens/>
              <w:spacing w:before="0" w:after="0"/>
              <w:jc w:val="left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Návrhy na změnu příloh</w:t>
            </w:r>
          </w:p>
        </w:tc>
      </w:tr>
      <w:tr w:rsidR="001F017F">
        <w:trPr>
          <w:cantSplit/>
        </w:trPr>
        <w:tc>
          <w:tcPr>
            <w:tcW w:w="6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105.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Návrhy na změnu příloh I a II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</w:t>
            </w: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keepNext/>
              <w:suppressAutoHyphens/>
              <w:spacing w:before="0" w:after="0"/>
              <w:jc w:val="left"/>
              <w:rPr>
                <w:rFonts w:eastAsia="Times New Roman"/>
                <w:i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Návrhy na zařazení na seznam jsou uvedeny níže v části 2 tohoto dokumentu.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keepNext/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9207" w:type="dxa"/>
            <w:gridSpan w:val="8"/>
            <w:tcMar>
              <w:top w:w="60" w:type="dxa"/>
              <w:left w:w="135" w:type="dxa"/>
              <w:bottom w:w="60" w:type="dxa"/>
              <w:right w:w="135" w:type="dxa"/>
            </w:tcMar>
            <w:hideMark/>
          </w:tcPr>
          <w:p w:rsidR="001F017F" w:rsidRDefault="00FE7689">
            <w:pPr>
              <w:keepNext/>
              <w:suppressAutoHyphens/>
              <w:spacing w:before="0" w:after="0"/>
              <w:jc w:val="left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Závěr zasedání</w:t>
            </w:r>
          </w:p>
        </w:tc>
      </w:tr>
      <w:tr w:rsidR="001F017F">
        <w:trPr>
          <w:cantSplit/>
        </w:trPr>
        <w:tc>
          <w:tcPr>
            <w:tcW w:w="6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106.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Stanovení termínu a místa konání dalšího pravidelného zasedání konference smluvních stran 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žádný dokument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1F017F">
        <w:trPr>
          <w:cantSplit/>
        </w:trPr>
        <w:tc>
          <w:tcPr>
            <w:tcW w:w="651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107.</w:t>
            </w:r>
          </w:p>
        </w:tc>
        <w:tc>
          <w:tcPr>
            <w:tcW w:w="3731" w:type="dxa"/>
            <w:gridSpan w:val="4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 w:line="240" w:lineRule="atLeas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Závěrečné připomínky (pozorovatelů, smluvních stran, generálního tajemníka úmluvy CITES, hostitelské vlády) (žádný dokument)</w:t>
            </w:r>
          </w:p>
        </w:tc>
        <w:tc>
          <w:tcPr>
            <w:tcW w:w="1423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001F017F" w:rsidRDefault="001F017F">
            <w:pPr>
              <w:suppressAutoHyphens/>
              <w:spacing w:before="0" w:after="0" w:line="240" w:lineRule="atLeas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 žádný dokument</w:t>
            </w:r>
          </w:p>
        </w:tc>
        <w:tc>
          <w:tcPr>
            <w:tcW w:w="992" w:type="dxa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1F017F" w:rsidRDefault="001F017F">
            <w:pPr>
              <w:suppressAutoHyphens/>
              <w:spacing w:before="0" w:after="0" w:line="240" w:lineRule="atLeast"/>
              <w:jc w:val="center"/>
              <w:rPr>
                <w:rFonts w:eastAsia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</w:tbl>
    <w:p w:rsidR="001F017F" w:rsidRDefault="00FE7689">
      <w:pPr>
        <w:suppressAutoHyphens/>
        <w:rPr>
          <w:noProof/>
          <w:color w:val="000000" w:themeColor="text1"/>
          <w:szCs w:val="24"/>
          <w:highlight w:val="yellow"/>
        </w:rPr>
      </w:pPr>
      <w:r>
        <w:rPr>
          <w:noProof/>
        </w:rPr>
        <w:br w:type="page"/>
      </w:r>
    </w:p>
    <w:p w:rsidR="001F017F" w:rsidRDefault="00FE7689">
      <w:pPr>
        <w:pStyle w:val="Heading1"/>
        <w:suppressAutoHyphens/>
        <w:rPr>
          <w:noProof/>
        </w:rPr>
      </w:pPr>
      <w:r>
        <w:rPr>
          <w:noProof/>
        </w:rPr>
        <w:t>Návrhy na zařazení do seznamu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701"/>
        <w:gridCol w:w="1985"/>
        <w:gridCol w:w="1702"/>
        <w:gridCol w:w="2179"/>
        <w:gridCol w:w="905"/>
      </w:tblGrid>
      <w:tr w:rsidR="001F017F">
        <w:trPr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Č.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Taxon / podrobné údaje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Návrh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Navrhovatel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Poznámky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b/>
                <w:noProof/>
                <w:color w:val="000000" w:themeColor="text1"/>
                <w:sz w:val="20"/>
                <w:szCs w:val="20"/>
              </w:rPr>
            </w:pPr>
            <w:r>
              <w:rPr>
                <w:b/>
                <w:noProof/>
                <w:color w:val="000000" w:themeColor="text1"/>
                <w:sz w:val="20"/>
              </w:rPr>
              <w:t>Postoj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Capra falconeri heptneri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 xml:space="preserve">(koza šrouborohá turkmenská) </w:t>
            </w:r>
            <w:r>
              <w:rPr>
                <w:noProof/>
                <w:color w:val="000000" w:themeColor="text1"/>
                <w:sz w:val="20"/>
              </w:rPr>
              <w:t>(tádžická populace)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tádžickou populaci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Tádžikistán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Zdá se, že populace roste a řízením lovu v souladu s ustanoveními úmluvy CITES o druzích uvedených </w:t>
            </w:r>
            <w:r>
              <w:rPr>
                <w:noProof/>
                <w:color w:val="000000" w:themeColor="text1"/>
                <w:sz w:val="20"/>
              </w:rPr>
              <w:t>v příloze I vznikají příjmy, které se vrací zpět společenstvím a používají se na ochranu. Návrh však neobsahuje přesvědčivé důkazy o tom, že jsou plněna preventivní opatření v příloze 4 usnesení Conf. 9.24; přeřazení níže do seznamu by vedlo ke zvýšení obj</w:t>
            </w:r>
            <w:r>
              <w:rPr>
                <w:noProof/>
                <w:color w:val="000000" w:themeColor="text1"/>
                <w:sz w:val="20"/>
              </w:rPr>
              <w:t>emu obchodu, aniž by bylo zaručeno, že příjmy budou použity na ochranu. Svaz IUCN doporučuje pokračovat v současném řízení a posílit jej.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Saiga tatarica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(sajga tatarská)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Mongolsko,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Spojené státy americké </w:t>
            </w:r>
          </w:p>
          <w:p w:rsidR="001F017F" w:rsidRDefault="001F017F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Je třeba provést další analýzu a vyjasnit taxonomické záležitosti, včetně otázky, zda lze v návrzích na zařazení na seznam použít názvosloví, které se liší od standardního názvosloví přijatého na zasedání konference smluvních stran úmluvy CITES (viz. usnes</w:t>
            </w:r>
            <w:r>
              <w:rPr>
                <w:noProof/>
                <w:color w:val="000000" w:themeColor="text1"/>
                <w:sz w:val="20"/>
              </w:rPr>
              <w:t xml:space="preserve">ení 9.24 příloha 6, oddíl C-1.4). V návrhu se všechny novější odkazy na sajgy považují za odkazy na jeden druh v souladu s Červeným seznamem IUCN. V současnosti platný taxonomický odkaz v rámci úmluvy CITES však rozlišuje mongolské populace jako </w:t>
            </w:r>
            <w:r>
              <w:rPr>
                <w:i/>
                <w:noProof/>
                <w:color w:val="000000" w:themeColor="text1"/>
                <w:sz w:val="20"/>
              </w:rPr>
              <w:t>S. boreali</w:t>
            </w:r>
            <w:r>
              <w:rPr>
                <w:i/>
                <w:noProof/>
                <w:color w:val="000000" w:themeColor="text1"/>
                <w:sz w:val="20"/>
              </w:rPr>
              <w:t>s</w:t>
            </w:r>
            <w:r>
              <w:rPr>
                <w:noProof/>
                <w:color w:val="000000" w:themeColor="text1"/>
                <w:sz w:val="20"/>
              </w:rPr>
              <w:t xml:space="preserve">. Zdá se tedy, že se návrh nevztahuje na mongolské populace / </w:t>
            </w:r>
            <w:r>
              <w:rPr>
                <w:i/>
                <w:noProof/>
                <w:color w:val="000000" w:themeColor="text1"/>
                <w:sz w:val="20"/>
              </w:rPr>
              <w:t>S. borealis</w:t>
            </w:r>
            <w:r>
              <w:rPr>
                <w:noProof/>
                <w:color w:val="000000" w:themeColor="text1"/>
                <w:sz w:val="20"/>
              </w:rPr>
              <w:t xml:space="preserve">. V takovém případě by návrh měl být zamítnut, aby se předešlo jakémukoli negativnímu dopadu zařazení druhu </w:t>
            </w:r>
            <w:r>
              <w:rPr>
                <w:i/>
                <w:noProof/>
                <w:color w:val="000000" w:themeColor="text1"/>
                <w:sz w:val="20"/>
              </w:rPr>
              <w:t>S. tatarica</w:t>
            </w:r>
            <w:r>
              <w:rPr>
                <w:noProof/>
                <w:color w:val="000000" w:themeColor="text1"/>
                <w:sz w:val="20"/>
              </w:rPr>
              <w:t xml:space="preserve"> do přílohy I na populaci </w:t>
            </w:r>
            <w:r>
              <w:rPr>
                <w:i/>
                <w:noProof/>
                <w:color w:val="000000" w:themeColor="text1"/>
                <w:sz w:val="20"/>
              </w:rPr>
              <w:t>S. borealis</w:t>
            </w:r>
            <w:r>
              <w:rPr>
                <w:noProof/>
                <w:color w:val="000000" w:themeColor="text1"/>
                <w:sz w:val="20"/>
              </w:rPr>
              <w:t>.</w:t>
            </w:r>
          </w:p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Pokud objasnění názvoslo</w:t>
            </w:r>
            <w:r>
              <w:rPr>
                <w:noProof/>
                <w:color w:val="000000" w:themeColor="text1"/>
                <w:sz w:val="20"/>
              </w:rPr>
              <w:t xml:space="preserve">ví na zasedání CoP 18 umožní na seznam zařadit celý rod, pak by EU měla zvážit podporu takového návrhu, nebo pozměněného návrhu, který by vedl k zařazení mongolské populace /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S. borealis </w:t>
            </w:r>
            <w:r>
              <w:rPr>
                <w:noProof/>
                <w:color w:val="000000" w:themeColor="text1"/>
                <w:sz w:val="20"/>
              </w:rPr>
              <w:t>na seznam v příloze I.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Vicugna vicugna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(vikuňa)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(populace </w:t>
            </w:r>
            <w:r>
              <w:rPr>
                <w:noProof/>
                <w:color w:val="000000" w:themeColor="text1"/>
                <w:sz w:val="20"/>
              </w:rPr>
              <w:t>v provincii Salta)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populaci v provincii Salta (Argentina) z přílohy I do přílohy II s poznámkou 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Argentina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Od roku 2006 se populace výrazně zvyšuje, její monitorování se zdá být na dobré úrovni a 41 % (14 000 km²) jejich stanoviště je </w:t>
            </w:r>
            <w:r>
              <w:rPr>
                <w:noProof/>
                <w:color w:val="000000" w:themeColor="text1"/>
                <w:sz w:val="20"/>
              </w:rPr>
              <w:t>chráněno. Jediná forma plánovaného využití je stříhání volně žijících exemplářů.</w:t>
            </w:r>
          </w:p>
          <w:p w:rsidR="001F017F" w:rsidRDefault="00FE7689">
            <w:pPr>
              <w:suppressAutoHyphens/>
              <w:spacing w:after="0"/>
              <w:jc w:val="left"/>
              <w:rPr>
                <w:i/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Projednat společně s pracovním dokumentem 91.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Vicugna vicugna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(vikuňa)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(chilská populace)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Změnit název chilské populace z „populace v regionu Primera Región“ na „populace</w:t>
            </w:r>
            <w:r>
              <w:rPr>
                <w:noProof/>
                <w:color w:val="000000" w:themeColor="text1"/>
                <w:sz w:val="20"/>
              </w:rPr>
              <w:t xml:space="preserve"> v regionu Tarapacá a regionu Arica a Parinacota“.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Chile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Podpořit – návrh neobsahuje žádnou zásadní změnu ve vztahu k zařazení na seznam, pouze upravuje zeměpisné označení.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Giraffa camelopardalis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(žirafa)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  <w:p w:rsidR="001F017F" w:rsidRDefault="001F017F">
            <w:pPr>
              <w:pStyle w:val="Default"/>
              <w:suppressAutoHyphens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Středoafrická </w:t>
            </w:r>
            <w:r>
              <w:rPr>
                <w:noProof/>
                <w:color w:val="000000" w:themeColor="text1"/>
                <w:sz w:val="20"/>
              </w:rPr>
              <w:t>republika, Čad, Keňa, Mali, Niger a Senegal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Calibri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Jsou zapotřebí další důkazy, aby se prokázalo, že mezinárodní obchod významně přispívá k poklesu jakýchkoli populací a že jsou splněna kritéria pro zařazení do přílohy II. Upřednostňovanou cestou by bylo přijetí </w:t>
            </w:r>
            <w:r>
              <w:rPr>
                <w:noProof/>
                <w:color w:val="000000" w:themeColor="text1"/>
                <w:sz w:val="20"/>
              </w:rPr>
              <w:t>souboru rozhodnutí vyzývajících k externí studii a k posouzení výborem pro zvířata a stálým výborem.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Aonyx cinereus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(vydra malá)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Indie, Nepál a Filipíny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Je třeba další potvrzení, zda jsou splněna kritéria pro zařazení do přílohy I. Podle svazu IUCN k nedávnému rychlému úbytku druhu přispívá obchod se zvířaty v zájmovém chovu na internetu.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Lutrogale perspicillata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(vydra hladkosrstá)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</w:t>
            </w:r>
            <w:r>
              <w:rPr>
                <w:noProof/>
                <w:color w:val="000000" w:themeColor="text1"/>
                <w:sz w:val="20"/>
              </w:rPr>
              <w:t xml:space="preserve">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Bangladéš, Indie a Nepál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Je třeba potvrdit, zda tento druh splňuje biologická kritéria pro zařazení do přílohy I. K zákonnému mezinárodnímu obchodu dochází jen v omezené míře, avšak přeřazení výše do seznamu by mohlo přispět </w:t>
            </w:r>
            <w:r>
              <w:rPr>
                <w:noProof/>
                <w:color w:val="000000" w:themeColor="text1"/>
                <w:sz w:val="20"/>
              </w:rPr>
              <w:t>k ochraně druhu, neboť objem nezákonného obchodu je významný.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Ceratotherium simum simum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(nosorožec tuponosý jižní)(svazijská populace)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Odstranit stávající poznámku k svazijské populaci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Svazijsko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Nesouhlasit. Tato populace nadále splňuje kritéria pro</w:t>
            </w:r>
            <w:r>
              <w:rPr>
                <w:noProof/>
                <w:color w:val="000000" w:themeColor="text1"/>
                <w:sz w:val="20"/>
              </w:rPr>
              <w:t xml:space="preserve"> zařazení do přílohy II, avšak v případě navrhovaného odstranění poznámky by nebyly splněny preventivní záruky uvedené v odst. 2. A. písm. a) přílohy 4 usnesení Conf. 9.24. Vzhledem k vysoké míře pytlačení a nezákonného obchodu by obnovení obchodu s rohy n</w:t>
            </w:r>
            <w:r>
              <w:rPr>
                <w:noProof/>
                <w:color w:val="000000" w:themeColor="text1"/>
                <w:sz w:val="20"/>
              </w:rPr>
              <w:t>osorožce v tuto chvíli vyslalo špatný signál. Rovněž by ohrozilo kroky mnoha smluvních stran ke snižování poptávky po tomto druhu.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Ceratotherium simum simum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(nosorožec tuponosý jižní)(namibijská populace)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Přesunout namibijskou populaci druhu </w:t>
            </w:r>
            <w:r>
              <w:rPr>
                <w:i/>
                <w:noProof/>
                <w:color w:val="000000" w:themeColor="text1"/>
                <w:sz w:val="20"/>
              </w:rPr>
              <w:t>Ceratotherium simum simum</w:t>
            </w:r>
            <w:r>
              <w:rPr>
                <w:noProof/>
                <w:color w:val="000000" w:themeColor="text1"/>
                <w:sz w:val="20"/>
              </w:rPr>
              <w:t xml:space="preserve"> z přílohy I do přílohy II s touto poznámkou: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„Výhradně pro účely umožnění mezinárodního obchodu s:</w:t>
            </w:r>
          </w:p>
          <w:p w:rsidR="001F017F" w:rsidRDefault="00FE7689">
            <w:pPr>
              <w:numPr>
                <w:ilvl w:val="0"/>
                <w:numId w:val="9"/>
              </w:num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živými zvířaty na vhodná a přijatelná místa určení; a</w:t>
            </w:r>
          </w:p>
          <w:p w:rsidR="001F017F" w:rsidRDefault="00FE7689">
            <w:pPr>
              <w:numPr>
                <w:ilvl w:val="0"/>
                <w:numId w:val="9"/>
              </w:num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loveckými trofejemi.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Všechny ostatní exempláře jsou považovány za exempláře </w:t>
            </w:r>
            <w:r>
              <w:rPr>
                <w:noProof/>
                <w:color w:val="000000" w:themeColor="text1"/>
                <w:sz w:val="20"/>
              </w:rPr>
              <w:t>druhů zařazených v příloze I a obchod s nimi je podle toho regulován.“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Namibie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Namibijská populace je v dobrém zdravotním stavu; zdá se, že již nesplňuje kritéria přílohy I a splňuje preventivní opatření pro zařazení níže do seznamu do přílohy II; poznámka</w:t>
            </w:r>
            <w:r>
              <w:rPr>
                <w:noProof/>
                <w:color w:val="000000" w:themeColor="text1"/>
                <w:sz w:val="20"/>
              </w:rPr>
              <w:t xml:space="preserve"> se zdá být velmi omezená a totožná se stávající poznámkou pro Jižní Afriku a Svazijsko. Je třeba uznat úspěšnou ochranu druhu v Namibii.</w:t>
            </w:r>
          </w:p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Případná rizika spojená s návrhem by měla být dále přezkoumána.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017F" w:rsidRDefault="00FE7689">
            <w:pPr>
              <w:suppressAutoHyphens/>
              <w:spacing w:after="0"/>
              <w:jc w:val="left"/>
              <w:rPr>
                <w:rStyle w:val="Bodytext2"/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Italic"/>
                <w:rFonts w:ascii="Times New Roman" w:hAnsi="Times New Roman"/>
                <w:noProof/>
                <w:color w:val="000000" w:themeColor="text1"/>
                <w:sz w:val="20"/>
              </w:rPr>
              <w:t xml:space="preserve">Loxodonta </w:t>
            </w:r>
            <w:r>
              <w:rPr>
                <w:rStyle w:val="Bodytext2Italic"/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Italic"/>
                <w:rFonts w:ascii="Times New Roman" w:hAnsi="Times New Roman"/>
                <w:noProof/>
                <w:color w:val="000000" w:themeColor="text1"/>
                <w:sz w:val="20"/>
              </w:rPr>
              <w:t xml:space="preserve">africana </w:t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(slon africký)</w:t>
            </w:r>
          </w:p>
          <w:p w:rsidR="001F017F" w:rsidRDefault="001F017F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tabs>
                <w:tab w:val="left" w:pos="256"/>
              </w:tabs>
              <w:suppressAutoHyphens/>
              <w:spacing w:line="226" w:lineRule="exact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Přesunout zambijskou populaci z přílohy I do přílohy II za těchto podmínek:</w:t>
            </w:r>
          </w:p>
          <w:p w:rsidR="001F017F" w:rsidRDefault="00FE7689">
            <w:pPr>
              <w:widowControl w:val="0"/>
              <w:numPr>
                <w:ilvl w:val="0"/>
                <w:numId w:val="12"/>
              </w:numPr>
              <w:tabs>
                <w:tab w:val="left" w:pos="256"/>
                <w:tab w:val="left" w:pos="398"/>
              </w:tabs>
              <w:suppressAutoHyphens/>
              <w:spacing w:before="0" w:after="0" w:line="226" w:lineRule="exact"/>
              <w:ind w:left="316" w:hanging="316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tab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obchod s registrovanou surovou slonovinou (kly a kusy) pro komerční účely pouze obchodním partnerům schváleným úmluvou CITES, kteří nebudou opětovně vyvážet.</w:t>
            </w:r>
          </w:p>
          <w:p w:rsidR="001F017F" w:rsidRDefault="00FE7689">
            <w:pPr>
              <w:widowControl w:val="0"/>
              <w:numPr>
                <w:ilvl w:val="0"/>
                <w:numId w:val="12"/>
              </w:numPr>
              <w:tabs>
                <w:tab w:val="left" w:pos="256"/>
                <w:tab w:val="left" w:pos="398"/>
              </w:tabs>
              <w:suppressAutoHyphens/>
              <w:spacing w:before="0" w:after="0" w:line="226" w:lineRule="exact"/>
              <w:ind w:left="316" w:hanging="316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obchod s loveckými tr</w:t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ofejemi pro nekomerční účely;</w:t>
            </w:r>
          </w:p>
          <w:p w:rsidR="001F017F" w:rsidRDefault="00FE7689">
            <w:pPr>
              <w:widowControl w:val="0"/>
              <w:numPr>
                <w:ilvl w:val="0"/>
                <w:numId w:val="12"/>
              </w:numPr>
              <w:tabs>
                <w:tab w:val="left" w:pos="256"/>
                <w:tab w:val="left" w:pos="389"/>
              </w:tabs>
              <w:suppressAutoHyphens/>
              <w:spacing w:before="0" w:after="0" w:line="230" w:lineRule="exact"/>
              <w:ind w:left="316" w:hanging="316"/>
              <w:jc w:val="left"/>
              <w:rPr>
                <w:rStyle w:val="Bodytext2"/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obchod s kůžemi a koženými výrobky.</w:t>
            </w:r>
          </w:p>
          <w:p w:rsidR="001F017F" w:rsidRDefault="00FE7689">
            <w:pPr>
              <w:widowControl w:val="0"/>
              <w:numPr>
                <w:ilvl w:val="0"/>
                <w:numId w:val="12"/>
              </w:numPr>
              <w:tabs>
                <w:tab w:val="left" w:pos="256"/>
                <w:tab w:val="left" w:pos="389"/>
              </w:tabs>
              <w:suppressAutoHyphens/>
              <w:spacing w:before="0" w:after="0" w:line="230" w:lineRule="exact"/>
              <w:ind w:left="316" w:hanging="316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Všechny ostatní exempláře jsou považovány za exempláře druhů zařazených v příloze I a obchod s nimi je podle toho regulován.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Zambie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Tato poznámka navrhovaná Zambií by znovu otevřela mezináro</w:t>
            </w:r>
            <w:r>
              <w:rPr>
                <w:noProof/>
                <w:color w:val="000000" w:themeColor="text1"/>
                <w:sz w:val="20"/>
              </w:rPr>
              <w:t xml:space="preserve">dní obchod se slonovinou a nemůže být v této podobě podpořena. </w:t>
            </w:r>
          </w:p>
          <w:p w:rsidR="001F017F" w:rsidRDefault="001F017F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Loxodonta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 xml:space="preserve">africana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(slon africký)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(populace v Botswaně, Namibii, Jižní Africe a Zimbabwe)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Změna poznámky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tabs>
                <w:tab w:val="left" w:pos="0"/>
              </w:tabs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Změna poznámky 2:</w:t>
            </w:r>
          </w:p>
          <w:p w:rsidR="001F017F" w:rsidRDefault="00FE7689">
            <w:pPr>
              <w:tabs>
                <w:tab w:val="left" w:pos="176"/>
              </w:tabs>
              <w:suppressAutoHyphens/>
              <w:spacing w:after="0"/>
              <w:ind w:left="176" w:hanging="176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„Výhradně pro účely umožnění:</w:t>
            </w:r>
          </w:p>
          <w:p w:rsidR="001F017F" w:rsidRDefault="00FE7689">
            <w:pPr>
              <w:tabs>
                <w:tab w:val="left" w:pos="176"/>
              </w:tabs>
              <w:suppressAutoHyphens/>
              <w:spacing w:before="0" w:after="0"/>
              <w:ind w:left="176" w:hanging="176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[...]</w:t>
            </w:r>
          </w:p>
          <w:p w:rsidR="001F017F" w:rsidRDefault="00FE7689">
            <w:pPr>
              <w:tabs>
                <w:tab w:val="left" w:pos="176"/>
              </w:tabs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g)</w:t>
            </w:r>
            <w:r>
              <w:rPr>
                <w:noProof/>
              </w:rPr>
              <w:tab/>
            </w:r>
            <w:r>
              <w:rPr>
                <w:noProof/>
                <w:color w:val="000000" w:themeColor="text1"/>
                <w:sz w:val="20"/>
              </w:rPr>
              <w:t xml:space="preserve">obchodu s registrovanou surovou slonovinou (pro Botswanu, Namibii, Jižní Afriku a Zimbabwe, celé kly a kusy) za těchto podmínek: 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clear" w:pos="1440"/>
                <w:tab w:val="num" w:pos="459"/>
              </w:tabs>
              <w:suppressAutoHyphens/>
              <w:spacing w:before="0" w:after="0"/>
              <w:ind w:left="318" w:hanging="142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pouze registrované, státem vlastněné zásoby pocházející z daného státu (s vyloučením zabavené slonoviny a slonoviny neznámého </w:t>
            </w:r>
            <w:r>
              <w:rPr>
                <w:noProof/>
                <w:color w:val="000000" w:themeColor="text1"/>
                <w:sz w:val="20"/>
              </w:rPr>
              <w:t>původu);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clear" w:pos="1440"/>
                <w:tab w:val="num" w:pos="459"/>
              </w:tabs>
              <w:suppressAutoHyphens/>
              <w:spacing w:before="0" w:after="0"/>
              <w:ind w:left="318" w:hanging="142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pouze obchodním partnerům, v jejichž případě sekretariát po konzultaci se stálým výborem potvrdil, že mají dostatečné vnitrostátní právní předpisy a kontrolu vnitrostátního obchodu, aby se zajistilo, že dovážená slonovina nebude opětovně vyvážena </w:t>
            </w:r>
            <w:r>
              <w:rPr>
                <w:noProof/>
                <w:color w:val="000000" w:themeColor="text1"/>
                <w:sz w:val="20"/>
              </w:rPr>
              <w:t>a že s ní bude zacházeno v souladu se všemi požadavky usnesení Conf. 10.10 (Rev. CoP17) týkajícími se vnitrostátního zpracování a obchodu;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clear" w:pos="1440"/>
                <w:tab w:val="num" w:pos="459"/>
              </w:tabs>
              <w:suppressAutoHyphens/>
              <w:spacing w:before="0" w:after="0"/>
              <w:ind w:left="318" w:hanging="142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ne dříve než sekretariát schválí eventuální dovážející země a registrované, státem vlastněné zásoby;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left" w:pos="176"/>
              </w:tabs>
              <w:suppressAutoHyphens/>
              <w:spacing w:before="0" w:after="0"/>
              <w:ind w:left="352" w:hanging="176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tab/>
            </w:r>
            <w:r>
              <w:rPr>
                <w:strike/>
                <w:noProof/>
                <w:color w:val="000000" w:themeColor="text1"/>
                <w:sz w:val="20"/>
              </w:rPr>
              <w:t>surová slonovin</w:t>
            </w:r>
            <w:r>
              <w:rPr>
                <w:strike/>
                <w:noProof/>
                <w:color w:val="000000" w:themeColor="text1"/>
                <w:sz w:val="20"/>
              </w:rPr>
              <w:t>a na základě podmínečného prodeje registrovaných, státem vlastněných zásob slonoviny odsouhlaseného na CoP12, jež představují 20 000 kg (Botswana), 10 000 kg (Namibie) a 30 000 kg (Jihoafrická republika);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left" w:pos="176"/>
              </w:tabs>
              <w:suppressAutoHyphens/>
              <w:spacing w:before="0" w:after="0"/>
              <w:ind w:left="352" w:hanging="176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tab/>
            </w:r>
            <w:r>
              <w:rPr>
                <w:strike/>
                <w:noProof/>
                <w:color w:val="000000" w:themeColor="text1"/>
                <w:sz w:val="20"/>
              </w:rPr>
              <w:t>navíc k množství odsouhlasenému na CoP12, státem v</w:t>
            </w:r>
            <w:r>
              <w:rPr>
                <w:strike/>
                <w:noProof/>
                <w:color w:val="000000" w:themeColor="text1"/>
                <w:sz w:val="20"/>
              </w:rPr>
              <w:t>lastněná slonovina z Botswany, Namibie, Jihoafrické republiky a Zimbabwe, registrovaná ke dni 31. ledna 2007 a ověřená sekretariátem, může být obchodována a odeslána spolu se slonovinou v bodě g) podbodě iv) výše v jediném prodeji na místo určení za přísné</w:t>
            </w:r>
            <w:r>
              <w:rPr>
                <w:strike/>
                <w:noProof/>
                <w:color w:val="000000" w:themeColor="text1"/>
                <w:sz w:val="20"/>
              </w:rPr>
              <w:t>ho dohledu ze strany sekretariátu;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clear" w:pos="1440"/>
                <w:tab w:val="num" w:pos="459"/>
              </w:tabs>
              <w:suppressAutoHyphens/>
              <w:spacing w:before="0" w:after="0"/>
              <w:ind w:left="318" w:hanging="142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příjmy z obchodu se použijí výhradně na ochranu slonů a na programy ochrany a rozvoje obcí, které jsou uvnitř oblasti výskytu slonů nebo v jeho sousedství; a</w:t>
            </w:r>
          </w:p>
          <w:p w:rsidR="001F017F" w:rsidRDefault="00FE7689">
            <w:pPr>
              <w:numPr>
                <w:ilvl w:val="1"/>
                <w:numId w:val="11"/>
              </w:numPr>
              <w:tabs>
                <w:tab w:val="left" w:pos="176"/>
              </w:tabs>
              <w:suppressAutoHyphens/>
              <w:spacing w:before="0" w:after="0"/>
              <w:ind w:left="352" w:hanging="176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tab/>
            </w:r>
            <w:r>
              <w:rPr>
                <w:strike/>
                <w:noProof/>
                <w:color w:val="000000" w:themeColor="text1"/>
                <w:sz w:val="20"/>
              </w:rPr>
              <w:t>dodatečná množství uvedená v bodě g) podbodě v) výše budou obc</w:t>
            </w:r>
            <w:r>
              <w:rPr>
                <w:strike/>
                <w:noProof/>
                <w:color w:val="000000" w:themeColor="text1"/>
                <w:sz w:val="20"/>
              </w:rPr>
              <w:t>hodována pouze poté, co stálý výbor potvrdí, že výše uvedené podmínky byly splněny; a</w:t>
            </w:r>
          </w:p>
          <w:p w:rsidR="001F017F" w:rsidRDefault="00FE7689">
            <w:pPr>
              <w:tabs>
                <w:tab w:val="left" w:pos="176"/>
              </w:tabs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h)</w:t>
            </w:r>
            <w:r>
              <w:rPr>
                <w:noProof/>
              </w:rPr>
              <w:tab/>
            </w:r>
            <w:r>
              <w:rPr>
                <w:strike/>
                <w:noProof/>
                <w:color w:val="000000" w:themeColor="text1"/>
                <w:sz w:val="20"/>
              </w:rPr>
              <w:t xml:space="preserve">žádné další návrhy na povolení obchodu se sloní slonovinou z populací, které jsou již v příloze II, nebudou předkládány konferenci smluvních stran v období od CoP14 a </w:t>
            </w:r>
            <w:r>
              <w:rPr>
                <w:strike/>
                <w:noProof/>
                <w:color w:val="000000" w:themeColor="text1"/>
                <w:sz w:val="20"/>
              </w:rPr>
              <w:t>končící po devíti letech od data jediného prodeje slonoviny, který se má uskutečnit v souladu s ustanoveními v bodě g) podbodě i), bodě g) podbodě ii), bodě g) podbodě iii), bodě g) podbodě vi) a bodě g) podbodě vii). Navíc budou další takové návrhy projed</w:t>
            </w:r>
            <w:r>
              <w:rPr>
                <w:strike/>
                <w:noProof/>
                <w:color w:val="000000" w:themeColor="text1"/>
                <w:sz w:val="20"/>
              </w:rPr>
              <w:t>nány v souladu s rozhodnutími 16.55 a 14.78 (Rev. CoP16).</w:t>
            </w:r>
          </w:p>
          <w:p w:rsidR="001F017F" w:rsidRDefault="00FE7689">
            <w:pPr>
              <w:tabs>
                <w:tab w:val="left" w:pos="0"/>
              </w:tabs>
              <w:suppressAutoHyphens/>
              <w:ind w:firstLine="23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[…]“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Botswana, Namibie a Zimbabwe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Požadovaná změna by vedla k otevření mezinárodního obchodu se slonovinou, a proto nesplňuje preventivní opatření v příloze 4 usnesení Conf. 9.24 a je předčasná.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817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Loxodonta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>africana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(slon africký)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(populace v Botswaně, Namibii, Jižní Africe a Zimbabwe)</w:t>
            </w:r>
          </w:p>
        </w:tc>
        <w:tc>
          <w:tcPr>
            <w:tcW w:w="1985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populace v Botswaně, Namibii, Jižní Africe a Zimbabwe z přílohy II do přílohy I</w:t>
            </w:r>
          </w:p>
        </w:tc>
        <w:tc>
          <w:tcPr>
            <w:tcW w:w="1702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Burkina </w:t>
            </w:r>
            <w:r>
              <w:rPr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Faso, Pobřeží slonoviny, Gabon, Keňa, </w:t>
            </w:r>
            <w:r>
              <w:rPr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Libérie, Niger, </w:t>
            </w:r>
            <w:r>
              <w:rPr>
                <w:noProof/>
                <w:color w:val="000000" w:themeColor="text1"/>
                <w:sz w:val="20"/>
              </w:rPr>
              <w:t>Nigérie, Súdán, Syrská arabská republika a Togo</w:t>
            </w:r>
          </w:p>
        </w:tc>
        <w:tc>
          <w:tcPr>
            <w:tcW w:w="2179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Tyto 4 populace nesplňují kritéria přílohy I a dotčené státy, na jejichž území se druh vyskytuje, s přeřazením výše do seznamu nesouhlasí. </w:t>
            </w:r>
          </w:p>
        </w:tc>
        <w:tc>
          <w:tcPr>
            <w:tcW w:w="905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Mammuthus primigenius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(mamut srstnatý)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Zařadit do </w:t>
            </w:r>
            <w:r>
              <w:rPr>
                <w:noProof/>
                <w:color w:val="000000" w:themeColor="text1"/>
                <w:sz w:val="20"/>
              </w:rPr>
              <w:t>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Izrael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Účelem úmluvy CITES je chránit druhy před nadměrným využíváním a vymíráním. Podobnost se nejeví jako dostatečný argument pro zařazení mamuta na seznam. Nebyly předloženy důkazy o všeobecně rozšířené nesprávné identifikaci a podvodné legal</w:t>
            </w:r>
            <w:r>
              <w:rPr>
                <w:noProof/>
                <w:color w:val="000000" w:themeColor="text1"/>
                <w:sz w:val="20"/>
              </w:rPr>
              <w:t>izaci, přičemž sloní a mamutí zubovina mají jedinečné vlastnosti, které snadno rozliší i neodborník. Zařazení do přílohy II by nebylo přeměřené rozsahu rizika (v podobě možné tvorby velkého množství povolení bez jakéhokoli, nebo omezeného přínosu pro ochra</w:t>
            </w:r>
            <w:r>
              <w:rPr>
                <w:noProof/>
                <w:color w:val="000000" w:themeColor="text1"/>
                <w:sz w:val="20"/>
              </w:rPr>
              <w:t>nu).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–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Leporillus conditor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(krysa zajícová)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Austrálie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Přesun do přílohy II doporučený výborem pro zvířata úmluvy CITES. Tento druh se nevyskytuje v mezinárodním obchodu.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Pseudomys fieldi praeconis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(myška</w:t>
            </w:r>
            <w:r>
              <w:rPr>
                <w:noProof/>
                <w:color w:val="000000" w:themeColor="text1"/>
                <w:sz w:val="20"/>
              </w:rPr>
              <w:t xml:space="preserve"> hlasatelská)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Austrálie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Přesun do přílohy II doporučený výborem pro zvířata úmluvy CITES. Tento druh se nevyskytuje v mezinárodním obchodu.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Xeromys myoides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(krysa pobřežní)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Přesunout z přílohy I do </w:t>
            </w:r>
            <w:r>
              <w:rPr>
                <w:noProof/>
                <w:color w:val="000000" w:themeColor="text1"/>
                <w:sz w:val="20"/>
              </w:rPr>
              <w:t>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Austrálie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Přesun do přílohy II doporučený výborem pro zvířata úmluvy CITES. Tento druh se nevyskytuje v mezinárodním obchodu.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Zyzomys pedunculatus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(skálomyš tlustoocasá)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Austrálie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Přesun </w:t>
            </w:r>
            <w:r>
              <w:rPr>
                <w:noProof/>
                <w:color w:val="000000" w:themeColor="text1"/>
                <w:sz w:val="20"/>
              </w:rPr>
              <w:t>do přílohy II doporučený výborem pro zvířata úmluvy CITES. Tento druh se nevyskytuje v mezinárodním obchodu.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Syrmaticus reevesii</w:t>
            </w:r>
          </w:p>
          <w:p w:rsidR="001F017F" w:rsidRDefault="00FE7689">
            <w:p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(bažant královský)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CN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Kritéria pro zařazení na seznam v příloze II splňuje pouze čínská </w:t>
            </w:r>
            <w:r>
              <w:rPr>
                <w:noProof/>
                <w:color w:val="000000" w:themeColor="text1"/>
                <w:sz w:val="20"/>
              </w:rPr>
              <w:t>populace. Lze podpořit užší návrh, který stanoví, že administrativní zátěž spojená s řízením obchodu s exempláři z nepůvodních populací zůstane přiměřená. Toho lze dosáhnout tím, že se zařazení na seznam v příloze II omezí na čínskou populaci, nebo že bude</w:t>
            </w:r>
            <w:r>
              <w:rPr>
                <w:noProof/>
                <w:color w:val="000000" w:themeColor="text1"/>
                <w:sz w:val="20"/>
              </w:rPr>
              <w:t xml:space="preserve"> druh zařazen do přílohy III.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(0)</w:t>
            </w:r>
          </w:p>
        </w:tc>
      </w:tr>
      <w:tr w:rsidR="001F017F">
        <w:tc>
          <w:tcPr>
            <w:tcW w:w="817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19</w:t>
            </w:r>
          </w:p>
        </w:tc>
        <w:tc>
          <w:tcPr>
            <w:tcW w:w="1701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Balearica pavonina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(jeřáb paví)</w:t>
            </w:r>
          </w:p>
        </w:tc>
        <w:tc>
          <w:tcPr>
            <w:tcW w:w="1985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Burkina Faso, Pobřeží slonoviny a Senegal</w:t>
            </w:r>
          </w:p>
        </w:tc>
        <w:tc>
          <w:tcPr>
            <w:tcW w:w="2179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Není jasné, zda jsou splněna kritéria pro zařazení na seznam a zda by zařazení výše do seznamu přispělo k boji proti nezákonnému obchodu. Je třeba provést analýzu možného dopadu na obchod s druhem </w:t>
            </w:r>
            <w:r>
              <w:rPr>
                <w:i/>
                <w:noProof/>
                <w:color w:val="000000" w:themeColor="text1"/>
                <w:sz w:val="20"/>
              </w:rPr>
              <w:t>Balearica regulorum</w:t>
            </w:r>
            <w:r>
              <w:rPr>
                <w:noProof/>
                <w:color w:val="000000" w:themeColor="text1"/>
                <w:sz w:val="20"/>
              </w:rPr>
              <w:t xml:space="preserve"> (příloha II), který je ohroženější (Čer</w:t>
            </w:r>
            <w:r>
              <w:rPr>
                <w:noProof/>
                <w:color w:val="000000" w:themeColor="text1"/>
                <w:sz w:val="20"/>
              </w:rPr>
              <w:t>vený seznam IUCN).  – V současnosti se pozastavení obchodu v rámci přezkumu významného obchodu (RST) vztahuje na dva státy, na jejichž území se druh vyskytuje. Ve zbývajících státech, na jejichž území se druh vyskytuje, již přezkum neprobíhá, protože nebyl</w:t>
            </w:r>
            <w:r>
              <w:rPr>
                <w:noProof/>
                <w:color w:val="000000" w:themeColor="text1"/>
                <w:sz w:val="20"/>
              </w:rPr>
              <w:t xml:space="preserve"> relevantní. Neproběhla konzultace s VZ podle požadavků v příloze 6. bodě 10 usnesení Conf. 9.24 upravující případy, kdy jsou návrhy na přesun druhu z přílohy II do přílohy I předmětem RST. Před přeřazením výše do seznamu by mohlo být lepší počkat na výsle</w:t>
            </w:r>
            <w:r>
              <w:rPr>
                <w:noProof/>
                <w:color w:val="000000" w:themeColor="text1"/>
                <w:sz w:val="20"/>
              </w:rPr>
              <w:t>dek RST.</w:t>
            </w:r>
          </w:p>
        </w:tc>
        <w:tc>
          <w:tcPr>
            <w:tcW w:w="905" w:type="dxa"/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Dasyornis broadbenti litoralis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(střízlíkovec rezavohlavý)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Austrálie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 vychází z pravidelného přezkumu úmluvy CITES a týká se druhu, který není předmětem obchodu (považován za vyhynulý, naposledy </w:t>
            </w:r>
            <w:r>
              <w:rPr>
                <w:noProof/>
                <w:color w:val="000000" w:themeColor="text1"/>
                <w:sz w:val="20"/>
              </w:rPr>
              <w:t>spatřen v roce 1906).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Dasyornis longirostris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(střízlíkovec západní)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Přesunout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Austrálie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Návrh vychází z pravidelného přezkumu úmluvy CITES a týká se druhu, který není předmětem obchodu.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Crocodylus acutus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(krokodýl americký)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(mexická populace)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mexickou populaci z přílohy I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Mexiko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Podpořit přesun z přílohy I do přílohy II, pokud Mexiko stanoví nulovou kvótu pro volně žijící exempláře (kód původu W).</w:t>
            </w:r>
          </w:p>
          <w:p w:rsidR="001F017F" w:rsidRDefault="001F017F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Calotes nigrilabris </w:t>
            </w:r>
            <w:r>
              <w:rPr>
                <w:noProof/>
                <w:color w:val="000000" w:themeColor="text1"/>
                <w:sz w:val="20"/>
              </w:rPr>
              <w:t>a </w:t>
            </w:r>
            <w:r>
              <w:rPr>
                <w:i/>
                <w:noProof/>
                <w:color w:val="000000" w:themeColor="text1"/>
                <w:sz w:val="20"/>
              </w:rPr>
              <w:t>Calotes pethiyagodai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(lepoještěr)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Šrí Lanka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Biologická</w:t>
            </w:r>
            <w:r>
              <w:rPr>
                <w:noProof/>
                <w:color w:val="000000" w:themeColor="text1"/>
                <w:sz w:val="20"/>
              </w:rPr>
              <w:t xml:space="preserve"> kritéria pro zařazení do příloh úmluvy CITES jsou zřejmě splněna, ale neexistují nedostatečné důkazy, které by prokázaly, že současný nebo očekávaný obj</w:t>
            </w:r>
            <w:r>
              <w:rPr>
                <w:noProof/>
                <w:color w:val="000000" w:themeColor="text1"/>
                <w:sz w:val="20"/>
              </w:rPr>
              <w:t xml:space="preserve">em </w:t>
            </w:r>
            <w:r>
              <w:rPr>
                <w:i/>
                <w:noProof/>
                <w:color w:val="000000" w:themeColor="text1"/>
                <w:sz w:val="20"/>
              </w:rPr>
              <w:t>obchodu</w:t>
            </w:r>
            <w:r>
              <w:rPr>
                <w:noProof/>
                <w:color w:val="000000" w:themeColor="text1"/>
                <w:sz w:val="20"/>
              </w:rPr>
              <w:t xml:space="preserve"> ohrožuje přežití druhu ve volné přírodě. </w:t>
            </w:r>
          </w:p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 taxonomickém rozdělení na </w:t>
            </w:r>
            <w:r>
              <w:rPr>
                <w:i/>
                <w:noProof/>
                <w:color w:val="000000" w:themeColor="text1"/>
                <w:sz w:val="20"/>
              </w:rPr>
              <w:t>Calotes liocephalus</w:t>
            </w:r>
            <w:r>
              <w:rPr>
                <w:noProof/>
                <w:color w:val="000000" w:themeColor="text1"/>
                <w:sz w:val="20"/>
              </w:rPr>
              <w:t xml:space="preserve"> a </w:t>
            </w:r>
            <w:r>
              <w:rPr>
                <w:i/>
                <w:noProof/>
                <w:color w:val="000000" w:themeColor="text1"/>
                <w:sz w:val="20"/>
              </w:rPr>
              <w:t>C. pethiyagodai</w:t>
            </w:r>
            <w:r>
              <w:rPr>
                <w:noProof/>
                <w:color w:val="000000" w:themeColor="text1"/>
                <w:sz w:val="20"/>
              </w:rPr>
              <w:t xml:space="preserve"> se stav z hlediska ochrany na vnitrostátní úrovni pro </w:t>
            </w:r>
            <w:r>
              <w:rPr>
                <w:i/>
                <w:noProof/>
                <w:color w:val="000000" w:themeColor="text1"/>
                <w:sz w:val="20"/>
              </w:rPr>
              <w:t>C. liocephalus</w:t>
            </w:r>
            <w:r>
              <w:rPr>
                <w:noProof/>
                <w:color w:val="000000" w:themeColor="text1"/>
                <w:sz w:val="20"/>
              </w:rPr>
              <w:t xml:space="preserve"> změnil na „kriticky ohrožený“, tento druh však nebyl navržen na zařazení na seznam, ačkoli je ještě ohroženější než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C. pethivagodai. </w:t>
            </w:r>
            <w:r>
              <w:rPr>
                <w:noProof/>
                <w:color w:val="000000" w:themeColor="text1"/>
                <w:sz w:val="20"/>
              </w:rPr>
              <w:t>Vzhledem k tomu, že tyto druhy se dříve považovaly za jeden, a jako takové jsou těžko rozlišitelné, bude-li na seznam v př</w:t>
            </w:r>
            <w:r>
              <w:rPr>
                <w:noProof/>
                <w:color w:val="000000" w:themeColor="text1"/>
                <w:sz w:val="20"/>
              </w:rPr>
              <w:t xml:space="preserve">íloze I zařazen pouze druh </w:t>
            </w:r>
            <w:r>
              <w:rPr>
                <w:i/>
                <w:noProof/>
                <w:color w:val="000000" w:themeColor="text1"/>
                <w:sz w:val="20"/>
              </w:rPr>
              <w:t>C.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i/>
                <w:noProof/>
                <w:color w:val="000000" w:themeColor="text1"/>
                <w:sz w:val="20"/>
              </w:rPr>
              <w:t>pethiyagodai,</w:t>
            </w:r>
            <w:r>
              <w:rPr>
                <w:noProof/>
                <w:color w:val="000000" w:themeColor="text1"/>
                <w:sz w:val="20"/>
              </w:rPr>
              <w:t xml:space="preserve"> mohlo by dojít k problémům z hlediska ochrany pro druh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C. liocephalus </w:t>
            </w:r>
            <w:r>
              <w:rPr>
                <w:noProof/>
                <w:color w:val="000000" w:themeColor="text1"/>
                <w:sz w:val="20"/>
              </w:rPr>
              <w:t xml:space="preserve">nebo by mohl pokračovat obchod s druhem </w:t>
            </w:r>
            <w:r>
              <w:rPr>
                <w:i/>
                <w:noProof/>
                <w:color w:val="000000" w:themeColor="text1"/>
                <w:sz w:val="20"/>
              </w:rPr>
              <w:t>C</w:t>
            </w:r>
            <w:r>
              <w:rPr>
                <w:noProof/>
                <w:color w:val="000000" w:themeColor="text1"/>
                <w:sz w:val="20"/>
              </w:rPr>
              <w:t xml:space="preserve">.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pethiyagodai </w:t>
            </w:r>
            <w:r>
              <w:rPr>
                <w:noProof/>
                <w:color w:val="000000" w:themeColor="text1"/>
                <w:sz w:val="20"/>
              </w:rPr>
              <w:t xml:space="preserve">jako s druhem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C. liocephalus. </w:t>
            </w:r>
            <w:r>
              <w:rPr>
                <w:noProof/>
                <w:color w:val="000000" w:themeColor="text1"/>
                <w:sz w:val="20"/>
              </w:rPr>
              <w:t>Vzhledem k jejich malé velikosti a změně barvy dále v př</w:t>
            </w:r>
            <w:r>
              <w:rPr>
                <w:noProof/>
                <w:color w:val="000000" w:themeColor="text1"/>
                <w:sz w:val="20"/>
              </w:rPr>
              <w:t>ípadě zařazení do přílohy I existují problémy s označením konkrétních exemplářů.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Ceratophora </w:t>
            </w:r>
            <w:r>
              <w:rPr>
                <w:noProof/>
                <w:color w:val="000000" w:themeColor="text1"/>
                <w:sz w:val="20"/>
              </w:rPr>
              <w:t>spp.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(agama)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Šrí Lanka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Nesouhlasit se zařazením rodu do přílohy I, ale souhlasit se zahrnutím druhů </w:t>
            </w:r>
            <w:r>
              <w:rPr>
                <w:i/>
                <w:noProof/>
                <w:color w:val="000000" w:themeColor="text1"/>
                <w:sz w:val="20"/>
              </w:rPr>
              <w:t>C. erdeleni, C. karu,</w:t>
            </w:r>
            <w:r>
              <w:rPr>
                <w:noProof/>
                <w:color w:val="000000" w:themeColor="text1"/>
                <w:sz w:val="20"/>
              </w:rPr>
              <w:t xml:space="preserve"> a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C. </w:t>
            </w:r>
            <w:r>
              <w:rPr>
                <w:i/>
                <w:noProof/>
                <w:color w:val="000000" w:themeColor="text1"/>
                <w:sz w:val="20"/>
              </w:rPr>
              <w:t>tennenti</w:t>
            </w:r>
            <w:r>
              <w:rPr>
                <w:noProof/>
                <w:color w:val="000000" w:themeColor="text1"/>
                <w:sz w:val="20"/>
              </w:rPr>
              <w:t xml:space="preserve"> do přílohy I a druhů </w:t>
            </w:r>
            <w:r>
              <w:rPr>
                <w:i/>
                <w:noProof/>
                <w:color w:val="000000" w:themeColor="text1"/>
                <w:sz w:val="20"/>
              </w:rPr>
              <w:t>C. stoddartii</w:t>
            </w:r>
            <w:r>
              <w:rPr>
                <w:noProof/>
                <w:color w:val="000000" w:themeColor="text1"/>
                <w:sz w:val="20"/>
              </w:rPr>
              <w:t xml:space="preserve"> a </w:t>
            </w:r>
            <w:r>
              <w:rPr>
                <w:i/>
                <w:noProof/>
                <w:color w:val="000000" w:themeColor="text1"/>
                <w:sz w:val="20"/>
              </w:rPr>
              <w:t>C. asper</w:t>
            </w:r>
            <w:r>
              <w:rPr>
                <w:noProof/>
                <w:color w:val="000000" w:themeColor="text1"/>
                <w:sz w:val="20"/>
              </w:rPr>
              <w:t xml:space="preserve"> do přílohy II.</w:t>
            </w:r>
          </w:p>
          <w:p w:rsidR="001F017F" w:rsidRDefault="00FE7689">
            <w:pPr>
              <w:keepLines/>
              <w:suppressAutoHyphens/>
              <w:spacing w:after="0"/>
              <w:jc w:val="left"/>
              <w:rPr>
                <w:noProof/>
                <w:color w:val="000000" w:themeColor="text1"/>
                <w:sz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Biologická kritéria pro zařazení do přílohy I splňují tři druhy (z pěti druhů v rodu): </w:t>
            </w:r>
            <w:r>
              <w:rPr>
                <w:i/>
                <w:noProof/>
                <w:color w:val="000000" w:themeColor="text1"/>
                <w:sz w:val="20"/>
              </w:rPr>
              <w:t>C. karu, C. erdelen</w:t>
            </w:r>
            <w:r>
              <w:rPr>
                <w:noProof/>
                <w:color w:val="000000" w:themeColor="text1"/>
                <w:sz w:val="20"/>
              </w:rPr>
              <w:t xml:space="preserve">i a </w:t>
            </w:r>
            <w:r>
              <w:rPr>
                <w:i/>
                <w:noProof/>
                <w:color w:val="000000" w:themeColor="text1"/>
                <w:sz w:val="20"/>
              </w:rPr>
              <w:t>C. tennentii</w:t>
            </w:r>
            <w:r>
              <w:rPr>
                <w:noProof/>
                <w:color w:val="000000" w:themeColor="text1"/>
                <w:sz w:val="20"/>
              </w:rPr>
              <w:t xml:space="preserve">. Pro dva zbývající druhy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C. aspera </w:t>
            </w:r>
            <w:r>
              <w:rPr>
                <w:noProof/>
                <w:color w:val="000000" w:themeColor="text1"/>
                <w:sz w:val="20"/>
              </w:rPr>
              <w:t>a</w:t>
            </w:r>
            <w:r>
              <w:rPr>
                <w:i/>
                <w:noProof/>
                <w:color w:val="000000" w:themeColor="text1"/>
                <w:sz w:val="20"/>
              </w:rPr>
              <w:t xml:space="preserve"> C. stoddartii</w:t>
            </w:r>
            <w:r>
              <w:rPr>
                <w:noProof/>
                <w:color w:val="000000" w:themeColor="text1"/>
                <w:sz w:val="20"/>
              </w:rPr>
              <w:t xml:space="preserve">, které jsou </w:t>
            </w:r>
            <w:r>
              <w:rPr>
                <w:noProof/>
                <w:color w:val="000000" w:themeColor="text1"/>
                <w:sz w:val="20"/>
              </w:rPr>
              <w:t>běžnější, a zároveň se s nimi více obchoduje, se jeví vhodnější je zařadit do přílohy II; dále je třeba uvést, že pro zařazení do přílohy I neexistuje žádné kritérium „podobnosti“ (příloha 1 usnesení Conf. 9.24 (Rev. CoP17)).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Cophotis ceylanica </w:t>
            </w:r>
            <w:r>
              <w:rPr>
                <w:noProof/>
                <w:color w:val="000000" w:themeColor="text1"/>
                <w:sz w:val="20"/>
              </w:rPr>
              <w:t>a </w:t>
            </w:r>
            <w:r>
              <w:rPr>
                <w:i/>
                <w:noProof/>
                <w:color w:val="000000" w:themeColor="text1"/>
                <w:sz w:val="20"/>
              </w:rPr>
              <w:t>Cophotis dumbara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(agama)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Šrí Lanka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 zřejmě splňuje biologická kritéria; i malý odběr jedinců může mít významný dopad na zbývající populace. Jedná se o jediné dva druhy v tomto rodu, přičemž oba jsou endemické na Šrí Lance </w:t>
            </w:r>
            <w:r>
              <w:rPr>
                <w:noProof/>
                <w:color w:val="000000" w:themeColor="text1"/>
                <w:sz w:val="20"/>
              </w:rPr>
              <w:t>a uvedené na na vnitrostátním červeném seznamu Šrí Lanky (2012) jako vysoce ohrožené. Další důkazy o nedávném mezinárodním obchodě s exempláři odchycenými ve volné přírodě by podpořily zařazení do přílohy I, jinak by mohlo být vhodnější zařazení do přílohy</w:t>
            </w:r>
            <w:r>
              <w:rPr>
                <w:noProof/>
                <w:color w:val="000000" w:themeColor="text1"/>
                <w:sz w:val="20"/>
              </w:rPr>
              <w:t xml:space="preserve"> II.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Lyriocephalus scutatus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>(</w:t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agama nosatá)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Šrí Lanka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Podpořit zařazení na seznam v příloze II, protože nejsou splněna kritéria pro zařazení do přílohy I, ale kritéria pro přílohu II ano.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Goniurosaurus spp.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(gekončík)</w:t>
            </w:r>
            <w:r>
              <w:rPr>
                <w:rFonts w:eastAsia="Times New Roman"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(populace v Číně a Vietnamu)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druhy vyskytující se v Číně a Vietnamu do přílohy II</w:t>
            </w:r>
          </w:p>
          <w:p w:rsidR="001F017F" w:rsidRDefault="001F017F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Style w:val="Bodytext2"/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Čína, Evropská unie, Vietnam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Požádat o opravu formulace návrhu na zařazení na seznam zveřejněné na internetových stránkách </w:t>
            </w:r>
            <w:r>
              <w:rPr>
                <w:noProof/>
                <w:color w:val="000000" w:themeColor="text1"/>
                <w:sz w:val="20"/>
              </w:rPr>
              <w:t>zasedání CoP18 úmluvy CITES z „</w:t>
            </w:r>
            <w:r>
              <w:rPr>
                <w:i/>
                <w:noProof/>
                <w:color w:val="000000" w:themeColor="text1"/>
                <w:sz w:val="20"/>
              </w:rPr>
              <w:t>populací</w:t>
            </w:r>
            <w:r>
              <w:rPr>
                <w:noProof/>
                <w:color w:val="000000" w:themeColor="text1"/>
                <w:sz w:val="20"/>
              </w:rPr>
              <w:t xml:space="preserve"> v Číně a Vietnamu“ na „</w:t>
            </w:r>
            <w:r>
              <w:rPr>
                <w:i/>
                <w:noProof/>
                <w:color w:val="000000" w:themeColor="text1"/>
                <w:sz w:val="20"/>
              </w:rPr>
              <w:t>druhy</w:t>
            </w:r>
            <w:r>
              <w:rPr>
                <w:noProof/>
                <w:color w:val="000000" w:themeColor="text1"/>
                <w:sz w:val="20"/>
              </w:rPr>
              <w:t xml:space="preserve"> vyskytující se v Číně a Vietnamu“ v souladu s původně předloženým zněním návrhu na zařazení na seznam.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Gekko gecko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(gekon obrovský)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Style w:val="Bodytext2"/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Evropská unie, Indie</w:t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, Filipíny, Spojené státy americké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Gonatodes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>daudini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(gekon)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Svatý Vincenc a Grenadiny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Druh splňuje biologická kritéria pro zařazení do přílohy I. Mezinárodní obchod byl nahlášen krátce po objevení tohoto druhu a dosud probíhá i přesto, že sběr v přírodním stanovišti není povolen.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Paroedura androyensis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noProof/>
                <w:color w:val="000000" w:themeColor="text1"/>
              </w:rPr>
              <w:t>(</w:t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gekon)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Zařadit do </w:t>
            </w:r>
            <w:r>
              <w:rPr>
                <w:noProof/>
                <w:color w:val="000000" w:themeColor="text1"/>
                <w:sz w:val="20"/>
              </w:rPr>
              <w:t>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line="212" w:lineRule="exact"/>
              <w:jc w:val="left"/>
              <w:rPr>
                <w:rStyle w:val="Bodytext2"/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Evropská unie, Madagaskar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Calibri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Ctenosaura </w:t>
            </w:r>
            <w:r>
              <w:rPr>
                <w:noProof/>
                <w:color w:val="000000" w:themeColor="text1"/>
                <w:sz w:val="20"/>
              </w:rPr>
              <w:t>spp.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(leguán)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line="212" w:lineRule="exact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Salvador a Mexiko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Návrh splňuje kritéria pro zařazení na seznam; několik druhů tohoto rodu by se v budoucnosti mohlo stát způsobilými pro </w:t>
            </w:r>
            <w:r>
              <w:rPr>
                <w:noProof/>
                <w:color w:val="000000" w:themeColor="text1"/>
                <w:sz w:val="20"/>
              </w:rPr>
              <w:t>zařazení do přílohy I, pokud nebude obchod regulován, neboť se jedná o malé populace, populace s omezenými oblastmi výskytu nebo o populace, které se zmenšují, nebo dochází ke kombinaci těchto tří faktorů, přičemž tyto druhy jsou vysoce zranitelné vnějšími</w:t>
            </w:r>
            <w:r>
              <w:rPr>
                <w:noProof/>
                <w:color w:val="000000" w:themeColor="text1"/>
                <w:sz w:val="20"/>
              </w:rPr>
              <w:t xml:space="preserve"> nebo vnitřními faktory.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Pseudocerastes urarachnoides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(zmije)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Írán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Je zapotřebí více informací, aby se prokázalo, že je splněno kritérium </w:t>
            </w:r>
            <w:r>
              <w:rPr>
                <w:i/>
                <w:noProof/>
                <w:color w:val="000000" w:themeColor="text1"/>
                <w:sz w:val="20"/>
              </w:rPr>
              <w:t>obchodu</w:t>
            </w:r>
            <w:r>
              <w:rPr>
                <w:noProof/>
                <w:color w:val="000000" w:themeColor="text1"/>
                <w:sz w:val="20"/>
              </w:rPr>
              <w:t xml:space="preserve">. V návrhu jsou k dispozici omezené informace o rozsahu sběru ve volné </w:t>
            </w:r>
            <w:r>
              <w:rPr>
                <w:noProof/>
                <w:color w:val="000000" w:themeColor="text1"/>
                <w:sz w:val="20"/>
              </w:rPr>
              <w:t>přírodě a mezinárodním obchodu s tímto druhem (důkazy o pouze malé skupince jedinců, u kterých dochází k obchodu mimo stát, na jehož území se druh vyskytuje), a ačkoli jsou tyto druhy klasifikovány jako „ohrožené na vnitrostátní úrovni“, chybí údaje o veli</w:t>
            </w:r>
            <w:r>
              <w:rPr>
                <w:noProof/>
                <w:color w:val="000000" w:themeColor="text1"/>
                <w:sz w:val="20"/>
              </w:rPr>
              <w:t>kosti populace, jejím výskytu nebo o tom, zda se populace tohoto druhu zmenšuje.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Cuora bourreti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(želva)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Vietnam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přesun do přílohy I; „kriticky ohrožený“ druh, který splňuje přinejmenším kritérium </w:t>
            </w:r>
            <w:r>
              <w:rPr>
                <w:noProof/>
                <w:color w:val="000000" w:themeColor="text1"/>
                <w:sz w:val="20"/>
              </w:rPr>
              <w:t>C.i) v příloze 1 usnesení Conf. 9.24 a objem obchodu s ním je významný.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Cuora picturata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noProof/>
                <w:color w:val="000000" w:themeColor="text1"/>
              </w:rPr>
              <w:t>(</w:t>
            </w:r>
            <w:r>
              <w:rPr>
                <w:noProof/>
                <w:color w:val="000000" w:themeColor="text1"/>
                <w:sz w:val="20"/>
              </w:rPr>
              <w:t>želva)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Vietnam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přesun do přílohy I, jedná se o „kriticky ohrožený“ druh, který splňuje všechna biologická </w:t>
            </w:r>
            <w:r>
              <w:rPr>
                <w:noProof/>
                <w:color w:val="000000" w:themeColor="text1"/>
                <w:sz w:val="20"/>
              </w:rPr>
              <w:t>kritéria usnesení Conf. 9.24 pro zařazení do přílohy I a objem obchodu s ním je významný, Návrh vychází z doporučení na základě pravidelného přezkumu.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Mauremys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>annamensis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(želva annamská)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Vietnam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 </w:t>
            </w:r>
            <w:r>
              <w:rPr>
                <w:noProof/>
                <w:color w:val="000000" w:themeColor="text1"/>
                <w:sz w:val="20"/>
              </w:rPr>
              <w:t>přesun do přílohy I – „kriticky ohrožený“ druh, který splňuje přinejmenším kritérium C.i) v příloze 1 usnesení Conf. 9.24, a objem obchodu s ním je významný. Návrh vychází z doporučení na základě pravidelného přezkumu.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Geochelone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>elegans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(želva hvěz</w:t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dnatá)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Bangladéš, Indie, Senegal a Šrí Lanka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Zařazení na seznam bylo navrženo společně většinou států, na jejichž území se druh vyskytuje. Přesto by bylo užitečné získat více informací k potvrzení, že jsou splněna biologická kritéria uvedená v příloze 1 usnesení Conf. 9.24. Nezákonný obchod vzbuzuje </w:t>
            </w:r>
            <w:r>
              <w:rPr>
                <w:noProof/>
                <w:color w:val="000000" w:themeColor="text1"/>
                <w:sz w:val="20"/>
              </w:rPr>
              <w:t xml:space="preserve">velké obavy, ačkoli ve státech, na jejichž území se druh vyskytuje, je sběr a obchod s volně žijícími exempláři již zakázán. Obavami týkajícími se zneužívání kódu původu C a možné podvodné legalizace volně žijících exemplářů prostřednictvím chovu v zajetí </w:t>
            </w:r>
            <w:r>
              <w:rPr>
                <w:noProof/>
                <w:color w:val="000000" w:themeColor="text1"/>
                <w:sz w:val="20"/>
              </w:rPr>
              <w:t xml:space="preserve">se již úmluva CITES zabývá v rámci usnesení Conf. 17.7.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Malacochersus tornieri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(želva skalní)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Přesunout z přílohy II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Keňa,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Spojené státy americké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Podpora návrhu. Podle nejnovějšího hodnocení červeného seznamu (2018) se jedná o „kriticky ohrožený“ druh. Návrh se jeví jako přiměřený vzhledem k předpokládaným rizikům pro daný druh, po kterém existuje značná obchodní poptávka a je dotčen nezákonným obch</w:t>
            </w:r>
            <w:r>
              <w:rPr>
                <w:noProof/>
                <w:color w:val="000000" w:themeColor="text1"/>
                <w:sz w:val="20"/>
              </w:rPr>
              <w:t xml:space="preserve">odem. Jako hlavní faktor, který v současné době ovlivňuje populace tohoto druhu, se uvádí nadměrné využívání. Druh zřejmě splňuje kritéria pro zařazení do přílohy I. 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Hyalinobatrachium </w:t>
            </w:r>
            <w:r>
              <w:rPr>
                <w:noProof/>
                <w:color w:val="000000" w:themeColor="text1"/>
                <w:sz w:val="20"/>
              </w:rPr>
              <w:t xml:space="preserve">spp., </w:t>
            </w:r>
            <w:r>
              <w:rPr>
                <w:i/>
                <w:noProof/>
                <w:color w:val="000000" w:themeColor="text1"/>
                <w:sz w:val="20"/>
              </w:rPr>
              <w:t>Centrolene</w:t>
            </w:r>
            <w:r>
              <w:rPr>
                <w:noProof/>
                <w:color w:val="000000" w:themeColor="text1"/>
                <w:sz w:val="20"/>
              </w:rPr>
              <w:t xml:space="preserve"> spp., </w:t>
            </w:r>
            <w:r>
              <w:rPr>
                <w:i/>
                <w:noProof/>
                <w:color w:val="000000" w:themeColor="text1"/>
                <w:sz w:val="20"/>
              </w:rPr>
              <w:t>Cochranella</w:t>
            </w:r>
            <w:r>
              <w:rPr>
                <w:noProof/>
                <w:color w:val="000000" w:themeColor="text1"/>
                <w:sz w:val="20"/>
              </w:rPr>
              <w:t xml:space="preserve"> spp. a </w:t>
            </w:r>
            <w:r>
              <w:rPr>
                <w:i/>
                <w:noProof/>
                <w:color w:val="000000" w:themeColor="text1"/>
                <w:sz w:val="20"/>
              </w:rPr>
              <w:t>Sachatamia</w:t>
            </w:r>
            <w:r>
              <w:rPr>
                <w:noProof/>
                <w:color w:val="000000" w:themeColor="text1"/>
                <w:sz w:val="20"/>
              </w:rPr>
              <w:t xml:space="preserve"> spp.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(rosněnka)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Kostarika,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Salvador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EU by mohla podpořit užší návrh, pokud se jeho navrhovatelé rozhodnou jej omezit na ty druhy, u nichž lze prokázat, že splňují kritéria pro zařazení na seznam. Vzhledem k nedostatku údajů o populaci a k tomu, že k hlášenému obchodu dochází především u druh</w:t>
            </w:r>
            <w:r>
              <w:rPr>
                <w:noProof/>
                <w:color w:val="000000" w:themeColor="text1"/>
                <w:sz w:val="20"/>
              </w:rPr>
              <w:t xml:space="preserve">ů označených jako „nejméně dotčené“, se zařazení všech 104 druhů patřících do čtyř rodů do přílohy II jeví jako nepřiměřené. Jsou zapotřebí další informace o druzích, u nichž je obchod nejrozšířenější.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Echinotriton chinhaiensis </w:t>
            </w:r>
            <w:r>
              <w:rPr>
                <w:noProof/>
                <w:color w:val="000000" w:themeColor="text1"/>
                <w:sz w:val="20"/>
              </w:rPr>
              <w:t>a </w:t>
            </w:r>
            <w:r>
              <w:rPr>
                <w:i/>
                <w:noProof/>
                <w:color w:val="000000" w:themeColor="text1"/>
                <w:sz w:val="20"/>
              </w:rPr>
              <w:t xml:space="preserve">Echinotriton </w:t>
            </w:r>
            <w:r>
              <w:rPr>
                <w:i/>
                <w:noProof/>
                <w:color w:val="000000" w:themeColor="text1"/>
                <w:sz w:val="20"/>
              </w:rPr>
              <w:t>maxiquadratus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(trnočolek)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Čína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Calibri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Druhy splňují biologická kritéria pro zařazení do přílohy I. Pro jejich ochranu by byla prospěšná mezinárodní ochrana. Ačkoli se objemy mezinárodního obchodu zdají nízké, </w:t>
            </w:r>
            <w:r>
              <w:rPr>
                <w:i/>
                <w:noProof/>
                <w:color w:val="000000" w:themeColor="text1"/>
                <w:sz w:val="20"/>
              </w:rPr>
              <w:t>jakýkoli</w:t>
            </w:r>
            <w:r>
              <w:rPr>
                <w:noProof/>
                <w:color w:val="000000" w:themeColor="text1"/>
                <w:sz w:val="20"/>
              </w:rPr>
              <w:t xml:space="preserve"> obchod s volně ž</w:t>
            </w:r>
            <w:r>
              <w:rPr>
                <w:noProof/>
                <w:color w:val="000000" w:themeColor="text1"/>
                <w:sz w:val="20"/>
              </w:rPr>
              <w:t>ijícími exempláři by mohl ohrozit přežití populací, neboť jsou velmi malé a zmenšují se.</w:t>
            </w:r>
          </w:p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</w:rPr>
              <w:t xml:space="preserve">Rod </w:t>
            </w:r>
            <w:r>
              <w:rPr>
                <w:i/>
                <w:noProof/>
                <w:color w:val="000000" w:themeColor="text1"/>
                <w:sz w:val="20"/>
              </w:rPr>
              <w:t>Echinotriton</w:t>
            </w:r>
            <w:r>
              <w:rPr>
                <w:noProof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 xml:space="preserve">byl od rodu </w:t>
            </w:r>
            <w:r>
              <w:rPr>
                <w:i/>
                <w:noProof/>
                <w:color w:val="000000" w:themeColor="text1"/>
                <w:sz w:val="20"/>
              </w:rPr>
              <w:t>Tylototriton</w:t>
            </w:r>
            <w:r>
              <w:rPr>
                <w:noProof/>
                <w:color w:val="000000" w:themeColor="text1"/>
                <w:sz w:val="20"/>
              </w:rPr>
              <w:t xml:space="preserve"> (návrh na zařazení na seznam č. 41) oddělen až v roce 1982. Zařazení obou rodů na seznam je proto vhodné i na základě kritéri</w:t>
            </w:r>
            <w:r>
              <w:rPr>
                <w:noProof/>
                <w:color w:val="000000" w:themeColor="text1"/>
                <w:sz w:val="20"/>
              </w:rPr>
              <w:t>a podobnosti.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Paramesotriton spp.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(pačolek)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Čína, Evropská unie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Tylototriton spp.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(trnočolek)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Čína, Evropská unie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Isurus oxyrinchus </w:t>
            </w:r>
            <w:r>
              <w:rPr>
                <w:noProof/>
                <w:color w:val="000000" w:themeColor="text1"/>
                <w:sz w:val="20"/>
              </w:rPr>
              <w:t>a</w:t>
            </w:r>
            <w:r>
              <w:rPr>
                <w:i/>
                <w:noProof/>
                <w:color w:val="000000" w:themeColor="text1"/>
                <w:sz w:val="20"/>
              </w:rPr>
              <w:t xml:space="preserve"> Isurus paucus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(žralok mako a žralok východní)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Bangladéš, Benin, Bhútán, Brazílie, Burkina Faso, Kapverdy, Čad, Pobřeží slonoviny, Dominikánská republika, Egypt, Evropská unie, Gabon, Gambie, Jordánsko, Libanon, Libérie, Maledi</w:t>
            </w:r>
            <w:r>
              <w:rPr>
                <w:noProof/>
                <w:color w:val="000000" w:themeColor="text1"/>
                <w:sz w:val="20"/>
              </w:rPr>
              <w:t>vy, Mali, Mexiko, Nepál, Niger, Nigérie, Palau, Samoa, Senegal, Šrí Lanka, Súdán, Togo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 Postoj se bude finalizovat s ohledem na výsledky posouzení odborné poradní skupiny FAO, sekretariátu úmluvy CITES a svazu IUCN.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Glaucostegus spp.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(pilohřbet)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Bangladéš, Benin, Bhútán, Brazílie, Burkina Faso, Kapverdy, Čad, Pobřeží slonoviny, Egypt, Evropská unie, Gabon, Gambie, Maledivy, Mali, Mauritánie, Monako, Nepál, Niger, Nigérie, Palau, Senegal, </w:t>
            </w:r>
            <w:r>
              <w:rPr>
                <w:noProof/>
                <w:color w:val="000000" w:themeColor="text1"/>
                <w:sz w:val="20"/>
              </w:rPr>
              <w:t>Sierra Leone, Šrí Lanka, Syrská arabská republika, Togo, Ukrajina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Rhinidae spp.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(kytarovci)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Bangladéš, Benin, Bhútán, Brazílie, Burkina Faso, Kapverdy, Čad, Pobřeží slonoviny, Egypt, Etiopie, Evropská </w:t>
            </w:r>
            <w:r>
              <w:rPr>
                <w:noProof/>
                <w:color w:val="000000" w:themeColor="text1"/>
                <w:sz w:val="20"/>
              </w:rPr>
              <w:t>unie, Fidži, Gabon, Gambie, Indie, Jordánsko, Keňa, Libanon, Maledivy, Mali, Mexiko, Monako, Nepál, Niger, Nigérie, Palau, Filipíny, Saúdská Arábie, Senegal, Seychely, Šrí Lanka, Súdán, Syrská arabská republika, Togo a Ukrajina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Holothuria (Microthele) fuscogilva, Holothuria (Microthele) nobilis, Holothuria (Microthele) whitmaei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(sumýši)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Evropská unie,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Keňa, Senegal, Seychely, Spojené státy americké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Poecilotheria </w:t>
            </w:r>
            <w:r>
              <w:rPr>
                <w:noProof/>
                <w:color w:val="000000" w:themeColor="text1"/>
                <w:sz w:val="20"/>
              </w:rPr>
              <w:t>spp.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(sklípkan)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Šrí Lanka,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Spojené státy americké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Předběžně podpořit. Všechny druhy zřejmě splňují přinejmenším některá z kritérií pro zařazení do přílohy II. Mohly by se vyskytnout obtíže při provádění, pokud jde o identifikaci exemplářů </w:t>
            </w:r>
            <w:r>
              <w:rPr>
                <w:noProof/>
                <w:color w:val="000000" w:themeColor="text1"/>
                <w:sz w:val="20"/>
              </w:rPr>
              <w:t>odchovaných v zajetí.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Achillides chikae hermeli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(otakárek)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</w:rPr>
              <w:t>Evropská unie,</w:t>
            </w:r>
            <w:r>
              <w:rPr>
                <w:rStyle w:val="Bodytext2"/>
                <w:rFonts w:ascii="Times New Roman" w:hAnsi="Times New Roman" w:cs="Times New Roman"/>
                <w:noProof/>
                <w:color w:val="000000" w:themeColor="text1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</w:rPr>
              <w:t>Filipíny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Parides burchellanus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 xml:space="preserve">(otakárek)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Brazílie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Podpora návrhu. </w:t>
            </w:r>
            <w:r>
              <w:rPr>
                <w:i/>
                <w:noProof/>
                <w:color w:val="000000" w:themeColor="text1"/>
                <w:sz w:val="20"/>
              </w:rPr>
              <w:t xml:space="preserve">Druh splňuje kritéria pro zařazení do přílohy I. </w:t>
            </w:r>
            <w:r>
              <w:rPr>
                <w:noProof/>
                <w:color w:val="000000" w:themeColor="text1"/>
                <w:sz w:val="20"/>
              </w:rPr>
              <w:t xml:space="preserve">S tímto </w:t>
            </w:r>
            <w:r>
              <w:rPr>
                <w:i/>
                <w:noProof/>
                <w:color w:val="000000" w:themeColor="text1"/>
                <w:sz w:val="20"/>
              </w:rPr>
              <w:t>druhem</w:t>
            </w:r>
            <w:r>
              <w:rPr>
                <w:noProof/>
                <w:color w:val="000000" w:themeColor="text1"/>
                <w:sz w:val="20"/>
              </w:rPr>
              <w:t xml:space="preserve"> se obchoduje a vzhledem k jeho malé populaci by jakýkoli obchod mohl druh ohrozit.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 xml:space="preserve">Handroanthus </w:t>
            </w:r>
            <w:r>
              <w:rPr>
                <w:noProof/>
                <w:color w:val="000000" w:themeColor="text1"/>
                <w:sz w:val="20"/>
              </w:rPr>
              <w:t>spp</w:t>
            </w:r>
            <w:r>
              <w:rPr>
                <w:i/>
                <w:noProof/>
                <w:color w:val="000000" w:themeColor="text1"/>
                <w:sz w:val="20"/>
              </w:rPr>
              <w:t xml:space="preserve">., 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 xml:space="preserve">Tabebuia </w:t>
            </w:r>
            <w:r>
              <w:rPr>
                <w:noProof/>
                <w:color w:val="000000" w:themeColor="text1"/>
                <w:sz w:val="20"/>
              </w:rPr>
              <w:t>spp. a 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i/>
                <w:noProof/>
                <w:color w:val="000000" w:themeColor="text1"/>
                <w:sz w:val="20"/>
              </w:rPr>
              <w:t xml:space="preserve">Roseodendron </w:t>
            </w:r>
            <w:r>
              <w:rPr>
                <w:noProof/>
                <w:color w:val="000000" w:themeColor="text1"/>
                <w:sz w:val="20"/>
              </w:rPr>
              <w:t>spp.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(rody čeledi trubačovité)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 s poznámkou #6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Brazílie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Podpořit. Kritéria uvedená v usneseních 9.24 a 11.21 jsou splněna. O druzích rodu </w:t>
            </w:r>
            <w:r>
              <w:rPr>
                <w:i/>
                <w:noProof/>
                <w:color w:val="000000" w:themeColor="text1"/>
                <w:sz w:val="20"/>
              </w:rPr>
              <w:t>Handroanthus</w:t>
            </w:r>
            <w:r>
              <w:rPr>
                <w:noProof/>
                <w:color w:val="000000" w:themeColor="text1"/>
                <w:sz w:val="20"/>
              </w:rPr>
              <w:t xml:space="preserve"> je známo, že se s nimi obchoduje ve stavebnictví a pro venkovní použití. Vědecké přezkumy naznačují, že tento obchod má za následek zmenšování populace a negativ</w:t>
            </w:r>
            <w:r>
              <w:rPr>
                <w:noProof/>
                <w:color w:val="000000" w:themeColor="text1"/>
                <w:sz w:val="20"/>
              </w:rPr>
              <w:t xml:space="preserve">ně ovlivňuje stav druhů. Druhy </w:t>
            </w:r>
            <w:r>
              <w:rPr>
                <w:i/>
                <w:noProof/>
                <w:color w:val="000000" w:themeColor="text1"/>
                <w:sz w:val="20"/>
              </w:rPr>
              <w:t>Tabebuia</w:t>
            </w:r>
            <w:r>
              <w:rPr>
                <w:noProof/>
                <w:color w:val="000000" w:themeColor="text1"/>
                <w:sz w:val="20"/>
              </w:rPr>
              <w:t xml:space="preserve"> and </w:t>
            </w:r>
            <w:r>
              <w:rPr>
                <w:i/>
                <w:noProof/>
                <w:color w:val="000000" w:themeColor="text1"/>
                <w:sz w:val="20"/>
              </w:rPr>
              <w:t>Roseodendron</w:t>
            </w:r>
            <w:r>
              <w:rPr>
                <w:noProof/>
                <w:color w:val="000000" w:themeColor="text1"/>
                <w:sz w:val="20"/>
              </w:rPr>
              <w:t xml:space="preserve"> jsou obchodovány pod stejným obchodním jménem a vědeckým názvem a jejich dřevo je těžko rozpoznatelné od druhu </w:t>
            </w:r>
            <w:r>
              <w:rPr>
                <w:i/>
                <w:noProof/>
                <w:color w:val="000000" w:themeColor="text1"/>
                <w:sz w:val="20"/>
              </w:rPr>
              <w:t>Handroanthus</w:t>
            </w:r>
            <w:r>
              <w:rPr>
                <w:noProof/>
                <w:color w:val="000000" w:themeColor="text1"/>
                <w:sz w:val="20"/>
              </w:rPr>
              <w:t>. Oblast působnosti návrhu je z důvodů podobnosti řádně odůvodněna. EU je vý</w:t>
            </w:r>
            <w:r>
              <w:rPr>
                <w:noProof/>
                <w:color w:val="000000" w:themeColor="text1"/>
                <w:sz w:val="20"/>
              </w:rPr>
              <w:t>znamným celosvětovým dovozcem.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Widdringtonia whytei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(widringtonie)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Malawi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Nesouhlasit, ledaže by Malawi předložilo důkazy o mezinárodním obchodu, který ohrožuje ochranu druhu. Místo toho by pro druh mohlo být prospěšné </w:t>
            </w:r>
            <w:r>
              <w:rPr>
                <w:noProof/>
                <w:color w:val="000000" w:themeColor="text1"/>
                <w:sz w:val="20"/>
              </w:rPr>
              <w:t>zařazení do přílohy III.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tabs>
                <w:tab w:val="left" w:pos="263"/>
              </w:tabs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Dalbergia sissoo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noProof/>
                <w:color w:val="000000" w:themeColor="text1"/>
              </w:rPr>
              <w:t>(</w:t>
            </w:r>
            <w:r>
              <w:rPr>
                <w:noProof/>
                <w:color w:val="000000" w:themeColor="text1"/>
                <w:sz w:val="20"/>
              </w:rPr>
              <w:t>dalbergie šišam)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0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Vymazat z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Bangladéš, Bhútán, Indie a Nepál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Tento druh je běžný a nesplňuje biologická kritéria pro přílohu II, ale s největší pravděpodobností přesto splňuje kritérium </w:t>
            </w:r>
            <w:r>
              <w:rPr>
                <w:noProof/>
                <w:color w:val="000000" w:themeColor="text1"/>
                <w:sz w:val="20"/>
              </w:rPr>
              <w:t>podobnosti podle usnesení 9.24 (kritérium A přílohy 2 b). Návrh by se měl rovněž posuzovat ve spojení s navrhovanými změnami poznámky #15.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(–)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Dalbergia </w:t>
            </w:r>
            <w:r>
              <w:rPr>
                <w:noProof/>
                <w:color w:val="000000" w:themeColor="text1"/>
                <w:sz w:val="20"/>
              </w:rPr>
              <w:t xml:space="preserve">spp., </w:t>
            </w:r>
            <w:r>
              <w:rPr>
                <w:i/>
                <w:noProof/>
                <w:color w:val="000000" w:themeColor="text1"/>
                <w:sz w:val="20"/>
              </w:rPr>
              <w:t>Guibourtia demeusei</w:t>
            </w:r>
            <w:r>
              <w:rPr>
                <w:noProof/>
                <w:color w:val="000000" w:themeColor="text1"/>
                <w:sz w:val="20"/>
              </w:rPr>
              <w:t xml:space="preserve">, </w:t>
            </w:r>
            <w:r>
              <w:rPr>
                <w:i/>
                <w:noProof/>
                <w:color w:val="000000" w:themeColor="text1"/>
                <w:sz w:val="20"/>
              </w:rPr>
              <w:t>Guibourtia pellegriniana</w:t>
            </w:r>
            <w:r>
              <w:rPr>
                <w:noProof/>
                <w:color w:val="000000" w:themeColor="text1"/>
                <w:sz w:val="20"/>
              </w:rPr>
              <w:t xml:space="preserve">, </w:t>
            </w:r>
            <w:r>
              <w:rPr>
                <w:i/>
                <w:noProof/>
                <w:color w:val="000000" w:themeColor="text1"/>
                <w:sz w:val="20"/>
              </w:rPr>
              <w:t>Guibourtia tessmannii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(růžová dřeva, palisandr</w:t>
            </w:r>
            <w:r>
              <w:rPr>
                <w:noProof/>
                <w:color w:val="000000" w:themeColor="text1"/>
                <w:sz w:val="20"/>
              </w:rPr>
              <w:t>y a bubingy)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Změna </w:t>
            </w:r>
            <w:r>
              <w:rPr>
                <w:rFonts w:eastAsia="Times New Roman"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poznámky #15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Změnit poznámku #15 takto: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„Všechny části a odvozeniny s výjimkou:</w:t>
            </w:r>
          </w:p>
          <w:p w:rsidR="001F017F" w:rsidRDefault="00FE7689">
            <w:pPr>
              <w:numPr>
                <w:ilvl w:val="0"/>
                <w:numId w:val="10"/>
              </w:num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listů, květů, pylu, plodů a semen;</w:t>
            </w:r>
          </w:p>
          <w:p w:rsidR="001F017F" w:rsidRDefault="00FE7689">
            <w:pPr>
              <w:numPr>
                <w:ilvl w:val="0"/>
                <w:numId w:val="10"/>
              </w:num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hotových výrobků o maximální hmotnosti 500 g dřeva z druhů uvedených na seznamu na jeden předmět;</w:t>
            </w:r>
          </w:p>
          <w:p w:rsidR="001F017F" w:rsidRDefault="00FE7689">
            <w:pPr>
              <w:numPr>
                <w:ilvl w:val="0"/>
                <w:numId w:val="10"/>
              </w:num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hotových </w:t>
            </w:r>
            <w:r>
              <w:rPr>
                <w:noProof/>
                <w:color w:val="000000" w:themeColor="text1"/>
                <w:sz w:val="20"/>
              </w:rPr>
              <w:t>hudebních nástrojů, hotových částí hudebních nástrojů a hotovému příslušenství k hudebním nástrojům;</w:t>
            </w:r>
          </w:p>
          <w:p w:rsidR="001F017F" w:rsidRDefault="00FE7689">
            <w:pPr>
              <w:numPr>
                <w:ilvl w:val="0"/>
                <w:numId w:val="10"/>
              </w:numPr>
              <w:suppressAutoHyphens/>
              <w:spacing w:before="0"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částí a odvozenin druhu </w:t>
            </w:r>
            <w:r>
              <w:rPr>
                <w:i/>
                <w:noProof/>
                <w:color w:val="000000" w:themeColor="text1"/>
                <w:sz w:val="20"/>
              </w:rPr>
              <w:t>Dalbergia cochinchinensis</w:t>
            </w:r>
            <w:r>
              <w:rPr>
                <w:noProof/>
                <w:color w:val="000000" w:themeColor="text1"/>
                <w:sz w:val="20"/>
              </w:rPr>
              <w:t>, na které se vztahuje poznámka #4;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částí a odvozenin druhů </w:t>
            </w:r>
            <w:r>
              <w:rPr>
                <w:i/>
                <w:noProof/>
                <w:color w:val="000000" w:themeColor="text1"/>
                <w:sz w:val="20"/>
              </w:rPr>
              <w:t>Dalbergia</w:t>
            </w:r>
            <w:r>
              <w:rPr>
                <w:noProof/>
                <w:color w:val="000000" w:themeColor="text1"/>
                <w:sz w:val="20"/>
              </w:rPr>
              <w:t xml:space="preserve"> spp. pocházejících a vyvážených z Me</w:t>
            </w:r>
            <w:r>
              <w:rPr>
                <w:noProof/>
                <w:color w:val="000000" w:themeColor="text1"/>
                <w:sz w:val="20"/>
              </w:rPr>
              <w:t>xika, na které se vztahuje poznámka #6.“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rStyle w:val="Bodytext2"/>
                <w:rFonts w:ascii="Times New Roman" w:hAnsi="Times New Roman"/>
                <w:noProof/>
                <w:color w:val="000000" w:themeColor="text1"/>
              </w:rPr>
              <w:t>Kanada,</w:t>
            </w:r>
            <w:r>
              <w:rPr>
                <w:rStyle w:val="Bodytext2"/>
                <w:rFonts w:ascii="Times New Roman" w:hAnsi="Times New Roman" w:cs="Times New Roman"/>
                <w:noProof/>
                <w:color w:val="000000" w:themeColor="text1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</w:rPr>
              <w:t>Evropská unie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Pericopsis elata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(afrormosia)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Změna </w:t>
            </w:r>
            <w:r>
              <w:rPr>
                <w:rFonts w:eastAsia="Times New Roman"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poznámky #5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Rozšířit pole působnosti poznámky k druhu </w:t>
            </w:r>
            <w:r>
              <w:rPr>
                <w:i/>
                <w:noProof/>
                <w:color w:val="000000" w:themeColor="text1"/>
                <w:sz w:val="20"/>
              </w:rPr>
              <w:t>Pericopsis elata</w:t>
            </w:r>
            <w:r>
              <w:rPr>
                <w:noProof/>
                <w:color w:val="000000" w:themeColor="text1"/>
                <w:sz w:val="20"/>
              </w:rPr>
              <w:t xml:space="preserve"> (stávající poznámka #5), aby zahrnovalo překližky a zpracované dřevo: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„Klády, řezivo, dýhy, překližky a transformované dřevo</w:t>
            </w:r>
            <w:r>
              <w:rPr>
                <w:noProof/>
                <w:color w:val="000000" w:themeColor="text1"/>
                <w:sz w:val="20"/>
                <w:vertAlign w:val="superscript"/>
              </w:rPr>
              <w:t>1</w:t>
            </w:r>
            <w:r>
              <w:rPr>
                <w:noProof/>
                <w:color w:val="000000" w:themeColor="text1"/>
                <w:sz w:val="20"/>
              </w:rPr>
              <w:t>“.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vertAlign w:val="superscript"/>
              </w:rPr>
              <w:t>1</w:t>
            </w:r>
            <w:r>
              <w:rPr>
                <w:noProof/>
                <w:color w:val="000000" w:themeColor="text1"/>
                <w:sz w:val="20"/>
              </w:rPr>
              <w:t> Přičemž transformované dřevo je definováno kódem HS 44.09: Dřevo (včetně nespojených pruhů a vlysů pro parketové podlahy), so</w:t>
            </w:r>
            <w:r>
              <w:rPr>
                <w:noProof/>
                <w:color w:val="000000" w:themeColor="text1"/>
                <w:sz w:val="20"/>
              </w:rPr>
              <w:t>uvisle profilované, (s pery, drážkované, polodrážkové, vroubkované, lištované, zaoblené nebo podobně profilované) podél jakékoliv hran, konců nebo ploch, též hoblované, broušené nebo na koncích spojované.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Pobřeží slonoviny,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Evropská unie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Spolunavrhla EU.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Pterocarpus tinctorius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(křídlok)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Malawi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Podpořit, ale navrhnout poznámku (případně pozměněnou poznámku #5). Tento druh splňuje biologická kritéria pro zařazení na seznam v příloze II i kritérium obchodu (využívání </w:t>
            </w:r>
            <w:r>
              <w:rPr>
                <w:noProof/>
                <w:color w:val="000000" w:themeColor="text1"/>
                <w:sz w:val="20"/>
              </w:rPr>
              <w:t>představuje významnou hrozbu pro ochranu tohoto druhu vzhledem k tomu, že nezákonná těžba dřeva za účelem uspokojení asijské poptávky za poslední roky prudce vzrostla). Zařazení do přílohy II by přispělo k boji proti nezákonnému obchodu.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Aloe ferox</w:t>
            </w:r>
            <w:r>
              <w:rPr>
                <w:rFonts w:eastAsia="Times New Roman"/>
                <w:i/>
                <w:iCs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(aloe)</w:t>
            </w:r>
          </w:p>
          <w:p w:rsidR="001F017F" w:rsidRDefault="00FE7689">
            <w:pPr>
              <w:suppressAutoHyphens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Změna poznámky #4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„Změnit poznámku #4 pro druh </w:t>
            </w:r>
            <w:r>
              <w:rPr>
                <w:i/>
                <w:noProof/>
                <w:color w:val="000000" w:themeColor="text1"/>
                <w:sz w:val="20"/>
              </w:rPr>
              <w:t>Aloe ferox</w:t>
            </w:r>
            <w:r>
              <w:rPr>
                <w:noProof/>
                <w:color w:val="000000" w:themeColor="text1"/>
                <w:sz w:val="20"/>
              </w:rPr>
              <w:t xml:space="preserve"> takto: Všechny části a odvozeniny s výjimkou: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[…]</w:t>
            </w:r>
          </w:p>
          <w:p w:rsidR="001F017F" w:rsidRDefault="00FE7689">
            <w:pPr>
              <w:suppressAutoHyphens/>
              <w:spacing w:before="0" w:after="0"/>
              <w:ind w:left="720" w:hanging="72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f)</w:t>
            </w:r>
            <w:r>
              <w:rPr>
                <w:noProof/>
              </w:rPr>
              <w:tab/>
            </w:r>
            <w:r>
              <w:rPr>
                <w:noProof/>
                <w:color w:val="000000" w:themeColor="text1"/>
                <w:sz w:val="20"/>
              </w:rPr>
              <w:t>hotových výrobků</w:t>
            </w:r>
            <w:r>
              <w:rPr>
                <w:noProof/>
                <w:color w:val="000000" w:themeColor="text1"/>
                <w:sz w:val="20"/>
                <w:vertAlign w:val="superscript"/>
              </w:rPr>
              <w:t>1</w:t>
            </w:r>
            <w:r>
              <w:rPr>
                <w:noProof/>
                <w:color w:val="000000" w:themeColor="text1"/>
                <w:sz w:val="20"/>
              </w:rPr>
              <w:t xml:space="preserve"> z druhu </w:t>
            </w:r>
            <w:r>
              <w:rPr>
                <w:i/>
                <w:noProof/>
                <w:color w:val="000000" w:themeColor="text1"/>
                <w:sz w:val="20"/>
                <w:u w:val="single"/>
              </w:rPr>
              <w:t>Aloe ferox</w:t>
            </w:r>
            <w:r>
              <w:rPr>
                <w:noProof/>
                <w:color w:val="000000" w:themeColor="text1"/>
                <w:sz w:val="20"/>
                <w:u w:val="single"/>
              </w:rPr>
              <w:t> a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i/>
                <w:noProof/>
                <w:color w:val="000000" w:themeColor="text1"/>
                <w:sz w:val="20"/>
              </w:rPr>
              <w:t>Euphorbia antisyphilitica</w:t>
            </w:r>
            <w:r>
              <w:rPr>
                <w:noProof/>
                <w:color w:val="000000" w:themeColor="text1"/>
                <w:sz w:val="20"/>
              </w:rPr>
              <w:t>,</w:t>
            </w:r>
            <w:r>
              <w:rPr>
                <w:i/>
                <w:noProof/>
                <w:color w:val="000000" w:themeColor="text1"/>
                <w:sz w:val="20"/>
              </w:rPr>
              <w:t xml:space="preserve"> </w:t>
            </w:r>
            <w:r>
              <w:rPr>
                <w:noProof/>
                <w:color w:val="000000" w:themeColor="text1"/>
                <w:sz w:val="20"/>
              </w:rPr>
              <w:t xml:space="preserve">jež jsou zabaleny a připraveny pro maloobchod. 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vertAlign w:val="superscript"/>
              </w:rPr>
              <w:t>1 </w:t>
            </w:r>
            <w:r>
              <w:rPr>
                <w:noProof/>
                <w:color w:val="000000" w:themeColor="text1"/>
                <w:sz w:val="20"/>
              </w:rPr>
              <w:t xml:space="preserve">Tímto pojmem </w:t>
            </w:r>
            <w:r>
              <w:rPr>
                <w:noProof/>
                <w:color w:val="000000" w:themeColor="text1"/>
                <w:sz w:val="20"/>
              </w:rPr>
              <w:t>se v přílohách úmluvy CITES rozumí výrobky přepravované po jednom nebo ve velkém, jež nevyžadují žádné další zpracování, jsou zabalené, označené pro konečné použití či maloobchod a jsou ve stavu, ve kterém je možné je prodávat široké veřejnosti nebo ve kte</w:t>
            </w:r>
            <w:r>
              <w:rPr>
                <w:noProof/>
                <w:color w:val="000000" w:themeColor="text1"/>
                <w:sz w:val="20"/>
              </w:rPr>
              <w:t>rém je může široká veřejnost používat.“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Jižní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Afrika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Podpořit, ale navrhnout návrh rozhodnutí, kterým(i) by byl Výbor pro rostliny pověřen k monitorování dopadů navrhované změny a provedení řídicích opatření. Kritéria usnesení 11.21 jsou splněna.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keepNext/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keepNext/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Adansonia grandidieri</w:t>
            </w:r>
            <w:r>
              <w:rPr>
                <w:noProof/>
                <w:color w:val="000000" w:themeColor="text1"/>
                <w:sz w:val="20"/>
              </w:rPr>
              <w:t xml:space="preserve"> 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rStyle w:val="Bodytext2"/>
                <w:rFonts w:ascii="Times New Roman" w:hAnsi="Times New Roman"/>
                <w:noProof/>
                <w:color w:val="000000" w:themeColor="text1"/>
                <w:sz w:val="20"/>
              </w:rPr>
              <w:t>(baobab)</w:t>
            </w:r>
          </w:p>
          <w:p w:rsidR="001F017F" w:rsidRDefault="00FE7689">
            <w:pPr>
              <w:keepNext/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Změna poznámky #16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keepNext/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II – II</w:t>
            </w:r>
          </w:p>
          <w:p w:rsidR="001F017F" w:rsidRDefault="00FE7689">
            <w:pPr>
              <w:keepNext/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 xml:space="preserve">V poznámce k zařazení druhu </w:t>
            </w:r>
            <w:r>
              <w:rPr>
                <w:i/>
                <w:noProof/>
                <w:color w:val="000000" w:themeColor="text1"/>
                <w:sz w:val="20"/>
              </w:rPr>
              <w:t>Adansonia grandidieri</w:t>
            </w:r>
            <w:r>
              <w:rPr>
                <w:noProof/>
                <w:color w:val="000000" w:themeColor="text1"/>
                <w:sz w:val="20"/>
              </w:rPr>
              <w:t xml:space="preserve"> do přílohy II změnit „semena, plody, oleje a živé rostliny“ vymazáním odkazu na živé rostliny takto: „#16 Semena, plody a oleje“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keepNext/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Švýcarsko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>Podpořit</w:t>
            </w:r>
            <w:r>
              <w:rPr>
                <w:noProof/>
                <w:color w:val="000000" w:themeColor="text1"/>
                <w:sz w:val="20"/>
              </w:rPr>
              <w:t>. Kritéria usnesení 11.21 jsou splněna.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keepNext/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+</w:t>
            </w:r>
          </w:p>
        </w:tc>
      </w:tr>
      <w:tr w:rsidR="001F017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i/>
                <w:noProof/>
                <w:color w:val="000000" w:themeColor="text1"/>
                <w:sz w:val="20"/>
              </w:rPr>
              <w:t>Cedrela </w:t>
            </w:r>
            <w:r>
              <w:rPr>
                <w:noProof/>
                <w:color w:val="000000" w:themeColor="text1"/>
                <w:sz w:val="20"/>
              </w:rPr>
              <w:t>spp.</w:t>
            </w:r>
            <w:r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br/>
            </w:r>
            <w:r>
              <w:rPr>
                <w:noProof/>
                <w:color w:val="000000" w:themeColor="text1"/>
                <w:sz w:val="20"/>
              </w:rPr>
              <w:t>(česnekovník)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0 – II</w:t>
            </w:r>
          </w:p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Zařadit do přílohy II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Ekvádor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left"/>
              <w:rPr>
                <w:noProof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noProof/>
                <w:color w:val="000000" w:themeColor="text1"/>
                <w:sz w:val="20"/>
              </w:rPr>
              <w:t xml:space="preserve">Podpořit, pokud bude do návrhu zahrnuta poznámka s cílem omezit kontroly úmluvy CITES na komodity, které se v mezinárodním obchodě nejdřív objeví </w:t>
            </w:r>
            <w:r>
              <w:rPr>
                <w:noProof/>
                <w:color w:val="000000" w:themeColor="text1"/>
                <w:sz w:val="20"/>
              </w:rPr>
              <w:t>jako vývoz ze států, na jejichž území se druh vyskytuje (k posouzení a dojednání s navrhovateli, zda by nebyla vhodná navrhovaná pozměněná poznámka #5), a pokud bude návrh omezen na populace z neotropické oblasti. Taxon splňuje biologická kritéria pro zařa</w:t>
            </w:r>
            <w:r>
              <w:rPr>
                <w:noProof/>
                <w:color w:val="000000" w:themeColor="text1"/>
                <w:sz w:val="20"/>
              </w:rPr>
              <w:t>zení do přílohy II (existují jasné důkazy o zmenšení velikosti populace), jakož i kritérium obchodu (některé druhy se na mezinárodní úrovni hojně obchodují a využívání je považováno za hrozbu pro ochranu druhu). EU je drobným celosvětovým dovozcem.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7F" w:rsidRDefault="00FE7689">
            <w:pPr>
              <w:suppressAutoHyphens/>
              <w:spacing w:after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</w:rPr>
              <w:t>(+)</w:t>
            </w:r>
          </w:p>
        </w:tc>
      </w:tr>
    </w:tbl>
    <w:p w:rsidR="001F017F" w:rsidRDefault="001F017F">
      <w:pPr>
        <w:suppressAutoHyphens/>
        <w:rPr>
          <w:noProof/>
          <w:color w:val="000000" w:themeColor="text1"/>
        </w:rPr>
      </w:pPr>
    </w:p>
    <w:p w:rsidR="001F017F" w:rsidRDefault="001F017F">
      <w:pPr>
        <w:rPr>
          <w:noProof/>
        </w:rPr>
        <w:sectPr w:rsidR="001F017F">
          <w:footerReference w:type="default" r:id="rId13"/>
          <w:footerReference w:type="first" r:id="rId14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1F017F" w:rsidRDefault="00FE7689">
      <w:pPr>
        <w:pStyle w:val="Annexetitre"/>
        <w:rPr>
          <w:rStyle w:val="Marker"/>
          <w:noProof/>
        </w:rPr>
      </w:pPr>
      <w:r>
        <w:rPr>
          <w:noProof/>
        </w:rPr>
        <w:t>PŘÍLOHA</w:t>
      </w:r>
      <w:r>
        <w:rPr>
          <w:rStyle w:val="Marker"/>
          <w:noProof/>
        </w:rPr>
        <w:t>[…]</w:t>
      </w:r>
    </w:p>
    <w:p w:rsidR="001F017F" w:rsidRDefault="001F017F">
      <w:pPr>
        <w:rPr>
          <w:noProof/>
        </w:rPr>
      </w:pPr>
    </w:p>
    <w:sectPr w:rsidR="001F017F"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17F" w:rsidRDefault="00FE7689">
      <w:pPr>
        <w:spacing w:before="0" w:after="0"/>
      </w:pPr>
      <w:r>
        <w:separator/>
      </w:r>
    </w:p>
  </w:endnote>
  <w:endnote w:type="continuationSeparator" w:id="0">
    <w:p w:rsidR="001F017F" w:rsidRDefault="00FE7689">
      <w:pPr>
        <w:spacing w:before="0" w:after="0"/>
      </w:pPr>
      <w:r>
        <w:continuationSeparator/>
      </w:r>
    </w:p>
  </w:endnote>
  <w:endnote w:type="continuationNotice" w:id="1">
    <w:p w:rsidR="001F017F" w:rsidRDefault="001F017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17F" w:rsidRDefault="00FE7689"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CS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17F" w:rsidRDefault="00FE7689"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CS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17F" w:rsidRDefault="001F01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17F" w:rsidRDefault="00FE7689">
      <w:pPr>
        <w:spacing w:before="0" w:after="0"/>
      </w:pPr>
      <w:r>
        <w:separator/>
      </w:r>
    </w:p>
  </w:footnote>
  <w:footnote w:type="continuationSeparator" w:id="0">
    <w:p w:rsidR="001F017F" w:rsidRDefault="00FE7689">
      <w:pPr>
        <w:spacing w:before="0" w:after="0"/>
      </w:pPr>
      <w:r>
        <w:continuationSeparator/>
      </w:r>
    </w:p>
  </w:footnote>
  <w:footnote w:type="continuationNotice" w:id="1">
    <w:p w:rsidR="001F017F" w:rsidRDefault="001F017F">
      <w:pPr>
        <w:spacing w:before="0" w:after="0"/>
      </w:pPr>
    </w:p>
  </w:footnote>
  <w:footnote w:id="2">
    <w:p w:rsidR="001F017F" w:rsidRDefault="00FE7689">
      <w:pPr>
        <w:pStyle w:val="FootnoteText"/>
        <w:jc w:val="left"/>
      </w:pPr>
      <w:r>
        <w:rPr>
          <w:rStyle w:val="FootnoteReference"/>
        </w:rPr>
        <w:footnoteRef/>
      </w:r>
      <w:r>
        <w:tab/>
        <w:t>sek. = sekretariát úmluvy CITES, SV = stálý výbor, VZ = výbor pro zvířata, VR = výbor pro rostliny. Kódy zemí viz ISO 3166.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03E6F56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8D9E8F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D026EFA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61B27D2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256A9DC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797ADA9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1B3E91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BD3895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1E31087"/>
    <w:multiLevelType w:val="multilevel"/>
    <w:tmpl w:val="8F88C9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2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3" w15:restartNumberingAfterBreak="0">
    <w:nsid w:val="2FB9797E"/>
    <w:multiLevelType w:val="multilevel"/>
    <w:tmpl w:val="496651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C26478"/>
    <w:multiLevelType w:val="multilevel"/>
    <w:tmpl w:val="3C923D54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7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8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9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20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2" w15:restartNumberingAfterBreak="0">
    <w:nsid w:val="604D3559"/>
    <w:multiLevelType w:val="multilevel"/>
    <w:tmpl w:val="ACC69D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5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3"/>
  </w:num>
  <w:num w:numId="10">
    <w:abstractNumId w:val="8"/>
  </w:num>
  <w:num w:numId="11">
    <w:abstractNumId w:val="22"/>
  </w:num>
  <w:num w:numId="12">
    <w:abstractNumId w:val="1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5"/>
  </w:num>
  <w:num w:numId="16">
    <w:abstractNumId w:val="24"/>
  </w:num>
  <w:num w:numId="17">
    <w:abstractNumId w:val="12"/>
  </w:num>
  <w:num w:numId="18">
    <w:abstractNumId w:val="16"/>
  </w:num>
  <w:num w:numId="19">
    <w:abstractNumId w:val="10"/>
  </w:num>
  <w:num w:numId="20">
    <w:abstractNumId w:val="23"/>
  </w:num>
  <w:num w:numId="21">
    <w:abstractNumId w:val="9"/>
  </w:num>
  <w:num w:numId="22">
    <w:abstractNumId w:val="17"/>
  </w:num>
  <w:num w:numId="23">
    <w:abstractNumId w:val="19"/>
  </w:num>
  <w:num w:numId="24">
    <w:abstractNumId w:val="20"/>
  </w:num>
  <w:num w:numId="25">
    <w:abstractNumId w:val="11"/>
  </w:num>
  <w:num w:numId="26">
    <w:abstractNumId w:val="18"/>
  </w:num>
  <w:num w:numId="27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cs-CZ" w:vendorID="7" w:dllVersion="514" w:checkStyle="1"/>
  <w:attachedTemplate r:id="rId1"/>
  <w:revisionView w:markup="0"/>
  <w:doNotTrackFormatting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9-04-05 10:07:20"/>
    <w:docVar w:name="DQCResult_Distribution" w:val="0;1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1"/>
    <w:docVar w:name="DQCResult_StructureCheck" w:val="0;0"/>
    <w:docVar w:name="DQCResult_SuperfluousWhitespace" w:val="0;10"/>
    <w:docVar w:name="DQCResult_UnknownFonts" w:val="0;0"/>
    <w:docVar w:name="DQCResult_UnknownStyles" w:val="0;0"/>
    <w:docVar w:name="DQCStatus" w:val="Yellow"/>
    <w:docVar w:name="DQCVersion" w:val="3"/>
    <w:docVar w:name="DQCWithWarnings" w:val="0"/>
    <w:docVar w:name="LW_ACCOMPAGNANT" w:val="  "/>
    <w:docVar w:name="LW_ACCOMPAGNANT.CP" w:val="  "/>
    <w:docVar w:name="LW_ANNEX_NBR_FIRST" w:val="2"/>
    <w:docVar w:name="LW_ANNEX_NBR_LAST" w:val="2"/>
    <w:docVar w:name="LW_ANNEX_UNIQUE" w:val="0"/>
    <w:docVar w:name="LW_CORRIGENDUM" w:val="&lt;UNUSED&gt;"/>
    <w:docVar w:name="LW_COVERPAGE_EXISTS" w:val="True"/>
    <w:docVar w:name="LW_COVERPAGE_GUID" w:val="8C0D8059-96EB-409E-996A-A57D186D7C1B"/>
    <w:docVar w:name="LW_COVERPAGE_TYPE" w:val="1"/>
    <w:docVar w:name="LW_CROSSREFERENCE" w:val="&lt;UNUSED&gt;"/>
    <w:docVar w:name="LW_DocType" w:val="ANNEX"/>
    <w:docVar w:name="LW_EMISSION" w:val="21.3.2019"/>
    <w:docVar w:name="LW_EMISSION_ISODATE" w:val="2019-03-21"/>
    <w:docVar w:name="LW_EMISSION_LOCATION" w:val="BRX"/>
    <w:docVar w:name="LW_EMISSION_PREFIX" w:val="V Bruselu dne "/>
    <w:docVar w:name="LW_EMISSION_SUFFIX" w:val=" "/>
    <w:docVar w:name="LW_ID_DOCSTRUCTURE" w:val="COM/ANNEX"/>
    <w:docVar w:name="LW_ID_DOCTYPE" w:val="SG-017"/>
    <w:docVar w:name="LW_LANGUE" w:val="CS"/>
    <w:docVar w:name="LW_LEVEL_OF_SENSITIVITY" w:val="Standard treatment"/>
    <w:docVar w:name="LW_NOM.INST" w:val="EVROPSKÁ KOMISE"/>
    <w:docVar w:name="LW_NOM.INST_JOINTDOC" w:val="&lt;EMPTY&gt;"/>
    <w:docVar w:name="LW_OBJETACTEPRINCIPAL" w:val="o postoji, který má být jménem Evropské unie zaujat na 18. zasedání konference smluvních stran (CoP 18) Úmluvy o mezinárodním obchodu ohro\u382?enými druhy voln\u283? \u382?ijících \u382?ivo\u269?ich\u367? a plan\u283? rostoucích rostlin (CITES)"/>
    <w:docVar w:name="LW_OBJETACTEPRINCIPAL.CP" w:val="o postoji, který má být jménem Evropské unie zaujat na 18. zasedání konference smluvních stran (CoP 18) Úmluvy o mezinárodním obchodu ohro\u382?enými druhy voln\u283? \u382?ijících \u382?ivo\u269?ich\u367? a plan\u283? rostoucích rostlin (CITES)"/>
    <w:docVar w:name="LW_PART_NBR" w:val="1"/>
    <w:docVar w:name="LW_PART_NBR_TOTAL" w:val="1"/>
    <w:docVar w:name="LW_REF.INST.NEW" w:val="COM"/>
    <w:docVar w:name="LW_REF.INST.NEW_ADOPTED" w:val="final"/>
    <w:docVar w:name="LW_REF.INST.NEW_TEXT" w:val="(2019) 146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P\u344?ÍLOHA"/>
    <w:docVar w:name="LW_TYPE.DOC.CP" w:val="P\u344?ÍLOHA"/>
    <w:docVar w:name="LW_TYPEACTEPRINCIPAL" w:val="návrhu ROZHODNUTÍ RADY"/>
    <w:docVar w:name="LW_TYPEACTEPRINCIPAL.CP" w:val="návrhu ROZHODNUTÍ RADY"/>
  </w:docVars>
  <w:rsids>
    <w:rsidRoot w:val="001F017F"/>
    <w:rsid w:val="001F017F"/>
    <w:rsid w:val="00FE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3B9874E1-DDF1-489D-B004-0B9A0C1C4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cs-CZ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0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link w:val="Heading5Char"/>
    <w:uiPriority w:val="9"/>
    <w:qFormat/>
    <w:pPr>
      <w:spacing w:before="240"/>
      <w:jc w:val="left"/>
      <w:outlineLvl w:val="4"/>
    </w:pPr>
    <w:rPr>
      <w:rFonts w:eastAsia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pPr>
      <w:spacing w:before="240"/>
      <w:jc w:val="left"/>
      <w:outlineLvl w:val="5"/>
    </w:pPr>
    <w:rPr>
      <w:rFonts w:eastAsia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Times New Roman" w:eastAsia="Times New Roman" w:hAnsi="Times New Roman" w:cs="Times New Roman"/>
      <w:b/>
      <w:bCs/>
      <w:sz w:val="15"/>
      <w:szCs w:val="15"/>
      <w:lang w:val="cs-CZ"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eastAsia="Times New Roman" w:hAnsi="Consolas" w:cs="Consolas"/>
      <w:sz w:val="18"/>
      <w:szCs w:val="18"/>
      <w:shd w:val="clear" w:color="auto" w:fill="F2F2F2"/>
      <w:lang w:eastAsia="cs-CZ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hd w:val="clear" w:color="auto" w:fill="F2F2F2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50" w:after="150"/>
      <w:jc w:val="left"/>
    </w:pPr>
    <w:rPr>
      <w:rFonts w:ascii="Consolas" w:eastAsia="Times New Roman" w:hAnsi="Consolas" w:cs="Consolas"/>
      <w:sz w:val="18"/>
      <w:szCs w:val="18"/>
    </w:rPr>
  </w:style>
  <w:style w:type="character" w:customStyle="1" w:styleId="HTMLPreformattedChar1">
    <w:name w:val="HTML Preformatted Char1"/>
    <w:basedOn w:val="DefaultParagraphFont"/>
    <w:uiPriority w:val="99"/>
    <w:semiHidden/>
    <w:rPr>
      <w:rFonts w:ascii="Consolas" w:hAnsi="Consolas" w:cs="Consolas"/>
      <w:sz w:val="20"/>
      <w:szCs w:val="20"/>
      <w:lang w:val="cs-CZ"/>
    </w:rPr>
  </w:style>
  <w:style w:type="paragraph" w:customStyle="1" w:styleId="Annexetitreacte">
    <w:name w:val="Annexe titre (acte)"/>
    <w:basedOn w:val="Normal"/>
    <w:next w:val="Normal"/>
    <w:pPr>
      <w:jc w:val="center"/>
    </w:pPr>
    <w:rPr>
      <w:rFonts w:eastAsia="Times New Roman"/>
      <w:b/>
      <w:szCs w:val="24"/>
      <w:u w:val="single"/>
    </w:r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cs-CZ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cs-CZ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styleId="ListParagraph">
    <w:name w:val="List Paragraph"/>
    <w:basedOn w:val="Normal"/>
    <w:uiPriority w:val="34"/>
    <w:qFormat/>
    <w:pPr>
      <w:spacing w:before="0" w:after="200" w:line="276" w:lineRule="auto"/>
      <w:ind w:left="720"/>
      <w:contextualSpacing/>
      <w:jc w:val="left"/>
    </w:pPr>
    <w:rPr>
      <w:rFonts w:asciiTheme="minorHAnsi" w:hAnsiTheme="minorHAnsi" w:cstheme="minorBidi"/>
      <w:sz w:val="22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Bodytext2">
    <w:name w:val="Body text (2)"/>
    <w:basedOn w:val="DefaultParagraphFon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Bodytext20">
    <w:name w:val="Body text (2)_"/>
    <w:basedOn w:val="DefaultParagraphFont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Italic">
    <w:name w:val="Body text (2) + Italic"/>
    <w:basedOn w:val="Bodytext2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cs-CZ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4"/>
      </w:numPr>
    </w:pPr>
  </w:style>
  <w:style w:type="paragraph" w:customStyle="1" w:styleId="Tiret1">
    <w:name w:val="Tiret 1"/>
    <w:basedOn w:val="Point1"/>
    <w:pPr>
      <w:numPr>
        <w:numId w:val="15"/>
      </w:numPr>
    </w:pPr>
  </w:style>
  <w:style w:type="paragraph" w:customStyle="1" w:styleId="Tiret2">
    <w:name w:val="Tiret 2"/>
    <w:basedOn w:val="Point2"/>
    <w:pPr>
      <w:numPr>
        <w:numId w:val="16"/>
      </w:numPr>
    </w:pPr>
  </w:style>
  <w:style w:type="paragraph" w:customStyle="1" w:styleId="Tiret3">
    <w:name w:val="Tiret 3"/>
    <w:basedOn w:val="Point3"/>
    <w:pPr>
      <w:numPr>
        <w:numId w:val="17"/>
      </w:numPr>
    </w:pPr>
  </w:style>
  <w:style w:type="paragraph" w:customStyle="1" w:styleId="Tiret4">
    <w:name w:val="Tiret 4"/>
    <w:basedOn w:val="Point4"/>
    <w:pPr>
      <w:numPr>
        <w:numId w:val="18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9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9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9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9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1"/>
      </w:numPr>
    </w:pPr>
  </w:style>
  <w:style w:type="paragraph" w:customStyle="1" w:styleId="Point1number">
    <w:name w:val="Point 1 (number)"/>
    <w:basedOn w:val="Normal"/>
    <w:pPr>
      <w:numPr>
        <w:ilvl w:val="2"/>
        <w:numId w:val="21"/>
      </w:numPr>
    </w:pPr>
  </w:style>
  <w:style w:type="paragraph" w:customStyle="1" w:styleId="Point2number">
    <w:name w:val="Point 2 (number)"/>
    <w:basedOn w:val="Normal"/>
    <w:pPr>
      <w:numPr>
        <w:ilvl w:val="4"/>
        <w:numId w:val="21"/>
      </w:numPr>
    </w:pPr>
  </w:style>
  <w:style w:type="paragraph" w:customStyle="1" w:styleId="Point3number">
    <w:name w:val="Point 3 (number)"/>
    <w:basedOn w:val="Normal"/>
    <w:pPr>
      <w:numPr>
        <w:ilvl w:val="6"/>
        <w:numId w:val="21"/>
      </w:numPr>
    </w:pPr>
  </w:style>
  <w:style w:type="paragraph" w:customStyle="1" w:styleId="Point0letter">
    <w:name w:val="Point 0 (letter)"/>
    <w:basedOn w:val="Normal"/>
    <w:pPr>
      <w:numPr>
        <w:ilvl w:val="1"/>
        <w:numId w:val="21"/>
      </w:numPr>
    </w:pPr>
  </w:style>
  <w:style w:type="paragraph" w:customStyle="1" w:styleId="Point1letter">
    <w:name w:val="Point 1 (letter)"/>
    <w:basedOn w:val="Normal"/>
    <w:pPr>
      <w:numPr>
        <w:ilvl w:val="3"/>
        <w:numId w:val="21"/>
      </w:numPr>
    </w:pPr>
  </w:style>
  <w:style w:type="paragraph" w:customStyle="1" w:styleId="Point2letter">
    <w:name w:val="Point 2 (letter)"/>
    <w:basedOn w:val="Normal"/>
    <w:pPr>
      <w:numPr>
        <w:ilvl w:val="5"/>
        <w:numId w:val="21"/>
      </w:numPr>
    </w:pPr>
  </w:style>
  <w:style w:type="paragraph" w:customStyle="1" w:styleId="Point3letter">
    <w:name w:val="Point 3 (letter)"/>
    <w:basedOn w:val="Normal"/>
    <w:pPr>
      <w:numPr>
        <w:ilvl w:val="7"/>
        <w:numId w:val="21"/>
      </w:numPr>
    </w:pPr>
  </w:style>
  <w:style w:type="paragraph" w:customStyle="1" w:styleId="Point4letter">
    <w:name w:val="Point 4 (letter)"/>
    <w:basedOn w:val="Normal"/>
    <w:pPr>
      <w:numPr>
        <w:ilvl w:val="8"/>
        <w:numId w:val="21"/>
      </w:numPr>
    </w:pPr>
  </w:style>
  <w:style w:type="paragraph" w:customStyle="1" w:styleId="Bullet0">
    <w:name w:val="Bullet 0"/>
    <w:basedOn w:val="Normal"/>
    <w:pPr>
      <w:numPr>
        <w:numId w:val="22"/>
      </w:numPr>
    </w:pPr>
  </w:style>
  <w:style w:type="paragraph" w:customStyle="1" w:styleId="Bullet1">
    <w:name w:val="Bullet 1"/>
    <w:basedOn w:val="Normal"/>
    <w:pPr>
      <w:numPr>
        <w:numId w:val="23"/>
      </w:numPr>
    </w:pPr>
  </w:style>
  <w:style w:type="paragraph" w:customStyle="1" w:styleId="Bullet2">
    <w:name w:val="Bullet 2"/>
    <w:basedOn w:val="Normal"/>
    <w:pPr>
      <w:numPr>
        <w:numId w:val="24"/>
      </w:numPr>
    </w:pPr>
  </w:style>
  <w:style w:type="paragraph" w:customStyle="1" w:styleId="Bullet3">
    <w:name w:val="Bullet 3"/>
    <w:basedOn w:val="Normal"/>
    <w:pPr>
      <w:numPr>
        <w:numId w:val="25"/>
      </w:numPr>
    </w:pPr>
  </w:style>
  <w:style w:type="paragraph" w:customStyle="1" w:styleId="Bullet4">
    <w:name w:val="Bullet 4"/>
    <w:basedOn w:val="Normal"/>
    <w:pPr>
      <w:numPr>
        <w:numId w:val="26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7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ites.org/sites/default/files/eng/cop/18/doc/E-CoP18-050c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AA856C34D8E478D8680B911FA8A3D" ma:contentTypeVersion="0" ma:contentTypeDescription="Create a new document." ma:contentTypeScope="" ma:versionID="a1b2f863b13fb1eec5060ba3f8e2a58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d28fc8648fa84460f5661d9ecf385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7B779E-884F-4AFD-9F89-21F0A3255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71C283-A767-4224-B3BA-5E9FF9BA6876}">
  <ds:schemaRefs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9C4282F-8F85-4365-834C-34152E3D2F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3</TotalTime>
  <Pages>3</Pages>
  <Words>10130</Words>
  <Characters>56835</Characters>
  <Application>Microsoft Office Word</Application>
  <DocSecurity>0</DocSecurity>
  <Lines>4371</Lines>
  <Paragraphs>1395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9</cp:revision>
  <dcterms:created xsi:type="dcterms:W3CDTF">2019-04-03T06:51:00Z</dcterms:created>
  <dcterms:modified xsi:type="dcterms:W3CDTF">2019-04-05T13:36:00Z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 edited using">
    <vt:lpwstr>LW 6.0.1, Build 20180503</vt:lpwstr>
  </property>
  <property fmtid="{D5CDD505-2E9C-101B-9397-08002B2CF9AE}" pid="3" name="ContentTypeId">
    <vt:lpwstr>0x010100135AA856C34D8E478D8680B911FA8A3D</vt:lpwstr>
  </property>
  <property fmtid="{D5CDD505-2E9C-101B-9397-08002B2CF9AE}" pid="4" name="IsMyDocuments">
    <vt:bool>true</vt:bool>
  </property>
  <property fmtid="{D5CDD505-2E9C-101B-9397-08002B2CF9AE}" pid="5" name="Category">
    <vt:lpwstr>COM/ANNEX</vt:lpwstr>
  </property>
  <property fmtid="{D5CDD505-2E9C-101B-9397-08002B2CF9AE}" pid="6" name="Level of sensitivity">
    <vt:lpwstr>Standard treatment</vt:lpwstr>
  </property>
  <property fmtid="{D5CDD505-2E9C-101B-9397-08002B2CF9AE}" pid="7" name="First annex">
    <vt:lpwstr>2</vt:lpwstr>
  </property>
  <property fmtid="{D5CDD505-2E9C-101B-9397-08002B2CF9AE}" pid="8" name="Last annex">
    <vt:lpwstr>2</vt:lpwstr>
  </property>
  <property fmtid="{D5CDD505-2E9C-101B-9397-08002B2CF9AE}" pid="9" name="Unique annex">
    <vt:lpwstr>0</vt:lpwstr>
  </property>
  <property fmtid="{D5CDD505-2E9C-101B-9397-08002B2CF9AE}" pid="10" name="Part">
    <vt:lpwstr>1</vt:lpwstr>
  </property>
  <property fmtid="{D5CDD505-2E9C-101B-9397-08002B2CF9AE}" pid="11" name="Total parts">
    <vt:lpwstr>1</vt:lpwstr>
  </property>
  <property fmtid="{D5CDD505-2E9C-101B-9397-08002B2CF9AE}" pid="12" name="LWTemplateID">
    <vt:lpwstr>SG-017</vt:lpwstr>
  </property>
  <property fmtid="{D5CDD505-2E9C-101B-9397-08002B2CF9AE}" pid="13" name="DQCStatus">
    <vt:lpwstr>Yellow (DQC version 03)</vt:lpwstr>
  </property>
  <property name="OP_sanitized" fmtid="{D5CDD505-2E9C-101B-9397-08002B2CF9AE}" pid="14">
    <vt:lpwstr>True</vt:lpwstr>
  </property>
</Properties>
</file>