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36BA" w:rsidRDefault="000E6EEC">
      <w:pPr>
        <w:pStyle w:val="Pagedecouverture"/>
        <w:rPr>
          <w:noProof/>
          <w:highlight w:val="yellow"/>
        </w:rPr>
      </w:pPr>
      <w:r w:rsidRPr="000E6EEC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A5ED02EB-D5DE-4277-9F92-60E81EF4B1D1" style="width:450.6pt;height:397.8pt">
            <v:imagedata r:id="rId11" o:title=""/>
          </v:shape>
        </w:pict>
      </w:r>
      <w:bookmarkStart w:id="0" w:name="_GoBack"/>
      <w:bookmarkEnd w:id="0"/>
    </w:p>
    <w:p w:rsidR="00BC36BA" w:rsidRDefault="00BC36BA">
      <w:pPr>
        <w:rPr>
          <w:noProof/>
          <w:highlight w:val="yellow"/>
        </w:rPr>
        <w:sectPr w:rsidR="00BC36BA">
          <w:footerReference w:type="default" r:id="rId12"/>
          <w:pgSz w:w="11907" w:h="16839"/>
          <w:pgMar w:top="1134" w:right="1417" w:bottom="1134" w:left="1417" w:header="709" w:footer="709" w:gutter="0"/>
          <w:pgNumType w:start="1"/>
          <w:cols w:space="720"/>
          <w:docGrid w:linePitch="360"/>
        </w:sectPr>
      </w:pPr>
    </w:p>
    <w:p w:rsidR="00BC36BA" w:rsidRDefault="000E6EEC">
      <w:pPr>
        <w:pStyle w:val="Annexetitre"/>
        <w:rPr>
          <w:noProof/>
        </w:rPr>
      </w:pPr>
      <w:r>
        <w:rPr>
          <w:noProof/>
        </w:rPr>
        <w:lastRenderedPageBreak/>
        <w:t>PŘÍLOHA I</w:t>
      </w:r>
    </w:p>
    <w:p w:rsidR="00BC36BA" w:rsidRDefault="000E6EEC">
      <w:pPr>
        <w:jc w:val="center"/>
        <w:rPr>
          <w:b/>
          <w:noProof/>
          <w:u w:val="single"/>
        </w:rPr>
      </w:pPr>
      <w:r>
        <w:rPr>
          <w:b/>
          <w:noProof/>
          <w:u w:val="single"/>
        </w:rPr>
        <w:t xml:space="preserve">Postoj Unie ke klíčovým otázkám, které budou projednávány na 18. zasedání konference smluvních stran Úmluvy o mezinárodním obchodu </w:t>
      </w:r>
      <w:r>
        <w:rPr>
          <w:b/>
          <w:noProof/>
          <w:u w:val="single"/>
        </w:rPr>
        <w:t>ohroženými druhy volně žijících živočichů a planě rostoucích rostlin (CITES) v Kolombu, Šrí Lanka, 23. května až 3. června 2019</w:t>
      </w:r>
    </w:p>
    <w:p w:rsidR="00BC36BA" w:rsidRDefault="000E6EEC">
      <w:pPr>
        <w:pStyle w:val="ManualHeading1"/>
        <w:rPr>
          <w:noProof/>
        </w:rPr>
      </w:pPr>
      <w:r>
        <w:rPr>
          <w:noProof/>
        </w:rPr>
        <w:t>A.</w:t>
      </w:r>
      <w:r>
        <w:rPr>
          <w:noProof/>
        </w:rPr>
        <w:tab/>
        <w:t>Obecné úvahy</w:t>
      </w:r>
    </w:p>
    <w:p w:rsidR="00BC36BA" w:rsidRDefault="000E6EEC">
      <w:pPr>
        <w:pStyle w:val="NumPar1"/>
        <w:numPr>
          <w:ilvl w:val="0"/>
          <w:numId w:val="9"/>
        </w:numPr>
        <w:rPr>
          <w:noProof/>
        </w:rPr>
      </w:pPr>
      <w:r>
        <w:rPr>
          <w:noProof/>
        </w:rPr>
        <w:t>Unie považuje úmluvu CITES za klíčovou mezinárodní úmluvu v oblasti zachování biologické rozmanitosti a boji pro</w:t>
      </w:r>
      <w:r>
        <w:rPr>
          <w:noProof/>
        </w:rPr>
        <w:t xml:space="preserve">ti nezákonnému obchodu s volně žijícími a planě rostoucími druhy. </w:t>
      </w:r>
    </w:p>
    <w:p w:rsidR="00BC36BA" w:rsidRDefault="000E6EEC">
      <w:pPr>
        <w:pStyle w:val="NumPar1"/>
        <w:rPr>
          <w:noProof/>
        </w:rPr>
      </w:pPr>
      <w:r>
        <w:rPr>
          <w:noProof/>
        </w:rPr>
        <w:t>Unie by měla na 18. zasedání konference smluvních stran úmluvy CITES přijmout ambiciózní postoj v souladu s příslušnými politikami a mezinárodními závazky Unie v těchto oblastech, zejména s</w:t>
      </w:r>
      <w:r>
        <w:rPr>
          <w:noProof/>
        </w:rPr>
        <w:t> cíli týkajícími se volně žijících a planě rostoucích druhů v rámci 15. cíle udržitelného rozvoje, strategického plánu pro biologickou rozmanitost pro období 2011–2020 a aičijských cílů dohodnutých v rámci Úmluvy o biologické rozmanitosti, strategické vize</w:t>
      </w:r>
      <w:r>
        <w:rPr>
          <w:noProof/>
        </w:rPr>
        <w:t xml:space="preserve"> úmluvy CITES</w:t>
      </w:r>
      <w:r>
        <w:rPr>
          <w:rStyle w:val="FootnoteReference"/>
          <w:noProof/>
        </w:rPr>
        <w:footnoteReference w:id="1"/>
      </w:r>
      <w:r>
        <w:rPr>
          <w:noProof/>
        </w:rPr>
        <w:t xml:space="preserve"> a rezoluce Valného shromáždění OSN 71/326 o nezákonném obchodu s volně žijícími a planě rostoucími druhy. Postoj Unie by měl rovněž sloužit k dosažení cílů stanovených na úrovni EU prostřednictvím strategie EU v oblasti biologické rozmanitos</w:t>
      </w:r>
      <w:r>
        <w:rPr>
          <w:noProof/>
        </w:rPr>
        <w:t xml:space="preserve">ti do roku 2020, akčního plánu EU pro boj proti nezákonnému obchodu s volně žijícími a planě rostoucími druhy, přístupu EU k podpoře obchodu a udržitelného rozvoje, který se odráží ve strategii EU „Obchod pro všechny“, společné rybářské politiky a akčního </w:t>
      </w:r>
      <w:r>
        <w:rPr>
          <w:noProof/>
        </w:rPr>
        <w:t>plánu EU na zachování a řízení populací žraloků.</w:t>
      </w:r>
    </w:p>
    <w:p w:rsidR="00BC36BA" w:rsidRDefault="000E6EEC">
      <w:pPr>
        <w:pStyle w:val="NumPar1"/>
        <w:rPr>
          <w:noProof/>
        </w:rPr>
      </w:pPr>
      <w:r>
        <w:rPr>
          <w:noProof/>
        </w:rPr>
        <w:t>Prioritami Unie na zasedání CoP 18 úmluvy CITES by mělo být:</w:t>
      </w:r>
    </w:p>
    <w:p w:rsidR="00BC36BA" w:rsidRDefault="000E6EEC">
      <w:pPr>
        <w:pStyle w:val="Bullet1"/>
        <w:numPr>
          <w:ilvl w:val="0"/>
          <w:numId w:val="10"/>
        </w:numPr>
        <w:rPr>
          <w:noProof/>
        </w:rPr>
      </w:pPr>
      <w:r>
        <w:rPr>
          <w:noProof/>
        </w:rPr>
        <w:t>plně využít nástroje úmluvy CITES pro regulaci mezinárodního obchodu s ohroženými druhy živočichů a rostlin, které jsou ohrožovány neudržitelnou ú</w:t>
      </w:r>
      <w:r>
        <w:rPr>
          <w:noProof/>
        </w:rPr>
        <w:t>rovní obchodu, a to v souladu s vědeckým přístupem,</w:t>
      </w:r>
    </w:p>
    <w:p w:rsidR="00BC36BA" w:rsidRDefault="000E6EEC">
      <w:pPr>
        <w:pStyle w:val="Bullet1"/>
        <w:rPr>
          <w:noProof/>
        </w:rPr>
      </w:pPr>
      <w:r>
        <w:rPr>
          <w:noProof/>
        </w:rPr>
        <w:t xml:space="preserve">posílit odezvu mezinárodního společenství na nezákonný obchod s volně žijícími a planě rostoucími druhy, </w:t>
      </w:r>
    </w:p>
    <w:p w:rsidR="00BC36BA" w:rsidRDefault="000E6EEC">
      <w:pPr>
        <w:pStyle w:val="Bullet1"/>
        <w:rPr>
          <w:noProof/>
        </w:rPr>
      </w:pPr>
      <w:r>
        <w:rPr>
          <w:noProof/>
        </w:rPr>
        <w:t>zajistit, aby postavení a práva EU jakožto smluvní strany úmluvy zůstala plně zohledněna v přísluš</w:t>
      </w:r>
      <w:r>
        <w:rPr>
          <w:noProof/>
        </w:rPr>
        <w:t xml:space="preserve">ných procesních pravidlech a ujednáních. </w:t>
      </w:r>
    </w:p>
    <w:p w:rsidR="00BC36BA" w:rsidRDefault="000E6EEC">
      <w:pPr>
        <w:pStyle w:val="NumPar1"/>
        <w:rPr>
          <w:noProof/>
        </w:rPr>
      </w:pPr>
      <w:r>
        <w:rPr>
          <w:noProof/>
        </w:rPr>
        <w:t xml:space="preserve">Postoj Unie by měl zohlednit přínos, který mohou mít kontroly v rámci úmluvy CITES pro zlepšení stavu druhů z hlediska ochrany, a zároveň ocenit úsilí těch zemí, které již zavedly účinná opatření pro zachování </w:t>
      </w:r>
      <w:r>
        <w:rPr>
          <w:noProof/>
        </w:rPr>
        <w:t>druhů. Unie by měla zajistit, aby rozhodnutí přijatá na zasedání CoP 18 maximalizovala účinnost úmluvy CITES, a to minimalizací zbytečné administrativní zátěže a dosažením praktických, nákladově efektivních a proveditelných řešení pro provádění a monitorov</w:t>
      </w:r>
      <w:r>
        <w:rPr>
          <w:noProof/>
        </w:rPr>
        <w:t>ání.</w:t>
      </w:r>
    </w:p>
    <w:p w:rsidR="00BC36BA" w:rsidRDefault="000E6EEC">
      <w:pPr>
        <w:pStyle w:val="NumPar1"/>
        <w:rPr>
          <w:noProof/>
        </w:rPr>
      </w:pPr>
      <w:r>
        <w:rPr>
          <w:noProof/>
        </w:rPr>
        <w:t>Konference smluvních stran je řídícím orgánem úmluvy CITES a řada rozhodnutí přijatých na zasedání CoP 18 úmluvy CITES bude prováděna stálým výborem, který je hlavním podpůrným orgánem konference smluvních stran. Z postoje Unie vymezeného pro zasedání</w:t>
      </w:r>
      <w:r>
        <w:rPr>
          <w:noProof/>
        </w:rPr>
        <w:t xml:space="preserve"> CoP 18 úmluvy CITES by proto také měl vycházet přístup EU pro 71. a 72. zasedání stálého výboru, která se budou konat přímo před zasedáním CoP 18 a po jeho skončení.</w:t>
      </w:r>
    </w:p>
    <w:p w:rsidR="00BC36BA" w:rsidRDefault="000E6EEC">
      <w:pPr>
        <w:pStyle w:val="ManualHeading1"/>
        <w:rPr>
          <w:noProof/>
        </w:rPr>
      </w:pPr>
      <w:r>
        <w:rPr>
          <w:noProof/>
        </w:rPr>
        <w:lastRenderedPageBreak/>
        <w:t>B.</w:t>
      </w:r>
      <w:r>
        <w:rPr>
          <w:noProof/>
        </w:rPr>
        <w:tab/>
        <w:t>Konkrétní otázky</w:t>
      </w:r>
    </w:p>
    <w:p w:rsidR="00BC36BA" w:rsidRDefault="000E6EEC">
      <w:pPr>
        <w:pStyle w:val="NumPar1"/>
        <w:rPr>
          <w:noProof/>
        </w:rPr>
      </w:pPr>
      <w:r>
        <w:rPr>
          <w:noProof/>
        </w:rPr>
        <w:t xml:space="preserve">Na zasedání CoP 18 úmluvy CITES se bude projednávat 57 </w:t>
      </w:r>
      <w:r>
        <w:rPr>
          <w:b/>
          <w:noProof/>
        </w:rPr>
        <w:t>návrhů na změn</w:t>
      </w:r>
      <w:r>
        <w:rPr>
          <w:b/>
          <w:noProof/>
        </w:rPr>
        <w:t>u příloh úmluvy CITES</w:t>
      </w:r>
      <w:r>
        <w:rPr>
          <w:noProof/>
        </w:rPr>
        <w:t>. Dvanáct z těchto návrhů předložila Unie jako hlavní navrhovatel nebo spolunavrhovatel a jejich přijetí by tak měla přirozeně podporovat. Postoj Unie ke všem návrhům by měl být založen na stavu dotčených druhů z hlediska ochrany a na </w:t>
      </w:r>
      <w:r>
        <w:rPr>
          <w:noProof/>
        </w:rPr>
        <w:t>dopadu, který na tyto druhy má nebo může mít obchod, v souladu s usnesením Conf. 9.24 o kritériích pro změnu příloh I a II. Zvláštní pozornost by měla být věnována stanoviskům států, na jejichž území se druhy dotčené těmito návrhy vyskytují. Unie má za to,</w:t>
      </w:r>
      <w:r>
        <w:rPr>
          <w:noProof/>
        </w:rPr>
        <w:t xml:space="preserve"> že obecně by také měly být podpořeny návrhy na změnu příloh úmluvy CITES, které jsou výsledkem práce výborů pro zvířata a rostliny a stálého výboru úmluvy CITES. Dále by měla být zohledněna posouzení návrhů provedená sekretariátem úmluvy CITES, svazem IUC</w:t>
      </w:r>
      <w:r>
        <w:rPr>
          <w:noProof/>
        </w:rPr>
        <w:t>N a organizací Traffic</w:t>
      </w:r>
      <w:r>
        <w:rPr>
          <w:rStyle w:val="FootnoteReference"/>
          <w:noProof/>
        </w:rPr>
        <w:footnoteReference w:id="2"/>
      </w:r>
      <w:r>
        <w:rPr>
          <w:noProof/>
        </w:rPr>
        <w:t xml:space="preserve"> a v případě komerčně využívaných mořských druhů také posouzení provedená zvláštní odbornou skupinou FAO, jsou-li k dispozici.</w:t>
      </w:r>
    </w:p>
    <w:p w:rsidR="00BC36BA" w:rsidRDefault="000E6EEC">
      <w:pPr>
        <w:pStyle w:val="NumPar1"/>
        <w:rPr>
          <w:noProof/>
        </w:rPr>
      </w:pPr>
      <w:r>
        <w:rPr>
          <w:noProof/>
        </w:rPr>
        <w:t>V souladu se svým zavedeným postojem EU opětovně potvrzuje, že úmluva CITES je vhodným nástrojem pro regul</w:t>
      </w:r>
      <w:r>
        <w:rPr>
          <w:noProof/>
        </w:rPr>
        <w:t xml:space="preserve">aci mezinárodního obchodu s </w:t>
      </w:r>
      <w:r>
        <w:rPr>
          <w:b/>
          <w:noProof/>
        </w:rPr>
        <w:t>mořskými druhy</w:t>
      </w:r>
      <w:r>
        <w:rPr>
          <w:noProof/>
        </w:rPr>
        <w:t>, pokud je stav těchto druhů z hlediska ochrany tímto obchodem dotčen a pokud jsou nebo mohou být ohroženy vyhynutím. Unie se výslovně zasazuje o to, aby byly do přílohy II úmluvy CITES zařazeny tři druhy sumýšů ro</w:t>
      </w:r>
      <w:r>
        <w:rPr>
          <w:noProof/>
        </w:rPr>
        <w:t xml:space="preserve">du </w:t>
      </w:r>
      <w:r>
        <w:rPr>
          <w:i/>
          <w:noProof/>
        </w:rPr>
        <w:t>Holothuria (Microthele)</w:t>
      </w:r>
      <w:r>
        <w:rPr>
          <w:noProof/>
        </w:rPr>
        <w:t>, a to vzhledem k nadměrnému využívání a značnému objemu mezinárodního obchodu s těmito druhy.</w:t>
      </w:r>
    </w:p>
    <w:p w:rsidR="00BC36BA" w:rsidRDefault="000E6EEC">
      <w:pPr>
        <w:pStyle w:val="NumPar1"/>
        <w:rPr>
          <w:noProof/>
        </w:rPr>
      </w:pPr>
      <w:r>
        <w:rPr>
          <w:noProof/>
        </w:rPr>
        <w:t xml:space="preserve">Unie konstatuje, že v posledních letech bylo odvedeno mnoho práce na </w:t>
      </w:r>
      <w:r>
        <w:rPr>
          <w:b/>
          <w:noProof/>
        </w:rPr>
        <w:t>vybudování kapacity pro provádění úmluvy</w:t>
      </w:r>
      <w:r>
        <w:rPr>
          <w:noProof/>
        </w:rPr>
        <w:t xml:space="preserve"> CITES, i s ohledem na moř</w:t>
      </w:r>
      <w:r>
        <w:rPr>
          <w:noProof/>
        </w:rPr>
        <w:t>ské druhy, a to mimo jiné prostřednictvím finanční podpory Unie. Unie podporuje lepší koordinaci mezi úmluvou CITES, regionálními organizacemi pro řízení rybolovu a jinými příslušnými subjekty jednajícími v rámci jejich působnosti s cílem zlepšit správu a </w:t>
      </w:r>
      <w:r>
        <w:rPr>
          <w:noProof/>
        </w:rPr>
        <w:t xml:space="preserve">zvýšit doplňkovost. Konkrétně se Unie spolupodílela na návrzích na zařazení některých druhů žraloků (žraloka mako a žraloka východního – </w:t>
      </w:r>
      <w:r>
        <w:rPr>
          <w:i/>
          <w:noProof/>
        </w:rPr>
        <w:t>Isurus oxyrinchus</w:t>
      </w:r>
      <w:r>
        <w:rPr>
          <w:noProof/>
        </w:rPr>
        <w:t xml:space="preserve"> a </w:t>
      </w:r>
      <w:r>
        <w:rPr>
          <w:i/>
          <w:noProof/>
        </w:rPr>
        <w:t>I. paucus</w:t>
      </w:r>
      <w:r>
        <w:rPr>
          <w:noProof/>
        </w:rPr>
        <w:t xml:space="preserve">) a rejnokovitých paryb (pilohřbetů – </w:t>
      </w:r>
      <w:r>
        <w:rPr>
          <w:i/>
          <w:noProof/>
        </w:rPr>
        <w:t>Glaucostegus</w:t>
      </w:r>
      <w:r>
        <w:rPr>
          <w:noProof/>
        </w:rPr>
        <w:t xml:space="preserve"> spp. – a kytarovců – Rhinidae spp.) do </w:t>
      </w:r>
      <w:r>
        <w:rPr>
          <w:noProof/>
        </w:rPr>
        <w:t>přílohy II úmluvy CITES. V případě žraloka mako (</w:t>
      </w:r>
      <w:r>
        <w:rPr>
          <w:i/>
          <w:noProof/>
        </w:rPr>
        <w:t>Isurus oxyrinchus</w:t>
      </w:r>
      <w:r>
        <w:rPr>
          <w:noProof/>
        </w:rPr>
        <w:t>) by Unie měla finalizovat svůj postoj s přihlédnutím k výsledkům posouzení odborné poradní skupiny FAO, sekretariátu CITES a svazu IUCN.</w:t>
      </w:r>
    </w:p>
    <w:p w:rsidR="00BC36BA" w:rsidRDefault="000E6EEC">
      <w:pPr>
        <w:pStyle w:val="NumPar1"/>
        <w:rPr>
          <w:noProof/>
        </w:rPr>
      </w:pPr>
      <w:r>
        <w:rPr>
          <w:noProof/>
        </w:rPr>
        <w:t xml:space="preserve">Na zasedání CoP 17 byly do přílohy II úmluvy CITES </w:t>
      </w:r>
      <w:r>
        <w:rPr>
          <w:noProof/>
        </w:rPr>
        <w:t>zařazeny další druhy růžového dřeva (</w:t>
      </w:r>
      <w:r>
        <w:rPr>
          <w:i/>
          <w:noProof/>
        </w:rPr>
        <w:t>Pterocarpus erinaceus</w:t>
      </w:r>
      <w:r>
        <w:rPr>
          <w:noProof/>
        </w:rPr>
        <w:t xml:space="preserve">, tři druhy rodu </w:t>
      </w:r>
      <w:r>
        <w:rPr>
          <w:i/>
          <w:noProof/>
        </w:rPr>
        <w:t>Guibourtia</w:t>
      </w:r>
      <w:r>
        <w:rPr>
          <w:noProof/>
        </w:rPr>
        <w:t xml:space="preserve"> a rod </w:t>
      </w:r>
      <w:r>
        <w:rPr>
          <w:i/>
          <w:noProof/>
        </w:rPr>
        <w:t>Dalbergia spp</w:t>
      </w:r>
      <w:r>
        <w:rPr>
          <w:noProof/>
        </w:rPr>
        <w:t xml:space="preserve">.) s cílem lépe kontrolovat mezinárodní obchod s těmito druhy </w:t>
      </w:r>
      <w:r>
        <w:rPr>
          <w:b/>
          <w:noProof/>
        </w:rPr>
        <w:t>tropického dřeva</w:t>
      </w:r>
      <w:r>
        <w:rPr>
          <w:noProof/>
        </w:rPr>
        <w:t>. Pro Unii je důležité zajistit, aby se stávající poznámka #15 změnila ta</w:t>
      </w:r>
      <w:r>
        <w:rPr>
          <w:noProof/>
        </w:rPr>
        <w:t xml:space="preserve">k, aby se zaměřila na ty exempláře, které se poprvé objevují v mezinárodním obchodě, a aby se zabránilo zbytečné zátěži spojené s administrativou a prosazováním.  EU by proto měla podpořit konsensus týkající se změny poznámky #15, dosažený na 70. zasedání </w:t>
      </w:r>
      <w:r>
        <w:rPr>
          <w:noProof/>
        </w:rPr>
        <w:t>stálého výboru, a zároveň zůstat otevřená možným finálním zlepšením, která by mohla vzejít z konzultací s ostatními smluvními stranami. V souladu se svým závazkem k lepší kontrole dovozu dřeva ze střední Afriky by Unie měla rovněž podpořit rozšíření oblast</w:t>
      </w:r>
      <w:r>
        <w:rPr>
          <w:noProof/>
        </w:rPr>
        <w:t>i působnosti stávající položky na seznamu afrormosia (</w:t>
      </w:r>
      <w:r>
        <w:rPr>
          <w:i/>
          <w:noProof/>
        </w:rPr>
        <w:t>Pericopsis elata</w:t>
      </w:r>
      <w:r>
        <w:rPr>
          <w:noProof/>
        </w:rPr>
        <w:t xml:space="preserve">) v příloze II úmluvy CITES. </w:t>
      </w:r>
    </w:p>
    <w:p w:rsidR="00BC36BA" w:rsidRDefault="000E6EEC">
      <w:pPr>
        <w:pStyle w:val="NumPar1"/>
        <w:rPr>
          <w:noProof/>
        </w:rPr>
      </w:pPr>
      <w:r>
        <w:rPr>
          <w:noProof/>
        </w:rPr>
        <w:lastRenderedPageBreak/>
        <w:t>Dále by Unie měla podpořit celoplošné snahy o účinnější regulaci mezinárodního obchodu s ohroženými volně žijícími a planě rostoucími druhy, včetně navrhova</w:t>
      </w:r>
      <w:r>
        <w:rPr>
          <w:noProof/>
        </w:rPr>
        <w:t xml:space="preserve">ného usnesení o </w:t>
      </w:r>
      <w:r>
        <w:rPr>
          <w:b/>
          <w:noProof/>
        </w:rPr>
        <w:t>ověřování zákonného získání</w:t>
      </w:r>
      <w:r>
        <w:rPr>
          <w:noProof/>
        </w:rPr>
        <w:t xml:space="preserve">, které vychází z výsledků zvláštního semináře pořádaného EU v červnu 2018. Přijetí nové </w:t>
      </w:r>
      <w:r>
        <w:rPr>
          <w:b/>
          <w:noProof/>
        </w:rPr>
        <w:t>strategické vize</w:t>
      </w:r>
      <w:r>
        <w:rPr>
          <w:noProof/>
        </w:rPr>
        <w:t xml:space="preserve"> pro úmluvu CITES na období 2021 až 2030 na zasedání CoP 18 představuje příležitost sjednotit a případně vyj</w:t>
      </w:r>
      <w:r>
        <w:rPr>
          <w:noProof/>
        </w:rPr>
        <w:t xml:space="preserve">asnit úlohu úmluvy v širším kontextu mezinárodní správy záležitostí týkajících se životního prostředí, včetně rámce pro biologickou rozmanitost po roce 2020 v rámci Úmluvy o biologické rozmanitosti.  </w:t>
      </w:r>
    </w:p>
    <w:p w:rsidR="00BC36BA" w:rsidRDefault="000E6EEC">
      <w:pPr>
        <w:pStyle w:val="NumPar1"/>
        <w:rPr>
          <w:noProof/>
        </w:rPr>
      </w:pPr>
      <w:r>
        <w:rPr>
          <w:noProof/>
        </w:rPr>
        <w:t xml:space="preserve">Postoj Unie k návrhům týkajícím se </w:t>
      </w:r>
      <w:r>
        <w:rPr>
          <w:b/>
          <w:noProof/>
        </w:rPr>
        <w:t xml:space="preserve">nezákonného obchodu </w:t>
      </w:r>
      <w:r>
        <w:rPr>
          <w:b/>
          <w:noProof/>
        </w:rPr>
        <w:t>s volně žijícími a planě rostoucími druhy</w:t>
      </w:r>
      <w:r>
        <w:rPr>
          <w:noProof/>
        </w:rPr>
        <w:t xml:space="preserve"> by měl být v souladu se třemi prioritami stanovenými v akčním plánu EU pro boj proti nezákonnému obchodu s volně žijícími a planě rostoucími druhy a s příslušnými závěry Rady. Tento postoj by měl rovněž zohlednit n</w:t>
      </w:r>
      <w:r>
        <w:rPr>
          <w:noProof/>
        </w:rPr>
        <w:t>edávnou zprávu Komise o provádění tohoto akčního plánu.</w:t>
      </w:r>
    </w:p>
    <w:p w:rsidR="00BC36BA" w:rsidRDefault="000E6EEC">
      <w:pPr>
        <w:pStyle w:val="NumPar1"/>
        <w:rPr>
          <w:noProof/>
        </w:rPr>
      </w:pPr>
      <w:r>
        <w:rPr>
          <w:noProof/>
        </w:rPr>
        <w:t xml:space="preserve">V souladu s první prioritou akčního plánu podporuje Unie prostřednictvím úmluvy CITES lepší ochranu druhů, které se v současnosti do EU dováží v neudržitelné míře nebo nezákonně (zejména </w:t>
      </w:r>
      <w:r>
        <w:rPr>
          <w:b/>
          <w:noProof/>
        </w:rPr>
        <w:t>exotických zv</w:t>
      </w:r>
      <w:r>
        <w:rPr>
          <w:b/>
          <w:noProof/>
        </w:rPr>
        <w:t>ířat v zájmovém chovu</w:t>
      </w:r>
      <w:r>
        <w:rPr>
          <w:noProof/>
        </w:rPr>
        <w:t xml:space="preserve">).  Unie proto podporuje návrhy na změnu příloh týkající se různých druhů plazů a obojživelníků, zejména několika druhů gekonů a čolků. </w:t>
      </w:r>
    </w:p>
    <w:p w:rsidR="00BC36BA" w:rsidRDefault="000E6EEC">
      <w:pPr>
        <w:pStyle w:val="NumPar1"/>
        <w:rPr>
          <w:noProof/>
        </w:rPr>
      </w:pPr>
      <w:r>
        <w:rPr>
          <w:noProof/>
        </w:rPr>
        <w:t xml:space="preserve">V souladu s druhou a třetí prioritou podporuje Unie důrazná opatření k </w:t>
      </w:r>
      <w:r>
        <w:rPr>
          <w:b/>
          <w:noProof/>
        </w:rPr>
        <w:t>provádění</w:t>
      </w:r>
      <w:r>
        <w:rPr>
          <w:noProof/>
        </w:rPr>
        <w:t xml:space="preserve"> úmluvy ze strany </w:t>
      </w:r>
      <w:r>
        <w:rPr>
          <w:noProof/>
        </w:rPr>
        <w:t>jejích smluvních stran. Prosazuje jasný harmonogram s monitorovacími mechanismy (včetně možných obchodních sankcí) vůči smluvním stranám, které opakovaně neplní své povinnosti podle úmluvy CITES. To je důležité zejména pro boj proti pytlačení a nezákonnému</w:t>
      </w:r>
      <w:r>
        <w:rPr>
          <w:noProof/>
        </w:rPr>
        <w:t xml:space="preserve"> obchodu s dopadem na slony (viz níže), nosorožce, velké asijské kočkovité šelmy, růžová dřeva a luskouny.</w:t>
      </w:r>
    </w:p>
    <w:p w:rsidR="00BC36BA" w:rsidRDefault="000E6EEC">
      <w:pPr>
        <w:pStyle w:val="NumPar1"/>
        <w:rPr>
          <w:noProof/>
        </w:rPr>
      </w:pPr>
      <w:r>
        <w:rPr>
          <w:noProof/>
        </w:rPr>
        <w:t xml:space="preserve">Několik návrhů předložených na zasedání CoP 18 se zaměřuje na otázky spojené s </w:t>
      </w:r>
      <w:r>
        <w:rPr>
          <w:b/>
          <w:noProof/>
        </w:rPr>
        <w:t>udržitelným využíváním</w:t>
      </w:r>
      <w:r>
        <w:rPr>
          <w:noProof/>
        </w:rPr>
        <w:t>, možnostmi obživy a venkovskými společenstvími.</w:t>
      </w:r>
      <w:r>
        <w:rPr>
          <w:noProof/>
        </w:rPr>
        <w:t xml:space="preserve"> Unie by tyto návrhy měla podporovat  do té míry, v jaké pomáhají zajistit, aby se příslušné informace v souladu s ustanoveními úmluvy odrážely ve stávajících postupech. Mělo by se zabránit vytváření dalších postupů nebo struktur s vysokými náklady a nejis</w:t>
      </w:r>
      <w:r>
        <w:rPr>
          <w:noProof/>
        </w:rPr>
        <w:t>tým přínosem.</w:t>
      </w:r>
    </w:p>
    <w:p w:rsidR="00BC36BA" w:rsidRDefault="000E6EEC">
      <w:pPr>
        <w:pStyle w:val="NumPar1"/>
        <w:rPr>
          <w:noProof/>
        </w:rPr>
      </w:pPr>
      <w:r>
        <w:rPr>
          <w:noProof/>
        </w:rPr>
        <w:t xml:space="preserve">I nadále dochází </w:t>
      </w:r>
      <w:r>
        <w:rPr>
          <w:b/>
          <w:noProof/>
        </w:rPr>
        <w:t xml:space="preserve">k pytlačení slonů a nezákonnému obchodu se slonovinou </w:t>
      </w:r>
      <w:r>
        <w:rPr>
          <w:noProof/>
        </w:rPr>
        <w:t>na znepokojivě vysoké úrovni. Unie i její členské státy poskytly značnou podporu africkým zemím v zájmu zlepšení ochrany volně žijících a planě rostoucích druhů a boje pro</w:t>
      </w:r>
      <w:r>
        <w:rPr>
          <w:noProof/>
        </w:rPr>
        <w:t>ti nezákonnému obchodu s těmito druhy. Unie je odhodlána i nadále podporovat své africké partnery a zvýšit své úsilí v této oblasti v souladu s akčním plánem EU pro boj proti nezákonnému obchodu s volně žijícími a planě rostoucími druhy. Značně rozšířené p</w:t>
      </w:r>
      <w:r>
        <w:rPr>
          <w:noProof/>
        </w:rPr>
        <w:t xml:space="preserve">ytlačení a nezákonné obchodování zůstává pro EU velkým problémem a její prioritou v rámci všech bodů na pořadu jednání zasedání CoP 18 týkajících se slonů by měla být podpora opatření, která tento problém přímo řeší. </w:t>
      </w:r>
    </w:p>
    <w:p w:rsidR="00BC36BA" w:rsidRDefault="000E6EEC">
      <w:pPr>
        <w:pStyle w:val="NumPar1"/>
        <w:rPr>
          <w:noProof/>
        </w:rPr>
      </w:pPr>
      <w:r>
        <w:rPr>
          <w:noProof/>
        </w:rPr>
        <w:t>Unie konstatuje, že smluvní strany pře</w:t>
      </w:r>
      <w:r>
        <w:rPr>
          <w:noProof/>
        </w:rPr>
        <w:t xml:space="preserve">dložily několik, částečně protichůdných návrhů, pokud jde o </w:t>
      </w:r>
      <w:r>
        <w:rPr>
          <w:b/>
          <w:noProof/>
        </w:rPr>
        <w:t>zákonný obchod se slonovinou</w:t>
      </w:r>
      <w:r>
        <w:rPr>
          <w:noProof/>
        </w:rPr>
        <w:t>. Mezinárodní obchod se slonovinou je v současné době podle rámce úmluvy CITES zakázán. Unie se domnívá, že podmínky pro opětovné povolení takového obchodu nejsou splně</w:t>
      </w:r>
      <w:r>
        <w:rPr>
          <w:noProof/>
        </w:rPr>
        <w:t>ny, a v rámci zasedání CoP 18 nepodporuje návrhy, aby se tento trh opět otevřel. Pokud jde o domácí trhy se slonovinou, Unie by i nadále měla podporovat přiměřená a účinná opatření v rámci oblasti působnosti úmluvy založená na nejlepších dostupných důkazec</w:t>
      </w:r>
      <w:r>
        <w:rPr>
          <w:noProof/>
        </w:rPr>
        <w:t>h.</w:t>
      </w:r>
    </w:p>
    <w:p w:rsidR="00BC36BA" w:rsidRDefault="000E6EEC">
      <w:pPr>
        <w:pStyle w:val="NumPar1"/>
        <w:rPr>
          <w:noProof/>
        </w:rPr>
      </w:pPr>
      <w:r>
        <w:rPr>
          <w:noProof/>
        </w:rPr>
        <w:lastRenderedPageBreak/>
        <w:t xml:space="preserve">Unie se domnívá, že </w:t>
      </w:r>
      <w:r>
        <w:rPr>
          <w:b/>
          <w:noProof/>
        </w:rPr>
        <w:t>jednací řád</w:t>
      </w:r>
      <w:r>
        <w:rPr>
          <w:noProof/>
        </w:rPr>
        <w:t xml:space="preserve"> konference smluvních stran se nesmí odchýlit od znění úmluvy včetně čl. XXI odst. 2 až 6. Jakékoli pokusy o doplnění ustanovení, na jejichž základě by výkon práv Unie jakožto smluvní strany podléhal podmínkám, jež nejsou </w:t>
      </w:r>
      <w:r>
        <w:rPr>
          <w:noProof/>
        </w:rPr>
        <w:t xml:space="preserve">stanoveny v úmluvě, by měly být jednoznačně odmítnuty. </w:t>
      </w:r>
    </w:p>
    <w:p w:rsidR="00BC36BA" w:rsidRDefault="000E6EEC">
      <w:pPr>
        <w:pStyle w:val="NumPar1"/>
        <w:rPr>
          <w:noProof/>
        </w:rPr>
      </w:pPr>
      <w:r>
        <w:rPr>
          <w:noProof/>
        </w:rPr>
        <w:t>Krize týkající se nezákonného obchodu s volně žijícími a planě rostoucími druhy společně s rozšířením oblasti působnosti úmluvy CITES na nové druhy a smluvní strany znamená, že v posledních letech byl</w:t>
      </w:r>
      <w:r>
        <w:rPr>
          <w:noProof/>
        </w:rPr>
        <w:t xml:space="preserve">o </w:t>
      </w:r>
      <w:r>
        <w:rPr>
          <w:b/>
          <w:noProof/>
        </w:rPr>
        <w:t>pod záštitu úmluvy CITES zahrnuto více činností</w:t>
      </w:r>
      <w:r>
        <w:rPr>
          <w:noProof/>
        </w:rPr>
        <w:t xml:space="preserve"> a že se pracovní vytížení sekretariátu CITES výrazně zvýšilo. Unie by měla tento vývoj zohlednit při rozhodování o svých prioritách na zasedání CoP 18 a o budoucím rozpočtu pro sekretariát úmluvy CITES. </w:t>
      </w:r>
    </w:p>
    <w:sectPr w:rsidR="00BC36BA">
      <w:footerReference w:type="default" r:id="rId13"/>
      <w:footerReference w:type="first" r:id="rId14"/>
      <w:pgSz w:w="11907" w:h="16839"/>
      <w:pgMar w:top="1134" w:right="1417" w:bottom="1134" w:left="1417" w:header="709" w:footer="709" w:gutter="0"/>
      <w:pgNumType w:start="1"/>
      <w:cols w:space="720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99BD307" w16cid:durableId="20119FF9"/>
  <w16cid:commentId w16cid:paraId="09FB7257" w16cid:durableId="20119FFA"/>
  <w16cid:commentId w16cid:paraId="0E5E1FF7" w16cid:durableId="2011A050"/>
  <w16cid:commentId w16cid:paraId="4BFD0E96" w16cid:durableId="20119FFB"/>
  <w16cid:commentId w16cid:paraId="462571C0" w16cid:durableId="20119FFC"/>
  <w16cid:commentId w16cid:paraId="2589A3C0" w16cid:durableId="2011A0AC"/>
  <w16cid:commentId w16cid:paraId="2C5BBDCA" w16cid:durableId="20119FF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36BA" w:rsidRDefault="000E6EEC">
      <w:pPr>
        <w:spacing w:before="0" w:after="0"/>
      </w:pPr>
      <w:r>
        <w:separator/>
      </w:r>
    </w:p>
  </w:endnote>
  <w:endnote w:type="continuationSeparator" w:id="0">
    <w:p w:rsidR="00BC36BA" w:rsidRDefault="000E6EE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6BA" w:rsidRDefault="000E6EEC">
    <w:pPr>
      <w:pStyle w:val="Footer"/>
      <w:rPr>
        <w:rFonts w:ascii="Arial" w:hAnsi="Arial" w:cs="Arial"/>
        <w:b/>
        <w:sz w:val="48"/>
      </w:rPr>
    </w:pPr>
    <w:r>
      <w:rPr>
        <w:rFonts w:ascii="Arial" w:hAnsi="Arial" w:cs="Arial"/>
        <w:b/>
        <w:sz w:val="48"/>
      </w:rPr>
      <w:t>CS</w:t>
    </w:r>
    <w:r>
      <w:rPr>
        <w:rFonts w:ascii="Arial" w:hAnsi="Arial" w:cs="Arial"/>
        <w:b/>
        <w:sz w:val="48"/>
      </w:rPr>
      <w:tab/>
    </w:r>
    <w:r>
      <w:rPr>
        <w:rFonts w:ascii="Arial" w:hAnsi="Arial" w:cs="Arial"/>
        <w:b/>
        <w:sz w:val="48"/>
      </w:rPr>
      <w:tab/>
    </w:r>
    <w:r>
      <w:tab/>
    </w:r>
    <w:r>
      <w:rPr>
        <w:rFonts w:ascii="Arial" w:hAnsi="Arial" w:cs="Arial"/>
        <w:b/>
        <w:sz w:val="48"/>
      </w:rPr>
      <w:t>CS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6BA" w:rsidRDefault="000E6EEC">
    <w:pPr>
      <w:pStyle w:val="Footer"/>
      <w:rPr>
        <w:rFonts w:ascii="Arial" w:hAnsi="Arial" w:cs="Arial"/>
        <w:b/>
        <w:sz w:val="48"/>
      </w:rPr>
    </w:pPr>
    <w:r>
      <w:rPr>
        <w:rFonts w:ascii="Arial" w:hAnsi="Arial" w:cs="Arial"/>
        <w:b/>
        <w:sz w:val="48"/>
      </w:rPr>
      <w:t>CS</w:t>
    </w:r>
    <w:r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4</w:t>
    </w:r>
    <w:r>
      <w:fldChar w:fldCharType="end"/>
    </w:r>
    <w:r>
      <w:tab/>
    </w:r>
    <w:r>
      <w:tab/>
    </w:r>
    <w:r>
      <w:rPr>
        <w:rFonts w:ascii="Arial" w:hAnsi="Arial" w:cs="Arial"/>
        <w:b/>
        <w:sz w:val="48"/>
      </w:rPr>
      <w:t>CS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6BA" w:rsidRDefault="00BC36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36BA" w:rsidRDefault="000E6EEC">
      <w:pPr>
        <w:spacing w:before="0" w:after="0"/>
      </w:pPr>
      <w:r>
        <w:separator/>
      </w:r>
    </w:p>
  </w:footnote>
  <w:footnote w:type="continuationSeparator" w:id="0">
    <w:p w:rsidR="00BC36BA" w:rsidRDefault="000E6EEC">
      <w:pPr>
        <w:spacing w:before="0" w:after="0"/>
      </w:pPr>
      <w:r>
        <w:continuationSeparator/>
      </w:r>
    </w:p>
  </w:footnote>
  <w:footnote w:id="1">
    <w:p w:rsidR="00BC36BA" w:rsidRDefault="000E6EEC">
      <w:pPr>
        <w:pStyle w:val="FootnoteText"/>
      </w:pPr>
      <w:r>
        <w:rPr>
          <w:rStyle w:val="FootnoteReference"/>
        </w:rPr>
        <w:footnoteRef/>
      </w:r>
      <w:r>
        <w:tab/>
        <w:t>Usnesení úmluvy CITES Conf. 14.2., které má být aktualizováno na zasedání CoP 18 (viz bod 5 níže).</w:t>
      </w:r>
    </w:p>
  </w:footnote>
  <w:footnote w:id="2">
    <w:p w:rsidR="00BC36BA" w:rsidRDefault="000E6EEC">
      <w:pPr>
        <w:pStyle w:val="FootnoteText"/>
        <w:ind w:left="0" w:firstLine="0"/>
      </w:pPr>
      <w:r>
        <w:rPr>
          <w:rStyle w:val="FootnoteReference"/>
        </w:rPr>
        <w:footnoteRef/>
      </w:r>
      <w:r>
        <w:tab/>
        <w:t xml:space="preserve">Mezinárodní svaz ochrany přírody (IUCN) a organizace TRAFFIC se zaměřují na problematiku obchodu s volně žijícími a </w:t>
      </w:r>
      <w:r>
        <w:t>planě rostoucími druhy a poskytují podrobná posouzení návrhů na změnu příloh úmluvy CITES před každým zasedáním konference smluvních stran.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D"/>
    <w:multiLevelType w:val="singleLevel"/>
    <w:tmpl w:val="C4EAF8F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FFFFFF7E"/>
    <w:multiLevelType w:val="singleLevel"/>
    <w:tmpl w:val="CC82490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 w15:restartNumberingAfterBreak="0">
    <w:nsid w:val="FFFFFF7F"/>
    <w:multiLevelType w:val="singleLevel"/>
    <w:tmpl w:val="101C63F8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3" w15:restartNumberingAfterBreak="0">
    <w:nsid w:val="FFFFFF81"/>
    <w:multiLevelType w:val="singleLevel"/>
    <w:tmpl w:val="293EBC3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BA4C9F90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 w15:restartNumberingAfterBreak="0">
    <w:nsid w:val="FFFFFF83"/>
    <w:multiLevelType w:val="singleLevel"/>
    <w:tmpl w:val="666A716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 w15:restartNumberingAfterBreak="0">
    <w:nsid w:val="FFFFFF88"/>
    <w:multiLevelType w:val="singleLevel"/>
    <w:tmpl w:val="F42ABAB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FFFFFF89"/>
    <w:multiLevelType w:val="singleLevel"/>
    <w:tmpl w:val="BBB825E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9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11" w15:restartNumberingAfterBreak="0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12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 w15:restartNumberingAfterBreak="0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4" w15:restartNumberingAfterBreak="0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5" w15:restartNumberingAfterBreak="0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6" w15:restartNumberingAfterBreak="0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7" w15:restartNumberingAfterBreak="0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18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9" w15:restartNumberingAfterBreak="0">
    <w:nsid w:val="64A12FA4"/>
    <w:multiLevelType w:val="multilevel"/>
    <w:tmpl w:val="428ECF3E"/>
    <w:name w:val="Heading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21" w15:restartNumberingAfterBreak="0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1"/>
  </w:num>
  <w:num w:numId="8">
    <w:abstractNumId w:val="0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</w:num>
  <w:num w:numId="11">
    <w:abstractNumId w:val="18"/>
  </w:num>
  <w:num w:numId="12">
    <w:abstractNumId w:val="12"/>
  </w:num>
  <w:num w:numId="13">
    <w:abstractNumId w:val="20"/>
  </w:num>
  <w:num w:numId="14">
    <w:abstractNumId w:val="11"/>
  </w:num>
  <w:num w:numId="15">
    <w:abstractNumId w:val="13"/>
  </w:num>
  <w:num w:numId="16">
    <w:abstractNumId w:val="9"/>
  </w:num>
  <w:num w:numId="17">
    <w:abstractNumId w:val="19"/>
  </w:num>
  <w:num w:numId="18">
    <w:abstractNumId w:val="8"/>
  </w:num>
  <w:num w:numId="19">
    <w:abstractNumId w:val="14"/>
  </w:num>
  <w:num w:numId="20">
    <w:abstractNumId w:val="16"/>
  </w:num>
  <w:num w:numId="21">
    <w:abstractNumId w:val="17"/>
  </w:num>
  <w:num w:numId="22">
    <w:abstractNumId w:val="10"/>
  </w:num>
  <w:num w:numId="23">
    <w:abstractNumId w:val="15"/>
  </w:num>
  <w:num w:numId="24">
    <w:abstractNumId w:val="21"/>
  </w:num>
  <w:num w:numId="25">
    <w:abstractNumId w:val="18"/>
  </w:num>
  <w:num w:numId="26">
    <w:abstractNumId w:val="12"/>
  </w:num>
  <w:num w:numId="27">
    <w:abstractNumId w:val="20"/>
  </w:num>
  <w:num w:numId="28">
    <w:abstractNumId w:val="11"/>
  </w:num>
  <w:num w:numId="29">
    <w:abstractNumId w:val="13"/>
  </w:num>
  <w:num w:numId="30">
    <w:abstractNumId w:val="9"/>
  </w:num>
  <w:num w:numId="31">
    <w:abstractNumId w:val="19"/>
  </w:num>
  <w:num w:numId="32">
    <w:abstractNumId w:val="8"/>
  </w:num>
  <w:num w:numId="33">
    <w:abstractNumId w:val="14"/>
  </w:num>
  <w:num w:numId="34">
    <w:abstractNumId w:val="16"/>
  </w:num>
  <w:num w:numId="35">
    <w:abstractNumId w:val="17"/>
  </w:num>
  <w:num w:numId="36">
    <w:abstractNumId w:val="10"/>
  </w:num>
  <w:num w:numId="37">
    <w:abstractNumId w:val="15"/>
  </w:num>
  <w:num w:numId="38">
    <w:abstractNumId w:val="21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attachedTemplate r:id="rId1"/>
  <w:revisionView w:markup="0"/>
  <w:doNotTrackFormatting/>
  <w:defaultTabStop w:val="720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QCDateTime" w:val="2019-04-05 10:02:52"/>
    <w:docVar w:name="DQCResult_Distribution" w:val="0;0"/>
    <w:docVar w:name="DQCResult_DocumentContent" w:val="0;0"/>
    <w:docVar w:name="DQCResult_DocumentSize" w:val="0;0"/>
    <w:docVar w:name="DQCResult_DocumentVersions" w:val="0;0"/>
    <w:docVar w:name="DQCResult_InvalidFootnotes" w:val="0;0"/>
    <w:docVar w:name="DQCResult_LinkedStyles" w:val="0;0"/>
    <w:docVar w:name="DQCResult_ModifiedMargins" w:val="0;1"/>
    <w:docVar w:name="DQCResult_ModifiedMarkers" w:val="0;0"/>
    <w:docVar w:name="DQCResult_ModifiedNumbering" w:val="0;0"/>
    <w:docVar w:name="DQCResult_Objects" w:val="0;0"/>
    <w:docVar w:name="DQCResult_Sections" w:val="0;1"/>
    <w:docVar w:name="DQCResult_StructureCheck" w:val="0;0"/>
    <w:docVar w:name="DQCResult_SuperfluousWhitespace" w:val="0;4"/>
    <w:docVar w:name="DQCResult_UnknownFonts" w:val="0;0"/>
    <w:docVar w:name="DQCResult_UnknownStyles" w:val="0;0"/>
    <w:docVar w:name="DQCStatus" w:val="Yellow"/>
    <w:docVar w:name="DQCVersion" w:val="3"/>
    <w:docVar w:name="DQCWithWarnings" w:val="0"/>
    <w:docVar w:name="LW_ACCOMPAGNANT" w:val="  "/>
    <w:docVar w:name="LW_ACCOMPAGNANT.CP" w:val="  "/>
    <w:docVar w:name="LW_ANNEX_NBR_FIRST" w:val="1"/>
    <w:docVar w:name="LW_ANNEX_NBR_LAST" w:val="1"/>
    <w:docVar w:name="LW_ANNEX_UNIQUE" w:val="0"/>
    <w:docVar w:name="LW_CORRIGENDUM" w:val="&lt;UNUSED&gt;"/>
    <w:docVar w:name="LW_COVERPAGE_EXISTS" w:val="True"/>
    <w:docVar w:name="LW_COVERPAGE_GUID" w:val="A5ED02EB-D5DE-4277-9F92-60E81EF4B1D1"/>
    <w:docVar w:name="LW_COVERPAGE_TYPE" w:val="1"/>
    <w:docVar w:name="LW_CROSSREFERENCE" w:val="&lt;UNUSED&gt;"/>
    <w:docVar w:name="LW_DocType" w:val="ANNEX"/>
    <w:docVar w:name="LW_EMISSION" w:val="21.3.2019"/>
    <w:docVar w:name="LW_EMISSION_ISODATE" w:val="2019-03-21"/>
    <w:docVar w:name="LW_EMISSION_LOCATION" w:val="BRX"/>
    <w:docVar w:name="LW_EMISSION_PREFIX" w:val="V Bruselu dne "/>
    <w:docVar w:name="LW_EMISSION_SUFFIX" w:val=" "/>
    <w:docVar w:name="LW_ID_DOCSTRUCTURE" w:val="COM/ANNEX"/>
    <w:docVar w:name="LW_ID_DOCTYPE" w:val="SG-017"/>
    <w:docVar w:name="LW_LANGUE" w:val="CS"/>
    <w:docVar w:name="LW_LEVEL_OF_SENSITIVITY" w:val="Standard treatment"/>
    <w:docVar w:name="LW_NOM.INST" w:val="EVROPSKÁ KOMISE"/>
    <w:docVar w:name="LW_NOM.INST_JOINTDOC" w:val="&lt;EMPTY&gt;"/>
    <w:docVar w:name="LW_OBJETACTEPRINCIPAL" w:val="o postoji, který má být jménem Evropské unie zaujat na 18. zasedání konference smluvních stran (CoP 18) Úmluvy o mezinárodním obchodu ohro\u382?enými druhy voln\u283? \u382?ijících \u382?ivo\u269?ich\u367? a plan\u283? rostoucích rostlin (CITES)"/>
    <w:docVar w:name="LW_OBJETACTEPRINCIPAL.CP" w:val="o postoji, který má být jménem Evropské unie zaujat na 18. zasedání konference smluvních stran (CoP 18) Úmluvy o mezinárodním obchodu ohro\u382?enými druhy voln\u283? \u382?ijících \u382?ivo\u269?ich\u367? a plan\u283? rostoucích rostlin (CITES)"/>
    <w:docVar w:name="LW_PART_NBR" w:val="1"/>
    <w:docVar w:name="LW_PART_NBR_TOTAL" w:val="1"/>
    <w:docVar w:name="LW_REF.INST.NEW" w:val="COM"/>
    <w:docVar w:name="LW_REF.INST.NEW_ADOPTED" w:val="final"/>
    <w:docVar w:name="LW_REF.INST.NEW_TEXT" w:val="(2019) 146"/>
    <w:docVar w:name="LW_REF.INTERNE" w:val="&lt;UNUSED&gt;"/>
    <w:docVar w:name="LW_SENSITIVITY" w:val="&lt;?xml version=&quot;1.0&quot; encoding=&quot;utf-8&quot;?&gt;_x000d__x000a_&lt;SensitivityLevel xmlns:xsi=&quot;http://www.w3.org/2001/XMLSchema-instance&quot; xmlns:xsd=&quot;http://www.w3.org/2001/XMLSchema&quot; id=&quot;standard&quot;&gt;_x000d__x000a_  &lt;nicename EN=&quot;Standard treatment&quot; FR=&quot;Traitement standard&quot; /&gt;_x000d__x000a_  &lt;documentProperty&gt;Standard treatment&lt;/documentProperty&gt;_x000d__x000a_  &lt;marking xsi:nil=&quot;true&quot; /&gt;_x000d__x000a_  &lt;limited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footnote xsi:nil=&quot;true&quot; /&gt;_x000d__x000a_  &lt;isRestricted&gt;false&lt;/isRestricted&gt;_x000d__x000a_&lt;/SensitivityLevel&gt;"/>
    <w:docVar w:name="LW_SUPERTITRE" w:val="&lt;UNUSED&gt;"/>
    <w:docVar w:name="LW_TYPE.DOC" w:val="P\u344?ÍLOHA"/>
    <w:docVar w:name="LW_TYPE.DOC.CP" w:val="P\u344?ÍLOHA"/>
    <w:docVar w:name="LW_TYPEACTEPRINCIPAL" w:val="návrhu ROZHODNUTÍ RADY"/>
    <w:docVar w:name="LW_TYPEACTEPRINCIPAL.CP" w:val="návrhu ROZHODNUTÍ RADY"/>
  </w:docVars>
  <w:rsids>
    <w:rsidRoot w:val="00BC36BA"/>
    <w:rsid w:val="000E6EEC"/>
    <w:rsid w:val="00BC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5:docId w15:val="{5DFD54A3-D535-4622-B3A7-7E6521BB1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  <w:lang w:val="cs-CZ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31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31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31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31"/>
      </w:numPr>
      <w:outlineLvl w:val="3"/>
    </w:pPr>
    <w:rPr>
      <w:rFonts w:eastAsiaTheme="majorEastAsia"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ous-titreobjet">
    <w:name w:val="Sous-titre objet"/>
    <w:basedOn w:val="Normal"/>
    <w:pPr>
      <w:spacing w:before="0" w:after="0"/>
      <w:jc w:val="center"/>
    </w:pPr>
    <w:rPr>
      <w:b/>
    </w:rPr>
  </w:style>
  <w:style w:type="paragraph" w:customStyle="1" w:styleId="Titreobjet">
    <w:name w:val="Titre objet"/>
    <w:basedOn w:val="Normal"/>
    <w:next w:val="Sous-titreobjet"/>
    <w:pPr>
      <w:spacing w:before="180" w:after="180"/>
      <w:jc w:val="center"/>
    </w:pPr>
    <w:rPr>
      <w:b/>
    </w:rPr>
  </w:style>
  <w:style w:type="paragraph" w:customStyle="1" w:styleId="Sous-titreobjetPagedecouverture">
    <w:name w:val="Sous-titre objet (Page de couverture)"/>
    <w:basedOn w:val="Sous-titreobjet"/>
  </w:style>
  <w:style w:type="paragraph" w:customStyle="1" w:styleId="TitreobjetPagedecouverture">
    <w:name w:val="Titre objet (Page de couverture)"/>
    <w:basedOn w:val="Titreobjet"/>
    <w:next w:val="Sous-titreobjetPagedecouverture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ListBullet">
    <w:name w:val="List Bullet"/>
    <w:basedOn w:val="Normal"/>
    <w:uiPriority w:val="99"/>
    <w:semiHidden/>
    <w:unhideWhenUsed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4"/>
      </w:num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  <w:lang w:val="cs-CZ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Times New Roman" w:hAnsi="Times New Roman" w:cs="Times New Roman"/>
      <w:sz w:val="20"/>
      <w:szCs w:val="20"/>
      <w:lang w:val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Times New Roman" w:hAnsi="Times New Roman" w:cs="Times New Roman"/>
      <w:b/>
      <w:bCs/>
      <w:sz w:val="20"/>
      <w:szCs w:val="20"/>
      <w:lang w:val="cs-CZ"/>
    </w:rPr>
  </w:style>
  <w:style w:type="paragraph" w:styleId="Revision">
    <w:name w:val="Revision"/>
    <w:hidden/>
    <w:uiPriority w:val="99"/>
    <w:semiHidden/>
    <w:pPr>
      <w:spacing w:after="0" w:line="240" w:lineRule="auto"/>
    </w:pPr>
    <w:rPr>
      <w:rFonts w:ascii="Times New Roman" w:hAnsi="Times New Roman" w:cs="Times New Roman"/>
      <w:sz w:val="24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before="0" w:after="0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rFonts w:ascii="Times New Roman" w:hAnsi="Times New Roman" w:cs="Times New Roman"/>
      <w:sz w:val="20"/>
      <w:szCs w:val="20"/>
      <w:lang w:val="cs-CZ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before="0" w:after="200"/>
    </w:pPr>
    <w:rPr>
      <w:i/>
      <w:iCs/>
      <w:color w:val="1F497D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pPr>
      <w:spacing w:after="0"/>
    </w:pPr>
  </w:style>
  <w:style w:type="paragraph" w:styleId="ListNumber">
    <w:name w:val="List Number"/>
    <w:basedOn w:val="Normal"/>
    <w:uiPriority w:val="99"/>
    <w:semiHidden/>
    <w:unhideWhenUsed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numId w:val="7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pPr>
      <w:numPr>
        <w:numId w:val="8"/>
      </w:numPr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35"/>
        <w:tab w:val="right" w:pos="9071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  <w:sz w:val="24"/>
      <w:lang w:val="cs-CZ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  <w:sz w:val="24"/>
      <w:lang w:val="cs-CZ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shd w:val="clear" w:color="auto" w:fill="auto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shd w:val="clear" w:color="auto" w:fill="auto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shd w:val="clear" w:color="auto" w:fill="auto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shd w:val="clear" w:color="auto" w:fill="auto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</w:pPr>
  </w:style>
  <w:style w:type="paragraph" w:customStyle="1" w:styleId="HeaderLandscape">
    <w:name w:val="HeaderLandscape"/>
    <w:basedOn w:val="Normal"/>
    <w:pPr>
      <w:tabs>
        <w:tab w:val="center" w:pos="7285"/>
        <w:tab w:val="right" w:pos="14003"/>
      </w:tabs>
      <w:spacing w:before="0"/>
    </w:pPr>
  </w:style>
  <w:style w:type="paragraph" w:customStyle="1" w:styleId="FooterLandscape">
    <w:name w:val="FooterLandscape"/>
    <w:basedOn w:val="Normal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</w:rPr>
  </w:style>
  <w:style w:type="paragraph" w:customStyle="1" w:styleId="FooterSensitivity">
    <w:name w:val="Footer Sensitivity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Tiret0">
    <w:name w:val="Tiret 0"/>
    <w:basedOn w:val="Point0"/>
    <w:pPr>
      <w:numPr>
        <w:numId w:val="25"/>
      </w:numPr>
    </w:pPr>
  </w:style>
  <w:style w:type="paragraph" w:customStyle="1" w:styleId="Tiret1">
    <w:name w:val="Tiret 1"/>
    <w:basedOn w:val="Point1"/>
    <w:pPr>
      <w:numPr>
        <w:numId w:val="26"/>
      </w:numPr>
    </w:pPr>
  </w:style>
  <w:style w:type="paragraph" w:customStyle="1" w:styleId="Tiret2">
    <w:name w:val="Tiret 2"/>
    <w:basedOn w:val="Point2"/>
    <w:pPr>
      <w:numPr>
        <w:numId w:val="27"/>
      </w:numPr>
    </w:pPr>
  </w:style>
  <w:style w:type="paragraph" w:customStyle="1" w:styleId="Tiret3">
    <w:name w:val="Tiret 3"/>
    <w:basedOn w:val="Point3"/>
    <w:pPr>
      <w:numPr>
        <w:numId w:val="28"/>
      </w:numPr>
    </w:pPr>
  </w:style>
  <w:style w:type="paragraph" w:customStyle="1" w:styleId="Tiret4">
    <w:name w:val="Tiret 4"/>
    <w:basedOn w:val="Point4"/>
    <w:pPr>
      <w:numPr>
        <w:numId w:val="29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30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30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30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30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32"/>
      </w:numPr>
    </w:pPr>
  </w:style>
  <w:style w:type="paragraph" w:customStyle="1" w:styleId="Point1number">
    <w:name w:val="Point 1 (number)"/>
    <w:basedOn w:val="Normal"/>
    <w:pPr>
      <w:numPr>
        <w:ilvl w:val="2"/>
        <w:numId w:val="32"/>
      </w:numPr>
    </w:pPr>
  </w:style>
  <w:style w:type="paragraph" w:customStyle="1" w:styleId="Point2number">
    <w:name w:val="Point 2 (number)"/>
    <w:basedOn w:val="Normal"/>
    <w:pPr>
      <w:numPr>
        <w:ilvl w:val="4"/>
        <w:numId w:val="32"/>
      </w:numPr>
    </w:pPr>
  </w:style>
  <w:style w:type="paragraph" w:customStyle="1" w:styleId="Point3number">
    <w:name w:val="Point 3 (number)"/>
    <w:basedOn w:val="Normal"/>
    <w:pPr>
      <w:numPr>
        <w:ilvl w:val="6"/>
        <w:numId w:val="32"/>
      </w:numPr>
    </w:pPr>
  </w:style>
  <w:style w:type="paragraph" w:customStyle="1" w:styleId="Point0letter">
    <w:name w:val="Point 0 (letter)"/>
    <w:basedOn w:val="Normal"/>
    <w:pPr>
      <w:numPr>
        <w:ilvl w:val="1"/>
        <w:numId w:val="32"/>
      </w:numPr>
    </w:pPr>
  </w:style>
  <w:style w:type="paragraph" w:customStyle="1" w:styleId="Point1letter">
    <w:name w:val="Point 1 (letter)"/>
    <w:basedOn w:val="Normal"/>
    <w:pPr>
      <w:numPr>
        <w:ilvl w:val="3"/>
        <w:numId w:val="32"/>
      </w:numPr>
    </w:pPr>
  </w:style>
  <w:style w:type="paragraph" w:customStyle="1" w:styleId="Point2letter">
    <w:name w:val="Point 2 (letter)"/>
    <w:basedOn w:val="Normal"/>
    <w:pPr>
      <w:numPr>
        <w:ilvl w:val="5"/>
        <w:numId w:val="32"/>
      </w:numPr>
    </w:pPr>
  </w:style>
  <w:style w:type="paragraph" w:customStyle="1" w:styleId="Point3letter">
    <w:name w:val="Point 3 (letter)"/>
    <w:basedOn w:val="Normal"/>
    <w:pPr>
      <w:numPr>
        <w:ilvl w:val="7"/>
        <w:numId w:val="32"/>
      </w:numPr>
    </w:pPr>
  </w:style>
  <w:style w:type="paragraph" w:customStyle="1" w:styleId="Point4letter">
    <w:name w:val="Point 4 (letter)"/>
    <w:basedOn w:val="Normal"/>
    <w:pPr>
      <w:numPr>
        <w:ilvl w:val="8"/>
        <w:numId w:val="32"/>
      </w:numPr>
    </w:pPr>
  </w:style>
  <w:style w:type="paragraph" w:customStyle="1" w:styleId="Bullet0">
    <w:name w:val="Bullet 0"/>
    <w:basedOn w:val="Normal"/>
    <w:pPr>
      <w:numPr>
        <w:numId w:val="33"/>
      </w:numPr>
    </w:pPr>
  </w:style>
  <w:style w:type="paragraph" w:customStyle="1" w:styleId="Bullet1">
    <w:name w:val="Bullet 1"/>
    <w:basedOn w:val="Normal"/>
    <w:pPr>
      <w:numPr>
        <w:numId w:val="34"/>
      </w:numPr>
    </w:pPr>
  </w:style>
  <w:style w:type="paragraph" w:customStyle="1" w:styleId="Bullet2">
    <w:name w:val="Bullet 2"/>
    <w:basedOn w:val="Normal"/>
    <w:pPr>
      <w:numPr>
        <w:numId w:val="35"/>
      </w:numPr>
    </w:pPr>
  </w:style>
  <w:style w:type="paragraph" w:customStyle="1" w:styleId="Bullet3">
    <w:name w:val="Bullet 3"/>
    <w:basedOn w:val="Normal"/>
    <w:pPr>
      <w:numPr>
        <w:numId w:val="36"/>
      </w:numPr>
    </w:pPr>
  </w:style>
  <w:style w:type="paragraph" w:customStyle="1" w:styleId="Bullet4">
    <w:name w:val="Bullet 4"/>
    <w:basedOn w:val="Normal"/>
    <w:pPr>
      <w:numPr>
        <w:numId w:val="37"/>
      </w:numPr>
    </w:p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Declassification">
    <w:name w:val="Declassification"/>
    <w:basedOn w:val="Normal"/>
    <w:next w:val="Normal"/>
    <w:pPr>
      <w:spacing w:before="0" w:after="0"/>
    </w:pPr>
  </w:style>
  <w:style w:type="paragraph" w:customStyle="1" w:styleId="Disclaimer">
    <w:name w:val="Disclaimer"/>
    <w:basedOn w:val="Normal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38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IntrtEEE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pPr>
      <w:spacing w:before="0" w:after="24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ypedudocument">
    <w:name w:val="Type du document"/>
    <w:basedOn w:val="Normal"/>
    <w:next w:val="Accompagnant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IntrtEEE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ypedudocumentPagedecouverture">
    <w:name w:val="Type du document (Page de couverture)"/>
    <w:basedOn w:val="Typedudocument"/>
    <w:next w:val="Accompagnan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391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23" Type="http://schemas.microsoft.com/office/2016/09/relationships/commentsIds" Target="commentsIds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Public\Documents\Templates\ANNEX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5AA856C34D8E478D8680B911FA8A3D" ma:contentTypeVersion="0" ma:contentTypeDescription="Create a new document." ma:contentTypeScope="" ma:versionID="a1b2f863b13fb1eec5060ba3f8e2a58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5d28fc8648fa84460f5661d9ecf385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52D4C4-F5F4-4E05-8D9B-20F6F4D6C69A}">
  <ds:schemaRefs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255E34B-72E3-43DE-A94E-25E96730B8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8210B5-82C2-49CE-8CEE-0588BD8837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FDC7F90-8547-4170-B223-2071EBC11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ANNEX.dotm</Template>
  <TotalTime>1</TotalTime>
  <Pages>5</Pages>
  <Words>1574</Words>
  <Characters>8803</Characters>
  <Application>Microsoft Office Word</Application>
  <DocSecurity>0</DocSecurity>
  <Lines>146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10348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9</cp:revision>
  <cp:lastPrinted>2019-02-15T18:13:00Z</cp:lastPrinted>
  <dcterms:created xsi:type="dcterms:W3CDTF">2019-04-02T13:47:00Z</dcterms:created>
  <dcterms:modified xsi:type="dcterms:W3CDTF">2019-04-05T13:44:00Z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 edited using">
    <vt:lpwstr>LW 6.0.1, Build 20180503</vt:lpwstr>
  </property>
  <property fmtid="{D5CDD505-2E9C-101B-9397-08002B2CF9AE}" pid="3" name="Level of sensitivity">
    <vt:lpwstr>Standard treatment</vt:lpwstr>
  </property>
  <property fmtid="{D5CDD505-2E9C-101B-9397-08002B2CF9AE}" pid="4" name="Category">
    <vt:lpwstr>COM/ANNEX</vt:lpwstr>
  </property>
  <property fmtid="{D5CDD505-2E9C-101B-9397-08002B2CF9AE}" pid="5" name="First annex">
    <vt:lpwstr>1</vt:lpwstr>
  </property>
  <property fmtid="{D5CDD505-2E9C-101B-9397-08002B2CF9AE}" pid="6" name="Last annex">
    <vt:lpwstr>1</vt:lpwstr>
  </property>
  <property fmtid="{D5CDD505-2E9C-101B-9397-08002B2CF9AE}" pid="7" name="Unique annex">
    <vt:lpwstr>0</vt:lpwstr>
  </property>
  <property fmtid="{D5CDD505-2E9C-101B-9397-08002B2CF9AE}" pid="8" name="Part">
    <vt:lpwstr>1</vt:lpwstr>
  </property>
  <property fmtid="{D5CDD505-2E9C-101B-9397-08002B2CF9AE}" pid="9" name="Total parts">
    <vt:lpwstr>1</vt:lpwstr>
  </property>
  <property fmtid="{D5CDD505-2E9C-101B-9397-08002B2CF9AE}" pid="10" name="LWTemplateID">
    <vt:lpwstr>SG-017</vt:lpwstr>
  </property>
  <property fmtid="{D5CDD505-2E9C-101B-9397-08002B2CF9AE}" pid="11" name="ContentTypeId">
    <vt:lpwstr>0x010100135AA856C34D8E478D8680B911FA8A3D</vt:lpwstr>
  </property>
  <property fmtid="{D5CDD505-2E9C-101B-9397-08002B2CF9AE}" pid="12" name="IsMyDocuments">
    <vt:bool>true</vt:bool>
  </property>
  <property fmtid="{D5CDD505-2E9C-101B-9397-08002B2CF9AE}" pid="13" name="DQCStatus">
    <vt:lpwstr>Yellow (DQC version 03)</vt:lpwstr>
  </property>
  <property name="OP_sanitized" fmtid="{D5CDD505-2E9C-101B-9397-08002B2CF9AE}" pid="14">
    <vt:lpwstr>True</vt:lpwstr>
  </property>
</Properties>
</file>