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5D1" w:rsidRDefault="008A3FF4">
      <w:pPr>
        <w:pStyle w:val="Pagedecouverture"/>
        <w:rPr>
          <w:noProof/>
          <w:highlight w:val="yellow"/>
        </w:rPr>
      </w:pPr>
      <w:r w:rsidRPr="008A3FF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0F230CCF-2A40-41DF-8871-C31D26230DAA" style="width:450.6pt;height:397.8pt">
            <v:imagedata r:id="rId11" o:title=""/>
          </v:shape>
        </w:pict>
      </w:r>
      <w:bookmarkStart w:id="0" w:name="_GoBack"/>
      <w:bookmarkEnd w:id="0"/>
    </w:p>
    <w:p w:rsidR="00AA75D1" w:rsidRDefault="00AA75D1">
      <w:pPr>
        <w:rPr>
          <w:noProof/>
          <w:color w:val="000000" w:themeColor="text1"/>
        </w:rPr>
        <w:sectPr w:rsidR="00AA75D1">
          <w:footerReference w:type="default" r:id="rId12"/>
          <w:pgSz w:w="11907" w:h="16839"/>
          <w:pgMar w:top="1134" w:right="1417" w:bottom="1134" w:left="1417" w:header="709" w:footer="709" w:gutter="0"/>
          <w:pgNumType w:start="1"/>
          <w:cols w:space="720"/>
          <w:docGrid w:linePitch="360"/>
        </w:sectPr>
      </w:pPr>
    </w:p>
    <w:p w:rsidR="00AA75D1" w:rsidRDefault="008A3FF4">
      <w:pPr>
        <w:jc w:val="center"/>
        <w:rPr>
          <w:b/>
          <w:noProof/>
          <w:color w:val="000000" w:themeColor="text1"/>
          <w:u w:val="single"/>
        </w:rPr>
      </w:pPr>
      <w:r>
        <w:rPr>
          <w:b/>
          <w:noProof/>
          <w:color w:val="000000" w:themeColor="text1"/>
          <w:u w:val="single"/>
        </w:rPr>
        <w:lastRenderedPageBreak/>
        <w:t>II LISA</w:t>
      </w:r>
    </w:p>
    <w:p w:rsidR="00AA75D1" w:rsidRDefault="008A3FF4">
      <w:pPr>
        <w:jc w:val="center"/>
        <w:rPr>
          <w:b/>
          <w:noProof/>
          <w:color w:val="000000" w:themeColor="text1"/>
          <w:u w:val="single"/>
        </w:rPr>
      </w:pPr>
      <w:r>
        <w:rPr>
          <w:b/>
          <w:noProof/>
          <w:color w:val="000000" w:themeColor="text1"/>
          <w:u w:val="single"/>
        </w:rPr>
        <w:t xml:space="preserve">Euroopa Liidu seisukoht teatavate ettepanekute kohta, mis tulevad arutlusele ohustatud looduslike looma- ja taimeliikidega </w:t>
      </w:r>
      <w:r>
        <w:rPr>
          <w:b/>
          <w:noProof/>
          <w:color w:val="000000" w:themeColor="text1"/>
          <w:u w:val="single"/>
        </w:rPr>
        <w:t>rahvusvahelise kauplemise konventsiooni (CITES) osaliste konverentsi 18. istungil Sri Lankal Colombos 23. maist kuni 3. juunini 2019</w:t>
      </w:r>
    </w:p>
    <w:tbl>
      <w:tblPr>
        <w:tblStyle w:val="TableGrid"/>
        <w:tblW w:w="5000" w:type="pct"/>
        <w:tblLook w:val="04A0" w:firstRow="1" w:lastRow="0" w:firstColumn="1" w:lastColumn="0" w:noHBand="0" w:noVBand="1"/>
      </w:tblPr>
      <w:tblGrid>
        <w:gridCol w:w="3097"/>
        <w:gridCol w:w="3097"/>
        <w:gridCol w:w="3095"/>
      </w:tblGrid>
      <w:tr w:rsidR="00AA75D1">
        <w:tc>
          <w:tcPr>
            <w:tcW w:w="1667" w:type="pct"/>
          </w:tcPr>
          <w:p w:rsidR="00AA75D1" w:rsidRDefault="008A3FF4">
            <w:pPr>
              <w:rPr>
                <w:noProof/>
                <w:color w:val="000000" w:themeColor="text1"/>
                <w:sz w:val="20"/>
                <w:szCs w:val="20"/>
              </w:rPr>
            </w:pPr>
            <w:r>
              <w:rPr>
                <w:noProof/>
                <w:color w:val="000000" w:themeColor="text1"/>
                <w:sz w:val="20"/>
                <w:szCs w:val="20"/>
              </w:rPr>
              <w:t>+ märgib pooltseisukohta</w:t>
            </w:r>
          </w:p>
        </w:tc>
        <w:tc>
          <w:tcPr>
            <w:tcW w:w="1667" w:type="pct"/>
          </w:tcPr>
          <w:p w:rsidR="00AA75D1" w:rsidRDefault="008A3FF4">
            <w:pPr>
              <w:rPr>
                <w:noProof/>
                <w:color w:val="000000" w:themeColor="text1"/>
                <w:sz w:val="20"/>
                <w:szCs w:val="20"/>
              </w:rPr>
            </w:pPr>
            <w:r>
              <w:rPr>
                <w:noProof/>
                <w:color w:val="000000" w:themeColor="text1"/>
                <w:sz w:val="20"/>
                <w:szCs w:val="20"/>
              </w:rPr>
              <w:t>– märgib vastuseisukohta</w:t>
            </w:r>
          </w:p>
        </w:tc>
        <w:tc>
          <w:tcPr>
            <w:tcW w:w="1666" w:type="pct"/>
          </w:tcPr>
          <w:p w:rsidR="00AA75D1" w:rsidRDefault="008A3FF4">
            <w:pPr>
              <w:rPr>
                <w:noProof/>
                <w:color w:val="000000" w:themeColor="text1"/>
                <w:sz w:val="20"/>
                <w:szCs w:val="20"/>
              </w:rPr>
            </w:pPr>
            <w:r>
              <w:rPr>
                <w:noProof/>
                <w:color w:val="000000" w:themeColor="text1"/>
                <w:sz w:val="20"/>
                <w:szCs w:val="20"/>
              </w:rPr>
              <w:t>0 märgib avatud seisukohta</w:t>
            </w:r>
          </w:p>
        </w:tc>
      </w:tr>
      <w:tr w:rsidR="00AA75D1">
        <w:tc>
          <w:tcPr>
            <w:tcW w:w="5000" w:type="pct"/>
            <w:gridSpan w:val="3"/>
          </w:tcPr>
          <w:p w:rsidR="00AA75D1" w:rsidRDefault="008A3FF4">
            <w:pPr>
              <w:jc w:val="center"/>
              <w:rPr>
                <w:noProof/>
                <w:color w:val="000000" w:themeColor="text1"/>
                <w:sz w:val="20"/>
                <w:szCs w:val="20"/>
              </w:rPr>
            </w:pPr>
            <w:r>
              <w:rPr>
                <w:noProof/>
                <w:color w:val="000000" w:themeColor="text1"/>
                <w:sz w:val="20"/>
                <w:szCs w:val="20"/>
              </w:rPr>
              <w:t xml:space="preserve">(  ) märgivad, et on vaja põhjalikumat </w:t>
            </w:r>
            <w:r>
              <w:rPr>
                <w:noProof/>
                <w:color w:val="000000" w:themeColor="text1"/>
                <w:sz w:val="20"/>
                <w:szCs w:val="20"/>
              </w:rPr>
              <w:t>analüüsi</w:t>
            </w:r>
          </w:p>
        </w:tc>
      </w:tr>
    </w:tbl>
    <w:p w:rsidR="00AA75D1" w:rsidRDefault="008A3FF4">
      <w:pPr>
        <w:pStyle w:val="Heading1"/>
        <w:numPr>
          <w:ilvl w:val="0"/>
          <w:numId w:val="13"/>
        </w:numPr>
        <w:rPr>
          <w:noProof/>
        </w:rPr>
      </w:pPr>
      <w:r>
        <w:rPr>
          <w:noProof/>
        </w:rPr>
        <w:t>Töödokumendid</w:t>
      </w: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620" w:firstRow="1" w:lastRow="0" w:firstColumn="0" w:lastColumn="0" w:noHBand="1" w:noVBand="1"/>
      </w:tblPr>
      <w:tblGrid>
        <w:gridCol w:w="596"/>
        <w:gridCol w:w="595"/>
        <w:gridCol w:w="270"/>
        <w:gridCol w:w="461"/>
        <w:gridCol w:w="2178"/>
        <w:gridCol w:w="1706"/>
        <w:gridCol w:w="2512"/>
        <w:gridCol w:w="1025"/>
      </w:tblGrid>
      <w:tr w:rsidR="00AA75D1">
        <w:trPr>
          <w:cantSplit/>
          <w:tblHeader/>
        </w:trPr>
        <w:tc>
          <w:tcPr>
            <w:tcW w:w="0" w:type="auto"/>
            <w:tcMar>
              <w:top w:w="60" w:type="dxa"/>
              <w:left w:w="135" w:type="dxa"/>
              <w:bottom w:w="60" w:type="dxa"/>
              <w:right w:w="135" w:type="dxa"/>
            </w:tcMar>
          </w:tcPr>
          <w:p w:rsidR="00AA75D1" w:rsidRDefault="008A3FF4">
            <w:pPr>
              <w:spacing w:before="0" w:after="0" w:line="240" w:lineRule="atLeast"/>
              <w:rPr>
                <w:rFonts w:eastAsia="Times New Roman"/>
                <w:b/>
                <w:bCs/>
                <w:i/>
                <w:noProof/>
                <w:color w:val="000000" w:themeColor="text1"/>
                <w:sz w:val="20"/>
                <w:szCs w:val="20"/>
              </w:rPr>
            </w:pPr>
            <w:r>
              <w:rPr>
                <w:b/>
                <w:bCs/>
                <w:i/>
                <w:noProof/>
                <w:color w:val="000000" w:themeColor="text1"/>
                <w:sz w:val="20"/>
                <w:szCs w:val="20"/>
              </w:rPr>
              <w:t>Nr</w:t>
            </w:r>
          </w:p>
        </w:tc>
        <w:tc>
          <w:tcPr>
            <w:tcW w:w="3731" w:type="dxa"/>
            <w:gridSpan w:val="4"/>
          </w:tcPr>
          <w:p w:rsidR="00AA75D1" w:rsidRDefault="008A3FF4">
            <w:pPr>
              <w:spacing w:before="0" w:after="0" w:line="240" w:lineRule="atLeast"/>
              <w:rPr>
                <w:rFonts w:eastAsia="Times New Roman"/>
                <w:b/>
                <w:bCs/>
                <w:i/>
                <w:noProof/>
                <w:color w:val="000000" w:themeColor="text1"/>
                <w:sz w:val="20"/>
                <w:szCs w:val="20"/>
              </w:rPr>
            </w:pPr>
            <w:r>
              <w:rPr>
                <w:b/>
                <w:bCs/>
                <w:i/>
                <w:noProof/>
                <w:color w:val="000000" w:themeColor="text1"/>
                <w:sz w:val="20"/>
                <w:szCs w:val="20"/>
              </w:rPr>
              <w:t>Päevakorrapunkt</w:t>
            </w:r>
          </w:p>
        </w:tc>
        <w:tc>
          <w:tcPr>
            <w:tcW w:w="1423" w:type="dxa"/>
            <w:tcMar>
              <w:top w:w="60" w:type="dxa"/>
              <w:left w:w="135" w:type="dxa"/>
              <w:bottom w:w="60" w:type="dxa"/>
              <w:right w:w="135" w:type="dxa"/>
            </w:tcMar>
          </w:tcPr>
          <w:p w:rsidR="00AA75D1" w:rsidRDefault="008A3FF4">
            <w:pPr>
              <w:spacing w:before="0" w:after="0" w:line="240" w:lineRule="atLeast"/>
              <w:rPr>
                <w:rFonts w:eastAsia="Times New Roman"/>
                <w:b/>
                <w:bCs/>
                <w:i/>
                <w:noProof/>
                <w:color w:val="000000" w:themeColor="text1"/>
                <w:sz w:val="20"/>
                <w:szCs w:val="20"/>
              </w:rPr>
            </w:pPr>
            <w:r>
              <w:rPr>
                <w:b/>
                <w:bCs/>
                <w:i/>
                <w:noProof/>
                <w:color w:val="000000" w:themeColor="text1"/>
                <w:sz w:val="20"/>
                <w:szCs w:val="20"/>
              </w:rPr>
              <w:t>Esitaja</w:t>
            </w:r>
            <w:r>
              <w:rPr>
                <w:rStyle w:val="Heading1Char"/>
                <w:noProof/>
                <w:vertAlign w:val="superscript"/>
              </w:rPr>
              <w:footnoteReference w:id="2"/>
            </w:r>
          </w:p>
        </w:tc>
        <w:tc>
          <w:tcPr>
            <w:tcW w:w="2410" w:type="dxa"/>
            <w:tcMar>
              <w:top w:w="60" w:type="dxa"/>
              <w:left w:w="135" w:type="dxa"/>
              <w:bottom w:w="60" w:type="dxa"/>
              <w:right w:w="135" w:type="dxa"/>
            </w:tcMar>
          </w:tcPr>
          <w:p w:rsidR="00AA75D1" w:rsidRDefault="008A3FF4">
            <w:pPr>
              <w:spacing w:before="0" w:after="0" w:line="240" w:lineRule="atLeast"/>
              <w:jc w:val="left"/>
              <w:rPr>
                <w:rFonts w:eastAsia="Times New Roman"/>
                <w:b/>
                <w:bCs/>
                <w:i/>
                <w:noProof/>
                <w:color w:val="000000" w:themeColor="text1"/>
                <w:sz w:val="20"/>
                <w:szCs w:val="20"/>
              </w:rPr>
            </w:pPr>
            <w:r>
              <w:rPr>
                <w:b/>
                <w:bCs/>
                <w:i/>
                <w:noProof/>
                <w:color w:val="000000" w:themeColor="text1"/>
                <w:sz w:val="20"/>
                <w:szCs w:val="20"/>
              </w:rPr>
              <w:t>Märkused</w:t>
            </w:r>
          </w:p>
        </w:tc>
        <w:tc>
          <w:tcPr>
            <w:tcW w:w="992" w:type="dxa"/>
            <w:tcMar>
              <w:top w:w="60" w:type="dxa"/>
              <w:left w:w="135" w:type="dxa"/>
              <w:bottom w:w="60" w:type="dxa"/>
              <w:right w:w="135" w:type="dxa"/>
            </w:tcMar>
          </w:tcPr>
          <w:p w:rsidR="00AA75D1" w:rsidRDefault="008A3FF4">
            <w:pPr>
              <w:spacing w:before="0" w:after="0" w:line="240" w:lineRule="atLeast"/>
              <w:rPr>
                <w:rFonts w:eastAsia="Times New Roman"/>
                <w:b/>
                <w:bCs/>
                <w:i/>
                <w:noProof/>
                <w:color w:val="000000" w:themeColor="text1"/>
                <w:sz w:val="20"/>
                <w:szCs w:val="20"/>
              </w:rPr>
            </w:pPr>
            <w:r>
              <w:rPr>
                <w:b/>
                <w:bCs/>
                <w:i/>
                <w:noProof/>
                <w:color w:val="000000" w:themeColor="text1"/>
                <w:sz w:val="20"/>
                <w:szCs w:val="20"/>
              </w:rPr>
              <w:t>Seisukoht</w:t>
            </w:r>
          </w:p>
        </w:tc>
      </w:tr>
      <w:tr w:rsidR="00AA75D1">
        <w:trPr>
          <w:cantSplit/>
        </w:trPr>
        <w:tc>
          <w:tcPr>
            <w:tcW w:w="4382" w:type="dxa"/>
            <w:gridSpan w:val="5"/>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Avatseremoonia</w:t>
            </w: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Dokument puudub</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9207" w:type="dxa"/>
            <w:gridSpan w:val="8"/>
            <w:tcMar>
              <w:top w:w="60" w:type="dxa"/>
              <w:left w:w="135" w:type="dxa"/>
              <w:bottom w:w="60" w:type="dxa"/>
              <w:right w:w="135" w:type="dxa"/>
            </w:tcMar>
            <w:hideMark/>
          </w:tcPr>
          <w:p w:rsidR="00AA75D1" w:rsidRDefault="008A3FF4">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rPr>
              <w:t>Haldus- ja finantsküsimused</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Konverentsi juhataja, vahelduva juhataja ja asejuhatajate ning I ja II komitee juhatajate </w:t>
            </w:r>
            <w:r>
              <w:rPr>
                <w:b/>
                <w:noProof/>
                <w:color w:val="000000" w:themeColor="text1"/>
                <w:sz w:val="20"/>
                <w:szCs w:val="20"/>
              </w:rPr>
              <w:t>valimine</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Dokument puudub</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Päevakorra</w:t>
            </w:r>
            <w:r>
              <w:rPr>
                <w:noProof/>
                <w:color w:val="000000" w:themeColor="text1"/>
                <w:sz w:val="20"/>
                <w:szCs w:val="20"/>
              </w:rPr>
              <w:t xml:space="preserve"> vastuvõtmine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Tööprogrammi</w:t>
            </w:r>
            <w:r>
              <w:rPr>
                <w:noProof/>
                <w:color w:val="000000" w:themeColor="text1"/>
                <w:sz w:val="20"/>
                <w:szCs w:val="20"/>
              </w:rPr>
              <w:t xml:space="preserve"> vastuvõtmine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b/>
                <w:noProof/>
                <w:color w:val="000000" w:themeColor="text1"/>
                <w:sz w:val="20"/>
                <w:szCs w:val="20"/>
              </w:rPr>
            </w:pPr>
            <w:r>
              <w:rPr>
                <w:b/>
                <w:noProof/>
                <w:color w:val="000000" w:themeColor="text1"/>
                <w:sz w:val="20"/>
                <w:szCs w:val="20"/>
              </w:rPr>
              <w:t>Kodukord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4.1</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Konventsiooniosaliste konverentsi 18. istungi kodukord </w:t>
            </w:r>
            <w:r>
              <w:rPr>
                <w:noProof/>
                <w:color w:val="000000" w:themeColor="text1"/>
                <w:sz w:val="20"/>
                <w:szCs w:val="20"/>
                <w:u w:val="single"/>
              </w:rPr>
              <w:t>CoP18 Doc. 4.1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Võtta teadmiseks dokument kehtiva kodukorra kohta, mis jääb kehtima seni, kuni </w:t>
            </w:r>
            <w:r>
              <w:rPr>
                <w:noProof/>
                <w:color w:val="000000" w:themeColor="text1"/>
                <w:sz w:val="20"/>
                <w:szCs w:val="20"/>
              </w:rPr>
              <w:t>konventsiooniosaliste konverents (CoP – Conference of the Parties) seda muudab (vt kodukorra artikkel 32).</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4.2</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Kodukorra läbivaatamine </w:t>
            </w:r>
            <w:r>
              <w:rPr>
                <w:noProof/>
                <w:color w:val="000000" w:themeColor="text1"/>
                <w:sz w:val="20"/>
                <w:szCs w:val="20"/>
                <w:u w:val="single"/>
              </w:rPr>
              <w:t>CoP18 Doc. 4.2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kodukorra muutmata jätmist CoP18-l; toetada alalise komitee uusi volitusi vaadata CoP19-ks läbi kodukorra artikkel 25 (lisade muudatuste kohta otsuse tegemise menetlus). </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V</w:t>
            </w:r>
            <w:r>
              <w:rPr>
                <w:b/>
                <w:noProof/>
                <w:color w:val="000000" w:themeColor="text1"/>
                <w:sz w:val="20"/>
                <w:szCs w:val="20"/>
              </w:rPr>
              <w:t>olituste kontrollimise</w:t>
            </w:r>
            <w:r>
              <w:rPr>
                <w:noProof/>
                <w:color w:val="000000" w:themeColor="text1"/>
                <w:sz w:val="20"/>
                <w:szCs w:val="20"/>
              </w:rPr>
              <w:t xml:space="preserve"> komitee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5.1</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Volituste kontrollimise </w:t>
            </w:r>
            <w:r>
              <w:rPr>
                <w:noProof/>
                <w:color w:val="000000" w:themeColor="text1"/>
                <w:sz w:val="20"/>
                <w:szCs w:val="20"/>
              </w:rPr>
              <w:t>komitee moodustamine</w:t>
            </w:r>
            <w:r>
              <w:rPr>
                <w:noProof/>
                <w:color w:val="000000" w:themeColor="text1"/>
                <w:sz w:val="20"/>
                <w:szCs w:val="20"/>
              </w:rPr>
              <w:br/>
              <w:t>(dokument puudub)</w:t>
            </w: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Dokument puudub</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5.2</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Volituste kontrollimise komitee aruanne</w:t>
            </w:r>
            <w:r>
              <w:rPr>
                <w:noProof/>
                <w:color w:val="000000" w:themeColor="text1"/>
                <w:sz w:val="20"/>
                <w:szCs w:val="20"/>
              </w:rPr>
              <w:br/>
              <w:t>(dokument puudub)</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Dokument puudub</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Vaatlejate</w:t>
            </w:r>
            <w:r>
              <w:rPr>
                <w:noProof/>
                <w:color w:val="000000" w:themeColor="text1"/>
                <w:sz w:val="20"/>
                <w:szCs w:val="20"/>
              </w:rPr>
              <w:t xml:space="preserve"> vastuvõtt</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Sekretariaadi ja konventsiooniosaliste konverentsi istungite </w:t>
            </w:r>
            <w:r>
              <w:rPr>
                <w:b/>
                <w:noProof/>
                <w:color w:val="000000" w:themeColor="text1"/>
                <w:sz w:val="20"/>
                <w:szCs w:val="20"/>
              </w:rPr>
              <w:t>haldamine, rahastamine</w:t>
            </w:r>
            <w:r>
              <w:rPr>
                <w:b/>
                <w:noProof/>
                <w:color w:val="000000" w:themeColor="text1"/>
                <w:sz w:val="20"/>
                <w:szCs w:val="20"/>
              </w:rPr>
              <w:t xml:space="preserve"> ja eelarve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7.1</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Sekretariaadi haldamine</w:t>
            </w:r>
            <w:r>
              <w:rPr>
                <w:noProof/>
                <w:color w:val="000000" w:themeColor="text1"/>
                <w:sz w:val="20"/>
                <w:szCs w:val="20"/>
              </w:rPr>
              <w:br/>
            </w:r>
            <w:r>
              <w:rPr>
                <w:noProof/>
                <w:color w:val="000000" w:themeColor="text1"/>
                <w:sz w:val="20"/>
                <w:szCs w:val="20"/>
                <w:u w:val="single"/>
              </w:rPr>
              <w:t>CoP18 Doc. 7.1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7.2</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UNEPi tegevdirektori aruanne haldus- ja muude küsimuste kohta</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7.3</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2016.–2019. aasta finantsaruanded</w:t>
            </w:r>
            <w:r>
              <w:rPr>
                <w:noProof/>
                <w:color w:val="000000" w:themeColor="text1"/>
                <w:sz w:val="20"/>
                <w:szCs w:val="20"/>
              </w:rPr>
              <w:br/>
            </w:r>
            <w:r>
              <w:rPr>
                <w:noProof/>
                <w:color w:val="000000" w:themeColor="text1"/>
                <w:sz w:val="20"/>
                <w:szCs w:val="20"/>
                <w:u w:val="single"/>
              </w:rPr>
              <w:t>CoP18 Doc. 7.3</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1. lisa. Väljaarvutatud maksumusega 2016. aasta tööprogrammi finantsaruanne </w:t>
            </w:r>
            <w:r>
              <w:rPr>
                <w:noProof/>
                <w:color w:val="000000" w:themeColor="text1"/>
                <w:sz w:val="20"/>
                <w:szCs w:val="20"/>
                <w:u w:val="single"/>
              </w:rPr>
              <w:t>CoP18 Doc. 7.3 A1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2. lisa. CITESi sihtfond – osamaksud 31. detsembri 2016 seisuga</w:t>
            </w:r>
            <w:r>
              <w:rPr>
                <w:noProof/>
                <w:color w:val="000000" w:themeColor="text1"/>
                <w:sz w:val="20"/>
                <w:szCs w:val="20"/>
              </w:rPr>
              <w:br/>
            </w:r>
            <w:r>
              <w:rPr>
                <w:noProof/>
                <w:color w:val="000000" w:themeColor="text1"/>
                <w:sz w:val="20"/>
                <w:szCs w:val="20"/>
                <w:u w:val="single"/>
              </w:rPr>
              <w:t>CoP18 Doc. 7.3 A2</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3. lisa. CITESi väline sihtfond – osamaksud 31. detsembri 2016 </w:t>
            </w:r>
            <w:r>
              <w:rPr>
                <w:noProof/>
                <w:color w:val="000000" w:themeColor="text1"/>
                <w:sz w:val="20"/>
                <w:szCs w:val="20"/>
              </w:rPr>
              <w:t>seisuga</w:t>
            </w:r>
            <w:r>
              <w:rPr>
                <w:noProof/>
                <w:color w:val="000000" w:themeColor="text1"/>
                <w:sz w:val="20"/>
                <w:szCs w:val="20"/>
              </w:rPr>
              <w:br/>
            </w:r>
            <w:r>
              <w:rPr>
                <w:noProof/>
                <w:color w:val="000000" w:themeColor="text1"/>
                <w:sz w:val="20"/>
                <w:szCs w:val="20"/>
                <w:u w:val="single"/>
              </w:rPr>
              <w:t>CoP18 Doc. 7.3 A3</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 lisa. Väljaarvutatud maksumusega 2017. aasta tööprogrammi finantsaruanne</w:t>
            </w:r>
            <w:r>
              <w:rPr>
                <w:noProof/>
                <w:color w:val="000000" w:themeColor="text1"/>
                <w:sz w:val="20"/>
                <w:szCs w:val="20"/>
              </w:rPr>
              <w:br/>
            </w:r>
            <w:r>
              <w:rPr>
                <w:noProof/>
                <w:color w:val="000000" w:themeColor="text1"/>
                <w:sz w:val="20"/>
                <w:szCs w:val="20"/>
                <w:u w:val="single"/>
              </w:rPr>
              <w:t>CoP18 Doc. 7.3 A4</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 lisa. CITESi sihtfond – osamaksud 31. detsembri 2017 seisuga</w:t>
            </w:r>
            <w:r>
              <w:rPr>
                <w:noProof/>
                <w:color w:val="000000" w:themeColor="text1"/>
                <w:sz w:val="20"/>
                <w:szCs w:val="20"/>
              </w:rPr>
              <w:br/>
            </w:r>
            <w:r>
              <w:rPr>
                <w:noProof/>
                <w:color w:val="000000" w:themeColor="text1"/>
                <w:sz w:val="20"/>
                <w:szCs w:val="20"/>
                <w:u w:val="single"/>
              </w:rPr>
              <w:t>CoP18 Doc. 7.3 A5</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6. lisa. CITESi väline sihtfond – osamaksud 31. detsembri 2017 seisuga </w:t>
            </w:r>
            <w:r>
              <w:rPr>
                <w:noProof/>
                <w:color w:val="000000" w:themeColor="text1"/>
                <w:sz w:val="20"/>
                <w:szCs w:val="20"/>
                <w:u w:val="single"/>
              </w:rPr>
              <w:t>CoP18 Doc. 7.3 A6</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7. lisa. Väljaarvutatud maksumusega 2018. aasta tööprogrammi finantsaruanne </w:t>
            </w:r>
            <w:r>
              <w:rPr>
                <w:noProof/>
                <w:color w:val="000000" w:themeColor="text1"/>
                <w:sz w:val="20"/>
                <w:szCs w:val="20"/>
                <w:u w:val="single"/>
              </w:rPr>
              <w:t>CoP18 Doc. 7.3 A7</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8. lisa. CITESi sihtfond – osamaksud 31. detsembri 2018 seisuga </w:t>
            </w:r>
            <w:r>
              <w:rPr>
                <w:noProof/>
                <w:color w:val="000000" w:themeColor="text1"/>
                <w:sz w:val="20"/>
                <w:szCs w:val="20"/>
              </w:rPr>
              <w:br/>
            </w:r>
            <w:r>
              <w:rPr>
                <w:noProof/>
                <w:color w:val="000000" w:themeColor="text1"/>
                <w:sz w:val="20"/>
                <w:szCs w:val="20"/>
                <w:u w:val="single"/>
              </w:rPr>
              <w:t>CoP18 Doc. 7.3 A8</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9. lisa. CITESi sihtfond – maksmata osamaksude aastane jaotumine 31. detsembri 2018 seisuga </w:t>
            </w:r>
            <w:r>
              <w:rPr>
                <w:noProof/>
                <w:color w:val="000000" w:themeColor="text1"/>
                <w:sz w:val="20"/>
                <w:szCs w:val="20"/>
              </w:rPr>
              <w:br/>
            </w:r>
            <w:r>
              <w:rPr>
                <w:noProof/>
                <w:color w:val="000000" w:themeColor="text1"/>
                <w:sz w:val="20"/>
                <w:szCs w:val="20"/>
                <w:u w:val="single"/>
              </w:rPr>
              <w:t>CoP18 Doc. 7.3 A9</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10. lisa. CITESi väline sihtfond – osamaksud 31. detsembri 2018 seisuga </w:t>
            </w:r>
            <w:r>
              <w:rPr>
                <w:noProof/>
                <w:color w:val="000000" w:themeColor="text1"/>
                <w:sz w:val="20"/>
                <w:szCs w:val="20"/>
                <w:u w:val="single"/>
              </w:rPr>
              <w:t>CoP18 Doc. 7.3 A10</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11. lisa. Tulemiaruanne ja finantsseisundi aruanne 31. detsembril 2017 lõppenud aasta kohta</w:t>
            </w:r>
            <w:r>
              <w:rPr>
                <w:noProof/>
                <w:color w:val="000000" w:themeColor="text1"/>
                <w:sz w:val="20"/>
                <w:szCs w:val="20"/>
              </w:rPr>
              <w:br/>
            </w:r>
            <w:r>
              <w:rPr>
                <w:noProof/>
                <w:color w:val="000000" w:themeColor="text1"/>
                <w:sz w:val="20"/>
                <w:szCs w:val="20"/>
                <w:u w:val="single"/>
              </w:rPr>
              <w:t>CoP18 Doc. 7.3 A11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12. lisa. Väljaarvutatud maksumusega </w:t>
            </w:r>
            <w:r>
              <w:rPr>
                <w:noProof/>
                <w:color w:val="000000" w:themeColor="text1"/>
                <w:sz w:val="20"/>
                <w:szCs w:val="20"/>
              </w:rPr>
              <w:t>2019. aasta tööprogrammi finantsaruanne (kuni 31. märtsini 2019)</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13. lisa. CITESi sihtfond – osamaksud 31. märtsi 2019 seisuga</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14. lisa. CITESi väline sihtfond – osamaksud 31. märtsi 2019 seisuga</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7.4</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Eelarve ja tööprogramm aastatel 2020–2022 </w:t>
            </w:r>
            <w:r>
              <w:rPr>
                <w:noProof/>
                <w:color w:val="000000" w:themeColor="text1"/>
                <w:sz w:val="20"/>
                <w:szCs w:val="20"/>
                <w:u w:val="single"/>
              </w:rPr>
              <w:t>CoP18 Doc. 7.4</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 lisa. Resolutsiooni projekt s</w:t>
            </w:r>
            <w:r>
              <w:rPr>
                <w:i/>
                <w:noProof/>
                <w:color w:val="000000" w:themeColor="text1"/>
                <w:sz w:val="20"/>
                <w:szCs w:val="20"/>
              </w:rPr>
              <w:t>ekretariaadi rahastamise ja väljaarvutatud maksumusega tööprogrammi kohta aastateks 2020–2022</w:t>
            </w:r>
            <w:r>
              <w:rPr>
                <w:i/>
                <w:iCs/>
                <w:noProof/>
                <w:color w:val="000000" w:themeColor="text1"/>
                <w:sz w:val="20"/>
                <w:szCs w:val="20"/>
              </w:rPr>
              <w:t xml:space="preserve"> </w:t>
            </w:r>
            <w:r>
              <w:rPr>
                <w:i/>
                <w:iCs/>
                <w:noProof/>
                <w:color w:val="000000" w:themeColor="text1"/>
                <w:sz w:val="20"/>
                <w:szCs w:val="20"/>
              </w:rPr>
              <w:br/>
            </w:r>
            <w:r>
              <w:rPr>
                <w:noProof/>
                <w:color w:val="000000" w:themeColor="text1"/>
                <w:sz w:val="20"/>
                <w:szCs w:val="20"/>
                <w:u w:val="single"/>
              </w:rPr>
              <w:t>CoP18 Doc. 7.4 A1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2. lisa. Nulltasemel reaalkasvuga eelarve stsenaarium </w:t>
            </w:r>
            <w:r>
              <w:rPr>
                <w:noProof/>
                <w:color w:val="000000" w:themeColor="text1"/>
                <w:sz w:val="20"/>
                <w:szCs w:val="20"/>
              </w:rPr>
              <w:br/>
            </w:r>
            <w:r>
              <w:rPr>
                <w:noProof/>
                <w:color w:val="000000" w:themeColor="text1"/>
                <w:sz w:val="20"/>
                <w:szCs w:val="20"/>
                <w:u w:val="single"/>
              </w:rPr>
              <w:t>CoP18 Doc. 7.4 A2</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3. lisa. Nulltasemel nominaalkasvuga eelarve stsenaarium </w:t>
            </w:r>
            <w:r>
              <w:rPr>
                <w:noProof/>
                <w:color w:val="000000" w:themeColor="text1"/>
                <w:sz w:val="20"/>
                <w:szCs w:val="20"/>
              </w:rPr>
              <w:br/>
            </w:r>
            <w:r>
              <w:rPr>
                <w:noProof/>
                <w:color w:val="000000" w:themeColor="text1"/>
                <w:sz w:val="20"/>
                <w:szCs w:val="20"/>
                <w:u w:val="single"/>
              </w:rPr>
              <w:t>CoP18 Doc. 7.4 A3</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4. lisa. Lisakasvuga eelarve stsenaarium </w:t>
            </w:r>
            <w:r>
              <w:rPr>
                <w:noProof/>
                <w:color w:val="000000" w:themeColor="text1"/>
                <w:sz w:val="20"/>
                <w:szCs w:val="20"/>
              </w:rPr>
              <w:br/>
            </w:r>
            <w:r>
              <w:rPr>
                <w:noProof/>
                <w:color w:val="000000" w:themeColor="text1"/>
                <w:sz w:val="20"/>
                <w:szCs w:val="20"/>
                <w:u w:val="single"/>
              </w:rPr>
              <w:t>CoP18 Doc. 7.4 A4</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7.5</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Juurdepääs rahastamisele, sealhulgas Ülemaailmse Keskkonnafondi rahastamisvahenditele </w:t>
            </w:r>
            <w:r>
              <w:rPr>
                <w:noProof/>
                <w:color w:val="000000" w:themeColor="text1"/>
                <w:sz w:val="20"/>
                <w:szCs w:val="20"/>
              </w:rPr>
              <w:br/>
            </w:r>
            <w:r>
              <w:rPr>
                <w:noProof/>
                <w:color w:val="000000" w:themeColor="text1"/>
                <w:sz w:val="20"/>
                <w:szCs w:val="20"/>
                <w:u w:val="single"/>
              </w:rPr>
              <w:t>CoP18 Doc. 7.5</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7.6</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i/>
                <w:noProof/>
                <w:color w:val="000000" w:themeColor="text1"/>
                <w:sz w:val="20"/>
                <w:szCs w:val="20"/>
              </w:rPr>
              <w:t>Toetatud delegaatide</w:t>
            </w:r>
            <w:r>
              <w:rPr>
                <w:noProof/>
                <w:color w:val="000000" w:themeColor="text1"/>
                <w:sz w:val="20"/>
                <w:szCs w:val="20"/>
              </w:rPr>
              <w:t xml:space="preserve"> projekt </w:t>
            </w:r>
            <w:r>
              <w:rPr>
                <w:noProof/>
                <w:color w:val="000000" w:themeColor="text1"/>
                <w:sz w:val="20"/>
                <w:szCs w:val="20"/>
              </w:rPr>
              <w:br/>
            </w:r>
            <w:r>
              <w:rPr>
                <w:noProof/>
                <w:color w:val="000000" w:themeColor="text1"/>
                <w:sz w:val="20"/>
                <w:szCs w:val="20"/>
                <w:u w:val="single"/>
              </w:rPr>
              <w:t>CoP18 Doc. 7.6</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kehtivate valikukriteeriumide muutmata jätmist; sekretariaat uurib võimalust </w:t>
            </w:r>
            <w:r>
              <w:rPr>
                <w:noProof/>
                <w:color w:val="000000" w:themeColor="text1"/>
                <w:sz w:val="20"/>
                <w:szCs w:val="20"/>
              </w:rPr>
              <w:t>laiendada projekti ulatust, et see hõlmaks lisaks CoP-ile ka komiteede koosolekuid.</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Resolutsiooni projekt konventsiooni </w:t>
            </w:r>
            <w:r>
              <w:rPr>
                <w:b/>
                <w:noProof/>
                <w:color w:val="000000" w:themeColor="text1"/>
                <w:sz w:val="20"/>
                <w:szCs w:val="20"/>
              </w:rPr>
              <w:t>keelestrateegia</w:t>
            </w:r>
            <w:r>
              <w:rPr>
                <w:noProof/>
                <w:color w:val="000000" w:themeColor="text1"/>
                <w:sz w:val="20"/>
                <w:szCs w:val="20"/>
              </w:rPr>
              <w:t xml:space="preserve"> kohta </w:t>
            </w:r>
            <w:r>
              <w:rPr>
                <w:noProof/>
                <w:color w:val="000000" w:themeColor="text1"/>
                <w:sz w:val="20"/>
                <w:szCs w:val="20"/>
              </w:rPr>
              <w:br/>
            </w:r>
            <w:r>
              <w:rPr>
                <w:noProof/>
                <w:color w:val="000000" w:themeColor="text1"/>
                <w:sz w:val="20"/>
                <w:szCs w:val="20"/>
                <w:u w:val="single"/>
              </w:rPr>
              <w:t>CoP18 Doc. 8</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IQ</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Jääb ebaselgeks, miks tuleks araabia keel lisada ametlikuks CITESi keeleks, aga mitte teise</w:t>
            </w:r>
            <w:r>
              <w:rPr>
                <w:noProof/>
                <w:color w:val="000000" w:themeColor="text1"/>
                <w:sz w:val="20"/>
                <w:szCs w:val="20"/>
              </w:rPr>
              <w:t>d ÜRO keeled (hiina keel, vene keel). Ettepaneku vastu räägivad selle mõju eelarvele ja võimalikud suuremad viivitused dokumentide koostamisel.</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9207" w:type="dxa"/>
            <w:gridSpan w:val="8"/>
            <w:tcMar>
              <w:top w:w="60" w:type="dxa"/>
              <w:left w:w="135" w:type="dxa"/>
              <w:bottom w:w="60" w:type="dxa"/>
              <w:right w:w="135" w:type="dxa"/>
            </w:tcMar>
            <w:hideMark/>
          </w:tcPr>
          <w:p w:rsidR="00AA75D1" w:rsidRDefault="008A3FF4">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rPr>
              <w:t>Strateegilised küsimused</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Komiteede</w:t>
            </w:r>
            <w:r>
              <w:rPr>
                <w:noProof/>
                <w:color w:val="000000" w:themeColor="text1"/>
                <w:sz w:val="20"/>
                <w:szCs w:val="20"/>
              </w:rPr>
              <w:t xml:space="preserve"> aruanded ja soovitused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9.1</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i/>
                <w:noProof/>
                <w:color w:val="000000" w:themeColor="text1"/>
                <w:sz w:val="20"/>
                <w:szCs w:val="20"/>
              </w:rPr>
              <w:t>Alaline</w:t>
            </w:r>
            <w:r>
              <w:rPr>
                <w:noProof/>
                <w:color w:val="000000" w:themeColor="text1"/>
                <w:sz w:val="20"/>
                <w:szCs w:val="20"/>
              </w:rPr>
              <w:t xml:space="preserve"> komitee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6"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9.1.1</w:t>
            </w:r>
          </w:p>
        </w:tc>
        <w:tc>
          <w:tcPr>
            <w:tcW w:w="2351"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Esimehe aruanne </w:t>
            </w:r>
            <w:r>
              <w:rPr>
                <w:noProof/>
                <w:color w:val="000000" w:themeColor="text1"/>
                <w:sz w:val="20"/>
                <w:szCs w:val="20"/>
              </w:rPr>
              <w:br/>
            </w:r>
            <w:r>
              <w:rPr>
                <w:noProof/>
                <w:color w:val="000000" w:themeColor="text1"/>
                <w:sz w:val="20"/>
                <w:szCs w:val="20"/>
                <w:u w:val="single"/>
              </w:rPr>
              <w:t>CoP18 Doc. 9.1.1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6"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9.1.2</w:t>
            </w:r>
          </w:p>
        </w:tc>
        <w:tc>
          <w:tcPr>
            <w:tcW w:w="2351"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Uute piirkondlike liikmete ja asendusliikmete valimine (dokument puudub)</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9.2</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i/>
                <w:noProof/>
                <w:color w:val="000000" w:themeColor="text1"/>
                <w:sz w:val="20"/>
                <w:szCs w:val="20"/>
              </w:rPr>
              <w:t>Loomakomitee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6"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9.2.1</w:t>
            </w:r>
          </w:p>
        </w:tc>
        <w:tc>
          <w:tcPr>
            <w:tcW w:w="2351"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Esimehe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6"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9.2.2</w:t>
            </w:r>
          </w:p>
        </w:tc>
        <w:tc>
          <w:tcPr>
            <w:tcW w:w="2351"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Uute piirkondlike liikmete ja asendusliikmete valimine (dokument </w:t>
            </w:r>
            <w:r>
              <w:rPr>
                <w:noProof/>
                <w:color w:val="000000" w:themeColor="text1"/>
                <w:sz w:val="20"/>
                <w:szCs w:val="20"/>
              </w:rPr>
              <w:t>puudub)</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9.3</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i/>
                <w:noProof/>
                <w:color w:val="000000" w:themeColor="text1"/>
                <w:sz w:val="20"/>
                <w:szCs w:val="20"/>
              </w:rPr>
              <w:t>Taimekomitee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6"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9.3.1</w:t>
            </w:r>
          </w:p>
        </w:tc>
        <w:tc>
          <w:tcPr>
            <w:tcW w:w="2351"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Esimehe aruanne </w:t>
            </w:r>
            <w:r>
              <w:rPr>
                <w:noProof/>
                <w:color w:val="000000" w:themeColor="text1"/>
                <w:sz w:val="20"/>
                <w:szCs w:val="20"/>
              </w:rPr>
              <w:br/>
            </w:r>
            <w:r>
              <w:rPr>
                <w:noProof/>
                <w:color w:val="000000" w:themeColor="text1"/>
                <w:sz w:val="20"/>
                <w:szCs w:val="20"/>
                <w:u w:val="single"/>
              </w:rPr>
              <w:t>CoP18 Doc. 9.3.1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746"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9.3.2</w:t>
            </w:r>
          </w:p>
        </w:tc>
        <w:tc>
          <w:tcPr>
            <w:tcW w:w="2351"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Uute piirkondlike liikmete ja asendusliikmete valimine (dokument puudub)</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w:t>
            </w:r>
            <w:r>
              <w:rPr>
                <w:b/>
                <w:noProof/>
                <w:color w:val="000000" w:themeColor="text1"/>
                <w:sz w:val="20"/>
                <w:szCs w:val="20"/>
              </w:rPr>
              <w:t>strateegiline visioon</w:t>
            </w:r>
            <w:r>
              <w:rPr>
                <w:noProof/>
                <w:color w:val="000000" w:themeColor="text1"/>
                <w:sz w:val="20"/>
                <w:szCs w:val="20"/>
              </w:rPr>
              <w:t xml:space="preserve"> 2020. aasta järgseks perioodiks </w:t>
            </w:r>
            <w:r>
              <w:rPr>
                <w:noProof/>
                <w:color w:val="000000" w:themeColor="text1"/>
                <w:sz w:val="20"/>
                <w:szCs w:val="20"/>
              </w:rPr>
              <w:br/>
            </w:r>
            <w:r>
              <w:rPr>
                <w:noProof/>
                <w:color w:val="000000" w:themeColor="text1"/>
                <w:sz w:val="20"/>
                <w:szCs w:val="20"/>
                <w:u w:val="single"/>
              </w:rPr>
              <w:t>CoP18 Doc. 10</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läbivaadatud strateegilise visiooni vastuvõtmist; teha sekretariaadile ülesandeks võrrelda eesmärke kehtivate otsuste ja resolutsioonidega; anda alalisele komiteele volitused näitajate väljatöötamiseks.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11.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b/>
                <w:noProof/>
                <w:color w:val="000000" w:themeColor="text1"/>
                <w:sz w:val="20"/>
                <w:szCs w:val="20"/>
              </w:rPr>
            </w:pPr>
            <w:r>
              <w:rPr>
                <w:b/>
                <w:noProof/>
                <w:color w:val="000000" w:themeColor="text1"/>
                <w:sz w:val="20"/>
                <w:szCs w:val="20"/>
              </w:rPr>
              <w:t xml:space="preserve">Konventsiooni </w:t>
            </w:r>
            <w:r>
              <w:rPr>
                <w:b/>
                <w:noProof/>
                <w:color w:val="000000" w:themeColor="text1"/>
                <w:sz w:val="20"/>
                <w:szCs w:val="20"/>
              </w:rPr>
              <w:t>läbivaatamine</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CO, NA, ZW</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Tõstatatud on mõned elatusvahendite ja lisade läbivaatamisega seotud asjakohased küsimused. Ettepanek selle praegusel kujul ja praeguses ulatuses tundub siiski olevat kallutatud ning ebapiisavalt ettevalmistatud. See põhineb varase</w:t>
            </w:r>
            <w:r>
              <w:rPr>
                <w:noProof/>
                <w:color w:val="000000" w:themeColor="text1"/>
                <w:sz w:val="20"/>
                <w:szCs w:val="20"/>
              </w:rPr>
              <w:t>matel aruteludel ning selles ei ole põhjalikult kaalutud looduslike liikidega kauplemist ja nende kaitset puudutavaid üha keerukamaid probleeme, arvestades potentsiaalselt kaugeleulatuvaid tagajärgi. Ei ole täpsustatud, kellele otsuste eelnõud on adresseer</w:t>
            </w:r>
            <w:r>
              <w:rPr>
                <w:noProof/>
                <w:color w:val="000000" w:themeColor="text1"/>
                <w:sz w:val="20"/>
                <w:szCs w:val="20"/>
              </w:rPr>
              <w:t xml:space="preserve">itud. Vaja on täiendavaid arutelusid, ka seoses teiste maakogukondi puudutavate ettepanekutega (päevakorrapunktid 17 ja 18) ning vajalike ressurssidega.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Tagada </w:t>
            </w:r>
            <w:r>
              <w:rPr>
                <w:b/>
                <w:noProof/>
                <w:color w:val="000000" w:themeColor="text1"/>
                <w:sz w:val="20"/>
                <w:szCs w:val="20"/>
              </w:rPr>
              <w:t>merekalade liikide lisadesse kandmisest</w:t>
            </w:r>
            <w:r>
              <w:rPr>
                <w:noProof/>
                <w:color w:val="000000" w:themeColor="text1"/>
                <w:sz w:val="20"/>
                <w:szCs w:val="20"/>
              </w:rPr>
              <w:t xml:space="preserve"> tulenevate meetmete parem rakendamine </w:t>
            </w:r>
            <w:r>
              <w:rPr>
                <w:noProof/>
                <w:color w:val="000000" w:themeColor="text1"/>
                <w:sz w:val="20"/>
                <w:szCs w:val="20"/>
              </w:rPr>
              <w:br/>
            </w:r>
            <w:r>
              <w:rPr>
                <w:noProof/>
                <w:color w:val="000000" w:themeColor="text1"/>
                <w:sz w:val="20"/>
                <w:szCs w:val="20"/>
                <w:u w:val="single"/>
              </w:rPr>
              <w:t xml:space="preserve">CoP18 </w:t>
            </w:r>
            <w:r>
              <w:rPr>
                <w:noProof/>
                <w:color w:val="000000" w:themeColor="text1"/>
                <w:sz w:val="20"/>
                <w:szCs w:val="20"/>
                <w:u w:val="single"/>
              </w:rPr>
              <w:t>Doc. 12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AG</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Tunnistada, et endiselt on vaja toetust mereloomade loetellu kandmisega seotud meetmete tõhusamaks rakendamiseks. Varasemate lisadesse kandmiste tulemuslikkuse läbivaatamisel tuleks siiski keskenduda konkreetsetele juhtumitele, esitades selged p</w:t>
            </w:r>
            <w:r>
              <w:rPr>
                <w:noProof/>
                <w:color w:val="000000" w:themeColor="text1"/>
                <w:sz w:val="20"/>
                <w:szCs w:val="20"/>
              </w:rPr>
              <w:t>õhjendused, kasutada kehtivaid mehhanisme ja arvestada varasemate läbivaatamiste käigus tehtud soovitusi, selle asemel et kehtestada uus ajutine protsess. Mitte nõustuda mis tahes liikide rühma lisadesse kandmise keeluga; oluline on vastavus loetellu kandm</w:t>
            </w:r>
            <w:r>
              <w:rPr>
                <w:noProof/>
                <w:color w:val="000000" w:themeColor="text1"/>
                <w:sz w:val="20"/>
                <w:szCs w:val="20"/>
              </w:rPr>
              <w:t xml:space="preserve">ise kriteeriumidele.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Resolutsiooni Conf. 11.1 </w:t>
            </w:r>
            <w:r>
              <w:rPr>
                <w:b/>
                <w:i/>
                <w:noProof/>
                <w:color w:val="000000" w:themeColor="text1"/>
                <w:sz w:val="20"/>
                <w:szCs w:val="20"/>
              </w:rPr>
              <w:t>komiteede moodustamise</w:t>
            </w:r>
            <w:r>
              <w:rPr>
                <w:noProof/>
                <w:color w:val="000000" w:themeColor="text1"/>
                <w:sz w:val="20"/>
                <w:szCs w:val="20"/>
              </w:rPr>
              <w:t xml:space="preserve"> kohta (Rev. CoP17) läbivaatamine </w:t>
            </w:r>
            <w:r>
              <w:rPr>
                <w:noProof/>
                <w:color w:val="000000" w:themeColor="text1"/>
                <w:sz w:val="20"/>
                <w:szCs w:val="20"/>
                <w:u w:val="single"/>
              </w:rPr>
              <w:t>CoP18 Doc. 13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 / 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Toetada kavandatud uut resolutsiooni; sekretariaadi esitatud muudatusettepanekuid tuleb veel arutada.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14.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Võimalikud </w:t>
            </w:r>
            <w:r>
              <w:rPr>
                <w:b/>
                <w:noProof/>
                <w:color w:val="000000" w:themeColor="text1"/>
                <w:sz w:val="20"/>
                <w:szCs w:val="20"/>
              </w:rPr>
              <w:t>huvide konfliktid</w:t>
            </w:r>
            <w:r>
              <w:rPr>
                <w:noProof/>
                <w:color w:val="000000" w:themeColor="text1"/>
                <w:sz w:val="20"/>
                <w:szCs w:val="20"/>
              </w:rPr>
              <w:t xml:space="preserve"> taime- ja loomakomiteedes </w:t>
            </w:r>
            <w:r>
              <w:rPr>
                <w:noProof/>
                <w:color w:val="000000" w:themeColor="text1"/>
                <w:sz w:val="20"/>
                <w:szCs w:val="20"/>
                <w:u w:val="single"/>
              </w:rPr>
              <w:t>CoP18 Doc. 14</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Alalise komitee 70. kohtumisel võeti vastu huvide deklaratsiooni avalikustamise standardvorm; toetada otsuste 16.09 ja 16.10 väljajätmist.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Koostöö</w:t>
            </w:r>
            <w:r>
              <w:rPr>
                <w:noProof/>
                <w:color w:val="000000" w:themeColor="text1"/>
                <w:sz w:val="20"/>
                <w:szCs w:val="20"/>
              </w:rPr>
              <w:t xml:space="preserve"> organisatsioonidega ja mitmepoolsed keskkonnalepingud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15.1</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Koostöö </w:t>
            </w:r>
            <w:r>
              <w:rPr>
                <w:b/>
                <w:i/>
                <w:noProof/>
                <w:color w:val="000000" w:themeColor="text1"/>
                <w:sz w:val="20"/>
                <w:szCs w:val="20"/>
              </w:rPr>
              <w:t>muude bioloogilise mitmekesisusega seotud konventsioonidega</w:t>
            </w:r>
            <w:r>
              <w:rPr>
                <w:noProof/>
                <w:color w:val="000000" w:themeColor="text1"/>
                <w:sz w:val="20"/>
                <w:szCs w:val="20"/>
              </w:rPr>
              <w:t xml:space="preserve"> </w:t>
            </w:r>
            <w:r>
              <w:rPr>
                <w:noProof/>
                <w:color w:val="000000" w:themeColor="text1"/>
                <w:sz w:val="20"/>
                <w:szCs w:val="20"/>
                <w:u w:val="single"/>
              </w:rPr>
              <w:t>CoP18 Doc. 15.1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17.55 ja 17.56 uuendamist.</w:t>
            </w:r>
          </w:p>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Bioloogilist mitmekesisust käsitlevate </w:t>
            </w:r>
            <w:r>
              <w:rPr>
                <w:noProof/>
                <w:color w:val="000000" w:themeColor="text1"/>
                <w:sz w:val="20"/>
                <w:szCs w:val="20"/>
              </w:rPr>
              <w:t>mitmepoolsete keskkonnalepingute koostoimet tuleb ka edaspidi tugevdada ja on kohane, et alaline komitee hoiab olukorral silma peal.</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15.2</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Antarktika vete elusressursside kaitse komisjon (</w:t>
            </w:r>
            <w:r>
              <w:rPr>
                <w:b/>
                <w:i/>
                <w:noProof/>
                <w:color w:val="000000" w:themeColor="text1"/>
                <w:sz w:val="20"/>
                <w:szCs w:val="20"/>
              </w:rPr>
              <w:t>CCAMLR</w:t>
            </w:r>
            <w:r>
              <w:rPr>
                <w:noProof/>
                <w:color w:val="000000" w:themeColor="text1"/>
                <w:sz w:val="20"/>
                <w:szCs w:val="20"/>
              </w:rPr>
              <w:t xml:space="preserve">) </w:t>
            </w:r>
            <w:r>
              <w:rPr>
                <w:noProof/>
                <w:color w:val="000000" w:themeColor="text1"/>
                <w:sz w:val="20"/>
                <w:szCs w:val="20"/>
                <w:u w:val="single"/>
              </w:rPr>
              <w:t>CoP18 Doc. 15.2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resolutsiooni </w:t>
            </w:r>
            <w:r>
              <w:rPr>
                <w:noProof/>
                <w:color w:val="000000" w:themeColor="text1"/>
                <w:sz w:val="20"/>
                <w:szCs w:val="20"/>
              </w:rPr>
              <w:t>Conf. 12.4 muudatusi, mille ühisettepaneku esitasid CITESi ja CCAMLRi sekretariaadid.</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15.3</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Üldine </w:t>
            </w:r>
            <w:r>
              <w:rPr>
                <w:b/>
                <w:i/>
                <w:noProof/>
                <w:color w:val="000000" w:themeColor="text1"/>
                <w:sz w:val="20"/>
                <w:szCs w:val="20"/>
              </w:rPr>
              <w:t xml:space="preserve">taimekaitsestrateegia </w:t>
            </w:r>
            <w:r>
              <w:rPr>
                <w:noProof/>
                <w:color w:val="000000" w:themeColor="text1"/>
                <w:sz w:val="20"/>
                <w:szCs w:val="20"/>
              </w:rPr>
              <w:br/>
            </w:r>
            <w:r>
              <w:rPr>
                <w:noProof/>
                <w:color w:val="000000" w:themeColor="text1"/>
                <w:sz w:val="20"/>
                <w:szCs w:val="20"/>
                <w:u w:val="single"/>
              </w:rPr>
              <w:t>CoP18 Doc. 15.3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uusi otsuse eelnõusid, mis asendavad otsuseid 17.53 ja 17.54.</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15.4</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Valitsustevaheline</w:t>
            </w:r>
            <w:r>
              <w:rPr>
                <w:noProof/>
                <w:color w:val="000000" w:themeColor="text1"/>
                <w:sz w:val="20"/>
                <w:szCs w:val="20"/>
              </w:rPr>
              <w:t xml:space="preserve"> bioloogilist mitmekesisust ja ökosüsteemi teenuseid käsitlev teaduslik-poliitiline foorum (</w:t>
            </w:r>
            <w:r>
              <w:rPr>
                <w:b/>
                <w:i/>
                <w:noProof/>
                <w:color w:val="000000" w:themeColor="text1"/>
                <w:sz w:val="20"/>
                <w:szCs w:val="20"/>
              </w:rPr>
              <w:t>IPBES</w:t>
            </w:r>
            <w:r>
              <w:rPr>
                <w:noProof/>
                <w:color w:val="000000" w:themeColor="text1"/>
                <w:sz w:val="20"/>
                <w:szCs w:val="20"/>
              </w:rPr>
              <w:t>)</w:t>
            </w:r>
            <w:r>
              <w:rPr>
                <w:noProof/>
                <w:color w:val="000000" w:themeColor="text1"/>
                <w:sz w:val="20"/>
                <w:szCs w:val="20"/>
              </w:rPr>
              <w:br/>
            </w:r>
            <w:r>
              <w:rPr>
                <w:noProof/>
                <w:color w:val="000000" w:themeColor="text1"/>
                <w:sz w:val="20"/>
                <w:szCs w:val="20"/>
                <w:u w:val="single"/>
              </w:rPr>
              <w:t>CoP18 Doc. 15.4</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 / 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Toetada dokumendi 3. lisas esitatud resolutsiooni projekti teemal „</w:t>
            </w:r>
            <w:r>
              <w:rPr>
                <w:i/>
                <w:noProof/>
                <w:color w:val="000000" w:themeColor="text1"/>
                <w:sz w:val="20"/>
                <w:szCs w:val="20"/>
              </w:rPr>
              <w:t xml:space="preserve">Valitsustevahelise bioloogilist </w:t>
            </w:r>
            <w:r>
              <w:rPr>
                <w:i/>
                <w:noProof/>
                <w:color w:val="000000" w:themeColor="text1"/>
                <w:sz w:val="20"/>
                <w:szCs w:val="20"/>
              </w:rPr>
              <w:t>mitmekesisust ja ökosüsteemi teenuseid käsitleva teaduslik-poliitilise foorumi raames tehtav koostöö</w:t>
            </w:r>
            <w:r>
              <w:rPr>
                <w:noProof/>
                <w:color w:val="000000" w:themeColor="text1"/>
                <w:sz w:val="20"/>
                <w:szCs w:val="20"/>
              </w:rPr>
              <w:t xml:space="preserve">“.  </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634"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15.5</w:t>
            </w:r>
          </w:p>
        </w:tc>
        <w:tc>
          <w:tcPr>
            <w:tcW w:w="3097" w:type="dxa"/>
            <w:gridSpan w:val="3"/>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Looduslike liikidega seotud kuritegevuse vastase võitluse rahvusvaheline konsortsium (</w:t>
            </w:r>
            <w:r>
              <w:rPr>
                <w:b/>
                <w:i/>
                <w:noProof/>
                <w:color w:val="000000" w:themeColor="text1"/>
                <w:sz w:val="20"/>
                <w:szCs w:val="20"/>
              </w:rPr>
              <w:t>ICCWC</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15.5</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Kutsuda kõiki osal</w:t>
            </w:r>
            <w:r>
              <w:rPr>
                <w:noProof/>
                <w:color w:val="000000" w:themeColor="text1"/>
                <w:sz w:val="20"/>
                <w:szCs w:val="20"/>
              </w:rPr>
              <w:t>isi üles toetama ICCWC tegevust.</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15.6</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ja </w:t>
            </w:r>
            <w:r>
              <w:rPr>
                <w:b/>
                <w:i/>
                <w:noProof/>
                <w:color w:val="000000" w:themeColor="text1"/>
                <w:sz w:val="20"/>
                <w:szCs w:val="20"/>
              </w:rPr>
              <w:t>ülemaailmse kultuuri- ja looduspärandi kaitse</w:t>
            </w:r>
            <w:r>
              <w:rPr>
                <w:noProof/>
                <w:color w:val="000000" w:themeColor="text1"/>
                <w:sz w:val="20"/>
                <w:szCs w:val="20"/>
              </w:rPr>
              <w:t xml:space="preserve"> konventsiooni koostöö </w:t>
            </w:r>
            <w:r>
              <w:rPr>
                <w:noProof/>
                <w:color w:val="000000" w:themeColor="text1"/>
                <w:sz w:val="20"/>
                <w:szCs w:val="20"/>
              </w:rPr>
              <w:br/>
            </w:r>
            <w:r>
              <w:rPr>
                <w:noProof/>
                <w:color w:val="000000" w:themeColor="text1"/>
                <w:sz w:val="20"/>
                <w:szCs w:val="20"/>
                <w:u w:val="single"/>
              </w:rPr>
              <w:t>CoP18 Doc. 15.6</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Norra</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resolutsiooni projekti (milles kutsutakse üles töötama välja ülemaailmse kultuuri- ja looduspärandi </w:t>
            </w:r>
            <w:r>
              <w:rPr>
                <w:noProof/>
                <w:color w:val="000000" w:themeColor="text1"/>
                <w:sz w:val="20"/>
                <w:szCs w:val="20"/>
              </w:rPr>
              <w:t>kaitse konventsiooni ja CITESi vaheline vastastikuse mõistmise memorandum) ja otsuse eelnõu, mis on esitatud 1. ja 2. lisas.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16.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w:t>
            </w:r>
            <w:r>
              <w:rPr>
                <w:b/>
                <w:noProof/>
                <w:color w:val="000000" w:themeColor="text1"/>
                <w:sz w:val="20"/>
                <w:szCs w:val="20"/>
              </w:rPr>
              <w:t>puuliikide</w:t>
            </w:r>
            <w:r>
              <w:rPr>
                <w:noProof/>
                <w:color w:val="000000" w:themeColor="text1"/>
                <w:sz w:val="20"/>
                <w:szCs w:val="20"/>
              </w:rPr>
              <w:t xml:space="preserve"> programm</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17.</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b/>
                <w:noProof/>
                <w:color w:val="000000" w:themeColor="text1"/>
                <w:sz w:val="20"/>
                <w:szCs w:val="20"/>
              </w:rPr>
            </w:pPr>
            <w:r>
              <w:rPr>
                <w:b/>
                <w:noProof/>
                <w:color w:val="000000" w:themeColor="text1"/>
                <w:sz w:val="20"/>
                <w:szCs w:val="20"/>
              </w:rPr>
              <w:t>Maakogukonnad</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i/>
                <w:noProof/>
                <w:color w:val="000000" w:themeColor="text1"/>
                <w:sz w:val="20"/>
                <w:szCs w:val="20"/>
              </w:rPr>
              <w:t xml:space="preserve">Arutada koos </w:t>
            </w:r>
            <w:r>
              <w:rPr>
                <w:i/>
                <w:noProof/>
                <w:color w:val="000000" w:themeColor="text1"/>
                <w:sz w:val="20"/>
                <w:szCs w:val="20"/>
              </w:rPr>
              <w:t>päevakorrapunkti 18 all esitatud seonduvate ettepanekutega.</w:t>
            </w:r>
          </w:p>
        </w:tc>
        <w:tc>
          <w:tcPr>
            <w:tcW w:w="992" w:type="dxa"/>
            <w:tcMar>
              <w:top w:w="60" w:type="dxa"/>
              <w:left w:w="135" w:type="dxa"/>
              <w:bottom w:w="60" w:type="dxa"/>
              <w:right w:w="135" w:type="dxa"/>
            </w:tcMar>
            <w:vAlign w:val="center"/>
            <w:hideMark/>
          </w:tcPr>
          <w:p w:rsidR="00AA75D1" w:rsidRDefault="00AA75D1">
            <w:pPr>
              <w:keepNext/>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17.1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Alalise komitee aruanne </w:t>
            </w:r>
            <w:r>
              <w:rPr>
                <w:noProof/>
                <w:color w:val="000000" w:themeColor="text1"/>
                <w:sz w:val="20"/>
                <w:szCs w:val="20"/>
              </w:rPr>
              <w:br/>
            </w:r>
            <w:r>
              <w:rPr>
                <w:noProof/>
                <w:color w:val="000000" w:themeColor="text1"/>
                <w:sz w:val="20"/>
                <w:szCs w:val="20"/>
                <w:u w:val="single"/>
              </w:rPr>
              <w:t>CoP18 Doc. 17.1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 / 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Olla valmis kaaluma sekretariaadi ettepanekut muuta resolutsiooni Conf. 16.6 elatusvahendite teemal. </w:t>
            </w:r>
            <w:r>
              <w:rPr>
                <w:noProof/>
                <w:color w:val="000000" w:themeColor="text1"/>
                <w:sz w:val="20"/>
                <w:szCs w:val="20"/>
              </w:rPr>
              <w:br/>
              <w:t xml:space="preserve">Ettepanek </w:t>
            </w:r>
            <w:r>
              <w:rPr>
                <w:noProof/>
                <w:color w:val="000000" w:themeColor="text1"/>
                <w:sz w:val="20"/>
                <w:szCs w:val="20"/>
              </w:rPr>
              <w:t>CoP17 otsused välja jätta võib olla ennatlik; õigustatud võib olla täiendav istungitevaheline töö (ühendada elatusvahendite töörühmaga?).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17.2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Resolutsiooni Conf. 4.6 (Rev. CoP17) [</w:t>
            </w:r>
            <w:r>
              <w:rPr>
                <w:i/>
                <w:noProof/>
                <w:color w:val="000000" w:themeColor="text1"/>
                <w:sz w:val="20"/>
                <w:szCs w:val="20"/>
              </w:rPr>
              <w:t>Resolutsiooni projektide esitamine</w:t>
            </w:r>
            <w:r>
              <w:rPr>
                <w:noProof/>
                <w:color w:val="000000" w:themeColor="text1"/>
                <w:sz w:val="20"/>
                <w:szCs w:val="20"/>
              </w:rPr>
              <w:t xml:space="preserve">] ja resolutsiooni Conf. 9.24 (Rev. CoP17) muutmise ettepanekud </w:t>
            </w:r>
            <w:r>
              <w:rPr>
                <w:noProof/>
                <w:color w:val="000000" w:themeColor="text1"/>
                <w:sz w:val="20"/>
                <w:szCs w:val="20"/>
              </w:rPr>
              <w:br/>
            </w:r>
            <w:r>
              <w:rPr>
                <w:noProof/>
                <w:color w:val="000000" w:themeColor="text1"/>
                <w:sz w:val="20"/>
                <w:szCs w:val="20"/>
                <w:u w:val="single"/>
              </w:rPr>
              <w:t>CoP18 Doc. 17.2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NA, ZW</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Resolutsiooni 4.6 kavandatud muudatus selle praegusel kujul tundub olevat ebasobiv, kuna selles resolutsioonis käsitletakse ettepanekute esitamise vorminõudeid ja menet</w:t>
            </w:r>
            <w:r>
              <w:rPr>
                <w:noProof/>
                <w:color w:val="000000" w:themeColor="text1"/>
                <w:sz w:val="20"/>
                <w:szCs w:val="20"/>
              </w:rPr>
              <w:t>lusi.</w:t>
            </w:r>
          </w:p>
          <w:p w:rsidR="00AA75D1" w:rsidRDefault="008A3FF4">
            <w:pPr>
              <w:spacing w:after="0" w:line="240" w:lineRule="atLeast"/>
              <w:jc w:val="left"/>
              <w:rPr>
                <w:rFonts w:eastAsia="Times New Roman"/>
                <w:noProof/>
                <w:color w:val="000000" w:themeColor="text1"/>
                <w:sz w:val="20"/>
                <w:szCs w:val="20"/>
              </w:rPr>
            </w:pPr>
            <w:r>
              <w:rPr>
                <w:noProof/>
                <w:color w:val="000000" w:themeColor="text1"/>
                <w:sz w:val="20"/>
                <w:szCs w:val="20"/>
              </w:rPr>
              <w:t xml:space="preserve">Mis tahes muudatused resolutsioonis 9.24 peaksid vähemalt selgitama maakogukondadega peetavate konsultatsioonide geograafilist ulatust, st iga konventsiooniosaline enda territooriumil; vaja on täiendavat arutelu. </w:t>
            </w:r>
          </w:p>
          <w:p w:rsidR="00AA75D1" w:rsidRDefault="008A3FF4">
            <w:pPr>
              <w:spacing w:after="0" w:line="240" w:lineRule="atLeast"/>
              <w:jc w:val="left"/>
              <w:rPr>
                <w:rFonts w:eastAsia="Times New Roman"/>
                <w:noProof/>
                <w:color w:val="000000" w:themeColor="text1"/>
                <w:sz w:val="20"/>
                <w:szCs w:val="20"/>
              </w:rPr>
            </w:pPr>
            <w:r>
              <w:rPr>
                <w:i/>
                <w:noProof/>
                <w:color w:val="000000" w:themeColor="text1"/>
                <w:sz w:val="20"/>
                <w:szCs w:val="20"/>
              </w:rPr>
              <w:t>Arutada koos dokumendiga 18.3.</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17.3</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Osalusmehhanismid maakogukondadele</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BW, CO, NA, ZW</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Mitte nõustuda alalise maakogukondade komitee moodustamisega; arutada alternatiivseid viise maapiirkondade hääle kuuldavaks tegemiseks,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 ja </w:t>
            </w:r>
            <w:r>
              <w:rPr>
                <w:b/>
                <w:noProof/>
                <w:color w:val="000000" w:themeColor="text1"/>
                <w:sz w:val="20"/>
                <w:szCs w:val="20"/>
              </w:rPr>
              <w:t>elatusvahendid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i/>
                <w:noProof/>
                <w:color w:val="000000" w:themeColor="text1"/>
                <w:sz w:val="20"/>
                <w:szCs w:val="20"/>
              </w:rPr>
            </w:pPr>
            <w:r>
              <w:rPr>
                <w:i/>
                <w:noProof/>
                <w:color w:val="000000" w:themeColor="text1"/>
                <w:sz w:val="20"/>
                <w:szCs w:val="20"/>
              </w:rPr>
              <w:t xml:space="preserve">Arutada koos </w:t>
            </w:r>
            <w:r>
              <w:rPr>
                <w:i/>
                <w:noProof/>
                <w:color w:val="000000" w:themeColor="text1"/>
                <w:sz w:val="20"/>
                <w:szCs w:val="20"/>
              </w:rPr>
              <w:t>päevakorrapunkti 17 all esitatud seonduvate ettepanekutega.</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18.1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Sekretariaadi aruanne </w:t>
            </w:r>
            <w:r>
              <w:rPr>
                <w:noProof/>
                <w:color w:val="000000" w:themeColor="text1"/>
                <w:sz w:val="20"/>
                <w:szCs w:val="20"/>
                <w:u w:val="single"/>
              </w:rPr>
              <w:t>CoP18 Doc. 18.1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töörühma taasmoodustamist, juhenddokumendi koostamist konsultantide abiga, kaalumiseks CoP19-l. </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18.2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Peruu ettepanek </w:t>
            </w:r>
            <w:r>
              <w:rPr>
                <w:noProof/>
                <w:color w:val="000000" w:themeColor="text1"/>
                <w:sz w:val="20"/>
                <w:szCs w:val="20"/>
              </w:rPr>
              <w:br/>
            </w:r>
            <w:r>
              <w:rPr>
                <w:noProof/>
                <w:color w:val="000000" w:themeColor="text1"/>
                <w:sz w:val="20"/>
                <w:szCs w:val="20"/>
                <w:u w:val="single"/>
              </w:rPr>
              <w:t>CoP18 Doc. 18.2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PE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Pidada võimalikuks avatud töörühma jätkamist, kuid küsitavaks ettepanekut lisada töörühma pädevuste hulka „CITESi konventsioonis loetletud liikidest CITESi sätetele vastavates maakogukondades valmistatud toodete“ võimaliku sertifitseerim</w:t>
            </w:r>
            <w:r>
              <w:rPr>
                <w:noProof/>
                <w:color w:val="000000" w:themeColor="text1"/>
                <w:sz w:val="20"/>
                <w:szCs w:val="20"/>
              </w:rPr>
              <w:t>issüsteemi väljatöötamine.</w:t>
            </w:r>
          </w:p>
          <w:p w:rsidR="00AA75D1" w:rsidRDefault="008A3FF4">
            <w:pPr>
              <w:spacing w:after="0" w:line="240" w:lineRule="atLeast"/>
              <w:jc w:val="left"/>
              <w:rPr>
                <w:rFonts w:eastAsia="Times New Roman"/>
                <w:noProof/>
                <w:color w:val="000000" w:themeColor="text1"/>
                <w:sz w:val="20"/>
                <w:szCs w:val="20"/>
              </w:rPr>
            </w:pPr>
            <w:r>
              <w:rPr>
                <w:noProof/>
                <w:color w:val="000000" w:themeColor="text1"/>
                <w:sz w:val="20"/>
                <w:szCs w:val="20"/>
              </w:rPr>
              <w:t>Pidada üldiselt võimalikuks ka rahvusvahelise maakogukondade elatusvahendite päeva loomist, kuid selleks ei pruugi eraldi resolutsiooni vaja olla; kaaluda tuleb ka mõju ressurssidele.</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18.3</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Resolutsiooni Conf. 9.24 (Rev. CoP17) muutmise ettepanekud </w:t>
            </w:r>
            <w:r>
              <w:rPr>
                <w:noProof/>
                <w:color w:val="000000" w:themeColor="text1"/>
                <w:sz w:val="20"/>
                <w:szCs w:val="20"/>
              </w:rPr>
              <w:br/>
            </w:r>
            <w:r>
              <w:rPr>
                <w:noProof/>
                <w:color w:val="000000" w:themeColor="text1"/>
                <w:sz w:val="20"/>
                <w:szCs w:val="20"/>
                <w:u w:val="single"/>
              </w:rPr>
              <w:t>CoP18 Doc. 18.3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CN</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Võib kaaluda ideed lisada loeteludesse kandmise ettepanekuid toetavatesse avaldustesse mingil kujul elatusvahendite analüüs (resolutsioon Conf. 9.24, 6. lisa), kuid see ei tundu</w:t>
            </w:r>
            <w:r>
              <w:rPr>
                <w:noProof/>
                <w:color w:val="000000" w:themeColor="text1"/>
                <w:sz w:val="20"/>
                <w:szCs w:val="20"/>
              </w:rPr>
              <w:t xml:space="preserve"> olevat piisavalt küps, et CoP18-l selle kohta otsus teha; kavandatud sõnastus on osaliselt ebaselge. </w:t>
            </w:r>
          </w:p>
          <w:p w:rsidR="00AA75D1" w:rsidRDefault="008A3FF4">
            <w:pPr>
              <w:spacing w:after="0" w:line="240" w:lineRule="atLeast"/>
              <w:jc w:val="left"/>
              <w:rPr>
                <w:rFonts w:eastAsia="Times New Roman"/>
                <w:noProof/>
                <w:color w:val="000000" w:themeColor="text1"/>
                <w:sz w:val="20"/>
                <w:szCs w:val="20"/>
              </w:rPr>
            </w:pPr>
            <w:r>
              <w:rPr>
                <w:i/>
                <w:noProof/>
                <w:color w:val="000000" w:themeColor="text1"/>
                <w:sz w:val="20"/>
                <w:szCs w:val="20"/>
              </w:rPr>
              <w:t>Arutada koos dokumendiga 17.2.</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Toiduga kindlustatus</w:t>
            </w:r>
            <w:r>
              <w:rPr>
                <w:noProof/>
                <w:color w:val="000000" w:themeColor="text1"/>
                <w:sz w:val="20"/>
                <w:szCs w:val="20"/>
              </w:rPr>
              <w:t xml:space="preserve"> ja elatusvahendid </w:t>
            </w:r>
            <w:r>
              <w:rPr>
                <w:noProof/>
                <w:color w:val="000000" w:themeColor="text1"/>
                <w:sz w:val="20"/>
                <w:szCs w:val="20"/>
              </w:rPr>
              <w:br/>
            </w:r>
            <w:r>
              <w:rPr>
                <w:noProof/>
                <w:color w:val="000000" w:themeColor="text1"/>
                <w:sz w:val="20"/>
                <w:szCs w:val="20"/>
                <w:u w:val="single"/>
              </w:rPr>
              <w:t>CoP18 Doc. 19</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Mitte nõustuda otsuste uuendamisega, kuna </w:t>
            </w:r>
            <w:r>
              <w:rPr>
                <w:noProof/>
                <w:color w:val="000000" w:themeColor="text1"/>
                <w:sz w:val="20"/>
                <w:szCs w:val="20"/>
              </w:rPr>
              <w:t>töörühm ei ole teinud edusamme ning päevakorrapunktide „Maakogukonnad“ ja „Elatusvahendid“ all käsitletakse väga sarnaseid probleeme; toetada sekretariaadi märkuseid.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20.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Nõudluse vähendamise</w:t>
            </w:r>
            <w:r>
              <w:rPr>
                <w:noProof/>
                <w:color w:val="000000" w:themeColor="text1"/>
                <w:sz w:val="20"/>
                <w:szCs w:val="20"/>
              </w:rPr>
              <w:t xml:space="preserve"> strateegiad, et võidelda CITESi konventsioonis loetletud liikidega ebaseadusliku kauplemise vastu </w:t>
            </w:r>
            <w:r>
              <w:rPr>
                <w:noProof/>
                <w:color w:val="000000" w:themeColor="text1"/>
                <w:sz w:val="20"/>
                <w:szCs w:val="20"/>
              </w:rPr>
              <w:br/>
            </w:r>
            <w:r>
              <w:rPr>
                <w:noProof/>
                <w:color w:val="000000" w:themeColor="text1"/>
                <w:sz w:val="20"/>
                <w:szCs w:val="20"/>
                <w:u w:val="single"/>
              </w:rPr>
              <w:t>CoP18 Doc. 20</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Toetada 1. lisas esitatud otsuste eelnõude vastuvõtmist ning nõustuda otsuste 17.44–17.48 väljajätmisega.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21.</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Suutlikkuse suurendamine </w:t>
            </w:r>
            <w:r>
              <w:rPr>
                <w:noProof/>
                <w:color w:val="000000" w:themeColor="text1"/>
                <w:sz w:val="20"/>
                <w:szCs w:val="20"/>
              </w:rPr>
              <w:t>ja identifitseerimismaterjalid</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keepNext/>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keepNext/>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21.1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Suutlikkuse suurendamine ja identifitseerimismaterjalid </w:t>
            </w:r>
            <w:r>
              <w:rPr>
                <w:noProof/>
                <w:color w:val="000000" w:themeColor="text1"/>
                <w:sz w:val="20"/>
                <w:szCs w:val="20"/>
              </w:rPr>
              <w:br/>
            </w:r>
            <w:r>
              <w:rPr>
                <w:noProof/>
                <w:color w:val="000000" w:themeColor="text1"/>
                <w:sz w:val="20"/>
                <w:szCs w:val="20"/>
                <w:u w:val="single"/>
              </w:rPr>
              <w:t>CoP18 Doc. 21.1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Loomakomitee / taimekomitee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otsuste eelnõusid loomakomitee ja taimekomitee ühise töörühma moodustamise </w:t>
            </w:r>
            <w:r>
              <w:rPr>
                <w:noProof/>
                <w:color w:val="000000" w:themeColor="text1"/>
                <w:sz w:val="20"/>
                <w:szCs w:val="20"/>
              </w:rPr>
              <w:t>kohta, mis käsitleb identifitseerimismaterjale; samuti TOETADA sekretariaadi ettepanekut jätta välja päevakorrapunktiga 54.1 hõlmatud otsused.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21.2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Resolutsioonides ja otsustes täpsustatud meetmed suutlikkuse suurendamiseks </w:t>
            </w:r>
            <w:r>
              <w:rPr>
                <w:noProof/>
                <w:color w:val="000000" w:themeColor="text1"/>
                <w:sz w:val="20"/>
                <w:szCs w:val="20"/>
              </w:rPr>
              <w:br/>
            </w:r>
            <w:r>
              <w:rPr>
                <w:noProof/>
                <w:color w:val="000000" w:themeColor="text1"/>
                <w:sz w:val="20"/>
                <w:szCs w:val="20"/>
                <w:u w:val="single"/>
              </w:rPr>
              <w:t>CoP18 Doc. 21.2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xml:space="preserve">Alaline </w:t>
            </w:r>
            <w:r>
              <w:rPr>
                <w:noProof/>
                <w:color w:val="000000" w:themeColor="text1"/>
                <w:sz w:val="20"/>
                <w:szCs w:val="20"/>
              </w:rPr>
              <w:t>komitee</w:t>
            </w:r>
          </w:p>
        </w:tc>
        <w:tc>
          <w:tcPr>
            <w:tcW w:w="2410" w:type="dxa"/>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Toetada otsuste eelnõude (CITESi veebisaidi läbivaatamine ja täiendamine, virtuaalse kolledži pakutavad veebikursused) vastuvõtmist sekretariaadi pakutud muudatustega.</w:t>
            </w:r>
          </w:p>
          <w:p w:rsidR="00AA75D1" w:rsidRDefault="008A3FF4">
            <w:pPr>
              <w:spacing w:before="0" w:after="0" w:line="240" w:lineRule="atLeast"/>
              <w:jc w:val="left"/>
              <w:rPr>
                <w:rFonts w:eastAsia="Times New Roman"/>
                <w:i/>
                <w:noProof/>
                <w:color w:val="000000" w:themeColor="text1"/>
                <w:sz w:val="20"/>
                <w:szCs w:val="20"/>
              </w:rPr>
            </w:pPr>
            <w:r>
              <w:rPr>
                <w:i/>
                <w:noProof/>
                <w:color w:val="000000" w:themeColor="text1"/>
                <w:sz w:val="20"/>
                <w:szCs w:val="20"/>
              </w:rPr>
              <w:t>Arutada koos päevakorrapunktidega 21.3, 28 ja 29.</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21.3</w:t>
            </w:r>
          </w:p>
        </w:tc>
        <w:tc>
          <w:tcPr>
            <w:tcW w:w="2971" w:type="dxa"/>
            <w:gridSpan w:val="2"/>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Raamistik CITESi rakendamisega seotud suutlikkuse suurendamiseks tehtavate jõupingutuste koordineerimise, läbipaistvuse ja vastutuse hõlbustamiseks. </w:t>
            </w:r>
            <w:r>
              <w:rPr>
                <w:noProof/>
                <w:color w:val="000000" w:themeColor="text1"/>
                <w:sz w:val="20"/>
                <w:szCs w:val="20"/>
              </w:rPr>
              <w:br/>
            </w:r>
            <w:r>
              <w:rPr>
                <w:noProof/>
                <w:color w:val="000000" w:themeColor="text1"/>
                <w:sz w:val="20"/>
                <w:szCs w:val="20"/>
                <w:u w:val="single"/>
              </w:rPr>
              <w:t>CoP18 Doc. 21.3</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US</w:t>
            </w:r>
          </w:p>
        </w:tc>
        <w:tc>
          <w:tcPr>
            <w:tcW w:w="2410" w:type="dxa"/>
            <w:shd w:val="clear" w:color="auto" w:fill="auto"/>
            <w:tcMar>
              <w:top w:w="60" w:type="dxa"/>
              <w:left w:w="135" w:type="dxa"/>
              <w:bottom w:w="60" w:type="dxa"/>
              <w:right w:w="135" w:type="dxa"/>
            </w:tcMar>
            <w:vAlign w:val="center"/>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Väärtuslik algatus, kuid resolutsiooni projekti ja raamistiku vastuvõtmine CoP18-l tund</w:t>
            </w:r>
            <w:r>
              <w:rPr>
                <w:noProof/>
                <w:color w:val="000000" w:themeColor="text1"/>
                <w:sz w:val="20"/>
                <w:szCs w:val="20"/>
              </w:rPr>
              <w:t>ub ennatlik. Toetada asjakohaste elementide integreerimist hoopis dokumenti 21.2, nagu soovitab sekretariaat, ning arutada seda alalises komitees ja CoP19-l.</w:t>
            </w:r>
          </w:p>
          <w:p w:rsidR="00AA75D1" w:rsidRDefault="008A3FF4">
            <w:pPr>
              <w:spacing w:before="0" w:after="0" w:line="240" w:lineRule="atLeast"/>
              <w:jc w:val="left"/>
              <w:rPr>
                <w:rFonts w:eastAsia="Times New Roman"/>
                <w:i/>
                <w:noProof/>
                <w:color w:val="000000" w:themeColor="text1"/>
                <w:sz w:val="20"/>
                <w:szCs w:val="20"/>
              </w:rPr>
            </w:pPr>
            <w:r>
              <w:rPr>
                <w:i/>
                <w:noProof/>
                <w:color w:val="000000" w:themeColor="text1"/>
                <w:sz w:val="20"/>
                <w:szCs w:val="20"/>
              </w:rPr>
              <w:t>Arutada koos dokumentidega 21.2 ja 28.</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ÜRO </w:t>
            </w:r>
            <w:r>
              <w:rPr>
                <w:b/>
                <w:noProof/>
                <w:color w:val="000000" w:themeColor="text1"/>
                <w:sz w:val="20"/>
                <w:szCs w:val="20"/>
              </w:rPr>
              <w:t>ülemaailmne eluslooduse päev</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i/>
                <w:noProof/>
                <w:color w:val="000000" w:themeColor="text1"/>
                <w:sz w:val="20"/>
                <w:szCs w:val="20"/>
              </w:rPr>
            </w:pPr>
            <w:r>
              <w:rPr>
                <w:noProof/>
                <w:color w:val="000000" w:themeColor="text1"/>
                <w:sz w:val="20"/>
                <w:szCs w:val="20"/>
              </w:rPr>
              <w:t xml:space="preserve">Toetada </w:t>
            </w:r>
            <w:r>
              <w:rPr>
                <w:noProof/>
                <w:color w:val="000000" w:themeColor="text1"/>
                <w:sz w:val="20"/>
                <w:szCs w:val="20"/>
              </w:rPr>
              <w:t>resolutsiooni Conf. 17.1 muutmise ettepanekuid, kus kutsutakse konventsiooni osalisi ja teisi riike määrama kontaktasutuse, kes koordineerib ülemaailmse eluslooduse päeva tähistamist riigis.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23.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Noorte</w:t>
            </w:r>
            <w:r>
              <w:rPr>
                <w:noProof/>
                <w:color w:val="000000" w:themeColor="text1"/>
                <w:sz w:val="20"/>
                <w:szCs w:val="20"/>
              </w:rPr>
              <w:t xml:space="preserve"> kaasamine </w:t>
            </w:r>
            <w:r>
              <w:rPr>
                <w:noProof/>
                <w:color w:val="000000" w:themeColor="text1"/>
                <w:sz w:val="20"/>
                <w:szCs w:val="20"/>
              </w:rPr>
              <w:br/>
            </w:r>
            <w:r>
              <w:rPr>
                <w:noProof/>
                <w:color w:val="000000" w:themeColor="text1"/>
                <w:sz w:val="20"/>
                <w:szCs w:val="20"/>
                <w:u w:val="single"/>
              </w:rPr>
              <w:t>CoP18 Doc. 23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w:t>
            </w:r>
            <w:r>
              <w:rPr>
                <w:noProof/>
                <w:color w:val="000000" w:themeColor="text1"/>
                <w:sz w:val="20"/>
                <w:szCs w:val="20"/>
              </w:rPr>
              <w:t>ettepanekut vaadata läbi noorte kaasatust käsitlev resolutsioon Conf. 17.5 (1. lisa) ning jätta välja otsused 17.26 ja 17.27.</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9207" w:type="dxa"/>
            <w:gridSpan w:val="8"/>
            <w:tcMar>
              <w:top w:w="60" w:type="dxa"/>
              <w:left w:w="135" w:type="dxa"/>
              <w:bottom w:w="60" w:type="dxa"/>
              <w:right w:w="135" w:type="dxa"/>
            </w:tcMar>
            <w:hideMark/>
          </w:tcPr>
          <w:p w:rsidR="00AA75D1" w:rsidRDefault="008A3FF4">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rPr>
              <w:t>Tõlgendamine ja rakendamine</w:t>
            </w:r>
          </w:p>
        </w:tc>
      </w:tr>
      <w:tr w:rsidR="00AA75D1">
        <w:trPr>
          <w:cantSplit/>
        </w:trPr>
        <w:tc>
          <w:tcPr>
            <w:tcW w:w="4382" w:type="dxa"/>
            <w:gridSpan w:val="5"/>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Kehtivad resolutsioonid ja otsused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8A3FF4">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Resolutsioonide</w:t>
            </w:r>
            <w:r>
              <w:rPr>
                <w:noProof/>
                <w:color w:val="000000" w:themeColor="text1"/>
                <w:sz w:val="20"/>
                <w:szCs w:val="20"/>
              </w:rPr>
              <w:t xml:space="preserve"> läbivaatamine</w:t>
            </w:r>
            <w:r>
              <w:rPr>
                <w:noProof/>
                <w:color w:val="000000" w:themeColor="text1"/>
                <w:sz w:val="20"/>
                <w:szCs w:val="20"/>
              </w:rPr>
              <w:br/>
            </w:r>
            <w:r>
              <w:rPr>
                <w:noProof/>
                <w:color w:val="000000" w:themeColor="text1"/>
                <w:sz w:val="20"/>
                <w:szCs w:val="20"/>
                <w:u w:val="single"/>
              </w:rPr>
              <w:t>CoP18 Doc. 24</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üldiselt </w:t>
            </w:r>
            <w:r>
              <w:rPr>
                <w:i/>
                <w:noProof/>
                <w:color w:val="000000" w:themeColor="text1"/>
                <w:sz w:val="20"/>
                <w:szCs w:val="20"/>
              </w:rPr>
              <w:t>dokumentide esitamist</w:t>
            </w:r>
            <w:r>
              <w:rPr>
                <w:noProof/>
                <w:color w:val="000000" w:themeColor="text1"/>
                <w:sz w:val="20"/>
                <w:szCs w:val="20"/>
              </w:rPr>
              <w:t xml:space="preserve"> käsitleva resolutsiooni Conf. 4.6 muutmise ettepanekuid (sh tsentraliseeritud rahastamise otsust); vaadata läbi otsuse 14.19 lisamise ettepanek. Toetada </w:t>
            </w:r>
            <w:r>
              <w:rPr>
                <w:i/>
                <w:noProof/>
                <w:color w:val="000000" w:themeColor="text1"/>
                <w:sz w:val="20"/>
                <w:szCs w:val="20"/>
              </w:rPr>
              <w:t xml:space="preserve">märkimisväärse kauplemise hindamist </w:t>
            </w:r>
            <w:r>
              <w:rPr>
                <w:noProof/>
                <w:color w:val="000000" w:themeColor="text1"/>
                <w:sz w:val="20"/>
                <w:szCs w:val="20"/>
              </w:rPr>
              <w:t xml:space="preserve">käsitleva resolutsiooni 12.8 (kooskõlas alalise komitee 70. kohtumise tulemustega) ja </w:t>
            </w:r>
            <w:r>
              <w:rPr>
                <w:i/>
                <w:noProof/>
                <w:color w:val="000000" w:themeColor="text1"/>
                <w:sz w:val="20"/>
                <w:szCs w:val="20"/>
              </w:rPr>
              <w:t xml:space="preserve">nõuete täitmise tagamise menetlusi </w:t>
            </w:r>
            <w:r>
              <w:rPr>
                <w:noProof/>
                <w:color w:val="000000" w:themeColor="text1"/>
                <w:sz w:val="20"/>
                <w:szCs w:val="20"/>
              </w:rPr>
              <w:t>käsitleva resolutsiooni 14.3 (sh resolutsiooni 10.10) muutmise ettepanekuid.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Otsuste</w:t>
            </w:r>
            <w:r>
              <w:rPr>
                <w:noProof/>
                <w:color w:val="000000" w:themeColor="text1"/>
                <w:sz w:val="20"/>
                <w:szCs w:val="20"/>
              </w:rPr>
              <w:t xml:space="preserve"> läbivaatamine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i/>
                <w:noProof/>
                <w:color w:val="000000" w:themeColor="text1"/>
                <w:sz w:val="20"/>
                <w:szCs w:val="20"/>
              </w:rPr>
            </w:pPr>
            <w:r>
              <w:rPr>
                <w:i/>
                <w:noProof/>
                <w:color w:val="000000" w:themeColor="text1"/>
                <w:sz w:val="20"/>
                <w:szCs w:val="20"/>
              </w:rPr>
              <w:t xml:space="preserve"> 1. märtsi seisuga ei </w:t>
            </w:r>
            <w:r>
              <w:rPr>
                <w:i/>
                <w:noProof/>
                <w:color w:val="000000" w:themeColor="text1"/>
                <w:sz w:val="20"/>
                <w:szCs w:val="20"/>
              </w:rPr>
              <w:t>olnud dokument veel kättesaadav.</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4382" w:type="dxa"/>
            <w:gridSpan w:val="5"/>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u w:val="single"/>
              </w:rPr>
              <w:t>Üldine nõuete järgimine ja nõuete järgimise tagamine</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keepNext/>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Riikide õigusaktid</w:t>
            </w:r>
            <w:r>
              <w:rPr>
                <w:noProof/>
                <w:color w:val="000000" w:themeColor="text1"/>
                <w:sz w:val="20"/>
                <w:szCs w:val="20"/>
              </w:rPr>
              <w:t xml:space="preserve"> konventsiooni rakendamiseks</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Sekretariaat</w:t>
            </w:r>
          </w:p>
        </w:tc>
        <w:tc>
          <w:tcPr>
            <w:tcW w:w="2410"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Toetada otsuste paketti, kuid kutsuda üles suuremale selgusele ajakavade osas ning kaaluda </w:t>
            </w:r>
            <w:r>
              <w:rPr>
                <w:noProof/>
                <w:color w:val="000000" w:themeColor="text1"/>
                <w:sz w:val="20"/>
                <w:szCs w:val="20"/>
              </w:rPr>
              <w:t>täiendavate meetmete esitamist, et kohustada 2. või 3. kategooriasse kuuluva õigustikuga konventsiooniosalisi esitama sekretariaadile üksikasjaliku ülevaate meetmetest konventsiooni tulemuslikuks rakendamiseks.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27.</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w:t>
            </w:r>
            <w:r>
              <w:rPr>
                <w:b/>
                <w:noProof/>
                <w:color w:val="000000" w:themeColor="text1"/>
                <w:sz w:val="20"/>
                <w:szCs w:val="20"/>
              </w:rPr>
              <w:t>nõuete järgimisega</w:t>
            </w:r>
            <w:r>
              <w:rPr>
                <w:noProof/>
                <w:color w:val="000000" w:themeColor="text1"/>
                <w:sz w:val="20"/>
                <w:szCs w:val="20"/>
              </w:rPr>
              <w:t xml:space="preserve"> seotud küsimused</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Sekretariaat</w:t>
            </w:r>
          </w:p>
        </w:tc>
        <w:tc>
          <w:tcPr>
            <w:tcW w:w="2410"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Toetada resolutsiooni Conf. 11.3 (Rev. CoP17) muutmise ettepanekut ja nende otsuste eelnõude vastuvõtmist, mille eesmärk on vaadata läbi CITESi lubade poliitika ja seonduvad nõuetele vastavusega seotud küsimused.</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b/>
                <w:noProof/>
                <w:color w:val="000000" w:themeColor="text1"/>
                <w:sz w:val="20"/>
                <w:szCs w:val="20"/>
              </w:rPr>
            </w:pPr>
            <w:r>
              <w:rPr>
                <w:noProof/>
                <w:color w:val="000000" w:themeColor="text1"/>
                <w:sz w:val="20"/>
                <w:szCs w:val="20"/>
              </w:rPr>
              <w:t xml:space="preserve">Nõuete järgimise </w:t>
            </w:r>
            <w:r>
              <w:rPr>
                <w:b/>
                <w:noProof/>
                <w:color w:val="000000" w:themeColor="text1"/>
                <w:sz w:val="20"/>
                <w:szCs w:val="20"/>
              </w:rPr>
              <w:t>abiprogramm</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Sekretariaat</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Üldiselt toetada otsuste paketti, mille eesmärk on töötada välja nõuete järgimise abiprogramm, et aidata konventsiooniosalisi, kellel on olnud pikka aega raskusi konventsiooni ja alalise komitee vastavate soovitus</w:t>
            </w:r>
            <w:r>
              <w:rPr>
                <w:noProof/>
                <w:color w:val="000000" w:themeColor="text1"/>
                <w:sz w:val="20"/>
                <w:szCs w:val="20"/>
              </w:rPr>
              <w:t>te nõuete täitmisega. Sellegipoolest väljendada kahtlusi mõju suhtes, mida programmi loomine eelarvele avaldab.</w:t>
            </w:r>
          </w:p>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Arutada koos dokumendiga 21 ja eelarvedokumentidega.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29.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Üleriigilised</w:t>
            </w:r>
            <w:r>
              <w:rPr>
                <w:noProof/>
                <w:color w:val="000000" w:themeColor="text1"/>
                <w:sz w:val="20"/>
                <w:szCs w:val="20"/>
              </w:rPr>
              <w:t xml:space="preserve"> märkimisväärse kauplemise hindamised </w:t>
            </w:r>
            <w:r>
              <w:rPr>
                <w:noProof/>
                <w:color w:val="000000" w:themeColor="text1"/>
                <w:sz w:val="20"/>
                <w:szCs w:val="20"/>
                <w:u w:val="single"/>
              </w:rPr>
              <w:t>CoP18 Doc. 29</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xml:space="preserve">Loomakomitee / </w:t>
            </w:r>
            <w:r>
              <w:rPr>
                <w:noProof/>
                <w:color w:val="000000" w:themeColor="text1"/>
                <w:sz w:val="20"/>
                <w:szCs w:val="20"/>
              </w:rPr>
              <w:t>taimekomitee</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sekretariaadi volitusi valikuid analüüsida ja komiteede volitusi neid arutada; teha soovitusi CoP19 jaoks.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Nõuete järgimine seoses </w:t>
            </w:r>
            <w:r>
              <w:rPr>
                <w:b/>
                <w:noProof/>
                <w:color w:val="000000" w:themeColor="text1"/>
                <w:sz w:val="20"/>
                <w:szCs w:val="20"/>
              </w:rPr>
              <w:t xml:space="preserve">Madagaskari </w:t>
            </w:r>
            <w:r>
              <w:rPr>
                <w:noProof/>
                <w:color w:val="000000" w:themeColor="text1"/>
                <w:sz w:val="20"/>
                <w:szCs w:val="20"/>
              </w:rPr>
              <w:t>eebenipuuliste (</w:t>
            </w:r>
            <w:r>
              <w:rPr>
                <w:i/>
                <w:noProof/>
                <w:color w:val="000000" w:themeColor="text1"/>
                <w:sz w:val="20"/>
                <w:szCs w:val="20"/>
              </w:rPr>
              <w:t>Diospyros</w:t>
            </w:r>
            <w:r>
              <w:rPr>
                <w:noProof/>
                <w:color w:val="000000" w:themeColor="text1"/>
                <w:sz w:val="20"/>
                <w:szCs w:val="20"/>
              </w:rPr>
              <w:t xml:space="preserve"> spp.), palisandrite ja dalbergiatega (</w:t>
            </w:r>
            <w:r>
              <w:rPr>
                <w:i/>
                <w:noProof/>
                <w:color w:val="000000" w:themeColor="text1"/>
                <w:sz w:val="20"/>
                <w:szCs w:val="20"/>
              </w:rPr>
              <w:t>Dalbergia</w:t>
            </w:r>
            <w:r>
              <w:rPr>
                <w:noProof/>
                <w:color w:val="000000" w:themeColor="text1"/>
                <w:sz w:val="20"/>
                <w:szCs w:val="20"/>
              </w:rPr>
              <w:t xml:space="preserve"> spp.)</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30.1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Madagaskari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noProof/>
                <w:color w:val="000000" w:themeColor="text1"/>
                <w:sz w:val="20"/>
                <w:szCs w:val="20"/>
              </w:rPr>
            </w:pPr>
            <w:r>
              <w:rPr>
                <w:noProof/>
                <w:color w:val="000000" w:themeColor="text1"/>
                <w:sz w:val="20"/>
                <w:szCs w:val="20"/>
              </w:rPr>
              <w:t>Teadmiseks võtta.</w:t>
            </w:r>
          </w:p>
          <w:p w:rsidR="00AA75D1" w:rsidRDefault="008A3FF4">
            <w:pPr>
              <w:spacing w:before="0" w:after="0"/>
              <w:jc w:val="left"/>
              <w:rPr>
                <w:rFonts w:eastAsia="Times New Roman"/>
                <w:i/>
                <w:noProof/>
                <w:color w:val="000000" w:themeColor="text1"/>
                <w:sz w:val="20"/>
                <w:szCs w:val="20"/>
              </w:rPr>
            </w:pPr>
            <w:r>
              <w:rPr>
                <w:i/>
                <w:iCs/>
                <w:noProof/>
                <w:color w:val="000000" w:themeColor="text1"/>
                <w:sz w:val="20"/>
                <w:szCs w:val="20"/>
              </w:rPr>
              <w:t>Arutada koos dokumendiga 30.2.</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30.2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Alalise komitee aruanne </w:t>
            </w:r>
            <w:r>
              <w:rPr>
                <w:noProof/>
                <w:color w:val="000000" w:themeColor="text1"/>
                <w:sz w:val="20"/>
                <w:szCs w:val="20"/>
                <w:u w:val="single"/>
              </w:rPr>
              <w:t>CoP18 Doc. 30.2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kuid pidada hoolikalt silmas, et kõikides aruteludes ei ole vaja keskenduda Madagaskari pakutud </w:t>
            </w:r>
            <w:r>
              <w:rPr>
                <w:noProof/>
                <w:color w:val="000000" w:themeColor="text1"/>
                <w:sz w:val="20"/>
                <w:szCs w:val="20"/>
              </w:rPr>
              <w:t>kasutuskavale. Kutsuda üles keskenduma jõulisemalt vajadusele teha suuremaid jõupingutusi ebaseadusliku raie vastu võitlemisel ja salakaubaveovõrgustike kahjutuks tegemisel. Teha ettepanek muuta otsuse eelnõud 18.BB nii, et selles võetaks arvesse ÜRO uimas</w:t>
            </w:r>
            <w:r>
              <w:rPr>
                <w:noProof/>
                <w:color w:val="000000" w:themeColor="text1"/>
                <w:sz w:val="20"/>
                <w:szCs w:val="20"/>
              </w:rPr>
              <w:t>tite ja kuritegevuse vastu võitlemise büroo 2017. aasta selleteemalisi soovitusi, ning kasutada ettevaatusprintsiibile viitavat sõnastust, tagamaks et edasised kasutuskavad oleksid piisavalt kindlad.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Siseturud</w:t>
            </w:r>
            <w:r>
              <w:rPr>
                <w:noProof/>
                <w:color w:val="000000" w:themeColor="text1"/>
                <w:sz w:val="20"/>
                <w:szCs w:val="20"/>
              </w:rPr>
              <w:t xml:space="preserve"> sageli ebaseaduslikult kaubeldavate isendite jaoks </w:t>
            </w:r>
            <w:r>
              <w:rPr>
                <w:noProof/>
                <w:color w:val="000000" w:themeColor="text1"/>
                <w:sz w:val="20"/>
                <w:szCs w:val="20"/>
                <w:u w:val="single"/>
              </w:rPr>
              <w:t>CoP18 Doc. 31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resolutsiooni Conf. 10.10 (Rev. CoP17) muutmise ettepanekut ja läbivaadatud otsuste eelnõusid 17.87–17.88, sh looduslikest liikidest valmistatud toodete (v.a elevandiluu) siseriikli</w:t>
            </w:r>
            <w:r>
              <w:rPr>
                <w:noProof/>
                <w:color w:val="000000" w:themeColor="text1"/>
                <w:sz w:val="20"/>
                <w:szCs w:val="20"/>
              </w:rPr>
              <w:t>ku kontrolli kohta.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Nõuete järgimise tagamisega</w:t>
            </w:r>
            <w:r>
              <w:rPr>
                <w:noProof/>
                <w:color w:val="000000" w:themeColor="text1"/>
                <w:sz w:val="20"/>
                <w:szCs w:val="20"/>
              </w:rPr>
              <w:t xml:space="preserve"> seotud küsimused </w:t>
            </w:r>
            <w:r>
              <w:rPr>
                <w:noProof/>
                <w:color w:val="000000" w:themeColor="text1"/>
                <w:sz w:val="20"/>
                <w:szCs w:val="20"/>
                <w:u w:val="single"/>
              </w:rPr>
              <w:t>CoP18 Doc. 32</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kavandatud otsuste eelnõusid ja resolutsiooni Conf. 11.3 (Rev. CoP17) muutmise ettepanekut. Nõustuda otsuste 17.83–17.85 väljajätmisega.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Looduslike liikidega seotud </w:t>
            </w:r>
            <w:r>
              <w:rPr>
                <w:b/>
                <w:noProof/>
                <w:color w:val="000000" w:themeColor="text1"/>
                <w:sz w:val="20"/>
                <w:szCs w:val="20"/>
              </w:rPr>
              <w:t>küberkuritegevuse</w:t>
            </w:r>
            <w:r>
              <w:rPr>
                <w:noProof/>
                <w:color w:val="000000" w:themeColor="text1"/>
                <w:sz w:val="20"/>
                <w:szCs w:val="20"/>
              </w:rPr>
              <w:t xml:space="preserve"> vastane võitlus</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33.1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Sekretariaadi aruanne </w:t>
            </w:r>
            <w:r>
              <w:rPr>
                <w:noProof/>
                <w:color w:val="000000" w:themeColor="text1"/>
                <w:sz w:val="20"/>
                <w:szCs w:val="20"/>
                <w:u w:val="single"/>
              </w:rPr>
              <w:t>CoP18 Doc. 33.1</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i/>
                <w:noProof/>
                <w:color w:val="000000" w:themeColor="text1"/>
                <w:sz w:val="20"/>
                <w:szCs w:val="20"/>
              </w:rPr>
            </w:pPr>
            <w:r>
              <w:rPr>
                <w:noProof/>
                <w:color w:val="000000" w:themeColor="text1"/>
                <w:sz w:val="20"/>
                <w:szCs w:val="20"/>
              </w:rPr>
              <w:t xml:space="preserve">Toetada kavandatud otsuste eelnõusid.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33.2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Alalise komitee aruanne </w:t>
            </w:r>
            <w:r>
              <w:rPr>
                <w:noProof/>
                <w:color w:val="000000" w:themeColor="text1"/>
                <w:sz w:val="20"/>
                <w:szCs w:val="20"/>
                <w:u w:val="single"/>
              </w:rPr>
              <w:t>CoP18 Doc. 33.2</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resolutsiooni Conf. 11.3 (Rev. CoP17) </w:t>
            </w:r>
            <w:r>
              <w:rPr>
                <w:noProof/>
                <w:color w:val="000000" w:themeColor="text1"/>
                <w:sz w:val="20"/>
                <w:szCs w:val="20"/>
              </w:rPr>
              <w:t>muutmise ettepanekuid ja otsuste eelnõude sekretariaadi poolt muudetud kujul vastuvõtmist. Nõustuda otsuste 17.94–17.96 väljajätmisega.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34.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Looduslike liikidega seotud kuritegevust käsitlevate õigusnormide täitmise tagamise toetamine </w:t>
            </w:r>
            <w:r>
              <w:rPr>
                <w:b/>
                <w:noProof/>
                <w:color w:val="000000" w:themeColor="text1"/>
                <w:sz w:val="20"/>
                <w:szCs w:val="20"/>
              </w:rPr>
              <w:t xml:space="preserve">Lääne- ja </w:t>
            </w:r>
            <w:r>
              <w:rPr>
                <w:b/>
                <w:noProof/>
                <w:color w:val="000000" w:themeColor="text1"/>
                <w:sz w:val="20"/>
                <w:szCs w:val="20"/>
              </w:rPr>
              <w:t>Kesk-Aafrikas</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Konfiskeeritud isendite</w:t>
            </w:r>
            <w:r>
              <w:rPr>
                <w:noProof/>
                <w:color w:val="000000" w:themeColor="text1"/>
                <w:sz w:val="20"/>
                <w:szCs w:val="20"/>
              </w:rPr>
              <w:t xml:space="preserve"> kõrvaldamine </w:t>
            </w:r>
            <w:r>
              <w:rPr>
                <w:noProof/>
                <w:color w:val="000000" w:themeColor="text1"/>
                <w:sz w:val="20"/>
                <w:szCs w:val="20"/>
                <w:u w:val="single"/>
              </w:rPr>
              <w:t>CoP18 Doc. 35</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i/>
                <w:noProof/>
                <w:color w:val="000000" w:themeColor="text1"/>
                <w:sz w:val="20"/>
                <w:szCs w:val="20"/>
              </w:rPr>
            </w:pPr>
            <w:r>
              <w:rPr>
                <w:noProof/>
                <w:color w:val="000000" w:themeColor="text1"/>
                <w:sz w:val="20"/>
                <w:szCs w:val="20"/>
              </w:rPr>
              <w:t>Toetada otsuste 17.118 ja 17.119 väljajätmist ja kavandatud otsuste eelnõude vastuvõtmist. Mitte toetada täiendusi, mis seaksid ohtu päästekeskusi puudutava tundliku teabe või tekitaksid konventsiooniosalistele lisakohustusi. Samuti mitte toetada alalise k</w:t>
            </w:r>
            <w:r>
              <w:rPr>
                <w:noProof/>
                <w:color w:val="000000" w:themeColor="text1"/>
                <w:sz w:val="20"/>
                <w:szCs w:val="20"/>
              </w:rPr>
              <w:t xml:space="preserve">omitee töörühma võimalikku taastamist.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Osaliste iga-aastaste ebaseadusliku kauplemise aruannete raames kogutud </w:t>
            </w:r>
            <w:r>
              <w:rPr>
                <w:b/>
                <w:noProof/>
                <w:color w:val="000000" w:themeColor="text1"/>
                <w:sz w:val="20"/>
                <w:szCs w:val="20"/>
              </w:rPr>
              <w:t>ebaseaduslikku kauplemist käsitlevate andmete</w:t>
            </w:r>
            <w:r>
              <w:rPr>
                <w:noProof/>
                <w:color w:val="000000" w:themeColor="text1"/>
                <w:sz w:val="20"/>
                <w:szCs w:val="20"/>
              </w:rPr>
              <w:t xml:space="preserve"> säilitamine ja haldamine </w:t>
            </w:r>
            <w:r>
              <w:rPr>
                <w:noProof/>
                <w:color w:val="000000" w:themeColor="text1"/>
                <w:sz w:val="20"/>
                <w:szCs w:val="20"/>
                <w:u w:val="single"/>
              </w:rPr>
              <w:t>CoP18 Doc. 36</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Avaldada üldist toetust iga-aastaste</w:t>
            </w:r>
            <w:r>
              <w:rPr>
                <w:noProof/>
                <w:color w:val="000000" w:themeColor="text1"/>
                <w:sz w:val="20"/>
                <w:szCs w:val="20"/>
              </w:rPr>
              <w:t xml:space="preserve"> ebaseadusliku kauplemise aruannete raames kogutud ebaseaduslikku kauplemist käsitlevate andmete süstemaatilisemale kogumisele ja haldamisele. Jagada sekretariaadi muret, et sellise andmebaasi lisaväärtus on piiratud, kui tagatud ei ole pikaajaline rahasta</w:t>
            </w:r>
            <w:r>
              <w:rPr>
                <w:noProof/>
                <w:color w:val="000000" w:themeColor="text1"/>
                <w:sz w:val="20"/>
                <w:szCs w:val="20"/>
              </w:rPr>
              <w:t>mine ning kui aruanded ja andmed laekuvad üksnes mõnelt konventsiooniosaliselt. Arutada, kuidas julgustada osalisi esitama iga-aastaseid ebaseadusliku kauplemise aruandeid süstemaatilisemalt.</w:t>
            </w:r>
          </w:p>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Arutada koos eelarvedokumentidega.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Loodusvahtide</w:t>
            </w:r>
            <w:r>
              <w:rPr>
                <w:noProof/>
                <w:color w:val="000000" w:themeColor="text1"/>
                <w:sz w:val="20"/>
                <w:szCs w:val="20"/>
              </w:rPr>
              <w:t xml:space="preserve"> töötin</w:t>
            </w:r>
            <w:r>
              <w:rPr>
                <w:noProof/>
                <w:color w:val="000000" w:themeColor="text1"/>
                <w:sz w:val="20"/>
                <w:szCs w:val="20"/>
              </w:rPr>
              <w:t xml:space="preserve">gimused ja nende mõju CITESi rakendamisele </w:t>
            </w:r>
            <w:r>
              <w:rPr>
                <w:noProof/>
                <w:color w:val="000000" w:themeColor="text1"/>
                <w:sz w:val="20"/>
                <w:szCs w:val="20"/>
                <w:u w:val="single"/>
              </w:rPr>
              <w:t>CoP18 Doc. 37</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NP</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Väljendada aruandele poolehoidu ja tunnistada probleemi tähtsust.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4382" w:type="dxa"/>
            <w:gridSpan w:val="5"/>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Kauplemise reguleerimine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38.</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Korraldusasutuste</w:t>
            </w:r>
            <w:r>
              <w:rPr>
                <w:noProof/>
                <w:color w:val="000000" w:themeColor="text1"/>
                <w:sz w:val="20"/>
                <w:szCs w:val="20"/>
              </w:rPr>
              <w:t xml:space="preserve"> määramine ja nende roll </w:t>
            </w:r>
            <w:r>
              <w:rPr>
                <w:noProof/>
                <w:color w:val="000000" w:themeColor="text1"/>
                <w:sz w:val="20"/>
                <w:szCs w:val="20"/>
                <w:u w:val="single"/>
              </w:rPr>
              <w:t>CoP18 Doc. 38</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shd w:val="clear" w:color="auto" w:fill="auto"/>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üldiselt </w:t>
            </w:r>
            <w:r>
              <w:rPr>
                <w:noProof/>
                <w:color w:val="000000" w:themeColor="text1"/>
                <w:sz w:val="20"/>
                <w:szCs w:val="20"/>
              </w:rPr>
              <w:t>kavandatud resolutsiooni. Teksti mõningaid aspekte tuleb põhjalikumalt kontrollida.</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39.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Juhised </w:t>
            </w:r>
            <w:r>
              <w:rPr>
                <w:b/>
                <w:noProof/>
                <w:color w:val="000000" w:themeColor="text1"/>
                <w:sz w:val="20"/>
                <w:szCs w:val="20"/>
              </w:rPr>
              <w:t xml:space="preserve">seaduslikult omandamise </w:t>
            </w:r>
            <w:r>
              <w:rPr>
                <w:noProof/>
                <w:color w:val="000000" w:themeColor="text1"/>
                <w:sz w:val="20"/>
                <w:szCs w:val="20"/>
              </w:rPr>
              <w:t xml:space="preserve">kontrollimiseks </w:t>
            </w:r>
            <w:r>
              <w:rPr>
                <w:noProof/>
                <w:color w:val="000000" w:themeColor="text1"/>
                <w:sz w:val="20"/>
                <w:szCs w:val="20"/>
                <w:u w:val="single"/>
              </w:rPr>
              <w:t>CoP18 Doc. 39</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i/>
                <w:noProof/>
                <w:color w:val="000000" w:themeColor="text1"/>
                <w:sz w:val="20"/>
                <w:szCs w:val="20"/>
              </w:rPr>
            </w:pPr>
            <w:r>
              <w:rPr>
                <w:noProof/>
                <w:color w:val="000000" w:themeColor="text1"/>
                <w:sz w:val="20"/>
                <w:szCs w:val="20"/>
              </w:rPr>
              <w:t xml:space="preserve">Toetada resolutsiooni projekti. </w:t>
            </w:r>
            <w:r>
              <w:rPr>
                <w:noProof/>
                <w:color w:val="000000" w:themeColor="text1"/>
                <w:sz w:val="20"/>
                <w:szCs w:val="20"/>
              </w:rPr>
              <w:br/>
            </w:r>
            <w:r>
              <w:rPr>
                <w:i/>
                <w:noProof/>
                <w:color w:val="000000" w:themeColor="text1"/>
                <w:sz w:val="20"/>
                <w:szCs w:val="20"/>
              </w:rPr>
              <w:t>Arutada koos dokumendiga 40.</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40.</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konventsiooni osaliste </w:t>
            </w:r>
            <w:r>
              <w:rPr>
                <w:b/>
                <w:noProof/>
                <w:color w:val="000000" w:themeColor="text1"/>
                <w:sz w:val="20"/>
                <w:szCs w:val="20"/>
              </w:rPr>
              <w:t xml:space="preserve">nõuetekohane hoolsus </w:t>
            </w:r>
            <w:r>
              <w:rPr>
                <w:noProof/>
                <w:color w:val="000000" w:themeColor="text1"/>
                <w:sz w:val="20"/>
                <w:szCs w:val="20"/>
              </w:rPr>
              <w:t>ja importivate riikide kohustused</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US</w:t>
            </w:r>
          </w:p>
        </w:tc>
        <w:tc>
          <w:tcPr>
            <w:tcW w:w="2410" w:type="dxa"/>
            <w:shd w:val="clear" w:color="auto" w:fill="auto"/>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üldiselt kavatsust ja lähenemisviisi. Resolutsiooni Conf. 11.3 muutmise ettepanekute mõningaid aspekte tuleb põhjalikumalt kontrollida.</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Elektroonilised süsteemid</w:t>
            </w:r>
            <w:r>
              <w:rPr>
                <w:noProof/>
                <w:color w:val="000000" w:themeColor="text1"/>
                <w:sz w:val="20"/>
                <w:szCs w:val="20"/>
              </w:rPr>
              <w:t xml:space="preserve"> ja infotehnoloogia </w:t>
            </w:r>
            <w:r>
              <w:rPr>
                <w:noProof/>
                <w:color w:val="000000" w:themeColor="text1"/>
                <w:sz w:val="20"/>
                <w:szCs w:val="20"/>
                <w:u w:val="single"/>
              </w:rPr>
              <w:t>CoP18 Doc. 41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kavandatud otsuste eelnõusid, millega asendatakse otsused 17.156–17.159 </w:t>
            </w:r>
            <w:r>
              <w:rPr>
                <w:i/>
                <w:noProof/>
                <w:color w:val="000000" w:themeColor="text1"/>
                <w:sz w:val="20"/>
                <w:szCs w:val="20"/>
              </w:rPr>
              <w:t xml:space="preserve">eCITESi rakendusraamistiku </w:t>
            </w:r>
            <w:r>
              <w:rPr>
                <w:noProof/>
                <w:color w:val="000000" w:themeColor="text1"/>
                <w:sz w:val="20"/>
                <w:szCs w:val="20"/>
              </w:rPr>
              <w:t>kasulikkuse ja teostatavuse hindamiseks ning uuendatakse töörühma volitusi</w:t>
            </w:r>
            <w:r>
              <w:rPr>
                <w:noProof/>
                <w:color w:val="000000" w:themeColor="text1"/>
                <w:sz w:val="20"/>
                <w:szCs w:val="20"/>
              </w:rPr>
              <w: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Jälgitavus </w:t>
            </w:r>
            <w:r>
              <w:rPr>
                <w:noProof/>
                <w:color w:val="000000" w:themeColor="text1"/>
                <w:sz w:val="20"/>
                <w:szCs w:val="20"/>
                <w:u w:val="single"/>
              </w:rPr>
              <w:t>CoP18 Doc. 42</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Sekretariaat, alalise komitee esimees, MX ja CH jälgitavuse teemalise istungitevahelise töörühma eesistujatena.</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Nõustuda CITESi esialgse määratlusega jälgitavuse kohta ning toetada 1. lisa otsuste eelnõude vastuvõtmist, sh</w:t>
            </w:r>
            <w:r>
              <w:rPr>
                <w:noProof/>
                <w:color w:val="000000" w:themeColor="text1"/>
                <w:sz w:val="20"/>
                <w:szCs w:val="20"/>
              </w:rPr>
              <w:t xml:space="preserve"> sekretariaadi esitatud muudatusettepanekuid.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Sünteetiliselt toodetud või kultiveeritud DNAst</w:t>
            </w:r>
            <w:r>
              <w:rPr>
                <w:noProof/>
                <w:color w:val="000000" w:themeColor="text1"/>
                <w:sz w:val="20"/>
                <w:szCs w:val="20"/>
              </w:rPr>
              <w:t xml:space="preserve"> kasvatatud isendid </w:t>
            </w:r>
            <w:r>
              <w:rPr>
                <w:noProof/>
                <w:color w:val="000000" w:themeColor="text1"/>
                <w:sz w:val="20"/>
                <w:szCs w:val="20"/>
                <w:u w:val="single"/>
              </w:rPr>
              <w:t>CoP18 Doc. 43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otsuste eelnõusid koos sekretariaadi tehtud muudatustega, mis asendavad otsuseid 17.89–17.91, et </w:t>
            </w:r>
            <w:r>
              <w:rPr>
                <w:noProof/>
                <w:color w:val="000000" w:themeColor="text1"/>
                <w:sz w:val="20"/>
                <w:szCs w:val="20"/>
              </w:rPr>
              <w:t>jätkata selle hindamist, milline on biotehnoloogia abil toodetud isendite võimalik mõju konventsiooni tõlgendamisele ja rakendamisele. Mõned otsused vajavad selguse huvides täiustamist.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44.</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Mõiste „</w:t>
            </w:r>
            <w:r>
              <w:rPr>
                <w:b/>
                <w:noProof/>
                <w:color w:val="000000" w:themeColor="text1"/>
                <w:sz w:val="20"/>
                <w:szCs w:val="20"/>
              </w:rPr>
              <w:t>asjakohased ja vastuvõetavad sihtkohad</w:t>
            </w:r>
            <w:r>
              <w:rPr>
                <w:noProof/>
                <w:color w:val="000000" w:themeColor="text1"/>
                <w:sz w:val="20"/>
                <w:szCs w:val="20"/>
              </w:rPr>
              <w:t>“ määratlus</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keepNext/>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44.1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Alalise komitee aruanne </w:t>
            </w:r>
            <w:r>
              <w:rPr>
                <w:noProof/>
                <w:color w:val="000000" w:themeColor="text1"/>
                <w:sz w:val="20"/>
                <w:szCs w:val="20"/>
                <w:u w:val="single"/>
              </w:rPr>
              <w:t>CoP18 Doc. 44.1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mõiste „asjakohased ja vastuvõetavad sihtkohad“ määratlusega seotud soovitusi ja otsuste eelnõusid. Tekstis oleks siiski vaja teha mõningaid muudatusi, et vältida väärtõlgendusi.</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44.2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Rahvusvaheline kauplemine elusate aafrika savannielevantidega: </w:t>
            </w:r>
            <w:r>
              <w:rPr>
                <w:i/>
                <w:noProof/>
                <w:color w:val="000000" w:themeColor="text1"/>
                <w:sz w:val="20"/>
                <w:szCs w:val="20"/>
              </w:rPr>
              <w:t>asjakohaste ja vastuvõetavate sihtkohtade mõiste määratlust</w:t>
            </w:r>
            <w:r>
              <w:rPr>
                <w:noProof/>
                <w:color w:val="000000" w:themeColor="text1"/>
                <w:sz w:val="20"/>
                <w:szCs w:val="20"/>
              </w:rPr>
              <w:t xml:space="preserve"> käsitleva resolutsiooni Conf. 11.20 (Rev. CoP17) kavandatud läbivaatamine</w:t>
            </w:r>
            <w:r>
              <w:rPr>
                <w:i/>
                <w:iCs/>
                <w:noProof/>
                <w:color w:val="000000" w:themeColor="text1"/>
                <w:sz w:val="20"/>
                <w:szCs w:val="20"/>
              </w:rPr>
              <w:t xml:space="preserve"> </w:t>
            </w:r>
            <w:r>
              <w:rPr>
                <w:i/>
                <w:iCs/>
                <w:noProof/>
                <w:color w:val="000000" w:themeColor="text1"/>
                <w:sz w:val="20"/>
                <w:szCs w:val="20"/>
              </w:rPr>
              <w:br/>
            </w:r>
            <w:r>
              <w:rPr>
                <w:noProof/>
                <w:color w:val="000000" w:themeColor="text1"/>
                <w:sz w:val="20"/>
                <w:szCs w:val="20"/>
                <w:u w:val="single"/>
              </w:rPr>
              <w:t>CoP18 Doc. 44.2</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BF, JO, LB, LR, NE, NG, SD, SY</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Dokumendis esitatakse resolutsiooni Conf. 11.20 muutmise ettepanekud, mille kohaselt liigutatakse elusaid aafrika savannielevante ainult in situ kaitseprogrammide raames nende looduslike elupaikade piires, millega välistatakse igasugune kauplemine looduses</w:t>
            </w:r>
            <w:r>
              <w:rPr>
                <w:noProof/>
                <w:color w:val="000000" w:themeColor="text1"/>
                <w:sz w:val="20"/>
                <w:szCs w:val="20"/>
              </w:rPr>
              <w:t>t püütud aafrika elevantidega, mille tulemusel neid viiakse looduslikest elupaikadest väljapoole vangistuse eesmärgil, isegi kui see oleks kaitse seisukohast kasulik. Arutada ka seoses I lisas loetletud isendite suhtes kehtiva korraga.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Kauplemise </w:t>
            </w:r>
            <w:r>
              <w:rPr>
                <w:b/>
                <w:noProof/>
                <w:color w:val="000000" w:themeColor="text1"/>
                <w:sz w:val="20"/>
                <w:szCs w:val="20"/>
              </w:rPr>
              <w:t>kahjutuse</w:t>
            </w:r>
            <w:r>
              <w:rPr>
                <w:noProof/>
                <w:color w:val="000000" w:themeColor="text1"/>
                <w:sz w:val="20"/>
                <w:szCs w:val="20"/>
              </w:rPr>
              <w:t xml:space="preserve"> kindlakstegemine </w:t>
            </w:r>
            <w:r>
              <w:rPr>
                <w:noProof/>
                <w:color w:val="000000" w:themeColor="text1"/>
                <w:sz w:val="20"/>
                <w:szCs w:val="20"/>
              </w:rPr>
              <w:br/>
            </w:r>
            <w:r>
              <w:rPr>
                <w:noProof/>
                <w:color w:val="000000" w:themeColor="text1"/>
                <w:sz w:val="20"/>
                <w:szCs w:val="20"/>
                <w:u w:val="single"/>
              </w:rPr>
              <w:t>CoP18 Doc. 45</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Loomakomitee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kavandatud otsuste eelnõusid, mille eesmärk on kaotada puudujäägid ning aidata konventsiooniosalistel teha kindlaks, kas kauplemine on kahjutu, ja toetada resolutsiooni Conf. 16.7 (Rev. CoP17) </w:t>
            </w:r>
            <w:r>
              <w:rPr>
                <w:noProof/>
                <w:color w:val="000000" w:themeColor="text1"/>
                <w:sz w:val="20"/>
                <w:szCs w:val="20"/>
              </w:rPr>
              <w:t>rakendamist. Toetada teist rahvusvahelist seminari kauplemise kahjutuse kindlakstegemise teemal.</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Leopardijahi</w:t>
            </w:r>
            <w:r>
              <w:rPr>
                <w:noProof/>
                <w:color w:val="000000" w:themeColor="text1"/>
                <w:sz w:val="20"/>
                <w:szCs w:val="20"/>
              </w:rPr>
              <w:t xml:space="preserve"> trofeede kvoodid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 13. veebruari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47.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Keerdsarvkitsejahi </w:t>
            </w:r>
            <w:r>
              <w:rPr>
                <w:noProof/>
                <w:color w:val="000000" w:themeColor="text1"/>
                <w:sz w:val="20"/>
                <w:szCs w:val="20"/>
              </w:rPr>
              <w:t xml:space="preserve">trofeede kvootide suurendamine </w:t>
            </w:r>
            <w:r>
              <w:rPr>
                <w:noProof/>
                <w:color w:val="000000" w:themeColor="text1"/>
                <w:sz w:val="20"/>
                <w:szCs w:val="20"/>
              </w:rPr>
              <w:br/>
            </w:r>
            <w:r>
              <w:rPr>
                <w:noProof/>
                <w:color w:val="000000" w:themeColor="text1"/>
                <w:sz w:val="20"/>
                <w:szCs w:val="20"/>
                <w:u w:val="single"/>
              </w:rPr>
              <w:t>CoP18 Doc. 47</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PK</w:t>
            </w:r>
          </w:p>
        </w:tc>
        <w:tc>
          <w:tcPr>
            <w:tcW w:w="2410" w:type="dxa"/>
            <w:tcMar>
              <w:top w:w="60" w:type="dxa"/>
              <w:left w:w="135" w:type="dxa"/>
              <w:bottom w:w="60" w:type="dxa"/>
              <w:right w:w="135" w:type="dxa"/>
            </w:tcMar>
            <w:vAlign w:val="center"/>
          </w:tcPr>
          <w:p w:rsidR="00AA75D1" w:rsidRDefault="008A3FF4">
            <w:pPr>
              <w:spacing w:before="0" w:after="0"/>
              <w:rPr>
                <w:rFonts w:eastAsia="Times New Roman"/>
                <w:noProof/>
                <w:color w:val="000000" w:themeColor="text1"/>
                <w:sz w:val="20"/>
                <w:szCs w:val="20"/>
              </w:rPr>
            </w:pPr>
            <w:r>
              <w:rPr>
                <w:noProof/>
                <w:color w:val="000000" w:themeColor="text1"/>
                <w:sz w:val="20"/>
                <w:szCs w:val="20"/>
              </w:rPr>
              <w:t>Toetada keerdsarvkitse ehk markuuri jahitrofeede kvoodi suurendamist Pakistanis 12 loomalt 20 loomale aastas, juhul kui Pakistan annab lisateavet selle kohta, millised uued kogukonnad/piirkonnad ühinevad kogukonnapõhise jahitrofeede progra</w:t>
            </w:r>
            <w:r>
              <w:rPr>
                <w:noProof/>
                <w:color w:val="000000" w:themeColor="text1"/>
                <w:sz w:val="20"/>
                <w:szCs w:val="20"/>
              </w:rPr>
              <w:t xml:space="preserve">mmiga. </w:t>
            </w:r>
          </w:p>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Arutada koos loetellu kandmise ettepanekuga nr 1.</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48.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Must-ninasarvikujahi </w:t>
            </w:r>
            <w:r>
              <w:rPr>
                <w:noProof/>
                <w:color w:val="000000" w:themeColor="text1"/>
                <w:sz w:val="20"/>
                <w:szCs w:val="20"/>
              </w:rPr>
              <w:t>trofeed: ekspordikvoot Lõuna-Aafrikale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ZA</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Kvoodi kavandatud suurendamine viielt täiskasvanud isasloomalt maksimaalselt 0,5 %ni riigi kogupopulatsioonist tundub </w:t>
            </w:r>
            <w:r>
              <w:rPr>
                <w:noProof/>
                <w:color w:val="000000" w:themeColor="text1"/>
                <w:sz w:val="20"/>
                <w:szCs w:val="20"/>
              </w:rPr>
              <w:t>mõistlik, kui Lõuna-Aafrika esitab konkreetse kvoodi igal aastal isendite absoluutarvuna.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49.</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Liikide </w:t>
            </w:r>
            <w:r>
              <w:rPr>
                <w:b/>
                <w:noProof/>
                <w:color w:val="000000" w:themeColor="text1"/>
                <w:sz w:val="20"/>
                <w:szCs w:val="20"/>
              </w:rPr>
              <w:t>I lisasse</w:t>
            </w:r>
            <w:r>
              <w:rPr>
                <w:noProof/>
                <w:color w:val="000000" w:themeColor="text1"/>
                <w:sz w:val="20"/>
                <w:szCs w:val="20"/>
              </w:rPr>
              <w:t xml:space="preserve"> üleviimise mõju</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8A3FF4">
            <w:pPr>
              <w:keepNext/>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49.1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Sekretariaadi aruanne</w:t>
            </w:r>
            <w:r>
              <w:rPr>
                <w:noProof/>
                <w:color w:val="000000" w:themeColor="text1"/>
                <w:sz w:val="20"/>
                <w:szCs w:val="20"/>
              </w:rPr>
              <w:br/>
            </w:r>
            <w:r>
              <w:rPr>
                <w:noProof/>
                <w:color w:val="000000" w:themeColor="text1"/>
                <w:sz w:val="20"/>
                <w:szCs w:val="20"/>
                <w:u w:val="single"/>
              </w:rPr>
              <w:t>CoP18 Doc. 49.1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resolutsiooni Conf. 12.3 muudatusi, millega </w:t>
            </w:r>
            <w:r>
              <w:rPr>
                <w:noProof/>
                <w:color w:val="000000" w:themeColor="text1"/>
                <w:sz w:val="20"/>
                <w:szCs w:val="20"/>
              </w:rPr>
              <w:t>selgitatakse, et pärast liigi ümbertõstmist suuremat kaitset pakkuvasse lisasse kohaldatakse eeskirju, mis kehtivad kauplemise (mitte omandamise) ajal, ning resolutsiooni Conf. 13.6 muudatusi. Analüüsida täiendavalt ettepanekut lisada resolutsioonile Conf.</w:t>
            </w:r>
            <w:r>
              <w:rPr>
                <w:noProof/>
                <w:color w:val="000000" w:themeColor="text1"/>
                <w:sz w:val="20"/>
                <w:szCs w:val="20"/>
              </w:rPr>
              <w:t> 12.3 uus punkt 11) ja otsuse eelnõu, mille kohaselt peab alaline komitee kaaluma juhendamise vajadust üleminekuperioodil, sh loetellu kandmise otsuse ja jõustumise vahelisel ajavahemikul, ning uurima eritingimuste vajadust taimeliikide, sh puiduliikide pu</w:t>
            </w:r>
            <w:r>
              <w:rPr>
                <w:noProof/>
                <w:color w:val="000000" w:themeColor="text1"/>
                <w:sz w:val="20"/>
                <w:szCs w:val="20"/>
              </w:rPr>
              <w:t>hul, mille kohta on lisatud märked.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49.2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Kauplemine isenditega, mis omandati enne liigi I lisasse kandmist</w:t>
            </w:r>
            <w:r>
              <w:rPr>
                <w:noProof/>
                <w:color w:val="000000" w:themeColor="text1"/>
                <w:sz w:val="20"/>
                <w:szCs w:val="20"/>
              </w:rPr>
              <w:br/>
              <w:t xml:space="preserve"> </w:t>
            </w:r>
            <w:r>
              <w:rPr>
                <w:noProof/>
                <w:color w:val="000000" w:themeColor="text1"/>
                <w:sz w:val="20"/>
                <w:szCs w:val="20"/>
                <w:u w:val="single"/>
              </w:rPr>
              <w:t>CoP18 Doc. 49.2</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CI, NG, SN</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Integreerida dokumendis 49.1 pakutud muudatustesse.</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i/>
                <w:noProof/>
                <w:color w:val="000000" w:themeColor="text1"/>
                <w:sz w:val="20"/>
                <w:szCs w:val="20"/>
              </w:rPr>
              <w:t xml:space="preserve">Konventsiooni </w:t>
            </w:r>
            <w:r>
              <w:rPr>
                <w:b/>
                <w:i/>
                <w:noProof/>
                <w:color w:val="000000" w:themeColor="text1"/>
                <w:sz w:val="20"/>
                <w:szCs w:val="20"/>
              </w:rPr>
              <w:t>rakendamist puuliikide</w:t>
            </w:r>
            <w:r>
              <w:rPr>
                <w:i/>
                <w:noProof/>
                <w:color w:val="000000" w:themeColor="text1"/>
                <w:sz w:val="20"/>
                <w:szCs w:val="20"/>
              </w:rPr>
              <w:t xml:space="preserve"> puhul käsitleva resolutsiooni </w:t>
            </w:r>
            <w:r>
              <w:rPr>
                <w:noProof/>
                <w:color w:val="000000" w:themeColor="text1"/>
                <w:sz w:val="20"/>
                <w:szCs w:val="20"/>
              </w:rPr>
              <w:t>Conf. 10.13 (Rev. CoP15) muudatused</w:t>
            </w:r>
            <w:r>
              <w:rPr>
                <w:i/>
                <w:iCs/>
                <w:noProof/>
                <w:color w:val="000000" w:themeColor="text1"/>
                <w:sz w:val="20"/>
                <w:szCs w:val="20"/>
              </w:rPr>
              <w:br/>
            </w:r>
            <w:hyperlink r:id="rId13" w:history="1">
              <w:r>
                <w:rPr>
                  <w:noProof/>
                  <w:color w:val="000000" w:themeColor="text1"/>
                  <w:sz w:val="20"/>
                  <w:szCs w:val="20"/>
                  <w:u w:val="single"/>
                </w:rPr>
                <w:t>CoP18 Doc. 50</w:t>
              </w:r>
            </w:hyperlink>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kuid teha ettepanek lisada viide vajadusele võtta kauplemise </w:t>
            </w:r>
            <w:r>
              <w:rPr>
                <w:noProof/>
                <w:color w:val="000000" w:themeColor="text1"/>
                <w:sz w:val="20"/>
                <w:szCs w:val="20"/>
              </w:rPr>
              <w:t>kahjutuse kindlakstegemisel aluseks piisavad ümberarvestuskoefitsiendid, samuti lisada muud väikesed muudatused.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51.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Varud </w:t>
            </w:r>
            <w:r>
              <w:rPr>
                <w:noProof/>
                <w:color w:val="000000" w:themeColor="text1"/>
                <w:sz w:val="20"/>
                <w:szCs w:val="20"/>
              </w:rPr>
              <w:br/>
            </w:r>
            <w:r>
              <w:rPr>
                <w:noProof/>
                <w:color w:val="000000" w:themeColor="text1"/>
                <w:sz w:val="20"/>
                <w:szCs w:val="20"/>
                <w:u w:val="single"/>
              </w:rPr>
              <w:t>CoP18 Doc. 51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istungitevahelise töö jätkamist selgemini määratletud volituste alusel, mille hulgast </w:t>
            </w:r>
            <w:r>
              <w:rPr>
                <w:noProof/>
                <w:color w:val="000000" w:themeColor="text1"/>
                <w:sz w:val="20"/>
                <w:szCs w:val="20"/>
              </w:rPr>
              <w:t>arvatakse välja varude majandamine.</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Sissetoomine merest</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52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sekretariaadi uuendatud volitusi teostada järelevalvet resolutsiooni Conf. 14.6 rakendamise üle ja esitada aruandeid läbirääkimiste kohta, mis käsitlevad </w:t>
            </w:r>
            <w:r>
              <w:rPr>
                <w:noProof/>
                <w:color w:val="000000" w:themeColor="text1"/>
                <w:sz w:val="20"/>
                <w:szCs w:val="20"/>
              </w:rPr>
              <w:t>mere elurikkust väljaspool riiklikku jurisdiktsiooni olevatel aladel; alaline komitee peab teabe läbi vaatama.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lubade ja sertifikaatide </w:t>
            </w:r>
            <w:r>
              <w:rPr>
                <w:b/>
                <w:noProof/>
                <w:color w:val="000000" w:themeColor="text1"/>
                <w:sz w:val="20"/>
                <w:szCs w:val="20"/>
              </w:rPr>
              <w:t xml:space="preserve">kasutuseesmärkide koodid </w:t>
            </w:r>
            <w:r>
              <w:rPr>
                <w:b/>
                <w:noProof/>
                <w:color w:val="000000" w:themeColor="text1"/>
                <w:sz w:val="20"/>
                <w:szCs w:val="20"/>
              </w:rPr>
              <w:br/>
            </w:r>
            <w:r>
              <w:rPr>
                <w:noProof/>
                <w:color w:val="000000" w:themeColor="text1"/>
                <w:sz w:val="20"/>
                <w:szCs w:val="20"/>
                <w:u w:val="single"/>
              </w:rPr>
              <w:t>CoP18 Doc. 53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Avaldada esialgset toetust otsuse 14.54 ning </w:t>
            </w:r>
            <w:r>
              <w:rPr>
                <w:i/>
                <w:noProof/>
                <w:color w:val="000000" w:themeColor="text1"/>
                <w:sz w:val="20"/>
                <w:szCs w:val="20"/>
              </w:rPr>
              <w:t xml:space="preserve">lube </w:t>
            </w:r>
            <w:r>
              <w:rPr>
                <w:i/>
                <w:noProof/>
                <w:color w:val="000000" w:themeColor="text1"/>
                <w:sz w:val="20"/>
                <w:szCs w:val="20"/>
              </w:rPr>
              <w:t>ja sertifikaate</w:t>
            </w:r>
            <w:r>
              <w:rPr>
                <w:noProof/>
                <w:color w:val="000000" w:themeColor="text1"/>
                <w:sz w:val="20"/>
                <w:szCs w:val="20"/>
              </w:rPr>
              <w:t xml:space="preserve"> käsitleva resolutsiooni Conf. 12.3 (Rev. CoP17) muutmise ettepanekutele; kontrollida üle sekretariaadi edaspidiseid märkusi arvestades. Kaaluda, kas uut istungitevahelist töörühma on vaja.</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54.</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Kaubeldavate isendite </w:t>
            </w:r>
            <w:r>
              <w:rPr>
                <w:b/>
                <w:noProof/>
                <w:color w:val="000000" w:themeColor="text1"/>
                <w:sz w:val="20"/>
                <w:szCs w:val="20"/>
              </w:rPr>
              <w:t>identifitseerimine</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8A3FF4">
            <w:pPr>
              <w:keepNext/>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54.1</w:t>
            </w:r>
          </w:p>
        </w:tc>
        <w:tc>
          <w:tcPr>
            <w:tcW w:w="2971" w:type="dxa"/>
            <w:gridSpan w:val="2"/>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Identifitseerimis</w:t>
            </w:r>
            <w:r>
              <w:rPr>
                <w:b/>
                <w:noProof/>
                <w:color w:val="000000" w:themeColor="text1"/>
                <w:sz w:val="20"/>
                <w:szCs w:val="20"/>
              </w:rPr>
              <w:t xml:space="preserve">juhend </w:t>
            </w:r>
            <w:r>
              <w:rPr>
                <w:noProof/>
                <w:color w:val="000000" w:themeColor="text1"/>
                <w:sz w:val="20"/>
                <w:szCs w:val="20"/>
              </w:rPr>
              <w:br/>
            </w:r>
            <w:r>
              <w:rPr>
                <w:noProof/>
                <w:color w:val="000000" w:themeColor="text1"/>
                <w:sz w:val="20"/>
                <w:szCs w:val="20"/>
                <w:u w:val="single"/>
              </w:rPr>
              <w:t>CoP18 Doc. 54.1</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Loomakomitee, taimekomitee, sekretariaat</w:t>
            </w:r>
          </w:p>
        </w:tc>
        <w:tc>
          <w:tcPr>
            <w:tcW w:w="2410" w:type="dxa"/>
            <w:shd w:val="clear" w:color="auto" w:fill="auto"/>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w:t>
            </w:r>
          </w:p>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Arutada koos päevakorrapunktiga 21.1.</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54.2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CITESis loetletud </w:t>
            </w:r>
            <w:r>
              <w:rPr>
                <w:b/>
                <w:i/>
                <w:noProof/>
                <w:color w:val="000000" w:themeColor="text1"/>
                <w:sz w:val="20"/>
                <w:szCs w:val="20"/>
              </w:rPr>
              <w:t>puuliikide</w:t>
            </w:r>
            <w:r>
              <w:rPr>
                <w:noProof/>
                <w:color w:val="000000" w:themeColor="text1"/>
                <w:sz w:val="20"/>
                <w:szCs w:val="20"/>
              </w:rPr>
              <w:t xml:space="preserve"> identifitseerimine </w:t>
            </w:r>
            <w:r>
              <w:rPr>
                <w:noProof/>
                <w:color w:val="000000" w:themeColor="text1"/>
                <w:sz w:val="20"/>
                <w:szCs w:val="20"/>
              </w:rPr>
              <w:br/>
            </w:r>
            <w:r>
              <w:rPr>
                <w:noProof/>
                <w:color w:val="000000" w:themeColor="text1"/>
                <w:sz w:val="20"/>
                <w:szCs w:val="20"/>
                <w:u w:val="single"/>
              </w:rPr>
              <w:t>CoP18 Doc. 54.2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uut otsuste </w:t>
            </w:r>
            <w:r>
              <w:rPr>
                <w:noProof/>
                <w:color w:val="000000" w:themeColor="text1"/>
                <w:sz w:val="20"/>
                <w:szCs w:val="20"/>
              </w:rPr>
              <w:t>paketti ja eelnevate otsuste väljajätmist.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54.3</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Kaubeldavate </w:t>
            </w:r>
            <w:r>
              <w:rPr>
                <w:b/>
                <w:noProof/>
                <w:color w:val="000000" w:themeColor="text1"/>
                <w:sz w:val="20"/>
                <w:szCs w:val="20"/>
              </w:rPr>
              <w:t>tuurlaste</w:t>
            </w:r>
            <w:r>
              <w:rPr>
                <w:noProof/>
                <w:color w:val="000000" w:themeColor="text1"/>
                <w:sz w:val="20"/>
                <w:szCs w:val="20"/>
              </w:rPr>
              <w:t xml:space="preserve"> isendite identifitseerimine </w:t>
            </w:r>
            <w:r>
              <w:rPr>
                <w:noProof/>
                <w:color w:val="000000" w:themeColor="text1"/>
                <w:sz w:val="20"/>
                <w:szCs w:val="20"/>
              </w:rPr>
              <w:br/>
            </w:r>
            <w:r>
              <w:rPr>
                <w:noProof/>
                <w:color w:val="000000" w:themeColor="text1"/>
                <w:sz w:val="20"/>
                <w:szCs w:val="20"/>
                <w:u w:val="single"/>
              </w:rPr>
              <w:t>CoP18 Doc. 54.3</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uuendamist. Arutada, kas mõni ELi liikmesriik saab võtta endale kohustuse rahastada kauaoodatud uuringut.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CITESi rakendamine </w:t>
            </w:r>
            <w:r>
              <w:rPr>
                <w:b/>
                <w:noProof/>
                <w:color w:val="000000" w:themeColor="text1"/>
                <w:sz w:val="20"/>
                <w:szCs w:val="20"/>
              </w:rPr>
              <w:t>ravimtaimeliikidega</w:t>
            </w:r>
            <w:r>
              <w:rPr>
                <w:noProof/>
                <w:color w:val="000000" w:themeColor="text1"/>
                <w:sz w:val="20"/>
                <w:szCs w:val="20"/>
              </w:rPr>
              <w:t xml:space="preserve"> kauplemisel</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4382" w:type="dxa"/>
            <w:gridSpan w:val="5"/>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Erandid ja kaubanduse erisätted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8A3FF4">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56.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Lubade ja sertifikaatide andmise </w:t>
            </w:r>
            <w:r>
              <w:rPr>
                <w:b/>
                <w:noProof/>
                <w:color w:val="000000" w:themeColor="text1"/>
                <w:sz w:val="20"/>
                <w:szCs w:val="20"/>
              </w:rPr>
              <w:t>lihtsustatud menetlus </w:t>
            </w:r>
            <w:r>
              <w:rPr>
                <w:b/>
                <w:noProof/>
                <w:color w:val="000000" w:themeColor="text1"/>
                <w:sz w:val="20"/>
                <w:szCs w:val="20"/>
              </w:rPr>
              <w:br/>
            </w:r>
            <w:r>
              <w:rPr>
                <w:noProof/>
                <w:color w:val="000000" w:themeColor="text1"/>
                <w:sz w:val="20"/>
                <w:szCs w:val="20"/>
                <w:u w:val="single"/>
              </w:rPr>
              <w:t>CoP18 Doc. 56</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üldiselt</w:t>
            </w:r>
            <w:r>
              <w:rPr>
                <w:noProof/>
                <w:color w:val="000000" w:themeColor="text1"/>
                <w:sz w:val="20"/>
                <w:szCs w:val="20"/>
              </w:rPr>
              <w:t xml:space="preserve"> resolutsiooni Conf. 11.15 (Rev. CoP12), resolutsiooni Conf. 12.3 (Rev. CoP17) muutmise ettepanekuid ja sekretariaadile suunatud otsuste eelnõu; võtta arvesse sekretariaadi märkusi ja arutada, kas on vaja lisamuudatusi.</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Konventsiooni rakendamine seoses </w:t>
            </w:r>
            <w:r>
              <w:rPr>
                <w:b/>
                <w:noProof/>
                <w:color w:val="000000" w:themeColor="text1"/>
                <w:sz w:val="20"/>
                <w:szCs w:val="20"/>
              </w:rPr>
              <w:t>vangistuses kasvatatud</w:t>
            </w:r>
            <w:r>
              <w:rPr>
                <w:noProof/>
                <w:color w:val="000000" w:themeColor="text1"/>
                <w:sz w:val="20"/>
                <w:szCs w:val="20"/>
              </w:rPr>
              <w:t xml:space="preserve"> ja farmides peetavate isenditega </w:t>
            </w:r>
            <w:r>
              <w:rPr>
                <w:noProof/>
                <w:color w:val="000000" w:themeColor="text1"/>
                <w:sz w:val="20"/>
                <w:szCs w:val="20"/>
              </w:rPr>
              <w:br/>
            </w:r>
            <w:r>
              <w:rPr>
                <w:noProof/>
                <w:color w:val="000000" w:themeColor="text1"/>
                <w:sz w:val="20"/>
                <w:szCs w:val="20"/>
                <w:u w:val="single"/>
              </w:rPr>
              <w:t>CoP18 Doc. 57</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eelnõusid alalise komitee esitatud ja sekretariaadi muudetud kujul.</w:t>
            </w:r>
          </w:p>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58.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Selliste loomaisenditega, mille kohta on teatatud, et need on kasvatatud vangistuses, kauplemise läbivaatamist käsitleva </w:t>
            </w:r>
            <w:r>
              <w:rPr>
                <w:b/>
                <w:noProof/>
                <w:color w:val="000000" w:themeColor="text1"/>
                <w:sz w:val="20"/>
                <w:szCs w:val="20"/>
              </w:rPr>
              <w:t>resolutsiooni Conf. 17.7</w:t>
            </w:r>
            <w:r>
              <w:rPr>
                <w:noProof/>
                <w:color w:val="000000" w:themeColor="text1"/>
                <w:sz w:val="20"/>
                <w:szCs w:val="20"/>
              </w:rPr>
              <w:t xml:space="preserve"> rakendamine</w:t>
            </w:r>
            <w:r>
              <w:rPr>
                <w:i/>
                <w:iCs/>
                <w:noProof/>
                <w:color w:val="000000" w:themeColor="text1"/>
                <w:sz w:val="20"/>
                <w:szCs w:val="20"/>
              </w:rPr>
              <w:t xml:space="preserve"> </w:t>
            </w:r>
            <w:r>
              <w:rPr>
                <w:i/>
                <w:iCs/>
                <w:noProof/>
                <w:color w:val="000000" w:themeColor="text1"/>
                <w:sz w:val="20"/>
                <w:szCs w:val="20"/>
              </w:rPr>
              <w:br/>
            </w:r>
            <w:r>
              <w:rPr>
                <w:noProof/>
                <w:color w:val="000000" w:themeColor="text1"/>
                <w:sz w:val="20"/>
                <w:szCs w:val="20"/>
                <w:u w:val="single"/>
              </w:rPr>
              <w:t>CoP18 Doc. 58</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eelnõusid alalise komitee esitatud ja sekretariaadi</w:t>
            </w:r>
            <w:r>
              <w:rPr>
                <w:noProof/>
                <w:color w:val="000000" w:themeColor="text1"/>
                <w:sz w:val="20"/>
                <w:szCs w:val="20"/>
              </w:rPr>
              <w:t xml:space="preserve"> heakskiidetud kujul.</w:t>
            </w:r>
          </w:p>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Arutada koos eelarvedokumentide arutamisega.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59.</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Mõiste „</w:t>
            </w:r>
            <w:r>
              <w:rPr>
                <w:b/>
                <w:noProof/>
                <w:color w:val="000000" w:themeColor="text1"/>
                <w:sz w:val="20"/>
                <w:szCs w:val="20"/>
              </w:rPr>
              <w:t>kunstlikult paljundatud</w:t>
            </w:r>
            <w:r>
              <w:rPr>
                <w:noProof/>
                <w:color w:val="000000" w:themeColor="text1"/>
                <w:sz w:val="20"/>
                <w:szCs w:val="20"/>
              </w:rPr>
              <w:t>“ määratlus</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keepNext/>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59.1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i/>
                <w:noProof/>
                <w:color w:val="000000" w:themeColor="text1"/>
                <w:sz w:val="20"/>
                <w:szCs w:val="20"/>
              </w:rPr>
              <w:t>Juhised</w:t>
            </w:r>
            <w:r>
              <w:rPr>
                <w:noProof/>
                <w:color w:val="000000" w:themeColor="text1"/>
                <w:sz w:val="20"/>
                <w:szCs w:val="20"/>
              </w:rPr>
              <w:t xml:space="preserve"> mõiste „kunstlikult paljundatud“ kohta </w:t>
            </w:r>
            <w:r>
              <w:rPr>
                <w:noProof/>
                <w:color w:val="000000" w:themeColor="text1"/>
                <w:sz w:val="20"/>
                <w:szCs w:val="20"/>
              </w:rPr>
              <w:br/>
            </w:r>
            <w:r>
              <w:rPr>
                <w:noProof/>
                <w:color w:val="000000" w:themeColor="text1"/>
                <w:sz w:val="20"/>
                <w:szCs w:val="20"/>
                <w:u w:val="single"/>
              </w:rPr>
              <w:t>CoP18 Doc. 59.1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otsuse eelnõu. Olla valmis kaaluma </w:t>
            </w:r>
            <w:r>
              <w:rPr>
                <w:noProof/>
                <w:color w:val="000000" w:themeColor="text1"/>
                <w:sz w:val="20"/>
                <w:szCs w:val="20"/>
              </w:rPr>
              <w:t>sekretariaadi esitatud muudatusettepanekuid. Teha ettepanek, et juhised tuleks avaldada alles pärast seda, kui taimekomitee on need läbi vaadanud.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59.2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Kaubeldavate taimeisendite </w:t>
            </w:r>
            <w:r>
              <w:rPr>
                <w:b/>
                <w:i/>
                <w:noProof/>
                <w:color w:val="000000" w:themeColor="text1"/>
                <w:sz w:val="20"/>
                <w:szCs w:val="20"/>
              </w:rPr>
              <w:t xml:space="preserve">päritolukoodid </w:t>
            </w:r>
            <w:r>
              <w:rPr>
                <w:noProof/>
                <w:color w:val="000000" w:themeColor="text1"/>
                <w:sz w:val="20"/>
                <w:szCs w:val="20"/>
              </w:rPr>
              <w:br/>
            </w:r>
            <w:r>
              <w:rPr>
                <w:noProof/>
                <w:color w:val="000000" w:themeColor="text1"/>
                <w:sz w:val="20"/>
                <w:szCs w:val="20"/>
                <w:u w:val="single"/>
              </w:rPr>
              <w:t>CoP18 Doc. 59.2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päritolukoodi </w:t>
            </w:r>
            <w:r>
              <w:rPr>
                <w:noProof/>
                <w:color w:val="000000" w:themeColor="text1"/>
                <w:sz w:val="20"/>
                <w:szCs w:val="20"/>
              </w:rPr>
              <w:t>Y loomist, tehes muudatusi resolutsioonis Conf. 11.11 (Rev. CoP17) ja resolutsioonis 12.3 (Rev. CoP17), ning otsuste eelnõusid. Sekretariaadi esitatud täiendavaid muudatusettepanekuid tuleb sellest hoolimata põhjalikumalt vaadelda, et alalise komitee algse</w:t>
            </w:r>
            <w:r>
              <w:rPr>
                <w:noProof/>
                <w:color w:val="000000" w:themeColor="text1"/>
                <w:sz w:val="20"/>
                <w:szCs w:val="20"/>
              </w:rPr>
              <w:t>t ettepanekut mitte õõnestada (eeskätt seoses akvilaariaga ja vajadusega teha kindlaks kauplemise kahjutus).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9207" w:type="dxa"/>
            <w:gridSpan w:val="8"/>
            <w:tcMar>
              <w:top w:w="60" w:type="dxa"/>
              <w:left w:w="135" w:type="dxa"/>
              <w:bottom w:w="60" w:type="dxa"/>
              <w:right w:w="135" w:type="dxa"/>
            </w:tcMar>
            <w:hideMark/>
          </w:tcPr>
          <w:p w:rsidR="00AA75D1" w:rsidRDefault="008A3FF4">
            <w:pPr>
              <w:spacing w:before="0" w:after="0" w:line="240" w:lineRule="atLeast"/>
              <w:jc w:val="left"/>
              <w:rPr>
                <w:rFonts w:eastAsia="Times New Roman"/>
                <w:b/>
                <w:bCs/>
                <w:noProof/>
                <w:color w:val="000000" w:themeColor="text1"/>
                <w:sz w:val="20"/>
                <w:szCs w:val="20"/>
              </w:rPr>
            </w:pPr>
            <w:r>
              <w:rPr>
                <w:b/>
                <w:bCs/>
                <w:noProof/>
                <w:color w:val="000000" w:themeColor="text1"/>
                <w:sz w:val="20"/>
                <w:szCs w:val="20"/>
                <w:u w:val="single"/>
              </w:rPr>
              <w:t>Liigispetsiifilised küsimused</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60.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Ebaseaduslik kauplemine </w:t>
            </w:r>
            <w:r>
              <w:rPr>
                <w:b/>
                <w:noProof/>
                <w:color w:val="000000" w:themeColor="text1"/>
                <w:sz w:val="20"/>
                <w:szCs w:val="20"/>
              </w:rPr>
              <w:t xml:space="preserve">geparditega </w:t>
            </w:r>
            <w:r>
              <w:rPr>
                <w:noProof/>
                <w:color w:val="000000" w:themeColor="text1"/>
                <w:sz w:val="20"/>
                <w:szCs w:val="20"/>
              </w:rPr>
              <w:br/>
              <w:t>(</w:t>
            </w:r>
            <w:r>
              <w:rPr>
                <w:i/>
                <w:noProof/>
                <w:color w:val="000000" w:themeColor="text1"/>
                <w:sz w:val="20"/>
                <w:szCs w:val="20"/>
              </w:rPr>
              <w:t>Acinonyx jubatus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60</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otsuse eelnõu, </w:t>
            </w:r>
            <w:r>
              <w:rPr>
                <w:noProof/>
                <w:color w:val="000000" w:themeColor="text1"/>
                <w:sz w:val="20"/>
                <w:szCs w:val="20"/>
              </w:rPr>
              <w:t>milles kutsutakse sekretariaati üles tegema kättesaadavaks geparditega kauplemist käsitleva CITESi abivahendi lõppversioon, sõltuvalt vahendite olemasolust. Nõustuda otsuste 17.124–17.130 väljajätmisega.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Tuurlased</w:t>
            </w:r>
            <w:r>
              <w:rPr>
                <w:noProof/>
                <w:color w:val="000000" w:themeColor="text1"/>
                <w:sz w:val="20"/>
                <w:szCs w:val="20"/>
              </w:rPr>
              <w:t xml:space="preserve"> (Acipenseriformes spp.)</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Sekretariaat</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alalise komitee uuendatud volitusi uurida lähemalt kaaviari märgistamist. Arutada, kas edusammude tegemiseks on vaja selgemaid juhiseid eesmärgi ja ulatuse kohta.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Kahepaiksete </w:t>
            </w:r>
            <w:r>
              <w:rPr>
                <w:noProof/>
                <w:color w:val="000000" w:themeColor="text1"/>
                <w:sz w:val="20"/>
                <w:szCs w:val="20"/>
              </w:rPr>
              <w:t>(Amphibia) kaitsmist käsitlevate otsuste eelnõud</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CR</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Konventsiooniosalistele, komiteedele ja sekretariaadile on suunatud palju erinevaid otsuste eelnõusid, millel puudub toetav avaldus või mida looma- ja taimekomiteed ei ole eelnevalt kaalunud. Nõutav teave ei ole eriomane kahepaiksete puhul, vaid puudut</w:t>
            </w:r>
            <w:r>
              <w:rPr>
                <w:noProof/>
                <w:color w:val="000000" w:themeColor="text1"/>
                <w:sz w:val="20"/>
                <w:szCs w:val="20"/>
              </w:rPr>
              <w:t>aks kõiki CITESis loetletud taksoneid. Sihipärasem ettepanek, millega kaasnevad konkreetsed meetmed, võiks saada positiivse hinnangu.</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Angerjad</w:t>
            </w:r>
            <w:r>
              <w:rPr>
                <w:noProof/>
                <w:color w:val="000000" w:themeColor="text1"/>
                <w:sz w:val="20"/>
                <w:szCs w:val="20"/>
              </w:rPr>
              <w:t xml:space="preserve"> (</w:t>
            </w:r>
            <w:r>
              <w:rPr>
                <w:i/>
                <w:noProof/>
                <w:color w:val="000000" w:themeColor="text1"/>
                <w:sz w:val="20"/>
                <w:szCs w:val="20"/>
              </w:rPr>
              <w:t>Anguilla</w:t>
            </w:r>
            <w:r>
              <w:rPr>
                <w:noProof/>
                <w:color w:val="000000" w:themeColor="text1"/>
                <w:sz w:val="20"/>
                <w:szCs w:val="20"/>
              </w:rPr>
              <w:t xml:space="preserve"> spp.) </w:t>
            </w:r>
            <w:r>
              <w:rPr>
                <w:noProof/>
                <w:color w:val="000000" w:themeColor="text1"/>
                <w:sz w:val="20"/>
                <w:szCs w:val="20"/>
              </w:rPr>
              <w:br/>
            </w:r>
            <w:r>
              <w:rPr>
                <w:noProof/>
                <w:color w:val="000000" w:themeColor="text1"/>
                <w:sz w:val="20"/>
                <w:szCs w:val="20"/>
                <w:u w:val="single"/>
              </w:rPr>
              <w:t>CoP18 Doc. 63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Loomakomitee, alaline komitee, 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eelnõusid.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Väärtuslikud </w:t>
            </w:r>
            <w:r>
              <w:rPr>
                <w:b/>
                <w:noProof/>
                <w:color w:val="000000" w:themeColor="text1"/>
                <w:sz w:val="20"/>
                <w:szCs w:val="20"/>
              </w:rPr>
              <w:t>korallid</w:t>
            </w:r>
            <w:r>
              <w:rPr>
                <w:noProof/>
                <w:color w:val="000000" w:themeColor="text1"/>
                <w:sz w:val="20"/>
                <w:szCs w:val="20"/>
              </w:rPr>
              <w:t xml:space="preserve"> (selts Antipatharia ja sugukond Coralliidae)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otsuse eelnõud, millega volitatakse loomakomiteed ja alalist komiteed analüüsima väärtuslike korallide uuringut ja ÜRO Toidu- ja Põllumajandusorganisatsiooni uu</w:t>
            </w:r>
            <w:r>
              <w:rPr>
                <w:noProof/>
                <w:color w:val="000000" w:themeColor="text1"/>
                <w:sz w:val="20"/>
                <w:szCs w:val="20"/>
              </w:rPr>
              <w:t>ringut ning neist järeldusi tegema.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i/>
                <w:noProof/>
                <w:color w:val="000000" w:themeColor="text1"/>
                <w:sz w:val="20"/>
                <w:szCs w:val="20"/>
              </w:rPr>
              <w:t xml:space="preserve">Konventsiooni rakendamist </w:t>
            </w:r>
            <w:r>
              <w:rPr>
                <w:b/>
                <w:i/>
                <w:noProof/>
                <w:color w:val="000000" w:themeColor="text1"/>
                <w:sz w:val="20"/>
                <w:szCs w:val="20"/>
              </w:rPr>
              <w:t xml:space="preserve">akvilaariate </w:t>
            </w:r>
            <w:r>
              <w:rPr>
                <w:i/>
                <w:noProof/>
                <w:color w:val="000000" w:themeColor="text1"/>
                <w:sz w:val="20"/>
                <w:szCs w:val="20"/>
              </w:rPr>
              <w:t xml:space="preserve">[Aquilaria </w:t>
            </w:r>
            <w:r>
              <w:rPr>
                <w:noProof/>
                <w:color w:val="000000" w:themeColor="text1"/>
                <w:sz w:val="20"/>
                <w:szCs w:val="20"/>
              </w:rPr>
              <w:t>spp</w:t>
            </w:r>
            <w:r>
              <w:rPr>
                <w:i/>
                <w:noProof/>
                <w:color w:val="000000" w:themeColor="text1"/>
                <w:sz w:val="20"/>
                <w:szCs w:val="20"/>
              </w:rPr>
              <w:t xml:space="preserve">. ja Gyrinops </w:t>
            </w:r>
            <w:r>
              <w:rPr>
                <w:noProof/>
                <w:color w:val="000000" w:themeColor="text1"/>
                <w:sz w:val="20"/>
                <w:szCs w:val="20"/>
              </w:rPr>
              <w:t>spp</w:t>
            </w:r>
            <w:r>
              <w:rPr>
                <w:i/>
                <w:noProof/>
                <w:color w:val="000000" w:themeColor="text1"/>
                <w:sz w:val="20"/>
                <w:szCs w:val="20"/>
              </w:rPr>
              <w:t>.] puhul</w:t>
            </w:r>
            <w:r>
              <w:rPr>
                <w:noProof/>
                <w:color w:val="000000" w:themeColor="text1"/>
                <w:sz w:val="20"/>
                <w:szCs w:val="20"/>
              </w:rPr>
              <w:t xml:space="preserve"> käsitleva resolutsiooni Conf. 16.10 rakendamine </w:t>
            </w:r>
            <w:r>
              <w:rPr>
                <w:noProof/>
                <w:color w:val="000000" w:themeColor="text1"/>
                <w:sz w:val="20"/>
                <w:szCs w:val="20"/>
                <w:u w:val="single"/>
              </w:rPr>
              <w:t>CoP18 Doc. 65</w:t>
            </w:r>
          </w:p>
        </w:tc>
        <w:tc>
          <w:tcPr>
            <w:tcW w:w="1423" w:type="dxa"/>
            <w:tcMar>
              <w:top w:w="60" w:type="dxa"/>
              <w:left w:w="135" w:type="dxa"/>
              <w:bottom w:w="60" w:type="dxa"/>
              <w:right w:w="135" w:type="dxa"/>
            </w:tcMar>
            <w:vAlign w:val="center"/>
            <w:hideMark/>
          </w:tcPr>
          <w:p w:rsidR="00AA75D1" w:rsidRDefault="008A3FF4">
            <w:pPr>
              <w:rPr>
                <w:noProof/>
                <w:color w:val="000000" w:themeColor="text1"/>
                <w:sz w:val="20"/>
                <w:szCs w:val="20"/>
              </w:rPr>
            </w:pPr>
            <w:r>
              <w:rPr>
                <w:noProof/>
                <w:color w:val="000000" w:themeColor="text1"/>
                <w:sz w:val="20"/>
                <w:szCs w:val="20"/>
              </w:rPr>
              <w:t>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akvilaariaid käsitlevate otsuste eelnõude </w:t>
            </w:r>
            <w:r>
              <w:rPr>
                <w:noProof/>
                <w:color w:val="000000" w:themeColor="text1"/>
                <w:sz w:val="20"/>
                <w:szCs w:val="20"/>
              </w:rPr>
              <w:t>vastuvõtmist ja eelnevate otsuste väljajätmist.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Kauplemine </w:t>
            </w:r>
            <w:r>
              <w:rPr>
                <w:b/>
                <w:i/>
                <w:noProof/>
                <w:color w:val="000000" w:themeColor="text1"/>
                <w:sz w:val="20"/>
                <w:szCs w:val="20"/>
              </w:rPr>
              <w:t>Boswellia</w:t>
            </w:r>
            <w:r>
              <w:rPr>
                <w:noProof/>
                <w:color w:val="000000" w:themeColor="text1"/>
                <w:sz w:val="20"/>
                <w:szCs w:val="20"/>
              </w:rPr>
              <w:t xml:space="preserve"> spp. liikidega (Burseraceae) </w:t>
            </w:r>
            <w:r>
              <w:rPr>
                <w:noProof/>
                <w:color w:val="000000" w:themeColor="text1"/>
                <w:sz w:val="20"/>
                <w:szCs w:val="20"/>
              </w:rPr>
              <w:br/>
            </w:r>
            <w:r>
              <w:rPr>
                <w:noProof/>
                <w:color w:val="000000" w:themeColor="text1"/>
                <w:sz w:val="20"/>
                <w:szCs w:val="20"/>
                <w:u w:val="single"/>
              </w:rPr>
              <w:t>CoP18 Doc. 66</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LK, US</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eelnõude paketti.</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67.</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Muhk-hiidhuulkala</w:t>
            </w:r>
            <w:r>
              <w:rPr>
                <w:noProof/>
                <w:color w:val="000000" w:themeColor="text1"/>
                <w:sz w:val="20"/>
                <w:szCs w:val="20"/>
              </w:rPr>
              <w:t xml:space="preserve"> (</w:t>
            </w:r>
            <w:r>
              <w:rPr>
                <w:i/>
                <w:noProof/>
                <w:color w:val="000000" w:themeColor="text1"/>
                <w:sz w:val="20"/>
                <w:szCs w:val="20"/>
              </w:rPr>
              <w:t>Cheilinus undulatus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67</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shd w:val="clear" w:color="auto" w:fill="auto"/>
            <w:tcMar>
              <w:top w:w="60" w:type="dxa"/>
              <w:left w:w="135" w:type="dxa"/>
              <w:bottom w:w="60" w:type="dxa"/>
              <w:right w:w="135" w:type="dxa"/>
            </w:tcMar>
            <w:vAlign w:val="center"/>
          </w:tcPr>
          <w:p w:rsidR="00AA75D1" w:rsidRDefault="008A3FF4">
            <w:pPr>
              <w:spacing w:before="0" w:after="0"/>
              <w:jc w:val="left"/>
              <w:rPr>
                <w:rFonts w:eastAsia="Times New Roman"/>
                <w:i/>
                <w:noProof/>
                <w:color w:val="000000" w:themeColor="text1"/>
                <w:sz w:val="20"/>
                <w:szCs w:val="20"/>
              </w:rPr>
            </w:pPr>
            <w:r>
              <w:rPr>
                <w:noProof/>
                <w:color w:val="000000" w:themeColor="text1"/>
                <w:sz w:val="20"/>
                <w:szCs w:val="20"/>
              </w:rPr>
              <w:t xml:space="preserve">Nõustuda otsuse </w:t>
            </w:r>
            <w:r>
              <w:rPr>
                <w:noProof/>
                <w:color w:val="000000" w:themeColor="text1"/>
                <w:sz w:val="20"/>
                <w:szCs w:val="20"/>
              </w:rPr>
              <w:t>eelnõuga, mille eesmärk on pakkuda peamistele eksportivatele ja importivatele riikidele abi rakendamisega seotud veel lahendamata probleemide lahendamisel.</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Haid</w:t>
            </w:r>
            <w:r>
              <w:rPr>
                <w:noProof/>
                <w:color w:val="000000" w:themeColor="text1"/>
                <w:sz w:val="20"/>
                <w:szCs w:val="20"/>
              </w:rPr>
              <w:t xml:space="preserve"> ja raid (Elasmobranchii spp.)</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AA75D1">
            <w:pPr>
              <w:spacing w:before="0" w:after="0"/>
              <w:jc w:val="left"/>
              <w:rPr>
                <w:rFonts w:eastAsia="Times New Roman"/>
                <w:i/>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68.1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Loomakomitee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Loomakomitee</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Aruanne teadmiseks võtta.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68.2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Sekretariaadi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69.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Elevandid</w:t>
            </w:r>
            <w:r>
              <w:rPr>
                <w:noProof/>
                <w:color w:val="000000" w:themeColor="text1"/>
                <w:sz w:val="20"/>
                <w:szCs w:val="20"/>
              </w:rPr>
              <w:t xml:space="preserve"> (Elephantidae spp.)</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69.1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Elevantidega kauplemist käsitleva resolutsiooni Conf. 10.10 (Rev. CoP17) </w:t>
            </w:r>
            <w:r>
              <w:rPr>
                <w:b/>
                <w:noProof/>
                <w:color w:val="000000" w:themeColor="text1"/>
                <w:sz w:val="20"/>
                <w:szCs w:val="20"/>
              </w:rPr>
              <w:t>rakendamine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Sekretariaat/alaline komitee</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u w:val="single"/>
              </w:rPr>
              <w:t>Varud</w:t>
            </w:r>
            <w:r>
              <w:rPr>
                <w:noProof/>
                <w:color w:val="000000" w:themeColor="text1"/>
                <w:sz w:val="20"/>
                <w:szCs w:val="20"/>
              </w:rPr>
              <w:t>: toetada otsust, mille kohaselt vaatab alaline komisjon sekretariaadi koostatud juhised läbi.</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2971"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u w:val="single"/>
              </w:rPr>
              <w:t>Aasia elevandid</w:t>
            </w:r>
            <w:r>
              <w:rPr>
                <w:noProof/>
                <w:color w:val="000000" w:themeColor="text1"/>
                <w:sz w:val="20"/>
                <w:szCs w:val="20"/>
              </w:rPr>
              <w:t xml:space="preserve">: olla valmis toetama otsuste uuendamist, kuid selleks, et see oleks tõhus, on vaja levilariikide </w:t>
            </w:r>
            <w:r>
              <w:rPr>
                <w:noProof/>
                <w:color w:val="000000" w:themeColor="text1"/>
                <w:sz w:val="20"/>
                <w:szCs w:val="20"/>
              </w:rPr>
              <w:t>suuremat toetust.</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2971"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u w:val="single"/>
              </w:rPr>
              <w:t>Riiklikud elevandiluu tegevuskavad</w:t>
            </w:r>
            <w:r>
              <w:rPr>
                <w:noProof/>
                <w:color w:val="000000" w:themeColor="text1"/>
                <w:sz w:val="20"/>
                <w:szCs w:val="20"/>
              </w:rPr>
              <w:t xml:space="preserve"> (NIAP – National Ivory Action Plan): toetada resolutsiooni Conf. 10.10 punkti 26g ja III lisa (NIAPi protsessi suunised) ning </w:t>
            </w:r>
            <w:r>
              <w:rPr>
                <w:i/>
                <w:noProof/>
                <w:color w:val="000000" w:themeColor="text1"/>
                <w:sz w:val="20"/>
                <w:szCs w:val="20"/>
              </w:rPr>
              <w:t>nõuete täitmist</w:t>
            </w:r>
            <w:r>
              <w:rPr>
                <w:noProof/>
                <w:color w:val="000000" w:themeColor="text1"/>
                <w:sz w:val="20"/>
                <w:szCs w:val="20"/>
              </w:rPr>
              <w:t xml:space="preserve"> käsitleva resolutsiooni Conf. 14.3 kavandatud läbivaatamist (</w:t>
            </w:r>
            <w:r>
              <w:rPr>
                <w:noProof/>
                <w:color w:val="000000" w:themeColor="text1"/>
                <w:sz w:val="20"/>
                <w:szCs w:val="20"/>
              </w:rPr>
              <w:sym w:font="Wingdings" w:char="F0E0"/>
            </w:r>
            <w:r>
              <w:rPr>
                <w:noProof/>
                <w:color w:val="000000" w:themeColor="text1"/>
                <w:sz w:val="20"/>
                <w:szCs w:val="20"/>
              </w:rPr>
              <w:t xml:space="preserve"> dokument 24); </w:t>
            </w:r>
            <w:r>
              <w:rPr>
                <w:noProof/>
                <w:color w:val="000000" w:themeColor="text1"/>
                <w:sz w:val="20"/>
                <w:szCs w:val="20"/>
              </w:rPr>
              <w:br/>
              <w:t>arutada sekretariaadi taotlust uue eelarverea loomiseks (</w:t>
            </w:r>
            <w:r>
              <w:rPr>
                <w:noProof/>
                <w:color w:val="000000" w:themeColor="text1"/>
                <w:sz w:val="20"/>
                <w:szCs w:val="20"/>
              </w:rPr>
              <w:sym w:font="Wingdings" w:char="F0E0"/>
            </w:r>
            <w:r>
              <w:rPr>
                <w:noProof/>
                <w:color w:val="000000" w:themeColor="text1"/>
                <w:sz w:val="20"/>
                <w:szCs w:val="20"/>
              </w:rPr>
              <w:t xml:space="preserve"> eelarve).</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p w:rsidR="00AA75D1" w:rsidRDefault="00AA75D1">
            <w:pPr>
              <w:spacing w:before="0" w:after="0" w:line="240" w:lineRule="atLeast"/>
              <w:jc w:val="center"/>
              <w:rPr>
                <w:rFonts w:eastAsia="Times New Roman"/>
                <w:b/>
                <w:noProof/>
                <w:color w:val="000000" w:themeColor="text1"/>
                <w:sz w:val="20"/>
                <w:szCs w:val="20"/>
                <w:lang w:eastAsia="en-GB"/>
              </w:rPr>
            </w:pPr>
          </w:p>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2971"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u w:val="single"/>
              </w:rPr>
              <w:t>Elevantidega kauplemise infosüsteemi (ETIS) läbivaatamine</w:t>
            </w:r>
            <w:r>
              <w:rPr>
                <w:noProof/>
                <w:color w:val="000000" w:themeColor="text1"/>
                <w:sz w:val="20"/>
                <w:szCs w:val="20"/>
              </w:rPr>
              <w:t xml:space="preserve">: toetada pädevust, nagu kokku lepitud </w:t>
            </w:r>
            <w:r>
              <w:rPr>
                <w:noProof/>
                <w:color w:val="000000" w:themeColor="text1"/>
                <w:sz w:val="20"/>
                <w:szCs w:val="20"/>
              </w:rPr>
              <w:t>alalise komitee 70. kohtumisel.</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2971"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u w:val="single"/>
              </w:rPr>
              <w:t>Ebaseadusliku elevandijahi seire (MIKE – Monitoring of Illegal Killing of Elephants) ja elevantidega kauplemise infosüsteemi (ETIS) rahaline ja talitluslik jätkusuutlikkus</w:t>
            </w:r>
            <w:r>
              <w:rPr>
                <w:noProof/>
                <w:color w:val="000000" w:themeColor="text1"/>
                <w:sz w:val="20"/>
                <w:szCs w:val="20"/>
              </w:rPr>
              <w:t xml:space="preserve">: toetada otsuse eelnõud, mille kohaselt </w:t>
            </w:r>
            <w:r>
              <w:rPr>
                <w:noProof/>
                <w:color w:val="000000" w:themeColor="text1"/>
                <w:sz w:val="20"/>
                <w:szCs w:val="20"/>
              </w:rPr>
              <w:t>koostab sekretariaat ettepaneku (kulu 30 000 USD) ja alaline komitee vaatab selle läbi.</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760"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2971" w:type="dxa"/>
            <w:gridSpan w:val="2"/>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u w:val="single"/>
              </w:rPr>
              <w:t>Elevandiluu siseturud</w:t>
            </w:r>
            <w:r>
              <w:rPr>
                <w:noProof/>
                <w:color w:val="000000" w:themeColor="text1"/>
                <w:sz w:val="20"/>
                <w:szCs w:val="20"/>
              </w:rPr>
              <w:t>: toetada resolutsiooni Conf. 10.10 muutmise ettepanekut dokumendis 31 esitatud kujul.</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69.2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Aruanne ebaseadusliku elevandijahi seire (</w:t>
            </w:r>
            <w:r>
              <w:rPr>
                <w:b/>
                <w:noProof/>
                <w:color w:val="000000" w:themeColor="text1"/>
                <w:sz w:val="20"/>
                <w:szCs w:val="20"/>
              </w:rPr>
              <w:t>MIKE</w:t>
            </w:r>
            <w:r>
              <w:rPr>
                <w:noProof/>
                <w:color w:val="000000" w:themeColor="text1"/>
                <w:sz w:val="20"/>
                <w:szCs w:val="20"/>
              </w:rPr>
              <w:t xml:space="preserve">) kohta </w:t>
            </w:r>
            <w:r>
              <w:rPr>
                <w:noProof/>
                <w:color w:val="000000" w:themeColor="text1"/>
                <w:sz w:val="20"/>
                <w:szCs w:val="20"/>
                <w:u w:val="single"/>
              </w:rPr>
              <w:t>CoP18 Doc. 69.2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Võtta aruanne teadmiseks.</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69.3</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Aruanne elevantidega kauplemise infosüsteemi (</w:t>
            </w:r>
            <w:r>
              <w:rPr>
                <w:b/>
                <w:noProof/>
                <w:color w:val="000000" w:themeColor="text1"/>
                <w:sz w:val="20"/>
                <w:szCs w:val="20"/>
              </w:rPr>
              <w:t>ETIS</w:t>
            </w:r>
            <w:r>
              <w:rPr>
                <w:noProof/>
                <w:color w:val="000000" w:themeColor="text1"/>
                <w:sz w:val="20"/>
                <w:szCs w:val="20"/>
              </w:rPr>
              <w:t xml:space="preserve">) kohta </w:t>
            </w:r>
            <w:r>
              <w:rPr>
                <w:noProof/>
                <w:color w:val="000000" w:themeColor="text1"/>
                <w:sz w:val="20"/>
                <w:szCs w:val="20"/>
                <w:u w:val="single"/>
              </w:rPr>
              <w:t>CoP18 Doc. 69.3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Võtta aruanne teadmiseks; arutada selle mõju NIAPi protsessile (teatavad ETISe süsteemis </w:t>
            </w:r>
            <w:r>
              <w:rPr>
                <w:noProof/>
                <w:color w:val="000000" w:themeColor="text1"/>
                <w:sz w:val="20"/>
                <w:szCs w:val="20"/>
              </w:rPr>
              <w:t>kindlaks tehtud riigid, kelle puhul praegu NIAPit ei kohaldata).</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69.4</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Elevandiluuvarud</w:t>
            </w:r>
            <w:r>
              <w:rPr>
                <w:noProof/>
                <w:color w:val="000000" w:themeColor="text1"/>
                <w:sz w:val="20"/>
                <w:szCs w:val="20"/>
              </w:rPr>
              <w:t xml:space="preserve">: ettepanek vaadata läbi resolutsioon Conf. 10.10 (Rev. CoP17) </w:t>
            </w:r>
            <w:r>
              <w:rPr>
                <w:i/>
                <w:noProof/>
                <w:color w:val="000000" w:themeColor="text1"/>
                <w:sz w:val="20"/>
                <w:szCs w:val="20"/>
              </w:rPr>
              <w:t>elevantidega kauplemise</w:t>
            </w:r>
            <w:r>
              <w:rPr>
                <w:noProof/>
                <w:color w:val="000000" w:themeColor="text1"/>
                <w:sz w:val="20"/>
                <w:szCs w:val="20"/>
              </w:rPr>
              <w:t xml:space="preserve"> kohta</w:t>
            </w:r>
            <w:r>
              <w:rPr>
                <w:i/>
                <w:iCs/>
                <w:noProof/>
                <w:color w:val="000000" w:themeColor="text1"/>
                <w:sz w:val="20"/>
                <w:szCs w:val="20"/>
              </w:rPr>
              <w:t xml:space="preserve"> </w:t>
            </w:r>
            <w:r>
              <w:rPr>
                <w:i/>
                <w:iCs/>
                <w:noProof/>
                <w:color w:val="000000" w:themeColor="text1"/>
                <w:sz w:val="20"/>
                <w:szCs w:val="20"/>
              </w:rPr>
              <w:br/>
            </w:r>
            <w:r>
              <w:rPr>
                <w:noProof/>
                <w:color w:val="000000" w:themeColor="text1"/>
                <w:sz w:val="20"/>
                <w:szCs w:val="20"/>
                <w:u w:val="single"/>
              </w:rPr>
              <w:t>CoP18 Doc. 69.4</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BF, TD, CI, GA, JO, KE, LR, NE, NG, SD, SY </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i/>
                <w:noProof/>
                <w:color w:val="000000" w:themeColor="text1"/>
                <w:sz w:val="20"/>
                <w:szCs w:val="20"/>
              </w:rPr>
            </w:pPr>
            <w:r>
              <w:rPr>
                <w:noProof/>
                <w:color w:val="000000" w:themeColor="text1"/>
                <w:sz w:val="20"/>
                <w:szCs w:val="20"/>
              </w:rPr>
              <w:t xml:space="preserve">Tunnistada, </w:t>
            </w:r>
            <w:r>
              <w:rPr>
                <w:noProof/>
                <w:color w:val="000000" w:themeColor="text1"/>
                <w:sz w:val="20"/>
                <w:szCs w:val="20"/>
              </w:rPr>
              <w:t>et juhiste väljatöötamise lõpetamine on tähtis, kuid kahelda, kas on võimalik ja sobiv moodustada selleks töörühm istungi raames. Arutada sekretariaadi alternatiivseid soovitusi.</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69.5</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i/>
                <w:noProof/>
                <w:color w:val="000000" w:themeColor="text1"/>
                <w:sz w:val="20"/>
                <w:szCs w:val="20"/>
              </w:rPr>
              <w:t>Elevandiluu siseturgude</w:t>
            </w:r>
            <w:r>
              <w:rPr>
                <w:noProof/>
                <w:color w:val="000000" w:themeColor="text1"/>
                <w:sz w:val="20"/>
                <w:szCs w:val="20"/>
              </w:rPr>
              <w:t xml:space="preserve"> sulgemist käsitleva resolutsiooni Conf. 10.10 (Rev. CoP17) rakendamise aspektid</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BF, CI, ET, GA, KE, LR, NE, NG, SY</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Vaidlustada järeldused ELi elevandiluuturu kohta (punkt 28); juhtida tähelepanu ELi jätkuvatele jõupingutustele. </w:t>
            </w:r>
            <w:r>
              <w:rPr>
                <w:noProof/>
                <w:color w:val="000000" w:themeColor="text1"/>
                <w:sz w:val="20"/>
                <w:szCs w:val="20"/>
              </w:rPr>
              <w:br/>
              <w:t>Mitte toetada resolutsioon</w:t>
            </w:r>
            <w:r>
              <w:rPr>
                <w:noProof/>
                <w:color w:val="000000" w:themeColor="text1"/>
                <w:sz w:val="20"/>
                <w:szCs w:val="20"/>
              </w:rPr>
              <w:t>is Conf. 10.10 ja seonduvates otsuste eelnõudes kavandatud muudatusi, kuna need on ebaproportsionaalsed ja osaliselt ebaselged.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Bissa (</w:t>
            </w:r>
            <w:r>
              <w:rPr>
                <w:i/>
                <w:noProof/>
                <w:color w:val="000000" w:themeColor="text1"/>
                <w:sz w:val="20"/>
                <w:szCs w:val="20"/>
              </w:rPr>
              <w:t>Eretmochelys imbricata</w:t>
            </w:r>
            <w:r>
              <w:rPr>
                <w:noProof/>
                <w:color w:val="000000" w:themeColor="text1"/>
                <w:sz w:val="20"/>
                <w:szCs w:val="20"/>
              </w:rPr>
              <w:t>) ja muud </w:t>
            </w:r>
            <w:r>
              <w:rPr>
                <w:b/>
                <w:noProof/>
                <w:color w:val="000000" w:themeColor="text1"/>
                <w:sz w:val="20"/>
                <w:szCs w:val="20"/>
              </w:rPr>
              <w:t>merikilpkonnad</w:t>
            </w:r>
            <w:r>
              <w:rPr>
                <w:noProof/>
                <w:color w:val="000000" w:themeColor="text1"/>
                <w:sz w:val="20"/>
                <w:szCs w:val="20"/>
              </w:rPr>
              <w:t xml:space="preserve"> (</w:t>
            </w:r>
            <w:r>
              <w:rPr>
                <w:i/>
                <w:noProof/>
                <w:color w:val="000000" w:themeColor="text1"/>
                <w:sz w:val="20"/>
                <w:szCs w:val="20"/>
              </w:rPr>
              <w:t>Cheloniidae</w:t>
            </w:r>
            <w:r>
              <w:rPr>
                <w:noProof/>
                <w:color w:val="000000" w:themeColor="text1"/>
                <w:sz w:val="20"/>
                <w:szCs w:val="20"/>
              </w:rPr>
              <w:t xml:space="preserve"> ja </w:t>
            </w:r>
            <w:r>
              <w:rPr>
                <w:i/>
                <w:noProof/>
                <w:color w:val="000000" w:themeColor="text1"/>
                <w:sz w:val="20"/>
                <w:szCs w:val="20"/>
              </w:rPr>
              <w:t>Dermochelyidae</w:t>
            </w:r>
            <w:r>
              <w:rPr>
                <w:noProof/>
                <w:color w:val="000000" w:themeColor="text1"/>
                <w:sz w:val="20"/>
                <w:szCs w:val="20"/>
              </w:rPr>
              <w:t>)</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Sekretariaat</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töö </w:t>
            </w:r>
            <w:r>
              <w:rPr>
                <w:noProof/>
                <w:color w:val="000000" w:themeColor="text1"/>
                <w:sz w:val="20"/>
                <w:szCs w:val="20"/>
              </w:rPr>
              <w:t>jätkamist sekretariaadi kavandatud otsuste eelnõude kaudu ja merikilpkonnasid käsitleva istungitevahelise töörühma moodustamiseks.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71.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Aasia suured</w:t>
            </w:r>
            <w:r>
              <w:rPr>
                <w:noProof/>
                <w:color w:val="000000" w:themeColor="text1"/>
                <w:sz w:val="20"/>
                <w:szCs w:val="20"/>
              </w:rPr>
              <w:t xml:space="preserve"> kaslased (</w:t>
            </w:r>
            <w:r>
              <w:rPr>
                <w:i/>
                <w:noProof/>
                <w:color w:val="000000" w:themeColor="text1"/>
                <w:sz w:val="20"/>
                <w:szCs w:val="20"/>
              </w:rPr>
              <w:t>Felidae</w:t>
            </w:r>
            <w:r>
              <w:rPr>
                <w:noProof/>
                <w:color w:val="000000" w:themeColor="text1"/>
                <w:sz w:val="20"/>
                <w:szCs w:val="20"/>
              </w:rPr>
              <w:t xml:space="preserve"> spp.)</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71.1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Alalise komitee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Alaline komitee</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 xml:space="preserve">1. märtsi seisuga ei olnud </w:t>
            </w:r>
            <w:r>
              <w:rPr>
                <w:i/>
                <w:noProof/>
                <w:color w:val="000000" w:themeColor="text1"/>
                <w:sz w:val="20"/>
                <w:szCs w:val="20"/>
              </w:rPr>
              <w:t>dokument veel kättesaadav.</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71.2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Aasia suuri kaslasi käsitlevate otsuste eelnõud </w:t>
            </w:r>
            <w:r>
              <w:rPr>
                <w:noProof/>
                <w:color w:val="000000" w:themeColor="text1"/>
                <w:sz w:val="20"/>
                <w:szCs w:val="20"/>
                <w:u w:val="single"/>
              </w:rPr>
              <w:t>CoP18 Doc. 71.2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IN</w:t>
            </w:r>
          </w:p>
        </w:tc>
        <w:tc>
          <w:tcPr>
            <w:tcW w:w="2410" w:type="dxa"/>
            <w:tcMar>
              <w:top w:w="60" w:type="dxa"/>
              <w:left w:w="135" w:type="dxa"/>
              <w:bottom w:w="60" w:type="dxa"/>
              <w:right w:w="135" w:type="dxa"/>
            </w:tcMar>
            <w:vAlign w:val="center"/>
          </w:tcPr>
          <w:p w:rsidR="00AA75D1" w:rsidRDefault="008A3FF4">
            <w:pPr>
              <w:spacing w:before="0" w:after="0"/>
              <w:jc w:val="left"/>
              <w:rPr>
                <w:noProof/>
                <w:color w:val="000000" w:themeColor="text1"/>
                <w:sz w:val="20"/>
                <w:szCs w:val="20"/>
              </w:rPr>
            </w:pPr>
            <w:r>
              <w:rPr>
                <w:noProof/>
                <w:color w:val="000000" w:themeColor="text1"/>
                <w:sz w:val="20"/>
                <w:szCs w:val="20"/>
              </w:rPr>
              <w:t xml:space="preserve">Toetada üldiselt Aasia suurte kaslastega kauplemise järelevalveks ja paremaks majandamiseks tehtavaid jõupingutusi. Dokumenti tuleks aga alalise komitee </w:t>
            </w:r>
            <w:r>
              <w:rPr>
                <w:noProof/>
                <w:color w:val="000000" w:themeColor="text1"/>
                <w:sz w:val="20"/>
                <w:szCs w:val="20"/>
              </w:rPr>
              <w:t>aruande avaldamise järel uuesti arutada, et vältida kattuvusi või vastuolusid.</w:t>
            </w:r>
          </w:p>
          <w:p w:rsidR="00AA75D1" w:rsidRDefault="008A3FF4">
            <w:pPr>
              <w:spacing w:before="0" w:after="0"/>
              <w:jc w:val="left"/>
              <w:rPr>
                <w:noProof/>
                <w:color w:val="000000" w:themeColor="text1"/>
                <w:sz w:val="20"/>
                <w:szCs w:val="20"/>
              </w:rPr>
            </w:pPr>
            <w:r>
              <w:rPr>
                <w:noProof/>
                <w:color w:val="000000" w:themeColor="text1"/>
                <w:sz w:val="20"/>
                <w:szCs w:val="20"/>
              </w:rPr>
              <w:t>Enne vastuvõtmist tuleb pakutud otsuse eelnõu veel põhjalikult analüüsida ja muuta. Samuti tuleks arutada seost resolutsiooniga Conf. 12.5 (Rev. CoP17).</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Merihobukesed</w:t>
            </w:r>
            <w:r>
              <w:rPr>
                <w:noProof/>
                <w:color w:val="000000" w:themeColor="text1"/>
                <w:sz w:val="20"/>
                <w:szCs w:val="20"/>
              </w:rPr>
              <w:t xml:space="preserve"> (</w:t>
            </w:r>
            <w:r>
              <w:rPr>
                <w:i/>
                <w:noProof/>
                <w:color w:val="000000" w:themeColor="text1"/>
                <w:sz w:val="20"/>
                <w:szCs w:val="20"/>
              </w:rPr>
              <w:t>Hippocampus</w:t>
            </w:r>
            <w:r>
              <w:rPr>
                <w:noProof/>
                <w:color w:val="000000" w:themeColor="text1"/>
                <w:sz w:val="20"/>
                <w:szCs w:val="20"/>
              </w:rPr>
              <w:t xml:space="preserve"> spp.) CITESi loetelus – tegevuskava edu saavutamiseks</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MV, MC, LK, US</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paketti, millega algatatakse loomakomitees ja alalises komitees arutelu merihobukeste majandamise ja säästliku kasutamise teemal.</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73.</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Inimahvid</w:t>
            </w:r>
            <w:r>
              <w:rPr>
                <w:noProof/>
                <w:color w:val="000000" w:themeColor="text1"/>
                <w:sz w:val="20"/>
                <w:szCs w:val="20"/>
              </w:rPr>
              <w:t xml:space="preserve"> (</w:t>
            </w:r>
            <w:r>
              <w:rPr>
                <w:i/>
                <w:noProof/>
                <w:color w:val="000000" w:themeColor="text1"/>
                <w:sz w:val="20"/>
                <w:szCs w:val="20"/>
              </w:rPr>
              <w:t>Hominidae</w:t>
            </w:r>
            <w:r>
              <w:rPr>
                <w:noProof/>
                <w:color w:val="000000" w:themeColor="text1"/>
                <w:sz w:val="20"/>
                <w:szCs w:val="20"/>
              </w:rPr>
              <w:t xml:space="preserve"> spp.) </w:t>
            </w:r>
            <w:r>
              <w:rPr>
                <w:noProof/>
                <w:color w:val="000000" w:themeColor="text1"/>
                <w:sz w:val="20"/>
                <w:szCs w:val="20"/>
              </w:rPr>
              <w:br/>
            </w:r>
            <w:r>
              <w:rPr>
                <w:noProof/>
                <w:color w:val="000000" w:themeColor="text1"/>
                <w:sz w:val="20"/>
                <w:szCs w:val="20"/>
                <w:u w:val="single"/>
              </w:rPr>
              <w:t>CoP18 Doc. 73</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 sekretariaat</w:t>
            </w:r>
          </w:p>
        </w:tc>
        <w:tc>
          <w:tcPr>
            <w:tcW w:w="2410" w:type="dxa"/>
            <w:shd w:val="clear" w:color="auto" w:fill="auto"/>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inimahvide kaitset ja nendega kauplemist käsitleva resolutsiooni Conf. 13.4 (Rev. CoP16) muudatusi sekretariaadi pakutud kujul ning otsuste 17.232 ja 17.233 väljajätmist. Ettepaneku aluseks on aru</w:t>
            </w:r>
            <w:r>
              <w:rPr>
                <w:noProof/>
                <w:color w:val="000000" w:themeColor="text1"/>
                <w:sz w:val="20"/>
                <w:szCs w:val="20"/>
              </w:rPr>
              <w:t>anne inimahvide olukorra, nendega ebaseadusliku kauplemise suhtelise mõju ja muude survetegurite kohta, mis nende olukorda mõjutavad. Aruanne valmis sekretariaadi, Rahvusvaheline Looduskaitseliidu (IUCN), inimahvide ellujäämisprojekt GRASP ja teiste partne</w:t>
            </w:r>
            <w:r>
              <w:rPr>
                <w:noProof/>
                <w:color w:val="000000" w:themeColor="text1"/>
                <w:sz w:val="20"/>
                <w:szCs w:val="20"/>
              </w:rPr>
              <w:t>rite koostöös ning seda on kaalutud loomakomitee 30. kohtumisel ja alalise komitee 70. kohtumisel. Kasuks tuleksid mõningad redaktsioonilised muudatused.</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74.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Roosipuuliikide</w:t>
            </w:r>
            <w:r>
              <w:rPr>
                <w:noProof/>
                <w:color w:val="000000" w:themeColor="text1"/>
                <w:sz w:val="20"/>
                <w:szCs w:val="20"/>
              </w:rPr>
              <w:t xml:space="preserve"> puit [</w:t>
            </w:r>
            <w:r>
              <w:rPr>
                <w:i/>
                <w:noProof/>
                <w:color w:val="000000" w:themeColor="text1"/>
                <w:sz w:val="20"/>
                <w:szCs w:val="20"/>
              </w:rPr>
              <w:t>Leguminosae</w:t>
            </w:r>
            <w:r>
              <w:rPr>
                <w:noProof/>
                <w:color w:val="000000" w:themeColor="text1"/>
                <w:sz w:val="20"/>
                <w:szCs w:val="20"/>
              </w:rPr>
              <w:t xml:space="preserve"> (</w:t>
            </w:r>
            <w:r>
              <w:rPr>
                <w:i/>
                <w:noProof/>
                <w:color w:val="000000" w:themeColor="text1"/>
                <w:sz w:val="20"/>
                <w:szCs w:val="20"/>
              </w:rPr>
              <w:t>Fabaceae</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74</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otsuste </w:t>
            </w:r>
            <w:r>
              <w:rPr>
                <w:noProof/>
                <w:color w:val="000000" w:themeColor="text1"/>
                <w:sz w:val="20"/>
                <w:szCs w:val="20"/>
              </w:rPr>
              <w:t>eelnõude vastuvõtmist.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Soomusloomad</w:t>
            </w:r>
            <w:r>
              <w:rPr>
                <w:noProof/>
                <w:color w:val="000000" w:themeColor="text1"/>
                <w:sz w:val="20"/>
                <w:szCs w:val="20"/>
              </w:rPr>
              <w:t xml:space="preserve"> (</w:t>
            </w:r>
            <w:r>
              <w:rPr>
                <w:i/>
                <w:noProof/>
                <w:color w:val="000000" w:themeColor="text1"/>
                <w:sz w:val="20"/>
                <w:szCs w:val="20"/>
              </w:rPr>
              <w:t>Manis</w:t>
            </w:r>
            <w:r>
              <w:rPr>
                <w:noProof/>
                <w:color w:val="000000" w:themeColor="text1"/>
                <w:sz w:val="20"/>
                <w:szCs w:val="20"/>
              </w:rPr>
              <w:t xml:space="preserve"> spp.) </w:t>
            </w:r>
            <w:r>
              <w:rPr>
                <w:noProof/>
                <w:color w:val="000000" w:themeColor="text1"/>
                <w:sz w:val="20"/>
                <w:szCs w:val="20"/>
              </w:rPr>
              <w:br/>
            </w:r>
            <w:r>
              <w:rPr>
                <w:noProof/>
                <w:color w:val="000000" w:themeColor="text1"/>
                <w:sz w:val="20"/>
                <w:szCs w:val="20"/>
                <w:u w:val="single"/>
              </w:rPr>
              <w:t>CoP18 Doc. 75</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 lisatud alalise komitee ettepanek</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eelnõude paketti alalise komitee (komitee 69. kohtumisel) soovitatud kujul koos sekretariaadi pakutud muudatustega ning t</w:t>
            </w:r>
            <w:r>
              <w:rPr>
                <w:noProof/>
                <w:color w:val="000000" w:themeColor="text1"/>
                <w:sz w:val="20"/>
                <w:szCs w:val="20"/>
              </w:rPr>
              <w:t>oetada otsuste 17.239–17.240 väljajätmist.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Aafrika </w:t>
            </w:r>
            <w:r>
              <w:rPr>
                <w:b/>
                <w:noProof/>
                <w:color w:val="000000" w:themeColor="text1"/>
                <w:sz w:val="20"/>
                <w:szCs w:val="20"/>
              </w:rPr>
              <w:t>lõvi</w:t>
            </w:r>
            <w:r>
              <w:rPr>
                <w:noProof/>
                <w:color w:val="000000" w:themeColor="text1"/>
                <w:sz w:val="20"/>
                <w:szCs w:val="20"/>
              </w:rPr>
              <w:t xml:space="preserve"> (</w:t>
            </w:r>
            <w:r>
              <w:rPr>
                <w:i/>
                <w:noProof/>
                <w:color w:val="000000" w:themeColor="text1"/>
                <w:sz w:val="20"/>
                <w:szCs w:val="20"/>
              </w:rPr>
              <w:t>Panthera leo</w:t>
            </w:r>
            <w:r>
              <w:rPr>
                <w:noProof/>
                <w:color w:val="000000" w:themeColor="text1"/>
                <w:sz w:val="20"/>
                <w:szCs w:val="20"/>
              </w:rPr>
              <w:t>)</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76.1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Sekretariaadi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76.2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Aafrika lõvide kaitse ja nendega kauplemine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NG, TG</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üldiselt edasisi </w:t>
            </w:r>
            <w:r>
              <w:rPr>
                <w:noProof/>
                <w:color w:val="000000" w:themeColor="text1"/>
                <w:sz w:val="20"/>
                <w:szCs w:val="20"/>
              </w:rPr>
              <w:t>meetmeid lõvide osadega ja neist saaduga toimuva rahvusvahelise kauplemise kontrollimiseks, ehkki mõned resolutsiooni projekti osad tuleks põhjalikult ümber sõnastada. Dokumenti tuleb arutada koos dokumentidega 76.1 ja 96 (kumbki ei ole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Jaaguar</w:t>
            </w:r>
            <w:r>
              <w:rPr>
                <w:noProof/>
                <w:color w:val="000000" w:themeColor="text1"/>
                <w:sz w:val="20"/>
                <w:szCs w:val="20"/>
              </w:rPr>
              <w:t xml:space="preserve"> (</w:t>
            </w:r>
            <w:r>
              <w:rPr>
                <w:i/>
                <w:noProof/>
                <w:color w:val="000000" w:themeColor="text1"/>
                <w:sz w:val="20"/>
                <w:szCs w:val="20"/>
              </w:rPr>
              <w:t>Panthera onca</w:t>
            </w:r>
            <w:r>
              <w:rPr>
                <w:noProof/>
                <w:color w:val="000000" w:themeColor="text1"/>
                <w:sz w:val="20"/>
                <w:szCs w:val="20"/>
              </w:rPr>
              <w:t>)</w:t>
            </w:r>
          </w:p>
        </w:tc>
        <w:tc>
          <w:tcPr>
            <w:tcW w:w="1423" w:type="dxa"/>
            <w:tcMar>
              <w:top w:w="60" w:type="dxa"/>
              <w:left w:w="135" w:type="dxa"/>
              <w:bottom w:w="60" w:type="dxa"/>
              <w:right w:w="135" w:type="dxa"/>
            </w:tcMar>
            <w:vAlign w:val="center"/>
            <w:hideMark/>
          </w:tcPr>
          <w:p w:rsidR="00AA75D1" w:rsidRDefault="00AA75D1">
            <w:pPr>
              <w:spacing w:before="0" w:after="0" w:line="240" w:lineRule="atLeast"/>
              <w:jc w:val="lef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hideMark/>
          </w:tcPr>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77.1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Jaaguaridega kauplemine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CR, MX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üldiselt otsuste eelnõude paketti, milles kutsutakse üles uurima ebaseaduslikku kauplemist jaaguaridega; teksti võiks veidi toimetada ning lisada võiks mõningaid elemente </w:t>
            </w:r>
            <w:r>
              <w:rPr>
                <w:noProof/>
                <w:color w:val="000000" w:themeColor="text1"/>
                <w:sz w:val="20"/>
                <w:szCs w:val="20"/>
              </w:rPr>
              <w:t>dokumendist 77.2.</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77.2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Ebaseaduslik kauplemine jaaguaridega </w:t>
            </w:r>
            <w:r>
              <w:rPr>
                <w:noProof/>
                <w:color w:val="000000" w:themeColor="text1"/>
                <w:sz w:val="20"/>
                <w:szCs w:val="20"/>
                <w:u w:val="single"/>
              </w:rPr>
              <w:t>CoP18 Doc. 77.2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PE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üldiselt, et edendada jaaguaride kaitsmist. Mõned pakutud elementidest sobiksid paremini otsusteks kui resolutsiooniks. Arutada, kas ettepaneku või selle osad </w:t>
            </w:r>
            <w:r>
              <w:rPr>
                <w:noProof/>
                <w:color w:val="000000" w:themeColor="text1"/>
                <w:sz w:val="20"/>
                <w:szCs w:val="20"/>
              </w:rPr>
              <w:t>peaks koondama koos Costa Rica ettepanekuga (77.1) üheks otsuste paketiks.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78.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Ebaseaduslik kauplemine </w:t>
            </w:r>
            <w:r>
              <w:rPr>
                <w:b/>
                <w:noProof/>
                <w:color w:val="000000" w:themeColor="text1"/>
                <w:sz w:val="20"/>
                <w:szCs w:val="20"/>
              </w:rPr>
              <w:t>orongodega</w:t>
            </w:r>
            <w:r>
              <w:rPr>
                <w:noProof/>
                <w:color w:val="000000" w:themeColor="text1"/>
                <w:sz w:val="20"/>
                <w:szCs w:val="20"/>
              </w:rPr>
              <w:t xml:space="preserve"> </w:t>
            </w:r>
            <w:r>
              <w:rPr>
                <w:noProof/>
                <w:color w:val="000000" w:themeColor="text1"/>
                <w:sz w:val="20"/>
                <w:szCs w:val="20"/>
              </w:rPr>
              <w:br/>
              <w:t>(</w:t>
            </w:r>
            <w:r>
              <w:rPr>
                <w:i/>
                <w:noProof/>
                <w:color w:val="000000" w:themeColor="text1"/>
                <w:sz w:val="20"/>
                <w:szCs w:val="20"/>
              </w:rPr>
              <w:t>Pantholops hodgsonii</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78</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soovituse eelnõud ja sekretariaadi ettepanekut muuta resolutsiooni 11.8 </w:t>
            </w:r>
            <w:r>
              <w:rPr>
                <w:noProof/>
                <w:color w:val="000000" w:themeColor="text1"/>
                <w:sz w:val="20"/>
                <w:szCs w:val="20"/>
              </w:rPr>
              <w:t>(Rev. CoP17) punkti 2b.</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79.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Laululindudega</w:t>
            </w:r>
            <w:r>
              <w:rPr>
                <w:noProof/>
                <w:color w:val="000000" w:themeColor="text1"/>
                <w:sz w:val="20"/>
                <w:szCs w:val="20"/>
              </w:rPr>
              <w:t xml:space="preserve"> kauplemine ja nende kaitse  korraldus (Passeriformes)</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US, LK</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üldiselt ettepanekut, et loomakomitee kaaluks värvulistega kauplemise mõju nende kaitsele. Võiks teravdada fookust ja selgitada ulatust.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Aafrika loorberkirsipuu (</w:t>
            </w:r>
            <w:r>
              <w:rPr>
                <w:b/>
                <w:i/>
                <w:noProof/>
                <w:color w:val="000000" w:themeColor="text1"/>
                <w:sz w:val="20"/>
                <w:szCs w:val="20"/>
              </w:rPr>
              <w:t>Prunus africana)</w:t>
            </w:r>
            <w:r>
              <w:rPr>
                <w:noProof/>
                <w:color w:val="000000" w:themeColor="text1"/>
                <w:sz w:val="20"/>
                <w:szCs w:val="20"/>
              </w:rPr>
              <w:t xml:space="preserve"> </w:t>
            </w:r>
            <w:r>
              <w:rPr>
                <w:noProof/>
                <w:color w:val="000000" w:themeColor="text1"/>
                <w:sz w:val="20"/>
                <w:szCs w:val="20"/>
                <w:u w:val="single"/>
              </w:rPr>
              <w:t>CoP18 Doc. 80</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eelnõude vastuvõtmist. Sõltuvalt 2019. aasta märtsis toimuva CITESi puuliikide programmi Aafrika piirkondliku kohtumise tulemustest võib olla tarvis otsuste eelnõud uu</w:t>
            </w:r>
            <w:r>
              <w:rPr>
                <w:noProof/>
                <w:color w:val="000000" w:themeColor="text1"/>
                <w:sz w:val="20"/>
                <w:szCs w:val="20"/>
              </w:rPr>
              <w:t xml:space="preserve">esti läbi vaadata.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Hallpapagoid</w:t>
            </w:r>
            <w:r>
              <w:rPr>
                <w:noProof/>
                <w:color w:val="000000" w:themeColor="text1"/>
                <w:sz w:val="20"/>
                <w:szCs w:val="20"/>
              </w:rPr>
              <w:t xml:space="preserve"> </w:t>
            </w:r>
            <w:r>
              <w:rPr>
                <w:noProof/>
                <w:color w:val="000000" w:themeColor="text1"/>
                <w:sz w:val="20"/>
                <w:szCs w:val="20"/>
              </w:rPr>
              <w:br/>
              <w:t>(</w:t>
            </w:r>
            <w:r>
              <w:rPr>
                <w:i/>
                <w:noProof/>
                <w:color w:val="000000" w:themeColor="text1"/>
                <w:sz w:val="20"/>
                <w:szCs w:val="20"/>
              </w:rPr>
              <w:t>Psittacus erithacus)</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ZA</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Olla valmis kaaluma linnukasvatusettevõtete registreerimise tähtpäeva pikendamist. Samas on siiski vaja rohkem teavet hallpapagoi (Psittacus erithacus) võimaliku taasasustamise kohta, enne</w:t>
            </w:r>
            <w:r>
              <w:rPr>
                <w:noProof/>
                <w:color w:val="000000" w:themeColor="text1"/>
                <w:sz w:val="20"/>
                <w:szCs w:val="20"/>
              </w:rPr>
              <w:t xml:space="preserve"> kui saab nõustuda uue punkti f lisamisega otsusesse 17.256. Enne vastuvõtmist oleks vaja teksti muuta.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Banggai tiibkardinal</w:t>
            </w:r>
            <w:r>
              <w:rPr>
                <w:noProof/>
                <w:color w:val="000000" w:themeColor="text1"/>
                <w:sz w:val="20"/>
                <w:szCs w:val="20"/>
              </w:rPr>
              <w:t xml:space="preserve"> </w:t>
            </w:r>
            <w:r>
              <w:rPr>
                <w:noProof/>
                <w:color w:val="000000" w:themeColor="text1"/>
                <w:sz w:val="20"/>
                <w:szCs w:val="20"/>
              </w:rPr>
              <w:br/>
              <w:t>(</w:t>
            </w:r>
            <w:r>
              <w:rPr>
                <w:i/>
                <w:noProof/>
                <w:color w:val="000000" w:themeColor="text1"/>
                <w:sz w:val="20"/>
                <w:szCs w:val="20"/>
              </w:rPr>
              <w:t>Pterapogon kauderni)</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Loomakomitee</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otsuste eelnõude paketti; EL on valmis toetama Indoneesiat otsuse 18.AA </w:t>
            </w:r>
            <w:r>
              <w:rPr>
                <w:noProof/>
                <w:color w:val="000000" w:themeColor="text1"/>
                <w:sz w:val="20"/>
                <w:szCs w:val="20"/>
              </w:rPr>
              <w:t>rakendamisel.</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Ninasarvikud</w:t>
            </w:r>
            <w:r>
              <w:rPr>
                <w:noProof/>
                <w:color w:val="000000" w:themeColor="text1"/>
                <w:sz w:val="20"/>
                <w:szCs w:val="20"/>
              </w:rPr>
              <w:t xml:space="preserve"> (Rhinocerotidae spp.)</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83.1</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Alalise komitee ja sekretariaadi aruanne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760"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83.2</w:t>
            </w:r>
          </w:p>
        </w:tc>
        <w:tc>
          <w:tcPr>
            <w:tcW w:w="2971" w:type="dxa"/>
            <w:gridSpan w:val="2"/>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i/>
                <w:noProof/>
                <w:color w:val="000000" w:themeColor="text1"/>
                <w:sz w:val="20"/>
                <w:szCs w:val="20"/>
              </w:rPr>
              <w:t xml:space="preserve">Aafrika ja Aasia ninasarvikute kaitsmist ja nendega kauplemist </w:t>
            </w:r>
            <w:r>
              <w:rPr>
                <w:noProof/>
                <w:color w:val="000000" w:themeColor="text1"/>
                <w:sz w:val="20"/>
                <w:szCs w:val="20"/>
              </w:rPr>
              <w:t xml:space="preserve">käsitleva </w:t>
            </w:r>
            <w:r>
              <w:rPr>
                <w:noProof/>
                <w:color w:val="000000" w:themeColor="text1"/>
                <w:sz w:val="20"/>
                <w:szCs w:val="20"/>
              </w:rPr>
              <w:t>resolutsiooni Conf. 9.14 (Rev. CoP17) ja seonduvate otsuste läbivaatamine.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KE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Resolutsiooni kavandatud muudatused, mis käsitlevad a) siseriiklike turgude sulgemist; b) erakätes olevate ninasarvikusarvede varude registreerimist ja varude hävitamist; c) ala</w:t>
            </w:r>
            <w:r>
              <w:rPr>
                <w:noProof/>
                <w:color w:val="000000" w:themeColor="text1"/>
                <w:sz w:val="20"/>
                <w:szCs w:val="20"/>
              </w:rPr>
              <w:t>lise komitee regulaarset teavitamist osaliste poolt. Kaitsmisega kaasnevaid eeliseid on vaja täiendavalt uurida ning kavandatud muudatusi ja otsuste eelnõusid tuleb täielikult analüüsida, kui dokument 83.1 on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84.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Kilp-sarvlind</w:t>
            </w:r>
            <w:r>
              <w:rPr>
                <w:noProof/>
                <w:color w:val="000000" w:themeColor="text1"/>
                <w:sz w:val="20"/>
                <w:szCs w:val="20"/>
              </w:rPr>
              <w:t xml:space="preserve"> (</w:t>
            </w:r>
            <w:r>
              <w:rPr>
                <w:i/>
                <w:noProof/>
                <w:color w:val="000000" w:themeColor="text1"/>
                <w:sz w:val="20"/>
                <w:szCs w:val="20"/>
              </w:rPr>
              <w:t xml:space="preserve">Rhinoplax </w:t>
            </w:r>
            <w:r>
              <w:rPr>
                <w:i/>
                <w:noProof/>
                <w:color w:val="000000" w:themeColor="text1"/>
                <w:sz w:val="20"/>
                <w:szCs w:val="20"/>
              </w:rPr>
              <w:t>vigil</w:t>
            </w:r>
            <w:r>
              <w:rPr>
                <w:noProof/>
                <w:color w:val="000000" w:themeColor="text1"/>
                <w:sz w:val="20"/>
                <w:szCs w:val="20"/>
              </w:rPr>
              <w:t xml:space="preserve">) </w:t>
            </w:r>
            <w:r>
              <w:rPr>
                <w:noProof/>
                <w:color w:val="000000" w:themeColor="text1"/>
                <w:sz w:val="20"/>
                <w:szCs w:val="20"/>
                <w:u w:val="single"/>
              </w:rPr>
              <w:t>CoP18 Doc. 84</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1. lisas esitatud otsuste eelnõusid, sh sekretariaadi esitatud muudatusettepanekuid, ja jätta välja otsused 17.264, 17.265 ja 17.266.</w:t>
            </w:r>
          </w:p>
        </w:tc>
        <w:tc>
          <w:tcPr>
            <w:tcW w:w="992" w:type="dxa"/>
            <w:tcMar>
              <w:top w:w="60" w:type="dxa"/>
              <w:left w:w="135" w:type="dxa"/>
              <w:bottom w:w="60" w:type="dxa"/>
              <w:right w:w="135" w:type="dxa"/>
            </w:tcMar>
            <w:vAlign w:val="center"/>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Suur tiibkodalane</w:t>
            </w:r>
            <w:r>
              <w:rPr>
                <w:noProof/>
                <w:color w:val="000000" w:themeColor="text1"/>
                <w:sz w:val="20"/>
                <w:szCs w:val="20"/>
              </w:rPr>
              <w:t xml:space="preserve"> (</w:t>
            </w:r>
            <w:r>
              <w:rPr>
                <w:i/>
                <w:noProof/>
                <w:color w:val="000000" w:themeColor="text1"/>
                <w:sz w:val="20"/>
                <w:szCs w:val="20"/>
              </w:rPr>
              <w:t>Strombus gigas</w:t>
            </w:r>
            <w:r>
              <w:rPr>
                <w:noProof/>
                <w:color w:val="000000" w:themeColor="text1"/>
                <w:sz w:val="20"/>
                <w:szCs w:val="20"/>
              </w:rPr>
              <w:t>)</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 xml:space="preserve">1. märtsi seisuga ei olnud </w:t>
            </w:r>
            <w:r>
              <w:rPr>
                <w:i/>
                <w:noProof/>
                <w:color w:val="000000" w:themeColor="text1"/>
                <w:sz w:val="20"/>
                <w:szCs w:val="20"/>
              </w:rPr>
              <w:t>dokument veel kättesaadav.</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Saiga</w:t>
            </w:r>
            <w:r>
              <w:rPr>
                <w:noProof/>
                <w:color w:val="000000" w:themeColor="text1"/>
                <w:sz w:val="20"/>
                <w:szCs w:val="20"/>
              </w:rPr>
              <w:t xml:space="preserve"> (</w:t>
            </w:r>
            <w:r>
              <w:rPr>
                <w:i/>
                <w:noProof/>
                <w:color w:val="000000" w:themeColor="text1"/>
                <w:sz w:val="20"/>
                <w:szCs w:val="20"/>
              </w:rPr>
              <w:t>Saiga</w:t>
            </w:r>
            <w:r>
              <w:rPr>
                <w:noProof/>
                <w:color w:val="000000" w:themeColor="text1"/>
                <w:sz w:val="20"/>
                <w:szCs w:val="20"/>
              </w:rPr>
              <w:t xml:space="preserve"> spp.) </w:t>
            </w:r>
            <w:r>
              <w:rPr>
                <w:noProof/>
                <w:color w:val="000000" w:themeColor="text1"/>
                <w:sz w:val="20"/>
                <w:szCs w:val="20"/>
              </w:rPr>
              <w:br/>
            </w:r>
            <w:r>
              <w:rPr>
                <w:noProof/>
                <w:color w:val="000000" w:themeColor="text1"/>
                <w:sz w:val="20"/>
                <w:szCs w:val="20"/>
                <w:u w:val="single"/>
              </w:rPr>
              <w:t>CoP18 Doc. 86</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noProof/>
                <w:color w:val="000000" w:themeColor="text1"/>
                <w:sz w:val="20"/>
                <w:szCs w:val="20"/>
              </w:rPr>
            </w:pPr>
            <w:r>
              <w:rPr>
                <w:noProof/>
                <w:color w:val="000000" w:themeColor="text1"/>
                <w:sz w:val="20"/>
                <w:szCs w:val="20"/>
              </w:rPr>
              <w:t>Toetada dokumenti, mis põhineb alalise komitee arutelude tulemustel ja on suunatud saiga levilas asuvatele riikidele, et parandada liigi isendite osade ja neist saadu varude</w:t>
            </w:r>
            <w:r>
              <w:rPr>
                <w:noProof/>
                <w:color w:val="000000" w:themeColor="text1"/>
                <w:sz w:val="20"/>
                <w:szCs w:val="20"/>
              </w:rPr>
              <w:t xml:space="preserve"> haldamist, suurendada riikide suutlikkust ebaseadusliku kauplemise tõkestamisel ning edendada kaitsmisalaseid jõupingutusi nii looduslikes elupaikades kui ka neist väljaspool; toetada sekretariaadi ettepanekut kaasata loomakomitee ühe otsuse rakendamisse.</w:t>
            </w:r>
            <w:r>
              <w:rPr>
                <w:noProof/>
                <w:color w:val="000000" w:themeColor="text1"/>
                <w:sz w:val="20"/>
                <w:szCs w:val="20"/>
              </w:rPr>
              <w:t xml:space="preserve"> Olenevalt sellest, kas jõutakse kokkuleppele kogu perekonna Saiga spp. ümber tõstmises I lisasse, võib osutuda vajalikuks teha otsustes mõned muudatused.</w:t>
            </w:r>
          </w:p>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Arutada, kas mõned otsuste 17.268, 17.269 ja 17.270 elemendid tuleks alles jätta.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Titicaca </w:t>
            </w:r>
            <w:r>
              <w:rPr>
                <w:b/>
                <w:noProof/>
                <w:color w:val="000000" w:themeColor="text1"/>
                <w:sz w:val="20"/>
                <w:szCs w:val="20"/>
              </w:rPr>
              <w:t>veekonna</w:t>
            </w:r>
            <w:r>
              <w:rPr>
                <w:noProof/>
                <w:color w:val="000000" w:themeColor="text1"/>
                <w:sz w:val="20"/>
                <w:szCs w:val="20"/>
              </w:rPr>
              <w:t xml:space="preserve"> (</w:t>
            </w:r>
            <w:r>
              <w:rPr>
                <w:i/>
                <w:noProof/>
                <w:color w:val="000000" w:themeColor="text1"/>
                <w:sz w:val="20"/>
                <w:szCs w:val="20"/>
              </w:rPr>
              <w:t>Telmatobius culeus</w:t>
            </w:r>
            <w:r>
              <w:rPr>
                <w:noProof/>
                <w:color w:val="000000" w:themeColor="text1"/>
                <w:sz w:val="20"/>
                <w:szCs w:val="20"/>
              </w:rPr>
              <w:t>) kaitse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w:t>
            </w: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88.</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Kilpkonnalised</w:t>
            </w:r>
            <w:r>
              <w:rPr>
                <w:noProof/>
                <w:color w:val="000000" w:themeColor="text1"/>
                <w:sz w:val="20"/>
                <w:szCs w:val="20"/>
              </w:rPr>
              <w:t xml:space="preserve"> (Testudines spp.) </w:t>
            </w:r>
            <w:r>
              <w:rPr>
                <w:noProof/>
                <w:color w:val="000000" w:themeColor="text1"/>
                <w:sz w:val="20"/>
                <w:szCs w:val="20"/>
              </w:rPr>
              <w:br/>
            </w:r>
            <w:r>
              <w:rPr>
                <w:noProof/>
                <w:color w:val="000000" w:themeColor="text1"/>
                <w:sz w:val="20"/>
                <w:szCs w:val="20"/>
                <w:u w:val="single"/>
              </w:rPr>
              <w:t>CoP18 Doc. 88</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 sekretariaat</w:t>
            </w:r>
          </w:p>
        </w:tc>
        <w:tc>
          <w:tcPr>
            <w:tcW w:w="2410" w:type="dxa"/>
            <w:shd w:val="clear" w:color="auto" w:fill="auto"/>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üldiselt kilpkonnaliste kaitse ja nendega kauplemist käsitleva </w:t>
            </w:r>
            <w:r>
              <w:rPr>
                <w:noProof/>
                <w:color w:val="000000" w:themeColor="text1"/>
                <w:sz w:val="20"/>
                <w:szCs w:val="20"/>
              </w:rPr>
              <w:t>resolutsiooni Conf. 11.9 läbivaadatud versiooni eelnõu ja sekretariaadi pakutud otsuste eelnõusid; arutada, kas edasises töös tuleks keskenduda praktilistele vajadustele.</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89.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Macdonaldi varjukala</w:t>
            </w:r>
            <w:r>
              <w:rPr>
                <w:noProof/>
                <w:color w:val="000000" w:themeColor="text1"/>
                <w:sz w:val="20"/>
                <w:szCs w:val="20"/>
              </w:rPr>
              <w:t xml:space="preserve"> (</w:t>
            </w:r>
            <w:r>
              <w:rPr>
                <w:i/>
                <w:noProof/>
                <w:color w:val="000000" w:themeColor="text1"/>
                <w:sz w:val="20"/>
                <w:szCs w:val="20"/>
              </w:rPr>
              <w:t>Totoaba macdonaldi</w:t>
            </w:r>
            <w:r>
              <w:rPr>
                <w:noProof/>
                <w:color w:val="000000" w:themeColor="text1"/>
                <w:sz w:val="20"/>
                <w:szCs w:val="20"/>
              </w:rPr>
              <w:t xml:space="preserve">) </w:t>
            </w:r>
            <w:r>
              <w:rPr>
                <w:noProof/>
                <w:color w:val="000000" w:themeColor="text1"/>
                <w:sz w:val="20"/>
                <w:szCs w:val="20"/>
                <w:u w:val="single"/>
              </w:rPr>
              <w:t>CoP18 Doc. 89</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eelnõusid, milles käsitletakse konventsiooniosalistelt lisateabe kogumist, teadlikkuse suurendamist ja nõuete täitmist tagavaid meetmeid, sekretariaadi korraldatavat kalifornia pringli ja Macdonaldi varjukala teemalist uuringut (kava kokkul</w:t>
            </w:r>
            <w:r>
              <w:rPr>
                <w:noProof/>
                <w:color w:val="000000" w:themeColor="text1"/>
                <w:sz w:val="20"/>
                <w:szCs w:val="20"/>
              </w:rPr>
              <w:t>epitud alalise komiteega).</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Musta mere afaliin</w:t>
            </w:r>
            <w:r>
              <w:rPr>
                <w:noProof/>
                <w:color w:val="000000" w:themeColor="text1"/>
                <w:sz w:val="20"/>
                <w:szCs w:val="20"/>
              </w:rPr>
              <w:t xml:space="preserve"> (</w:t>
            </w:r>
            <w:r>
              <w:rPr>
                <w:i/>
                <w:noProof/>
                <w:color w:val="000000" w:themeColor="text1"/>
                <w:sz w:val="20"/>
                <w:szCs w:val="20"/>
              </w:rPr>
              <w:t>Tursiops truncatus ponticus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90</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Loomakomitee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otsuse eelnõu, mille kohaselt teeb sekretariaat koostööd vaalaliste kaitse koostööraamistikuga ACCOBAMS.</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Vikunja</w:t>
            </w:r>
            <w:r>
              <w:rPr>
                <w:noProof/>
                <w:color w:val="000000" w:themeColor="text1"/>
                <w:sz w:val="20"/>
                <w:szCs w:val="20"/>
              </w:rPr>
              <w:t xml:space="preserve"> (</w:t>
            </w:r>
            <w:r>
              <w:rPr>
                <w:i/>
                <w:noProof/>
                <w:color w:val="000000" w:themeColor="text1"/>
                <w:sz w:val="20"/>
                <w:szCs w:val="20"/>
              </w:rPr>
              <w:t>Vicugna vicugna</w:t>
            </w:r>
            <w:r>
              <w:rPr>
                <w:noProof/>
                <w:color w:val="000000" w:themeColor="text1"/>
                <w:sz w:val="20"/>
                <w:szCs w:val="20"/>
              </w:rPr>
              <w:t>)</w:t>
            </w:r>
            <w:r>
              <w:rPr>
                <w:noProof/>
                <w:color w:val="000000" w:themeColor="text1"/>
                <w:sz w:val="20"/>
                <w:szCs w:val="20"/>
              </w:rPr>
              <w:t xml:space="preserve"> kaitse ning selle villa ja toodetega kauplemine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AR</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üldiselt vikunja kaitset ning selle villa ja toodetega kauplemist käsitlevat resolutsiooni projekti; dokument koostati vikunja kaitsmise ja majandamise konventsiooni raames. Teksti vormingut ja k</w:t>
            </w:r>
            <w:r>
              <w:rPr>
                <w:noProof/>
                <w:color w:val="000000" w:themeColor="text1"/>
                <w:sz w:val="20"/>
                <w:szCs w:val="20"/>
              </w:rPr>
              <w:t xml:space="preserve">avandamist on vaja veel arutada. </w:t>
            </w:r>
            <w:r>
              <w:rPr>
                <w:i/>
                <w:noProof/>
                <w:color w:val="000000" w:themeColor="text1"/>
                <w:sz w:val="20"/>
                <w:szCs w:val="20"/>
              </w:rPr>
              <w:t>Arutada koos päevakorrapunktiga 53.</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I lisas</w:t>
            </w:r>
            <w:r>
              <w:rPr>
                <w:noProof/>
                <w:color w:val="000000" w:themeColor="text1"/>
                <w:sz w:val="20"/>
                <w:szCs w:val="20"/>
              </w:rPr>
              <w:t xml:space="preserve"> loetletud liigid </w:t>
            </w:r>
            <w:r>
              <w:rPr>
                <w:noProof/>
                <w:color w:val="000000" w:themeColor="text1"/>
                <w:sz w:val="20"/>
                <w:szCs w:val="20"/>
              </w:rPr>
              <w:br/>
            </w:r>
            <w:r>
              <w:rPr>
                <w:noProof/>
                <w:color w:val="000000" w:themeColor="text1"/>
                <w:sz w:val="20"/>
                <w:szCs w:val="20"/>
                <w:u w:val="single"/>
              </w:rPr>
              <w:t>CoP18 Doc. 92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 loomakomitee, 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17.22–17.25 väljajätmist. Toetada vastuvõtmist.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93.</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Neotroopilised puuliigid</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93</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Taimekomitee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eelnõude vastuvõtmist.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Dekoratiivsete merekalade </w:t>
            </w:r>
            <w:r>
              <w:rPr>
                <w:noProof/>
                <w:color w:val="000000" w:themeColor="text1"/>
                <w:sz w:val="20"/>
                <w:szCs w:val="20"/>
              </w:rPr>
              <w:t xml:space="preserve">kaitse korraldus ja nendega kauplemine </w:t>
            </w:r>
            <w:r>
              <w:rPr>
                <w:noProof/>
                <w:color w:val="000000" w:themeColor="text1"/>
                <w:sz w:val="20"/>
                <w:szCs w:val="20"/>
                <w:u w:val="single"/>
              </w:rPr>
              <w:t>CoP18 Doc. 94</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CH, US, EL</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otsuste eelnõusid (EL on üks ettepaneku esitajatest).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95.</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Juhendmaterjalid, tegevus ja vahendid, mille eesmärk on edendada konventsiooniosaliste suutlikkust reguleerida </w:t>
            </w:r>
            <w:r>
              <w:rPr>
                <w:b/>
                <w:noProof/>
                <w:color w:val="000000" w:themeColor="text1"/>
                <w:sz w:val="20"/>
                <w:szCs w:val="20"/>
              </w:rPr>
              <w:t>ulukilihaga</w:t>
            </w:r>
            <w:r>
              <w:rPr>
                <w:noProof/>
                <w:color w:val="000000" w:themeColor="text1"/>
                <w:sz w:val="20"/>
                <w:szCs w:val="20"/>
              </w:rPr>
              <w:t xml:space="preserve"> kauplemist</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b/>
                <w:noProof/>
                <w:color w:val="000000" w:themeColor="text1"/>
                <w:sz w:val="20"/>
                <w:szCs w:val="20"/>
              </w:rPr>
            </w:pPr>
            <w:r>
              <w:rPr>
                <w:b/>
                <w:noProof/>
                <w:color w:val="000000" w:themeColor="text1"/>
                <w:sz w:val="20"/>
                <w:szCs w:val="20"/>
              </w:rPr>
              <w:t>Aafrika kiskjalisi käsitlev algatus (African Carnivore Init</w:t>
            </w:r>
            <w:r>
              <w:rPr>
                <w:b/>
                <w:noProof/>
                <w:color w:val="000000" w:themeColor="text1"/>
                <w:sz w:val="20"/>
                <w:szCs w:val="20"/>
              </w:rPr>
              <w:t>iative)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97.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Lääne-Aafrika </w:t>
            </w:r>
            <w:r>
              <w:rPr>
                <w:b/>
                <w:noProof/>
                <w:color w:val="000000" w:themeColor="text1"/>
                <w:sz w:val="20"/>
                <w:szCs w:val="20"/>
              </w:rPr>
              <w:t>raisakotkaste</w:t>
            </w:r>
            <w:r>
              <w:rPr>
                <w:noProof/>
                <w:color w:val="000000" w:themeColor="text1"/>
                <w:sz w:val="20"/>
                <w:szCs w:val="20"/>
              </w:rPr>
              <w:t xml:space="preserve"> kaitse korraldus ja nendega kauplemine </w:t>
            </w:r>
            <w:r>
              <w:rPr>
                <w:noProof/>
                <w:color w:val="000000" w:themeColor="text1"/>
                <w:sz w:val="20"/>
                <w:szCs w:val="20"/>
              </w:rPr>
              <w:br/>
            </w:r>
            <w:r>
              <w:rPr>
                <w:noProof/>
                <w:color w:val="000000" w:themeColor="text1"/>
                <w:sz w:val="20"/>
                <w:szCs w:val="20"/>
                <w:u w:val="single"/>
              </w:rPr>
              <w:t>CoP18 Doc. 97</w:t>
            </w:r>
          </w:p>
        </w:tc>
        <w:tc>
          <w:tcPr>
            <w:tcW w:w="1423" w:type="dxa"/>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BF, NE, SN</w:t>
            </w:r>
          </w:p>
        </w:tc>
        <w:tc>
          <w:tcPr>
            <w:tcW w:w="2410" w:type="dxa"/>
            <w:tcMar>
              <w:top w:w="60" w:type="dxa"/>
              <w:left w:w="135" w:type="dxa"/>
              <w:bottom w:w="60" w:type="dxa"/>
              <w:right w:w="135" w:type="dxa"/>
            </w:tcMar>
            <w:vAlign w:val="center"/>
          </w:tcPr>
          <w:p w:rsidR="00AA75D1" w:rsidRDefault="008A3FF4">
            <w:pPr>
              <w:spacing w:before="0" w:after="0"/>
              <w:jc w:val="left"/>
              <w:rPr>
                <w:noProof/>
                <w:color w:val="000000" w:themeColor="text1"/>
                <w:sz w:val="20"/>
                <w:szCs w:val="20"/>
              </w:rPr>
            </w:pPr>
            <w:r>
              <w:rPr>
                <w:noProof/>
                <w:color w:val="000000" w:themeColor="text1"/>
                <w:sz w:val="20"/>
                <w:szCs w:val="20"/>
              </w:rPr>
              <w:t>Toetada otsuste paketti, millega edendatakse koostoimet metsloomade rändliikide kaitse konventsiooniga. Väga tähtis on tegeleda ebaseadusliku mürgitamise ja uskumustel põhineva kauplemise probleemiga. Elevantide ja ninasarvikute salaküttimine ning raisakot</w:t>
            </w:r>
            <w:r>
              <w:rPr>
                <w:noProof/>
                <w:color w:val="000000" w:themeColor="text1"/>
                <w:sz w:val="20"/>
                <w:szCs w:val="20"/>
              </w:rPr>
              <w:t xml:space="preserve">kaste mürgitamisjuhtumid on omavahel tihedalt seotud. Üks dokumendis käsitletav liik, raipekotkas, pesitseb tavaliselt ELis ja talvitub Aafrikas. </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4382" w:type="dxa"/>
            <w:gridSpan w:val="5"/>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u w:val="single"/>
              </w:rPr>
              <w:t>Lisade haldamine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AA75D1">
            <w:pPr>
              <w:spacing w:before="0" w:after="0"/>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8A3FF4">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98.</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Reservatsioonid</w:t>
            </w:r>
            <w:r>
              <w:rPr>
                <w:noProof/>
                <w:color w:val="000000" w:themeColor="text1"/>
                <w:sz w:val="20"/>
                <w:szCs w:val="20"/>
              </w:rPr>
              <w:t xml:space="preserve"> seoses I ja II lisa muudatustega </w:t>
            </w:r>
            <w:r>
              <w:rPr>
                <w:noProof/>
                <w:color w:val="000000" w:themeColor="text1"/>
                <w:sz w:val="20"/>
                <w:szCs w:val="20"/>
                <w:u w:val="single"/>
              </w:rPr>
              <w:t>CoP18 Doc. 98</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reservatsioone käsitleva resolutsiooni Conf. 4.25 kavandatud muudatusi, millega kinnitatakse 90päevane tähtaeg </w:t>
            </w:r>
            <w:r>
              <w:rPr>
                <w:i/>
                <w:noProof/>
                <w:color w:val="000000" w:themeColor="text1"/>
                <w:sz w:val="20"/>
                <w:szCs w:val="20"/>
              </w:rPr>
              <w:t>reservatsioonide</w:t>
            </w:r>
            <w:r>
              <w:rPr>
                <w:noProof/>
                <w:color w:val="000000" w:themeColor="text1"/>
                <w:sz w:val="20"/>
                <w:szCs w:val="20"/>
              </w:rPr>
              <w:t xml:space="preserve"> esitamiseks I ja II lisa loetelude kohta ning selgitatakse, millal jõustub reservatsiooni tagasivõtmine.</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99.</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Standard</w:t>
            </w:r>
            <w:r>
              <w:rPr>
                <w:b/>
                <w:noProof/>
                <w:color w:val="000000" w:themeColor="text1"/>
                <w:sz w:val="20"/>
                <w:szCs w:val="20"/>
              </w:rPr>
              <w:t>nomenklatuur</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99</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Loomakomitee, taimekomitee, sekretariaat</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resolutsiooni Conf. 12.11 lisa muutmise ettepanekuid ja seonduvaid otsuste eelnõusid.</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5. lisa: ettepanek CITESi lindude (klass Aves) nomenklatuuri uute standardviidete kohta </w:t>
            </w:r>
            <w:r>
              <w:rPr>
                <w:noProof/>
                <w:color w:val="000000" w:themeColor="text1"/>
                <w:sz w:val="20"/>
                <w:szCs w:val="20"/>
              </w:rPr>
              <w:br/>
            </w:r>
            <w:r>
              <w:rPr>
                <w:noProof/>
                <w:color w:val="000000" w:themeColor="text1"/>
                <w:sz w:val="20"/>
                <w:szCs w:val="20"/>
                <w:u w:val="single"/>
              </w:rPr>
              <w:t>CoP18 Doc. 99 A5</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Võtta teadmiseks konsultandi aruanne lindude nomenklatuuri standardviidete kohta.</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3731" w:type="dxa"/>
            <w:gridSpan w:val="4"/>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6. lisa: kavandatud muudatused CITESis loetletud loomaliikide nomenklatuuri kohta avaldatud kirjanduses, mille kohta loomakomitee ei ole CoP18 dokumentide esitamise ajaks veel vastuvõtmise või tagasilükkamise soovitust koostanud. </w:t>
            </w:r>
            <w:r>
              <w:rPr>
                <w:noProof/>
                <w:color w:val="000000" w:themeColor="text1"/>
                <w:sz w:val="20"/>
                <w:szCs w:val="20"/>
              </w:rPr>
              <w:br/>
            </w:r>
            <w:r>
              <w:rPr>
                <w:noProof/>
                <w:color w:val="000000" w:themeColor="text1"/>
                <w:sz w:val="20"/>
                <w:szCs w:val="20"/>
                <w:u w:val="single"/>
              </w:rPr>
              <w:t>CoP18 Doc. 99 A6</w:t>
            </w:r>
          </w:p>
        </w:tc>
        <w:tc>
          <w:tcPr>
            <w:tcW w:w="1423" w:type="dxa"/>
            <w:tcMar>
              <w:top w:w="60" w:type="dxa"/>
              <w:left w:w="135" w:type="dxa"/>
              <w:bottom w:w="60" w:type="dxa"/>
              <w:right w:w="135" w:type="dxa"/>
            </w:tcMar>
            <w:vAlign w:val="center"/>
            <w:hideMark/>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tcPr>
          <w:p w:rsidR="00AA75D1" w:rsidRDefault="00AA75D1">
            <w:pPr>
              <w:spacing w:before="0" w:after="0" w:line="240" w:lineRule="atLeast"/>
              <w:jc w:val="left"/>
              <w:rPr>
                <w:rFonts w:eastAsia="Times New Roman"/>
                <w:noProof/>
                <w:color w:val="000000" w:themeColor="text1"/>
                <w:sz w:val="20"/>
                <w:szCs w:val="20"/>
                <w:lang w:eastAsia="en-GB"/>
              </w:rPr>
            </w:pP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100.</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Liikide kandmine </w:t>
            </w:r>
            <w:r>
              <w:rPr>
                <w:b/>
                <w:noProof/>
                <w:color w:val="000000" w:themeColor="text1"/>
                <w:sz w:val="20"/>
                <w:szCs w:val="20"/>
              </w:rPr>
              <w:t>III lisasse</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i/>
                <w:noProof/>
                <w:color w:val="000000" w:themeColor="text1"/>
                <w:sz w:val="20"/>
                <w:szCs w:val="20"/>
              </w:rPr>
            </w:pPr>
            <w:r>
              <w:rPr>
                <w:i/>
                <w:noProof/>
                <w:color w:val="000000" w:themeColor="text1"/>
                <w:sz w:val="20"/>
                <w:szCs w:val="20"/>
              </w:rPr>
              <w:t>1. märtsi seisuga ei olnud dokument veel kättesaadav.</w:t>
            </w:r>
          </w:p>
        </w:tc>
        <w:tc>
          <w:tcPr>
            <w:tcW w:w="992" w:type="dxa"/>
            <w:tcMar>
              <w:top w:w="60" w:type="dxa"/>
              <w:left w:w="135" w:type="dxa"/>
              <w:bottom w:w="60" w:type="dxa"/>
              <w:right w:w="135" w:type="dxa"/>
            </w:tcMar>
            <w:vAlign w:val="center"/>
            <w:hideMark/>
          </w:tcPr>
          <w:p w:rsidR="00AA75D1" w:rsidRDefault="008A3FF4">
            <w:pPr>
              <w:spacing w:before="0" w:after="0" w:line="240" w:lineRule="atLeast"/>
              <w:rPr>
                <w:rFonts w:eastAsia="Times New Roman"/>
                <w:b/>
                <w:noProof/>
                <w:color w:val="000000" w:themeColor="text1"/>
                <w:sz w:val="20"/>
                <w:szCs w:val="20"/>
              </w:rPr>
            </w:pPr>
            <w:r>
              <w:rPr>
                <w:b/>
                <w:noProof/>
                <w:color w:val="000000" w:themeColor="text1"/>
                <w:sz w:val="20"/>
                <w:szCs w:val="20"/>
              </w:rPr>
              <w:t> </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lastRenderedPageBreak/>
              <w:t>101.</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b/>
                <w:noProof/>
                <w:color w:val="000000" w:themeColor="text1"/>
                <w:sz w:val="20"/>
                <w:szCs w:val="20"/>
              </w:rPr>
              <w:t xml:space="preserve">Märked </w:t>
            </w:r>
            <w:r>
              <w:rPr>
                <w:noProof/>
                <w:color w:val="000000" w:themeColor="text1"/>
                <w:sz w:val="20"/>
                <w:szCs w:val="20"/>
              </w:rPr>
              <w:br/>
            </w:r>
            <w:r>
              <w:rPr>
                <w:noProof/>
                <w:color w:val="000000" w:themeColor="text1"/>
                <w:sz w:val="20"/>
                <w:szCs w:val="20"/>
                <w:u w:val="single"/>
              </w:rPr>
              <w:t>CoP18 Doc. 101</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resolutsiooni Conf. 11.21 (Rev. CoP17) kavandatud muudatust, CITESi lisade tõlgendamist käsitleva osa 7. punkti </w:t>
            </w:r>
            <w:r>
              <w:rPr>
                <w:noProof/>
                <w:color w:val="000000" w:themeColor="text1"/>
                <w:sz w:val="20"/>
                <w:szCs w:val="20"/>
              </w:rPr>
              <w:t>läbivaatamist ning 4. lisas esitatud otsuste eelnõusid. Toetada otsuse 16.162 (Rev. CoP17) kavandatud muudatusi, kuid jääda avatuks võimalikele muudatustele sõltuvalt märget #15 käsitlevate arutelude tulemustest.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102.</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Märked II lisas loetletud </w:t>
            </w:r>
            <w:r>
              <w:rPr>
                <w:b/>
                <w:noProof/>
                <w:color w:val="000000" w:themeColor="text1"/>
                <w:sz w:val="20"/>
                <w:szCs w:val="20"/>
              </w:rPr>
              <w:t>orhideede</w:t>
            </w:r>
            <w:r>
              <w:rPr>
                <w:noProof/>
                <w:color w:val="000000" w:themeColor="text1"/>
                <w:sz w:val="20"/>
                <w:szCs w:val="20"/>
              </w:rPr>
              <w:t xml:space="preserve"> kohta </w:t>
            </w:r>
            <w:r>
              <w:rPr>
                <w:noProof/>
                <w:color w:val="000000" w:themeColor="text1"/>
                <w:sz w:val="20"/>
                <w:szCs w:val="20"/>
                <w:u w:val="single"/>
              </w:rPr>
              <w:t>CoP18 Doc. 102</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Toetada mõiste „kosmeetika“ määratluse kavandit ja kavandatud otsuste vastuvõtmist.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Pr>
        <w:tc>
          <w:tcPr>
            <w:tcW w:w="0" w:type="auto"/>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103.</w:t>
            </w:r>
          </w:p>
        </w:tc>
        <w:tc>
          <w:tcPr>
            <w:tcW w:w="3731" w:type="dxa"/>
            <w:gridSpan w:val="4"/>
            <w:shd w:val="clear" w:color="auto" w:fill="auto"/>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 xml:space="preserve">Juhised lisade </w:t>
            </w:r>
            <w:r>
              <w:rPr>
                <w:b/>
                <w:noProof/>
                <w:color w:val="000000" w:themeColor="text1"/>
                <w:sz w:val="20"/>
                <w:szCs w:val="20"/>
              </w:rPr>
              <w:t>avaldamiseks</w:t>
            </w:r>
            <w:r>
              <w:rPr>
                <w:noProof/>
                <w:color w:val="000000" w:themeColor="text1"/>
                <w:sz w:val="20"/>
                <w:szCs w:val="20"/>
              </w:rPr>
              <w:t xml:space="preserve"> </w:t>
            </w:r>
            <w:r>
              <w:rPr>
                <w:noProof/>
                <w:color w:val="000000" w:themeColor="text1"/>
                <w:sz w:val="20"/>
                <w:szCs w:val="20"/>
              </w:rPr>
              <w:br/>
            </w:r>
            <w:r>
              <w:rPr>
                <w:noProof/>
                <w:color w:val="000000" w:themeColor="text1"/>
                <w:sz w:val="20"/>
                <w:szCs w:val="20"/>
                <w:u w:val="single"/>
              </w:rPr>
              <w:t>CoP18 Doc. 103</w:t>
            </w:r>
          </w:p>
        </w:tc>
        <w:tc>
          <w:tcPr>
            <w:tcW w:w="1423" w:type="dxa"/>
            <w:shd w:val="clear" w:color="auto" w:fill="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CA</w:t>
            </w:r>
          </w:p>
        </w:tc>
        <w:tc>
          <w:tcPr>
            <w:tcW w:w="2410" w:type="dxa"/>
            <w:shd w:val="clear" w:color="auto" w:fill="auto"/>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Arutada, kas kavandatud juhiseid märgete kohta on tarvis, sh sekretariaadi </w:t>
            </w:r>
            <w:r>
              <w:rPr>
                <w:noProof/>
                <w:color w:val="000000" w:themeColor="text1"/>
                <w:sz w:val="20"/>
                <w:szCs w:val="20"/>
              </w:rPr>
              <w:t>edaspidiste märkuste kontekstis.</w:t>
            </w:r>
          </w:p>
        </w:tc>
        <w:tc>
          <w:tcPr>
            <w:tcW w:w="992" w:type="dxa"/>
            <w:shd w:val="clear" w:color="auto" w:fill="auto"/>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0</w:t>
            </w:r>
          </w:p>
        </w:tc>
      </w:tr>
      <w:tr w:rsidR="00AA75D1">
        <w:trPr>
          <w:cantSplit/>
        </w:trPr>
        <w:tc>
          <w:tcPr>
            <w:tcW w:w="0" w:type="auto"/>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104.</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Resolutsiooni Conf. 10.9 (</w:t>
            </w:r>
            <w:r>
              <w:rPr>
                <w:i/>
                <w:noProof/>
                <w:color w:val="000000" w:themeColor="text1"/>
                <w:sz w:val="20"/>
                <w:szCs w:val="20"/>
              </w:rPr>
              <w:t xml:space="preserve">aafrika </w:t>
            </w:r>
            <w:r>
              <w:rPr>
                <w:b/>
                <w:i/>
                <w:noProof/>
                <w:color w:val="000000" w:themeColor="text1"/>
                <w:sz w:val="20"/>
                <w:szCs w:val="20"/>
              </w:rPr>
              <w:t xml:space="preserve">savannielevantide populatsioonide üleviimist I lisast II lisasse </w:t>
            </w:r>
            <w:r>
              <w:rPr>
                <w:i/>
                <w:noProof/>
                <w:color w:val="000000" w:themeColor="text1"/>
                <w:sz w:val="20"/>
                <w:szCs w:val="20"/>
              </w:rPr>
              <w:t>käsitlevate ettepanekute arutamise kohta</w:t>
            </w:r>
            <w:r>
              <w:rPr>
                <w:noProof/>
                <w:color w:val="000000" w:themeColor="text1"/>
                <w:sz w:val="20"/>
                <w:szCs w:val="20"/>
              </w:rPr>
              <w:t>) läbivaatamine</w:t>
            </w:r>
            <w:r>
              <w:rPr>
                <w:noProof/>
                <w:color w:val="000000" w:themeColor="text1"/>
                <w:sz w:val="20"/>
                <w:szCs w:val="20"/>
              </w:rPr>
              <w:br/>
            </w:r>
            <w:r>
              <w:rPr>
                <w:noProof/>
                <w:color w:val="000000" w:themeColor="text1"/>
                <w:sz w:val="20"/>
                <w:szCs w:val="20"/>
                <w:u w:val="single"/>
              </w:rPr>
              <w:t>CoP18 Doc. 104</w:t>
            </w:r>
          </w:p>
        </w:tc>
        <w:tc>
          <w:tcPr>
            <w:tcW w:w="1423"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Alaline komitee</w:t>
            </w:r>
          </w:p>
        </w:tc>
        <w:tc>
          <w:tcPr>
            <w:tcW w:w="2410" w:type="dxa"/>
            <w:tcMar>
              <w:top w:w="60" w:type="dxa"/>
              <w:left w:w="135" w:type="dxa"/>
              <w:bottom w:w="60" w:type="dxa"/>
              <w:right w:w="135" w:type="dxa"/>
            </w:tcMar>
            <w:vAlign w:val="center"/>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xml:space="preserve">Toetada resolutsiooni </w:t>
            </w:r>
            <w:r>
              <w:rPr>
                <w:noProof/>
                <w:color w:val="000000" w:themeColor="text1"/>
                <w:sz w:val="20"/>
                <w:szCs w:val="20"/>
              </w:rPr>
              <w:t>tühistamise ettepanekut ja seonduva otsuse väljajätmist.</w:t>
            </w:r>
          </w:p>
        </w:tc>
        <w:tc>
          <w:tcPr>
            <w:tcW w:w="992" w:type="dxa"/>
            <w:tcMar>
              <w:top w:w="60" w:type="dxa"/>
              <w:left w:w="135" w:type="dxa"/>
              <w:bottom w:w="60" w:type="dxa"/>
              <w:right w:w="135" w:type="dxa"/>
            </w:tcMar>
            <w:vAlign w:val="center"/>
            <w:hideMark/>
          </w:tcPr>
          <w:p w:rsidR="00AA75D1" w:rsidRDefault="008A3FF4">
            <w:pPr>
              <w:spacing w:before="0" w:after="0" w:line="240" w:lineRule="atLeast"/>
              <w:jc w:val="center"/>
              <w:rPr>
                <w:rFonts w:eastAsia="Times New Roman"/>
                <w:b/>
                <w:noProof/>
                <w:color w:val="000000" w:themeColor="text1"/>
                <w:sz w:val="20"/>
                <w:szCs w:val="20"/>
              </w:rPr>
            </w:pPr>
            <w:r>
              <w:rPr>
                <w:b/>
                <w:noProof/>
                <w:color w:val="000000" w:themeColor="text1"/>
                <w:sz w:val="20"/>
                <w:szCs w:val="20"/>
              </w:rPr>
              <w:t>+</w:t>
            </w:r>
          </w:p>
        </w:tc>
      </w:tr>
      <w:tr w:rsidR="00AA75D1">
        <w:trPr>
          <w:cantSplit/>
          <w:trHeight w:val="326"/>
        </w:trPr>
        <w:tc>
          <w:tcPr>
            <w:tcW w:w="9207" w:type="dxa"/>
            <w:gridSpan w:val="8"/>
            <w:tcMar>
              <w:top w:w="60" w:type="dxa"/>
              <w:left w:w="135" w:type="dxa"/>
              <w:bottom w:w="60" w:type="dxa"/>
              <w:right w:w="135" w:type="dxa"/>
            </w:tcMar>
            <w:hideMark/>
          </w:tcPr>
          <w:p w:rsidR="00AA75D1" w:rsidRDefault="008A3FF4">
            <w:pPr>
              <w:keepNext/>
              <w:spacing w:before="0" w:after="0"/>
              <w:jc w:val="left"/>
              <w:rPr>
                <w:rFonts w:eastAsia="Times New Roman"/>
                <w:b/>
                <w:bCs/>
                <w:noProof/>
                <w:color w:val="000000" w:themeColor="text1"/>
                <w:sz w:val="20"/>
                <w:szCs w:val="20"/>
              </w:rPr>
            </w:pPr>
            <w:r>
              <w:rPr>
                <w:b/>
                <w:bCs/>
                <w:noProof/>
                <w:color w:val="000000" w:themeColor="text1"/>
                <w:sz w:val="20"/>
                <w:szCs w:val="20"/>
              </w:rPr>
              <w:t>Lisade muutmise ettepanekud</w:t>
            </w:r>
          </w:p>
        </w:tc>
      </w:tr>
      <w:tr w:rsidR="00AA75D1">
        <w:trPr>
          <w:cantSplit/>
        </w:trPr>
        <w:tc>
          <w:tcPr>
            <w:tcW w:w="651"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105.</w:t>
            </w:r>
          </w:p>
        </w:tc>
        <w:tc>
          <w:tcPr>
            <w:tcW w:w="3731" w:type="dxa"/>
            <w:gridSpan w:val="4"/>
            <w:tcMar>
              <w:top w:w="60" w:type="dxa"/>
              <w:left w:w="135" w:type="dxa"/>
              <w:bottom w:w="60" w:type="dxa"/>
              <w:right w:w="135" w:type="dxa"/>
            </w:tcMar>
            <w:vAlign w:val="center"/>
            <w:hideMark/>
          </w:tcPr>
          <w:p w:rsidR="00AA75D1" w:rsidRDefault="008A3FF4">
            <w:pPr>
              <w:keepNext/>
              <w:spacing w:before="0" w:after="0" w:line="240" w:lineRule="atLeast"/>
              <w:jc w:val="left"/>
              <w:rPr>
                <w:rFonts w:eastAsia="Times New Roman"/>
                <w:noProof/>
                <w:color w:val="000000" w:themeColor="text1"/>
                <w:sz w:val="20"/>
                <w:szCs w:val="20"/>
              </w:rPr>
            </w:pPr>
            <w:r>
              <w:rPr>
                <w:noProof/>
                <w:color w:val="000000" w:themeColor="text1"/>
                <w:sz w:val="20"/>
                <w:szCs w:val="20"/>
              </w:rPr>
              <w:t>I ja II lisa muutmise ettepanekud</w:t>
            </w:r>
          </w:p>
        </w:tc>
        <w:tc>
          <w:tcPr>
            <w:tcW w:w="1423" w:type="dxa"/>
            <w:tcMar>
              <w:top w:w="60" w:type="dxa"/>
              <w:left w:w="135" w:type="dxa"/>
              <w:bottom w:w="60" w:type="dxa"/>
              <w:right w:w="135" w:type="dxa"/>
            </w:tcMar>
            <w:vAlign w:val="center"/>
            <w:hideMark/>
          </w:tcPr>
          <w:p w:rsidR="00AA75D1" w:rsidRDefault="008A3FF4">
            <w:pPr>
              <w:keepNext/>
              <w:spacing w:before="0" w:after="0" w:line="240" w:lineRule="atLeast"/>
              <w:rPr>
                <w:rFonts w:eastAsia="Times New Roman"/>
                <w:noProof/>
                <w:color w:val="000000" w:themeColor="text1"/>
                <w:sz w:val="20"/>
                <w:szCs w:val="20"/>
              </w:rPr>
            </w:pPr>
            <w:r>
              <w:rPr>
                <w:noProof/>
                <w:color w:val="000000" w:themeColor="text1"/>
                <w:sz w:val="20"/>
                <w:szCs w:val="20"/>
              </w:rPr>
              <w:t> </w:t>
            </w:r>
          </w:p>
        </w:tc>
        <w:tc>
          <w:tcPr>
            <w:tcW w:w="2410" w:type="dxa"/>
            <w:tcMar>
              <w:top w:w="60" w:type="dxa"/>
              <w:left w:w="135" w:type="dxa"/>
              <w:bottom w:w="60" w:type="dxa"/>
              <w:right w:w="135" w:type="dxa"/>
            </w:tcMar>
            <w:vAlign w:val="center"/>
            <w:hideMark/>
          </w:tcPr>
          <w:p w:rsidR="00AA75D1" w:rsidRDefault="008A3FF4">
            <w:pPr>
              <w:keepNext/>
              <w:spacing w:before="0" w:after="0"/>
              <w:jc w:val="left"/>
              <w:rPr>
                <w:rFonts w:eastAsia="Times New Roman"/>
                <w:i/>
                <w:noProof/>
                <w:color w:val="000000" w:themeColor="text1"/>
                <w:sz w:val="20"/>
                <w:szCs w:val="20"/>
              </w:rPr>
            </w:pPr>
            <w:r>
              <w:rPr>
                <w:i/>
                <w:noProof/>
                <w:color w:val="000000" w:themeColor="text1"/>
                <w:sz w:val="20"/>
                <w:szCs w:val="20"/>
              </w:rPr>
              <w:t>Lisadesse kandmise ettepanekuid käsitletakse allpool käesoleva dokumendi teises osas.</w:t>
            </w:r>
          </w:p>
        </w:tc>
        <w:tc>
          <w:tcPr>
            <w:tcW w:w="992" w:type="dxa"/>
            <w:tcMar>
              <w:top w:w="60" w:type="dxa"/>
              <w:left w:w="135" w:type="dxa"/>
              <w:bottom w:w="60" w:type="dxa"/>
              <w:right w:w="135" w:type="dxa"/>
            </w:tcMar>
            <w:vAlign w:val="center"/>
            <w:hideMark/>
          </w:tcPr>
          <w:p w:rsidR="00AA75D1" w:rsidRDefault="00AA75D1">
            <w:pPr>
              <w:keepNext/>
              <w:spacing w:before="0" w:after="0" w:line="240" w:lineRule="atLeast"/>
              <w:jc w:val="center"/>
              <w:rPr>
                <w:rFonts w:eastAsia="Times New Roman"/>
                <w:b/>
                <w:noProof/>
                <w:color w:val="000000" w:themeColor="text1"/>
                <w:sz w:val="20"/>
                <w:szCs w:val="20"/>
                <w:lang w:eastAsia="en-GB"/>
              </w:rPr>
            </w:pPr>
          </w:p>
        </w:tc>
      </w:tr>
      <w:tr w:rsidR="00AA75D1">
        <w:trPr>
          <w:cantSplit/>
        </w:trPr>
        <w:tc>
          <w:tcPr>
            <w:tcW w:w="9207" w:type="dxa"/>
            <w:gridSpan w:val="8"/>
            <w:tcMar>
              <w:top w:w="60" w:type="dxa"/>
              <w:left w:w="135" w:type="dxa"/>
              <w:bottom w:w="60" w:type="dxa"/>
              <w:right w:w="135" w:type="dxa"/>
            </w:tcMar>
            <w:hideMark/>
          </w:tcPr>
          <w:p w:rsidR="00AA75D1" w:rsidRDefault="008A3FF4">
            <w:pPr>
              <w:keepNext/>
              <w:spacing w:before="0" w:after="0"/>
              <w:jc w:val="left"/>
              <w:rPr>
                <w:rFonts w:eastAsia="Times New Roman"/>
                <w:b/>
                <w:bCs/>
                <w:noProof/>
                <w:color w:val="000000" w:themeColor="text1"/>
                <w:sz w:val="20"/>
                <w:szCs w:val="20"/>
              </w:rPr>
            </w:pPr>
            <w:r>
              <w:rPr>
                <w:b/>
                <w:bCs/>
                <w:noProof/>
                <w:color w:val="000000" w:themeColor="text1"/>
                <w:sz w:val="20"/>
                <w:szCs w:val="20"/>
              </w:rPr>
              <w:t>Istungi lõpetamine</w:t>
            </w:r>
          </w:p>
        </w:tc>
      </w:tr>
      <w:tr w:rsidR="00AA75D1">
        <w:trPr>
          <w:cantSplit/>
        </w:trPr>
        <w:tc>
          <w:tcPr>
            <w:tcW w:w="651"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106.</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Konventsiooniosaliste konverentsi järgmise korralise istungi aja ja koha kindlaksmääramine (dokument puudub)</w:t>
            </w: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Dokument puudub</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r w:rsidR="00AA75D1">
        <w:trPr>
          <w:cantSplit/>
        </w:trPr>
        <w:tc>
          <w:tcPr>
            <w:tcW w:w="651" w:type="dxa"/>
            <w:tcMar>
              <w:top w:w="60" w:type="dxa"/>
              <w:left w:w="135" w:type="dxa"/>
              <w:bottom w:w="60" w:type="dxa"/>
              <w:right w:w="135" w:type="dxa"/>
            </w:tcMar>
            <w:vAlign w:val="center"/>
            <w:hideMark/>
          </w:tcPr>
          <w:p w:rsidR="00AA75D1" w:rsidRDefault="008A3FF4">
            <w:pPr>
              <w:spacing w:before="0" w:after="0" w:line="240" w:lineRule="atLeast"/>
              <w:rPr>
                <w:rFonts w:eastAsia="Times New Roman"/>
                <w:noProof/>
                <w:color w:val="000000" w:themeColor="text1"/>
                <w:sz w:val="20"/>
                <w:szCs w:val="20"/>
              </w:rPr>
            </w:pPr>
            <w:r>
              <w:rPr>
                <w:noProof/>
                <w:color w:val="000000" w:themeColor="text1"/>
                <w:sz w:val="20"/>
                <w:szCs w:val="20"/>
              </w:rPr>
              <w:t>107.</w:t>
            </w:r>
          </w:p>
        </w:tc>
        <w:tc>
          <w:tcPr>
            <w:tcW w:w="3731" w:type="dxa"/>
            <w:gridSpan w:val="4"/>
            <w:tcMar>
              <w:top w:w="60" w:type="dxa"/>
              <w:left w:w="135" w:type="dxa"/>
              <w:bottom w:w="60" w:type="dxa"/>
              <w:right w:w="135" w:type="dxa"/>
            </w:tcMar>
            <w:vAlign w:val="center"/>
            <w:hideMark/>
          </w:tcPr>
          <w:p w:rsidR="00AA75D1" w:rsidRDefault="008A3FF4">
            <w:pPr>
              <w:spacing w:before="0" w:after="0" w:line="240" w:lineRule="atLeast"/>
              <w:jc w:val="left"/>
              <w:rPr>
                <w:rFonts w:eastAsia="Times New Roman"/>
                <w:noProof/>
                <w:color w:val="000000" w:themeColor="text1"/>
                <w:sz w:val="20"/>
                <w:szCs w:val="20"/>
              </w:rPr>
            </w:pPr>
            <w:r>
              <w:rPr>
                <w:noProof/>
                <w:color w:val="000000" w:themeColor="text1"/>
                <w:sz w:val="20"/>
                <w:szCs w:val="20"/>
              </w:rPr>
              <w:t>Lõppsõna (vaatlejad, osalised, CITESi peasekretär, vastuvõtjariik) (dokument puudub)</w:t>
            </w:r>
          </w:p>
        </w:tc>
        <w:tc>
          <w:tcPr>
            <w:tcW w:w="1423" w:type="dxa"/>
            <w:tcMar>
              <w:top w:w="60" w:type="dxa"/>
              <w:left w:w="135" w:type="dxa"/>
              <w:bottom w:w="60" w:type="dxa"/>
              <w:right w:w="135" w:type="dxa"/>
            </w:tcMar>
            <w:vAlign w:val="center"/>
          </w:tcPr>
          <w:p w:rsidR="00AA75D1" w:rsidRDefault="00AA75D1">
            <w:pPr>
              <w:spacing w:before="0" w:after="0" w:line="240" w:lineRule="atLeast"/>
              <w:rPr>
                <w:rFonts w:eastAsia="Times New Roman"/>
                <w:noProof/>
                <w:color w:val="000000" w:themeColor="text1"/>
                <w:sz w:val="20"/>
                <w:szCs w:val="20"/>
                <w:lang w:eastAsia="en-GB"/>
              </w:rPr>
            </w:pPr>
          </w:p>
        </w:tc>
        <w:tc>
          <w:tcPr>
            <w:tcW w:w="2410" w:type="dxa"/>
            <w:tcMar>
              <w:top w:w="60" w:type="dxa"/>
              <w:left w:w="135" w:type="dxa"/>
              <w:bottom w:w="60" w:type="dxa"/>
              <w:right w:w="135" w:type="dxa"/>
            </w:tcMar>
            <w:vAlign w:val="center"/>
            <w:hideMark/>
          </w:tcPr>
          <w:p w:rsidR="00AA75D1" w:rsidRDefault="008A3FF4">
            <w:pPr>
              <w:spacing w:before="0" w:after="0"/>
              <w:jc w:val="left"/>
              <w:rPr>
                <w:rFonts w:eastAsia="Times New Roman"/>
                <w:noProof/>
                <w:color w:val="000000" w:themeColor="text1"/>
                <w:sz w:val="20"/>
                <w:szCs w:val="20"/>
              </w:rPr>
            </w:pPr>
            <w:r>
              <w:rPr>
                <w:noProof/>
                <w:color w:val="000000" w:themeColor="text1"/>
                <w:sz w:val="20"/>
                <w:szCs w:val="20"/>
              </w:rPr>
              <w:t> Dokument puudub</w:t>
            </w:r>
          </w:p>
        </w:tc>
        <w:tc>
          <w:tcPr>
            <w:tcW w:w="992" w:type="dxa"/>
            <w:tcMar>
              <w:top w:w="60" w:type="dxa"/>
              <w:left w:w="135" w:type="dxa"/>
              <w:bottom w:w="60" w:type="dxa"/>
              <w:right w:w="135" w:type="dxa"/>
            </w:tcMar>
            <w:vAlign w:val="center"/>
            <w:hideMark/>
          </w:tcPr>
          <w:p w:rsidR="00AA75D1" w:rsidRDefault="00AA75D1">
            <w:pPr>
              <w:spacing w:before="0" w:after="0" w:line="240" w:lineRule="atLeast"/>
              <w:jc w:val="center"/>
              <w:rPr>
                <w:rFonts w:eastAsia="Times New Roman"/>
                <w:b/>
                <w:noProof/>
                <w:color w:val="000000" w:themeColor="text1"/>
                <w:sz w:val="20"/>
                <w:szCs w:val="20"/>
                <w:lang w:eastAsia="en-GB"/>
              </w:rPr>
            </w:pPr>
          </w:p>
        </w:tc>
      </w:tr>
    </w:tbl>
    <w:p w:rsidR="00AA75D1" w:rsidRDefault="008A3FF4">
      <w:pPr>
        <w:rPr>
          <w:noProof/>
          <w:color w:val="000000" w:themeColor="text1"/>
          <w:szCs w:val="24"/>
          <w:highlight w:val="yellow"/>
        </w:rPr>
      </w:pPr>
      <w:r>
        <w:rPr>
          <w:noProof/>
        </w:rPr>
        <w:br w:type="page"/>
      </w:r>
    </w:p>
    <w:p w:rsidR="00AA75D1" w:rsidRDefault="008A3FF4">
      <w:pPr>
        <w:pStyle w:val="Heading1"/>
        <w:rPr>
          <w:noProof/>
        </w:rPr>
      </w:pPr>
      <w:r>
        <w:rPr>
          <w:noProof/>
        </w:rPr>
        <w:lastRenderedPageBreak/>
        <w:t xml:space="preserve">Ettepanekud </w:t>
      </w:r>
      <w:r>
        <w:rPr>
          <w:noProof/>
        </w:rPr>
        <w:t>lisadesse kandmise kohta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1"/>
        <w:gridCol w:w="1985"/>
        <w:gridCol w:w="1702"/>
        <w:gridCol w:w="2179"/>
        <w:gridCol w:w="905"/>
      </w:tblGrid>
      <w:tr w:rsidR="00AA75D1">
        <w:trPr>
          <w:tblHeader/>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b/>
                <w:noProof/>
                <w:color w:val="000000" w:themeColor="text1"/>
                <w:sz w:val="20"/>
                <w:szCs w:val="20"/>
              </w:rPr>
            </w:pPr>
            <w:r>
              <w:rPr>
                <w:b/>
                <w:noProof/>
                <w:color w:val="000000" w:themeColor="text1"/>
                <w:sz w:val="20"/>
                <w:szCs w:val="20"/>
              </w:rPr>
              <w:t>Nr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b/>
                <w:noProof/>
                <w:color w:val="000000" w:themeColor="text1"/>
                <w:sz w:val="20"/>
                <w:szCs w:val="20"/>
              </w:rPr>
            </w:pPr>
            <w:r>
              <w:rPr>
                <w:b/>
                <w:noProof/>
                <w:color w:val="000000" w:themeColor="text1"/>
                <w:sz w:val="20"/>
                <w:szCs w:val="20"/>
              </w:rPr>
              <w:t>Takson / üksikasjad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b/>
                <w:noProof/>
                <w:color w:val="000000" w:themeColor="text1"/>
                <w:sz w:val="20"/>
                <w:szCs w:val="20"/>
              </w:rPr>
            </w:pPr>
            <w:r>
              <w:rPr>
                <w:b/>
                <w:noProof/>
                <w:color w:val="000000" w:themeColor="text1"/>
                <w:sz w:val="20"/>
                <w:szCs w:val="20"/>
              </w:rPr>
              <w:t>Ettepanek</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b/>
                <w:noProof/>
                <w:color w:val="000000" w:themeColor="text1"/>
                <w:sz w:val="20"/>
                <w:szCs w:val="20"/>
              </w:rPr>
            </w:pPr>
            <w:r>
              <w:rPr>
                <w:b/>
                <w:noProof/>
                <w:color w:val="000000" w:themeColor="text1"/>
                <w:sz w:val="20"/>
                <w:szCs w:val="20"/>
              </w:rPr>
              <w:t>Esitaja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b/>
                <w:noProof/>
                <w:color w:val="000000" w:themeColor="text1"/>
                <w:sz w:val="20"/>
                <w:szCs w:val="20"/>
              </w:rPr>
            </w:pPr>
            <w:r>
              <w:rPr>
                <w:b/>
                <w:noProof/>
                <w:color w:val="000000" w:themeColor="text1"/>
                <w:sz w:val="20"/>
                <w:szCs w:val="20"/>
              </w:rPr>
              <w:t>Märkused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b/>
                <w:noProof/>
                <w:color w:val="000000" w:themeColor="text1"/>
                <w:sz w:val="20"/>
                <w:szCs w:val="20"/>
              </w:rPr>
            </w:pPr>
            <w:r>
              <w:rPr>
                <w:b/>
                <w:noProof/>
                <w:color w:val="000000" w:themeColor="text1"/>
                <w:sz w:val="20"/>
                <w:szCs w:val="20"/>
              </w:rPr>
              <w:t>Seisukoht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 xml:space="preserve">Capra falconeri heptneri </w:t>
            </w:r>
            <w:r>
              <w:rPr>
                <w:i/>
                <w:iCs/>
                <w:noProof/>
                <w:color w:val="000000" w:themeColor="text1"/>
                <w:sz w:val="20"/>
                <w:szCs w:val="20"/>
              </w:rPr>
              <w:br/>
            </w:r>
            <w:r>
              <w:rPr>
                <w:rStyle w:val="Bodytext2"/>
                <w:rFonts w:ascii="Times New Roman" w:hAnsi="Times New Roman"/>
                <w:noProof/>
                <w:color w:val="000000" w:themeColor="text1"/>
                <w:sz w:val="20"/>
                <w:szCs w:val="20"/>
              </w:rPr>
              <w:t>(tadžiki keerdsarvkits ehk tadžiki markuur)</w:t>
            </w:r>
            <w:r>
              <w:rPr>
                <w:rStyle w:val="Bodytext2"/>
                <w:rFonts w:ascii="Times New Roman" w:hAnsi="Times New Roman"/>
                <w:noProof/>
                <w:color w:val="000000" w:themeColor="text1"/>
                <w:sz w:val="20"/>
                <w:szCs w:val="20"/>
              </w:rPr>
              <w:br/>
            </w:r>
            <w:r>
              <w:rPr>
                <w:noProof/>
                <w:color w:val="000000" w:themeColor="text1"/>
                <w:sz w:val="20"/>
                <w:szCs w:val="20"/>
              </w:rPr>
              <w:t>(Tadžikistani populatsioon)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Tadžikistani populatsioon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Tadžikistan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Tundub, et populatsioon on suurenemas ning I lisas loetletud liikide puhul kohaldatavad CITESi sätted jahipidamise korralduse kohta on toonud tulu, mis suunatakse tagasi kogukondadesse ja kaitsetegevusse. Ettepanekus ei ole aga esitatud kaaluka</w:t>
            </w:r>
            <w:r>
              <w:rPr>
                <w:noProof/>
                <w:color w:val="000000" w:themeColor="text1"/>
                <w:sz w:val="20"/>
                <w:szCs w:val="20"/>
              </w:rPr>
              <w:t>id tõendeid selle kohta, et resolutsiooni Conf. 9.24 4.lisas sisalduvad ennetavad kaitsemeetmed on täidetud; üleviimine väiksemat kaitset pakkuvasse lisasse tooks kaasa kauplemise mahu suurenemise ja ei ole tagatisi, et sellest saadav tulu suunatakse liigi</w:t>
            </w:r>
            <w:r>
              <w:rPr>
                <w:noProof/>
                <w:color w:val="000000" w:themeColor="text1"/>
                <w:sz w:val="20"/>
                <w:szCs w:val="20"/>
              </w:rPr>
              <w:t xml:space="preserve"> kaitsmisse. IUCN on soovitanud säilitada ja tugevdada praegust korraldust.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Saiga tatarica</w:t>
            </w:r>
            <w:r>
              <w:rPr>
                <w:i/>
                <w:iCs/>
                <w:noProof/>
                <w:color w:val="000000" w:themeColor="text1"/>
                <w:sz w:val="20"/>
                <w:szCs w:val="20"/>
              </w:rPr>
              <w:br/>
            </w:r>
            <w:r>
              <w:rPr>
                <w:iCs/>
                <w:noProof/>
                <w:color w:val="000000" w:themeColor="text1"/>
                <w:sz w:val="20"/>
                <w:szCs w:val="20"/>
              </w:rPr>
              <w:t>(saiga)</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Mongoolia, </w:t>
            </w:r>
            <w:r>
              <w:rPr>
                <w:noProof/>
                <w:color w:val="000000" w:themeColor="text1"/>
                <w:sz w:val="20"/>
                <w:szCs w:val="20"/>
              </w:rPr>
              <w:br/>
              <w:t xml:space="preserve">Ameerika Ühendriigid </w:t>
            </w:r>
          </w:p>
          <w:p w:rsidR="00AA75D1" w:rsidRDefault="00AA75D1">
            <w:pPr>
              <w:spacing w:after="0"/>
              <w:jc w:val="left"/>
              <w:rPr>
                <w:rFonts w:eastAsia="Times New Roman"/>
                <w:noProof/>
                <w:color w:val="000000" w:themeColor="text1"/>
                <w:sz w:val="20"/>
                <w:szCs w:val="20"/>
                <w:lang w:eastAsia="en-GB"/>
              </w:rPr>
            </w:pP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Taksonoomilisi probleeme on vaja põhjalikumalt analüüsida ja selgitada, sh seda, kas lisasse kandmise ettepanekutes võib kasutada CITESi osaliste konverentsi vastuvõetud standardnomenklatuurist erinevat nomenklatuuri (vt resolutsiooni 9.24 6. lisa, punkt C</w:t>
            </w:r>
            <w:r>
              <w:rPr>
                <w:noProof/>
                <w:color w:val="000000" w:themeColor="text1"/>
                <w:sz w:val="20"/>
                <w:szCs w:val="20"/>
              </w:rPr>
              <w:t xml:space="preserve">-1.4). Ettepaneku kohaselt kuuluvad kõiki nüüdisaegsed saigad ühte liiki kooskõlas IUCNi punase raamatuga. Samas eristatakse kehtivas CITESi taksonoomilises viitesüsteemis Mongoolia populatsiooni alaliigina </w:t>
            </w:r>
            <w:r>
              <w:rPr>
                <w:i/>
                <w:noProof/>
                <w:color w:val="000000" w:themeColor="text1"/>
                <w:sz w:val="20"/>
                <w:szCs w:val="20"/>
              </w:rPr>
              <w:t>S. borealis.</w:t>
            </w:r>
            <w:r>
              <w:rPr>
                <w:noProof/>
                <w:color w:val="000000" w:themeColor="text1"/>
                <w:sz w:val="20"/>
                <w:szCs w:val="20"/>
              </w:rPr>
              <w:t xml:space="preserve"> Seega tundub, et ettepanek </w:t>
            </w:r>
            <w:r>
              <w:rPr>
                <w:noProof/>
                <w:color w:val="000000" w:themeColor="text1"/>
                <w:sz w:val="20"/>
                <w:szCs w:val="20"/>
              </w:rPr>
              <w:lastRenderedPageBreak/>
              <w:t>mongoolia</w:t>
            </w:r>
            <w:r>
              <w:rPr>
                <w:noProof/>
                <w:color w:val="000000" w:themeColor="text1"/>
                <w:sz w:val="20"/>
                <w:szCs w:val="20"/>
              </w:rPr>
              <w:t xml:space="preserve"> saigat / alaliiki </w:t>
            </w:r>
            <w:r>
              <w:rPr>
                <w:i/>
                <w:noProof/>
                <w:color w:val="000000" w:themeColor="text1"/>
                <w:sz w:val="20"/>
                <w:szCs w:val="20"/>
              </w:rPr>
              <w:t xml:space="preserve">S. borealis </w:t>
            </w:r>
            <w:r>
              <w:rPr>
                <w:noProof/>
                <w:color w:val="000000" w:themeColor="text1"/>
                <w:sz w:val="20"/>
                <w:szCs w:val="20"/>
              </w:rPr>
              <w:t xml:space="preserve">ei hõlma. Sellises olukorras tuleks ettepanekut mitte toetada, et vältida </w:t>
            </w:r>
            <w:r>
              <w:rPr>
                <w:i/>
                <w:noProof/>
                <w:color w:val="000000" w:themeColor="text1"/>
                <w:sz w:val="20"/>
                <w:szCs w:val="20"/>
              </w:rPr>
              <w:t>S. tatarica</w:t>
            </w:r>
            <w:r>
              <w:rPr>
                <w:noProof/>
                <w:color w:val="000000" w:themeColor="text1"/>
                <w:sz w:val="20"/>
                <w:szCs w:val="20"/>
              </w:rPr>
              <w:t xml:space="preserve"> I lisasse kandmise negatiivset mõju alaliigi </w:t>
            </w:r>
            <w:r>
              <w:rPr>
                <w:i/>
                <w:noProof/>
                <w:color w:val="000000" w:themeColor="text1"/>
                <w:sz w:val="20"/>
                <w:szCs w:val="20"/>
              </w:rPr>
              <w:t>S. borealis</w:t>
            </w:r>
            <w:r>
              <w:rPr>
                <w:noProof/>
                <w:color w:val="000000" w:themeColor="text1"/>
                <w:sz w:val="20"/>
                <w:szCs w:val="20"/>
              </w:rPr>
              <w:t xml:space="preserve"> populatsioonile.</w:t>
            </w:r>
          </w:p>
          <w:p w:rsidR="00AA75D1" w:rsidRDefault="008A3FF4">
            <w:pPr>
              <w:spacing w:after="0"/>
              <w:jc w:val="left"/>
              <w:rPr>
                <w:noProof/>
                <w:color w:val="000000" w:themeColor="text1"/>
                <w:sz w:val="20"/>
                <w:szCs w:val="20"/>
              </w:rPr>
            </w:pPr>
            <w:r>
              <w:rPr>
                <w:noProof/>
                <w:color w:val="000000" w:themeColor="text1"/>
                <w:sz w:val="20"/>
                <w:szCs w:val="20"/>
              </w:rPr>
              <w:t>Juhul, kui nomenklatuuri selgitamise tulemusel on CoP18-l võimali</w:t>
            </w:r>
            <w:r>
              <w:rPr>
                <w:noProof/>
                <w:color w:val="000000" w:themeColor="text1"/>
                <w:sz w:val="20"/>
                <w:szCs w:val="20"/>
              </w:rPr>
              <w:t xml:space="preserve">k kogu perekond loetellu kanda, peaks EL kaaluma sellise ettepaneku või vastavalt muudetud ettepaneku, mille tulemusel kantakse Mongoolia populatsioon / </w:t>
            </w:r>
            <w:r>
              <w:rPr>
                <w:i/>
                <w:noProof/>
                <w:color w:val="000000" w:themeColor="text1"/>
                <w:sz w:val="20"/>
                <w:szCs w:val="20"/>
              </w:rPr>
              <w:t>S. borealis</w:t>
            </w:r>
            <w:r>
              <w:rPr>
                <w:noProof/>
                <w:color w:val="000000" w:themeColor="text1"/>
                <w:sz w:val="20"/>
                <w:szCs w:val="20"/>
              </w:rPr>
              <w:t xml:space="preserve"> I lisasse, toetamist.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Vicugna vicugna</w:t>
            </w:r>
            <w:r>
              <w:rPr>
                <w:i/>
                <w:iCs/>
                <w:noProof/>
                <w:color w:val="000000" w:themeColor="text1"/>
                <w:sz w:val="20"/>
                <w:szCs w:val="20"/>
              </w:rPr>
              <w:br/>
            </w:r>
            <w:r>
              <w:rPr>
                <w:noProof/>
                <w:color w:val="000000" w:themeColor="text1"/>
                <w:sz w:val="20"/>
                <w:szCs w:val="20"/>
              </w:rPr>
              <w:t>(vikunja)</w:t>
            </w:r>
            <w:r>
              <w:rPr>
                <w:noProof/>
                <w:color w:val="000000" w:themeColor="text1"/>
                <w:sz w:val="20"/>
                <w:szCs w:val="20"/>
              </w:rPr>
              <w:br/>
              <w:t>(Salta provintsi populatsioon)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I – </w:t>
            </w:r>
            <w:r>
              <w:rPr>
                <w:noProof/>
                <w:color w:val="000000" w:themeColor="text1"/>
                <w:sz w:val="20"/>
                <w:szCs w:val="20"/>
              </w:rPr>
              <w:t>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Salta provintsi (Argentina) populatsioon I lisast üle II lisasse märkega #1</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Argentina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 xml:space="preserve">2006. aastast saadik on populatsioon märgatavalt suurenenud, populatsiooni seire näib hästi toimivat ja 41 % elupaikadest (14 000 km²) on kaitse all. Ainus </w:t>
            </w:r>
            <w:r>
              <w:rPr>
                <w:noProof/>
                <w:color w:val="000000" w:themeColor="text1"/>
                <w:sz w:val="20"/>
                <w:szCs w:val="20"/>
              </w:rPr>
              <w:t>kavandatud kasutusviis on metsikute isendite pügamine.</w:t>
            </w:r>
          </w:p>
          <w:p w:rsidR="00AA75D1" w:rsidRDefault="008A3FF4">
            <w:pPr>
              <w:spacing w:after="0"/>
              <w:jc w:val="left"/>
              <w:rPr>
                <w:i/>
                <w:noProof/>
                <w:color w:val="000000" w:themeColor="text1"/>
                <w:sz w:val="20"/>
                <w:szCs w:val="20"/>
                <w:highlight w:val="yellow"/>
              </w:rPr>
            </w:pPr>
            <w:r>
              <w:rPr>
                <w:i/>
                <w:noProof/>
                <w:color w:val="000000" w:themeColor="text1"/>
                <w:sz w:val="20"/>
                <w:szCs w:val="20"/>
              </w:rPr>
              <w:t>Arutada koos töödokumendiga nr 91.</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Vicugna vicugna</w:t>
            </w:r>
            <w:r>
              <w:rPr>
                <w:i/>
                <w:iCs/>
                <w:noProof/>
                <w:color w:val="000000" w:themeColor="text1"/>
                <w:sz w:val="20"/>
                <w:szCs w:val="20"/>
              </w:rPr>
              <w:br/>
            </w:r>
            <w:r>
              <w:rPr>
                <w:noProof/>
                <w:color w:val="000000" w:themeColor="text1"/>
                <w:sz w:val="20"/>
                <w:szCs w:val="20"/>
              </w:rPr>
              <w:t>(vikunja)</w:t>
            </w:r>
            <w:r>
              <w:rPr>
                <w:noProof/>
                <w:color w:val="000000" w:themeColor="text1"/>
                <w:sz w:val="20"/>
                <w:szCs w:val="20"/>
              </w:rPr>
              <w:br/>
              <w:t>(Tšiili populatsioon)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Asendada Tšiili populatsiooni nimetus „Primera piirkonna populatsioon“ nimetusega ƒ„Tarapacá piirkonna ja Arica y</w:t>
            </w:r>
            <w:r>
              <w:rPr>
                <w:noProof/>
                <w:color w:val="000000" w:themeColor="text1"/>
                <w:sz w:val="20"/>
                <w:szCs w:val="20"/>
              </w:rPr>
              <w:t xml:space="preserve"> Parinacota piirkonna populatsioonid“</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Tšiili</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 ettepanekuga ei muudeta loetelu sisu, vaid üksnes kohandatakse geograafilist nime.</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lastRenderedPageBreak/>
              <w:t>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Giraffa camelopardalis</w:t>
            </w:r>
            <w:r>
              <w:rPr>
                <w:i/>
                <w:iCs/>
                <w:noProof/>
                <w:color w:val="000000" w:themeColor="text1"/>
                <w:sz w:val="20"/>
                <w:szCs w:val="20"/>
              </w:rPr>
              <w:br/>
            </w:r>
            <w:r>
              <w:rPr>
                <w:iCs/>
                <w:noProof/>
                <w:color w:val="000000" w:themeColor="text1"/>
                <w:sz w:val="20"/>
                <w:szCs w:val="20"/>
              </w:rPr>
              <w:t>(kaelkirjak)</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p w:rsidR="00AA75D1" w:rsidRDefault="00AA75D1">
            <w:pPr>
              <w:pStyle w:val="Default"/>
              <w:rPr>
                <w:rFonts w:eastAsia="Times New Roman"/>
                <w:noProof/>
                <w:color w:val="000000" w:themeColor="text1"/>
                <w:sz w:val="20"/>
                <w:szCs w:val="20"/>
                <w:lang w:eastAsia="en-GB"/>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Keenia, Kesk-Aafrika Vabariik, Mali, Niger, Senegal </w:t>
            </w:r>
            <w:r>
              <w:rPr>
                <w:noProof/>
                <w:color w:val="000000" w:themeColor="text1"/>
                <w:sz w:val="20"/>
                <w:szCs w:val="20"/>
              </w:rPr>
              <w:t>ja Tšaad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Calibri"/>
                <w:noProof/>
                <w:color w:val="000000" w:themeColor="text1"/>
                <w:sz w:val="20"/>
                <w:szCs w:val="20"/>
              </w:rPr>
            </w:pPr>
            <w:r>
              <w:rPr>
                <w:noProof/>
                <w:color w:val="000000" w:themeColor="text1"/>
                <w:sz w:val="20"/>
                <w:szCs w:val="20"/>
              </w:rPr>
              <w:t>Vaja on lisatõendeid selle kohta, et rahvusvahelisel kauplemisel on märkimisväärne osa mis tahes populatsioonide kahanemises ja et II lisasse kandmise kriteeriumid on täidetud. Eelistada tuleks otsuste paketi vastuvõtmist, milles kutsutakse üles t</w:t>
            </w:r>
            <w:r>
              <w:rPr>
                <w:noProof/>
                <w:color w:val="000000" w:themeColor="text1"/>
                <w:sz w:val="20"/>
                <w:szCs w:val="20"/>
              </w:rPr>
              <w:t>ellima välisuuringut ning arutama teemat loomakomitees ja alalises komitees.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0</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Aonyx cinereus</w:t>
            </w:r>
            <w:r>
              <w:rPr>
                <w:i/>
                <w:iCs/>
                <w:noProof/>
                <w:color w:val="000000" w:themeColor="text1"/>
                <w:sz w:val="20"/>
                <w:szCs w:val="20"/>
              </w:rPr>
              <w:br/>
            </w:r>
            <w:r>
              <w:rPr>
                <w:iCs/>
                <w:noProof/>
                <w:color w:val="000000" w:themeColor="text1"/>
                <w:sz w:val="20"/>
                <w:szCs w:val="20"/>
              </w:rPr>
              <w:t>(aasia sõrmiksaarmas)</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India, Nepal ja Filipiinid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Vaja on täiendavat kinnitust, et I lisasse kandmise kriteeriumid on täidetud. IUCNi andmetel on lemmikloomadega interneti teel kauplemine soodustanud liigi arvukuse hiljutist kiiret kahanemist.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0</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Lutrogale perspicillata</w:t>
            </w:r>
            <w:r>
              <w:rPr>
                <w:i/>
                <w:iCs/>
                <w:noProof/>
                <w:color w:val="000000" w:themeColor="text1"/>
                <w:sz w:val="20"/>
                <w:szCs w:val="20"/>
              </w:rPr>
              <w:br/>
            </w:r>
            <w:r>
              <w:rPr>
                <w:rStyle w:val="Bodytext2"/>
                <w:rFonts w:ascii="Times New Roman" w:hAnsi="Times New Roman"/>
                <w:noProof/>
                <w:color w:val="000000" w:themeColor="text1"/>
                <w:sz w:val="20"/>
                <w:szCs w:val="20"/>
              </w:rPr>
              <w:t>(silesaarmas)</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Viia </w:t>
            </w:r>
            <w:r>
              <w:rPr>
                <w:noProof/>
                <w:color w:val="000000" w:themeColor="text1"/>
                <w:sz w:val="20"/>
                <w:szCs w:val="20"/>
              </w:rPr>
              <w:t>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Bangladesh, India ja 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Vaja on kinnitust, et liik vastab I lisasse kandmise bioloogilistele kriteeriumidele. Seadusliku rahvusvahelise kauplemise maht on väike, kuid lisasse kandmine võib aidata liiki kaitsta, kuna ebaseadusliku</w:t>
            </w:r>
            <w:r>
              <w:rPr>
                <w:noProof/>
                <w:color w:val="000000" w:themeColor="text1"/>
                <w:sz w:val="20"/>
                <w:szCs w:val="20"/>
              </w:rPr>
              <w:t xml:space="preserve"> kauplemise maht on märkimisväärne.</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Ceratotherium simum simum</w:t>
            </w:r>
            <w:r>
              <w:rPr>
                <w:i/>
                <w:iCs/>
                <w:noProof/>
                <w:color w:val="000000" w:themeColor="text1"/>
                <w:sz w:val="20"/>
                <w:szCs w:val="20"/>
              </w:rPr>
              <w:br/>
            </w:r>
            <w:r>
              <w:rPr>
                <w:iCs/>
                <w:noProof/>
                <w:color w:val="000000" w:themeColor="text1"/>
                <w:sz w:val="20"/>
                <w:szCs w:val="20"/>
              </w:rPr>
              <w:t>(lõunaaafrika laimokk-ninasarvik)</w:t>
            </w:r>
            <w:r>
              <w:rPr>
                <w:iCs/>
                <w:noProof/>
                <w:color w:val="000000" w:themeColor="text1"/>
                <w:sz w:val="20"/>
                <w:szCs w:val="20"/>
              </w:rPr>
              <w:br/>
            </w:r>
            <w:r>
              <w:rPr>
                <w:noProof/>
                <w:color w:val="000000" w:themeColor="text1"/>
                <w:sz w:val="20"/>
                <w:szCs w:val="20"/>
              </w:rPr>
              <w:t>(Svaasimaa populatsioon)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Eemaldada Svaasimaa populatsiooni kohta kehtiv märge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Svaasimaa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Mitte toetada. Populatsioon vastab jätkuvalt II lisa </w:t>
            </w:r>
            <w:r>
              <w:rPr>
                <w:noProof/>
                <w:color w:val="000000" w:themeColor="text1"/>
                <w:sz w:val="20"/>
                <w:szCs w:val="20"/>
              </w:rPr>
              <w:t xml:space="preserve">kriteeriumidele, kuid märke kavandatud eemaldamise korral oleksid resolutsiooni Conf. 9.24 punktis A.2a sätestatud ennetavad kaitsemeetmed täitmata. Ninasarvikute sarvedega kauplemise jätkamine saadaks praegu vale sõnumi, arvestades salaküttimise </w:t>
            </w:r>
            <w:r>
              <w:rPr>
                <w:noProof/>
                <w:color w:val="000000" w:themeColor="text1"/>
                <w:sz w:val="20"/>
                <w:szCs w:val="20"/>
              </w:rPr>
              <w:lastRenderedPageBreak/>
              <w:t>ja ebasea</w:t>
            </w:r>
            <w:r>
              <w:rPr>
                <w:noProof/>
                <w:color w:val="000000" w:themeColor="text1"/>
                <w:sz w:val="20"/>
                <w:szCs w:val="20"/>
              </w:rPr>
              <w:t>dusliku kauplemise kõrget taset. See õõnestaks ka paljude konventsiooniosaliste võetavaid meetmeid nõudluse vähendamiseks selle liigi järele.</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Ceratotherium simum simum</w:t>
            </w:r>
            <w:r>
              <w:rPr>
                <w:i/>
                <w:iCs/>
                <w:noProof/>
                <w:color w:val="000000" w:themeColor="text1"/>
                <w:sz w:val="20"/>
                <w:szCs w:val="20"/>
              </w:rPr>
              <w:br/>
            </w:r>
            <w:r>
              <w:rPr>
                <w:iCs/>
                <w:noProof/>
                <w:color w:val="000000" w:themeColor="text1"/>
                <w:sz w:val="20"/>
                <w:szCs w:val="20"/>
              </w:rPr>
              <w:t>(lõunaaafrika laimokk-ninasarvik)</w:t>
            </w:r>
            <w:r>
              <w:rPr>
                <w:iCs/>
                <w:noProof/>
                <w:color w:val="000000" w:themeColor="text1"/>
                <w:sz w:val="20"/>
                <w:szCs w:val="20"/>
              </w:rPr>
              <w:br/>
            </w:r>
            <w:r>
              <w:rPr>
                <w:noProof/>
                <w:color w:val="000000" w:themeColor="text1"/>
                <w:sz w:val="20"/>
                <w:szCs w:val="20"/>
              </w:rPr>
              <w:t>(Namiibia populatsioon)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Lõunaaafrika </w:t>
            </w:r>
            <w:r>
              <w:rPr>
                <w:noProof/>
                <w:color w:val="000000" w:themeColor="text1"/>
                <w:sz w:val="20"/>
                <w:szCs w:val="20"/>
              </w:rPr>
              <w:t>laimokk-ninasarviku Namiibia populatsiooni üleviimine I lisast II lisasse järgmise märkega:</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„Lubatud on üksnes rahvusvaheline kauplemine elusloomadega,</w:t>
            </w:r>
          </w:p>
          <w:p w:rsidR="00AA75D1" w:rsidRDefault="008A3FF4">
            <w:pPr>
              <w:numPr>
                <w:ilvl w:val="0"/>
                <w:numId w:val="9"/>
              </w:numPr>
              <w:spacing w:before="0" w:after="0"/>
              <w:jc w:val="left"/>
              <w:rPr>
                <w:rFonts w:eastAsia="Times New Roman"/>
                <w:noProof/>
                <w:color w:val="000000" w:themeColor="text1"/>
                <w:sz w:val="20"/>
                <w:szCs w:val="20"/>
              </w:rPr>
            </w:pPr>
            <w:r>
              <w:rPr>
                <w:noProof/>
                <w:color w:val="000000" w:themeColor="text1"/>
                <w:sz w:val="20"/>
                <w:szCs w:val="20"/>
              </w:rPr>
              <w:t>kui nende sihtkoht on kohane ja vastuvõetav, ning</w:t>
            </w:r>
          </w:p>
          <w:p w:rsidR="00AA75D1" w:rsidRDefault="008A3FF4">
            <w:pPr>
              <w:numPr>
                <w:ilvl w:val="0"/>
                <w:numId w:val="9"/>
              </w:numPr>
              <w:spacing w:before="0" w:after="0"/>
              <w:jc w:val="left"/>
              <w:rPr>
                <w:rFonts w:eastAsia="Times New Roman"/>
                <w:noProof/>
                <w:color w:val="000000" w:themeColor="text1"/>
                <w:sz w:val="20"/>
                <w:szCs w:val="20"/>
              </w:rPr>
            </w:pPr>
            <w:r>
              <w:rPr>
                <w:noProof/>
                <w:color w:val="000000" w:themeColor="text1"/>
                <w:sz w:val="20"/>
                <w:szCs w:val="20"/>
              </w:rPr>
              <w:t>jahitrofeedega.</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Kõiki teisi isendeid käsitatakse </w:t>
            </w:r>
            <w:r>
              <w:rPr>
                <w:noProof/>
                <w:color w:val="000000" w:themeColor="text1"/>
                <w:sz w:val="20"/>
                <w:szCs w:val="20"/>
              </w:rPr>
              <w:t>I lisasse kuuluvate liikide isenditena ning nendega kauplemist reguleeritakse vastavalt sellele“.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Namiibia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Namiibia populatsiooni seisund on hea; tundub, et see ei vasta enam I lisa kriteeriumidele, ent vastab II lisasse üleviimise ennetavatele kaitsemeetm</w:t>
            </w:r>
            <w:r>
              <w:rPr>
                <w:noProof/>
                <w:color w:val="000000" w:themeColor="text1"/>
                <w:sz w:val="20"/>
                <w:szCs w:val="20"/>
              </w:rPr>
              <w:t>etele; märge tundub olevat väga piiratud ning sama, mis juba kehtib Lõuna-Aafrika ja Svaasimaa kohta. Liigi tulemusrikast kaitset Namiibias tuleb tunnustada.</w:t>
            </w:r>
          </w:p>
          <w:p w:rsidR="00AA75D1" w:rsidRDefault="008A3FF4">
            <w:pPr>
              <w:spacing w:after="0"/>
              <w:jc w:val="left"/>
              <w:rPr>
                <w:noProof/>
                <w:color w:val="000000" w:themeColor="text1"/>
                <w:sz w:val="20"/>
                <w:szCs w:val="20"/>
              </w:rPr>
            </w:pPr>
            <w:r>
              <w:rPr>
                <w:noProof/>
                <w:color w:val="000000" w:themeColor="text1"/>
                <w:sz w:val="20"/>
                <w:szCs w:val="20"/>
              </w:rPr>
              <w:t xml:space="preserve">Ettepanekuga seonduvaid võimalikke ohte tuleks põhjalikumalt uurida.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lastRenderedPageBreak/>
              <w:t>10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AA75D1" w:rsidRDefault="008A3FF4">
            <w:pPr>
              <w:spacing w:after="0"/>
              <w:jc w:val="left"/>
              <w:rPr>
                <w:rStyle w:val="Bodytext2"/>
                <w:rFonts w:ascii="Times New Roman" w:hAnsi="Times New Roman" w:cs="Times New Roman"/>
                <w:noProof/>
                <w:color w:val="000000" w:themeColor="text1"/>
                <w:sz w:val="20"/>
                <w:szCs w:val="20"/>
              </w:rPr>
            </w:pPr>
            <w:r>
              <w:rPr>
                <w:rStyle w:val="Bodytext2Italic"/>
                <w:rFonts w:ascii="Times New Roman" w:hAnsi="Times New Roman"/>
                <w:noProof/>
                <w:color w:val="000000" w:themeColor="text1"/>
                <w:sz w:val="20"/>
                <w:szCs w:val="20"/>
              </w:rPr>
              <w:t xml:space="preserve">Loxodonta </w:t>
            </w:r>
            <w:r>
              <w:rPr>
                <w:rStyle w:val="Bodytext2Italic"/>
                <w:rFonts w:ascii="Times New Roman" w:hAnsi="Times New Roman"/>
                <w:noProof/>
                <w:color w:val="000000" w:themeColor="text1"/>
                <w:sz w:val="20"/>
                <w:szCs w:val="20"/>
              </w:rPr>
              <w:br/>
              <w:t xml:space="preserve">africana </w:t>
            </w:r>
            <w:r>
              <w:rPr>
                <w:rStyle w:val="Bodytext2"/>
                <w:rFonts w:ascii="Times New Roman" w:hAnsi="Times New Roman"/>
                <w:noProof/>
                <w:color w:val="000000" w:themeColor="text1"/>
                <w:sz w:val="20"/>
                <w:szCs w:val="20"/>
              </w:rPr>
              <w:t>(aafrika savannielevant)</w:t>
            </w:r>
          </w:p>
          <w:p w:rsidR="00AA75D1" w:rsidRDefault="00AA75D1">
            <w:pPr>
              <w:spacing w:after="0"/>
              <w:jc w:val="left"/>
              <w:rPr>
                <w:rFonts w:eastAsia="Times New Roman"/>
                <w:i/>
                <w:iCs/>
                <w:noProof/>
                <w:color w:val="000000" w:themeColor="text1"/>
                <w:sz w:val="20"/>
                <w:szCs w:val="20"/>
                <w:lang w:eastAsia="en-GB"/>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tabs>
                <w:tab w:val="left" w:pos="256"/>
              </w:tabs>
              <w:spacing w:line="226" w:lineRule="exact"/>
              <w:jc w:val="left"/>
              <w:rPr>
                <w:noProof/>
                <w:color w:val="000000" w:themeColor="text1"/>
                <w:sz w:val="20"/>
                <w:szCs w:val="20"/>
              </w:rPr>
            </w:pPr>
            <w:r>
              <w:rPr>
                <w:rStyle w:val="Bodytext2"/>
                <w:rFonts w:ascii="Times New Roman" w:hAnsi="Times New Roman"/>
                <w:noProof/>
                <w:color w:val="000000" w:themeColor="text1"/>
                <w:sz w:val="20"/>
                <w:szCs w:val="20"/>
              </w:rPr>
              <w:t>Kanda Sambia populatsioon I lisast üle II lisasse järgmistel tingimustel.</w:t>
            </w:r>
          </w:p>
          <w:p w:rsidR="00AA75D1" w:rsidRDefault="008A3FF4">
            <w:pPr>
              <w:widowControl w:val="0"/>
              <w:numPr>
                <w:ilvl w:val="0"/>
                <w:numId w:val="12"/>
              </w:numPr>
              <w:tabs>
                <w:tab w:val="left" w:pos="256"/>
                <w:tab w:val="left" w:pos="398"/>
              </w:tabs>
              <w:spacing w:before="0" w:after="0" w:line="226" w:lineRule="exact"/>
              <w:ind w:left="316" w:hanging="316"/>
              <w:jc w:val="left"/>
              <w:rPr>
                <w:noProof/>
                <w:color w:val="000000" w:themeColor="text1"/>
                <w:sz w:val="20"/>
                <w:szCs w:val="20"/>
              </w:rPr>
            </w:pPr>
            <w:r>
              <w:rPr>
                <w:rStyle w:val="Bodytext2"/>
                <w:rFonts w:ascii="Times New Roman" w:hAnsi="Times New Roman"/>
                <w:noProof/>
                <w:color w:val="000000" w:themeColor="text1"/>
                <w:sz w:val="20"/>
                <w:szCs w:val="20"/>
              </w:rPr>
              <w:tab/>
              <w:t xml:space="preserve">Kauplemine registreeritud töötlemata elevandiluuga (terved ja tükeldatud võhad) kaubanduslikul eesmärgil ainult CITESi heakskiidetud </w:t>
            </w:r>
            <w:r>
              <w:rPr>
                <w:rStyle w:val="Bodytext2"/>
                <w:rFonts w:ascii="Times New Roman" w:hAnsi="Times New Roman"/>
                <w:noProof/>
                <w:color w:val="000000" w:themeColor="text1"/>
                <w:sz w:val="20"/>
                <w:szCs w:val="20"/>
              </w:rPr>
              <w:t>kaubanduspartneritega, kes ei tegele reeksportimisega.</w:t>
            </w:r>
          </w:p>
          <w:p w:rsidR="00AA75D1" w:rsidRDefault="008A3FF4">
            <w:pPr>
              <w:widowControl w:val="0"/>
              <w:numPr>
                <w:ilvl w:val="0"/>
                <w:numId w:val="12"/>
              </w:numPr>
              <w:tabs>
                <w:tab w:val="left" w:pos="256"/>
                <w:tab w:val="left" w:pos="398"/>
              </w:tabs>
              <w:spacing w:before="0" w:after="0" w:line="226" w:lineRule="exact"/>
              <w:ind w:left="316" w:hanging="316"/>
              <w:jc w:val="left"/>
              <w:rPr>
                <w:noProof/>
                <w:color w:val="000000" w:themeColor="text1"/>
                <w:sz w:val="20"/>
                <w:szCs w:val="20"/>
              </w:rPr>
            </w:pPr>
            <w:r>
              <w:rPr>
                <w:rStyle w:val="Bodytext2"/>
                <w:rFonts w:ascii="Times New Roman" w:hAnsi="Times New Roman"/>
                <w:noProof/>
                <w:color w:val="000000" w:themeColor="text1"/>
                <w:sz w:val="20"/>
                <w:szCs w:val="20"/>
              </w:rPr>
              <w:t>Jahitrofeedega kauplemine mittekaubanduslikul eesmärgil.</w:t>
            </w:r>
          </w:p>
          <w:p w:rsidR="00AA75D1" w:rsidRDefault="008A3FF4">
            <w:pPr>
              <w:widowControl w:val="0"/>
              <w:numPr>
                <w:ilvl w:val="0"/>
                <w:numId w:val="12"/>
              </w:numPr>
              <w:tabs>
                <w:tab w:val="left" w:pos="256"/>
                <w:tab w:val="left" w:pos="389"/>
              </w:tabs>
              <w:spacing w:before="0" w:after="0" w:line="230" w:lineRule="exact"/>
              <w:ind w:left="316" w:hanging="316"/>
              <w:jc w:val="left"/>
              <w:rPr>
                <w:rStyle w:val="Bodytext2"/>
                <w:rFonts w:ascii="Times New Roman" w:eastAsia="Times New Roman" w:hAnsi="Times New Roman" w:cs="Times New Roman"/>
                <w:noProof/>
                <w:color w:val="000000" w:themeColor="text1"/>
                <w:sz w:val="20"/>
                <w:szCs w:val="20"/>
              </w:rPr>
            </w:pPr>
            <w:r>
              <w:rPr>
                <w:rStyle w:val="Bodytext2"/>
                <w:rFonts w:ascii="Times New Roman" w:hAnsi="Times New Roman"/>
                <w:noProof/>
                <w:color w:val="000000" w:themeColor="text1"/>
                <w:sz w:val="20"/>
                <w:szCs w:val="20"/>
              </w:rPr>
              <w:t>Kauplemine naha ja nahktoodetega.</w:t>
            </w:r>
          </w:p>
          <w:p w:rsidR="00AA75D1" w:rsidRDefault="008A3FF4">
            <w:pPr>
              <w:widowControl w:val="0"/>
              <w:numPr>
                <w:ilvl w:val="0"/>
                <w:numId w:val="12"/>
              </w:numPr>
              <w:tabs>
                <w:tab w:val="left" w:pos="256"/>
                <w:tab w:val="left" w:pos="389"/>
              </w:tabs>
              <w:spacing w:before="0" w:after="0" w:line="230" w:lineRule="exact"/>
              <w:ind w:left="316" w:hanging="316"/>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 xml:space="preserve">Kõiki muid isendeid käsitatakse I lisasse kuuluvate liikide isenditena ning nendega kauplemist reguleeritakse </w:t>
            </w:r>
            <w:r>
              <w:rPr>
                <w:rStyle w:val="Bodytext2"/>
                <w:rFonts w:ascii="Times New Roman" w:hAnsi="Times New Roman"/>
                <w:noProof/>
                <w:color w:val="000000" w:themeColor="text1"/>
                <w:sz w:val="20"/>
                <w:szCs w:val="20"/>
              </w:rPr>
              <w:t>vastavalt sellele.</w:t>
            </w:r>
          </w:p>
        </w:tc>
        <w:tc>
          <w:tcPr>
            <w:tcW w:w="1702" w:type="dxa"/>
            <w:tcBorders>
              <w:top w:val="single" w:sz="4" w:space="0" w:color="auto"/>
              <w:left w:val="single" w:sz="4" w:space="0" w:color="auto"/>
              <w:bottom w:val="single" w:sz="4" w:space="0" w:color="auto"/>
              <w:right w:val="single" w:sz="4" w:space="0" w:color="auto"/>
            </w:tcBorders>
            <w:shd w:val="clear" w:color="auto" w:fill="FFFFFF" w:themeFill="background1"/>
          </w:tcPr>
          <w:p w:rsidR="00AA75D1" w:rsidRDefault="008A3FF4">
            <w:pPr>
              <w:spacing w:after="0"/>
              <w:jc w:val="left"/>
              <w:rPr>
                <w:noProof/>
                <w:color w:val="000000" w:themeColor="text1"/>
                <w:sz w:val="20"/>
                <w:szCs w:val="20"/>
              </w:rPr>
            </w:pPr>
            <w:r>
              <w:rPr>
                <w:noProof/>
                <w:color w:val="000000" w:themeColor="text1"/>
                <w:sz w:val="20"/>
                <w:szCs w:val="20"/>
              </w:rPr>
              <w:t>Sambia</w:t>
            </w:r>
          </w:p>
        </w:tc>
        <w:tc>
          <w:tcPr>
            <w:tcW w:w="2179" w:type="dxa"/>
            <w:tcBorders>
              <w:top w:val="single" w:sz="4" w:space="0" w:color="auto"/>
              <w:left w:val="single" w:sz="4" w:space="0" w:color="auto"/>
              <w:bottom w:val="single" w:sz="4" w:space="0" w:color="auto"/>
              <w:right w:val="single" w:sz="4" w:space="0" w:color="auto"/>
            </w:tcBorders>
            <w:shd w:val="clear" w:color="auto" w:fill="FFFFFF" w:themeFill="background1"/>
          </w:tcPr>
          <w:p w:rsidR="00AA75D1" w:rsidRDefault="008A3FF4">
            <w:pPr>
              <w:spacing w:after="0"/>
              <w:jc w:val="left"/>
              <w:rPr>
                <w:noProof/>
                <w:color w:val="000000" w:themeColor="text1"/>
                <w:sz w:val="20"/>
                <w:szCs w:val="20"/>
              </w:rPr>
            </w:pPr>
            <w:r>
              <w:rPr>
                <w:noProof/>
                <w:color w:val="000000" w:themeColor="text1"/>
                <w:sz w:val="20"/>
                <w:szCs w:val="20"/>
              </w:rPr>
              <w:t xml:space="preserve">Sambia soovitatud märkega avataks taas rahvusvaheline elevandiluukaubandus, mistõttu ei saa märget sellisel kujul toetada. </w:t>
            </w:r>
          </w:p>
          <w:p w:rsidR="00AA75D1" w:rsidRDefault="00AA75D1">
            <w:pPr>
              <w:spacing w:after="0"/>
              <w:jc w:val="left"/>
              <w:rPr>
                <w:noProof/>
                <w:color w:val="000000" w:themeColor="text1"/>
                <w:sz w:val="20"/>
                <w:szCs w:val="20"/>
              </w:rPr>
            </w:pPr>
          </w:p>
        </w:tc>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Cs/>
                <w:noProof/>
                <w:color w:val="000000" w:themeColor="text1"/>
                <w:sz w:val="20"/>
                <w:szCs w:val="20"/>
              </w:rPr>
            </w:pPr>
            <w:r>
              <w:rPr>
                <w:i/>
                <w:iCs/>
                <w:noProof/>
                <w:color w:val="000000" w:themeColor="text1"/>
                <w:sz w:val="20"/>
                <w:szCs w:val="20"/>
              </w:rPr>
              <w:t xml:space="preserve">Loxodonta </w:t>
            </w:r>
            <w:r>
              <w:rPr>
                <w:i/>
                <w:iCs/>
                <w:noProof/>
                <w:color w:val="000000" w:themeColor="text1"/>
                <w:sz w:val="20"/>
                <w:szCs w:val="20"/>
              </w:rPr>
              <w:br/>
              <w:t xml:space="preserve">africana </w:t>
            </w:r>
            <w:r>
              <w:rPr>
                <w:i/>
                <w:iCs/>
                <w:noProof/>
                <w:color w:val="000000" w:themeColor="text1"/>
                <w:sz w:val="20"/>
                <w:szCs w:val="20"/>
              </w:rPr>
              <w:br/>
            </w:r>
            <w:r>
              <w:rPr>
                <w:iCs/>
                <w:noProof/>
                <w:color w:val="000000" w:themeColor="text1"/>
                <w:sz w:val="20"/>
                <w:szCs w:val="20"/>
              </w:rPr>
              <w:t>(aafrika savannielevant)</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(Botswana, Namiibia, Lõuna-Aafrika ja Zimbabwe </w:t>
            </w:r>
            <w:r>
              <w:rPr>
                <w:noProof/>
                <w:color w:val="000000" w:themeColor="text1"/>
                <w:sz w:val="20"/>
                <w:szCs w:val="20"/>
              </w:rPr>
              <w:t>populatsioonid)</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Märke 2 muutmine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tabs>
                <w:tab w:val="left" w:pos="0"/>
              </w:tabs>
              <w:spacing w:after="0"/>
              <w:jc w:val="left"/>
              <w:rPr>
                <w:rFonts w:eastAsia="Times New Roman"/>
                <w:noProof/>
                <w:color w:val="000000" w:themeColor="text1"/>
                <w:sz w:val="20"/>
                <w:szCs w:val="20"/>
              </w:rPr>
            </w:pPr>
            <w:r>
              <w:rPr>
                <w:noProof/>
                <w:color w:val="000000" w:themeColor="text1"/>
                <w:sz w:val="20"/>
                <w:szCs w:val="20"/>
              </w:rPr>
              <w:t>Märke 2 muutmine:</w:t>
            </w:r>
          </w:p>
          <w:p w:rsidR="00AA75D1" w:rsidRDefault="008A3FF4">
            <w:pPr>
              <w:tabs>
                <w:tab w:val="left" w:pos="176"/>
              </w:tabs>
              <w:spacing w:after="0"/>
              <w:ind w:left="176" w:hanging="176"/>
              <w:jc w:val="left"/>
              <w:rPr>
                <w:rFonts w:eastAsia="Times New Roman"/>
                <w:noProof/>
                <w:color w:val="000000" w:themeColor="text1"/>
                <w:sz w:val="20"/>
                <w:szCs w:val="20"/>
              </w:rPr>
            </w:pPr>
            <w:r>
              <w:rPr>
                <w:noProof/>
                <w:color w:val="000000" w:themeColor="text1"/>
                <w:sz w:val="20"/>
                <w:szCs w:val="20"/>
              </w:rPr>
              <w:t>„Lubatud on üksnes:</w:t>
            </w:r>
          </w:p>
          <w:p w:rsidR="00AA75D1" w:rsidRDefault="008A3FF4">
            <w:pPr>
              <w:tabs>
                <w:tab w:val="left" w:pos="176"/>
              </w:tabs>
              <w:spacing w:before="0" w:after="0"/>
              <w:ind w:left="176" w:hanging="176"/>
              <w:jc w:val="left"/>
              <w:rPr>
                <w:rFonts w:eastAsia="Times New Roman"/>
                <w:noProof/>
                <w:color w:val="000000" w:themeColor="text1"/>
                <w:sz w:val="20"/>
                <w:szCs w:val="20"/>
              </w:rPr>
            </w:pPr>
            <w:r>
              <w:rPr>
                <w:noProof/>
                <w:color w:val="000000" w:themeColor="text1"/>
                <w:sz w:val="20"/>
                <w:szCs w:val="20"/>
              </w:rPr>
              <w:t>[...]</w:t>
            </w:r>
          </w:p>
          <w:p w:rsidR="00AA75D1" w:rsidRDefault="008A3FF4">
            <w:pPr>
              <w:tabs>
                <w:tab w:val="left" w:pos="176"/>
              </w:tabs>
              <w:spacing w:before="0" w:after="0"/>
              <w:jc w:val="left"/>
              <w:rPr>
                <w:rFonts w:eastAsia="Times New Roman"/>
                <w:noProof/>
                <w:color w:val="000000" w:themeColor="text1"/>
                <w:sz w:val="20"/>
                <w:szCs w:val="20"/>
              </w:rPr>
            </w:pPr>
            <w:r>
              <w:rPr>
                <w:noProof/>
                <w:color w:val="000000" w:themeColor="text1"/>
                <w:sz w:val="20"/>
                <w:szCs w:val="20"/>
              </w:rPr>
              <w:t>g.</w:t>
            </w:r>
            <w:r>
              <w:rPr>
                <w:noProof/>
                <w:color w:val="000000" w:themeColor="text1"/>
                <w:sz w:val="20"/>
                <w:szCs w:val="20"/>
              </w:rPr>
              <w:tab/>
              <w:t xml:space="preserve">registreeritud töötlemata elevandiluuga kauplemisel (Botswana, Namiibia, Lõuna-Aafrika ja Zimbabwe, terved võhad ja võhatükid) kehtib järgmine: </w:t>
            </w:r>
          </w:p>
          <w:p w:rsidR="00AA75D1" w:rsidRDefault="008A3FF4">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 xml:space="preserve">üksnes riigist pärit ja </w:t>
            </w:r>
            <w:r>
              <w:rPr>
                <w:noProof/>
                <w:color w:val="000000" w:themeColor="text1"/>
                <w:sz w:val="20"/>
                <w:szCs w:val="20"/>
              </w:rPr>
              <w:t xml:space="preserve">valitsusele kuuluvad registreeritud varud (v.a konfiskeeritud elevandiluu ja </w:t>
            </w:r>
            <w:r>
              <w:rPr>
                <w:noProof/>
                <w:color w:val="000000" w:themeColor="text1"/>
                <w:sz w:val="20"/>
                <w:szCs w:val="20"/>
              </w:rPr>
              <w:lastRenderedPageBreak/>
              <w:t>teadmata päritolu elevandiluu);</w:t>
            </w:r>
          </w:p>
          <w:p w:rsidR="00AA75D1" w:rsidRDefault="008A3FF4">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üksnes kaubanduspartneritele, kellel on sekretariaat koostöös alatise komiteega tunnistanud olevat piisavad riigisisesed õigusaktid ja omamaise kau</w:t>
            </w:r>
            <w:r>
              <w:rPr>
                <w:noProof/>
                <w:color w:val="000000" w:themeColor="text1"/>
                <w:sz w:val="20"/>
                <w:szCs w:val="20"/>
              </w:rPr>
              <w:t>banduse järelevalve tagamaks, et imporditud elevandiluud ei reekspordita ja seda hallatakse vastavalt resolutsioonile Conf. 10.10 (Rev. CoP17) omamaise tootmise ja kaubanduse kohta;</w:t>
            </w:r>
          </w:p>
          <w:p w:rsidR="00AA75D1" w:rsidRDefault="008A3FF4">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 xml:space="preserve">mitte enne, kui sekretariaat on kindlaks teinud perspektiivsed importivad </w:t>
            </w:r>
            <w:r>
              <w:rPr>
                <w:noProof/>
                <w:color w:val="000000" w:themeColor="text1"/>
                <w:sz w:val="20"/>
                <w:szCs w:val="20"/>
              </w:rPr>
              <w:t>riigid ja valitsusele kuuluvad registreeritud varud;</w:t>
            </w:r>
          </w:p>
          <w:p w:rsidR="00AA75D1" w:rsidRDefault="008A3FF4">
            <w:pPr>
              <w:numPr>
                <w:ilvl w:val="1"/>
                <w:numId w:val="11"/>
              </w:numPr>
              <w:tabs>
                <w:tab w:val="left" w:pos="176"/>
              </w:tabs>
              <w:spacing w:before="0" w:after="0"/>
              <w:ind w:left="352" w:hanging="176"/>
              <w:jc w:val="left"/>
              <w:rPr>
                <w:rFonts w:eastAsia="Times New Roman"/>
                <w:noProof/>
                <w:color w:val="000000" w:themeColor="text1"/>
                <w:sz w:val="20"/>
                <w:szCs w:val="20"/>
              </w:rPr>
            </w:pPr>
            <w:r>
              <w:rPr>
                <w:strike/>
                <w:noProof/>
                <w:color w:val="000000" w:themeColor="text1"/>
                <w:sz w:val="20"/>
                <w:szCs w:val="20"/>
              </w:rPr>
              <w:tab/>
              <w:t>kaubelda võib maksimaalselt 20 000 kg (Botswana), 10 000 kg (Namiibia) ja 30 000 kg (Lõuna-Aafrika) valitsusele kuuluvatest registreeritud varudest pärit töötlemata elevandiluuga vastavalt CoP12 kokkule</w:t>
            </w:r>
            <w:r>
              <w:rPr>
                <w:strike/>
                <w:noProof/>
                <w:color w:val="000000" w:themeColor="text1"/>
                <w:sz w:val="20"/>
                <w:szCs w:val="20"/>
              </w:rPr>
              <w:t>ppele;</w:t>
            </w:r>
          </w:p>
          <w:p w:rsidR="00AA75D1" w:rsidRDefault="008A3FF4">
            <w:pPr>
              <w:numPr>
                <w:ilvl w:val="1"/>
                <w:numId w:val="11"/>
              </w:numPr>
              <w:tabs>
                <w:tab w:val="left" w:pos="176"/>
              </w:tabs>
              <w:spacing w:before="0" w:after="0"/>
              <w:ind w:left="352" w:hanging="176"/>
              <w:jc w:val="left"/>
              <w:rPr>
                <w:rFonts w:eastAsia="Times New Roman"/>
                <w:noProof/>
                <w:color w:val="000000" w:themeColor="text1"/>
                <w:sz w:val="20"/>
                <w:szCs w:val="20"/>
              </w:rPr>
            </w:pPr>
            <w:r>
              <w:rPr>
                <w:strike/>
                <w:noProof/>
                <w:color w:val="000000" w:themeColor="text1"/>
                <w:sz w:val="20"/>
                <w:szCs w:val="20"/>
              </w:rPr>
              <w:tab/>
              <w:t xml:space="preserve">lisaks CoP12 raames kokku lepitud kogustele võib Botswanast, Namiibiast, </w:t>
            </w:r>
            <w:r>
              <w:rPr>
                <w:strike/>
                <w:noProof/>
                <w:color w:val="000000" w:themeColor="text1"/>
                <w:sz w:val="20"/>
                <w:szCs w:val="20"/>
              </w:rPr>
              <w:lastRenderedPageBreak/>
              <w:t>Lõuna-Aafrikast ja Zimbabwest pärit enne 31. jaanuari 2007 registreeritud ja sekretariaadi poolt kontrollitud elevandiluud saata ja sellega kaubelda koos punkti g alapunktis i</w:t>
            </w:r>
            <w:r>
              <w:rPr>
                <w:strike/>
                <w:noProof/>
                <w:color w:val="000000" w:themeColor="text1"/>
                <w:sz w:val="20"/>
                <w:szCs w:val="20"/>
              </w:rPr>
              <w:t>v osutatud elevandiluuga ning see lähetatakse ühe saadetisena sekretariaadi range järelevalve all;</w:t>
            </w:r>
          </w:p>
          <w:p w:rsidR="00AA75D1" w:rsidRDefault="008A3FF4">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szCs w:val="20"/>
              </w:rPr>
              <w:t>kauplemistulu kasutatakse üksnes elevantide kaitseks ning koosluse kaitse- ja arenguprogrammideks, mida teostatakse elevantide levilas; ja</w:t>
            </w:r>
          </w:p>
          <w:p w:rsidR="00AA75D1" w:rsidRDefault="008A3FF4">
            <w:pPr>
              <w:numPr>
                <w:ilvl w:val="1"/>
                <w:numId w:val="11"/>
              </w:numPr>
              <w:tabs>
                <w:tab w:val="left" w:pos="176"/>
              </w:tabs>
              <w:spacing w:before="0" w:after="0"/>
              <w:ind w:left="352" w:hanging="176"/>
              <w:jc w:val="left"/>
              <w:rPr>
                <w:rFonts w:eastAsia="Times New Roman"/>
                <w:noProof/>
                <w:color w:val="000000" w:themeColor="text1"/>
                <w:sz w:val="20"/>
                <w:szCs w:val="20"/>
              </w:rPr>
            </w:pPr>
            <w:r>
              <w:rPr>
                <w:strike/>
                <w:noProof/>
                <w:color w:val="000000" w:themeColor="text1"/>
                <w:sz w:val="20"/>
                <w:szCs w:val="20"/>
              </w:rPr>
              <w:tab/>
              <w:t xml:space="preserve">ja vii) kaubelda </w:t>
            </w:r>
            <w:r>
              <w:rPr>
                <w:strike/>
                <w:noProof/>
                <w:color w:val="000000" w:themeColor="text1"/>
                <w:sz w:val="20"/>
                <w:szCs w:val="20"/>
              </w:rPr>
              <w:t>võib täiendavate kogustega vastavalt punkti g alapunktile v üksnes pärast seda, kui alaline komitee on kokku leppinud, et eespool osutatud tingimused on täidetud; ja</w:t>
            </w:r>
          </w:p>
          <w:p w:rsidR="00AA75D1" w:rsidRDefault="008A3FF4">
            <w:pPr>
              <w:tabs>
                <w:tab w:val="left" w:pos="176"/>
              </w:tabs>
              <w:spacing w:before="0" w:after="0"/>
              <w:jc w:val="left"/>
              <w:rPr>
                <w:rFonts w:eastAsia="Times New Roman"/>
                <w:noProof/>
                <w:color w:val="000000" w:themeColor="text1"/>
                <w:sz w:val="20"/>
                <w:szCs w:val="20"/>
              </w:rPr>
            </w:pPr>
            <w:r>
              <w:rPr>
                <w:noProof/>
                <w:color w:val="000000" w:themeColor="text1"/>
                <w:sz w:val="20"/>
                <w:szCs w:val="20"/>
              </w:rPr>
              <w:t>h)</w:t>
            </w:r>
            <w:r>
              <w:rPr>
                <w:noProof/>
                <w:color w:val="000000" w:themeColor="text1"/>
                <w:sz w:val="20"/>
                <w:szCs w:val="20"/>
              </w:rPr>
              <w:tab/>
            </w:r>
            <w:r>
              <w:rPr>
                <w:strike/>
                <w:noProof/>
                <w:color w:val="000000" w:themeColor="text1"/>
                <w:sz w:val="20"/>
                <w:szCs w:val="20"/>
              </w:rPr>
              <w:t>täiendavaid ettepanekuid elevandiluuga kauplemiseks ei tohi konventsiooniosaliste konve</w:t>
            </w:r>
            <w:r>
              <w:rPr>
                <w:strike/>
                <w:noProof/>
                <w:color w:val="000000" w:themeColor="text1"/>
                <w:sz w:val="20"/>
                <w:szCs w:val="20"/>
              </w:rPr>
              <w:t xml:space="preserve">rentsile saata, alates CoP14 ja lõpetades üheksa aastat pärast ühe saadetisena teostatud müügitehingut, mis peab toimuma kooskõlas punkti g alapunktidega i, ii, iii, </w:t>
            </w:r>
            <w:r>
              <w:rPr>
                <w:strike/>
                <w:noProof/>
                <w:color w:val="000000" w:themeColor="text1"/>
                <w:sz w:val="20"/>
                <w:szCs w:val="20"/>
              </w:rPr>
              <w:lastRenderedPageBreak/>
              <w:t xml:space="preserve">vi ja vii. Kõnealuseid täiendavaid ettepanekuid menetletakse vastavalt otsustele 16.55 ja </w:t>
            </w:r>
            <w:r>
              <w:rPr>
                <w:strike/>
                <w:noProof/>
                <w:color w:val="000000" w:themeColor="text1"/>
                <w:sz w:val="20"/>
                <w:szCs w:val="20"/>
              </w:rPr>
              <w:t>14.78 (Rev. CoP16).</w:t>
            </w:r>
          </w:p>
          <w:p w:rsidR="00AA75D1" w:rsidRDefault="008A3FF4">
            <w:pPr>
              <w:tabs>
                <w:tab w:val="left" w:pos="0"/>
              </w:tabs>
              <w:ind w:firstLine="23"/>
              <w:jc w:val="left"/>
              <w:rPr>
                <w:rFonts w:eastAsia="Times New Roman"/>
                <w:noProof/>
                <w:color w:val="000000" w:themeColor="text1"/>
                <w:sz w:val="20"/>
                <w:szCs w:val="20"/>
              </w:rPr>
            </w:pPr>
            <w:r>
              <w:rPr>
                <w:noProof/>
                <w:color w:val="000000" w:themeColor="text1"/>
                <w:sz w:val="20"/>
                <w:szCs w:val="20"/>
              </w:rPr>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Botswana, Namiibia ja Zimbabwe</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Soovitud muudatuse tulemusel avataks rahvusvaheline elevandiluukaubandus, mistõttu muudatus ei vasta resolutsiooni Conf. 9.24 4. lisas sätestatud ennetavatele kaitsemeetmetele ning on ennatlik.</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12</w:t>
            </w:r>
          </w:p>
        </w:tc>
        <w:tc>
          <w:tcPr>
            <w:tcW w:w="1701" w:type="dxa"/>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 xml:space="preserve">Loxodonta </w:t>
            </w:r>
            <w:r>
              <w:rPr>
                <w:i/>
                <w:iCs/>
                <w:noProof/>
                <w:color w:val="000000" w:themeColor="text1"/>
                <w:sz w:val="20"/>
                <w:szCs w:val="20"/>
              </w:rPr>
              <w:br/>
              <w:t>africana</w:t>
            </w:r>
            <w:r>
              <w:rPr>
                <w:i/>
                <w:iCs/>
                <w:noProof/>
                <w:color w:val="000000" w:themeColor="text1"/>
                <w:sz w:val="20"/>
                <w:szCs w:val="20"/>
              </w:rPr>
              <w:br/>
            </w:r>
            <w:r>
              <w:rPr>
                <w:noProof/>
                <w:color w:val="000000" w:themeColor="text1"/>
                <w:sz w:val="20"/>
                <w:szCs w:val="20"/>
              </w:rPr>
              <w:t>(aafrika savannielevant)</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(Botswana, Namiibia, Lõuna-Aafrika ja Zimbabwe populatsioonid)</w:t>
            </w:r>
          </w:p>
        </w:tc>
        <w:tc>
          <w:tcPr>
            <w:tcW w:w="1985" w:type="dxa"/>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Botswana, Namiibia, Lõuna-Aafrika ja Zimbabwe populatsioonid II lisast üle I lisasse.</w:t>
            </w:r>
          </w:p>
        </w:tc>
        <w:tc>
          <w:tcPr>
            <w:tcW w:w="1702" w:type="dxa"/>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Burkina </w:t>
            </w:r>
            <w:r>
              <w:rPr>
                <w:noProof/>
                <w:color w:val="000000" w:themeColor="text1"/>
                <w:sz w:val="20"/>
                <w:szCs w:val="20"/>
              </w:rPr>
              <w:br/>
              <w:t xml:space="preserve">Faso, Côte d’Ivoire , Gabon, Keenia, </w:t>
            </w:r>
            <w:r>
              <w:rPr>
                <w:noProof/>
                <w:color w:val="000000" w:themeColor="text1"/>
                <w:sz w:val="20"/>
                <w:szCs w:val="20"/>
              </w:rPr>
              <w:br/>
            </w:r>
            <w:r>
              <w:rPr>
                <w:noProof/>
                <w:color w:val="000000" w:themeColor="text1"/>
                <w:sz w:val="20"/>
                <w:szCs w:val="20"/>
              </w:rPr>
              <w:t>Libeeria, Niger, Nigeeria, Sudaan, Süüria Araabia Vabariik ja Togo</w:t>
            </w:r>
          </w:p>
        </w:tc>
        <w:tc>
          <w:tcPr>
            <w:tcW w:w="2179" w:type="dxa"/>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Need neli populatsiooni ei vasta I lisa kriteeriumidele ja kõnealused levilariigid ei nõustu üleviimisega. </w:t>
            </w:r>
          </w:p>
        </w:tc>
        <w:tc>
          <w:tcPr>
            <w:tcW w:w="905" w:type="dxa"/>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Mammuthus primigenius</w:t>
            </w:r>
            <w:r>
              <w:rPr>
                <w:i/>
                <w:iCs/>
                <w:noProof/>
                <w:color w:val="000000" w:themeColor="text1"/>
                <w:sz w:val="20"/>
                <w:szCs w:val="20"/>
              </w:rPr>
              <w:br/>
            </w:r>
            <w:r>
              <w:rPr>
                <w:rStyle w:val="Bodytext2"/>
                <w:rFonts w:ascii="Times New Roman" w:hAnsi="Times New Roman"/>
                <w:noProof/>
                <w:color w:val="000000" w:themeColor="text1"/>
                <w:sz w:val="20"/>
                <w:szCs w:val="20"/>
              </w:rPr>
              <w:t>(karvane mammut)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Iisrael</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CITESi eesmärk on kaitsta liike liigkasutuse ja väljasuremise eest. Sarnasest välimusest tulenevad probleemid ei tundu olevat piisav argument mammuti loetellu kandmiseks. Ei ole esitatud tõendeid, et ekslik identifitseerimine ja kauplemine oleks laialt lev</w:t>
            </w:r>
            <w:r>
              <w:rPr>
                <w:noProof/>
                <w:color w:val="000000" w:themeColor="text1"/>
                <w:sz w:val="20"/>
                <w:szCs w:val="20"/>
              </w:rPr>
              <w:t xml:space="preserve">inud; lisaks on elevantide ja mammutite võhkade dentiin ainulaadne ja ka asjatundmatule kergesti äratuntav. II lisasse kandmine ei oleks liiki ähvardava ohuga proportsionaalne (potentsiaalselt väljastataks palju lube, mille kasutegur oleks liigi kaitsmise </w:t>
            </w:r>
            <w:r>
              <w:rPr>
                <w:noProof/>
                <w:color w:val="000000" w:themeColor="text1"/>
                <w:sz w:val="20"/>
                <w:szCs w:val="20"/>
              </w:rPr>
              <w:t>seisukohast olematu või piiratud).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Leporillus conditor</w:t>
            </w:r>
            <w:r>
              <w:rPr>
                <w:i/>
                <w:iCs/>
                <w:noProof/>
                <w:color w:val="000000" w:themeColor="text1"/>
                <w:sz w:val="20"/>
                <w:szCs w:val="20"/>
              </w:rPr>
              <w:br/>
            </w:r>
            <w:r>
              <w:rPr>
                <w:noProof/>
                <w:color w:val="000000" w:themeColor="text1"/>
                <w:sz w:val="20"/>
                <w:szCs w:val="20"/>
              </w:rPr>
              <w:t>(kõrvuk-kojarott)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Austraalia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CITESi loomakomitee soovitab viia liik üle II lisasse. Liigiga ei kaubitseta rahvusvaheliselt.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Pseudomys fieldi praeconis</w:t>
            </w:r>
            <w:r>
              <w:rPr>
                <w:i/>
                <w:iCs/>
                <w:noProof/>
                <w:color w:val="000000" w:themeColor="text1"/>
                <w:sz w:val="20"/>
                <w:szCs w:val="20"/>
              </w:rPr>
              <w:br/>
            </w:r>
            <w:r>
              <w:rPr>
                <w:iCs/>
                <w:noProof/>
                <w:color w:val="000000" w:themeColor="text1"/>
                <w:sz w:val="20"/>
                <w:szCs w:val="20"/>
              </w:rPr>
              <w:t>(hatune väärhiir)</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Austraalia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CITESi loomakomitee soovitab viia liik üle II lisasse. Liigiga ei kaubitseta rahvusvaheliselt.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Xeromys myoides</w:t>
            </w:r>
            <w:r>
              <w:rPr>
                <w:i/>
                <w:iCs/>
                <w:noProof/>
                <w:color w:val="000000" w:themeColor="text1"/>
                <w:sz w:val="20"/>
                <w:szCs w:val="20"/>
              </w:rPr>
              <w:br/>
            </w:r>
            <w:r>
              <w:rPr>
                <w:iCs/>
                <w:noProof/>
                <w:color w:val="000000" w:themeColor="text1"/>
                <w:sz w:val="20"/>
                <w:szCs w:val="20"/>
              </w:rPr>
              <w:lastRenderedPageBreak/>
              <w:t>(ebakobrasrott)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Viia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Austraalia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CITESi </w:t>
            </w:r>
            <w:r>
              <w:rPr>
                <w:noProof/>
                <w:color w:val="000000" w:themeColor="text1"/>
                <w:sz w:val="20"/>
                <w:szCs w:val="20"/>
              </w:rPr>
              <w:t xml:space="preserve">loomakomitee </w:t>
            </w:r>
            <w:r>
              <w:rPr>
                <w:noProof/>
                <w:color w:val="000000" w:themeColor="text1"/>
                <w:sz w:val="20"/>
                <w:szCs w:val="20"/>
              </w:rPr>
              <w:lastRenderedPageBreak/>
              <w:t>soovitab viia liik üle II lisasse. Liigiga ei kaubitseta rahvusvaheliselt.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Zyzomys pedunculatus</w:t>
            </w:r>
            <w:r>
              <w:rPr>
                <w:i/>
                <w:iCs/>
                <w:noProof/>
                <w:color w:val="000000" w:themeColor="text1"/>
                <w:sz w:val="20"/>
                <w:szCs w:val="20"/>
              </w:rPr>
              <w:br/>
            </w:r>
            <w:r>
              <w:rPr>
                <w:iCs/>
                <w:noProof/>
                <w:color w:val="000000" w:themeColor="text1"/>
                <w:sz w:val="20"/>
                <w:szCs w:val="20"/>
              </w:rPr>
              <w:t>(jämesabarott)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Austraalia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CITESi loomakomitee soovitab viia liik üle II lisasse. Liigiga ei kaubitseta </w:t>
            </w:r>
            <w:r>
              <w:rPr>
                <w:noProof/>
                <w:color w:val="000000" w:themeColor="text1"/>
                <w:sz w:val="20"/>
                <w:szCs w:val="20"/>
              </w:rPr>
              <w:t>rahvusvaheliselt.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Syrmaticus reevesii</w:t>
            </w:r>
          </w:p>
          <w:p w:rsidR="00AA75D1" w:rsidRDefault="008A3FF4">
            <w:pPr>
              <w:spacing w:before="0" w:after="0"/>
              <w:jc w:val="left"/>
              <w:rPr>
                <w:rFonts w:eastAsia="Times New Roman"/>
                <w:noProof/>
                <w:color w:val="000000" w:themeColor="text1"/>
                <w:sz w:val="20"/>
                <w:szCs w:val="20"/>
              </w:rPr>
            </w:pPr>
            <w:r>
              <w:rPr>
                <w:iCs/>
                <w:noProof/>
                <w:color w:val="000000" w:themeColor="text1"/>
                <w:sz w:val="20"/>
                <w:szCs w:val="20"/>
              </w:rPr>
              <w:t>(kuningfaasan)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CN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rPr>
              <w:t xml:space="preserve">Ainult Hiina populatsioon vastab II lisasse kandmise kriteeriumidele. Olla valmis toetama kitsamat ettepanekut, mis sätestaks, et sissetoodud populatsioonide isenditega </w:t>
            </w:r>
            <w:r>
              <w:rPr>
                <w:noProof/>
                <w:color w:val="000000" w:themeColor="text1"/>
                <w:sz w:val="20"/>
              </w:rPr>
              <w:t>kauplemise haldamisega seotud halduskoormus jääb proportsionaalseks. See on saavutatav II lisa loetelu piiramisega selliselt, et see hõlmaks ainult Hiina populatsiooni, või liigi kandmist III lisasse Hiina poolt.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(0)</w:t>
            </w:r>
          </w:p>
        </w:tc>
      </w:tr>
      <w:tr w:rsidR="00AA75D1">
        <w:tc>
          <w:tcPr>
            <w:tcW w:w="817" w:type="dxa"/>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19</w:t>
            </w:r>
          </w:p>
        </w:tc>
        <w:tc>
          <w:tcPr>
            <w:tcW w:w="1701" w:type="dxa"/>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Balearica pavonina</w:t>
            </w:r>
            <w:r>
              <w:rPr>
                <w:i/>
                <w:iCs/>
                <w:noProof/>
                <w:color w:val="000000" w:themeColor="text1"/>
                <w:sz w:val="20"/>
                <w:szCs w:val="20"/>
              </w:rPr>
              <w:br/>
            </w:r>
            <w:r>
              <w:rPr>
                <w:iCs/>
                <w:noProof/>
                <w:color w:val="000000" w:themeColor="text1"/>
                <w:sz w:val="20"/>
                <w:szCs w:val="20"/>
              </w:rPr>
              <w:t>(põhja-kroonkurg)</w:t>
            </w:r>
          </w:p>
        </w:tc>
        <w:tc>
          <w:tcPr>
            <w:tcW w:w="1985" w:type="dxa"/>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Burkina Faso, Côte d’Ivoire ja Senegal</w:t>
            </w:r>
          </w:p>
        </w:tc>
        <w:tc>
          <w:tcPr>
            <w:tcW w:w="2179" w:type="dxa"/>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On ebaselge, kas lisasse kandmise kriteeriumid on täidetud ja kas ülekandmine aitaks võidelda ebaseadusliku kaubandusega. Vaja on analüüsida võimalikku mõju (IUCN punase raamatu andmetel) ohustatuma liigiga </w:t>
            </w:r>
            <w:r>
              <w:rPr>
                <w:i/>
                <w:noProof/>
                <w:color w:val="000000" w:themeColor="text1"/>
                <w:sz w:val="20"/>
                <w:szCs w:val="20"/>
              </w:rPr>
              <w:t>Balearica regulorum</w:t>
            </w:r>
            <w:r>
              <w:rPr>
                <w:noProof/>
                <w:color w:val="000000" w:themeColor="text1"/>
                <w:sz w:val="20"/>
                <w:szCs w:val="20"/>
              </w:rPr>
              <w:t xml:space="preserve"> (lõuna-kroonkurg, II lisa) ka</w:t>
            </w:r>
            <w:r>
              <w:rPr>
                <w:noProof/>
                <w:color w:val="000000" w:themeColor="text1"/>
                <w:sz w:val="20"/>
                <w:szCs w:val="20"/>
              </w:rPr>
              <w:t>uplemisele.  – Kaks levilariiki on märkimisväärse kauplemise hindamise protsessi raames kauplemisest ajutiselt kõrvaldatud. Teised levilariigid eemaldati protsessist, kuna neid see ei puuduta. Loomakomiteega ei ole konsulteeritud, nagu nõutakse resolutsioo</w:t>
            </w:r>
            <w:r>
              <w:rPr>
                <w:noProof/>
                <w:color w:val="000000" w:themeColor="text1"/>
                <w:sz w:val="20"/>
                <w:szCs w:val="20"/>
              </w:rPr>
              <w:t xml:space="preserve">ni Conf. 9.24 6. lisa punktis 10, mille kohaselt tuleb II lisa </w:t>
            </w:r>
            <w:r>
              <w:rPr>
                <w:noProof/>
                <w:color w:val="000000" w:themeColor="text1"/>
                <w:sz w:val="20"/>
                <w:szCs w:val="20"/>
              </w:rPr>
              <w:lastRenderedPageBreak/>
              <w:t>liikide I lisasse üleviimise ettepanekute puhul teostada märkimisväärse kauplemise hindamine. Parem oleks üleviimisega oodata, kuni saabuvad märkimisväärse kauplemise hindamise tulemused.</w:t>
            </w:r>
          </w:p>
        </w:tc>
        <w:tc>
          <w:tcPr>
            <w:tcW w:w="905" w:type="dxa"/>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0</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Dasyornis broadbenti litoralis</w:t>
            </w:r>
            <w:r>
              <w:rPr>
                <w:i/>
                <w:iCs/>
                <w:noProof/>
                <w:color w:val="000000" w:themeColor="text1"/>
                <w:sz w:val="20"/>
                <w:szCs w:val="20"/>
              </w:rPr>
              <w:br/>
            </w:r>
            <w:r>
              <w:rPr>
                <w:rStyle w:val="Bodytext2"/>
                <w:rFonts w:ascii="Times New Roman" w:hAnsi="Times New Roman"/>
                <w:noProof/>
                <w:color w:val="000000" w:themeColor="text1"/>
                <w:sz w:val="20"/>
                <w:szCs w:val="20"/>
              </w:rPr>
              <w:t>(suur-rägalind alamliigist litoralis)</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Austraalia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Ettepanek tehti pärast CITESi perioodilist läbivaatamist ning puudutab liiki, millega ei kaubelda (tõenäoliselt välja surnud, viimati nähti </w:t>
            </w:r>
            <w:r>
              <w:rPr>
                <w:noProof/>
                <w:color w:val="000000" w:themeColor="text1"/>
                <w:sz w:val="20"/>
                <w:szCs w:val="20"/>
              </w:rPr>
              <w:t>1906. aastal).</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Dasyornis longirostris</w:t>
            </w:r>
            <w:r>
              <w:rPr>
                <w:i/>
                <w:iCs/>
                <w:noProof/>
                <w:color w:val="000000" w:themeColor="text1"/>
                <w:sz w:val="20"/>
                <w:szCs w:val="20"/>
              </w:rPr>
              <w:br/>
            </w:r>
            <w:r>
              <w:rPr>
                <w:rStyle w:val="Bodytext2"/>
                <w:rFonts w:ascii="Times New Roman" w:hAnsi="Times New Roman"/>
                <w:noProof/>
                <w:color w:val="000000" w:themeColor="text1"/>
                <w:sz w:val="20"/>
                <w:szCs w:val="20"/>
              </w:rPr>
              <w:t>(lääne-rägalind)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r>
              <w:rPr>
                <w:noProof/>
                <w:color w:val="000000" w:themeColor="text1"/>
                <w:sz w:val="20"/>
                <w:szCs w:val="20"/>
              </w:rPr>
              <w:br/>
              <w:t>Viia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Austraalia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Ettepanek tehti pärast CITESi perioodilist läbivaatamist ning puudutab liiki, millega ei kaubelda.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Crocodylus acutus</w:t>
            </w:r>
            <w:r>
              <w:rPr>
                <w:i/>
                <w:iCs/>
                <w:noProof/>
                <w:color w:val="000000" w:themeColor="text1"/>
                <w:sz w:val="20"/>
                <w:szCs w:val="20"/>
              </w:rPr>
              <w:br/>
            </w:r>
            <w:r>
              <w:rPr>
                <w:noProof/>
                <w:color w:val="000000" w:themeColor="text1"/>
                <w:sz w:val="20"/>
                <w:szCs w:val="20"/>
              </w:rPr>
              <w:t>(teravkoon-krokodill)</w:t>
            </w:r>
            <w:r>
              <w:rPr>
                <w:noProof/>
                <w:color w:val="000000" w:themeColor="text1"/>
                <w:sz w:val="20"/>
                <w:szCs w:val="20"/>
              </w:rPr>
              <w:br/>
            </w:r>
            <w:r>
              <w:rPr>
                <w:noProof/>
                <w:color w:val="000000" w:themeColor="text1"/>
                <w:sz w:val="20"/>
                <w:szCs w:val="20"/>
              </w:rPr>
              <w:t>(Mehhiko populatsioon)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Mehhiko populatsioon I lisast üle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Mehhiko</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Toetada üleviimist I lisast II lisasse, kui Mehhiko kehtestab metsikutele isenditele nullkvoodi (päritolukood W).</w:t>
            </w:r>
          </w:p>
          <w:p w:rsidR="00AA75D1" w:rsidRDefault="00AA75D1">
            <w:pPr>
              <w:spacing w:after="0"/>
              <w:jc w:val="left"/>
              <w:rPr>
                <w:noProof/>
                <w:color w:val="000000" w:themeColor="text1"/>
                <w:sz w:val="20"/>
                <w:szCs w:val="20"/>
                <w:highlight w:val="yellow"/>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lastRenderedPageBreak/>
              <w:t>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Calotes nigrilabris</w:t>
            </w:r>
            <w:r>
              <w:rPr>
                <w:noProof/>
                <w:color w:val="000000" w:themeColor="text1"/>
                <w:sz w:val="20"/>
                <w:szCs w:val="20"/>
              </w:rPr>
              <w:t xml:space="preserve"> ja </w:t>
            </w:r>
            <w:r>
              <w:rPr>
                <w:i/>
                <w:noProof/>
                <w:color w:val="000000" w:themeColor="text1"/>
                <w:sz w:val="20"/>
                <w:szCs w:val="20"/>
              </w:rPr>
              <w:t>Calotes pethiyagodai</w:t>
            </w:r>
            <w:r>
              <w:rPr>
                <w:i/>
                <w:iCs/>
                <w:noProof/>
                <w:color w:val="000000" w:themeColor="text1"/>
                <w:sz w:val="20"/>
                <w:szCs w:val="20"/>
              </w:rPr>
              <w:br/>
            </w:r>
            <w:r>
              <w:rPr>
                <w:iCs/>
                <w:noProof/>
                <w:color w:val="000000" w:themeColor="text1"/>
                <w:sz w:val="20"/>
                <w:szCs w:val="20"/>
              </w:rPr>
              <w:t xml:space="preserve">(agaamlased, liigid </w:t>
            </w:r>
            <w:r>
              <w:rPr>
                <w:i/>
                <w:iCs/>
                <w:noProof/>
                <w:color w:val="000000" w:themeColor="text1"/>
                <w:sz w:val="20"/>
                <w:szCs w:val="20"/>
              </w:rPr>
              <w:t>Calotes nigrilabris</w:t>
            </w:r>
            <w:r>
              <w:rPr>
                <w:iCs/>
                <w:noProof/>
                <w:color w:val="000000" w:themeColor="text1"/>
                <w:sz w:val="20"/>
                <w:szCs w:val="20"/>
              </w:rPr>
              <w:t xml:space="preserve"> ja </w:t>
            </w:r>
            <w:r>
              <w:rPr>
                <w:i/>
                <w:iCs/>
                <w:noProof/>
                <w:color w:val="000000" w:themeColor="text1"/>
                <w:sz w:val="20"/>
                <w:szCs w:val="20"/>
              </w:rPr>
              <w:t>C. pethiyagodai</w:t>
            </w:r>
            <w:r>
              <w:rPr>
                <w:iCs/>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rPr>
            </w:pPr>
            <w:r>
              <w:rPr>
                <w:i/>
                <w:noProof/>
                <w:color w:val="000000" w:themeColor="text1"/>
                <w:sz w:val="20"/>
              </w:rPr>
              <w:t xml:space="preserve">Bioloogilised </w:t>
            </w:r>
            <w:r>
              <w:rPr>
                <w:noProof/>
                <w:color w:val="000000" w:themeColor="text1"/>
                <w:sz w:val="20"/>
              </w:rPr>
              <w:t>kriteeriumid CITESi lisadesse kandmiseks tunduvad olevat täidetud, kuid tõendid selle kohta, et praegune või eeldatav kaubitsemise maht kahjustab lii</w:t>
            </w:r>
            <w:r>
              <w:rPr>
                <w:noProof/>
                <w:color w:val="000000" w:themeColor="text1"/>
                <w:sz w:val="20"/>
              </w:rPr>
              <w:t xml:space="preserve">gi säilimist looduses, on ebapiisavad. </w:t>
            </w:r>
          </w:p>
          <w:p w:rsidR="00AA75D1" w:rsidRDefault="008A3FF4">
            <w:pPr>
              <w:spacing w:after="0"/>
              <w:jc w:val="left"/>
              <w:rPr>
                <w:noProof/>
                <w:color w:val="000000" w:themeColor="text1"/>
                <w:sz w:val="20"/>
                <w:szCs w:val="20"/>
                <w:highlight w:val="yellow"/>
              </w:rPr>
            </w:pPr>
            <w:r>
              <w:rPr>
                <w:noProof/>
                <w:color w:val="000000" w:themeColor="text1"/>
                <w:sz w:val="20"/>
              </w:rPr>
              <w:t xml:space="preserve">Pärast liikide </w:t>
            </w:r>
            <w:r>
              <w:rPr>
                <w:i/>
                <w:noProof/>
                <w:color w:val="000000" w:themeColor="text1"/>
                <w:sz w:val="20"/>
              </w:rPr>
              <w:t xml:space="preserve">Calotes liocephalus </w:t>
            </w:r>
            <w:r>
              <w:rPr>
                <w:noProof/>
                <w:color w:val="000000" w:themeColor="text1"/>
                <w:sz w:val="20"/>
              </w:rPr>
              <w:t>ja C</w:t>
            </w:r>
            <w:r>
              <w:rPr>
                <w:i/>
                <w:noProof/>
                <w:color w:val="000000" w:themeColor="text1"/>
                <w:sz w:val="20"/>
              </w:rPr>
              <w:t>. pethiyagodai</w:t>
            </w:r>
            <w:r>
              <w:rPr>
                <w:noProof/>
                <w:color w:val="000000" w:themeColor="text1"/>
                <w:sz w:val="20"/>
              </w:rPr>
              <w:t xml:space="preserve"> taksonoomilist eristamist määrati liigile </w:t>
            </w:r>
            <w:r>
              <w:rPr>
                <w:i/>
                <w:noProof/>
                <w:color w:val="000000" w:themeColor="text1"/>
                <w:sz w:val="20"/>
              </w:rPr>
              <w:t>C. liocephalus</w:t>
            </w:r>
            <w:r>
              <w:rPr>
                <w:noProof/>
                <w:color w:val="000000" w:themeColor="text1"/>
                <w:sz w:val="20"/>
              </w:rPr>
              <w:t xml:space="preserve">  riigis „äärmiselt ohustatud“ liigi staatus, samas ei ole selle liigi loetellu kandmise ettepanekut tehtu</w:t>
            </w:r>
            <w:r>
              <w:rPr>
                <w:noProof/>
                <w:color w:val="000000" w:themeColor="text1"/>
                <w:sz w:val="20"/>
              </w:rPr>
              <w:t xml:space="preserve">d, ehkki see on veelgi rohkem ohustatud kui </w:t>
            </w:r>
            <w:r>
              <w:rPr>
                <w:i/>
                <w:noProof/>
                <w:color w:val="000000" w:themeColor="text1"/>
                <w:sz w:val="20"/>
              </w:rPr>
              <w:t>C. pethiyagodai</w:t>
            </w:r>
            <w:r>
              <w:rPr>
                <w:noProof/>
                <w:color w:val="000000" w:themeColor="text1"/>
                <w:sz w:val="20"/>
              </w:rPr>
              <w:t>.</w:t>
            </w:r>
            <w:r>
              <w:rPr>
                <w:i/>
                <w:noProof/>
                <w:color w:val="000000" w:themeColor="text1"/>
                <w:sz w:val="20"/>
              </w:rPr>
              <w:t xml:space="preserve"> </w:t>
            </w:r>
            <w:r>
              <w:rPr>
                <w:noProof/>
                <w:color w:val="000000" w:themeColor="text1"/>
                <w:sz w:val="20"/>
              </w:rPr>
              <w:t xml:space="preserve">Kuna neid kaht liiki on varem peetud üheks liigiks ja seega on neil vaevu võimalik vahet teha, võib ainult </w:t>
            </w:r>
            <w:r>
              <w:rPr>
                <w:i/>
                <w:noProof/>
                <w:color w:val="000000" w:themeColor="text1"/>
                <w:sz w:val="20"/>
              </w:rPr>
              <w:t xml:space="preserve">C. pethiyagodai </w:t>
            </w:r>
            <w:r>
              <w:rPr>
                <w:noProof/>
                <w:color w:val="000000" w:themeColor="text1"/>
                <w:sz w:val="20"/>
              </w:rPr>
              <w:t xml:space="preserve">kandmine I lisasse põhjustada probleeme liigi </w:t>
            </w:r>
            <w:r>
              <w:rPr>
                <w:i/>
                <w:noProof/>
                <w:color w:val="000000" w:themeColor="text1"/>
                <w:sz w:val="20"/>
              </w:rPr>
              <w:t>C. liocephalus</w:t>
            </w:r>
            <w:r>
              <w:rPr>
                <w:noProof/>
                <w:color w:val="000000" w:themeColor="text1"/>
                <w:sz w:val="20"/>
              </w:rPr>
              <w:t xml:space="preserve"> kaitsmisel </w:t>
            </w:r>
            <w:r>
              <w:rPr>
                <w:noProof/>
                <w:color w:val="000000" w:themeColor="text1"/>
                <w:sz w:val="20"/>
              </w:rPr>
              <w:t xml:space="preserve">või kauplemine liigiga </w:t>
            </w:r>
            <w:r>
              <w:rPr>
                <w:i/>
                <w:noProof/>
                <w:color w:val="000000" w:themeColor="text1"/>
                <w:sz w:val="20"/>
              </w:rPr>
              <w:t>C. pethiyagodai</w:t>
            </w:r>
            <w:r>
              <w:rPr>
                <w:noProof/>
                <w:color w:val="000000" w:themeColor="text1"/>
                <w:sz w:val="20"/>
              </w:rPr>
              <w:t xml:space="preserve"> võib jätkuda liigi C. liocephalus nimetuse all.</w:t>
            </w:r>
            <w:r>
              <w:rPr>
                <w:i/>
                <w:noProof/>
                <w:color w:val="000000" w:themeColor="text1"/>
                <w:sz w:val="20"/>
              </w:rPr>
              <w:t xml:space="preserve"> </w:t>
            </w:r>
            <w:r>
              <w:rPr>
                <w:noProof/>
                <w:color w:val="000000" w:themeColor="text1"/>
                <w:sz w:val="20"/>
              </w:rPr>
              <w:t>Probleemne on ka isendite individuaalne märgistamine, juhul kui nad I lisasse kantakse, kuna nad on väikesed ja nende värv muutub.</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0</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Ceratophora</w:t>
            </w:r>
            <w:r>
              <w:rPr>
                <w:noProof/>
                <w:color w:val="000000" w:themeColor="text1"/>
                <w:sz w:val="20"/>
                <w:szCs w:val="20"/>
              </w:rPr>
              <w:t xml:space="preserve"> spp.</w:t>
            </w:r>
            <w:r>
              <w:rPr>
                <w:noProof/>
                <w:color w:val="000000" w:themeColor="text1"/>
                <w:sz w:val="20"/>
                <w:szCs w:val="20"/>
              </w:rPr>
              <w:br/>
              <w:t>(ninaagaamid)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w:t>
            </w:r>
            <w:r>
              <w:rPr>
                <w:noProof/>
                <w:color w:val="000000" w:themeColor="text1"/>
                <w:sz w:val="20"/>
                <w:szCs w:val="20"/>
              </w:rPr>
              <w:t xml:space="preserve">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rPr>
            </w:pPr>
            <w:r>
              <w:rPr>
                <w:noProof/>
                <w:color w:val="000000" w:themeColor="text1"/>
                <w:sz w:val="20"/>
              </w:rPr>
              <w:t xml:space="preserve">Mitte nõustuda perekonna kandmisega I lisasse, kuid nõustuda liikide </w:t>
            </w:r>
            <w:r>
              <w:rPr>
                <w:i/>
                <w:noProof/>
                <w:color w:val="000000" w:themeColor="text1"/>
                <w:sz w:val="20"/>
              </w:rPr>
              <w:t>C. erdeleni, C. karu</w:t>
            </w:r>
            <w:r>
              <w:rPr>
                <w:noProof/>
                <w:color w:val="000000" w:themeColor="text1"/>
                <w:sz w:val="20"/>
              </w:rPr>
              <w:t xml:space="preserve">, ja </w:t>
            </w:r>
            <w:r>
              <w:rPr>
                <w:i/>
                <w:noProof/>
                <w:color w:val="000000" w:themeColor="text1"/>
                <w:sz w:val="20"/>
              </w:rPr>
              <w:t xml:space="preserve">C. tennenti </w:t>
            </w:r>
            <w:r>
              <w:rPr>
                <w:noProof/>
                <w:color w:val="000000" w:themeColor="text1"/>
                <w:sz w:val="20"/>
              </w:rPr>
              <w:t xml:space="preserve">kandmisega I lisasse ning liikide </w:t>
            </w:r>
            <w:r>
              <w:rPr>
                <w:i/>
                <w:noProof/>
                <w:color w:val="000000" w:themeColor="text1"/>
                <w:sz w:val="20"/>
              </w:rPr>
              <w:t>C. stoddartii</w:t>
            </w:r>
            <w:r>
              <w:rPr>
                <w:noProof/>
                <w:color w:val="000000" w:themeColor="text1"/>
                <w:sz w:val="20"/>
              </w:rPr>
              <w:t xml:space="preserve"> ja </w:t>
            </w:r>
            <w:r>
              <w:rPr>
                <w:i/>
                <w:noProof/>
                <w:color w:val="000000" w:themeColor="text1"/>
                <w:sz w:val="20"/>
              </w:rPr>
              <w:t>C. asper</w:t>
            </w:r>
            <w:r>
              <w:rPr>
                <w:noProof/>
                <w:color w:val="000000" w:themeColor="text1"/>
                <w:sz w:val="20"/>
              </w:rPr>
              <w:t xml:space="preserve"> kandmisega II lisasse.</w:t>
            </w:r>
          </w:p>
          <w:p w:rsidR="00AA75D1" w:rsidRDefault="008A3FF4">
            <w:pPr>
              <w:keepLines/>
              <w:spacing w:after="0"/>
              <w:jc w:val="left"/>
              <w:rPr>
                <w:noProof/>
                <w:color w:val="000000" w:themeColor="text1"/>
                <w:sz w:val="20"/>
              </w:rPr>
            </w:pPr>
            <w:r>
              <w:rPr>
                <w:noProof/>
                <w:color w:val="000000" w:themeColor="text1"/>
                <w:sz w:val="20"/>
              </w:rPr>
              <w:t xml:space="preserve">Kolme liigi puhul (viiest perekonda </w:t>
            </w:r>
            <w:r>
              <w:rPr>
                <w:noProof/>
                <w:color w:val="000000" w:themeColor="text1"/>
                <w:sz w:val="20"/>
              </w:rPr>
              <w:t xml:space="preserve">kuuluvast liigist) on </w:t>
            </w:r>
            <w:r>
              <w:rPr>
                <w:noProof/>
                <w:color w:val="000000" w:themeColor="text1"/>
                <w:sz w:val="20"/>
              </w:rPr>
              <w:lastRenderedPageBreak/>
              <w:t xml:space="preserve">täidetud bioloogilised kriteeriumid nende kandmiseks I lisasse: </w:t>
            </w:r>
            <w:r>
              <w:rPr>
                <w:i/>
                <w:noProof/>
                <w:color w:val="000000" w:themeColor="text1"/>
                <w:sz w:val="20"/>
              </w:rPr>
              <w:t xml:space="preserve">C. karu, C. erdeleni </w:t>
            </w:r>
            <w:r>
              <w:rPr>
                <w:noProof/>
                <w:color w:val="000000" w:themeColor="text1"/>
                <w:sz w:val="20"/>
              </w:rPr>
              <w:t xml:space="preserve">ja </w:t>
            </w:r>
            <w:r>
              <w:rPr>
                <w:i/>
                <w:noProof/>
                <w:color w:val="000000" w:themeColor="text1"/>
                <w:sz w:val="20"/>
              </w:rPr>
              <w:t>C. tennentii</w:t>
            </w:r>
            <w:r>
              <w:rPr>
                <w:noProof/>
                <w:color w:val="000000" w:themeColor="text1"/>
                <w:sz w:val="20"/>
              </w:rPr>
              <w:t xml:space="preserve">. Ülejäänud kahe liigi </w:t>
            </w:r>
            <w:r>
              <w:rPr>
                <w:i/>
                <w:noProof/>
                <w:color w:val="000000" w:themeColor="text1"/>
                <w:sz w:val="20"/>
              </w:rPr>
              <w:t>C. aspera</w:t>
            </w:r>
            <w:r>
              <w:rPr>
                <w:noProof/>
                <w:color w:val="000000" w:themeColor="text1"/>
                <w:sz w:val="20"/>
              </w:rPr>
              <w:t xml:space="preserve"> ja </w:t>
            </w:r>
            <w:r>
              <w:rPr>
                <w:i/>
                <w:noProof/>
                <w:color w:val="000000" w:themeColor="text1"/>
                <w:sz w:val="20"/>
              </w:rPr>
              <w:t>C. stoddartii</w:t>
            </w:r>
            <w:r>
              <w:rPr>
                <w:noProof/>
                <w:color w:val="000000" w:themeColor="text1"/>
                <w:sz w:val="20"/>
              </w:rPr>
              <w:t xml:space="preserve"> puhul, mis on tavalisemad, kuid millega ka kaubeldakse rohkem, tundub II lisa õigust</w:t>
            </w:r>
            <w:r>
              <w:rPr>
                <w:noProof/>
                <w:color w:val="000000" w:themeColor="text1"/>
                <w:sz w:val="20"/>
              </w:rPr>
              <w:t>atum; samuti tuleb märkida, et I lisasse kandmisel ei ole n-ö sarnasusekriteeriumi (resolutsiooni Conf. 9.24 1. lisa (Rev. CoP17)).</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Cophotis ceylanica</w:t>
            </w:r>
            <w:r>
              <w:rPr>
                <w:noProof/>
                <w:color w:val="000000" w:themeColor="text1"/>
                <w:sz w:val="20"/>
                <w:szCs w:val="20"/>
              </w:rPr>
              <w:t xml:space="preserve"> ja </w:t>
            </w:r>
            <w:r>
              <w:rPr>
                <w:i/>
                <w:noProof/>
                <w:color w:val="000000" w:themeColor="text1"/>
                <w:sz w:val="20"/>
                <w:szCs w:val="20"/>
              </w:rPr>
              <w:t>Cophotis dumbara</w:t>
            </w:r>
            <w:r>
              <w:rPr>
                <w:i/>
                <w:iCs/>
                <w:noProof/>
                <w:color w:val="000000" w:themeColor="text1"/>
                <w:sz w:val="20"/>
                <w:szCs w:val="20"/>
              </w:rPr>
              <w:br/>
            </w:r>
            <w:r>
              <w:rPr>
                <w:iCs/>
                <w:noProof/>
                <w:color w:val="000000" w:themeColor="text1"/>
                <w:sz w:val="20"/>
                <w:szCs w:val="20"/>
              </w:rPr>
              <w:t xml:space="preserve">(tseiloni loheagaam ja loheagaam, liik </w:t>
            </w:r>
            <w:r>
              <w:rPr>
                <w:i/>
                <w:iCs/>
                <w:noProof/>
                <w:color w:val="000000" w:themeColor="text1"/>
                <w:sz w:val="20"/>
                <w:szCs w:val="20"/>
              </w:rPr>
              <w:t>Cophotis dumbara</w:t>
            </w:r>
            <w:r>
              <w:rPr>
                <w:iCs/>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Kanda </w:t>
            </w:r>
            <w:r>
              <w:rPr>
                <w:noProof/>
                <w:color w:val="000000" w:themeColor="text1"/>
                <w:sz w:val="20"/>
                <w:szCs w:val="20"/>
              </w:rPr>
              <w:t>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Tundub, et bioloogilised kriteeriumid on ettepaneku puhul täidetud; isegi väheste isendite eemaldamisel on allesjäävatele populatsioonidele märgatav mõju. Selles perekonnas on ainult kaks liiki, mõlemad esinevad ainult Sri Lankal ja on </w:t>
            </w:r>
            <w:r>
              <w:rPr>
                <w:noProof/>
                <w:color w:val="000000" w:themeColor="text1"/>
                <w:sz w:val="20"/>
                <w:szCs w:val="20"/>
              </w:rPr>
              <w:t>kantud Sri Lanka punasesse raamatusse väga ohustatud liikide hulka (2012). Täiendavad tõendid loodusest püütud isenditega hiljutise rahvusvahelise kauplemise kohta toetaksid I lisasse kandmist, vastasel juhul oleks kohasem kanda perekond II lisasse.</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Lyriocephalus scutatus</w:t>
            </w:r>
            <w:r>
              <w:rPr>
                <w:i/>
                <w:iCs/>
                <w:noProof/>
                <w:color w:val="000000" w:themeColor="text1"/>
                <w:sz w:val="20"/>
                <w:szCs w:val="20"/>
              </w:rPr>
              <w:br/>
            </w:r>
            <w:r>
              <w:rPr>
                <w:rStyle w:val="Bodytext2"/>
                <w:rFonts w:ascii="Times New Roman" w:hAnsi="Times New Roman"/>
                <w:noProof/>
                <w:color w:val="000000" w:themeColor="text1"/>
                <w:sz w:val="20"/>
                <w:szCs w:val="20"/>
              </w:rPr>
              <w:t>(lüürapeaagaam)</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kandmist II lisasse, kuna I lisasse kandmise kriteeriumid ei ole täidetud, küll aga on täidetud II lisasse kandmise kriteeriumid.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Goniurosaurus spp.</w:t>
            </w:r>
            <w:r>
              <w:rPr>
                <w:i/>
                <w:iCs/>
                <w:noProof/>
                <w:color w:val="000000" w:themeColor="text1"/>
                <w:sz w:val="20"/>
                <w:szCs w:val="20"/>
              </w:rPr>
              <w:br/>
            </w:r>
            <w:r>
              <w:rPr>
                <w:iCs/>
                <w:noProof/>
                <w:color w:val="000000" w:themeColor="text1"/>
                <w:sz w:val="20"/>
                <w:szCs w:val="20"/>
              </w:rPr>
              <w:t xml:space="preserve">(pantergekolased, perekond </w:t>
            </w:r>
            <w:r>
              <w:rPr>
                <w:i/>
                <w:iCs/>
                <w:noProof/>
                <w:color w:val="000000" w:themeColor="text1"/>
                <w:sz w:val="20"/>
                <w:szCs w:val="20"/>
              </w:rPr>
              <w:t xml:space="preserve">Goniurosaurus </w:t>
            </w:r>
            <w:r>
              <w:rPr>
                <w:iCs/>
                <w:noProof/>
                <w:color w:val="000000" w:themeColor="text1"/>
                <w:sz w:val="20"/>
                <w:szCs w:val="20"/>
              </w:rPr>
              <w:t>spp.)</w:t>
            </w:r>
            <w:r>
              <w:rPr>
                <w:iCs/>
                <w:noProof/>
                <w:color w:val="000000" w:themeColor="text1"/>
                <w:sz w:val="20"/>
                <w:szCs w:val="20"/>
              </w:rPr>
              <w:br/>
              <w:t xml:space="preserve">(Hiina ja Vietnami </w:t>
            </w:r>
            <w:r>
              <w:rPr>
                <w:iCs/>
                <w:noProof/>
                <w:color w:val="000000" w:themeColor="text1"/>
                <w:sz w:val="20"/>
                <w:szCs w:val="20"/>
              </w:rPr>
              <w:lastRenderedPageBreak/>
              <w:t>populatsioonid)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Hiina ja Vietnami liigid II lisasse</w:t>
            </w:r>
          </w:p>
          <w:p w:rsidR="00AA75D1" w:rsidRDefault="00AA75D1">
            <w:pPr>
              <w:spacing w:after="0"/>
              <w:jc w:val="left"/>
              <w:rPr>
                <w:rFonts w:eastAsia="Times New Roman"/>
                <w:noProof/>
                <w:color w:val="000000" w:themeColor="text1"/>
                <w:sz w:val="20"/>
                <w:szCs w:val="20"/>
                <w:lang w:eastAsia="en-GB"/>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Style w:val="Bodytext2"/>
                <w:rFonts w:ascii="Times New Roman" w:hAnsi="Times New Roman" w:cs="Times New Roman"/>
                <w:noProof/>
                <w:color w:val="000000" w:themeColor="text1"/>
                <w:sz w:val="20"/>
                <w:szCs w:val="20"/>
              </w:rPr>
            </w:pPr>
            <w:r>
              <w:rPr>
                <w:rStyle w:val="Bodytext2"/>
                <w:rFonts w:ascii="Times New Roman" w:hAnsi="Times New Roman"/>
                <w:noProof/>
                <w:color w:val="000000" w:themeColor="text1"/>
                <w:sz w:val="20"/>
                <w:szCs w:val="20"/>
              </w:rPr>
              <w:t>Hiina, Euroopa Liit, 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p w:rsidR="00AA75D1" w:rsidRDefault="008A3FF4">
            <w:pPr>
              <w:spacing w:after="0"/>
              <w:jc w:val="left"/>
              <w:rPr>
                <w:noProof/>
                <w:color w:val="000000" w:themeColor="text1"/>
                <w:sz w:val="20"/>
                <w:szCs w:val="20"/>
              </w:rPr>
            </w:pPr>
            <w:r>
              <w:rPr>
                <w:noProof/>
                <w:color w:val="000000" w:themeColor="text1"/>
                <w:sz w:val="20"/>
                <w:szCs w:val="20"/>
              </w:rPr>
              <w:t xml:space="preserve">Paluda parandada CITESi CoP18-i veebilehel ettepanekut puudutavat teavet selliselt, et „Hiina ja Vietnami </w:t>
            </w:r>
            <w:r>
              <w:rPr>
                <w:i/>
                <w:noProof/>
                <w:color w:val="000000" w:themeColor="text1"/>
                <w:sz w:val="20"/>
                <w:szCs w:val="20"/>
              </w:rPr>
              <w:lastRenderedPageBreak/>
              <w:t>populatsioonid</w:t>
            </w:r>
            <w:r>
              <w:rPr>
                <w:noProof/>
                <w:color w:val="000000" w:themeColor="text1"/>
                <w:sz w:val="20"/>
                <w:szCs w:val="20"/>
              </w:rPr>
              <w:t xml:space="preserve">“ asendatakse tekstiga „Hiina ja Vietnami </w:t>
            </w:r>
            <w:r>
              <w:rPr>
                <w:i/>
                <w:noProof/>
                <w:color w:val="000000" w:themeColor="text1"/>
                <w:sz w:val="20"/>
                <w:szCs w:val="20"/>
              </w:rPr>
              <w:t>liigid</w:t>
            </w:r>
            <w:r>
              <w:rPr>
                <w:noProof/>
                <w:color w:val="000000" w:themeColor="text1"/>
                <w:sz w:val="20"/>
                <w:szCs w:val="20"/>
              </w:rPr>
              <w:t>“ kooskõlas ettepaneku algse tekstiga.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Gekko gecko</w:t>
            </w:r>
            <w:r>
              <w:rPr>
                <w:i/>
                <w:iCs/>
                <w:noProof/>
                <w:color w:val="000000" w:themeColor="text1"/>
                <w:sz w:val="20"/>
                <w:szCs w:val="20"/>
              </w:rPr>
              <w:br/>
            </w:r>
            <w:r>
              <w:rPr>
                <w:iCs/>
                <w:noProof/>
                <w:color w:val="000000" w:themeColor="text1"/>
                <w:sz w:val="20"/>
                <w:szCs w:val="20"/>
              </w:rPr>
              <w:t>(tokee)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Style w:val="Bodytext2"/>
                <w:rFonts w:ascii="Times New Roman" w:hAnsi="Times New Roman" w:cs="Times New Roman"/>
                <w:noProof/>
                <w:color w:val="000000" w:themeColor="text1"/>
                <w:sz w:val="20"/>
                <w:szCs w:val="20"/>
              </w:rPr>
            </w:pPr>
            <w:r>
              <w:rPr>
                <w:rStyle w:val="Bodytext2"/>
                <w:rFonts w:ascii="Times New Roman" w:hAnsi="Times New Roman"/>
                <w:noProof/>
                <w:color w:val="000000" w:themeColor="text1"/>
                <w:sz w:val="20"/>
                <w:szCs w:val="20"/>
              </w:rPr>
              <w:t>Euroopa Liit, India, Filipiinid, Ameerika Ühendriigid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29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 xml:space="preserve">Gonatodes </w:t>
            </w:r>
            <w:r>
              <w:rPr>
                <w:i/>
                <w:iCs/>
                <w:noProof/>
                <w:color w:val="000000" w:themeColor="text1"/>
                <w:sz w:val="20"/>
                <w:szCs w:val="20"/>
              </w:rPr>
              <w:br/>
              <w:t>daudini</w:t>
            </w:r>
            <w:r>
              <w:rPr>
                <w:i/>
                <w:iCs/>
                <w:noProof/>
                <w:color w:val="000000" w:themeColor="text1"/>
                <w:sz w:val="20"/>
                <w:szCs w:val="20"/>
              </w:rPr>
              <w:br/>
            </w:r>
            <w:r>
              <w:rPr>
                <w:rStyle w:val="Bodytext2"/>
                <w:rFonts w:ascii="Times New Roman" w:hAnsi="Times New Roman"/>
                <w:noProof/>
                <w:color w:val="000000" w:themeColor="text1"/>
                <w:sz w:val="20"/>
                <w:szCs w:val="20"/>
              </w:rPr>
              <w:t>(konksvarvasgeko)</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Saint Vincent ja Grenadiinid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Liik vastab I lisasse kandmise bioloogilistele kriteeriumidele. Rahvusvahelisest kauplemisest teatati peagi pärast liigi avastamist ja see toimub siiani, ehkki looduslikest elupaikadest püüdmine ei ole lubatud.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Paroedura androyensis</w:t>
            </w:r>
            <w:r>
              <w:rPr>
                <w:i/>
                <w:iCs/>
                <w:noProof/>
                <w:color w:val="000000" w:themeColor="text1"/>
                <w:sz w:val="20"/>
                <w:szCs w:val="20"/>
              </w:rPr>
              <w:br/>
            </w:r>
            <w:r>
              <w:rPr>
                <w:noProof/>
                <w:sz w:val="20"/>
                <w:szCs w:val="20"/>
              </w:rPr>
              <w:t xml:space="preserve">(geko, liik </w:t>
            </w:r>
            <w:r>
              <w:rPr>
                <w:i/>
                <w:noProof/>
                <w:sz w:val="20"/>
                <w:szCs w:val="20"/>
              </w:rPr>
              <w:t>Paroedura androyensis</w:t>
            </w:r>
            <w:r>
              <w:rPr>
                <w:noProof/>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line="212" w:lineRule="exact"/>
              <w:jc w:val="left"/>
              <w:rPr>
                <w:rStyle w:val="Bodytext2"/>
                <w:rFonts w:ascii="Times New Roman" w:hAnsi="Times New Roman" w:cs="Times New Roman"/>
                <w:noProof/>
                <w:color w:val="000000" w:themeColor="text1"/>
                <w:sz w:val="20"/>
                <w:szCs w:val="20"/>
              </w:rPr>
            </w:pPr>
            <w:r>
              <w:rPr>
                <w:noProof/>
                <w:color w:val="000000" w:themeColor="text1"/>
                <w:sz w:val="20"/>
                <w:szCs w:val="20"/>
              </w:rPr>
              <w:t>Euroopa Liit, Madagaskar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Calibri"/>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Ctenosaura</w:t>
            </w:r>
            <w:r>
              <w:rPr>
                <w:noProof/>
                <w:color w:val="000000" w:themeColor="text1"/>
                <w:sz w:val="20"/>
                <w:szCs w:val="20"/>
              </w:rPr>
              <w:t> spp.</w:t>
            </w:r>
            <w:r>
              <w:rPr>
                <w:noProof/>
                <w:color w:val="000000" w:themeColor="text1"/>
                <w:sz w:val="20"/>
                <w:szCs w:val="20"/>
              </w:rPr>
              <w:br/>
              <w:t>(ogasabaleeguanid)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line="212" w:lineRule="exact"/>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El Salvador ja Mehhiko</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Ettepanek vastab lisasse kandmise kriteeriumidele; mitu selle </w:t>
            </w:r>
            <w:r>
              <w:rPr>
                <w:noProof/>
                <w:color w:val="000000" w:themeColor="text1"/>
                <w:sz w:val="20"/>
                <w:szCs w:val="20"/>
              </w:rPr>
              <w:t>perekonna liiki võivad tulevikus vastata I lisasse kandmise tingimustele, kui kauplemist ei reguleerita, kuna nende populatsioonid on väikesed, nende levila piiratud ja populatsioonid kahanenud või on tegemist nende kolme kriteeriumi kombinatsiooniga, ning</w:t>
            </w:r>
            <w:r>
              <w:rPr>
                <w:noProof/>
                <w:color w:val="000000" w:themeColor="text1"/>
                <w:sz w:val="20"/>
                <w:szCs w:val="20"/>
              </w:rPr>
              <w:t xml:space="preserve"> nad on väga haavatavad nii sisemiste kui ka väliste tegurite suhtes.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Pseudocerastes urarachnoides</w:t>
            </w:r>
            <w:r>
              <w:rPr>
                <w:i/>
                <w:iCs/>
                <w:noProof/>
                <w:color w:val="000000" w:themeColor="text1"/>
                <w:sz w:val="20"/>
                <w:szCs w:val="20"/>
              </w:rPr>
              <w:br/>
            </w:r>
            <w:r>
              <w:rPr>
                <w:rStyle w:val="Bodytext2"/>
                <w:rFonts w:ascii="Times New Roman" w:hAnsi="Times New Roman"/>
                <w:noProof/>
                <w:color w:val="000000" w:themeColor="text1"/>
                <w:sz w:val="20"/>
                <w:szCs w:val="20"/>
              </w:rPr>
              <w:t xml:space="preserve">(ebasarvikrästik, liik </w:t>
            </w:r>
            <w:r>
              <w:rPr>
                <w:rStyle w:val="Bodytext2"/>
                <w:rFonts w:ascii="Times New Roman" w:hAnsi="Times New Roman"/>
                <w:i/>
                <w:noProof/>
                <w:color w:val="000000" w:themeColor="text1"/>
                <w:sz w:val="20"/>
                <w:szCs w:val="20"/>
              </w:rPr>
              <w:t>Pseudocerastes urarachnoides</w:t>
            </w:r>
            <w:r>
              <w:rPr>
                <w:rStyle w:val="Bodytext2"/>
                <w:rFonts w:ascii="Times New Roman" w:hAnsi="Times New Roman"/>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Iraan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Vaja on rohkem teavet, et tõendada </w:t>
            </w:r>
            <w:r>
              <w:rPr>
                <w:i/>
                <w:noProof/>
                <w:color w:val="000000" w:themeColor="text1"/>
                <w:sz w:val="20"/>
                <w:szCs w:val="20"/>
              </w:rPr>
              <w:t>kauplemiskriteeriumi</w:t>
            </w:r>
            <w:r>
              <w:rPr>
                <w:noProof/>
                <w:color w:val="000000" w:themeColor="text1"/>
                <w:sz w:val="20"/>
                <w:szCs w:val="20"/>
              </w:rPr>
              <w:t xml:space="preserve"> täitmist. Ettepanek annab piiratud teavet liigi loodusest püüdmise ja sellega rahvusvahelise kauplemise ulatusest </w:t>
            </w:r>
            <w:r>
              <w:rPr>
                <w:noProof/>
                <w:color w:val="000000" w:themeColor="text1"/>
                <w:sz w:val="20"/>
                <w:szCs w:val="20"/>
              </w:rPr>
              <w:lastRenderedPageBreak/>
              <w:t xml:space="preserve">(tõendatud on ainult üksikute isenditega kauplemine looduslikust elupaigast väljaspool) ning ehkki liik on liigitatud riiklikult ohustatuks, </w:t>
            </w:r>
            <w:r>
              <w:rPr>
                <w:noProof/>
                <w:color w:val="000000" w:themeColor="text1"/>
                <w:sz w:val="20"/>
                <w:szCs w:val="20"/>
              </w:rPr>
              <w:t>puuduvad andmed populatsiooni suuruse ja leviku kohta ning selle kohta, kas liigi arvukus on vähenemas.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0</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Cuora bourreti</w:t>
            </w:r>
            <w:r>
              <w:rPr>
                <w:i/>
                <w:iCs/>
                <w:noProof/>
                <w:color w:val="000000" w:themeColor="text1"/>
                <w:sz w:val="20"/>
                <w:szCs w:val="20"/>
              </w:rPr>
              <w:br/>
            </w:r>
            <w:r>
              <w:rPr>
                <w:noProof/>
                <w:color w:val="000000" w:themeColor="text1"/>
                <w:sz w:val="20"/>
                <w:szCs w:val="20"/>
              </w:rPr>
              <w:t xml:space="preserve">(liigendkilpkonn, liik </w:t>
            </w:r>
            <w:r>
              <w:rPr>
                <w:i/>
                <w:noProof/>
                <w:color w:val="000000" w:themeColor="text1"/>
                <w:sz w:val="20"/>
                <w:szCs w:val="20"/>
              </w:rPr>
              <w:t>Cuora bourreti</w:t>
            </w:r>
            <w:r>
              <w:rPr>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Toetada üleviimist I lisasse; tegemist on </w:t>
            </w:r>
            <w:r>
              <w:rPr>
                <w:noProof/>
                <w:color w:val="000000" w:themeColor="text1"/>
                <w:sz w:val="20"/>
                <w:szCs w:val="20"/>
              </w:rPr>
              <w:t>äärmiselt ohustatud liigiga, mis vastab vähemalt resolutsiooni Conf. 9.24 1. lisas sätestatud kriteeriumile C.i ning millega kaubeldakse väga palju.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Cuora picturata</w:t>
            </w:r>
            <w:r>
              <w:rPr>
                <w:i/>
                <w:iCs/>
                <w:noProof/>
                <w:color w:val="000000" w:themeColor="text1"/>
                <w:sz w:val="20"/>
                <w:szCs w:val="20"/>
              </w:rPr>
              <w:br/>
            </w:r>
            <w:r>
              <w:rPr>
                <w:rStyle w:val="Bodytext2"/>
                <w:noProof/>
                <w:color w:val="000000" w:themeColor="text1"/>
              </w:rPr>
              <w:t>(</w:t>
            </w:r>
            <w:r>
              <w:rPr>
                <w:noProof/>
                <w:color w:val="000000" w:themeColor="text1"/>
                <w:sz w:val="20"/>
                <w:szCs w:val="20"/>
              </w:rPr>
              <w:t xml:space="preserve">(liigendkilpkonn, liik </w:t>
            </w:r>
            <w:r>
              <w:rPr>
                <w:i/>
                <w:noProof/>
                <w:color w:val="000000" w:themeColor="text1"/>
                <w:sz w:val="20"/>
                <w:szCs w:val="20"/>
              </w:rPr>
              <w:t>Cuora picturata</w:t>
            </w:r>
            <w:r>
              <w:rPr>
                <w:noProof/>
                <w:color w:val="000000" w:themeColor="text1"/>
                <w:sz w:val="20"/>
                <w:szCs w:val="20"/>
              </w:rPr>
              <w:t>)</w:t>
            </w:r>
            <w:r>
              <w:rPr>
                <w:i/>
                <w:iCs/>
                <w:noProof/>
                <w:color w:val="000000" w:themeColor="text1"/>
                <w:sz w:val="20"/>
                <w:szCs w:val="20"/>
              </w:rPr>
              <w:br/>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üleviimist I lisasse; tegemist on äärmiselt ohustatud liigiga, mis vastab kõigile resolutsioonis Conf. 9.24 sätestatud I lisasse kandmise bioloogilistele kriteeriumidele ning millega kaubeldakse väga palju. Ettepaneku ajend oli perioodilise läbiva</w:t>
            </w:r>
            <w:r>
              <w:rPr>
                <w:noProof/>
                <w:color w:val="000000" w:themeColor="text1"/>
                <w:sz w:val="20"/>
                <w:szCs w:val="20"/>
              </w:rPr>
              <w:t>atamise raames esitatud soovitus.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 xml:space="preserve">Mauremys </w:t>
            </w:r>
            <w:r>
              <w:rPr>
                <w:i/>
                <w:iCs/>
                <w:noProof/>
                <w:color w:val="000000" w:themeColor="text1"/>
                <w:sz w:val="20"/>
                <w:szCs w:val="20"/>
              </w:rPr>
              <w:br/>
              <w:t>annamensis</w:t>
            </w:r>
            <w:r>
              <w:rPr>
                <w:i/>
                <w:iCs/>
                <w:noProof/>
                <w:color w:val="000000" w:themeColor="text1"/>
                <w:sz w:val="20"/>
                <w:szCs w:val="20"/>
              </w:rPr>
              <w:br/>
            </w:r>
            <w:r>
              <w:rPr>
                <w:noProof/>
                <w:color w:val="000000" w:themeColor="text1"/>
                <w:sz w:val="20"/>
                <w:szCs w:val="20"/>
              </w:rPr>
              <w:t>(kaspia veekilpkonn)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Toetada üleviimist I lisasse; tegemist on äärmiselt ohustatud liigiga, mis vastab vähemalt resolutsiooni Conf. 9.24 1. lisas </w:t>
            </w:r>
            <w:r>
              <w:rPr>
                <w:noProof/>
                <w:color w:val="000000" w:themeColor="text1"/>
                <w:sz w:val="20"/>
                <w:szCs w:val="20"/>
              </w:rPr>
              <w:t>sätestatud kriteeriumile C.i ning millega kaubeldakse väga palju. Ettepaneku ajend oli perioodilise läbivaatamise raames esitatud soovitus.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 xml:space="preserve">Geochelone </w:t>
            </w:r>
            <w:r>
              <w:rPr>
                <w:i/>
                <w:iCs/>
                <w:noProof/>
                <w:color w:val="000000" w:themeColor="text1"/>
                <w:sz w:val="20"/>
                <w:szCs w:val="20"/>
              </w:rPr>
              <w:br/>
              <w:t>elegans</w:t>
            </w:r>
            <w:r>
              <w:rPr>
                <w:i/>
                <w:iCs/>
                <w:noProof/>
                <w:color w:val="000000" w:themeColor="text1"/>
                <w:sz w:val="20"/>
                <w:szCs w:val="20"/>
              </w:rPr>
              <w:br/>
            </w:r>
            <w:r>
              <w:rPr>
                <w:rStyle w:val="Bodytext2"/>
                <w:rFonts w:ascii="Times New Roman" w:hAnsi="Times New Roman"/>
                <w:noProof/>
                <w:color w:val="000000" w:themeColor="text1"/>
                <w:sz w:val="20"/>
                <w:szCs w:val="20"/>
              </w:rPr>
              <w:t>(tähtkilpkonn)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Bangladesh, India, Senegal ja 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Ühise loetellu kandmise ettepaneku on teinud suurem osa levilariike. Sellest hoolimata oleks hea saada rohkem teavet, mis kinnitaks, et resolutsiooni Conf. 9.24 </w:t>
            </w:r>
            <w:r>
              <w:rPr>
                <w:noProof/>
                <w:color w:val="000000" w:themeColor="text1"/>
                <w:sz w:val="20"/>
                <w:szCs w:val="20"/>
              </w:rPr>
              <w:lastRenderedPageBreak/>
              <w:t>1. lisas sätestatud bioloogilised kriteeriumid on täidetud. Ebaseaduslik kauplemine on suur pr</w:t>
            </w:r>
            <w:r>
              <w:rPr>
                <w:noProof/>
                <w:color w:val="000000" w:themeColor="text1"/>
                <w:sz w:val="20"/>
                <w:szCs w:val="20"/>
              </w:rPr>
              <w:t xml:space="preserve">obleem, ehkki levilariikides on metsikute isendite püüdmine ja nendega kauplemine juba keelatud. Päritolukoodi C väärkasutust ja võimalikku metsikute isendite müüki vangistuses kasvatatud isendite pähe käsitleb juba CITESi resolutsioon Conf. 17.7.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Malacochersus tornieri</w:t>
            </w:r>
            <w:r>
              <w:rPr>
                <w:i/>
                <w:iCs/>
                <w:noProof/>
                <w:color w:val="000000" w:themeColor="text1"/>
                <w:sz w:val="20"/>
                <w:szCs w:val="20"/>
              </w:rPr>
              <w:br/>
            </w:r>
            <w:r>
              <w:rPr>
                <w:rStyle w:val="Bodytext2"/>
                <w:rFonts w:ascii="Times New Roman" w:hAnsi="Times New Roman"/>
                <w:noProof/>
                <w:color w:val="000000" w:themeColor="text1"/>
                <w:sz w:val="20"/>
                <w:szCs w:val="20"/>
              </w:rPr>
              <w:t>(lõhekilpkonn)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Viia II lisast üle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Keenia,</w:t>
            </w:r>
            <w:r>
              <w:rPr>
                <w:noProof/>
                <w:color w:val="000000" w:themeColor="text1"/>
                <w:sz w:val="20"/>
                <w:szCs w:val="20"/>
              </w:rPr>
              <w:br/>
              <w:t>Ameerika Ühendriigid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ettepanekut. Kõige viimase punase raamatu hinnangu kohaselt (2018) on liik „äärmiselt ohustatud“. Ettepanek tundub olevat proportsionaalne oodat</w:t>
            </w:r>
            <w:r>
              <w:rPr>
                <w:noProof/>
                <w:color w:val="000000" w:themeColor="text1"/>
                <w:sz w:val="20"/>
                <w:szCs w:val="20"/>
              </w:rPr>
              <w:t xml:space="preserve">ava ohuga liigile, millega kauplemise järele on märkimisväärne nõudlus ja mida mõjutab ka ebaseaduslik kaubandus. Liigi populatsioone mõjutav peamine tegur on praegu liigkasutus. Liik tundub vastavat I lisasse kandmise kriteeriumidele.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Hyalinobatrachium</w:t>
            </w:r>
            <w:r>
              <w:rPr>
                <w:noProof/>
                <w:color w:val="000000" w:themeColor="text1"/>
                <w:sz w:val="20"/>
                <w:szCs w:val="20"/>
              </w:rPr>
              <w:t xml:space="preserve"> spp., </w:t>
            </w:r>
            <w:r>
              <w:rPr>
                <w:i/>
                <w:noProof/>
                <w:color w:val="000000" w:themeColor="text1"/>
                <w:sz w:val="20"/>
                <w:szCs w:val="20"/>
              </w:rPr>
              <w:t>Centrolene</w:t>
            </w:r>
            <w:r>
              <w:rPr>
                <w:noProof/>
                <w:color w:val="000000" w:themeColor="text1"/>
                <w:sz w:val="20"/>
                <w:szCs w:val="20"/>
              </w:rPr>
              <w:t xml:space="preserve"> spp., </w:t>
            </w:r>
            <w:r>
              <w:rPr>
                <w:i/>
                <w:noProof/>
                <w:color w:val="000000" w:themeColor="text1"/>
                <w:sz w:val="20"/>
                <w:szCs w:val="20"/>
              </w:rPr>
              <w:t>Cochranella</w:t>
            </w:r>
            <w:r>
              <w:rPr>
                <w:noProof/>
                <w:color w:val="000000" w:themeColor="text1"/>
                <w:sz w:val="20"/>
                <w:szCs w:val="20"/>
              </w:rPr>
              <w:t xml:space="preserve"> spp., ja </w:t>
            </w:r>
            <w:r>
              <w:rPr>
                <w:i/>
                <w:noProof/>
                <w:color w:val="000000" w:themeColor="text1"/>
                <w:sz w:val="20"/>
                <w:szCs w:val="20"/>
              </w:rPr>
              <w:t>Sachatamia</w:t>
            </w:r>
            <w:r>
              <w:rPr>
                <w:noProof/>
                <w:color w:val="000000" w:themeColor="text1"/>
                <w:sz w:val="20"/>
                <w:szCs w:val="20"/>
              </w:rPr>
              <w:t xml:space="preserve"> spp.</w:t>
            </w:r>
            <w:r>
              <w:rPr>
                <w:noProof/>
                <w:color w:val="000000" w:themeColor="text1"/>
                <w:sz w:val="20"/>
                <w:szCs w:val="20"/>
              </w:rPr>
              <w:br/>
              <w:t>(klaaskonnad)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Costa Rica</w:t>
            </w:r>
            <w:r>
              <w:rPr>
                <w:noProof/>
                <w:color w:val="000000" w:themeColor="text1"/>
                <w:sz w:val="20"/>
                <w:szCs w:val="20"/>
              </w:rPr>
              <w:br/>
              <w:t>El Salvador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EL toetaks kitsamat ettepanekut, kui esitajad piiritleksid ettepanekut selliselt, et see sisaldaks vaid neid liike, m</w:t>
            </w:r>
            <w:r>
              <w:rPr>
                <w:noProof/>
                <w:color w:val="000000" w:themeColor="text1"/>
                <w:sz w:val="20"/>
                <w:szCs w:val="20"/>
              </w:rPr>
              <w:t xml:space="preserve">ille puhul saab tõendada, et nad vastavad loetellu kandmise kriteeriumidele. Kuna populatsioonide kohta ei ole piisavalt andmeid ja teadaolevatel andmetel kaubeldakse enamasti „soodsas seisundis“ liikidega, tundub kõigi nelja perekonda kuuluva </w:t>
            </w:r>
            <w:r>
              <w:rPr>
                <w:noProof/>
                <w:color w:val="000000" w:themeColor="text1"/>
                <w:sz w:val="20"/>
                <w:szCs w:val="20"/>
              </w:rPr>
              <w:lastRenderedPageBreak/>
              <w:t>104 liigi ka</w:t>
            </w:r>
            <w:r>
              <w:rPr>
                <w:noProof/>
                <w:color w:val="000000" w:themeColor="text1"/>
                <w:sz w:val="20"/>
                <w:szCs w:val="20"/>
              </w:rPr>
              <w:t xml:space="preserve">ndmine II lisasse ebaproportsionaalne. Vaja on lisateavet nende liikide kohta, millega kaubeldakse kõige enam.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39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Echinotriton chinhaiensis</w:t>
            </w:r>
            <w:r>
              <w:rPr>
                <w:noProof/>
                <w:color w:val="000000" w:themeColor="text1"/>
                <w:sz w:val="20"/>
                <w:szCs w:val="20"/>
              </w:rPr>
              <w:t xml:space="preserve"> ja </w:t>
            </w:r>
            <w:r>
              <w:rPr>
                <w:i/>
                <w:noProof/>
                <w:color w:val="000000" w:themeColor="text1"/>
                <w:sz w:val="20"/>
                <w:szCs w:val="20"/>
              </w:rPr>
              <w:t>Echinotriton maxiquadratus</w:t>
            </w:r>
            <w:r>
              <w:rPr>
                <w:i/>
                <w:iCs/>
                <w:noProof/>
                <w:color w:val="000000" w:themeColor="text1"/>
                <w:sz w:val="20"/>
                <w:szCs w:val="20"/>
              </w:rPr>
              <w:br/>
            </w:r>
            <w:r>
              <w:rPr>
                <w:noProof/>
                <w:color w:val="000000" w:themeColor="text1"/>
                <w:sz w:val="20"/>
                <w:szCs w:val="20"/>
              </w:rPr>
              <w:t xml:space="preserve">(salamanderlased, liigid </w:t>
            </w:r>
            <w:r>
              <w:rPr>
                <w:i/>
                <w:noProof/>
                <w:color w:val="000000" w:themeColor="text1"/>
                <w:sz w:val="20"/>
                <w:szCs w:val="20"/>
              </w:rPr>
              <w:t>Echinotriton chinhaiensis</w:t>
            </w:r>
            <w:r>
              <w:rPr>
                <w:noProof/>
                <w:color w:val="000000" w:themeColor="text1"/>
                <w:sz w:val="20"/>
                <w:szCs w:val="20"/>
              </w:rPr>
              <w:t xml:space="preserve"> ja </w:t>
            </w:r>
            <w:r>
              <w:rPr>
                <w:i/>
                <w:noProof/>
                <w:color w:val="000000" w:themeColor="text1"/>
                <w:sz w:val="20"/>
                <w:szCs w:val="20"/>
              </w:rPr>
              <w:t>Echinotriton maxiquadratus</w:t>
            </w:r>
            <w:r>
              <w:rPr>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r>
              <w:rPr>
                <w:noProof/>
                <w:color w:val="000000" w:themeColor="text1"/>
                <w:sz w:val="20"/>
                <w:szCs w:val="20"/>
              </w:rPr>
              <w:b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Hiina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Calibri"/>
                <w:noProof/>
                <w:color w:val="000000" w:themeColor="text1"/>
                <w:sz w:val="20"/>
                <w:szCs w:val="20"/>
              </w:rPr>
            </w:pPr>
            <w:r>
              <w:rPr>
                <w:noProof/>
                <w:color w:val="000000" w:themeColor="text1"/>
                <w:sz w:val="20"/>
                <w:szCs w:val="20"/>
              </w:rPr>
              <w:t xml:space="preserve">Liik vastab I lisasse kandmise bioloogilistele kriteeriumidele. rahvusvaheline kaitse tuleks liigi säilimisele kasuks. Ehkki rahvusvahelise kauplemise maht tundub olevat väike, võib </w:t>
            </w:r>
            <w:r>
              <w:rPr>
                <w:i/>
                <w:noProof/>
                <w:color w:val="000000" w:themeColor="text1"/>
                <w:sz w:val="20"/>
                <w:szCs w:val="20"/>
              </w:rPr>
              <w:t>igasugune</w:t>
            </w:r>
            <w:r>
              <w:rPr>
                <w:noProof/>
                <w:color w:val="000000" w:themeColor="text1"/>
                <w:sz w:val="20"/>
                <w:szCs w:val="20"/>
              </w:rPr>
              <w:t xml:space="preserve"> kauplemine metsikute isenditega </w:t>
            </w:r>
            <w:r>
              <w:rPr>
                <w:noProof/>
                <w:color w:val="000000" w:themeColor="text1"/>
                <w:sz w:val="20"/>
                <w:szCs w:val="20"/>
              </w:rPr>
              <w:t>kahjustada populatsioonide säilimist, kuna need on äärmiselt väikesed ja vähenemas.</w:t>
            </w:r>
          </w:p>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Liik </w:t>
            </w:r>
            <w:r>
              <w:rPr>
                <w:i/>
                <w:noProof/>
                <w:color w:val="000000" w:themeColor="text1"/>
                <w:sz w:val="20"/>
                <w:szCs w:val="20"/>
              </w:rPr>
              <w:t>Echinotriton</w:t>
            </w:r>
            <w:r>
              <w:rPr>
                <w:noProof/>
                <w:color w:val="000000" w:themeColor="text1"/>
                <w:sz w:val="20"/>
                <w:szCs w:val="20"/>
              </w:rPr>
              <w:t xml:space="preserve"> eristati liigist </w:t>
            </w:r>
            <w:r>
              <w:rPr>
                <w:i/>
                <w:noProof/>
                <w:color w:val="000000" w:themeColor="text1"/>
                <w:sz w:val="20"/>
                <w:szCs w:val="20"/>
              </w:rPr>
              <w:t>Tylototriton</w:t>
            </w:r>
            <w:r>
              <w:rPr>
                <w:noProof/>
                <w:color w:val="000000" w:themeColor="text1"/>
                <w:sz w:val="20"/>
                <w:szCs w:val="20"/>
              </w:rPr>
              <w:t xml:space="preserve"> (loetellu kandmise ettepanek nr 41) alles 1982. aastal. Seepärast on kohane mõlema perekonna kandmine loetellu sarnasuskrite</w:t>
            </w:r>
            <w:r>
              <w:rPr>
                <w:noProof/>
                <w:color w:val="000000" w:themeColor="text1"/>
                <w:sz w:val="20"/>
                <w:szCs w:val="20"/>
              </w:rPr>
              <w:t>eriumi alusel.</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Paramesotriton spp.</w:t>
            </w:r>
            <w:r>
              <w:rPr>
                <w:i/>
                <w:iCs/>
                <w:noProof/>
                <w:color w:val="000000" w:themeColor="text1"/>
                <w:sz w:val="20"/>
                <w:szCs w:val="20"/>
              </w:rPr>
              <w:br/>
            </w:r>
            <w:r>
              <w:rPr>
                <w:iCs/>
                <w:noProof/>
                <w:color w:val="000000" w:themeColor="text1"/>
                <w:sz w:val="20"/>
                <w:szCs w:val="20"/>
              </w:rPr>
              <w:t xml:space="preserve">(tüügassalamandrid, perekond </w:t>
            </w:r>
            <w:r>
              <w:rPr>
                <w:i/>
                <w:iCs/>
                <w:noProof/>
                <w:color w:val="000000" w:themeColor="text1"/>
                <w:sz w:val="20"/>
                <w:szCs w:val="20"/>
              </w:rPr>
              <w:t>Paramesotriton</w:t>
            </w:r>
            <w:r>
              <w:rPr>
                <w:iCs/>
                <w:noProof/>
                <w:color w:val="000000" w:themeColor="text1"/>
                <w:sz w:val="20"/>
                <w:szCs w:val="20"/>
              </w:rPr>
              <w:t xml:space="preserve"> spp.)</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Hiina, Euroopa Liit</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Tylototriton spp.</w:t>
            </w:r>
            <w:r>
              <w:rPr>
                <w:i/>
                <w:iCs/>
                <w:noProof/>
                <w:color w:val="000000" w:themeColor="text1"/>
                <w:sz w:val="20"/>
                <w:szCs w:val="20"/>
              </w:rPr>
              <w:br/>
            </w:r>
            <w:r>
              <w:rPr>
                <w:iCs/>
                <w:noProof/>
                <w:color w:val="000000" w:themeColor="text1"/>
                <w:sz w:val="20"/>
                <w:szCs w:val="20"/>
              </w:rPr>
              <w:t>(tüügassalamandrid)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szCs w:val="20"/>
              </w:rPr>
              <w:t>Hiina, Euroopa Liit</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Isurus oxyrinchu</w:t>
            </w:r>
            <w:r>
              <w:rPr>
                <w:iCs/>
                <w:noProof/>
                <w:color w:val="000000" w:themeColor="text1"/>
                <w:sz w:val="20"/>
                <w:szCs w:val="20"/>
              </w:rPr>
              <w:t xml:space="preserve">s ja </w:t>
            </w:r>
            <w:r>
              <w:rPr>
                <w:i/>
                <w:iCs/>
                <w:noProof/>
                <w:color w:val="000000" w:themeColor="text1"/>
                <w:sz w:val="20"/>
                <w:szCs w:val="20"/>
              </w:rPr>
              <w:t>Isurus paucus</w:t>
            </w:r>
            <w:r>
              <w:rPr>
                <w:i/>
                <w:iCs/>
                <w:noProof/>
                <w:color w:val="000000" w:themeColor="text1"/>
                <w:sz w:val="20"/>
                <w:szCs w:val="20"/>
              </w:rPr>
              <w:br/>
            </w:r>
            <w:r>
              <w:rPr>
                <w:iCs/>
                <w:noProof/>
                <w:color w:val="000000" w:themeColor="text1"/>
                <w:sz w:val="20"/>
                <w:szCs w:val="20"/>
              </w:rPr>
              <w:t>(makohaid)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Bangladesh, Belau, Benin, Bhutan, Brasiilia, Burkina Faso, Cabo Verde, Côte d’Ivoire, Dominikaani Vabariik, Egiptus, Euroopa Liit, Gabon, Gambia, J</w:t>
            </w:r>
            <w:r>
              <w:rPr>
                <w:noProof/>
                <w:color w:val="000000" w:themeColor="text1"/>
                <w:sz w:val="20"/>
                <w:szCs w:val="20"/>
              </w:rPr>
              <w:t xml:space="preserve">ordaania, Liibanon, Libeeria, </w:t>
            </w:r>
            <w:r>
              <w:rPr>
                <w:noProof/>
                <w:color w:val="000000" w:themeColor="text1"/>
                <w:sz w:val="20"/>
                <w:szCs w:val="20"/>
              </w:rPr>
              <w:lastRenderedPageBreak/>
              <w:t>Maldiivid, Mali, Mehhiko, Nepal, Niger, Nigeeria, Samoa, Senegal, Sri Lanka, Sudaan, Togo, Tšaad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lastRenderedPageBreak/>
              <w:t xml:space="preserve">EL on üks ettepaneku esitajatest. Kujundada lõplik seisukoht, võttes arvesse FAO ekspertide nõuandekomisjoni, CITESi </w:t>
            </w:r>
            <w:r>
              <w:rPr>
                <w:noProof/>
                <w:color w:val="000000" w:themeColor="text1"/>
                <w:sz w:val="20"/>
                <w:szCs w:val="20"/>
              </w:rPr>
              <w:t>sekretariaadi ja IUCNi hindamiste tulemusi.</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Glaucostegus </w:t>
            </w:r>
            <w:r>
              <w:rPr>
                <w:iCs/>
                <w:noProof/>
                <w:color w:val="000000" w:themeColor="text1"/>
                <w:sz w:val="20"/>
                <w:szCs w:val="20"/>
              </w:rPr>
              <w:t>spp</w:t>
            </w:r>
            <w:r>
              <w:rPr>
                <w:i/>
                <w:iCs/>
                <w:noProof/>
                <w:color w:val="000000" w:themeColor="text1"/>
                <w:sz w:val="20"/>
                <w:szCs w:val="20"/>
              </w:rPr>
              <w:t>.</w:t>
            </w:r>
            <w:r>
              <w:rPr>
                <w:i/>
                <w:iCs/>
                <w:noProof/>
                <w:color w:val="000000" w:themeColor="text1"/>
                <w:sz w:val="20"/>
                <w:szCs w:val="20"/>
              </w:rPr>
              <w:br/>
            </w:r>
            <w:r>
              <w:rPr>
                <w:iCs/>
                <w:noProof/>
                <w:color w:val="000000" w:themeColor="text1"/>
                <w:sz w:val="20"/>
                <w:szCs w:val="20"/>
              </w:rPr>
              <w:t>(kühvelrai)</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Bangladesh, Belau, Benin, Bhutan, Brasiilia, Burkina Faso, Cabo Verde, Côte d’Ivoire, Egiptus, Euroopa Liit, Gabon, Gambia, Maldiivid, Mali, Mauritaan</w:t>
            </w:r>
            <w:r>
              <w:rPr>
                <w:noProof/>
                <w:color w:val="000000" w:themeColor="text1"/>
                <w:sz w:val="20"/>
                <w:szCs w:val="20"/>
              </w:rPr>
              <w:t>ia, Monaco, Nepal, Niger, Nigeeria, Senegal, Sierra Leone, Sri Lanka, Süüria Araabia Vabariik, Togo, Tšaad, Ukraina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 xml:space="preserve">Rhinidae </w:t>
            </w:r>
            <w:r>
              <w:rPr>
                <w:iCs/>
                <w:noProof/>
                <w:color w:val="000000" w:themeColor="text1"/>
                <w:sz w:val="20"/>
                <w:szCs w:val="20"/>
              </w:rPr>
              <w:t>spp.</w:t>
            </w:r>
            <w:r>
              <w:rPr>
                <w:i/>
                <w:iCs/>
                <w:noProof/>
                <w:color w:val="000000" w:themeColor="text1"/>
                <w:sz w:val="20"/>
                <w:szCs w:val="20"/>
              </w:rPr>
              <w:br/>
            </w:r>
            <w:r>
              <w:rPr>
                <w:iCs/>
                <w:noProof/>
                <w:color w:val="000000" w:themeColor="text1"/>
                <w:sz w:val="20"/>
                <w:szCs w:val="20"/>
              </w:rPr>
              <w:t xml:space="preserve">(raid, sugukond </w:t>
            </w:r>
            <w:r>
              <w:rPr>
                <w:i/>
                <w:iCs/>
                <w:noProof/>
                <w:color w:val="000000" w:themeColor="text1"/>
                <w:sz w:val="20"/>
                <w:szCs w:val="20"/>
              </w:rPr>
              <w:t>Rhinidae</w:t>
            </w:r>
            <w:r>
              <w:rPr>
                <w:iCs/>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Bangladesh, Belau, Benin, Bhutan, </w:t>
            </w:r>
            <w:r>
              <w:rPr>
                <w:noProof/>
                <w:color w:val="000000" w:themeColor="text1"/>
                <w:sz w:val="20"/>
                <w:szCs w:val="20"/>
              </w:rPr>
              <w:t>Brasiilia, Burkina Faso, Cabo Verde, Côte d’Ivoire, Egiptus, Etioopia, Euroopa Liit, Fidži, Filipiinid, Gabon, Gambia, India, Jordaania, Keenia, Liibanon, Maldiivid, Mali, Mehhiko, Monaco, Nepal, Niger, Nigeeria, Saudi Araabia, Senegal, Seišellid, Sri Lank</w:t>
            </w:r>
            <w:r>
              <w:rPr>
                <w:noProof/>
                <w:color w:val="000000" w:themeColor="text1"/>
                <w:sz w:val="20"/>
                <w:szCs w:val="20"/>
              </w:rPr>
              <w:t>a, Sudaan, Süüria Araabia Vabariik, Togo, Tšaad, Ukraina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lastRenderedPageBreak/>
              <w:t>45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Holothuria (Microthele) fuscogilva, Holothuria (Microthele) nobilis, Holothuria (Microthele) whitmaei</w:t>
            </w:r>
            <w:r>
              <w:rPr>
                <w:i/>
                <w:iCs/>
                <w:noProof/>
                <w:color w:val="000000" w:themeColor="text1"/>
                <w:sz w:val="20"/>
                <w:szCs w:val="20"/>
              </w:rPr>
              <w:br/>
            </w:r>
            <w:r>
              <w:rPr>
                <w:iCs/>
                <w:noProof/>
                <w:color w:val="000000" w:themeColor="text1"/>
                <w:sz w:val="20"/>
                <w:szCs w:val="20"/>
              </w:rPr>
              <w:t>(meripurad)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Euroopa Liit,</w:t>
            </w:r>
            <w:r>
              <w:rPr>
                <w:noProof/>
                <w:color w:val="000000" w:themeColor="text1"/>
                <w:sz w:val="20"/>
                <w:szCs w:val="20"/>
              </w:rPr>
              <w:br/>
              <w:t>Keenia,</w:t>
            </w:r>
            <w:r>
              <w:rPr>
                <w:noProof/>
                <w:color w:val="000000" w:themeColor="text1"/>
                <w:sz w:val="20"/>
                <w:szCs w:val="20"/>
              </w:rPr>
              <w:t xml:space="preserve"> Senegal, Seišellid, Ameerika Ühendriigid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noProof/>
                <w:color w:val="000000" w:themeColor="text1"/>
                <w:sz w:val="20"/>
                <w:szCs w:val="20"/>
              </w:rPr>
              <w:t>Poecilotheria</w:t>
            </w:r>
            <w:r>
              <w:rPr>
                <w:noProof/>
                <w:color w:val="000000" w:themeColor="text1"/>
                <w:sz w:val="20"/>
                <w:szCs w:val="20"/>
              </w:rPr>
              <w:t xml:space="preserve"> spp.</w:t>
            </w:r>
            <w:r>
              <w:rPr>
                <w:noProof/>
                <w:color w:val="000000" w:themeColor="text1"/>
                <w:sz w:val="20"/>
                <w:szCs w:val="20"/>
              </w:rPr>
              <w:br/>
            </w:r>
            <w:r>
              <w:rPr>
                <w:rStyle w:val="Bodytext2"/>
                <w:rFonts w:ascii="Times New Roman" w:hAnsi="Times New Roman"/>
                <w:noProof/>
                <w:color w:val="000000" w:themeColor="text1"/>
                <w:sz w:val="20"/>
                <w:szCs w:val="20"/>
              </w:rPr>
              <w:t xml:space="preserve">(pärisämblikulised, perekond </w:t>
            </w:r>
            <w:r>
              <w:rPr>
                <w:rStyle w:val="Bodytext2"/>
                <w:rFonts w:ascii="Times New Roman" w:hAnsi="Times New Roman"/>
                <w:i/>
                <w:noProof/>
                <w:color w:val="000000" w:themeColor="text1"/>
                <w:sz w:val="20"/>
                <w:szCs w:val="20"/>
              </w:rPr>
              <w:t>Poecilotheria</w:t>
            </w:r>
            <w:r>
              <w:rPr>
                <w:rStyle w:val="Bodytext2"/>
                <w:rFonts w:ascii="Times New Roman" w:hAnsi="Times New Roman"/>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Sri Lanka,</w:t>
            </w:r>
            <w:r>
              <w:rPr>
                <w:noProof/>
                <w:color w:val="000000" w:themeColor="text1"/>
                <w:sz w:val="20"/>
                <w:szCs w:val="20"/>
              </w:rPr>
              <w:br/>
              <w:t>Ameerika Ühendriigid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 xml:space="preserve">Avaldada esialgset toetust. Tundub, et kõik liigid </w:t>
            </w:r>
            <w:r>
              <w:rPr>
                <w:noProof/>
                <w:color w:val="000000" w:themeColor="text1"/>
                <w:sz w:val="20"/>
                <w:szCs w:val="20"/>
              </w:rPr>
              <w:t>vastavad vähemalt mõnele II lisasse kandmise kriteeriumile. Rakendamisel võib tekkida raskusi vangistuses kasvatatud isendite identifitseerimisega.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Achillides chikae hermeli</w:t>
            </w:r>
            <w:r>
              <w:rPr>
                <w:i/>
                <w:iCs/>
                <w:noProof/>
                <w:color w:val="000000" w:themeColor="text1"/>
                <w:sz w:val="20"/>
                <w:szCs w:val="20"/>
              </w:rPr>
              <w:br/>
            </w:r>
            <w:r>
              <w:rPr>
                <w:rStyle w:val="Bodytext2"/>
                <w:rFonts w:ascii="Times New Roman" w:hAnsi="Times New Roman"/>
                <w:noProof/>
                <w:color w:val="000000" w:themeColor="text1"/>
                <w:sz w:val="20"/>
                <w:szCs w:val="20"/>
              </w:rPr>
              <w:t xml:space="preserve">(Luzoni pääsusaba, alamliik </w:t>
            </w:r>
            <w:r>
              <w:rPr>
                <w:rStyle w:val="Bodytext2"/>
                <w:rFonts w:ascii="Times New Roman" w:hAnsi="Times New Roman"/>
                <w:i/>
                <w:noProof/>
                <w:color w:val="000000" w:themeColor="text1"/>
                <w:sz w:val="20"/>
                <w:szCs w:val="20"/>
              </w:rPr>
              <w:t>Achillides chikae hermeli</w:t>
            </w:r>
            <w:r>
              <w:rPr>
                <w:rStyle w:val="Bodytext2"/>
                <w:rFonts w:ascii="Times New Roman" w:hAnsi="Times New Roman"/>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rStyle w:val="Bodytext2"/>
                <w:rFonts w:ascii="Times New Roman" w:hAnsi="Times New Roman"/>
                <w:noProof/>
                <w:color w:val="000000" w:themeColor="text1"/>
              </w:rPr>
              <w:t>Euroopa Liit,</w:t>
            </w:r>
            <w:r>
              <w:rPr>
                <w:rStyle w:val="Bodytext2"/>
                <w:rFonts w:ascii="Times New Roman" w:hAnsi="Times New Roman"/>
                <w:noProof/>
                <w:color w:val="000000" w:themeColor="text1"/>
              </w:rPr>
              <w:br/>
              <w:t>Filipiinid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Parides burchellanus</w:t>
            </w:r>
            <w:r>
              <w:rPr>
                <w:i/>
                <w:iCs/>
                <w:noProof/>
                <w:color w:val="000000" w:themeColor="text1"/>
                <w:sz w:val="20"/>
                <w:szCs w:val="20"/>
              </w:rPr>
              <w:br/>
            </w:r>
            <w:r>
              <w:rPr>
                <w:iCs/>
                <w:noProof/>
                <w:color w:val="000000" w:themeColor="text1"/>
                <w:sz w:val="20"/>
                <w:szCs w:val="20"/>
              </w:rPr>
              <w:t xml:space="preserve">(ratsuklibliklased, liik </w:t>
            </w:r>
            <w:r>
              <w:rPr>
                <w:i/>
                <w:iCs/>
                <w:noProof/>
                <w:color w:val="000000" w:themeColor="text1"/>
                <w:sz w:val="20"/>
                <w:szCs w:val="20"/>
              </w:rPr>
              <w:t>Parides burchellanus</w:t>
            </w:r>
            <w:r>
              <w:rPr>
                <w:iCs/>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Brasiilia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Toetada ettepanekut. </w:t>
            </w:r>
            <w:r>
              <w:rPr>
                <w:i/>
                <w:noProof/>
                <w:color w:val="000000" w:themeColor="text1"/>
                <w:sz w:val="20"/>
                <w:szCs w:val="20"/>
              </w:rPr>
              <w:t xml:space="preserve">Liik vastab I lisasse kandmise kriteeriumidele. </w:t>
            </w:r>
            <w:r>
              <w:rPr>
                <w:noProof/>
                <w:color w:val="000000" w:themeColor="text1"/>
                <w:sz w:val="20"/>
                <w:szCs w:val="20"/>
              </w:rPr>
              <w:t xml:space="preserve">On andmeid, et liigiga kaubeldakse, ning väikese populatsiooni tõttu võib igasugune kaubitsemine olla kahjulik.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49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Handroanthus</w:t>
            </w:r>
            <w:r>
              <w:rPr>
                <w:noProof/>
                <w:color w:val="000000" w:themeColor="text1"/>
                <w:sz w:val="20"/>
                <w:szCs w:val="20"/>
              </w:rPr>
              <w:t xml:space="preserve"> spp.,</w:t>
            </w:r>
            <w:r>
              <w:rPr>
                <w:i/>
                <w:iCs/>
                <w:noProof/>
                <w:color w:val="000000" w:themeColor="text1"/>
                <w:sz w:val="20"/>
                <w:szCs w:val="20"/>
              </w:rPr>
              <w:t xml:space="preserve"> </w:t>
            </w:r>
            <w:r>
              <w:rPr>
                <w:i/>
                <w:iCs/>
                <w:noProof/>
                <w:color w:val="000000" w:themeColor="text1"/>
                <w:sz w:val="20"/>
                <w:szCs w:val="20"/>
              </w:rPr>
              <w:br/>
            </w:r>
            <w:r>
              <w:rPr>
                <w:i/>
                <w:noProof/>
                <w:color w:val="000000" w:themeColor="text1"/>
                <w:sz w:val="20"/>
                <w:szCs w:val="20"/>
              </w:rPr>
              <w:t>Tabebuia</w:t>
            </w:r>
            <w:r>
              <w:rPr>
                <w:noProof/>
                <w:color w:val="000000" w:themeColor="text1"/>
                <w:sz w:val="20"/>
                <w:szCs w:val="20"/>
              </w:rPr>
              <w:t xml:space="preserve"> spp. ja </w:t>
            </w:r>
            <w:r>
              <w:rPr>
                <w:noProof/>
                <w:color w:val="000000" w:themeColor="text1"/>
                <w:sz w:val="20"/>
                <w:szCs w:val="20"/>
              </w:rPr>
              <w:br/>
            </w:r>
            <w:r>
              <w:rPr>
                <w:i/>
                <w:noProof/>
                <w:color w:val="000000" w:themeColor="text1"/>
                <w:sz w:val="20"/>
                <w:szCs w:val="20"/>
              </w:rPr>
              <w:t>Roseodendron</w:t>
            </w:r>
            <w:r>
              <w:rPr>
                <w:noProof/>
                <w:color w:val="000000" w:themeColor="text1"/>
                <w:sz w:val="20"/>
                <w:szCs w:val="20"/>
              </w:rPr>
              <w:t xml:space="preserve"> spp.</w:t>
            </w:r>
            <w:r>
              <w:rPr>
                <w:noProof/>
                <w:color w:val="000000" w:themeColor="text1"/>
                <w:sz w:val="20"/>
                <w:szCs w:val="20"/>
              </w:rPr>
              <w:br/>
              <w:t xml:space="preserve">(bignoonialised, perekonnad </w:t>
            </w:r>
            <w:r>
              <w:rPr>
                <w:i/>
                <w:noProof/>
                <w:color w:val="000000" w:themeColor="text1"/>
                <w:sz w:val="20"/>
                <w:szCs w:val="20"/>
              </w:rPr>
              <w:t>Handroanthu</w:t>
            </w:r>
            <w:r>
              <w:rPr>
                <w:noProof/>
                <w:color w:val="000000" w:themeColor="text1"/>
                <w:sz w:val="20"/>
                <w:szCs w:val="20"/>
              </w:rPr>
              <w:t xml:space="preserve">s spp., </w:t>
            </w:r>
            <w:r>
              <w:rPr>
                <w:i/>
                <w:noProof/>
                <w:color w:val="000000" w:themeColor="text1"/>
                <w:sz w:val="20"/>
                <w:szCs w:val="20"/>
              </w:rPr>
              <w:t>Tabebuia</w:t>
            </w:r>
            <w:r>
              <w:rPr>
                <w:noProof/>
                <w:color w:val="000000" w:themeColor="text1"/>
                <w:sz w:val="20"/>
                <w:szCs w:val="20"/>
              </w:rPr>
              <w:t xml:space="preserve"> spp. ja </w:t>
            </w:r>
            <w:r>
              <w:rPr>
                <w:i/>
                <w:noProof/>
                <w:color w:val="000000" w:themeColor="text1"/>
                <w:sz w:val="20"/>
                <w:szCs w:val="20"/>
              </w:rPr>
              <w:t>Roseodendron</w:t>
            </w:r>
            <w:r>
              <w:rPr>
                <w:noProof/>
                <w:color w:val="000000" w:themeColor="text1"/>
                <w:sz w:val="20"/>
                <w:szCs w:val="20"/>
              </w:rPr>
              <w:t xml:space="preserve"> spp.)</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 koos märkega #6</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Brasiilia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Toetada. Resolutsioonide 9.24 ja 11.21 kriteeriumid on täidetud. Perekonda </w:t>
            </w:r>
            <w:r>
              <w:rPr>
                <w:i/>
                <w:noProof/>
                <w:color w:val="000000" w:themeColor="text1"/>
                <w:sz w:val="20"/>
                <w:szCs w:val="20"/>
              </w:rPr>
              <w:t xml:space="preserve">Handroanthus </w:t>
            </w:r>
            <w:r>
              <w:rPr>
                <w:noProof/>
                <w:color w:val="000000" w:themeColor="text1"/>
                <w:sz w:val="20"/>
                <w:szCs w:val="20"/>
              </w:rPr>
              <w:t>kuuluvate liikidega kaubeldakse ehituse ja välistingimustes kasutamise eesmärgil. Teaduslikes ülevaadetes leita</w:t>
            </w:r>
            <w:r>
              <w:rPr>
                <w:noProof/>
                <w:color w:val="000000" w:themeColor="text1"/>
                <w:sz w:val="20"/>
                <w:szCs w:val="20"/>
              </w:rPr>
              <w:t xml:space="preserve">kse, et just selline kaubitsemine on populatsiooni vähenemise põhjuseks ning avaldab liigi seisundile negatiivset mõju. Perekondade </w:t>
            </w:r>
            <w:r>
              <w:rPr>
                <w:i/>
                <w:noProof/>
                <w:color w:val="000000" w:themeColor="text1"/>
                <w:sz w:val="20"/>
                <w:szCs w:val="20"/>
              </w:rPr>
              <w:t>Tabebuia</w:t>
            </w:r>
            <w:r>
              <w:rPr>
                <w:noProof/>
                <w:color w:val="000000" w:themeColor="text1"/>
                <w:sz w:val="20"/>
                <w:szCs w:val="20"/>
              </w:rPr>
              <w:t xml:space="preserve"> ja </w:t>
            </w:r>
            <w:r>
              <w:rPr>
                <w:i/>
                <w:noProof/>
                <w:color w:val="000000" w:themeColor="text1"/>
                <w:sz w:val="20"/>
                <w:szCs w:val="20"/>
              </w:rPr>
              <w:lastRenderedPageBreak/>
              <w:t>Roseodendron</w:t>
            </w:r>
            <w:r>
              <w:rPr>
                <w:noProof/>
                <w:color w:val="000000" w:themeColor="text1"/>
                <w:sz w:val="20"/>
                <w:szCs w:val="20"/>
              </w:rPr>
              <w:t xml:space="preserve"> liikidega kaubitsetakse sama kaubandusliku ja teadusliku nimetuse all ning nende puitu on perekonna</w:t>
            </w:r>
            <w:r>
              <w:rPr>
                <w:noProof/>
                <w:color w:val="000000" w:themeColor="text1"/>
                <w:sz w:val="20"/>
                <w:szCs w:val="20"/>
              </w:rPr>
              <w:t xml:space="preserve"> </w:t>
            </w:r>
            <w:r>
              <w:rPr>
                <w:i/>
                <w:noProof/>
                <w:color w:val="000000" w:themeColor="text1"/>
                <w:sz w:val="20"/>
                <w:szCs w:val="20"/>
              </w:rPr>
              <w:t xml:space="preserve">Handroanthus </w:t>
            </w:r>
            <w:r>
              <w:rPr>
                <w:noProof/>
                <w:color w:val="000000" w:themeColor="text1"/>
                <w:sz w:val="20"/>
                <w:szCs w:val="20"/>
              </w:rPr>
              <w:t>liikide puidust keeruline eristada. Ettepaneku ulatus on hästi põhjendatud, võttes aluseks sarnasuse. EL on maailma mastaabis oluline importija.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Widdringtonia whytei</w:t>
            </w:r>
            <w:r>
              <w:rPr>
                <w:i/>
                <w:iCs/>
                <w:noProof/>
                <w:color w:val="000000" w:themeColor="text1"/>
                <w:sz w:val="20"/>
                <w:szCs w:val="20"/>
              </w:rPr>
              <w:br/>
            </w:r>
            <w:r>
              <w:rPr>
                <w:rStyle w:val="Bodytext2"/>
                <w:rFonts w:ascii="Times New Roman" w:hAnsi="Times New Roman"/>
                <w:noProof/>
                <w:color w:val="000000" w:themeColor="text1"/>
                <w:sz w:val="20"/>
                <w:szCs w:val="20"/>
              </w:rPr>
              <w:t>(mulanje vidringtoonia)</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Malawi</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Toetada üksnes </w:t>
            </w:r>
            <w:r>
              <w:rPr>
                <w:noProof/>
                <w:color w:val="000000" w:themeColor="text1"/>
                <w:sz w:val="20"/>
                <w:szCs w:val="20"/>
              </w:rPr>
              <w:t>juhul, kui Malawi esitab tõendeid liigi kaitsmist kahjustava rahvusvahelise kauplemise kohta. Liigile võib olla kasulik hoopis III lisasse kandmine.</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tabs>
                <w:tab w:val="left" w:pos="263"/>
              </w:tabs>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Dalbergia sissoo</w:t>
            </w:r>
            <w:r>
              <w:rPr>
                <w:i/>
                <w:iCs/>
                <w:noProof/>
                <w:color w:val="000000" w:themeColor="text1"/>
                <w:sz w:val="20"/>
                <w:szCs w:val="20"/>
              </w:rPr>
              <w:br/>
            </w:r>
            <w:r>
              <w:rPr>
                <w:rStyle w:val="Bodytext2"/>
                <w:noProof/>
                <w:color w:val="000000" w:themeColor="text1"/>
              </w:rPr>
              <w:t>(</w:t>
            </w:r>
            <w:r>
              <w:rPr>
                <w:noProof/>
                <w:color w:val="000000" w:themeColor="text1"/>
                <w:sz w:val="20"/>
                <w:szCs w:val="20"/>
              </w:rPr>
              <w:t>sissu-palisandripuu)</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0</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II lisast välja jätta</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Bangladesh, Bhutan, India ja </w:t>
            </w:r>
            <w:r>
              <w:rPr>
                <w:noProof/>
                <w:color w:val="000000" w:themeColor="text1"/>
                <w:sz w:val="20"/>
                <w:szCs w:val="20"/>
              </w:rPr>
              <w:t>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Liik on tavaline ega vasta II lisasse kandmise bioloogilistele kriteeriumidele, kuid tõenäoliselt vastab siiski resolutsiooni 9.24 sarnasuskriteeriumile (2b lisa kriteerium A). Ettepanekut tuleks vaadelda ka seoses märke #15 muutmise ettepanekutega.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Cs/>
                <w:noProof/>
                <w:color w:val="000000" w:themeColor="text1"/>
                <w:sz w:val="20"/>
                <w:szCs w:val="20"/>
              </w:rPr>
            </w:pPr>
            <w:r>
              <w:rPr>
                <w:i/>
                <w:noProof/>
                <w:color w:val="000000" w:themeColor="text1"/>
                <w:sz w:val="20"/>
                <w:szCs w:val="20"/>
              </w:rPr>
              <w:t>Dalbergia</w:t>
            </w:r>
            <w:r>
              <w:rPr>
                <w:noProof/>
                <w:color w:val="000000" w:themeColor="text1"/>
                <w:sz w:val="20"/>
                <w:szCs w:val="20"/>
              </w:rPr>
              <w:t xml:space="preserve"> spp., </w:t>
            </w:r>
            <w:r>
              <w:rPr>
                <w:i/>
                <w:noProof/>
                <w:color w:val="000000" w:themeColor="text1"/>
                <w:sz w:val="20"/>
                <w:szCs w:val="20"/>
              </w:rPr>
              <w:t>Guibourtia demeusei, Guibourtia pellegriniana, Guibourtia tessmannii</w:t>
            </w:r>
            <w:r>
              <w:rPr>
                <w:i/>
                <w:iCs/>
                <w:noProof/>
                <w:color w:val="000000" w:themeColor="text1"/>
                <w:sz w:val="20"/>
                <w:szCs w:val="20"/>
              </w:rPr>
              <w:br/>
            </w:r>
            <w:r>
              <w:rPr>
                <w:iCs/>
                <w:noProof/>
                <w:color w:val="000000" w:themeColor="text1"/>
                <w:sz w:val="20"/>
                <w:szCs w:val="20"/>
              </w:rPr>
              <w:t>(dalbergiad, palisandripuud ja bubingapuud)</w:t>
            </w:r>
          </w:p>
          <w:p w:rsidR="00AA75D1" w:rsidRDefault="008A3FF4">
            <w:pPr>
              <w:spacing w:after="0"/>
              <w:jc w:val="left"/>
              <w:rPr>
                <w:rFonts w:eastAsia="Times New Roman"/>
                <w:i/>
                <w:iCs/>
                <w:noProof/>
                <w:color w:val="000000" w:themeColor="text1"/>
                <w:sz w:val="20"/>
                <w:szCs w:val="20"/>
              </w:rPr>
            </w:pPr>
            <w:r>
              <w:rPr>
                <w:iCs/>
                <w:noProof/>
                <w:color w:val="000000" w:themeColor="text1"/>
                <w:sz w:val="20"/>
                <w:szCs w:val="20"/>
              </w:rPr>
              <w:t xml:space="preserve">Märke #15 </w:t>
            </w:r>
            <w:r>
              <w:rPr>
                <w:iCs/>
                <w:noProof/>
                <w:color w:val="000000" w:themeColor="text1"/>
                <w:sz w:val="20"/>
                <w:szCs w:val="20"/>
              </w:rPr>
              <w:br/>
              <w:t>muutmine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Muuta märget #15 järgmiselt:</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„tähistab kõiki isendi osi ja neist saadut, välja arvatud:</w:t>
            </w:r>
          </w:p>
          <w:p w:rsidR="00AA75D1" w:rsidRDefault="008A3FF4">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lehed, õied, õietolm, viljad ja seemned;</w:t>
            </w:r>
          </w:p>
          <w:p w:rsidR="00AA75D1" w:rsidRDefault="008A3FF4">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valmistooted, milles loetellu kantud liigi puitu on eseme kohta maksimaalselt 500 g;</w:t>
            </w:r>
          </w:p>
          <w:p w:rsidR="00AA75D1" w:rsidRDefault="008A3FF4">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valmis muusikariist</w:t>
            </w:r>
            <w:r>
              <w:rPr>
                <w:noProof/>
                <w:color w:val="000000" w:themeColor="text1"/>
                <w:sz w:val="20"/>
                <w:szCs w:val="20"/>
              </w:rPr>
              <w:lastRenderedPageBreak/>
              <w:t>ad, valmis muusikariistade osad ja valmis muusikariistade tarvikud;</w:t>
            </w:r>
          </w:p>
          <w:p w:rsidR="00AA75D1" w:rsidRDefault="008A3FF4">
            <w:pPr>
              <w:numPr>
                <w:ilvl w:val="0"/>
                <w:numId w:val="10"/>
              </w:numPr>
              <w:spacing w:before="0" w:after="0"/>
              <w:jc w:val="left"/>
              <w:rPr>
                <w:rFonts w:eastAsia="Times New Roman"/>
                <w:noProof/>
                <w:color w:val="000000" w:themeColor="text1"/>
                <w:sz w:val="20"/>
                <w:szCs w:val="20"/>
              </w:rPr>
            </w:pPr>
            <w:r>
              <w:rPr>
                <w:noProof/>
                <w:color w:val="000000" w:themeColor="text1"/>
                <w:sz w:val="20"/>
                <w:szCs w:val="20"/>
              </w:rPr>
              <w:t xml:space="preserve">märkega #4 hõlmatud liigi </w:t>
            </w:r>
            <w:r>
              <w:rPr>
                <w:i/>
                <w:noProof/>
                <w:color w:val="000000" w:themeColor="text1"/>
                <w:sz w:val="20"/>
                <w:szCs w:val="20"/>
              </w:rPr>
              <w:t>Dalbergia cochinc</w:t>
            </w:r>
            <w:r>
              <w:rPr>
                <w:i/>
                <w:noProof/>
                <w:color w:val="000000" w:themeColor="text1"/>
                <w:sz w:val="20"/>
                <w:szCs w:val="20"/>
              </w:rPr>
              <w:t>hinensis</w:t>
            </w:r>
            <w:r>
              <w:rPr>
                <w:noProof/>
                <w:color w:val="000000" w:themeColor="text1"/>
                <w:sz w:val="20"/>
                <w:szCs w:val="20"/>
              </w:rPr>
              <w:t xml:space="preserve"> isendite osad ja neist saadu;</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märkega #6 hõlmatud Mehhikost pärit ja sealt eksporditud liikide </w:t>
            </w:r>
            <w:r>
              <w:rPr>
                <w:i/>
                <w:noProof/>
                <w:color w:val="000000" w:themeColor="text1"/>
                <w:sz w:val="20"/>
                <w:szCs w:val="20"/>
              </w:rPr>
              <w:t>Dalbergia</w:t>
            </w:r>
            <w:r>
              <w:rPr>
                <w:noProof/>
                <w:color w:val="000000" w:themeColor="text1"/>
                <w:sz w:val="20"/>
                <w:szCs w:val="20"/>
              </w:rPr>
              <w:t xml:space="preserve"> spp. isendite osad ja neist saadu“.</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rStyle w:val="Bodytext2"/>
                <w:rFonts w:ascii="Times New Roman" w:hAnsi="Times New Roman"/>
                <w:noProof/>
                <w:color w:val="000000" w:themeColor="text1"/>
              </w:rPr>
              <w:lastRenderedPageBreak/>
              <w:t>Kanada,</w:t>
            </w:r>
            <w:r>
              <w:rPr>
                <w:rStyle w:val="Bodytext2"/>
                <w:rFonts w:ascii="Times New Roman" w:hAnsi="Times New Roman"/>
                <w:noProof/>
                <w:color w:val="000000" w:themeColor="text1"/>
              </w:rPr>
              <w:br/>
              <w:t>Euroopa Liit</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w:t>
            </w:r>
          </w:p>
        </w:tc>
      </w:tr>
      <w:tr w:rsidR="00AA75D1">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i/>
                <w:iCs/>
                <w:noProof/>
                <w:color w:val="000000" w:themeColor="text1"/>
                <w:sz w:val="20"/>
                <w:szCs w:val="20"/>
              </w:rPr>
            </w:pPr>
            <w:r>
              <w:rPr>
                <w:i/>
                <w:iCs/>
                <w:noProof/>
                <w:color w:val="000000" w:themeColor="text1"/>
                <w:sz w:val="20"/>
                <w:szCs w:val="20"/>
              </w:rPr>
              <w:t>Pericopsis elata</w:t>
            </w:r>
            <w:r>
              <w:rPr>
                <w:i/>
                <w:iCs/>
                <w:noProof/>
                <w:color w:val="000000" w:themeColor="text1"/>
                <w:sz w:val="20"/>
                <w:szCs w:val="20"/>
              </w:rPr>
              <w:br/>
            </w:r>
            <w:r>
              <w:rPr>
                <w:iCs/>
                <w:noProof/>
                <w:color w:val="000000" w:themeColor="text1"/>
                <w:sz w:val="20"/>
                <w:szCs w:val="20"/>
              </w:rPr>
              <w:t>(kõrge afrormosia)</w:t>
            </w:r>
          </w:p>
          <w:p w:rsidR="00AA75D1" w:rsidRDefault="008A3FF4">
            <w:pPr>
              <w:spacing w:after="0"/>
              <w:jc w:val="left"/>
              <w:rPr>
                <w:rFonts w:eastAsia="Times New Roman"/>
                <w:i/>
                <w:iCs/>
                <w:noProof/>
                <w:color w:val="000000" w:themeColor="text1"/>
                <w:sz w:val="20"/>
                <w:szCs w:val="20"/>
              </w:rPr>
            </w:pPr>
            <w:r>
              <w:rPr>
                <w:iCs/>
                <w:noProof/>
                <w:color w:val="000000" w:themeColor="text1"/>
                <w:sz w:val="20"/>
                <w:szCs w:val="20"/>
              </w:rPr>
              <w:t xml:space="preserve">Märke #5 </w:t>
            </w:r>
            <w:r>
              <w:rPr>
                <w:iCs/>
                <w:noProof/>
                <w:color w:val="000000" w:themeColor="text1"/>
                <w:sz w:val="20"/>
                <w:szCs w:val="20"/>
              </w:rPr>
              <w:br/>
              <w:t>muutmine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Laiendada liiki </w:t>
            </w:r>
            <w:r>
              <w:rPr>
                <w:i/>
                <w:noProof/>
                <w:color w:val="000000" w:themeColor="text1"/>
                <w:sz w:val="20"/>
                <w:szCs w:val="20"/>
              </w:rPr>
              <w:t>Pericopsis elata</w:t>
            </w:r>
            <w:r>
              <w:rPr>
                <w:noProof/>
                <w:color w:val="000000" w:themeColor="text1"/>
                <w:sz w:val="20"/>
                <w:szCs w:val="20"/>
              </w:rPr>
              <w:t xml:space="preserve"> puudutavat märget (praegu #5), lisades vineeri ja töödeldud puidu järgmiselt:</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„Palgid, saematerjal, spoon, vineer ja töödeldud puit</w:t>
            </w:r>
            <w:r>
              <w:rPr>
                <w:noProof/>
                <w:color w:val="000000" w:themeColor="text1"/>
                <w:sz w:val="20"/>
                <w:szCs w:val="20"/>
                <w:vertAlign w:val="superscript"/>
              </w:rPr>
              <w:t>1</w:t>
            </w:r>
            <w:r>
              <w:rPr>
                <w:noProof/>
                <w:color w:val="000000" w:themeColor="text1"/>
                <w:sz w:val="20"/>
                <w:szCs w:val="20"/>
              </w:rPr>
              <w:t>.“</w:t>
            </w:r>
          </w:p>
          <w:p w:rsidR="00AA75D1" w:rsidRDefault="008A3FF4">
            <w:pPr>
              <w:spacing w:after="0"/>
              <w:jc w:val="left"/>
              <w:rPr>
                <w:rFonts w:eastAsia="Times New Roman"/>
                <w:noProof/>
                <w:color w:val="000000" w:themeColor="text1"/>
                <w:sz w:val="20"/>
                <w:szCs w:val="20"/>
              </w:rPr>
            </w:pPr>
            <w:r>
              <w:rPr>
                <w:noProof/>
                <w:color w:val="000000" w:themeColor="text1"/>
                <w:sz w:val="20"/>
                <w:szCs w:val="20"/>
                <w:vertAlign w:val="superscript"/>
              </w:rPr>
              <w:t>1</w:t>
            </w:r>
            <w:r>
              <w:rPr>
                <w:noProof/>
                <w:color w:val="000000" w:themeColor="text1"/>
                <w:sz w:val="20"/>
                <w:szCs w:val="20"/>
              </w:rPr>
              <w:t> Töödeldud puit on määratletud HS-koodiga 44.09: Puit pidevprofiiliga (keeled</w:t>
            </w:r>
            <w:r>
              <w:rPr>
                <w:noProof/>
                <w:color w:val="000000" w:themeColor="text1"/>
                <w:sz w:val="20"/>
                <w:szCs w:val="20"/>
              </w:rPr>
              <w:t>, sooned, punnid, V-punnid, helmestus vms) ühel või mitmel küljel, otsal või serval (sh kokku ühendamata parketilipid ja -liistud), hööveldatud või hööveldamata, lihvitud või lihvimata, pikijätkatud või mitte.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Côte d’Ivoire, </w:t>
            </w:r>
            <w:r>
              <w:rPr>
                <w:noProof/>
                <w:color w:val="000000" w:themeColor="text1"/>
                <w:sz w:val="20"/>
                <w:szCs w:val="20"/>
              </w:rPr>
              <w:br/>
              <w:t>Euroopa Liit</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rPr>
            </w:pPr>
            <w:r>
              <w:rPr>
                <w:noProof/>
                <w:color w:val="000000" w:themeColor="text1"/>
                <w:sz w:val="20"/>
                <w:szCs w:val="20"/>
              </w:rPr>
              <w:t>EL on üks ettepan</w:t>
            </w:r>
            <w:r>
              <w:rPr>
                <w:noProof/>
                <w:color w:val="000000" w:themeColor="text1"/>
                <w:sz w:val="20"/>
                <w:szCs w:val="20"/>
              </w:rPr>
              <w:t>eku esitajatest.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Pterocarpus tinctorius</w:t>
            </w:r>
            <w:r>
              <w:rPr>
                <w:i/>
                <w:iCs/>
                <w:noProof/>
                <w:color w:val="000000" w:themeColor="text1"/>
                <w:sz w:val="20"/>
                <w:szCs w:val="20"/>
              </w:rPr>
              <w:br/>
            </w:r>
            <w:r>
              <w:rPr>
                <w:iCs/>
                <w:noProof/>
                <w:color w:val="000000" w:themeColor="text1"/>
                <w:sz w:val="20"/>
                <w:szCs w:val="20"/>
              </w:rPr>
              <w:t xml:space="preserve">(tiibviljak, liik </w:t>
            </w:r>
            <w:r>
              <w:rPr>
                <w:i/>
                <w:iCs/>
                <w:noProof/>
                <w:color w:val="000000" w:themeColor="text1"/>
                <w:sz w:val="20"/>
                <w:szCs w:val="20"/>
              </w:rPr>
              <w:t>Pterocarpus tinctorius</w:t>
            </w:r>
            <w:r>
              <w:rPr>
                <w:iCs/>
                <w:noProof/>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Malawi</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kuid teha ettepanek märke lisamiseks (võimaluse korral märge #5 muudetud kujul), Liik vastab II lisasse kandmise bioloogilistele</w:t>
            </w:r>
            <w:r>
              <w:rPr>
                <w:noProof/>
                <w:color w:val="000000" w:themeColor="text1"/>
                <w:sz w:val="20"/>
                <w:szCs w:val="20"/>
              </w:rPr>
              <w:t xml:space="preserve"> kriteeriumidele ja </w:t>
            </w:r>
            <w:r>
              <w:rPr>
                <w:noProof/>
                <w:color w:val="000000" w:themeColor="text1"/>
                <w:sz w:val="20"/>
                <w:szCs w:val="20"/>
              </w:rPr>
              <w:lastRenderedPageBreak/>
              <w:t>kauplemiskriteeriumile (kasutamine ohustab märkimisväärselt liigi säilimist, viimastel aastatel on Aasia nõudluse katmiseks hoogustunud ebaseaduslik raie). Kandmine II lisasse aitaks võidelda ebaseadusliku kauplemisega.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iCs/>
                <w:noProof/>
                <w:color w:val="000000" w:themeColor="text1"/>
                <w:sz w:val="20"/>
                <w:szCs w:val="20"/>
              </w:rPr>
              <w:t xml:space="preserve">Aloe </w:t>
            </w:r>
            <w:r>
              <w:rPr>
                <w:i/>
                <w:iCs/>
                <w:noProof/>
                <w:color w:val="000000" w:themeColor="text1"/>
                <w:sz w:val="20"/>
                <w:szCs w:val="20"/>
              </w:rPr>
              <w:t>ferox</w:t>
            </w:r>
            <w:r>
              <w:rPr>
                <w:i/>
                <w:iCs/>
                <w:noProof/>
                <w:color w:val="000000" w:themeColor="text1"/>
                <w:sz w:val="20"/>
                <w:szCs w:val="20"/>
              </w:rPr>
              <w:br/>
            </w:r>
            <w:r>
              <w:rPr>
                <w:iCs/>
                <w:noProof/>
                <w:color w:val="000000" w:themeColor="text1"/>
                <w:sz w:val="20"/>
                <w:szCs w:val="20"/>
              </w:rPr>
              <w:t>(torkav aaloe)</w:t>
            </w:r>
          </w:p>
          <w:p w:rsidR="00AA75D1" w:rsidRDefault="008A3FF4">
            <w:pPr>
              <w:jc w:val="left"/>
              <w:rPr>
                <w:rFonts w:eastAsia="Times New Roman"/>
                <w:noProof/>
                <w:color w:val="000000" w:themeColor="text1"/>
                <w:sz w:val="20"/>
                <w:szCs w:val="20"/>
              </w:rPr>
            </w:pPr>
            <w:r>
              <w:rPr>
                <w:noProof/>
                <w:color w:val="000000" w:themeColor="text1"/>
                <w:sz w:val="20"/>
                <w:szCs w:val="20"/>
              </w:rPr>
              <w:t>Märke #4 muutmine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II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„Muuta liigi </w:t>
            </w:r>
            <w:r>
              <w:rPr>
                <w:i/>
                <w:noProof/>
                <w:color w:val="000000" w:themeColor="text1"/>
                <w:sz w:val="20"/>
                <w:szCs w:val="20"/>
              </w:rPr>
              <w:t>Aloe ferox</w:t>
            </w:r>
            <w:r>
              <w:rPr>
                <w:noProof/>
                <w:color w:val="000000" w:themeColor="text1"/>
                <w:sz w:val="20"/>
                <w:szCs w:val="20"/>
              </w:rPr>
              <w:t xml:space="preserve"> kohta käivat märget #4 järgmiselt: „tähistab kõiki isendi osi ja neist saadut, välja arvatud:</w:t>
            </w:r>
            <w:r>
              <w:rPr>
                <w:noProof/>
                <w:color w:val="000000" w:themeColor="text1"/>
                <w:sz w:val="20"/>
                <w:szCs w:val="20"/>
              </w:rPr>
              <w:br/>
              <w:t>[…]</w:t>
            </w:r>
          </w:p>
          <w:p w:rsidR="00AA75D1" w:rsidRDefault="008A3FF4">
            <w:pPr>
              <w:spacing w:before="0" w:after="0"/>
              <w:ind w:left="720" w:hanging="720"/>
              <w:jc w:val="left"/>
              <w:rPr>
                <w:rFonts w:eastAsia="Times New Roman"/>
                <w:noProof/>
                <w:color w:val="000000" w:themeColor="text1"/>
                <w:sz w:val="20"/>
                <w:szCs w:val="20"/>
              </w:rPr>
            </w:pPr>
            <w:r>
              <w:rPr>
                <w:noProof/>
                <w:color w:val="000000" w:themeColor="text1"/>
                <w:sz w:val="20"/>
                <w:szCs w:val="20"/>
              </w:rPr>
              <w:t>f.</w:t>
            </w:r>
            <w:r>
              <w:rPr>
                <w:noProof/>
                <w:color w:val="000000" w:themeColor="text1"/>
                <w:sz w:val="20"/>
                <w:szCs w:val="20"/>
              </w:rPr>
              <w:tab/>
              <w:t>jaemüüki saatmiseks pakendatud liikide </w:t>
            </w:r>
            <w:r>
              <w:rPr>
                <w:i/>
                <w:noProof/>
                <w:color w:val="000000" w:themeColor="text1"/>
                <w:sz w:val="20"/>
                <w:szCs w:val="20"/>
                <w:u w:val="single"/>
              </w:rPr>
              <w:t>Aloe ferox</w:t>
            </w:r>
            <w:r>
              <w:rPr>
                <w:noProof/>
                <w:color w:val="000000" w:themeColor="text1"/>
                <w:sz w:val="20"/>
                <w:szCs w:val="20"/>
              </w:rPr>
              <w:t xml:space="preserve"> ja </w:t>
            </w:r>
            <w:r>
              <w:rPr>
                <w:i/>
                <w:noProof/>
                <w:color w:val="000000" w:themeColor="text1"/>
                <w:sz w:val="20"/>
                <w:szCs w:val="20"/>
              </w:rPr>
              <w:t>Euphorbia antisyphilitica</w:t>
            </w:r>
            <w:r>
              <w:rPr>
                <w:noProof/>
                <w:color w:val="000000" w:themeColor="text1"/>
                <w:sz w:val="20"/>
                <w:szCs w:val="20"/>
              </w:rPr>
              <w:t xml:space="preserve">  valmistooted</w:t>
            </w:r>
            <w:r>
              <w:rPr>
                <w:noProof/>
                <w:color w:val="000000" w:themeColor="text1"/>
                <w:sz w:val="20"/>
                <w:szCs w:val="20"/>
                <w:vertAlign w:val="superscript"/>
              </w:rPr>
              <w:t>1</w:t>
            </w:r>
            <w:r>
              <w:rPr>
                <w:noProof/>
                <w:color w:val="000000" w:themeColor="text1"/>
                <w:sz w:val="20"/>
                <w:szCs w:val="20"/>
              </w:rPr>
              <w:t>.</w:t>
            </w:r>
          </w:p>
          <w:p w:rsidR="00AA75D1" w:rsidRDefault="008A3FF4">
            <w:pPr>
              <w:spacing w:after="0"/>
              <w:jc w:val="left"/>
              <w:rPr>
                <w:rFonts w:eastAsia="Times New Roman"/>
                <w:noProof/>
                <w:color w:val="000000" w:themeColor="text1"/>
                <w:sz w:val="20"/>
                <w:szCs w:val="20"/>
              </w:rPr>
            </w:pPr>
            <w:r>
              <w:rPr>
                <w:noProof/>
                <w:color w:val="000000" w:themeColor="text1"/>
                <w:sz w:val="20"/>
                <w:szCs w:val="20"/>
                <w:vertAlign w:val="superscript"/>
              </w:rPr>
              <w:t>1</w:t>
            </w:r>
            <w:r>
              <w:rPr>
                <w:noProof/>
                <w:color w:val="000000" w:themeColor="text1"/>
                <w:sz w:val="20"/>
                <w:szCs w:val="20"/>
              </w:rPr>
              <w:t> See CITESi lisades kasutatud mõiste viitab pakendatud ja lõppkasutuseks või jaemüügiks märgistatud toodetele, mis ei vaja täiendavat töötlemist ja mis on sobivad elanikkonnale müügiks või kasutamiseks; tarnituna üksik- või mahtkaubana“.</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t xml:space="preserve">Lõuna- </w:t>
            </w:r>
            <w:r>
              <w:rPr>
                <w:noProof/>
                <w:color w:val="000000" w:themeColor="text1"/>
                <w:sz w:val="20"/>
                <w:szCs w:val="20"/>
              </w:rPr>
              <w:br/>
              <w:t>Aafrika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kuid teha ettepanek otsus(t)e eelnõu(de)ks, millega antakse taimekomiteele ülesanne jälgida kavandatud muudatuse mõju ja majandamismeetmete rakendamist. Resolutsiooni 11.21 kriteeriumid on täidetud.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keepNext/>
              <w:spacing w:after="0"/>
              <w:jc w:val="center"/>
              <w:rPr>
                <w:rFonts w:eastAsia="Times New Roman"/>
                <w:noProof/>
                <w:color w:val="000000" w:themeColor="text1"/>
                <w:sz w:val="20"/>
                <w:szCs w:val="20"/>
              </w:rPr>
            </w:pPr>
            <w:r>
              <w:rPr>
                <w:noProof/>
                <w:color w:val="000000" w:themeColor="text1"/>
                <w:sz w:val="20"/>
                <w:szCs w:val="20"/>
              </w:rPr>
              <w:t>56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keepNext/>
              <w:spacing w:after="0"/>
              <w:jc w:val="left"/>
              <w:rPr>
                <w:rFonts w:eastAsia="Times New Roman"/>
                <w:noProof/>
                <w:color w:val="000000" w:themeColor="text1"/>
                <w:sz w:val="20"/>
                <w:szCs w:val="20"/>
              </w:rPr>
            </w:pPr>
            <w:r>
              <w:rPr>
                <w:i/>
                <w:noProof/>
                <w:color w:val="000000" w:themeColor="text1"/>
                <w:sz w:val="20"/>
                <w:szCs w:val="20"/>
              </w:rPr>
              <w:t>Adansonia grandidieri</w:t>
            </w:r>
            <w:r>
              <w:rPr>
                <w:noProof/>
                <w:color w:val="000000" w:themeColor="text1"/>
                <w:sz w:val="20"/>
                <w:szCs w:val="20"/>
              </w:rPr>
              <w:t xml:space="preserve"> </w:t>
            </w:r>
            <w:r>
              <w:rPr>
                <w:noProof/>
                <w:color w:val="000000" w:themeColor="text1"/>
                <w:sz w:val="20"/>
                <w:szCs w:val="20"/>
              </w:rPr>
              <w:br/>
            </w:r>
            <w:r>
              <w:rPr>
                <w:rStyle w:val="Bodytext2"/>
                <w:rFonts w:ascii="Times New Roman" w:hAnsi="Times New Roman"/>
                <w:noProof/>
                <w:color w:val="000000" w:themeColor="text1"/>
                <w:sz w:val="20"/>
                <w:szCs w:val="20"/>
              </w:rPr>
              <w:t>(sammas-ahvileivapuu)</w:t>
            </w:r>
          </w:p>
          <w:p w:rsidR="00AA75D1" w:rsidRDefault="008A3FF4">
            <w:pPr>
              <w:keepNext/>
              <w:spacing w:after="0"/>
              <w:jc w:val="left"/>
              <w:rPr>
                <w:rFonts w:eastAsia="Times New Roman"/>
                <w:noProof/>
                <w:color w:val="000000" w:themeColor="text1"/>
                <w:sz w:val="20"/>
                <w:szCs w:val="20"/>
              </w:rPr>
            </w:pPr>
            <w:r>
              <w:rPr>
                <w:noProof/>
                <w:color w:val="000000" w:themeColor="text1"/>
                <w:sz w:val="20"/>
                <w:szCs w:val="20"/>
              </w:rPr>
              <w:t>Märke #16 muutmine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keepNext/>
              <w:spacing w:after="0"/>
              <w:jc w:val="left"/>
              <w:rPr>
                <w:rFonts w:eastAsia="Times New Roman"/>
                <w:noProof/>
                <w:color w:val="000000" w:themeColor="text1"/>
                <w:sz w:val="20"/>
                <w:szCs w:val="20"/>
              </w:rPr>
            </w:pPr>
            <w:r>
              <w:rPr>
                <w:noProof/>
                <w:color w:val="000000" w:themeColor="text1"/>
                <w:sz w:val="20"/>
                <w:szCs w:val="20"/>
              </w:rPr>
              <w:t>II – II</w:t>
            </w:r>
          </w:p>
          <w:p w:rsidR="00AA75D1" w:rsidRDefault="008A3FF4">
            <w:pPr>
              <w:keepNext/>
              <w:spacing w:after="0"/>
              <w:jc w:val="left"/>
              <w:rPr>
                <w:rFonts w:eastAsia="Times New Roman"/>
                <w:noProof/>
                <w:color w:val="000000" w:themeColor="text1"/>
                <w:sz w:val="20"/>
                <w:szCs w:val="20"/>
              </w:rPr>
            </w:pPr>
            <w:r>
              <w:rPr>
                <w:noProof/>
                <w:color w:val="000000" w:themeColor="text1"/>
                <w:sz w:val="20"/>
                <w:szCs w:val="20"/>
              </w:rPr>
              <w:t xml:space="preserve">Muuta II lisa kannet „tähistab seemneid, vilju, õli ja elustaimi” liigi </w:t>
            </w:r>
            <w:r>
              <w:rPr>
                <w:i/>
                <w:noProof/>
                <w:color w:val="000000" w:themeColor="text1"/>
                <w:sz w:val="20"/>
                <w:szCs w:val="20"/>
              </w:rPr>
              <w:t>Adansonia grandidieri</w:t>
            </w:r>
            <w:r>
              <w:rPr>
                <w:noProof/>
                <w:color w:val="000000" w:themeColor="text1"/>
                <w:sz w:val="20"/>
                <w:szCs w:val="20"/>
              </w:rPr>
              <w:t> kohta, jättes välja viite elustaimedele: „#16 tähistab seemneid, vilju ja õli“.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keepNext/>
              <w:spacing w:after="0"/>
              <w:jc w:val="left"/>
              <w:rPr>
                <w:rFonts w:eastAsia="Times New Roman"/>
                <w:noProof/>
                <w:color w:val="000000" w:themeColor="text1"/>
                <w:sz w:val="20"/>
                <w:szCs w:val="20"/>
              </w:rPr>
            </w:pPr>
            <w:r>
              <w:rPr>
                <w:noProof/>
                <w:color w:val="000000" w:themeColor="text1"/>
                <w:sz w:val="20"/>
                <w:szCs w:val="20"/>
              </w:rPr>
              <w:t>Šveits</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Toetada. Resolutsiooni 11.</w:t>
            </w:r>
            <w:r>
              <w:rPr>
                <w:noProof/>
                <w:color w:val="000000" w:themeColor="text1"/>
                <w:sz w:val="20"/>
                <w:szCs w:val="20"/>
              </w:rPr>
              <w:t>21 kriteeriumid on täidetud.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keepNext/>
              <w:spacing w:after="0"/>
              <w:jc w:val="center"/>
              <w:rPr>
                <w:noProof/>
                <w:color w:val="000000" w:themeColor="text1"/>
                <w:sz w:val="20"/>
                <w:szCs w:val="20"/>
              </w:rPr>
            </w:pPr>
            <w:r>
              <w:rPr>
                <w:noProof/>
                <w:color w:val="000000" w:themeColor="text1"/>
                <w:sz w:val="20"/>
                <w:szCs w:val="20"/>
              </w:rPr>
              <w:t>+</w:t>
            </w:r>
          </w:p>
        </w:tc>
      </w:tr>
      <w:tr w:rsidR="00AA75D1">
        <w:tc>
          <w:tcPr>
            <w:tcW w:w="817"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rFonts w:eastAsia="Times New Roman"/>
                <w:noProof/>
                <w:color w:val="000000" w:themeColor="text1"/>
                <w:sz w:val="20"/>
                <w:szCs w:val="20"/>
              </w:rPr>
            </w:pPr>
            <w:r>
              <w:rPr>
                <w:noProof/>
                <w:color w:val="000000" w:themeColor="text1"/>
                <w:sz w:val="20"/>
                <w:szCs w:val="20"/>
              </w:rPr>
              <w:t>57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i/>
                <w:noProof/>
                <w:color w:val="000000" w:themeColor="text1"/>
                <w:sz w:val="20"/>
                <w:szCs w:val="20"/>
              </w:rPr>
              <w:t>Cedrela</w:t>
            </w:r>
            <w:r>
              <w:rPr>
                <w:noProof/>
                <w:color w:val="000000" w:themeColor="text1"/>
                <w:sz w:val="20"/>
                <w:szCs w:val="20"/>
              </w:rPr>
              <w:t> spp</w:t>
            </w:r>
            <w:r>
              <w:rPr>
                <w:noProof/>
                <w:color w:val="000000" w:themeColor="text1"/>
                <w:sz w:val="20"/>
                <w:szCs w:val="20"/>
              </w:rPr>
              <w:br/>
            </w:r>
            <w:r>
              <w:rPr>
                <w:noProof/>
                <w:color w:val="000000" w:themeColor="text1"/>
                <w:sz w:val="20"/>
                <w:szCs w:val="20"/>
              </w:rPr>
              <w:lastRenderedPageBreak/>
              <w:t>(sedreelid)</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0 – II</w:t>
            </w:r>
          </w:p>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Kanda II lisasse</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rFonts w:eastAsia="Times New Roman"/>
                <w:noProof/>
                <w:color w:val="000000" w:themeColor="text1"/>
                <w:sz w:val="20"/>
                <w:szCs w:val="20"/>
              </w:rPr>
            </w:pPr>
            <w:r>
              <w:rPr>
                <w:noProof/>
                <w:color w:val="000000" w:themeColor="text1"/>
                <w:sz w:val="20"/>
                <w:szCs w:val="20"/>
              </w:rPr>
              <w:lastRenderedPageBreak/>
              <w:t>Ecuador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left"/>
              <w:rPr>
                <w:noProof/>
                <w:color w:val="000000" w:themeColor="text1"/>
                <w:sz w:val="20"/>
                <w:szCs w:val="20"/>
                <w:highlight w:val="yellow"/>
              </w:rPr>
            </w:pPr>
            <w:r>
              <w:rPr>
                <w:noProof/>
                <w:color w:val="000000" w:themeColor="text1"/>
                <w:sz w:val="20"/>
                <w:szCs w:val="20"/>
              </w:rPr>
              <w:t xml:space="preserve">Toetada, kui </w:t>
            </w:r>
            <w:r>
              <w:rPr>
                <w:noProof/>
                <w:color w:val="000000" w:themeColor="text1"/>
                <w:sz w:val="20"/>
                <w:szCs w:val="20"/>
              </w:rPr>
              <w:lastRenderedPageBreak/>
              <w:t xml:space="preserve">ettepanekusse lisatakse märge CITESi kontrolli piiramise kohta nende tarbeesemete üle, mis esimest korda ilmuvad rahvusvahelisse kaubandusse ekspordina </w:t>
            </w:r>
            <w:r>
              <w:rPr>
                <w:noProof/>
                <w:color w:val="000000" w:themeColor="text1"/>
                <w:sz w:val="20"/>
                <w:szCs w:val="20"/>
              </w:rPr>
              <w:t>levilariikidest (hinnata ja arutada ettepaneku esitajatega, kas sobiks nt märge #5 muudetud kujul), ja juhul kui ettepanek piirdub neotroopika populatsioonidega. Takson vastab II lisasse kandmise bioloogilistele kriteeriumidele (selged tõendid populatsioon</w:t>
            </w:r>
            <w:r>
              <w:rPr>
                <w:noProof/>
                <w:color w:val="000000" w:themeColor="text1"/>
                <w:sz w:val="20"/>
                <w:szCs w:val="20"/>
              </w:rPr>
              <w:t>i suuruse vähenemise kohta) ja kauplemiskriteeriumile (mõnede selle perekonna liikidega kaubeldakse rahvusvaheliselt suures ulatuses, kasutamist peetakse liigi säilimise seisukohast ohuks). EL on maailma mastaabis ebaoluline importija.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AA75D1" w:rsidRDefault="008A3FF4">
            <w:pPr>
              <w:spacing w:after="0"/>
              <w:jc w:val="center"/>
              <w:rPr>
                <w:noProof/>
                <w:color w:val="000000" w:themeColor="text1"/>
                <w:sz w:val="20"/>
                <w:szCs w:val="20"/>
              </w:rPr>
            </w:pPr>
            <w:r>
              <w:rPr>
                <w:noProof/>
                <w:color w:val="000000" w:themeColor="text1"/>
                <w:sz w:val="20"/>
                <w:szCs w:val="20"/>
              </w:rPr>
              <w:lastRenderedPageBreak/>
              <w:t>(+)</w:t>
            </w:r>
          </w:p>
        </w:tc>
      </w:tr>
    </w:tbl>
    <w:p w:rsidR="00AA75D1" w:rsidRDefault="00AA75D1">
      <w:pPr>
        <w:rPr>
          <w:noProof/>
          <w:color w:val="000000" w:themeColor="text1"/>
        </w:rPr>
      </w:pPr>
    </w:p>
    <w:p w:rsidR="00AA75D1" w:rsidRDefault="00AA75D1">
      <w:pPr>
        <w:rPr>
          <w:noProof/>
        </w:rPr>
        <w:sectPr w:rsidR="00AA75D1">
          <w:footerReference w:type="default" r:id="rId14"/>
          <w:footerReference w:type="first" r:id="rId15"/>
          <w:pgSz w:w="11907" w:h="16839"/>
          <w:pgMar w:top="1134" w:right="1417" w:bottom="1134" w:left="1417" w:header="709" w:footer="709" w:gutter="0"/>
          <w:pgNumType w:start="1"/>
          <w:cols w:space="720"/>
          <w:docGrid w:linePitch="360"/>
        </w:sectPr>
      </w:pPr>
    </w:p>
    <w:p w:rsidR="00AA75D1" w:rsidRDefault="008A3FF4">
      <w:pPr>
        <w:pStyle w:val="Annexetitre"/>
        <w:rPr>
          <w:noProof/>
        </w:rPr>
      </w:pPr>
      <w:r>
        <w:rPr>
          <w:noProof/>
        </w:rPr>
        <w:lastRenderedPageBreak/>
        <w:t xml:space="preserve"> LISA</w:t>
      </w:r>
    </w:p>
    <w:p w:rsidR="00AA75D1" w:rsidRDefault="00AA75D1">
      <w:pPr>
        <w:rPr>
          <w:noProof/>
        </w:rPr>
      </w:pPr>
    </w:p>
    <w:sectPr w:rsidR="00AA75D1">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5D1" w:rsidRDefault="008A3FF4">
      <w:pPr>
        <w:spacing w:before="0" w:after="0"/>
      </w:pPr>
      <w:r>
        <w:separator/>
      </w:r>
    </w:p>
  </w:endnote>
  <w:endnote w:type="continuationSeparator" w:id="0">
    <w:p w:rsidR="00AA75D1" w:rsidRDefault="008A3FF4">
      <w:pPr>
        <w:spacing w:before="0" w:after="0"/>
      </w:pPr>
      <w:r>
        <w:continuationSeparator/>
      </w:r>
    </w:p>
  </w:endnote>
  <w:endnote w:type="continuationNotice" w:id="1">
    <w:p w:rsidR="00AA75D1" w:rsidRDefault="00AA75D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5D1" w:rsidRDefault="008A3FF4">
    <w:pPr>
      <w:pStyle w:val="Footer"/>
      <w:rPr>
        <w:rFonts w:ascii="Arial" w:hAnsi="Arial" w:cs="Arial"/>
        <w:b/>
        <w:sz w:val="48"/>
      </w:rPr>
    </w:pPr>
    <w:r>
      <w:rPr>
        <w:rFonts w:ascii="Arial" w:hAnsi="Arial" w:cs="Arial"/>
        <w:b/>
        <w:sz w:val="48"/>
      </w:rPr>
      <w:t>ET</w:t>
    </w:r>
    <w:r>
      <w:rPr>
        <w:rFonts w:ascii="Arial" w:hAnsi="Arial" w:cs="Arial"/>
        <w:b/>
        <w:sz w:val="48"/>
      </w:rPr>
      <w:tab/>
    </w:r>
    <w:r>
      <w:rPr>
        <w:rFonts w:ascii="Arial" w:hAnsi="Arial" w:cs="Arial"/>
        <w:b/>
        <w:sz w:val="48"/>
      </w:rPr>
      <w:tab/>
    </w:r>
    <w:r>
      <w:tab/>
    </w:r>
    <w:r>
      <w:rPr>
        <w:rFonts w:ascii="Arial" w:hAnsi="Arial" w:cs="Arial"/>
        <w:b/>
        <w:sz w:val="48"/>
      </w:rPr>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5D1" w:rsidRDefault="008A3FF4">
    <w:pPr>
      <w:pStyle w:val="Footer"/>
      <w:rPr>
        <w:rFonts w:ascii="Arial" w:hAnsi="Arial" w:cs="Arial"/>
        <w:b/>
        <w:sz w:val="48"/>
      </w:rPr>
    </w:pPr>
    <w:r>
      <w:rPr>
        <w:rFonts w:ascii="Arial" w:hAnsi="Arial" w:cs="Arial"/>
        <w:b/>
        <w:sz w:val="48"/>
      </w:rPr>
      <w:t>ET</w:t>
    </w:r>
    <w:r>
      <w:rPr>
        <w:rFonts w:ascii="Arial" w:hAnsi="Arial" w:cs="Arial"/>
        <w:b/>
        <w:sz w:val="48"/>
      </w:rPr>
      <w:tab/>
    </w:r>
    <w:r>
      <w:fldChar w:fldCharType="begin"/>
    </w:r>
    <w:r>
      <w:instrText xml:space="preserve"> PAGE  \* MERGEFORMAT </w:instrText>
    </w:r>
    <w:r>
      <w:fldChar w:fldCharType="separate"/>
    </w:r>
    <w:r>
      <w:rPr>
        <w:noProof/>
      </w:rPr>
      <w:t>51</w:t>
    </w:r>
    <w:r>
      <w:fldChar w:fldCharType="end"/>
    </w:r>
    <w:r>
      <w:tab/>
    </w:r>
    <w:r>
      <w:tab/>
    </w:r>
    <w:r>
      <w:rPr>
        <w:rFonts w:ascii="Arial" w:hAnsi="Arial" w:cs="Arial"/>
        <w:b/>
        <w:sz w:val="48"/>
      </w:rPr>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5D1" w:rsidRDefault="00AA7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5D1" w:rsidRDefault="008A3FF4">
      <w:pPr>
        <w:spacing w:before="0" w:after="0"/>
      </w:pPr>
      <w:r>
        <w:separator/>
      </w:r>
    </w:p>
  </w:footnote>
  <w:footnote w:type="continuationSeparator" w:id="0">
    <w:p w:rsidR="00AA75D1" w:rsidRDefault="008A3FF4">
      <w:pPr>
        <w:spacing w:before="0" w:after="0"/>
      </w:pPr>
      <w:r>
        <w:continuationSeparator/>
      </w:r>
    </w:p>
  </w:footnote>
  <w:footnote w:type="continuationNotice" w:id="1">
    <w:p w:rsidR="00AA75D1" w:rsidRDefault="00AA75D1">
      <w:pPr>
        <w:spacing w:before="0" w:after="0"/>
      </w:pPr>
    </w:p>
  </w:footnote>
  <w:footnote w:id="2">
    <w:p w:rsidR="00AA75D1" w:rsidRDefault="008A3FF4">
      <w:pPr>
        <w:pStyle w:val="FootnoteText"/>
        <w:jc w:val="left"/>
      </w:pPr>
      <w:r>
        <w:rPr>
          <w:rStyle w:val="FootnoteReference"/>
        </w:rPr>
        <w:footnoteRef/>
      </w:r>
      <w:r>
        <w:tab/>
        <w:t>Sekretariaat = CITESi sekretariaat. Riigikoodid – vt ISO 3166.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03E6F560"/>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8D9E8F40"/>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D026EFAC"/>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61B27D28"/>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256A9DC8"/>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97ADA94"/>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B3E915E"/>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BD3895E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1E31087"/>
    <w:multiLevelType w:val="multilevel"/>
    <w:tmpl w:val="8F88C9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2FB9797E"/>
    <w:multiLevelType w:val="multilevel"/>
    <w:tmpl w:val="496651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FC26478"/>
    <w:multiLevelType w:val="multilevel"/>
    <w:tmpl w:val="3C923D54"/>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7"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15:restartNumberingAfterBreak="0">
    <w:nsid w:val="604D3559"/>
    <w:multiLevelType w:val="multilevel"/>
    <w:tmpl w:val="ACC69DB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3"/>
  </w:num>
  <w:num w:numId="10">
    <w:abstractNumId w:val="8"/>
  </w:num>
  <w:num w:numId="11">
    <w:abstractNumId w:val="22"/>
  </w:num>
  <w:num w:numId="12">
    <w:abstractNumId w:val="14"/>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5"/>
  </w:num>
  <w:num w:numId="16">
    <w:abstractNumId w:val="24"/>
  </w:num>
  <w:num w:numId="17">
    <w:abstractNumId w:val="12"/>
  </w:num>
  <w:num w:numId="18">
    <w:abstractNumId w:val="16"/>
  </w:num>
  <w:num w:numId="19">
    <w:abstractNumId w:val="10"/>
  </w:num>
  <w:num w:numId="20">
    <w:abstractNumId w:val="23"/>
  </w:num>
  <w:num w:numId="21">
    <w:abstractNumId w:val="9"/>
  </w:num>
  <w:num w:numId="22">
    <w:abstractNumId w:val="17"/>
  </w:num>
  <w:num w:numId="23">
    <w:abstractNumId w:val="19"/>
  </w:num>
  <w:num w:numId="24">
    <w:abstractNumId w:val="20"/>
  </w:num>
  <w:num w:numId="25">
    <w:abstractNumId w:val="11"/>
  </w:num>
  <w:num w:numId="26">
    <w:abstractNumId w:val="18"/>
  </w:num>
  <w:num w:numId="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oNotTrackFormatting/>
  <w:defaultTabStop w:val="720"/>
  <w:hyphenationZone w:val="425"/>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7:40"/>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1"/>
    <w:docVar w:name="DQCResult_StructureCheck" w:val="0;0"/>
    <w:docVar w:name="DQCResult_SuperfluousWhitespace" w:val="0;8"/>
    <w:docVar w:name="DQCResult_UnknownFonts" w:val="0;0"/>
    <w:docVar w:name="DQCResult_UnknownStyles" w:val="0;0"/>
    <w:docVar w:name="DQCStatus" w:val="Yellow"/>
    <w:docVar w:name="DQCVersion" w:val="3"/>
    <w:docVar w:name="DQCWithWarnings" w:val="0"/>
    <w:docVar w:name="LW_ACCOMPAGNANT" w:val="järgmise dokumendi juurde:"/>
    <w:docVar w:name="LW_ACCOMPAGNANT.CP" w:val="järgmise dokumendi juurde:"/>
    <w:docVar w:name="LW_ANNEX_NBR_FIRST" w:val="2"/>
    <w:docVar w:name="LW_ANNEX_NBR_LAST" w:val="2"/>
    <w:docVar w:name="LW_ANNEX_UNIQUE" w:val="0"/>
    <w:docVar w:name="LW_CORRIGENDUM" w:val="&lt;UNUSED&gt;"/>
    <w:docVar w:name="LW_COVERPAGE_EXISTS" w:val="True"/>
    <w:docVar w:name="LW_COVERPAGE_GUID" w:val="0F230CCF-2A40-41DF-8871-C31D26230DAA"/>
    <w:docVar w:name="LW_COVERPAGE_TYPE" w:val="1"/>
    <w:docVar w:name="LW_CROSSREFERENCE" w:val="&lt;UNUSED&gt;"/>
    <w:docVar w:name="LW_DocType" w:val="ANNEX"/>
    <w:docVar w:name="LW_EMISSION" w:val="21.3.2019"/>
    <w:docVar w:name="LW_EMISSION_ISODATE" w:val="2019-03-21"/>
    <w:docVar w:name="LW_EMISSION_LOCATION" w:val="BRX"/>
    <w:docVar w:name="LW_EMISSION_PREFIX" w:val="Brüssel,"/>
    <w:docVar w:name="LW_EMISSION_SUFFIX" w:val=" "/>
    <w:docVar w:name="LW_ID_DOCSTRUCTURE" w:val="COM/ANNEX"/>
    <w:docVar w:name="LW_ID_DOCTYPE" w:val="SG-017"/>
    <w:docVar w:name="LW_LANGUE" w:val="ET"/>
    <w:docVar w:name="LW_LEVEL_OF_SENSITIVITY" w:val="Standard treatment"/>
    <w:docVar w:name="LW_NOM.INST" w:val="EUROOPA KOMISJON"/>
    <w:docVar w:name="LW_NOM.INST_JOINTDOC" w:val="&lt;EMPTY&gt;"/>
    <w:docVar w:name="LW_OBJETACTEPRINCIPAL" w:val="seisukoha kohta, mis võetakse Euroopa Liidu nimel ohustatud looduslike looma- ja taimeliikidega rahvusvahelise kauplemise konventsiooni (CITES) osaliste konverentsi 18. istungil"/>
    <w:docVar w:name="LW_OBJETACTEPRINCIPAL.CP" w:val="seisukoha kohta, mis võetakse Euroopa Liidu nimel ohustatud looduslike looma- ja taimeliikidega rahvusvahelise kauplemise konventsiooni (CITES) osaliste konverentsi 18. istungil"/>
    <w:docVar w:name="LW_PART_NBR" w:val="1"/>
    <w:docVar w:name="LW_PART_NBR_TOTAL" w:val="1"/>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LISA"/>
    <w:docVar w:name="LW_TYPE.DOC.CP" w:val="LISA"/>
    <w:docVar w:name="LW_TYPEACTEPRINCIPAL" w:val="Ettepanek: NÕUKOGU OTSUS"/>
    <w:docVar w:name="LW_TYPEACTEPRINCIPAL.CP" w:val="Ettepanek: NÕUKOGU OTSUS"/>
  </w:docVars>
  <w:rsids>
    <w:rsidRoot w:val="00AA75D1"/>
    <w:rsid w:val="008A3FF4"/>
    <w:rsid w:val="00AA7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BFF7F383-51B2-4685-8DC1-A64AFD140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t-EE"/>
    </w:rPr>
  </w:style>
  <w:style w:type="paragraph" w:styleId="Heading1">
    <w:name w:val="heading 1"/>
    <w:basedOn w:val="Normal"/>
    <w:next w:val="Text1"/>
    <w:link w:val="Heading1Char"/>
    <w:uiPriority w:val="9"/>
    <w:qFormat/>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0"/>
      </w:numPr>
      <w:outlineLvl w:val="3"/>
    </w:pPr>
    <w:rPr>
      <w:rFonts w:eastAsiaTheme="majorEastAsia"/>
      <w:bCs/>
      <w:iCs/>
    </w:rPr>
  </w:style>
  <w:style w:type="paragraph" w:styleId="Heading5">
    <w:name w:val="heading 5"/>
    <w:basedOn w:val="Normal"/>
    <w:link w:val="Heading5Char"/>
    <w:uiPriority w:val="9"/>
    <w:qFormat/>
    <w:pPr>
      <w:spacing w:before="240"/>
      <w:jc w:val="left"/>
      <w:outlineLvl w:val="4"/>
    </w:pPr>
    <w:rPr>
      <w:rFonts w:eastAsia="Times New Roman"/>
      <w:b/>
      <w:bCs/>
      <w:sz w:val="20"/>
      <w:szCs w:val="20"/>
      <w:lang w:eastAsia="en-GB"/>
    </w:rPr>
  </w:style>
  <w:style w:type="paragraph" w:styleId="Heading6">
    <w:name w:val="heading 6"/>
    <w:basedOn w:val="Normal"/>
    <w:link w:val="Heading6Char"/>
    <w:uiPriority w:val="9"/>
    <w:qFormat/>
    <w:pPr>
      <w:spacing w:before="240"/>
      <w:jc w:val="left"/>
      <w:outlineLvl w:val="5"/>
    </w:pPr>
    <w:rPr>
      <w:rFonts w:eastAsia="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lang w:val="et-EE" w:eastAsia="en-GB"/>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val="et-EE" w:eastAsia="en-GB"/>
    </w:rPr>
  </w:style>
  <w:style w:type="character" w:customStyle="1" w:styleId="HTMLPreformattedChar">
    <w:name w:val="HTML Preformatted Char"/>
    <w:basedOn w:val="DefaultParagraphFont"/>
    <w:link w:val="HTMLPreformatted"/>
    <w:uiPriority w:val="99"/>
    <w:semiHidden/>
    <w:rPr>
      <w:rFonts w:ascii="Consolas" w:eastAsia="Times New Roman" w:hAnsi="Consolas" w:cs="Consolas"/>
      <w:sz w:val="18"/>
      <w:szCs w:val="18"/>
      <w:shd w:val="clear" w:color="auto" w:fill="F2F2F2"/>
      <w:lang w:eastAsia="en-GB"/>
    </w:rPr>
  </w:style>
  <w:style w:type="paragraph" w:styleId="HTMLPreformatted">
    <w:name w:val="HTML Preformatted"/>
    <w:basedOn w:val="Normal"/>
    <w:link w:val="HTMLPreformattedChar"/>
    <w:uiPriority w:val="99"/>
    <w:semiHidden/>
    <w:unhideWhenUsed/>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jc w:val="left"/>
    </w:pPr>
    <w:rPr>
      <w:rFonts w:ascii="Consolas" w:eastAsia="Times New Roman" w:hAnsi="Consolas" w:cs="Consolas"/>
      <w:sz w:val="18"/>
      <w:szCs w:val="18"/>
      <w:lang w:eastAsia="en-GB"/>
    </w:rPr>
  </w:style>
  <w:style w:type="character" w:customStyle="1" w:styleId="HTMLPreformattedChar1">
    <w:name w:val="HTML Preformatted Char1"/>
    <w:basedOn w:val="DefaultParagraphFont"/>
    <w:uiPriority w:val="99"/>
    <w:semiHidden/>
    <w:rPr>
      <w:rFonts w:ascii="Consolas" w:hAnsi="Consolas" w:cs="Consolas"/>
      <w:sz w:val="20"/>
      <w:szCs w:val="20"/>
      <w:lang w:val="et-EE"/>
    </w:rPr>
  </w:style>
  <w:style w:type="paragraph" w:customStyle="1" w:styleId="Annexetitreacte">
    <w:name w:val="Annexe titre (acte)"/>
    <w:basedOn w:val="Normal"/>
    <w:next w:val="Normal"/>
    <w:pPr>
      <w:jc w:val="center"/>
    </w:pPr>
    <w:rPr>
      <w:rFonts w:eastAsia="Times New Roman"/>
      <w:b/>
      <w:szCs w:val="24"/>
      <w:u w:val="single"/>
      <w:lang w:eastAsia="de-DE"/>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table" w:styleId="TableGrid">
    <w:name w:val="Table Grid"/>
    <w:basedOn w:val="TableNormal"/>
    <w:uiPriority w:val="59"/>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t-E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t-E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t-EE"/>
    </w:rPr>
  </w:style>
  <w:style w:type="character" w:styleId="Hyperlink">
    <w:name w:val="Hyperlink"/>
    <w:basedOn w:val="DefaultParagraphFont"/>
    <w:uiPriority w:val="99"/>
    <w:unhideWhenUsed/>
    <w:rPr>
      <w:color w:val="0000FF" w:themeColor="hyperlink"/>
      <w:u w:val="single"/>
    </w:rPr>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customStyle="1" w:styleId="Bodytext2">
    <w:name w:val="Body text (2)"/>
    <w:basedOn w:val="DefaultParagraphFont"/>
    <w:rPr>
      <w:rFonts w:ascii="Arial" w:eastAsia="Arial" w:hAnsi="Arial" w:cs="Arial"/>
      <w:b w:val="0"/>
      <w:bCs w:val="0"/>
      <w:i w:val="0"/>
      <w:iCs w:val="0"/>
      <w:smallCaps w:val="0"/>
      <w:strike w:val="0"/>
      <w:color w:val="000000"/>
      <w:spacing w:val="0"/>
      <w:w w:val="100"/>
      <w:position w:val="0"/>
      <w:sz w:val="19"/>
      <w:szCs w:val="19"/>
      <w:u w:val="none"/>
      <w:lang w:val="et-EE" w:eastAsia="en-US" w:bidi="en-US"/>
    </w:rPr>
  </w:style>
  <w:style w:type="character" w:customStyle="1" w:styleId="Bodytext20">
    <w:name w:val="Body text (2)_"/>
    <w:basedOn w:val="DefaultParagraphFont"/>
    <w:rPr>
      <w:rFonts w:ascii="Arial" w:eastAsia="Arial" w:hAnsi="Arial" w:cs="Arial"/>
      <w:b w:val="0"/>
      <w:bCs w:val="0"/>
      <w:i w:val="0"/>
      <w:iCs w:val="0"/>
      <w:smallCaps w:val="0"/>
      <w:strike w:val="0"/>
      <w:sz w:val="19"/>
      <w:szCs w:val="19"/>
      <w:u w:val="none"/>
    </w:rPr>
  </w:style>
  <w:style w:type="character" w:customStyle="1" w:styleId="Bodytext2Italic">
    <w:name w:val="Body text (2) + Italic"/>
    <w:basedOn w:val="Bodytext20"/>
    <w:rPr>
      <w:rFonts w:ascii="Arial" w:eastAsia="Arial" w:hAnsi="Arial" w:cs="Arial"/>
      <w:b w:val="0"/>
      <w:bCs w:val="0"/>
      <w:i/>
      <w:iCs/>
      <w:smallCaps w:val="0"/>
      <w:strike w:val="0"/>
      <w:color w:val="000000"/>
      <w:spacing w:val="0"/>
      <w:w w:val="100"/>
      <w:position w:val="0"/>
      <w:sz w:val="19"/>
      <w:szCs w:val="19"/>
      <w:u w:val="none"/>
      <w:lang w:val="et-EE" w:eastAsia="en-US" w:bidi="en-U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t-E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t-E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4"/>
      </w:numPr>
    </w:pPr>
  </w:style>
  <w:style w:type="paragraph" w:customStyle="1" w:styleId="Tiret1">
    <w:name w:val="Tiret 1"/>
    <w:basedOn w:val="Point1"/>
    <w:pPr>
      <w:numPr>
        <w:numId w:val="15"/>
      </w:numPr>
    </w:pPr>
  </w:style>
  <w:style w:type="paragraph" w:customStyle="1" w:styleId="Tiret2">
    <w:name w:val="Tiret 2"/>
    <w:basedOn w:val="Point2"/>
    <w:pPr>
      <w:numPr>
        <w:numId w:val="16"/>
      </w:numPr>
    </w:pPr>
  </w:style>
  <w:style w:type="paragraph" w:customStyle="1" w:styleId="Tiret3">
    <w:name w:val="Tiret 3"/>
    <w:basedOn w:val="Point3"/>
    <w:pPr>
      <w:numPr>
        <w:numId w:val="17"/>
      </w:numPr>
    </w:pPr>
  </w:style>
  <w:style w:type="paragraph" w:customStyle="1" w:styleId="Tiret4">
    <w:name w:val="Tiret 4"/>
    <w:basedOn w:val="Point4"/>
    <w:pPr>
      <w:numPr>
        <w:numId w:val="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9"/>
      </w:numPr>
    </w:pPr>
  </w:style>
  <w:style w:type="paragraph" w:customStyle="1" w:styleId="NumPar2">
    <w:name w:val="NumPar 2"/>
    <w:basedOn w:val="Normal"/>
    <w:next w:val="Text1"/>
    <w:pPr>
      <w:numPr>
        <w:ilvl w:val="1"/>
        <w:numId w:val="19"/>
      </w:numPr>
    </w:pPr>
  </w:style>
  <w:style w:type="paragraph" w:customStyle="1" w:styleId="NumPar3">
    <w:name w:val="NumPar 3"/>
    <w:basedOn w:val="Normal"/>
    <w:next w:val="Text1"/>
    <w:pPr>
      <w:numPr>
        <w:ilvl w:val="2"/>
        <w:numId w:val="19"/>
      </w:numPr>
    </w:pPr>
  </w:style>
  <w:style w:type="paragraph" w:customStyle="1" w:styleId="NumPar4">
    <w:name w:val="NumPar 4"/>
    <w:basedOn w:val="Normal"/>
    <w:next w:val="Text1"/>
    <w:pPr>
      <w:numPr>
        <w:ilvl w:val="3"/>
        <w:numId w:val="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1"/>
      </w:numPr>
    </w:pPr>
  </w:style>
  <w:style w:type="paragraph" w:customStyle="1" w:styleId="Point1number">
    <w:name w:val="Point 1 (number)"/>
    <w:basedOn w:val="Normal"/>
    <w:pPr>
      <w:numPr>
        <w:ilvl w:val="2"/>
        <w:numId w:val="21"/>
      </w:numPr>
    </w:pPr>
  </w:style>
  <w:style w:type="paragraph" w:customStyle="1" w:styleId="Point2number">
    <w:name w:val="Point 2 (number)"/>
    <w:basedOn w:val="Normal"/>
    <w:pPr>
      <w:numPr>
        <w:ilvl w:val="4"/>
        <w:numId w:val="21"/>
      </w:numPr>
    </w:pPr>
  </w:style>
  <w:style w:type="paragraph" w:customStyle="1" w:styleId="Point3number">
    <w:name w:val="Point 3 (number)"/>
    <w:basedOn w:val="Normal"/>
    <w:pPr>
      <w:numPr>
        <w:ilvl w:val="6"/>
        <w:numId w:val="21"/>
      </w:numPr>
    </w:pPr>
  </w:style>
  <w:style w:type="paragraph" w:customStyle="1" w:styleId="Point0letter">
    <w:name w:val="Point 0 (letter)"/>
    <w:basedOn w:val="Normal"/>
    <w:pPr>
      <w:numPr>
        <w:ilvl w:val="1"/>
        <w:numId w:val="21"/>
      </w:numPr>
    </w:pPr>
  </w:style>
  <w:style w:type="paragraph" w:customStyle="1" w:styleId="Point1letter">
    <w:name w:val="Point 1 (letter)"/>
    <w:basedOn w:val="Normal"/>
    <w:pPr>
      <w:numPr>
        <w:ilvl w:val="3"/>
        <w:numId w:val="21"/>
      </w:numPr>
    </w:pPr>
  </w:style>
  <w:style w:type="paragraph" w:customStyle="1" w:styleId="Point2letter">
    <w:name w:val="Point 2 (letter)"/>
    <w:basedOn w:val="Normal"/>
    <w:pPr>
      <w:numPr>
        <w:ilvl w:val="5"/>
        <w:numId w:val="21"/>
      </w:numPr>
    </w:pPr>
  </w:style>
  <w:style w:type="paragraph" w:customStyle="1" w:styleId="Point3letter">
    <w:name w:val="Point 3 (letter)"/>
    <w:basedOn w:val="Normal"/>
    <w:pPr>
      <w:numPr>
        <w:ilvl w:val="7"/>
        <w:numId w:val="21"/>
      </w:numPr>
    </w:pPr>
  </w:style>
  <w:style w:type="paragraph" w:customStyle="1" w:styleId="Point4letter">
    <w:name w:val="Point 4 (letter)"/>
    <w:basedOn w:val="Normal"/>
    <w:pPr>
      <w:numPr>
        <w:ilvl w:val="8"/>
        <w:numId w:val="21"/>
      </w:numPr>
    </w:pPr>
  </w:style>
  <w:style w:type="paragraph" w:customStyle="1" w:styleId="Bullet0">
    <w:name w:val="Bullet 0"/>
    <w:basedOn w:val="Normal"/>
    <w:pPr>
      <w:numPr>
        <w:numId w:val="22"/>
      </w:numPr>
    </w:pPr>
  </w:style>
  <w:style w:type="paragraph" w:customStyle="1" w:styleId="Bullet1">
    <w:name w:val="Bullet 1"/>
    <w:basedOn w:val="Normal"/>
    <w:pPr>
      <w:numPr>
        <w:numId w:val="23"/>
      </w:numPr>
    </w:pPr>
  </w:style>
  <w:style w:type="paragraph" w:customStyle="1" w:styleId="Bullet2">
    <w:name w:val="Bullet 2"/>
    <w:basedOn w:val="Normal"/>
    <w:pPr>
      <w:numPr>
        <w:numId w:val="24"/>
      </w:numPr>
    </w:pPr>
  </w:style>
  <w:style w:type="paragraph" w:customStyle="1" w:styleId="Bullet3">
    <w:name w:val="Bullet 3"/>
    <w:basedOn w:val="Normal"/>
    <w:pPr>
      <w:numPr>
        <w:numId w:val="25"/>
      </w:numPr>
    </w:pPr>
  </w:style>
  <w:style w:type="paragraph" w:customStyle="1" w:styleId="Bullet4">
    <w:name w:val="Bullet 4"/>
    <w:basedOn w:val="Normal"/>
    <w:pPr>
      <w:numPr>
        <w:numId w:val="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943">
      <w:bodyDiv w:val="1"/>
      <w:marLeft w:val="0"/>
      <w:marRight w:val="0"/>
      <w:marTop w:val="0"/>
      <w:marBottom w:val="0"/>
      <w:divBdr>
        <w:top w:val="none" w:sz="0" w:space="0" w:color="auto"/>
        <w:left w:val="none" w:sz="0" w:space="0" w:color="auto"/>
        <w:bottom w:val="none" w:sz="0" w:space="0" w:color="auto"/>
        <w:right w:val="none" w:sz="0" w:space="0" w:color="auto"/>
      </w:divBdr>
    </w:div>
    <w:div w:id="149715907">
      <w:bodyDiv w:val="1"/>
      <w:marLeft w:val="0"/>
      <w:marRight w:val="0"/>
      <w:marTop w:val="0"/>
      <w:marBottom w:val="0"/>
      <w:divBdr>
        <w:top w:val="none" w:sz="0" w:space="0" w:color="auto"/>
        <w:left w:val="none" w:sz="0" w:space="0" w:color="auto"/>
        <w:bottom w:val="none" w:sz="0" w:space="0" w:color="auto"/>
        <w:right w:val="none" w:sz="0" w:space="0" w:color="auto"/>
      </w:divBdr>
    </w:div>
    <w:div w:id="225653621">
      <w:bodyDiv w:val="1"/>
      <w:marLeft w:val="0"/>
      <w:marRight w:val="0"/>
      <w:marTop w:val="0"/>
      <w:marBottom w:val="0"/>
      <w:divBdr>
        <w:top w:val="none" w:sz="0" w:space="0" w:color="auto"/>
        <w:left w:val="none" w:sz="0" w:space="0" w:color="auto"/>
        <w:bottom w:val="none" w:sz="0" w:space="0" w:color="auto"/>
        <w:right w:val="none" w:sz="0" w:space="0" w:color="auto"/>
      </w:divBdr>
    </w:div>
    <w:div w:id="697775398">
      <w:bodyDiv w:val="1"/>
      <w:marLeft w:val="0"/>
      <w:marRight w:val="0"/>
      <w:marTop w:val="0"/>
      <w:marBottom w:val="0"/>
      <w:divBdr>
        <w:top w:val="none" w:sz="0" w:space="0" w:color="auto"/>
        <w:left w:val="none" w:sz="0" w:space="0" w:color="auto"/>
        <w:bottom w:val="none" w:sz="0" w:space="0" w:color="auto"/>
        <w:right w:val="none" w:sz="0" w:space="0" w:color="auto"/>
      </w:divBdr>
    </w:div>
    <w:div w:id="1350912735">
      <w:bodyDiv w:val="1"/>
      <w:marLeft w:val="0"/>
      <w:marRight w:val="0"/>
      <w:marTop w:val="0"/>
      <w:marBottom w:val="0"/>
      <w:divBdr>
        <w:top w:val="none" w:sz="0" w:space="0" w:color="auto"/>
        <w:left w:val="none" w:sz="0" w:space="0" w:color="auto"/>
        <w:bottom w:val="none" w:sz="0" w:space="0" w:color="auto"/>
        <w:right w:val="none" w:sz="0" w:space="0" w:color="auto"/>
      </w:divBdr>
    </w:div>
    <w:div w:id="1524709796">
      <w:bodyDiv w:val="1"/>
      <w:marLeft w:val="0"/>
      <w:marRight w:val="0"/>
      <w:marTop w:val="0"/>
      <w:marBottom w:val="0"/>
      <w:divBdr>
        <w:top w:val="none" w:sz="0" w:space="0" w:color="auto"/>
        <w:left w:val="none" w:sz="0" w:space="0" w:color="auto"/>
        <w:bottom w:val="none" w:sz="0" w:space="0" w:color="auto"/>
        <w:right w:val="none" w:sz="0" w:space="0" w:color="auto"/>
      </w:divBdr>
    </w:div>
    <w:div w:id="1574730257">
      <w:bodyDiv w:val="1"/>
      <w:marLeft w:val="0"/>
      <w:marRight w:val="0"/>
      <w:marTop w:val="0"/>
      <w:marBottom w:val="0"/>
      <w:divBdr>
        <w:top w:val="none" w:sz="0" w:space="0" w:color="auto"/>
        <w:left w:val="none" w:sz="0" w:space="0" w:color="auto"/>
        <w:bottom w:val="none" w:sz="0" w:space="0" w:color="auto"/>
        <w:right w:val="none" w:sz="0" w:space="0" w:color="auto"/>
      </w:divBdr>
    </w:div>
    <w:div w:id="1579246350">
      <w:bodyDiv w:val="1"/>
      <w:marLeft w:val="0"/>
      <w:marRight w:val="0"/>
      <w:marTop w:val="0"/>
      <w:marBottom w:val="0"/>
      <w:divBdr>
        <w:top w:val="none" w:sz="0" w:space="0" w:color="auto"/>
        <w:left w:val="none" w:sz="0" w:space="0" w:color="auto"/>
        <w:bottom w:val="none" w:sz="0" w:space="0" w:color="auto"/>
        <w:right w:val="none" w:sz="0" w:space="0" w:color="auto"/>
      </w:divBdr>
    </w:div>
    <w:div w:id="1856453387">
      <w:bodyDiv w:val="1"/>
      <w:marLeft w:val="0"/>
      <w:marRight w:val="0"/>
      <w:marTop w:val="0"/>
      <w:marBottom w:val="0"/>
      <w:divBdr>
        <w:top w:val="none" w:sz="0" w:space="0" w:color="auto"/>
        <w:left w:val="none" w:sz="0" w:space="0" w:color="auto"/>
        <w:bottom w:val="none" w:sz="0" w:space="0" w:color="auto"/>
        <w:right w:val="none" w:sz="0" w:space="0" w:color="auto"/>
      </w:divBdr>
    </w:div>
    <w:div w:id="202069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ites.org/sites/default/files/eng/cop/18/doc/E-CoP18-050c.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4282F-8F85-4365-834C-34152E3D2F2A}">
  <ds:schemaRefs>
    <ds:schemaRef ds:uri="http://schemas.microsoft.com/sharepoint/v3/contenttype/forms"/>
  </ds:schemaRefs>
</ds:datastoreItem>
</file>

<file path=customXml/itemProps2.xml><?xml version="1.0" encoding="utf-8"?>
<ds:datastoreItem xmlns:ds="http://schemas.openxmlformats.org/officeDocument/2006/customXml" ds:itemID="{4B71C283-A767-4224-B3BA-5E9FF9BA687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77B779E-884F-4AFD-9F89-21F0A3255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8145E90-166E-4A04-B2E1-28BF7863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3</TotalTime>
  <Pages>52</Pages>
  <Words>8757</Words>
  <Characters>61569</Characters>
  <Application>Microsoft Office Word</Application>
  <DocSecurity>0</DocSecurity>
  <Lines>4397</Lines>
  <Paragraphs>1352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9</cp:revision>
  <dcterms:created xsi:type="dcterms:W3CDTF">2019-04-03T16:45:00Z</dcterms:created>
  <dcterms:modified xsi:type="dcterms:W3CDTF">2019-04-05T13:31:00Z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ContentTypeId">
    <vt:lpwstr>0x010100135AA856C34D8E478D8680B911FA8A3D</vt:lpwstr>
  </property>
  <property fmtid="{D5CDD505-2E9C-101B-9397-08002B2CF9AE}" pid="4" name="IsMyDocuments">
    <vt:bool>true</vt:bool>
  </property>
  <property fmtid="{D5CDD505-2E9C-101B-9397-08002B2CF9AE}" pid="5" name="Category">
    <vt:lpwstr>COM/ANNEX</vt:lpwstr>
  </property>
  <property fmtid="{D5CDD505-2E9C-101B-9397-08002B2CF9AE}" pid="6" name="Level of sensitivity">
    <vt:lpwstr>Standard treatment</vt:lpwstr>
  </property>
  <property fmtid="{D5CDD505-2E9C-101B-9397-08002B2CF9AE}" pid="7" name="First annex">
    <vt:lpwstr>2</vt:lpwstr>
  </property>
  <property fmtid="{D5CDD505-2E9C-101B-9397-08002B2CF9AE}" pid="8" name="Last annex">
    <vt:lpwstr>2</vt:lpwstr>
  </property>
  <property fmtid="{D5CDD505-2E9C-101B-9397-08002B2CF9AE}" pid="9" name="Unique annex">
    <vt:lpwstr>0</vt:lpwstr>
  </property>
  <property fmtid="{D5CDD505-2E9C-101B-9397-08002B2CF9AE}" pid="10" name="Part">
    <vt:lpwstr>1</vt:lpwstr>
  </property>
  <property fmtid="{D5CDD505-2E9C-101B-9397-08002B2CF9AE}" pid="11" name="Total parts">
    <vt:lpwstr>1</vt:lpwstr>
  </property>
  <property fmtid="{D5CDD505-2E9C-101B-9397-08002B2CF9AE}" pid="12" name="LWTemplateID">
    <vt:lpwstr>SG-017</vt:lpwstr>
  </property>
  <property fmtid="{D5CDD505-2E9C-101B-9397-08002B2CF9AE}" pid="13" name="DQCStatus">
    <vt:lpwstr>Yellow (DQC version 03)</vt:lpwstr>
  </property>
  <property name="OP_sanitized" fmtid="{D5CDD505-2E9C-101B-9397-08002B2CF9AE}" pid="14">
    <vt:lpwstr>True</vt:lpwstr>
  </property>
</Properties>
</file>