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alt="4A69B1B40FC144D8B9F99B4730E2BA1C" style="width:451pt;height:406.85pt">
            <v:imagedata r:id="rId8" o:title=""/>
          </v:shape>
        </w:pict>
      </w:r>
    </w:p>
    <w:bookmarkEnd w:id="0"/>
    <w:p>
      <w:pPr>
        <w:rPr>
          <w:noProof/>
        </w:rPr>
        <w:sectPr>
          <w:headerReference w:type="even" r:id="rId9"/>
          <w:headerReference w:type="default" r:id="rId10"/>
          <w:footerReference w:type="even" r:id="rId11"/>
          <w:footerReference w:type="default" r:id="rId12"/>
          <w:headerReference w:type="first" r:id="rId13"/>
          <w:footerReference w:type="first" r:id="rId14"/>
          <w:pgSz w:w="11906" w:h="16838"/>
          <w:pgMar w:top="1134" w:right="1417" w:bottom="1134" w:left="1417" w:header="709" w:footer="709" w:gutter="0"/>
          <w:pgNumType w:start="0"/>
          <w:cols w:space="720"/>
          <w:docGrid w:linePitch="360"/>
        </w:sectPr>
      </w:pPr>
    </w:p>
    <w:p>
      <w:pPr>
        <w:rPr>
          <w:noProof/>
        </w:rPr>
      </w:pPr>
      <w:bookmarkStart w:id="1" w:name="_GoBack"/>
      <w:bookmarkEnd w:id="1"/>
    </w:p>
    <w:tbl>
      <w:tblPr>
        <w:tblW w:w="9644" w:type="dxa"/>
        <w:tblInd w:w="-3" w:type="dxa"/>
        <w:tblLayout w:type="fixed"/>
        <w:tblCellMar>
          <w:left w:w="0" w:type="dxa"/>
          <w:right w:w="0" w:type="dxa"/>
        </w:tblCellMar>
        <w:tblLook w:val="04A0" w:firstRow="1" w:lastRow="0" w:firstColumn="1" w:lastColumn="0" w:noHBand="0" w:noVBand="1"/>
      </w:tblPr>
      <w:tblGrid>
        <w:gridCol w:w="1705"/>
        <w:gridCol w:w="2126"/>
        <w:gridCol w:w="1842"/>
        <w:gridCol w:w="3971"/>
      </w:tblGrid>
      <w:tr>
        <w:trPr>
          <w:cantSplit/>
          <w:trHeight w:hRule="exact" w:val="1644"/>
        </w:trPr>
        <w:tc>
          <w:tcPr>
            <w:tcW w:w="1705" w:type="dxa"/>
            <w:vAlign w:val="bottom"/>
            <w:hideMark/>
          </w:tcPr>
          <w:p>
            <w:pPr>
              <w:pStyle w:val="EntInstit"/>
              <w:tabs>
                <w:tab w:val="left" w:pos="851"/>
                <w:tab w:val="left" w:pos="1857"/>
                <w:tab w:val="left" w:pos="2659"/>
              </w:tabs>
              <w:ind w:right="-284"/>
              <w:jc w:val="left"/>
              <w:rPr>
                <w:rFonts w:ascii="Arial" w:hAnsi="Arial"/>
                <w:noProof/>
                <w:sz w:val="23"/>
              </w:rPr>
            </w:pPr>
            <w:r>
              <w:rPr>
                <w:noProof/>
                <w:lang w:val="en-US" w:eastAsia="en-US"/>
              </w:rPr>
              <w:drawing>
                <wp:anchor distT="0" distB="0" distL="114300" distR="114300" simplePos="0" relativeHeight="251659264" behindDoc="0" locked="0" layoutInCell="1" allowOverlap="1">
                  <wp:simplePos x="0" y="0"/>
                  <wp:positionH relativeFrom="column">
                    <wp:posOffset>5080</wp:posOffset>
                  </wp:positionH>
                  <wp:positionV relativeFrom="page">
                    <wp:posOffset>36195</wp:posOffset>
                  </wp:positionV>
                  <wp:extent cx="1084580" cy="893445"/>
                  <wp:effectExtent l="0" t="0" r="1270" b="1905"/>
                  <wp:wrapTopAndBottom/>
                  <wp:docPr id="51" name="Logo_EuropeanUnion" descr="New-Logo-CropResizeMarginRightAndBottomWhiteBackgroun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EuropeanUnion" descr="New-Logo-CropResizeMarginRightAndBottomWhiteBackground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84580" cy="893445"/>
                          </a:xfrm>
                          <a:prstGeom prst="rect">
                            <a:avLst/>
                          </a:prstGeom>
                          <a:noFill/>
                        </pic:spPr>
                      </pic:pic>
                    </a:graphicData>
                  </a:graphic>
                  <wp14:sizeRelH relativeFrom="page">
                    <wp14:pctWidth>0</wp14:pctWidth>
                  </wp14:sizeRelH>
                  <wp14:sizeRelV relativeFrom="page">
                    <wp14:pctHeight>0</wp14:pctHeight>
                  </wp14:sizeRelV>
                </wp:anchor>
              </w:drawing>
            </w:r>
          </w:p>
        </w:tc>
        <w:tc>
          <w:tcPr>
            <w:tcW w:w="3968" w:type="dxa"/>
            <w:gridSpan w:val="2"/>
            <w:vAlign w:val="bottom"/>
          </w:tcPr>
          <w:p>
            <w:pPr>
              <w:pStyle w:val="EntInstit"/>
              <w:spacing w:line="216" w:lineRule="auto"/>
              <w:jc w:val="left"/>
              <w:rPr>
                <w:rFonts w:ascii="Arial" w:hAnsi="Arial"/>
                <w:noProof/>
                <w:color w:val="4D4D4D"/>
                <w:sz w:val="23"/>
              </w:rPr>
            </w:pPr>
            <w:bookmarkStart w:id="2" w:name="Entete"/>
            <w:bookmarkEnd w:id="2"/>
            <w:r>
              <w:rPr>
                <w:rFonts w:ascii="Arial" w:hAnsi="Arial"/>
                <w:noProof/>
                <w:color w:val="4D4D4D"/>
                <w:sz w:val="23"/>
              </w:rPr>
              <w:t>Az Európai Unió</w:t>
            </w:r>
          </w:p>
          <w:p>
            <w:pPr>
              <w:pStyle w:val="EntInstit"/>
              <w:spacing w:line="216" w:lineRule="auto"/>
              <w:jc w:val="left"/>
              <w:rPr>
                <w:rFonts w:ascii="Arial" w:hAnsi="Arial"/>
                <w:noProof/>
                <w:color w:val="4D4D4D"/>
                <w:sz w:val="23"/>
              </w:rPr>
            </w:pPr>
            <w:r>
              <w:rPr>
                <w:rFonts w:ascii="Arial" w:hAnsi="Arial"/>
                <w:noProof/>
                <w:color w:val="4D4D4D"/>
                <w:sz w:val="23"/>
              </w:rPr>
              <w:t>Tanácsa</w:t>
            </w:r>
          </w:p>
          <w:p>
            <w:pPr>
              <w:pStyle w:val="EntInstit"/>
              <w:jc w:val="left"/>
              <w:rPr>
                <w:rFonts w:ascii="Arial" w:hAnsi="Arial"/>
                <w:noProof/>
                <w:sz w:val="23"/>
              </w:rPr>
            </w:pPr>
          </w:p>
        </w:tc>
        <w:tc>
          <w:tcPr>
            <w:tcW w:w="3971" w:type="dxa"/>
          </w:tcPr>
          <w:p>
            <w:pPr>
              <w:pStyle w:val="EntInstit"/>
              <w:spacing w:line="192" w:lineRule="auto"/>
              <w:jc w:val="left"/>
              <w:rPr>
                <w:rFonts w:ascii="Arial" w:hAnsi="Arial"/>
                <w:noProof/>
                <w:sz w:val="23"/>
              </w:rPr>
            </w:pPr>
          </w:p>
        </w:tc>
      </w:tr>
      <w:tr>
        <w:trPr>
          <w:cantSplit/>
          <w:trHeight w:val="252"/>
        </w:trPr>
        <w:tc>
          <w:tcPr>
            <w:tcW w:w="3831" w:type="dxa"/>
            <w:gridSpan w:val="2"/>
          </w:tcPr>
          <w:p>
            <w:pPr>
              <w:pStyle w:val="EntInstit"/>
              <w:rPr>
                <w:rFonts w:ascii="Arial" w:hAnsi="Arial" w:cs="Arial"/>
                <w:noProof/>
                <w:sz w:val="23"/>
                <w:szCs w:val="23"/>
              </w:rPr>
            </w:pPr>
          </w:p>
        </w:tc>
        <w:tc>
          <w:tcPr>
            <w:tcW w:w="1842" w:type="dxa"/>
          </w:tcPr>
          <w:p>
            <w:pPr>
              <w:spacing w:line="240" w:lineRule="auto"/>
              <w:rPr>
                <w:rFonts w:ascii="Arial" w:hAnsi="Arial" w:cs="Arial"/>
                <w:b/>
                <w:noProof/>
                <w:sz w:val="23"/>
                <w:szCs w:val="23"/>
              </w:rPr>
            </w:pPr>
          </w:p>
        </w:tc>
        <w:tc>
          <w:tcPr>
            <w:tcW w:w="3971" w:type="dxa"/>
          </w:tcPr>
          <w:p>
            <w:pPr>
              <w:pStyle w:val="EntRefer"/>
              <w:rPr>
                <w:rFonts w:ascii="Arial" w:hAnsi="Arial" w:cs="Arial"/>
                <w:noProof/>
                <w:sz w:val="23"/>
                <w:szCs w:val="23"/>
              </w:rPr>
            </w:pPr>
            <w:bookmarkStart w:id="3" w:name="Lieu"/>
            <w:bookmarkEnd w:id="3"/>
            <w:r>
              <w:rPr>
                <w:rFonts w:ascii="Arial" w:hAnsi="Arial" w:cs="Arial"/>
                <w:noProof/>
                <w:sz w:val="23"/>
                <w:szCs w:val="23"/>
              </w:rPr>
              <w:t xml:space="preserve">Brüsszel, </w:t>
            </w:r>
            <w:bookmarkStart w:id="4" w:name="Date"/>
            <w:bookmarkEnd w:id="4"/>
            <w:r>
              <w:rPr>
                <w:rFonts w:ascii="Arial" w:hAnsi="Arial" w:cs="Arial"/>
                <w:noProof/>
                <w:sz w:val="23"/>
                <w:szCs w:val="23"/>
              </w:rPr>
              <w:t>2016. július 5.</w:t>
            </w:r>
          </w:p>
          <w:p>
            <w:pPr>
              <w:pStyle w:val="EntRefer"/>
              <w:rPr>
                <w:rFonts w:ascii="Arial" w:hAnsi="Arial" w:cs="Arial"/>
                <w:noProof/>
                <w:sz w:val="23"/>
                <w:szCs w:val="23"/>
              </w:rPr>
            </w:pPr>
            <w:bookmarkStart w:id="5" w:name="LangueOrig"/>
            <w:bookmarkEnd w:id="5"/>
            <w:r>
              <w:rPr>
                <w:rFonts w:ascii="Arial" w:hAnsi="Arial" w:cs="Arial"/>
                <w:noProof/>
                <w:sz w:val="23"/>
                <w:szCs w:val="23"/>
              </w:rPr>
              <w:t>(OR. en)</w:t>
            </w:r>
          </w:p>
        </w:tc>
      </w:tr>
      <w:tr>
        <w:trPr>
          <w:cantSplit/>
          <w:trHeight w:val="252"/>
        </w:trPr>
        <w:tc>
          <w:tcPr>
            <w:tcW w:w="3831" w:type="dxa"/>
            <w:gridSpan w:val="2"/>
          </w:tcPr>
          <w:p>
            <w:pPr>
              <w:pStyle w:val="EntInstit"/>
              <w:rPr>
                <w:rFonts w:ascii="Arial" w:hAnsi="Arial" w:cs="Arial"/>
                <w:noProof/>
                <w:sz w:val="23"/>
                <w:szCs w:val="23"/>
              </w:rPr>
            </w:pPr>
          </w:p>
        </w:tc>
        <w:tc>
          <w:tcPr>
            <w:tcW w:w="1842" w:type="dxa"/>
          </w:tcPr>
          <w:p>
            <w:pPr>
              <w:spacing w:line="240" w:lineRule="auto"/>
              <w:rPr>
                <w:rFonts w:ascii="Arial" w:hAnsi="Arial" w:cs="Arial"/>
                <w:b/>
                <w:noProof/>
                <w:sz w:val="23"/>
                <w:szCs w:val="23"/>
              </w:rPr>
            </w:pPr>
          </w:p>
        </w:tc>
        <w:tc>
          <w:tcPr>
            <w:tcW w:w="3971" w:type="dxa"/>
          </w:tcPr>
          <w:p>
            <w:pPr>
              <w:pStyle w:val="EntRefer"/>
              <w:rPr>
                <w:rFonts w:ascii="Arial" w:hAnsi="Arial" w:cs="Arial"/>
                <w:noProof/>
                <w:sz w:val="23"/>
                <w:szCs w:val="23"/>
              </w:rPr>
            </w:pPr>
          </w:p>
        </w:tc>
      </w:tr>
      <w:tr>
        <w:tblPrEx>
          <w:tblLook w:val="0000" w:firstRow="0" w:lastRow="0" w:firstColumn="0" w:lastColumn="0" w:noHBand="0" w:noVBand="0"/>
        </w:tblPrEx>
        <w:trPr>
          <w:cantSplit/>
          <w:trHeight w:val="1480"/>
        </w:trPr>
        <w:tc>
          <w:tcPr>
            <w:tcW w:w="3831" w:type="dxa"/>
            <w:gridSpan w:val="2"/>
            <w:vAlign w:val="center"/>
          </w:tcPr>
          <w:p>
            <w:pPr>
              <w:pStyle w:val="EntRefer"/>
              <w:pBdr>
                <w:top w:val="double" w:sz="4" w:space="4" w:color="auto"/>
                <w:left w:val="double" w:sz="4" w:space="0" w:color="auto"/>
                <w:bottom w:val="double" w:sz="4" w:space="4" w:color="auto"/>
                <w:right w:val="double" w:sz="4" w:space="0" w:color="auto"/>
              </w:pBdr>
              <w:jc w:val="center"/>
              <w:rPr>
                <w:rFonts w:ascii="Arial" w:hAnsi="Arial" w:cs="Arial"/>
                <w:noProof/>
                <w:sz w:val="23"/>
                <w:szCs w:val="23"/>
              </w:rPr>
            </w:pPr>
            <w:bookmarkStart w:id="6" w:name="DossierInterInst"/>
            <w:bookmarkEnd w:id="6"/>
            <w:r>
              <w:rPr>
                <w:rFonts w:ascii="Arial" w:hAnsi="Arial" w:cs="Arial"/>
                <w:noProof/>
                <w:sz w:val="23"/>
                <w:szCs w:val="23"/>
              </w:rPr>
              <w:t>Intézményközi referenciaszám:</w:t>
            </w:r>
          </w:p>
          <w:p>
            <w:pPr>
              <w:pStyle w:val="EntRefer"/>
              <w:pBdr>
                <w:top w:val="double" w:sz="4" w:space="4" w:color="auto"/>
                <w:left w:val="double" w:sz="4" w:space="0" w:color="auto"/>
                <w:bottom w:val="double" w:sz="4" w:space="4" w:color="auto"/>
                <w:right w:val="double" w:sz="4" w:space="0" w:color="auto"/>
              </w:pBdr>
              <w:jc w:val="center"/>
              <w:rPr>
                <w:rFonts w:ascii="Arial" w:hAnsi="Arial" w:cs="Arial"/>
                <w:noProof/>
                <w:sz w:val="23"/>
                <w:szCs w:val="23"/>
              </w:rPr>
            </w:pPr>
            <w:r>
              <w:rPr>
                <w:rFonts w:ascii="Arial" w:hAnsi="Arial" w:cs="Arial"/>
                <w:noProof/>
                <w:sz w:val="23"/>
                <w:szCs w:val="23"/>
              </w:rPr>
              <w:t>2016/0113 (NLE)</w:t>
            </w:r>
          </w:p>
        </w:tc>
        <w:tc>
          <w:tcPr>
            <w:tcW w:w="1842" w:type="dxa"/>
            <w:vAlign w:val="center"/>
          </w:tcPr>
          <w:p>
            <w:pPr>
              <w:spacing w:line="240" w:lineRule="auto"/>
              <w:rPr>
                <w:rFonts w:ascii="Arial" w:hAnsi="Arial" w:cs="Arial"/>
                <w:b/>
                <w:noProof/>
                <w:sz w:val="23"/>
                <w:szCs w:val="23"/>
              </w:rPr>
            </w:pPr>
          </w:p>
        </w:tc>
        <w:tc>
          <w:tcPr>
            <w:tcW w:w="3971" w:type="dxa"/>
          </w:tcPr>
          <w:p>
            <w:pPr>
              <w:pStyle w:val="EntRefer"/>
              <w:rPr>
                <w:rFonts w:ascii="Arial" w:hAnsi="Arial" w:cs="Arial"/>
                <w:noProof/>
                <w:sz w:val="23"/>
                <w:szCs w:val="23"/>
              </w:rPr>
            </w:pPr>
            <w:bookmarkStart w:id="7" w:name="Cote"/>
            <w:bookmarkEnd w:id="7"/>
            <w:r>
              <w:rPr>
                <w:rFonts w:ascii="Arial" w:hAnsi="Arial" w:cs="Arial"/>
                <w:noProof/>
                <w:sz w:val="23"/>
                <w:szCs w:val="23"/>
              </w:rPr>
              <w:t>9776/16</w:t>
            </w:r>
          </w:p>
          <w:p>
            <w:pPr>
              <w:pStyle w:val="EntRefer"/>
              <w:rPr>
                <w:rFonts w:ascii="Arial" w:hAnsi="Arial" w:cs="Arial"/>
                <w:noProof/>
                <w:sz w:val="23"/>
                <w:szCs w:val="23"/>
              </w:rPr>
            </w:pPr>
            <w:bookmarkStart w:id="8" w:name="CoteRev"/>
            <w:bookmarkEnd w:id="8"/>
          </w:p>
          <w:p>
            <w:pPr>
              <w:pStyle w:val="EntRefer"/>
              <w:rPr>
                <w:rFonts w:ascii="Arial" w:hAnsi="Arial" w:cs="Arial"/>
                <w:noProof/>
                <w:sz w:val="23"/>
                <w:szCs w:val="23"/>
              </w:rPr>
            </w:pPr>
          </w:p>
          <w:p>
            <w:pPr>
              <w:pStyle w:val="EntRefer"/>
              <w:rPr>
                <w:rFonts w:ascii="Arial" w:hAnsi="Arial" w:cs="Arial"/>
                <w:noProof/>
                <w:sz w:val="23"/>
                <w:szCs w:val="23"/>
              </w:rPr>
            </w:pPr>
            <w:bookmarkStart w:id="9" w:name="CoteSec"/>
            <w:bookmarkEnd w:id="9"/>
          </w:p>
          <w:p>
            <w:pPr>
              <w:pStyle w:val="EntRefer"/>
              <w:rPr>
                <w:rFonts w:ascii="Arial" w:hAnsi="Arial" w:cs="Arial"/>
                <w:noProof/>
                <w:sz w:val="23"/>
                <w:szCs w:val="23"/>
              </w:rPr>
            </w:pPr>
          </w:p>
        </w:tc>
      </w:tr>
      <w:tr>
        <w:tblPrEx>
          <w:tblLook w:val="0000" w:firstRow="0" w:lastRow="0" w:firstColumn="0" w:lastColumn="0" w:noHBand="0" w:noVBand="0"/>
        </w:tblPrEx>
        <w:trPr>
          <w:cantSplit/>
          <w:trHeight w:val="1000"/>
        </w:trPr>
        <w:tc>
          <w:tcPr>
            <w:tcW w:w="3831" w:type="dxa"/>
            <w:gridSpan w:val="2"/>
            <w:vAlign w:val="center"/>
          </w:tcPr>
          <w:p>
            <w:pPr>
              <w:pStyle w:val="EntRefer"/>
              <w:jc w:val="center"/>
              <w:rPr>
                <w:rFonts w:ascii="Arial" w:hAnsi="Arial" w:cs="Arial"/>
                <w:noProof/>
                <w:sz w:val="23"/>
                <w:szCs w:val="23"/>
              </w:rPr>
            </w:pPr>
            <w:bookmarkStart w:id="10" w:name="SousEmbargo"/>
            <w:bookmarkEnd w:id="10"/>
          </w:p>
        </w:tc>
        <w:tc>
          <w:tcPr>
            <w:tcW w:w="1842" w:type="dxa"/>
            <w:vAlign w:val="center"/>
          </w:tcPr>
          <w:p>
            <w:pPr>
              <w:spacing w:line="240" w:lineRule="auto"/>
              <w:rPr>
                <w:rFonts w:ascii="Arial" w:hAnsi="Arial" w:cs="Arial"/>
                <w:b/>
                <w:noProof/>
                <w:sz w:val="23"/>
                <w:szCs w:val="23"/>
              </w:rPr>
            </w:pPr>
          </w:p>
        </w:tc>
        <w:tc>
          <w:tcPr>
            <w:tcW w:w="3971" w:type="dxa"/>
          </w:tcPr>
          <w:p>
            <w:pPr>
              <w:spacing w:after="0" w:line="240" w:lineRule="auto"/>
              <w:rPr>
                <w:rFonts w:ascii="Arial" w:hAnsi="Arial" w:cs="Arial"/>
                <w:b/>
                <w:noProof/>
                <w:sz w:val="23"/>
                <w:szCs w:val="23"/>
              </w:rPr>
            </w:pPr>
            <w:r>
              <w:rPr>
                <w:rFonts w:ascii="Arial" w:hAnsi="Arial" w:cs="Arial"/>
                <w:b/>
                <w:noProof/>
                <w:sz w:val="23"/>
                <w:szCs w:val="23"/>
              </w:rPr>
              <w:t>COASI 110</w:t>
            </w:r>
          </w:p>
          <w:p>
            <w:pPr>
              <w:spacing w:after="0" w:line="240" w:lineRule="auto"/>
              <w:rPr>
                <w:rFonts w:ascii="Arial" w:hAnsi="Arial" w:cs="Arial"/>
                <w:b/>
                <w:noProof/>
                <w:sz w:val="23"/>
                <w:szCs w:val="23"/>
              </w:rPr>
            </w:pPr>
            <w:r>
              <w:rPr>
                <w:rFonts w:ascii="Arial" w:hAnsi="Arial" w:cs="Arial"/>
                <w:b/>
                <w:noProof/>
                <w:sz w:val="23"/>
                <w:szCs w:val="23"/>
              </w:rPr>
              <w:t>ASIE 41</w:t>
            </w:r>
          </w:p>
          <w:p>
            <w:pPr>
              <w:spacing w:after="0" w:line="240" w:lineRule="auto"/>
              <w:rPr>
                <w:rFonts w:ascii="Arial" w:hAnsi="Arial" w:cs="Arial"/>
                <w:b/>
                <w:noProof/>
                <w:sz w:val="23"/>
                <w:szCs w:val="23"/>
              </w:rPr>
            </w:pPr>
            <w:r>
              <w:rPr>
                <w:rFonts w:ascii="Arial" w:hAnsi="Arial" w:cs="Arial"/>
                <w:b/>
                <w:noProof/>
                <w:sz w:val="23"/>
                <w:szCs w:val="23"/>
              </w:rPr>
              <w:t>AUS 3</w:t>
            </w:r>
          </w:p>
          <w:p>
            <w:pPr>
              <w:spacing w:after="0" w:line="240" w:lineRule="auto"/>
              <w:rPr>
                <w:rFonts w:ascii="Arial" w:hAnsi="Arial" w:cs="Arial"/>
                <w:b/>
                <w:noProof/>
                <w:sz w:val="23"/>
                <w:szCs w:val="23"/>
              </w:rPr>
            </w:pPr>
            <w:r>
              <w:rPr>
                <w:rFonts w:ascii="Arial" w:hAnsi="Arial" w:cs="Arial"/>
                <w:b/>
                <w:noProof/>
                <w:sz w:val="23"/>
                <w:szCs w:val="23"/>
              </w:rPr>
              <w:t>WTO 151</w:t>
            </w:r>
          </w:p>
          <w:p>
            <w:pPr>
              <w:pStyle w:val="EntRefer"/>
              <w:rPr>
                <w:rFonts w:ascii="Arial" w:hAnsi="Arial" w:cs="Arial"/>
                <w:noProof/>
                <w:sz w:val="23"/>
                <w:szCs w:val="23"/>
              </w:rPr>
            </w:pPr>
            <w:r>
              <w:rPr>
                <w:rFonts w:ascii="Arial" w:hAnsi="Arial" w:cs="Arial"/>
                <w:noProof/>
                <w:sz w:val="23"/>
                <w:szCs w:val="23"/>
              </w:rPr>
              <w:t>COCON 14</w:t>
            </w:r>
          </w:p>
        </w:tc>
      </w:tr>
    </w:tbl>
    <w:p>
      <w:pPr>
        <w:pStyle w:val="EntRefer"/>
        <w:rPr>
          <w:rFonts w:ascii="Arial" w:hAnsi="Arial" w:cs="Arial"/>
          <w:noProof/>
          <w:sz w:val="23"/>
          <w:szCs w:val="23"/>
        </w:rPr>
      </w:pPr>
      <w:bookmarkStart w:id="11" w:name="AC"/>
    </w:p>
    <w:p>
      <w:pPr>
        <w:pStyle w:val="EntRefer"/>
        <w:rPr>
          <w:rFonts w:ascii="Arial" w:hAnsi="Arial" w:cs="Arial"/>
          <w:noProof/>
          <w:sz w:val="23"/>
          <w:szCs w:val="23"/>
        </w:rPr>
      </w:pPr>
      <w:bookmarkStart w:id="12" w:name="Title"/>
      <w:bookmarkEnd w:id="12"/>
      <w:r>
        <w:rPr>
          <w:rFonts w:ascii="Arial" w:hAnsi="Arial" w:cs="Arial"/>
          <w:noProof/>
          <w:sz w:val="23"/>
          <w:szCs w:val="23"/>
        </w:rPr>
        <w:t>JOGALKOTÁSI AKTUSOK ÉS EGYÉB ESZKÖZÖK</w:t>
      </w:r>
    </w:p>
    <w:tbl>
      <w:tblPr>
        <w:tblW w:w="0" w:type="auto"/>
        <w:tblLayout w:type="fixed"/>
        <w:tblCellMar>
          <w:left w:w="0" w:type="dxa"/>
          <w:right w:w="0" w:type="dxa"/>
        </w:tblCellMar>
        <w:tblLook w:val="0000" w:firstRow="0" w:lastRow="0" w:firstColumn="0" w:lastColumn="0" w:noHBand="0" w:noVBand="0"/>
      </w:tblPr>
      <w:tblGrid>
        <w:gridCol w:w="1701"/>
        <w:gridCol w:w="7938"/>
      </w:tblGrid>
      <w:tr>
        <w:tc>
          <w:tcPr>
            <w:tcW w:w="1701" w:type="dxa"/>
            <w:tcBorders>
              <w:top w:val="single" w:sz="4" w:space="0" w:color="auto"/>
              <w:bottom w:val="single" w:sz="4" w:space="0" w:color="auto"/>
            </w:tcBorders>
          </w:tcPr>
          <w:p>
            <w:pPr>
              <w:pStyle w:val="EntEmet"/>
              <w:rPr>
                <w:rFonts w:ascii="Arial" w:hAnsi="Arial" w:cs="Arial"/>
                <w:noProof/>
                <w:sz w:val="23"/>
                <w:szCs w:val="23"/>
              </w:rPr>
            </w:pPr>
            <w:r>
              <w:rPr>
                <w:rFonts w:ascii="Arial" w:hAnsi="Arial" w:cs="Arial"/>
                <w:noProof/>
                <w:sz w:val="23"/>
                <w:szCs w:val="23"/>
              </w:rPr>
              <w:t>Tárgy:</w:t>
            </w:r>
          </w:p>
        </w:tc>
        <w:tc>
          <w:tcPr>
            <w:tcW w:w="7938" w:type="dxa"/>
            <w:tcBorders>
              <w:top w:val="single" w:sz="4" w:space="0" w:color="auto"/>
              <w:bottom w:val="single" w:sz="4" w:space="0" w:color="auto"/>
            </w:tcBorders>
          </w:tcPr>
          <w:p>
            <w:pPr>
              <w:pStyle w:val="EntEmet"/>
              <w:rPr>
                <w:rFonts w:asciiTheme="majorBidi" w:hAnsiTheme="majorBidi" w:cstheme="majorBidi"/>
                <w:noProof/>
                <w:szCs w:val="24"/>
              </w:rPr>
            </w:pPr>
            <w:bookmarkStart w:id="13" w:name="Subject"/>
            <w:bookmarkEnd w:id="13"/>
            <w:r>
              <w:rPr>
                <w:rFonts w:asciiTheme="majorBidi" w:hAnsiTheme="majorBidi" w:cstheme="majorBidi"/>
                <w:noProof/>
                <w:szCs w:val="24"/>
              </w:rPr>
              <w:t>Keretmegállapodás egyrészről az Európai Unió és annak tagállamai, másrészről Ausztrália között</w:t>
            </w:r>
          </w:p>
        </w:tc>
      </w:tr>
    </w:tbl>
    <w:p>
      <w:pPr>
        <w:spacing w:line="240" w:lineRule="auto"/>
        <w:rPr>
          <w:rFonts w:ascii="Arial" w:hAnsi="Arial" w:cs="Arial"/>
          <w:noProof/>
          <w:sz w:val="23"/>
          <w:szCs w:val="23"/>
        </w:rPr>
      </w:pPr>
    </w:p>
    <w:p>
      <w:pPr>
        <w:tabs>
          <w:tab w:val="left" w:pos="3969"/>
        </w:tabs>
        <w:spacing w:line="240" w:lineRule="auto"/>
        <w:rPr>
          <w:rFonts w:ascii="Arial" w:hAnsi="Arial" w:cs="Arial"/>
          <w:noProof/>
          <w:sz w:val="23"/>
          <w:szCs w:val="23"/>
        </w:rPr>
        <w:sectPr>
          <w:headerReference w:type="even" r:id="rId16"/>
          <w:headerReference w:type="default" r:id="rId17"/>
          <w:footerReference w:type="even" r:id="rId18"/>
          <w:footerReference w:type="default" r:id="rId19"/>
          <w:headerReference w:type="first" r:id="rId20"/>
          <w:footerReference w:type="first" r:id="rId21"/>
          <w:footnotePr>
            <w:numRestart w:val="eachPage"/>
          </w:footnotePr>
          <w:endnotePr>
            <w:numFmt w:val="decimal"/>
          </w:endnotePr>
          <w:pgSz w:w="11907" w:h="16840" w:code="9"/>
          <w:pgMar w:top="1134" w:right="1134" w:bottom="1134" w:left="1134" w:header="567" w:footer="567" w:gutter="0"/>
          <w:cols w:space="720"/>
        </w:sectPr>
      </w:pPr>
    </w:p>
    <w:p>
      <w:pPr>
        <w:spacing w:after="0" w:line="360" w:lineRule="auto"/>
        <w:jc w:val="center"/>
        <w:rPr>
          <w:rFonts w:ascii="Times New Roman" w:hAnsi="Times New Roman" w:cs="Times New Roman"/>
          <w:noProof/>
          <w:sz w:val="24"/>
          <w:szCs w:val="24"/>
        </w:rPr>
      </w:pPr>
      <w:r>
        <w:rPr>
          <w:rFonts w:ascii="Times New Roman" w:hAnsi="Times New Roman" w:cs="Times New Roman"/>
          <w:noProof/>
          <w:sz w:val="24"/>
          <w:szCs w:val="24"/>
        </w:rPr>
        <w:t>KERETMEGÁLLAPODÁS</w:t>
      </w:r>
    </w:p>
    <w:p>
      <w:pPr>
        <w:spacing w:after="0" w:line="360" w:lineRule="auto"/>
        <w:jc w:val="center"/>
        <w:rPr>
          <w:rFonts w:ascii="Times New Roman" w:hAnsi="Times New Roman" w:cs="Times New Roman"/>
          <w:caps/>
          <w:noProof/>
          <w:sz w:val="24"/>
          <w:szCs w:val="24"/>
        </w:rPr>
      </w:pPr>
      <w:r>
        <w:rPr>
          <w:rFonts w:ascii="Times New Roman" w:hAnsi="Times New Roman" w:cs="Times New Roman"/>
          <w:caps/>
          <w:noProof/>
          <w:sz w:val="24"/>
          <w:szCs w:val="24"/>
        </w:rPr>
        <w:t>egyrészről az Európai Unió</w:t>
      </w:r>
    </w:p>
    <w:p>
      <w:pPr>
        <w:spacing w:after="0" w:line="360" w:lineRule="auto"/>
        <w:jc w:val="center"/>
        <w:rPr>
          <w:rFonts w:ascii="Times New Roman" w:hAnsi="Times New Roman" w:cs="Times New Roman"/>
          <w:caps/>
          <w:noProof/>
          <w:sz w:val="24"/>
          <w:szCs w:val="24"/>
        </w:rPr>
      </w:pPr>
      <w:r>
        <w:rPr>
          <w:rFonts w:ascii="Times New Roman" w:hAnsi="Times New Roman" w:cs="Times New Roman"/>
          <w:caps/>
          <w:noProof/>
          <w:sz w:val="24"/>
          <w:szCs w:val="24"/>
        </w:rPr>
        <w:t>és annak tagállamai,</w:t>
      </w:r>
    </w:p>
    <w:p>
      <w:pPr>
        <w:spacing w:after="0" w:line="360" w:lineRule="auto"/>
        <w:jc w:val="center"/>
        <w:rPr>
          <w:rFonts w:ascii="Times New Roman" w:hAnsi="Times New Roman" w:cs="Times New Roman"/>
          <w:caps/>
          <w:noProof/>
          <w:sz w:val="24"/>
          <w:szCs w:val="24"/>
        </w:rPr>
      </w:pPr>
      <w:r>
        <w:rPr>
          <w:rFonts w:ascii="Times New Roman" w:hAnsi="Times New Roman" w:cs="Times New Roman"/>
          <w:caps/>
          <w:noProof/>
          <w:sz w:val="24"/>
          <w:szCs w:val="24"/>
        </w:rPr>
        <w:t>másrészről AUSZTRÁLIA között</w:t>
      </w:r>
    </w:p>
    <w:p>
      <w:pPr>
        <w:spacing w:after="0" w:line="360" w:lineRule="auto"/>
        <w:jc w:val="center"/>
        <w:rPr>
          <w:rFonts w:ascii="Times New Roman" w:hAnsi="Times New Roman" w:cs="Times New Roman"/>
          <w:b/>
          <w:caps/>
          <w:noProof/>
          <w:sz w:val="24"/>
          <w:szCs w:val="24"/>
        </w:rPr>
      </w:pPr>
    </w:p>
    <w:p>
      <w:pPr>
        <w:jc w:val="center"/>
        <w:rPr>
          <w:b/>
          <w:caps/>
          <w:noProof/>
        </w:rPr>
        <w:sectPr>
          <w:headerReference w:type="even" r:id="rId22"/>
          <w:headerReference w:type="default" r:id="rId23"/>
          <w:footerReference w:type="even" r:id="rId24"/>
          <w:footerReference w:type="default" r:id="rId25"/>
          <w:headerReference w:type="first" r:id="rId26"/>
          <w:footerReference w:type="first" r:id="rId27"/>
          <w:footnotePr>
            <w:numRestart w:val="eachSect"/>
          </w:footnotePr>
          <w:pgSz w:w="11907" w:h="16840" w:code="9"/>
          <w:pgMar w:top="1134" w:right="1134" w:bottom="1134" w:left="1134" w:header="1134" w:footer="1134" w:gutter="0"/>
          <w:pgNumType w:start="1"/>
          <w:cols w:space="720"/>
          <w:vAlign w:val="center"/>
          <w:docGrid w:linePitch="360"/>
        </w:sectPr>
      </w:pPr>
    </w:p>
    <w:p>
      <w:pPr>
        <w:spacing w:after="0" w:line="360" w:lineRule="auto"/>
        <w:rPr>
          <w:rFonts w:ascii="Times New Roman" w:hAnsi="Times New Roman" w:cs="Times New Roman"/>
          <w:noProof/>
          <w:sz w:val="24"/>
          <w:szCs w:val="24"/>
        </w:rPr>
      </w:pPr>
      <w:r>
        <w:rPr>
          <w:rFonts w:ascii="Times New Roman" w:hAnsi="Times New Roman" w:cs="Times New Roman"/>
          <w:noProof/>
          <w:sz w:val="24"/>
          <w:szCs w:val="24"/>
        </w:rPr>
        <w:t xml:space="preserve">Az </w:t>
      </w:r>
      <w:r>
        <w:rPr>
          <w:rFonts w:ascii="Times New Roman" w:hAnsi="Times New Roman" w:cs="Times New Roman"/>
          <w:caps/>
          <w:noProof/>
          <w:sz w:val="24"/>
          <w:szCs w:val="24"/>
        </w:rPr>
        <w:t>Európai Unió</w:t>
      </w:r>
      <w:r>
        <w:rPr>
          <w:rFonts w:ascii="Times New Roman" w:hAnsi="Times New Roman" w:cs="Times New Roman"/>
          <w:noProof/>
          <w:sz w:val="24"/>
          <w:szCs w:val="24"/>
        </w:rPr>
        <w:t>, a továbbiakban: az Unió,</w:t>
      </w:r>
    </w:p>
    <w:p>
      <w:pPr>
        <w:spacing w:after="0" w:line="360" w:lineRule="auto"/>
        <w:rPr>
          <w:rFonts w:ascii="Times New Roman" w:hAnsi="Times New Roman" w:cs="Times New Roman"/>
          <w:noProof/>
          <w:sz w:val="24"/>
          <w:szCs w:val="24"/>
        </w:rPr>
      </w:pPr>
    </w:p>
    <w:p>
      <w:pPr>
        <w:spacing w:after="0" w:line="360" w:lineRule="auto"/>
        <w:rPr>
          <w:rFonts w:ascii="Times New Roman" w:hAnsi="Times New Roman" w:cs="Times New Roman"/>
          <w:noProof/>
          <w:sz w:val="24"/>
          <w:szCs w:val="24"/>
        </w:rPr>
      </w:pPr>
      <w:r>
        <w:rPr>
          <w:rFonts w:ascii="Times New Roman" w:hAnsi="Times New Roman" w:cs="Times New Roman"/>
          <w:noProof/>
          <w:sz w:val="24"/>
          <w:szCs w:val="24"/>
        </w:rPr>
        <w:t>valamint</w:t>
      </w:r>
    </w:p>
    <w:p>
      <w:pPr>
        <w:spacing w:after="0" w:line="360" w:lineRule="auto"/>
        <w:rPr>
          <w:rFonts w:ascii="Times New Roman" w:hAnsi="Times New Roman" w:cs="Times New Roman"/>
          <w:noProof/>
          <w:sz w:val="24"/>
          <w:szCs w:val="24"/>
        </w:rPr>
      </w:pPr>
    </w:p>
    <w:p>
      <w:pPr>
        <w:spacing w:after="0" w:line="360" w:lineRule="auto"/>
        <w:rPr>
          <w:rFonts w:ascii="Times New Roman" w:hAnsi="Times New Roman" w:cs="Times New Roman"/>
          <w:noProof/>
          <w:sz w:val="24"/>
          <w:szCs w:val="24"/>
        </w:rPr>
      </w:pPr>
      <w:r>
        <w:rPr>
          <w:rFonts w:ascii="Times New Roman" w:hAnsi="Times New Roman" w:cs="Times New Roman"/>
          <w:noProof/>
          <w:sz w:val="24"/>
          <w:szCs w:val="24"/>
        </w:rPr>
        <w:t>A BELGA KIRÁLYSÁG,</w:t>
      </w:r>
    </w:p>
    <w:p>
      <w:pPr>
        <w:spacing w:after="0" w:line="360" w:lineRule="auto"/>
        <w:rPr>
          <w:rFonts w:ascii="Times New Roman" w:hAnsi="Times New Roman" w:cs="Times New Roman"/>
          <w:noProof/>
          <w:sz w:val="24"/>
          <w:szCs w:val="24"/>
        </w:rPr>
      </w:pPr>
    </w:p>
    <w:p>
      <w:pPr>
        <w:spacing w:after="0" w:line="360" w:lineRule="auto"/>
        <w:rPr>
          <w:rFonts w:ascii="Times New Roman" w:hAnsi="Times New Roman" w:cs="Times New Roman"/>
          <w:noProof/>
          <w:sz w:val="24"/>
          <w:szCs w:val="24"/>
        </w:rPr>
      </w:pPr>
      <w:r>
        <w:rPr>
          <w:rFonts w:ascii="Times New Roman" w:hAnsi="Times New Roman" w:cs="Times New Roman"/>
          <w:noProof/>
          <w:sz w:val="24"/>
          <w:szCs w:val="24"/>
        </w:rPr>
        <w:t>A BOLGÁR KÖZTÁRSASÁG,</w:t>
      </w:r>
    </w:p>
    <w:p>
      <w:pPr>
        <w:spacing w:after="0" w:line="360" w:lineRule="auto"/>
        <w:rPr>
          <w:rFonts w:ascii="Times New Roman" w:hAnsi="Times New Roman" w:cs="Times New Roman"/>
          <w:noProof/>
          <w:sz w:val="24"/>
          <w:szCs w:val="24"/>
        </w:rPr>
      </w:pPr>
    </w:p>
    <w:p>
      <w:pPr>
        <w:spacing w:after="0" w:line="360" w:lineRule="auto"/>
        <w:rPr>
          <w:rFonts w:ascii="Times New Roman" w:hAnsi="Times New Roman" w:cs="Times New Roman"/>
          <w:noProof/>
          <w:sz w:val="24"/>
          <w:szCs w:val="24"/>
        </w:rPr>
      </w:pPr>
      <w:r>
        <w:rPr>
          <w:rFonts w:ascii="Times New Roman" w:hAnsi="Times New Roman" w:cs="Times New Roman"/>
          <w:noProof/>
          <w:sz w:val="24"/>
          <w:szCs w:val="24"/>
        </w:rPr>
        <w:t>A CSEH KÖZTÁRSASÁG,</w:t>
      </w:r>
    </w:p>
    <w:p>
      <w:pPr>
        <w:spacing w:after="0" w:line="360" w:lineRule="auto"/>
        <w:rPr>
          <w:rFonts w:ascii="Times New Roman" w:hAnsi="Times New Roman" w:cs="Times New Roman"/>
          <w:noProof/>
          <w:sz w:val="24"/>
          <w:szCs w:val="24"/>
        </w:rPr>
      </w:pPr>
    </w:p>
    <w:p>
      <w:pPr>
        <w:spacing w:after="0" w:line="360" w:lineRule="auto"/>
        <w:rPr>
          <w:rFonts w:ascii="Times New Roman" w:hAnsi="Times New Roman" w:cs="Times New Roman"/>
          <w:noProof/>
          <w:sz w:val="24"/>
          <w:szCs w:val="24"/>
        </w:rPr>
      </w:pPr>
      <w:r>
        <w:rPr>
          <w:rFonts w:ascii="Times New Roman" w:hAnsi="Times New Roman" w:cs="Times New Roman"/>
          <w:noProof/>
          <w:sz w:val="24"/>
          <w:szCs w:val="24"/>
        </w:rPr>
        <w:t>A DÁN KIRÁLYSÁG,</w:t>
      </w:r>
    </w:p>
    <w:p>
      <w:pPr>
        <w:spacing w:after="0" w:line="360" w:lineRule="auto"/>
        <w:rPr>
          <w:rFonts w:ascii="Times New Roman" w:hAnsi="Times New Roman" w:cs="Times New Roman"/>
          <w:noProof/>
          <w:sz w:val="24"/>
          <w:szCs w:val="24"/>
        </w:rPr>
      </w:pPr>
    </w:p>
    <w:p>
      <w:pPr>
        <w:spacing w:after="0" w:line="360" w:lineRule="auto"/>
        <w:rPr>
          <w:rFonts w:ascii="Times New Roman" w:hAnsi="Times New Roman" w:cs="Times New Roman"/>
          <w:noProof/>
          <w:sz w:val="24"/>
          <w:szCs w:val="24"/>
        </w:rPr>
      </w:pPr>
      <w:r>
        <w:rPr>
          <w:rFonts w:ascii="Times New Roman" w:hAnsi="Times New Roman" w:cs="Times New Roman"/>
          <w:noProof/>
          <w:sz w:val="24"/>
          <w:szCs w:val="24"/>
        </w:rPr>
        <w:t>A NÉMETORSZÁGI SZÖVETSÉGI KÖZTÁRSASÁG,</w:t>
      </w:r>
    </w:p>
    <w:p>
      <w:pPr>
        <w:spacing w:after="0" w:line="360" w:lineRule="auto"/>
        <w:rPr>
          <w:rFonts w:ascii="Times New Roman" w:hAnsi="Times New Roman" w:cs="Times New Roman"/>
          <w:noProof/>
          <w:sz w:val="24"/>
          <w:szCs w:val="24"/>
        </w:rPr>
      </w:pPr>
    </w:p>
    <w:p>
      <w:pPr>
        <w:spacing w:after="0" w:line="360" w:lineRule="auto"/>
        <w:rPr>
          <w:rFonts w:ascii="Times New Roman" w:hAnsi="Times New Roman" w:cs="Times New Roman"/>
          <w:noProof/>
          <w:sz w:val="24"/>
          <w:szCs w:val="24"/>
        </w:rPr>
      </w:pPr>
      <w:r>
        <w:rPr>
          <w:rFonts w:ascii="Times New Roman" w:hAnsi="Times New Roman" w:cs="Times New Roman"/>
          <w:noProof/>
          <w:sz w:val="24"/>
          <w:szCs w:val="24"/>
        </w:rPr>
        <w:t>AZ ÉSZT KÖZTÁRSASÁG,</w:t>
      </w:r>
    </w:p>
    <w:p>
      <w:pPr>
        <w:spacing w:after="0" w:line="360" w:lineRule="auto"/>
        <w:rPr>
          <w:rFonts w:ascii="Times New Roman" w:hAnsi="Times New Roman" w:cs="Times New Roman"/>
          <w:noProof/>
          <w:sz w:val="24"/>
          <w:szCs w:val="24"/>
        </w:rPr>
      </w:pPr>
    </w:p>
    <w:p>
      <w:pPr>
        <w:spacing w:after="0" w:line="360" w:lineRule="auto"/>
        <w:rPr>
          <w:rFonts w:ascii="Times New Roman" w:hAnsi="Times New Roman" w:cs="Times New Roman"/>
          <w:noProof/>
          <w:sz w:val="24"/>
          <w:szCs w:val="24"/>
        </w:rPr>
      </w:pPr>
      <w:r>
        <w:rPr>
          <w:rFonts w:ascii="Times New Roman" w:hAnsi="Times New Roman" w:cs="Times New Roman"/>
          <w:noProof/>
          <w:sz w:val="24"/>
          <w:szCs w:val="24"/>
        </w:rPr>
        <w:t>ÍRORSZÁG,</w:t>
      </w:r>
    </w:p>
    <w:p>
      <w:pPr>
        <w:spacing w:after="0" w:line="360" w:lineRule="auto"/>
        <w:rPr>
          <w:rFonts w:ascii="Times New Roman" w:hAnsi="Times New Roman" w:cs="Times New Roman"/>
          <w:noProof/>
          <w:sz w:val="24"/>
          <w:szCs w:val="24"/>
        </w:rPr>
      </w:pPr>
    </w:p>
    <w:p>
      <w:pPr>
        <w:spacing w:after="0" w:line="360" w:lineRule="auto"/>
        <w:rPr>
          <w:rFonts w:ascii="Times New Roman" w:hAnsi="Times New Roman" w:cs="Times New Roman"/>
          <w:noProof/>
          <w:sz w:val="24"/>
          <w:szCs w:val="24"/>
        </w:rPr>
      </w:pPr>
      <w:r>
        <w:rPr>
          <w:rFonts w:ascii="Times New Roman" w:hAnsi="Times New Roman" w:cs="Times New Roman"/>
          <w:noProof/>
          <w:sz w:val="24"/>
          <w:szCs w:val="24"/>
        </w:rPr>
        <w:t>A GÖRÖG KÖZTÁRSASÁG,</w:t>
      </w:r>
    </w:p>
    <w:p>
      <w:pPr>
        <w:spacing w:after="0" w:line="360" w:lineRule="auto"/>
        <w:rPr>
          <w:rFonts w:ascii="Times New Roman" w:hAnsi="Times New Roman" w:cs="Times New Roman"/>
          <w:noProof/>
          <w:sz w:val="24"/>
          <w:szCs w:val="24"/>
        </w:rPr>
      </w:pPr>
    </w:p>
    <w:p>
      <w:pPr>
        <w:spacing w:after="0" w:line="360" w:lineRule="auto"/>
        <w:rPr>
          <w:rFonts w:ascii="Times New Roman" w:hAnsi="Times New Roman" w:cs="Times New Roman"/>
          <w:noProof/>
          <w:sz w:val="24"/>
          <w:szCs w:val="24"/>
        </w:rPr>
      </w:pPr>
      <w:r>
        <w:rPr>
          <w:rFonts w:ascii="Times New Roman" w:hAnsi="Times New Roman" w:cs="Times New Roman"/>
          <w:noProof/>
          <w:sz w:val="24"/>
          <w:szCs w:val="24"/>
        </w:rPr>
        <w:t>A SPANYOL KIRÁLYSÁG,</w:t>
      </w:r>
    </w:p>
    <w:p>
      <w:pPr>
        <w:spacing w:after="0" w:line="360" w:lineRule="auto"/>
        <w:rPr>
          <w:rFonts w:ascii="Times New Roman" w:hAnsi="Times New Roman" w:cs="Times New Roman"/>
          <w:noProof/>
          <w:sz w:val="24"/>
          <w:szCs w:val="24"/>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 FRANCIA KÖZTÁRSASÁG,</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 HORVÁT KÖZTÁRSASÁG,</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AZ OLASZ KÖZTÁRSASÁG,</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A CIPRUSI KÖZTÁRSASÁG,</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 LETT KÖZTÁRSASÁG,</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 LITVÁN KÖZTÁRSASÁG,</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 LUXEMBURGI NAGYHERCEGSÉG,</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MAGYARORSZÁG,</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 MÁLTAI KÖZTÁRSASÁG,</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 HOLLAND KIRÁLYSÁG,</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AZ OSZTRÁK KÖZTÁRSASÁG,</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 LENGYEL KÖZTÁRSASÁG,</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 PORTUGÁL KÖZTÁRSASÁG,</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ROMÁNIA,</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 SZLOVÉN KÖZTÁRSASÁG,</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 SZLOVÁK KÖZTÁRSASÁG,</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A FINN KÖZTÁRSASÁG,</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 SVÉD KIRÁLYSÁG,</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NAGY-BRITANNIA ÉS ÉSZAK-ÍRORSZÁG EGYESÜLT KIRÁLYSÁGA,</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az Európai Unió tagállamai, a továbbiakban: a tagállamok,</w:t>
      </w:r>
    </w:p>
    <w:p>
      <w:pPr>
        <w:spacing w:after="0" w:line="360" w:lineRule="auto"/>
        <w:rPr>
          <w:rFonts w:ascii="Times New Roman" w:hAnsi="Times New Roman" w:cs="Times New Roman"/>
          <w:noProof/>
          <w:sz w:val="24"/>
          <w:szCs w:val="24"/>
          <w:lang w:val="pt-PT"/>
        </w:rPr>
      </w:pPr>
    </w:p>
    <w:p>
      <w:pPr>
        <w:tabs>
          <w:tab w:val="left" w:pos="5103"/>
        </w:tabs>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b/>
        <w:t>egyrészről, valamint</w:t>
      </w:r>
    </w:p>
    <w:p>
      <w:pPr>
        <w:tabs>
          <w:tab w:val="left" w:pos="5103"/>
        </w:tabs>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caps/>
          <w:noProof/>
          <w:sz w:val="24"/>
          <w:szCs w:val="24"/>
          <w:lang w:val="pt-PT"/>
        </w:rPr>
      </w:pPr>
      <w:r>
        <w:rPr>
          <w:rFonts w:ascii="Times New Roman" w:hAnsi="Times New Roman" w:cs="Times New Roman"/>
          <w:caps/>
          <w:noProof/>
          <w:sz w:val="24"/>
          <w:szCs w:val="24"/>
          <w:lang w:val="pt-PT"/>
        </w:rPr>
        <w:t>AUSZTRÁLIA,</w:t>
      </w:r>
    </w:p>
    <w:p>
      <w:pPr>
        <w:spacing w:after="0" w:line="360" w:lineRule="auto"/>
        <w:rPr>
          <w:rFonts w:ascii="Times New Roman" w:hAnsi="Times New Roman" w:cs="Times New Roman"/>
          <w:caps/>
          <w:noProof/>
          <w:sz w:val="24"/>
          <w:szCs w:val="24"/>
          <w:lang w:val="pt-PT"/>
        </w:rPr>
      </w:pPr>
    </w:p>
    <w:p>
      <w:pPr>
        <w:tabs>
          <w:tab w:val="left" w:pos="5103"/>
        </w:tabs>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b/>
        <w:t>másrészről,</w:t>
      </w:r>
    </w:p>
    <w:p>
      <w:pPr>
        <w:tabs>
          <w:tab w:val="left" w:pos="5103"/>
        </w:tabs>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 továbbiakban: a Felek,</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FIGYELEMBE VÉVE közös értékeiket és szoros történelmi, politikai, gazdasági és kulturális kötelékeiket;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ÜDVÖZÖLVE, hogy az Európai Unió és Ausztrália közötti kapcsolatokról szóló, 1997. június 26-i együttes nyilatkozat elfogadásának, valamint a 2003. évi együttműködési menetrend végbehajtásának köszönhetően tovább fejlődtek a hosszú ideje tartó és kölcsönösen előnyös kapcsolatok;</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FELISMERVE, hogy a 2008. október 29-én elfogadott Ausztrália–EU partnerségi keret kialakítását követően megélénkültek a kapcsolatok és az együttműködés Ausztrália és az Unió között;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ÚJÓLAG MEGERŐSÍTVE elkötelezettségüket az Egyesült Nemzetek Alapokmányának (a továbbiakban: az ENSZ Alapokmánya) céljai és elvei, valamint az Egyesült Nemzetek (a továbbiakban: ENSZ) szerepének megerősítése mellett;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ÚJÓLAG MEGERŐSÍTVE elkötelezettségüket az Emberi Jogok Egyetemes Nyilatkozatában és más vonatkozó nemzetközi emberi jogi eszközökben megállapított demokratikus alapelvek és emberi jogok, valamint a jogállamiság és a jó kormányzás alapelvei mellett;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HANGSÚLYOZVA kapcsolatuk átfogó jellegét és az ezen kapcsolatuk fejlesztését előmozdító következetes keret meghatározásának jelentőségét;</w:t>
      </w:r>
    </w:p>
    <w:p>
      <w:pPr>
        <w:spacing w:after="0" w:line="360" w:lineRule="auto"/>
        <w:rPr>
          <w:rFonts w:ascii="Times New Roman" w:hAnsi="Times New Roman" w:cs="Times New Roman"/>
          <w:noProof/>
          <w:sz w:val="24"/>
          <w:szCs w:val="24"/>
          <w:lang w:val="pt-PT"/>
        </w:rPr>
      </w:pPr>
    </w:p>
    <w:p>
      <w:pPr>
        <w:spacing w:after="0" w:line="360" w:lineRule="auto"/>
        <w:jc w:val="both"/>
        <w:rPr>
          <w:rFonts w:ascii="Times New Roman" w:hAnsi="Times New Roman" w:cs="Times New Roman"/>
          <w:noProof/>
          <w:sz w:val="24"/>
          <w:szCs w:val="24"/>
          <w:lang w:val="pt-PT"/>
        </w:rPr>
      </w:pPr>
      <w:r>
        <w:rPr>
          <w:rFonts w:ascii="Times New Roman" w:hAnsi="Times New Roman" w:cs="Times New Roman"/>
          <w:noProof/>
          <w:sz w:val="24"/>
          <w:szCs w:val="24"/>
          <w:lang w:val="pt-PT"/>
        </w:rPr>
        <w:t>KIFEJEZVE közös akaratukat, hogy kapcsolataikat a megerősített partnerség szintjére emeljék;</w:t>
      </w:r>
    </w:p>
    <w:p>
      <w:pPr>
        <w:spacing w:after="0" w:line="360" w:lineRule="auto"/>
        <w:jc w:val="both"/>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MEGERŐSÍTVE a politikai párbeszédük és együttműködésük intenzívebbé tételére és fejlesztésére irányuló szándékukat;</w:t>
      </w:r>
    </w:p>
    <w:p>
      <w:pPr>
        <w:spacing w:after="0" w:line="360" w:lineRule="auto"/>
        <w:jc w:val="both"/>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AZZAL A SZÁNDÉKKAL, hogy a közös érdekű területeken megszilárdítsák, elmélyítsék és diverzifikálják kapcsolataikat kétoldalú, regionális és globális szinten, a kölcsönös előnyök biztosítása céljából;</w:t>
      </w: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KIFEJEZVE elkötelezettségüket a fokozottabb kétoldalú kereskedelem és beruházások számára kedvező környezet megteremtése mellett;</w:t>
      </w:r>
    </w:p>
    <w:p>
      <w:pPr>
        <w:spacing w:after="0" w:line="360" w:lineRule="auto"/>
        <w:jc w:val="both"/>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MEGERŐSÍTVE a jogérvényesülés, a szabadság és a biztonság terén folytatandó megerősített együttműködésre irányuló szándékukat;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FELISMERVE az oktatás, a kultúra, valamit a kutatás és innováció terén folytatott fokozott együttműködés kölcsönös előnyeit;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ELISMERVE a fenntartható fejlődés gazdasági, társadalmi és környezeti dimenziójának előmozdítására irányuló szándékukat;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ALAPOZVA az Unió és Ausztrália között létrejött megállapodásokra, különösen a tudománnyal, a légi szolgáltatásokkal, a borral, a minősített adatok biztonságával, az ipari termékekre vonatkozó megfelelőségértékelési eljárásokkal, valamint a légi utasokra vonatkozó adatcserével kapcsolatban;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MEGÁLLAPÍTVA, hogy amennyiben a Felek úgy döntenek, hogy e megállapodás keretében a szabadságon, a biztonságon és a jog érvényesülésén alapuló térség tekintetében olyan külön megállapodásokat kötnek, amelyeket az Európai Unió működéséről szóló szerződés harmadik része V. címe alapján kell megkötnie az Uniónak, e jövőbeli megállapodások rendelkezései az Egyesült Királyságra és/vagy Írországra nézve nem lesznek kötelezőek, kivéve, ha az Európai Unió és az Egyesült Királyság és/vagy Írország – korábbi kétoldalú kapcsolataik tekintetében – értesíti Ausztráliát, hogy ezek a megállapodások az Egyesült Királyságot és Írországot az Unió részeként kötelezik az Európai Unióról szóló szerződéshez és az Európai Unió működéséről szóló szerződéshez csatolt, az Egyesült Királyságnak és Írországnak a szabadságon, a biztonságon és a jog érvényesülésén alapuló térség tekintetében fennálló helyzetéről szóló 21. jegyzőkönyvnek megfelelően. A fentihez hasonlóan, az e megállapodás végrehajtása céljából, a fenti V. cím alapján elfogadandó bármilyen későbbi belső uniós intézkedés nem kötelező az Egyesült Királyságra és/vagy Írországra nézve, kivéve, ha a 21. jegyzőkönyvvel összhangban bejelentették, hogy részt kívánnak venni ilyen intézkedések elfogadásában vagy alkalmazásában. Megjegyezve továbbá, hogy az ilyen jövőbeni megállapodások vagy az ilyen későbbi uniós belső intézkedések a fenti szerződésekhez csatolt, Dánia helyzetéről szóló 22. jegyzőkönyv hatálya alá esnek;</w:t>
      </w:r>
    </w:p>
    <w:p>
      <w:pPr>
        <w:spacing w:after="0" w:line="360" w:lineRule="auto"/>
        <w:rPr>
          <w:rFonts w:ascii="Times New Roman" w:hAnsi="Times New Roman" w:cs="Times New Roman"/>
          <w:noProof/>
          <w:sz w:val="24"/>
          <w:szCs w:val="24"/>
          <w:lang w:val="pt-PT"/>
        </w:rPr>
      </w:pPr>
    </w:p>
    <w:p>
      <w:pPr>
        <w:spacing w:after="0" w:line="360" w:lineRule="auto"/>
        <w:jc w:val="both"/>
        <w:rPr>
          <w:rFonts w:ascii="Times New Roman" w:hAnsi="Times New Roman" w:cs="Times New Roman"/>
          <w:noProof/>
          <w:sz w:val="24"/>
          <w:szCs w:val="24"/>
          <w:lang w:val="pt-PT"/>
        </w:rPr>
      </w:pPr>
      <w:r>
        <w:rPr>
          <w:rFonts w:ascii="Times New Roman" w:hAnsi="Times New Roman" w:cs="Times New Roman"/>
          <w:noProof/>
          <w:sz w:val="24"/>
          <w:szCs w:val="24"/>
          <w:lang w:val="pt-PT"/>
        </w:rPr>
        <w:t>A KÖVETKEZŐKBEN ÁLLAPODTAK MEG:</w:t>
      </w: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I. CÍM</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A MEGÁLLAPODÁS CÉLJA ÉS ALAPJA</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1.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A megállapodás célja</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E megállapodás célja, hogy:</w:t>
      </w:r>
    </w:p>
    <w:p>
      <w:pPr>
        <w:spacing w:after="0" w:line="360" w:lineRule="auto"/>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(a)</w:t>
      </w:r>
      <w:r>
        <w:rPr>
          <w:rFonts w:ascii="Times New Roman" w:hAnsi="Times New Roman" w:cs="Times New Roman"/>
          <w:noProof/>
          <w:sz w:val="24"/>
          <w:szCs w:val="24"/>
          <w:lang w:val="pt-PT"/>
        </w:rPr>
        <w:tab/>
        <w:t>megerősített partnerséget hozzon létre a Felek között;</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(b)</w:t>
      </w:r>
      <w:r>
        <w:rPr>
          <w:rFonts w:ascii="Times New Roman" w:hAnsi="Times New Roman" w:cs="Times New Roman"/>
          <w:noProof/>
          <w:sz w:val="24"/>
          <w:szCs w:val="24"/>
          <w:lang w:val="pt-PT"/>
        </w:rPr>
        <w:tab/>
        <w:t>keretet biztosítson az együttműködés megkönnyítéséhez és előmozdításához a közös érdeklődésre számot tartó területek széles körében; valamint</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(c)</w:t>
      </w:r>
      <w:r>
        <w:rPr>
          <w:rFonts w:ascii="Times New Roman" w:hAnsi="Times New Roman" w:cs="Times New Roman"/>
          <w:noProof/>
          <w:sz w:val="24"/>
          <w:szCs w:val="24"/>
          <w:lang w:val="pt-PT"/>
        </w:rPr>
        <w:tab/>
        <w:t>fokozza az együttműködést a regionális és globális kihívásokra irányuló megoldások kialakítása érdekében.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2.</w:t>
      </w:r>
      <w:r>
        <w:rPr>
          <w:rFonts w:ascii="Times New Roman" w:hAnsi="Times New Roman" w:cs="Times New Roman"/>
          <w:noProof/>
          <w:sz w:val="24"/>
          <w:szCs w:val="24"/>
          <w:lang w:val="pt-PT"/>
        </w:rPr>
        <w:tab/>
        <w:t>Ezzel összefüggésben a Felek megerősítik elkötelezettségüket a magas szintű politikai párbeszéd intenzívebbé tétele mellett, és újólag megerősítik a kétoldalú kapcsolataikat meghatározó és együttműködésük alapját biztosító közös értékeiket és közös elveiket.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2.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Az együttműködés alapja</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Felek megállapodnak abban, hogy megerősítik stratégiai kapcsolatukat és intenzívebbé teszik együttműködésüket kétoldalú, regionális és globális szinten, közös értékeik és közös érdekeik alapján.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2.</w:t>
      </w:r>
      <w:r>
        <w:rPr>
          <w:rFonts w:ascii="Times New Roman" w:hAnsi="Times New Roman" w:cs="Times New Roman"/>
          <w:noProof/>
          <w:sz w:val="24"/>
          <w:szCs w:val="24"/>
          <w:lang w:val="pt-PT"/>
        </w:rPr>
        <w:tab/>
        <w:t>A Felek megerősítik a demokratikus alapelvek, az emberi jogok és alapvető szabadságok, valamint a jogállamiság iránti elkötelezettségüket. A Felek bel- és külpolitikájának alapja az Emberi Jogok Egyetemes Nyilatkozatában megállapított, a Polgári és Politikai Jogok Nemzetközi Egyezségokmányában, a Gazdasági, Szociális és Kulturális Jogok Nemzetközi Egyezségokmányában és olyan más nemzetközi emberi jogi eszközökben kifejezett demokratikus alapelvek, emberi jogok és alapvető szabadságok tiszteletben tartása, amelyeket a Felek megerősítettek vagy amelyekhez a Felek csatlakoztak, valamint a jogállamiság alapelvének tiszteletben tartása, és ez a megállapodás lényeges elemét képezi.</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3.</w:t>
      </w:r>
      <w:r>
        <w:rPr>
          <w:rFonts w:ascii="Times New Roman" w:hAnsi="Times New Roman" w:cs="Times New Roman"/>
          <w:noProof/>
          <w:sz w:val="24"/>
          <w:szCs w:val="24"/>
          <w:lang w:val="pt-PT"/>
        </w:rPr>
        <w:tab/>
        <w:t>A Felek megerősítik az Egyesült Nemzetek Alapokmánya és az abban kifejezett közös értékek iránti erőteljes támogatásukat.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4.</w:t>
      </w:r>
      <w:r>
        <w:rPr>
          <w:rFonts w:ascii="Times New Roman" w:hAnsi="Times New Roman" w:cs="Times New Roman"/>
          <w:noProof/>
          <w:sz w:val="24"/>
          <w:szCs w:val="24"/>
          <w:lang w:val="pt-PT"/>
        </w:rPr>
        <w:tab/>
        <w:t>A Felek újólag megerősítik elkötelezettségüket a fenntartható fejlődés és a gazdasági növekedés előmozdítása, a nemzetközileg elfogadott fejlesztési célok megvalósításához való hozzájárulás, valamint a globális környezeti kihívások – többek között az éghajlatváltozás – kezelését célzó együttműködés iránt.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5.</w:t>
      </w:r>
      <w:r>
        <w:rPr>
          <w:rFonts w:ascii="Times New Roman" w:hAnsi="Times New Roman" w:cs="Times New Roman"/>
          <w:noProof/>
          <w:sz w:val="24"/>
          <w:szCs w:val="24"/>
          <w:lang w:val="pt-PT"/>
        </w:rPr>
        <w:tab/>
        <w:t>A Felek hangsúlyozzák közös elkötelezettségüket kétoldalú kapcsolatuk átfogó jellege, valamint e tekintetben az általános koherencia e megállapodáson alapuló fenntartása iránt.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6.</w:t>
      </w:r>
      <w:r>
        <w:rPr>
          <w:rFonts w:ascii="Times New Roman" w:hAnsi="Times New Roman" w:cs="Times New Roman"/>
          <w:noProof/>
          <w:sz w:val="24"/>
          <w:szCs w:val="24"/>
          <w:lang w:val="pt-PT"/>
        </w:rPr>
        <w:tab/>
        <w:t>E megállapodás végrehajtása a párbeszéd, a kölcsönös tisztelet, az egyenlő partnerség, a konszenzus, valamint a nemzetközi jog tiszteletben tartásának elvén alapul.</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II. CÍM</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POLITIKAI PÁRBESZÉD ÉS EGYÜTTMŰKÖDÉS</w:t>
      </w:r>
      <w:r>
        <w:rPr>
          <w:rFonts w:ascii="Times New Roman" w:hAnsi="Times New Roman" w:cs="Times New Roman"/>
          <w:noProof/>
          <w:sz w:val="24"/>
          <w:szCs w:val="24"/>
          <w:lang w:val="pt-PT"/>
        </w:rPr>
        <w:br/>
        <w:t>KÜL- ÉS BIZTONSÁGPOLITIKAI KÉRDÉSEKBEN</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3.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Politikai párbeszéd</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Felek megállapodnak abban, hogy továbbfejlesztik rendszeres politikai párbeszédüket.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2.</w:t>
      </w:r>
      <w:r>
        <w:rPr>
          <w:rFonts w:ascii="Times New Roman" w:hAnsi="Times New Roman" w:cs="Times New Roman"/>
          <w:noProof/>
          <w:sz w:val="24"/>
          <w:szCs w:val="24"/>
          <w:lang w:val="pt-PT"/>
        </w:rPr>
        <w:tab/>
        <w:t>A politikai párbeszéd a következőkre irányul:</w:t>
      </w:r>
    </w:p>
    <w:p>
      <w:pPr>
        <w:spacing w:after="0" w:line="360" w:lineRule="auto"/>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(a)</w:t>
      </w:r>
      <w:r>
        <w:rPr>
          <w:rFonts w:ascii="Times New Roman" w:hAnsi="Times New Roman" w:cs="Times New Roman"/>
          <w:noProof/>
          <w:sz w:val="24"/>
          <w:szCs w:val="24"/>
          <w:lang w:val="pt-PT"/>
        </w:rPr>
        <w:tab/>
        <w:t>a kétoldalú kapcsolat fejlődésének előmozdítása; valamint</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(b)</w:t>
      </w:r>
      <w:r>
        <w:rPr>
          <w:rFonts w:ascii="Times New Roman" w:hAnsi="Times New Roman" w:cs="Times New Roman"/>
          <w:noProof/>
          <w:sz w:val="24"/>
          <w:szCs w:val="24"/>
          <w:lang w:val="pt-PT"/>
        </w:rPr>
        <w:tab/>
        <w:t>a Felek közös megközelítéseinek megerősítése, valamint a regionális és globális kihívásokra és problémákra irányuló együttműködés lehetőségeinek meghatározása.</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3.</w:t>
      </w:r>
      <w:r>
        <w:rPr>
          <w:rFonts w:ascii="Times New Roman" w:hAnsi="Times New Roman" w:cs="Times New Roman"/>
          <w:noProof/>
          <w:sz w:val="24"/>
          <w:szCs w:val="24"/>
          <w:lang w:val="pt-PT"/>
        </w:rPr>
        <w:tab/>
        <w:t>A Felek közötti párbeszéd különösképpen az alábbiak révén valósul meg:</w:t>
      </w:r>
    </w:p>
    <w:p>
      <w:pPr>
        <w:spacing w:after="0" w:line="360" w:lineRule="auto"/>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(a)</w:t>
      </w:r>
      <w:r>
        <w:rPr>
          <w:rFonts w:ascii="Times New Roman" w:hAnsi="Times New Roman" w:cs="Times New Roman"/>
          <w:noProof/>
          <w:sz w:val="24"/>
          <w:szCs w:val="24"/>
          <w:lang w:val="pt-PT"/>
        </w:rPr>
        <w:tab/>
        <w:t>konzultációk, találkozók és látogatások vezetői szinten, valahányszor a Felek szükségesnek tartják;</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(b)</w:t>
      </w:r>
      <w:r>
        <w:rPr>
          <w:rFonts w:ascii="Times New Roman" w:hAnsi="Times New Roman" w:cs="Times New Roman"/>
          <w:noProof/>
          <w:sz w:val="24"/>
          <w:szCs w:val="24"/>
          <w:lang w:val="pt-PT"/>
        </w:rPr>
        <w:tab/>
        <w:t>konzultációk, találkozók és látogatások miniszteri szinten, ideértve a külügyminiszteri szinten folytatott konzultációkat, a kereskedelmi és egyéb, a Felek által meghatározott kérdésekre vonatkozó miniszteri találkozók, a Felek által meghatározott időben és helyszínen;</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(c)</w:t>
      </w:r>
      <w:r>
        <w:rPr>
          <w:rFonts w:ascii="Times New Roman" w:hAnsi="Times New Roman" w:cs="Times New Roman"/>
          <w:noProof/>
          <w:sz w:val="24"/>
          <w:szCs w:val="24"/>
          <w:lang w:val="pt-PT"/>
        </w:rPr>
        <w:tab/>
        <w:t>rendszeres vezető tisztviselői szintű találkozók, szükség szerint kétoldalú kérdésekről, külpolitikáról, nemzetközi biztonságról, a terrorizmus elleni küzdelemről, kereskedelemről, fejlesztési együttműködésről, éghajlatváltozásról és a Felek által meghatározott egyéb kérdésekről;</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(d)</w:t>
      </w:r>
      <w:r>
        <w:rPr>
          <w:rFonts w:ascii="Times New Roman" w:hAnsi="Times New Roman" w:cs="Times New Roman"/>
          <w:noProof/>
          <w:sz w:val="24"/>
          <w:szCs w:val="24"/>
          <w:lang w:val="pt-PT"/>
        </w:rPr>
        <w:tab/>
        <w:t>ágazati párbeszéd a közös érdekű kérdésekről; valamint</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(e)</w:t>
      </w:r>
      <w:r>
        <w:rPr>
          <w:rFonts w:ascii="Times New Roman" w:hAnsi="Times New Roman" w:cs="Times New Roman"/>
          <w:noProof/>
          <w:sz w:val="24"/>
          <w:szCs w:val="24"/>
          <w:lang w:val="pt-PT"/>
        </w:rPr>
        <w:tab/>
        <w:t>delegációcserék és egyéb kapcsolattartás Ausztrália parlamentje és az Európai Parlament között.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4.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A demokratikus elvek, az emberi jogok és a jogállamiság iránti elkötelezettség</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 Felek megállapodnak a következőkben:</w:t>
      </w:r>
    </w:p>
    <w:p>
      <w:pPr>
        <w:spacing w:after="0" w:line="360" w:lineRule="auto"/>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(a)</w:t>
      </w:r>
      <w:r>
        <w:rPr>
          <w:rFonts w:ascii="Times New Roman" w:hAnsi="Times New Roman" w:cs="Times New Roman"/>
          <w:noProof/>
          <w:sz w:val="24"/>
          <w:szCs w:val="24"/>
          <w:lang w:val="pt-PT"/>
        </w:rPr>
        <w:tab/>
        <w:t>a demokratikus értékekkel, az emberi jogokkal és a jogállamisággal kapcsolatos alapelvek előmozdítása, többek között a multilaterális fórumokon;</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(b)</w:t>
      </w:r>
      <w:r>
        <w:rPr>
          <w:rFonts w:ascii="Times New Roman" w:hAnsi="Times New Roman" w:cs="Times New Roman"/>
          <w:noProof/>
          <w:sz w:val="24"/>
          <w:szCs w:val="24"/>
          <w:lang w:val="pt-PT"/>
        </w:rPr>
        <w:tab/>
        <w:t>együttműködés és egyeztetés – adott esetben harmadik országok bevonásával – is a demokratikus elvek, az emberi jogok és a jogállamiság gyakorlati előmozdítása terén;</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(c)</w:t>
      </w:r>
      <w:r>
        <w:rPr>
          <w:rFonts w:ascii="Times New Roman" w:hAnsi="Times New Roman" w:cs="Times New Roman"/>
          <w:noProof/>
          <w:sz w:val="24"/>
          <w:szCs w:val="24"/>
          <w:lang w:val="pt-PT"/>
        </w:rPr>
        <w:tab/>
        <w:t>egymásnak a demokrácia előmozdítására irányuló erőfeszítéseiben való részvétel ösztönzése, többek között a választási megfigyelő missziókban való részvételt megkönnyítő megállapodások kialakítása révén.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5.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Válságkezelés</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Felek újólag megerősítik elkötelezettségüket a nemzetközi béke és stabilitás előmozdításában való együttműködés mellett.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2.</w:t>
      </w:r>
      <w:r>
        <w:rPr>
          <w:rFonts w:ascii="Times New Roman" w:hAnsi="Times New Roman" w:cs="Times New Roman"/>
          <w:noProof/>
          <w:sz w:val="24"/>
          <w:szCs w:val="24"/>
          <w:lang w:val="pt-PT"/>
        </w:rPr>
        <w:tab/>
        <w:t>E cél érdekében feltárják a válságkezeléssel kapcsolatok tevékenységek összehangolásának lehetőségeit, ideértve a válságkezelési műveletekben való lehetséges együttműködést is.</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3.</w:t>
      </w:r>
      <w:r>
        <w:rPr>
          <w:rFonts w:ascii="Times New Roman" w:hAnsi="Times New Roman" w:cs="Times New Roman"/>
          <w:noProof/>
          <w:sz w:val="24"/>
          <w:szCs w:val="24"/>
          <w:lang w:val="pt-PT"/>
        </w:rPr>
        <w:tab/>
        <w:t>A Felek erőfeszítéseket tesznek az Európai Unió és Ausztrália közötti, Ausztráliának az európai válságkezelési műveletekben való részvétele kereteinek meghatározásáról szóló megállapodás végrehajtására.</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6.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A tömegpusztító fegyverek elterjedése elleni küzdelem</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Felek úgy vélik, hogy a nemzetközi stabilitást és biztonságot veszélyeztető tényezők közül az egyik legfenyegetőbb a tömegpusztító fegyverek (WMD) és hordozóeszközeik állami és nem állami szereplők körében való elterjedése.</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2.</w:t>
      </w:r>
      <w:r>
        <w:rPr>
          <w:rFonts w:ascii="Times New Roman" w:hAnsi="Times New Roman" w:cs="Times New Roman"/>
          <w:noProof/>
          <w:sz w:val="24"/>
          <w:szCs w:val="24"/>
          <w:lang w:val="pt-PT"/>
        </w:rPr>
        <w:tab/>
        <w:t>A Felek megállapodnak abban, hogy együttműködnek és hozzájárulnak a tömegpusztító fegyverek és hordozóeszközeik elterjedése elleni küzdelemhez annak révén, hogy teljes mértékben végrehajtják azon kötelezettségeiket, amelyek a leszerelésről és a tömegpusztító fegyverek elterjedésének megakadályozásáról szóló nemzetközi szerződések és megállapodások, valamint azon egyéb vonatkozó megállapodások alapján állnak fel, amelyeket a Felek megerősítettek vagy amelyekhez a Felek csatlakoztak. A Felek megállapodnak abban, hogy e rendelkezés e megállapodás lényegi elemét képezi.</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3.</w:t>
      </w:r>
      <w:r>
        <w:rPr>
          <w:rFonts w:ascii="Times New Roman" w:hAnsi="Times New Roman" w:cs="Times New Roman"/>
          <w:noProof/>
          <w:sz w:val="24"/>
          <w:szCs w:val="24"/>
          <w:lang w:val="pt-PT"/>
        </w:rPr>
        <w:tab/>
        <w:t>A Felek továbbá megállapodnak abban, hogy együttműködnek és hozzájárulnak a tömegpusztító fegyverek és hordozóeszközeik elterjedése elleni küzdelemhez azáltal, hogy:</w:t>
      </w:r>
    </w:p>
    <w:p>
      <w:pPr>
        <w:spacing w:after="0" w:line="360" w:lineRule="auto"/>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(a)</w:t>
      </w:r>
      <w:r>
        <w:rPr>
          <w:rFonts w:ascii="Times New Roman" w:hAnsi="Times New Roman" w:cs="Times New Roman"/>
          <w:noProof/>
          <w:sz w:val="24"/>
          <w:szCs w:val="24"/>
          <w:lang w:val="pt-PT"/>
        </w:rPr>
        <w:tab/>
        <w:t>minden szükséges lépést megtesznek minden vonatkozó nemzetközi jogi eszköz aláírására, megerősítésére vagy az ahhoz történő csatlakozásra – az esettől függően, valamint ezen jogi eszközök előmozdítására;</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(b)</w:t>
      </w:r>
      <w:r>
        <w:rPr>
          <w:rFonts w:ascii="Times New Roman" w:hAnsi="Times New Roman" w:cs="Times New Roman"/>
          <w:noProof/>
          <w:sz w:val="24"/>
          <w:szCs w:val="24"/>
          <w:lang w:val="pt-PT"/>
        </w:rPr>
        <w:tab/>
        <w:t>hatékony nemzeti exportellenőrzési rendszert tartanak fenn, amelynek révén ellenőrzik a tömegpusztító fegyverekkel kapcsolatos áruk exportját és tranzitját, beleértve a kettős felhasználású technológiák esetében a tömegpusztító fegyverként való végfelhasználás ellenőrzését, valamint amelynek keretében hatékony szankciókat helyeznek kilátásba az exportellenőrzés megsértése esetére;</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(c)</w:t>
      </w:r>
      <w:r>
        <w:rPr>
          <w:rFonts w:ascii="Times New Roman" w:hAnsi="Times New Roman" w:cs="Times New Roman"/>
          <w:noProof/>
          <w:sz w:val="24"/>
          <w:szCs w:val="24"/>
          <w:lang w:val="pt-PT"/>
        </w:rPr>
        <w:tab/>
        <w:t>előmozdítják ENSZ Biztonsági Tanácsa valamennyi vonatkozó határozatának végrehajtását;</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(d)</w:t>
      </w:r>
      <w:r>
        <w:rPr>
          <w:rFonts w:ascii="Times New Roman" w:hAnsi="Times New Roman" w:cs="Times New Roman"/>
          <w:noProof/>
          <w:sz w:val="24"/>
          <w:szCs w:val="24"/>
          <w:lang w:val="pt-PT"/>
        </w:rPr>
        <w:tab/>
        <w:t>együttműködnek a multilaterális fórumok és exportellenőrzési rendszerek keretében a tömegpusztító fegyverek elterjedésének megakadályozása érdekében;</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(e)</w:t>
      </w:r>
      <w:r>
        <w:rPr>
          <w:rFonts w:ascii="Times New Roman" w:hAnsi="Times New Roman" w:cs="Times New Roman"/>
          <w:noProof/>
          <w:sz w:val="24"/>
          <w:szCs w:val="24"/>
          <w:lang w:val="pt-PT"/>
        </w:rPr>
        <w:tab/>
        <w:t>együttműködnek a vegyi, biológiai, radiológiai és nukleáris biztonságra és védelemre, a nonproliferációra és a szankciókra vonatkozó tájékoztatási tevékenységekben és koordinálják ezeket; valamint</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(f)</w:t>
      </w:r>
      <w:r>
        <w:rPr>
          <w:rFonts w:ascii="Times New Roman" w:hAnsi="Times New Roman" w:cs="Times New Roman"/>
          <w:noProof/>
          <w:sz w:val="24"/>
          <w:szCs w:val="24"/>
          <w:lang w:val="pt-PT"/>
        </w:rPr>
        <w:tab/>
        <w:t>adott esetben és hatásköreiktől függően megosztják az e cikk alapján tett intézkedésekre vonatkozó releváns információkat.</w:t>
      </w: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4.</w:t>
      </w:r>
      <w:r>
        <w:rPr>
          <w:rFonts w:ascii="Times New Roman" w:hAnsi="Times New Roman" w:cs="Times New Roman"/>
          <w:noProof/>
          <w:sz w:val="24"/>
          <w:szCs w:val="24"/>
          <w:lang w:val="pt-PT"/>
        </w:rPr>
        <w:tab/>
        <w:t>A Felek megállapodnak abban, hogy rendszeres politikai párbeszédet tartanak fenn, amely ezeket az elemeket kíséri és egységes keretbe foglalja.</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7.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Kézi- és könnyűfegyverek és más hagyományos fegyverek</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Felek elismerik, hogy a kézi- és könnyűfegyverek (SALW) – és az azokhoz szükséges lőszerek – tiltott gyártása, átadása és forgalmazása, valamint túlzott felhalmozása, helytelen kezelése, nem megfelelően védett készletei és ellenőrizetlen elterjedése továbbra is komoly fenyegetést jelent a nemzetközi békére és biztonságra.</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2.</w:t>
      </w:r>
      <w:r>
        <w:rPr>
          <w:rFonts w:ascii="Times New Roman" w:hAnsi="Times New Roman" w:cs="Times New Roman"/>
          <w:noProof/>
          <w:sz w:val="24"/>
          <w:szCs w:val="24"/>
          <w:lang w:val="pt-PT"/>
        </w:rPr>
        <w:tab/>
        <w:t>A Felek megállapodnak, hogy tiszteletben tartják és teljes mértékben végrehajtják a kézi-és könnyűfegyverek, valamint az azokhoz szükséges lőszerek tiltott kereskedelmének kezelésével kapcsolatos mindazon kötelezettségeiket, amelyek azon létező nemzetközi megállapodások értelmében hárulnak rájuk, amelyeket Ausztrália és vagy az Unió és/vagy a tagállamok megerősítettek vagy amelyekhez csatlakoztak, hatásköreiktől függően és az ENSZ Biztonsági Tanácsának határozataival összhangban.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3.</w:t>
      </w:r>
      <w:r>
        <w:rPr>
          <w:rFonts w:ascii="Times New Roman" w:hAnsi="Times New Roman" w:cs="Times New Roman"/>
          <w:noProof/>
          <w:sz w:val="24"/>
          <w:szCs w:val="24"/>
          <w:lang w:val="pt-PT"/>
        </w:rPr>
        <w:tab/>
        <w:t>A Felek elismerik azoknak a nemzeti ellenőrzőrendszereknek a jelentőségét, amelyek a hagyományos fegyverek meglévő nemzetközi normákkal összhangban történő átadásának az ellenőrzésére irányulnak. A Felek elismerik annak fontosságát, hogy az ilyen ellenőrzésekre felelősségteljes módon kerüljön sor, és azt is, hogy ezek az ellenőrzések hozzájárulnak a nemzetközi és a regionális békéhez, biztonsághoz és stabilitáshoz, az emberi szenvedés enyhítéséhez, valamint a hagyományos fegyverek tiltott célokra történő felhasználásának a megakadályozásához.</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4.</w:t>
      </w:r>
      <w:r>
        <w:rPr>
          <w:rFonts w:ascii="Times New Roman" w:hAnsi="Times New Roman" w:cs="Times New Roman"/>
          <w:noProof/>
          <w:sz w:val="24"/>
          <w:szCs w:val="24"/>
          <w:lang w:val="pt-PT"/>
        </w:rPr>
        <w:tab/>
        <w:t>A Felek e tekintetben vállalják, hogy igyekeznek maradéktalanul végrehajtani a Fegyverkereskedelmi Szerződést és együttműködnek egymással a Szerződés keretében, többek között a Fegyverkereskedelmi Szerződés egyetemessé tételének az előmozdításában és annak elősegítésében is, hogy a Szerződést az összes ENSZ-tagállam teljes körűen végrehajtsa.</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5.</w:t>
      </w:r>
      <w:r>
        <w:rPr>
          <w:rFonts w:ascii="Times New Roman" w:hAnsi="Times New Roman" w:cs="Times New Roman"/>
          <w:noProof/>
          <w:sz w:val="24"/>
          <w:szCs w:val="24"/>
          <w:lang w:val="pt-PT"/>
        </w:rPr>
        <w:tab/>
        <w:t>A Felek vállalják, hogy globális, regionális, szubregionális és nemzeti szinten együttműködnek a kézi- és könnyűfegyverek, valamint az azokhoz szükséges lőszerek tiltott kereskedelme elleni küzdelemben, és biztosítják az e téren tett erőfeszítéseik összehangoltságát, egymást kiegészítő és erősítő jellegét az ENSZ Biztonsági Tanácsának határozatai szerinti fegyverembargók hatékony végrehajtása érdekében és az ENSZ Alapokmányával összhangban.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8.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A nemzetközi közösséget érintő súlyos bűncselekmények és a Nemzetközi Büntetőbíróság</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Felek megerősítik, hogy az egész nemzetközi közösséget érintő legsúlyosabb bűncselekmények nem maradhatnak büntetlenül, hatékony üldözésüket nemzeti vagy nemzetközi szinten hozott intézkedésekkel kell biztosítani, a Nemzetközi Büntetőbíróságon keresztül is.</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2.</w:t>
      </w:r>
      <w:r>
        <w:rPr>
          <w:rFonts w:ascii="Times New Roman" w:hAnsi="Times New Roman" w:cs="Times New Roman"/>
          <w:noProof/>
          <w:sz w:val="24"/>
          <w:szCs w:val="24"/>
          <w:lang w:val="pt-PT"/>
        </w:rPr>
        <w:tab/>
        <w:t>A Felek megállapodnak, hogy együttműködnek a Római Statútum céljainak és célkitűzéseinek előmozdítása érdekében, és ezért megállapodnak, hogy:</w:t>
      </w:r>
    </w:p>
    <w:p>
      <w:pPr>
        <w:spacing w:after="0" w:line="360" w:lineRule="auto"/>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(a)</w:t>
      </w:r>
      <w:r>
        <w:rPr>
          <w:rFonts w:ascii="Times New Roman" w:hAnsi="Times New Roman" w:cs="Times New Roman"/>
          <w:noProof/>
          <w:sz w:val="24"/>
          <w:szCs w:val="24"/>
          <w:lang w:val="pt-PT"/>
        </w:rPr>
        <w:tab/>
        <w:t>további lépéseket tesznek a Római Statútum végrehajtása érdekében, és mérlegelik a kapcsolódó eszközök (például a Nemzetközi Büntetőbíróság kiváltságairól és mentességeiről szóló megállapodás) megerősítését és végrehajtását;</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(b)</w:t>
      </w:r>
      <w:r>
        <w:rPr>
          <w:rFonts w:ascii="Times New Roman" w:hAnsi="Times New Roman" w:cs="Times New Roman"/>
          <w:noProof/>
          <w:sz w:val="24"/>
          <w:szCs w:val="24"/>
          <w:lang w:val="pt-PT"/>
        </w:rPr>
        <w:tab/>
        <w:t>folytatják a Római Statútumhoz való általános csatlakozás ösztönzését, többek között azáltal, hogy megosztják a Római Statútum megerősítéséhez és végrehajtásához szükséges intézkedések elfogadásával kapcsolatos tapasztalatokat más államokkal; valamint</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(c)</w:t>
      </w:r>
      <w:r>
        <w:rPr>
          <w:rFonts w:ascii="Times New Roman" w:hAnsi="Times New Roman" w:cs="Times New Roman"/>
          <w:noProof/>
          <w:sz w:val="24"/>
          <w:szCs w:val="24"/>
          <w:lang w:val="pt-PT"/>
        </w:rPr>
        <w:tab/>
        <w:t>alapelveinek védelme révén megőrzik a Római Statútum integritását, többek között azáltal, hogy nem kötnek harmadik államokkal a kiadatás tiltásáról szóló kétoldalú megállapodásokat (más néven a 98. cikk szerinti megállapodásokat), és másokat is az ettől való tartózkodásra ösztönöznek.</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9.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Együttműködés a terrorizmus elleni küzdelemben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Felek újólag megerősítik a terrorizmus megelőzésének és a terrorizmus elleni küzdelemnek a jelentőségét, a jogállamiság és az emberi jogok teljes körű tiszteletben tartása mellett, az alkalmazandó nemzetközi joggal, köztük az ENSZ Alapokmányával, a terrorizmus elleni nemzetközi egyezményekkel, az ENSZ Biztonsági Tanácsának vonatkozó határozataival, a menekültjoggal és a nemzetközi humanitárius joggal összhangban.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2.</w:t>
      </w:r>
      <w:r>
        <w:rPr>
          <w:rFonts w:ascii="Times New Roman" w:hAnsi="Times New Roman" w:cs="Times New Roman"/>
          <w:noProof/>
          <w:sz w:val="24"/>
          <w:szCs w:val="24"/>
          <w:lang w:val="pt-PT"/>
        </w:rPr>
        <w:tab/>
        <w:t>A Felek megállapodnak abban, hogy – e kereten belül és figyelembe véve az ENSZ Közgyűlésének 2006. szeptember 8-i 60/288. sz. határozatában foglalt, terrorizmus elleni globális stratégiát, valamint annak végrehajtási felülvizsgálatait – együttműködnek a terrorizmus megelőzése és visszaszorítása terén, különösen az alábbiak révén:</w:t>
      </w:r>
    </w:p>
    <w:p>
      <w:pPr>
        <w:spacing w:after="0" w:line="360" w:lineRule="auto"/>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(a)</w:t>
      </w:r>
      <w:r>
        <w:rPr>
          <w:rFonts w:ascii="Times New Roman" w:hAnsi="Times New Roman" w:cs="Times New Roman"/>
          <w:noProof/>
          <w:sz w:val="24"/>
          <w:szCs w:val="24"/>
          <w:lang w:val="pt-PT"/>
        </w:rPr>
        <w:tab/>
        <w:t>a terrorcsoportokkal és azok támogató hálózataival kapcsolatos információk cseréje a nemzetközi és nemzeti joggal összhangban;</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(b)</w:t>
      </w:r>
      <w:r>
        <w:rPr>
          <w:rFonts w:ascii="Times New Roman" w:hAnsi="Times New Roman" w:cs="Times New Roman"/>
          <w:noProof/>
          <w:sz w:val="24"/>
          <w:szCs w:val="24"/>
          <w:lang w:val="pt-PT"/>
        </w:rPr>
        <w:tab/>
        <w:t>a terrorizmus elleni küzdelemben alkalmazott eszközökkel és módszerekkel kapcsolatos vélemények cseréje, beleértve a technikai területeket, a képzést és a terrorizmus megelőzése tekintetében folytatott tapasztalatcserét;</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(c)</w:t>
      </w:r>
      <w:r>
        <w:rPr>
          <w:rFonts w:ascii="Times New Roman" w:hAnsi="Times New Roman" w:cs="Times New Roman"/>
          <w:noProof/>
          <w:sz w:val="24"/>
          <w:szCs w:val="24"/>
          <w:lang w:val="pt-PT"/>
        </w:rPr>
        <w:tab/>
        <w:t>a jövőbeli együttműködés területeinek meghatározása, többek között a toborzás és a radikalizálódás megelőzése és a terrorizmus finanszírozása elleni küzdelem tekintetében, valamint harmadik országokkal való partnerségek révén;</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(d)</w:t>
      </w:r>
      <w:r>
        <w:rPr>
          <w:rFonts w:ascii="Times New Roman" w:hAnsi="Times New Roman" w:cs="Times New Roman"/>
          <w:noProof/>
          <w:sz w:val="24"/>
          <w:szCs w:val="24"/>
          <w:lang w:val="pt-PT"/>
        </w:rPr>
        <w:tab/>
        <w:t>adott esetben, ha ez megvalósítható és szükséges, a terrorizmus elleni küzdelem terén való bűnüldözési együttműködésre irányuló, az emberi jogok és a jogállamiság maradéktalan tiszteletben tartásán alapuló regionális kezdeményezések támogatása;</w:t>
      </w:r>
    </w:p>
    <w:p>
      <w:pPr>
        <w:spacing w:after="0" w:line="360" w:lineRule="auto"/>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(e)</w:t>
      </w:r>
      <w:r>
        <w:rPr>
          <w:rFonts w:ascii="Times New Roman" w:hAnsi="Times New Roman" w:cs="Times New Roman"/>
          <w:noProof/>
          <w:sz w:val="24"/>
          <w:szCs w:val="24"/>
          <w:lang w:val="pt-PT"/>
        </w:rPr>
        <w:tab/>
        <w:t>a terrorizmus elleni küzdelemről szóló nemzetközi egyetértés és az erre irányuló normatív keret elmélyítése érdekében folytatott együttműködés, valamint erőfeszítések a nemzetközi terrorizmus elleni átfogó egyezménnyel kapcsolatos megállapodás megvalósítására;</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(f)</w:t>
      </w:r>
      <w:r>
        <w:rPr>
          <w:rFonts w:ascii="Times New Roman" w:hAnsi="Times New Roman" w:cs="Times New Roman"/>
          <w:noProof/>
          <w:sz w:val="24"/>
          <w:szCs w:val="24"/>
          <w:lang w:val="pt-PT"/>
        </w:rPr>
        <w:tab/>
        <w:t>az ENSZ terrorizmus elleni globális stratégiájának hatékony végrehajtása érdekében az ENSZ-tagállamok közötti együttműködés valamennyi megfelelő eszközzel történő ösztönzése; valamint</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(g)</w:t>
      </w:r>
      <w:r>
        <w:rPr>
          <w:rFonts w:ascii="Times New Roman" w:hAnsi="Times New Roman" w:cs="Times New Roman"/>
          <w:noProof/>
          <w:sz w:val="24"/>
          <w:szCs w:val="24"/>
          <w:lang w:val="pt-PT"/>
        </w:rPr>
        <w:tab/>
        <w:t>a bevált gyakorlatok cseréje a terrorizmus elleni küzdelem terén az emberi jogok védelme tekintetében.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3.</w:t>
      </w:r>
      <w:r>
        <w:rPr>
          <w:rFonts w:ascii="Times New Roman" w:hAnsi="Times New Roman" w:cs="Times New Roman"/>
          <w:noProof/>
          <w:sz w:val="24"/>
          <w:szCs w:val="24"/>
          <w:lang w:val="pt-PT"/>
        </w:rPr>
        <w:tab/>
        <w:t>A Felek újólag megerősítik elkötelezettségüket arra vonatkozóan, hogy együttműködnek adott esetben olyan harmadik országoknak nyújtandó terrorellenes kapacitásépítési támogatás biztosítása érdekében, amelyeknek forrásokra és szakértelemre van szükségük a terrorista tevékenységek megelőzéséhez és az azokkal szembeni fellépéshez.</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4.</w:t>
      </w:r>
      <w:r>
        <w:rPr>
          <w:rFonts w:ascii="Times New Roman" w:hAnsi="Times New Roman" w:cs="Times New Roman"/>
          <w:noProof/>
          <w:sz w:val="24"/>
          <w:szCs w:val="24"/>
          <w:lang w:val="pt-PT"/>
        </w:rPr>
        <w:tab/>
        <w:t>A Felek megállapodnak, hogy szorosan együttműködnek a terrorizmus elleni küzdelem világfóruma és annak munkacsoportjai keretében.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5.</w:t>
      </w:r>
      <w:r>
        <w:rPr>
          <w:rFonts w:ascii="Times New Roman" w:hAnsi="Times New Roman" w:cs="Times New Roman"/>
          <w:noProof/>
          <w:sz w:val="24"/>
          <w:szCs w:val="24"/>
          <w:lang w:val="pt-PT"/>
        </w:rPr>
        <w:tab/>
        <w:t>A Felek megállapodnak, hogy rendszeres párbeszédet folytatnak tisztviselői szinten a terrorizmus elleni küzdelemről.</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10.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Együttműködés a regionális és nemzetközi szervezetekben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 Felek vállalják, hogy eszmecsere folytatásával és adott esetben álláspontjaik egyeztetésével együttműködnek egymással a nemzetközi és regionális szervezetekben és fórumokon, így az Egyesült Nemzetek Szervezetében és annak szakosított intézményeiben, a Kereskedelmi Világszervezetben (WTO), a G20-csoportban, a Pénzügyi Stabilitási Tanácsban (FSB), a Gazdasági Együttműködési és Fejlesztési Szervezetben (OECD), a Világbank-csoportban és a regionális fejlesztési bankokban, az Ázsia–Európa találkozón (ASEM), az Európai Biztonsági és Együttműködési Szervezetben (EBESZ), az ASEAN regionális fórumon (ARF), a Csendes-óceáni Szigetek Fórumán (PIF), valamint a Csendes-óceáni Közösség Titkárságában.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11.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Nemzetközi biztonság és kibertér</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 Felek elismerik a nemzetközi biztonság és kibertér terén folytatott együttműködés és eszmecsere jelentőségét, többek között a kibertérre vonatkozó viselkedési normák és a nemzetközi jog kibertérre való alkalmazása, a bizalomépítő intézkedések kidolgozása és a kapacitásépítés tekintetében.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III. CÍM</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EGYÜTTMŰKÖDÉS A GLOBÁLIS FEJLESZTÉS ÉS A HUMANITÁRIUS SEGÍTSÉGNYÚJTÁS TEKINTETÉBEN</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12.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Fejlesztés</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Felek újból megerősítik elkötelezettségüket a fenntartható gazdasági növekedéshez és a szegénység csökkentéséhez való hozzájárulás, a nemzetközi fejlesztésben való együttműködés megerősítése, valamint a segélyezés és fejlesztés hatékonyságának előmozdítása mellett, különös hangsúlyt fektetve az országszintű végrehajtásra.</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2.</w:t>
      </w:r>
      <w:r>
        <w:rPr>
          <w:rFonts w:ascii="Times New Roman" w:hAnsi="Times New Roman" w:cs="Times New Roman"/>
          <w:noProof/>
          <w:sz w:val="24"/>
          <w:szCs w:val="24"/>
          <w:lang w:val="pt-PT"/>
        </w:rPr>
        <w:tab/>
        <w:t>A Felek elismerik az együttes munka értékét a fejlesztési tevékenységek nagyobb hatásának, hatósugarának és befolyásának biztosításában.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3.</w:t>
      </w:r>
      <w:r>
        <w:rPr>
          <w:rFonts w:ascii="Times New Roman" w:hAnsi="Times New Roman" w:cs="Times New Roman"/>
          <w:noProof/>
          <w:sz w:val="24"/>
          <w:szCs w:val="24"/>
          <w:lang w:val="pt-PT"/>
        </w:rPr>
        <w:tab/>
        <w:t>Ennek érdekében a Felek megállapodnak, hogy:</w:t>
      </w:r>
    </w:p>
    <w:p>
      <w:pPr>
        <w:spacing w:after="0" w:line="360" w:lineRule="auto"/>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(a)</w:t>
      </w:r>
      <w:r>
        <w:rPr>
          <w:rFonts w:ascii="Times New Roman" w:hAnsi="Times New Roman" w:cs="Times New Roman"/>
          <w:noProof/>
          <w:sz w:val="24"/>
          <w:szCs w:val="24"/>
          <w:lang w:val="pt-PT"/>
        </w:rPr>
        <w:tab/>
        <w:t>rendszeres szakpolitikai párbeszédet folytatnak a fejlesztési együttműködésről;</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(b)</w:t>
      </w:r>
      <w:r>
        <w:rPr>
          <w:rFonts w:ascii="Times New Roman" w:hAnsi="Times New Roman" w:cs="Times New Roman"/>
          <w:noProof/>
          <w:sz w:val="24"/>
          <w:szCs w:val="24"/>
          <w:lang w:val="pt-PT"/>
        </w:rPr>
        <w:tab/>
        <w:t>eszmecserét folytatnak és adott esetben egyeztetik álláspontjaikat a fejlesztési kérdésekről a regionális és nemzetközi fórumokon a humán fejlődést szolgáló inkluzív és fenntartható növekedés előmozdítása érdekében;</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(c)</w:t>
      </w:r>
      <w:r>
        <w:rPr>
          <w:rFonts w:ascii="Times New Roman" w:hAnsi="Times New Roman" w:cs="Times New Roman"/>
          <w:noProof/>
          <w:sz w:val="24"/>
          <w:szCs w:val="24"/>
          <w:lang w:val="pt-PT"/>
        </w:rPr>
        <w:tab/>
        <w:t>információcserét folytatnak fejlesztési programjaikról és adott esetben összehangolják helyszíni szerepvállalásaikat, hogy jelentősebben járuljanak hozzá a fenntartható gazdasági növekedéshez és a szegénység csökkentéséhez a programjaik közti szinergia erősítésével, a munkamegosztás javításával és a helyszíni fellépések hatékonyságának fokozásával; valamint</w:t>
      </w:r>
    </w:p>
    <w:p>
      <w:pPr>
        <w:spacing w:after="0" w:line="360" w:lineRule="auto"/>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(d)</w:t>
      </w:r>
      <w:r>
        <w:rPr>
          <w:rFonts w:ascii="Times New Roman" w:hAnsi="Times New Roman" w:cs="Times New Roman"/>
          <w:noProof/>
          <w:sz w:val="24"/>
          <w:szCs w:val="24"/>
          <w:lang w:val="pt-PT"/>
        </w:rPr>
        <w:tab/>
        <w:t>adott esetben felhatalmazásos segélyezési együttműködést vállalnak egymás nevében, a Felek által kölcsönösen meghatározott feltételek alapján.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13.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Humanitárius segélynyújtás</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 Felek újból megerősítik közös elkötelezettségüket a humanitárius segélynyújtás mellett, és szükség szerint összehangolt válaszlépésekre törekednek.</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IV. CÍM</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EGYÜTTMŰKÖDÉS GAZDASÁGI ÉS KERESKEDELMI KÉRDÉSEKBEN</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14.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Gazdaságpolitikai párbeszéd</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 Felek megállapodnak, hogy fenntartják a hatóságaik közötti párbeszédet és ösztönzik a makrogazdasági szakpolitikákkal és trendekkel kapcsolatos információcserét és a tapasztalatok megosztását, ideértve a gazdasági szakpolitikáknak a regionális gazdasági együttműködés és integráció kontextusában történő koordinálására vonatkozó információcserét is.</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15.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Kereskedelmi és beruházási párbeszéd és együttműködés</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Felek vállalják, hogy biztosítják a közöttük fennálló fokozott kereskedelem és beruházások feltételeit, valamint ösztönzik ezek növekedését.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2.</w:t>
      </w:r>
      <w:r>
        <w:rPr>
          <w:rFonts w:ascii="Times New Roman" w:hAnsi="Times New Roman" w:cs="Times New Roman"/>
          <w:noProof/>
          <w:sz w:val="24"/>
          <w:szCs w:val="24"/>
          <w:lang w:val="pt-PT"/>
        </w:rPr>
        <w:tab/>
        <w:t>A Felek elkötelezik magukat a magas szintű párbeszéd és együttműködés mellett a kereskedelemmel és beruházásokkal kapcsolatos valamennyi közös érdekű területen, a kétoldalú kereskedelmi forgalom és a beruházások megkönnyítése érdekében, a kereskedelem és a beruházások nem vámjellegű akadályainak megelőzése és felszámolása, az átláthatóság javítása, valamint a multilaterális kereskedelmi rendszer fejlesztése érdekében.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3.</w:t>
      </w:r>
      <w:r>
        <w:rPr>
          <w:rFonts w:ascii="Times New Roman" w:hAnsi="Times New Roman" w:cs="Times New Roman"/>
          <w:noProof/>
          <w:sz w:val="24"/>
          <w:szCs w:val="24"/>
          <w:lang w:val="pt-PT"/>
        </w:rPr>
        <w:tab/>
        <w:t>A kereskedelmi és beruházási kérdésekről szóló párbeszéd részét képezik az alábbiak:</w:t>
      </w:r>
    </w:p>
    <w:p>
      <w:pPr>
        <w:spacing w:after="0" w:line="360" w:lineRule="auto"/>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(a)</w:t>
      </w:r>
      <w:r>
        <w:rPr>
          <w:rFonts w:ascii="Times New Roman" w:hAnsi="Times New Roman" w:cs="Times New Roman"/>
          <w:noProof/>
          <w:sz w:val="24"/>
          <w:szCs w:val="24"/>
          <w:lang w:val="pt-PT"/>
        </w:rPr>
        <w:tab/>
        <w:t>éves kereskedelmi szakpolitikai párbeszéd vezető tisztviselői szinten, melyet kereskedelmi témájú miniszteri találkozók egészítenek ki, amennyiben a Felek így határozzák meg;</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(b)</w:t>
      </w:r>
      <w:r>
        <w:rPr>
          <w:rFonts w:ascii="Times New Roman" w:hAnsi="Times New Roman" w:cs="Times New Roman"/>
          <w:noProof/>
          <w:sz w:val="24"/>
          <w:szCs w:val="24"/>
          <w:lang w:val="pt-PT"/>
        </w:rPr>
        <w:tab/>
        <w:t>párbeszéd a mezőgazdasági kereskedelemről és piaci értékesítésről, állat- és növény-egészségügyi kérdésekről; valamint</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(c)</w:t>
      </w:r>
      <w:r>
        <w:rPr>
          <w:rFonts w:ascii="Times New Roman" w:hAnsi="Times New Roman" w:cs="Times New Roman"/>
          <w:noProof/>
          <w:sz w:val="24"/>
          <w:szCs w:val="24"/>
          <w:lang w:val="pt-PT"/>
        </w:rPr>
        <w:tab/>
        <w:t>egyéb ágazati eszmecserék, amennyiben a Felek így határozzák meg.</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4.</w:t>
      </w:r>
      <w:r>
        <w:rPr>
          <w:rFonts w:ascii="Times New Roman" w:hAnsi="Times New Roman" w:cs="Times New Roman"/>
          <w:noProof/>
          <w:sz w:val="24"/>
          <w:szCs w:val="24"/>
          <w:lang w:val="pt-PT"/>
        </w:rPr>
        <w:tab/>
        <w:t>A Felek tájékoztatják egymást és eszmecserét folytatnak egymással a kétoldalú és a nemzetközi kereskedelem, a beruházások, valamint az egyéb szakpolitikák kereskedelemmel és beruházásokkal kapcsolatos vonatkozásainak alakulásáról, ideértve azokat a szabályozási kérdéseket is, amelyek esetleg hatással lehetnek a kétoldalú kereskedelemre és beruházásokra.</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5.</w:t>
      </w:r>
      <w:r>
        <w:rPr>
          <w:rFonts w:ascii="Times New Roman" w:hAnsi="Times New Roman" w:cs="Times New Roman"/>
          <w:noProof/>
          <w:sz w:val="24"/>
          <w:szCs w:val="24"/>
          <w:lang w:val="pt-PT"/>
        </w:rPr>
        <w:tab/>
        <w:t>A Felek információcserét folytatnak a szabadkereskedelmi megállapodásokra és az ezekkel kapcsolatos menetrendekre vonatkozó szakpolitikai megközelítéseikről. E megállapodás nem írja elő és nem is zárja ki azt, hogy e megállapodás gazdasági rendelkezéseinek kiegészítése és kibővítése érdekében a Felek között a jövőben szabadkereskedelmi megállapodás megtárgyalására és megkötésére kerüljön sor.</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6.</w:t>
      </w:r>
      <w:r>
        <w:rPr>
          <w:rFonts w:ascii="Times New Roman" w:hAnsi="Times New Roman" w:cs="Times New Roman"/>
          <w:noProof/>
          <w:sz w:val="24"/>
          <w:szCs w:val="24"/>
          <w:lang w:val="pt-PT"/>
        </w:rPr>
        <w:tab/>
        <w:t>Felismerve a kereskedelmi liberalizáció értékét a globális gazdasági növekedés előmozdításában és annak jelentőségét, hogy erre egy szabályokon alapuló multilaterális kereskedelmi rendszer keretében törekedjenek, a Felek megerősítik elkötelezettségüket a WTO-n belül a további kereskedelmi liberalizáció megvalósítása érdekében folytatott együttműködésük mellett.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16.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Beruházás</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 Felek párbeszéd útján ösztönzik a kétoldalú beruházások vonzó és stabil környezetének kialakítását, mely párbeszéd az alábbiakra irányul:</w:t>
      </w:r>
    </w:p>
    <w:p>
      <w:pPr>
        <w:spacing w:after="0" w:line="360" w:lineRule="auto"/>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(a)</w:t>
      </w:r>
      <w:r>
        <w:rPr>
          <w:rFonts w:ascii="Times New Roman" w:hAnsi="Times New Roman" w:cs="Times New Roman"/>
          <w:noProof/>
          <w:sz w:val="24"/>
          <w:szCs w:val="24"/>
          <w:lang w:val="pt-PT"/>
        </w:rPr>
        <w:tab/>
        <w:t>a Felek közti kölcsönös megértés és együttműködés fokozása a beruházással kapcsolatos kérdésekben;</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(b)</w:t>
      </w:r>
      <w:r>
        <w:rPr>
          <w:rFonts w:ascii="Times New Roman" w:hAnsi="Times New Roman" w:cs="Times New Roman"/>
          <w:noProof/>
          <w:sz w:val="24"/>
          <w:szCs w:val="24"/>
          <w:lang w:val="pt-PT"/>
        </w:rPr>
        <w:tab/>
        <w:t>a beruházások áramlását elősegítő mechanizmusok feltárása; valamint</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(c)</w:t>
      </w:r>
      <w:r>
        <w:rPr>
          <w:rFonts w:ascii="Times New Roman" w:hAnsi="Times New Roman" w:cs="Times New Roman"/>
          <w:noProof/>
          <w:sz w:val="24"/>
          <w:szCs w:val="24"/>
          <w:lang w:val="pt-PT"/>
        </w:rPr>
        <w:tab/>
        <w:t>stabil, átlátható, megkülönböztetésmentes és nyílt szabályok kialakítása a beruházók számára, a Felek preferenciális kereskedelmi megállapodások és egyéb nemzetközi kötelezettségek értelmében fennálló kötelezettségvállalásainak sérelme nélkül.</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17.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Közbeszerzés</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Felek újólag megerősítik elkötelezettségüket a nyílt és átlátható közbeszerzési keretek mellett, melyek összhangban állnak nemzetközi kötelezettségeikkel, előmozdítják a jó ár-érték arányt, a versengő piacokat és a megkülönböztetésmentes beszerzési gyakorlatokat, erősítve ezáltal a Felek közötti kereskedelmet.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2.</w:t>
      </w:r>
      <w:r>
        <w:rPr>
          <w:rFonts w:ascii="Times New Roman" w:hAnsi="Times New Roman" w:cs="Times New Roman"/>
          <w:noProof/>
          <w:sz w:val="24"/>
          <w:szCs w:val="24"/>
          <w:lang w:val="pt-PT"/>
        </w:rPr>
        <w:tab/>
        <w:t>A Felek megállapodnak, hogy tovább erősítik a közöttük folyó konzultációt, együttműködést, valamint a tapasztalatok és a bevált gyakorlatok megosztását a közbeszerzés terén a közös érdekű kérdésekben, saját szabályozási keretüket is ideértve.</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3.</w:t>
      </w:r>
      <w:r>
        <w:rPr>
          <w:rFonts w:ascii="Times New Roman" w:hAnsi="Times New Roman" w:cs="Times New Roman"/>
          <w:noProof/>
          <w:sz w:val="24"/>
          <w:szCs w:val="24"/>
          <w:lang w:val="pt-PT"/>
        </w:rPr>
        <w:tab/>
        <w:t>A Felek megállapodnak, hogy feltárják annak lehetőségeit, hogy tovább ösztönözzék az egymás közbeszerzési piacához való hozzáférést, és megosztják nézeteiket a köztük folyó beszerzési kereskedelmet esetleg hátrányosan érintő intézkedésekről és gyakorlatokról.</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18.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A kereskedelem technikai akadályai</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Felek egyetértenek abban, hogy a szabványok, a műszaki előírások és a megfelelőségértékelési eljárások jobb összeegyeztethetősége kulcsfontosságú a kereskedelem megkönnyítéséhez.</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2.</w:t>
      </w:r>
      <w:r>
        <w:rPr>
          <w:rFonts w:ascii="Times New Roman" w:hAnsi="Times New Roman" w:cs="Times New Roman"/>
          <w:noProof/>
          <w:sz w:val="24"/>
          <w:szCs w:val="24"/>
          <w:lang w:val="pt-PT"/>
        </w:rPr>
        <w:tab/>
        <w:t>A Felek felismerik, hogy közös érdekük a kereskedelem technikai akadályainak csökkentése, és e célból megállapodnak, hogy a kereskedelem technikai akadályairól szóló WTO-megállapodás keretében, valamint az Európai Közösség és Ausztrália közötti, a megfelelőségértékeléssel, tanúsítással és jelölésekkel kapcsolatos kölcsönös elismerésről szóló egyezmény révén együttműködnek.</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19.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Állat- és növény-egészségügyi, valamint állatjóléti kérdések</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Felek megállapodnak abban, hogy megerősítik az állat- és növény-egészségügyi (a továbbiakban: SPS) kérdésekben való együttműködést az emberek, állatok és növények életének és egészségének védelme érdekében a Felek területén, figyelemmel a Feleknek az állat- és növény-egészségügyi intézkedések alkalmazásáról szóló WTO-megállapodás (a továbbiakban: SPS-megállapodás) szerinti jogaira és kötelezettségeire.</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2.</w:t>
      </w:r>
      <w:r>
        <w:rPr>
          <w:rFonts w:ascii="Times New Roman" w:hAnsi="Times New Roman" w:cs="Times New Roman"/>
          <w:noProof/>
          <w:sz w:val="24"/>
          <w:szCs w:val="24"/>
          <w:lang w:val="pt-PT"/>
        </w:rPr>
        <w:tab/>
        <w:t>A Felek az SPS-megállapodás és a Codex Alimentarius vonatkozó nemzetközi élelmiszerügyi szabványai, a Nemzetközi Növényvédelmi Egyezmény (a továbbiakban: IPPC) és az Állategészségügyi Világszervezet (a továbbiakban: OIE) keretében információkat osztanak meg egymás növény-egészségügyi intézkedései kölcsönös megértésének elősegítése és a Felek közötti kereskedelem fejlesztése érdekében, az alábbiak révén:</w:t>
      </w:r>
    </w:p>
    <w:p>
      <w:pPr>
        <w:spacing w:after="0" w:line="360" w:lineRule="auto"/>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(a)</w:t>
      </w:r>
      <w:r>
        <w:rPr>
          <w:rFonts w:ascii="Times New Roman" w:hAnsi="Times New Roman" w:cs="Times New Roman"/>
          <w:noProof/>
          <w:sz w:val="24"/>
          <w:szCs w:val="24"/>
          <w:lang w:val="pt-PT"/>
        </w:rPr>
        <w:tab/>
        <w:t>rendszeres találkozók megfelelő, a Felek által meghatározott fórumokon az SPS-hez és az állatjóléthez kapcsolódó jogszabályokról, végrehajtásról, ellenőrzési és tanúsítási rendszerekről, valamint felügyeleti eljárásokról való véleménycsere és az SPS-intézkedések alkalmazása kapcsán felmerülő kérdések kezelése érdekében;</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(b)</w:t>
      </w:r>
      <w:r>
        <w:rPr>
          <w:rFonts w:ascii="Times New Roman" w:hAnsi="Times New Roman" w:cs="Times New Roman"/>
          <w:noProof/>
          <w:sz w:val="24"/>
          <w:szCs w:val="24"/>
          <w:lang w:val="pt-PT"/>
        </w:rPr>
        <w:tab/>
        <w:t>törekvés arra, hogy az exportáló Fél egész területén alkalmazzák a behozatali előírásokat, ideértve a regionalizáció elveinek alkalmazását is;</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(c)</w:t>
      </w:r>
      <w:r>
        <w:rPr>
          <w:rFonts w:ascii="Times New Roman" w:hAnsi="Times New Roman" w:cs="Times New Roman"/>
          <w:noProof/>
          <w:sz w:val="24"/>
          <w:szCs w:val="24"/>
          <w:lang w:val="pt-PT"/>
        </w:rPr>
        <w:tab/>
        <w:t>az SPS-megállapodással összhangban:</w:t>
      </w:r>
    </w:p>
    <w:p>
      <w:pPr>
        <w:spacing w:after="0" w:line="360" w:lineRule="auto"/>
        <w:rPr>
          <w:rFonts w:ascii="Times New Roman" w:hAnsi="Times New Roman" w:cs="Times New Roman"/>
          <w:noProof/>
          <w:sz w:val="24"/>
          <w:szCs w:val="24"/>
          <w:lang w:val="pt-PT"/>
        </w:rPr>
      </w:pPr>
    </w:p>
    <w:p>
      <w:pPr>
        <w:spacing w:after="0" w:line="360" w:lineRule="auto"/>
        <w:ind w:left="1134"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(i)</w:t>
      </w:r>
      <w:r>
        <w:rPr>
          <w:rFonts w:ascii="Times New Roman" w:hAnsi="Times New Roman" w:cs="Times New Roman"/>
          <w:noProof/>
          <w:sz w:val="24"/>
          <w:szCs w:val="24"/>
          <w:lang w:val="pt-PT"/>
        </w:rPr>
        <w:tab/>
        <w:t>a károsítómentes és betegségtől mentes területek, valamint a károsítók vagy betegségek elterjedtségének alacsony szintjét felmutató területek elismerése;</w:t>
      </w:r>
    </w:p>
    <w:p>
      <w:pPr>
        <w:spacing w:after="0" w:line="360" w:lineRule="auto"/>
        <w:ind w:left="1134" w:hanging="567"/>
        <w:rPr>
          <w:rFonts w:ascii="Times New Roman" w:hAnsi="Times New Roman" w:cs="Times New Roman"/>
          <w:noProof/>
          <w:sz w:val="24"/>
          <w:szCs w:val="24"/>
          <w:lang w:val="pt-PT"/>
        </w:rPr>
      </w:pPr>
    </w:p>
    <w:p>
      <w:pPr>
        <w:spacing w:after="0" w:line="360" w:lineRule="auto"/>
        <w:ind w:left="1134"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(ii)</w:t>
      </w:r>
      <w:r>
        <w:rPr>
          <w:rFonts w:ascii="Times New Roman" w:hAnsi="Times New Roman" w:cs="Times New Roman"/>
          <w:noProof/>
          <w:sz w:val="24"/>
          <w:szCs w:val="24"/>
          <w:lang w:val="pt-PT"/>
        </w:rPr>
        <w:tab/>
        <w:t>az exportáló Felek hatóságai ellenőrzési és tanúsítási rendszereinek egészére vagy egy részére kiterjedő vizsgálat elvégzése;</w:t>
      </w:r>
    </w:p>
    <w:p>
      <w:pPr>
        <w:spacing w:after="0" w:line="360" w:lineRule="auto"/>
        <w:ind w:left="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(d)</w:t>
      </w:r>
      <w:r>
        <w:rPr>
          <w:rFonts w:ascii="Times New Roman" w:hAnsi="Times New Roman" w:cs="Times New Roman"/>
          <w:noProof/>
          <w:sz w:val="24"/>
          <w:szCs w:val="24"/>
          <w:lang w:val="pt-PT"/>
        </w:rPr>
        <w:tab/>
        <w:t>információcsere a Felek közötti kereskedelmet érintő vagy potenciálisan érintő SPS- és állatjóléti kérdésekről, így a sürgősségi intézkedésekről, az újonnan megjelenő betegségekről és károsítókról, valamint a rendelkezésre álló új tudományos bizonyítékokról.</w:t>
      </w:r>
    </w:p>
    <w:p>
      <w:pPr>
        <w:spacing w:after="0" w:line="360" w:lineRule="auto"/>
        <w:ind w:left="567"/>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3.</w:t>
      </w:r>
      <w:r>
        <w:rPr>
          <w:rFonts w:ascii="Times New Roman" w:hAnsi="Times New Roman" w:cs="Times New Roman"/>
          <w:noProof/>
          <w:sz w:val="24"/>
          <w:szCs w:val="24"/>
          <w:lang w:val="pt-PT"/>
        </w:rPr>
        <w:tab/>
        <w:t>A Felek megállapodnak abban, hogy együttműködést és információcserét folytatnak állatjóléti kérdésekben.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4.</w:t>
      </w:r>
      <w:r>
        <w:rPr>
          <w:rFonts w:ascii="Times New Roman" w:hAnsi="Times New Roman" w:cs="Times New Roman"/>
          <w:noProof/>
          <w:sz w:val="24"/>
          <w:szCs w:val="24"/>
          <w:lang w:val="pt-PT"/>
        </w:rPr>
        <w:tab/>
        <w:t>A Felek az SPS- és állatjóléti kérdésekben a vonatkozó multilaterális keretek – ezen belül a WTO, a CODEX Alimentarius Bizottság, az IPPC és az OIE – révén is együttműködnek.</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20.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Vámok</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 Felek – saját jogszabályaikra figyelemmel – két- és többoldalú szinten együttműködnek a vámügy területén. E célból megállapodnak abban, hogy mindenekelőtt megosztják tapasztalataikat és feltárják annak lehetőségeit, hogy egyszerűsítsék a vámeljárásokat, biztosítsák az átláthatóságot, és javítsák az együttműködést olyan területeken, mint a kereskedelmi eljárások egyszerűsítése, a nemzetközi kereskedelem biztonsága és védelme, valamint a vámügyi csalás elleni küzdelem.</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21.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Szellemi tulajdon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Felek újból megerősítik a szellemitulajdon-jogokkal kapcsolatos jogaik és kötelezettségeik jelentőségét, ideértve a szerzői jogot és a szerzői joggal szomszédos jogokat, védjegyeket, földrajzi jelzéseket, formatervezési mintákat, növényfajta-oltalmakat és szabadalmakat, valamint ezek érvényesítését is, a Felek által elfogadott, legmagasabb szintű nemzetközi normákkal összhangban.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2.</w:t>
      </w:r>
      <w:r>
        <w:rPr>
          <w:rFonts w:ascii="Times New Roman" w:hAnsi="Times New Roman" w:cs="Times New Roman"/>
          <w:noProof/>
          <w:sz w:val="24"/>
          <w:szCs w:val="24"/>
          <w:lang w:val="pt-PT"/>
        </w:rPr>
        <w:tab/>
        <w:t>A Felek megállapodnak, hogy információt és tapasztalatot cserélnek a szellemi tulajdonnal kapcsolatos kérdésekkel kapcsolatban, a szellemitulajdon-jogok megfelelő együttműködési formákat követő nyilvántartása, védelme és érvényesítése tekintetében.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22.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Versenypolitika</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 Felek versenyjoguk és versenyszabályaik teljes körű érvényesítése révén előmozdítják a tisztességes versenyt a gazdasági tevékenységek terén. A Felek megállapodnak abban, hogy információt cserélnek a versenypolitikáról és az ahhoz kapcsolódó kérdésekről, valamint javítják a versenyhatóságaik közötti együttműködést.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23.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Szolgáltatások</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 Felek érdemi párbeszédet alakítanak ki a szolgáltatások kétoldalú kereskedelmének ösztönzése, valamint a saját szabályozási környezetüket érintő információk megosztása céljából.</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24.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Pénzügyi szolgáltatások</w:t>
      </w:r>
    </w:p>
    <w:p>
      <w:pPr>
        <w:spacing w:after="0" w:line="360" w:lineRule="auto"/>
        <w:jc w:val="center"/>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 pénzügyi szolgáltatások tekintetében a Felek megállapodnak arról, hogy felügyeleti és szabályozási környezetükről információ- és tapasztalatcserét tartanak fenn, valamint megerősítik az együttműködést a banki, a biztosítási ágazat és a pénzügyi ágazat egyéb területei számviteli, ellenőrzési, felügyeleti és szabályozási rendszerének fejlesztése céljából.</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25.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Adóügy</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gazdasági tevékenységek megerősítésének és fejlesztésének céljából, valamint figyelembe véve egy megfelelő szabályozási keret szükségességét, a Felek elismerik a jó adóügyi kormányzás elveit – ideértve az átláthatóságot, az információcserét, valamint a káros adóintézkedések elkerülését – és elkötelezik magukat ezek megvalósítása mellett.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2.</w:t>
      </w:r>
      <w:r>
        <w:rPr>
          <w:rFonts w:ascii="Times New Roman" w:hAnsi="Times New Roman" w:cs="Times New Roman"/>
          <w:noProof/>
          <w:sz w:val="24"/>
          <w:szCs w:val="24"/>
          <w:lang w:val="pt-PT"/>
        </w:rPr>
        <w:tab/>
        <w:t>Hatásköreiktől függően a Felek együttműködnek – többek között a megfelelő nemzetközi fórumok keretében – a nemzetközi adóügyi együttműködés javítása, valamint a jogszerű adóbevételek beszedésének megkönnyítése érdekében, a jó adóügyi kormányzás (1) bekezdésben említett elveinek tiszteletben tartása mellett.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26.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Átláthatóság</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 Felek elismerik az átláthatóság és a tisztességes eljárás fontosságát a kereskedelemmel kapcsolatos törvényeik és egyéb jogszabályaik érvényre juttatásában, amint ezt az Általános Vám- és Kereskedelmi Egyezmény (a továbbiakban: 1994. évi GATT) X. cikke, és a szolgáltatások kereskedelméről szóló általános egyezmény (a továbbiakban: GATS) III. cikke meghatározza, és ennek érdekében megállapodnak a szabályozás minőségének és teljesítményének, valamint a helyes hivatali magatartás elveinek előmozdítását célzó együttműködés és információcsere fokozásában.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27.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Nyersanyagok</w:t>
      </w:r>
    </w:p>
    <w:p>
      <w:pPr>
        <w:spacing w:after="0" w:line="360" w:lineRule="auto"/>
        <w:jc w:val="center"/>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Felek elismerik, hogy átlátható, piaci alapú megközelítéssel lehet a legmegfelelőbb módon kedvező környezetet teremteni a nyersanyag-előállításra és -kereskedelemre irányuló beruházások számára, és ösztönözni a nyersanyagok hatékony elosztását és felhasználását.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2.</w:t>
      </w:r>
      <w:r>
        <w:rPr>
          <w:rFonts w:ascii="Times New Roman" w:hAnsi="Times New Roman" w:cs="Times New Roman"/>
          <w:noProof/>
          <w:sz w:val="24"/>
          <w:szCs w:val="24"/>
          <w:lang w:val="pt-PT"/>
        </w:rPr>
        <w:tab/>
        <w:t>A Felek – figyelembe véve gazdasági szakpolitikáikat és céljaikat, valamint a kereskedelem ösztönzését szem előtt tartva – megállapodnak a nyersanyagokkal kapcsolatos kérdésekben való együttműködés megerősítésében, annak érdekében, hogy megerősítsék a nyersanyagok kereskedelmének szabályokon alapuló globális keretét és ösztönözzék az átláthatóságot a nyersanyagok globális piacán.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3.</w:t>
      </w:r>
      <w:r>
        <w:rPr>
          <w:rFonts w:ascii="Times New Roman" w:hAnsi="Times New Roman" w:cs="Times New Roman"/>
          <w:noProof/>
          <w:sz w:val="24"/>
          <w:szCs w:val="24"/>
          <w:lang w:val="pt-PT"/>
        </w:rPr>
        <w:tab/>
        <w:t>Az együttműködés többek között a következő témákra terjedhet ki:</w:t>
      </w:r>
    </w:p>
    <w:p>
      <w:pPr>
        <w:spacing w:after="0" w:line="360" w:lineRule="auto"/>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(a)</w:t>
      </w:r>
      <w:r>
        <w:rPr>
          <w:rFonts w:ascii="Times New Roman" w:hAnsi="Times New Roman" w:cs="Times New Roman"/>
          <w:noProof/>
          <w:sz w:val="24"/>
          <w:szCs w:val="24"/>
          <w:lang w:val="pt-PT"/>
        </w:rPr>
        <w:tab/>
        <w:t>a kereslettel és kínálattal kapcsolatos kérdések, kétoldalú kereskedelmi és beruházási kérdések, valamint a nemzetközi kereskedelemből fakadó, érdeklődésre számot tartó kérdések;</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(b)</w:t>
      </w:r>
      <w:r>
        <w:rPr>
          <w:rFonts w:ascii="Times New Roman" w:hAnsi="Times New Roman" w:cs="Times New Roman"/>
          <w:noProof/>
          <w:sz w:val="24"/>
          <w:szCs w:val="24"/>
          <w:lang w:val="pt-PT"/>
        </w:rPr>
        <w:tab/>
        <w:t>a Felek szabályozási keretei; valamint</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(c)</w:t>
      </w:r>
      <w:r>
        <w:rPr>
          <w:rFonts w:ascii="Times New Roman" w:hAnsi="Times New Roman" w:cs="Times New Roman"/>
          <w:noProof/>
          <w:sz w:val="24"/>
          <w:szCs w:val="24"/>
          <w:lang w:val="pt-PT"/>
        </w:rPr>
        <w:tab/>
        <w:t>bevált gyakorlatok a bányászati ágazatok fenntartható fejlődésével kapcsolatban, ideértve az ásványianyag-politikát, a földhasználat tervezését és az engedélyezési eljárásokat.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4.</w:t>
      </w:r>
      <w:r>
        <w:rPr>
          <w:rFonts w:ascii="Times New Roman" w:hAnsi="Times New Roman" w:cs="Times New Roman"/>
          <w:noProof/>
          <w:sz w:val="24"/>
          <w:szCs w:val="24"/>
          <w:lang w:val="pt-PT"/>
        </w:rPr>
        <w:tab/>
        <w:t>A Felek együttműködnek kétoldalú párbeszéd révén, illetve a vonatkozó plurilaterális kereteken vagy nemzetközi intézményeken belül.</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28.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Kereskedelem és fenntartható fejlődés</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Felek újból megerősítik kötelezettségvállalásaikat arra nézve, hogy a nemzetközi kereskedelmet és beruházást olyan módon fejlesszék, hogy az hozzájáruljon a fenntartható fejlődés célkitűzéséhez, valamint törekednek arra, hogy ez a célkitűzés gazdasági kapcsolataik valamennyi területén érvényesüljön.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2.</w:t>
      </w:r>
      <w:r>
        <w:rPr>
          <w:rFonts w:ascii="Times New Roman" w:hAnsi="Times New Roman" w:cs="Times New Roman"/>
          <w:noProof/>
          <w:sz w:val="24"/>
          <w:szCs w:val="24"/>
          <w:lang w:val="pt-PT"/>
        </w:rPr>
        <w:tab/>
        <w:t>A Felek elismerik az egyes Felek jogát a hazai környezetvédelem és munkavédelem saját szintjeinek meghatározására, valamint a vonatkozó jogszabályok és szakpolitikák kiigazítására vagy módosítására, a nemzetközileg elismert normák és megállapodások iránti elkötelezettségükkel összhangban.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3.</w:t>
      </w:r>
      <w:r>
        <w:rPr>
          <w:rFonts w:ascii="Times New Roman" w:hAnsi="Times New Roman" w:cs="Times New Roman"/>
          <w:noProof/>
          <w:sz w:val="24"/>
          <w:szCs w:val="24"/>
          <w:lang w:val="pt-PT"/>
        </w:rPr>
        <w:tab/>
        <w:t>A Felek elismerik, hogy kívánatos kerülniük a kereskedelemnek vagy a beruházásnak a hazai környezetvédelmi, illetve munkajogi jogszabályok által biztosított védelmi szint csökkentésével vagy az ennek csökkentésére vonatkozó ajánlatokkal való ösztönzését.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4.</w:t>
      </w:r>
      <w:r>
        <w:rPr>
          <w:rFonts w:ascii="Times New Roman" w:hAnsi="Times New Roman" w:cs="Times New Roman"/>
          <w:noProof/>
          <w:sz w:val="24"/>
          <w:szCs w:val="24"/>
          <w:lang w:val="pt-PT"/>
        </w:rPr>
        <w:tab/>
        <w:t>A Felek információt és tapasztalatot cserélnek a kereskedelmi, szociális és környezetvédelmi célkitűzések közötti koherencia és kölcsönösen egymást támogató jelleg előmozdítása céljából tett fellépéseikről, beleértve a VIII. címben foglalt vonatkozásokat is, valamint megerősítik a kereskedelmi kapcsolataik összefüggésében esetlegesen felmerülő, fenntartható fejlődéssel kapcsolatos kérdések terén folytatott párbeszédüket és együttműködésüket.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29.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Üzleti együttműködés</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Felek a vállalkozások bevonásával, többek között az ASEM kontextusában folytatott kétirányú látogatások és tevékenységek révén ösztönzik a vállalkozások közötti kapcsolatokat és erősítik a kormányzat és az üzleti világ közötti kapcsolatokat.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2.</w:t>
      </w:r>
      <w:r>
        <w:rPr>
          <w:rFonts w:ascii="Times New Roman" w:hAnsi="Times New Roman" w:cs="Times New Roman"/>
          <w:noProof/>
          <w:sz w:val="24"/>
          <w:szCs w:val="24"/>
          <w:lang w:val="pt-PT"/>
        </w:rPr>
        <w:tab/>
        <w:t>Ez az együttműködés különösen a kis- és középvállalkozások (kkv-k) versenyképességének javítását célozza. Az együttműködés többek között a következőkre terjedhet ki:</w:t>
      </w:r>
    </w:p>
    <w:p>
      <w:pPr>
        <w:spacing w:after="0" w:line="360" w:lineRule="auto"/>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(a)</w:t>
      </w:r>
      <w:r>
        <w:rPr>
          <w:rFonts w:ascii="Times New Roman" w:hAnsi="Times New Roman" w:cs="Times New Roman"/>
          <w:noProof/>
          <w:sz w:val="24"/>
          <w:szCs w:val="24"/>
          <w:lang w:val="pt-PT"/>
        </w:rPr>
        <w:tab/>
        <w:t>a technológiák átadásának ösztönzése;</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(b)</w:t>
      </w:r>
      <w:r>
        <w:rPr>
          <w:rFonts w:ascii="Times New Roman" w:hAnsi="Times New Roman" w:cs="Times New Roman"/>
          <w:noProof/>
          <w:sz w:val="24"/>
          <w:szCs w:val="24"/>
          <w:lang w:val="pt-PT"/>
        </w:rPr>
        <w:tab/>
        <w:t>a finanszírozáshoz való hozzáféréssel kapcsolatos bevált gyakorlatok cseréje;</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(c)</w:t>
      </w:r>
      <w:r>
        <w:rPr>
          <w:rFonts w:ascii="Times New Roman" w:hAnsi="Times New Roman" w:cs="Times New Roman"/>
          <w:noProof/>
          <w:sz w:val="24"/>
          <w:szCs w:val="24"/>
          <w:lang w:val="pt-PT"/>
        </w:rPr>
        <w:tab/>
        <w:t>a vállalati társadalmi felelősségvállalás és elszámoltathatóság előmozdítása; valamint</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(d)</w:t>
      </w:r>
      <w:r>
        <w:rPr>
          <w:rFonts w:ascii="Times New Roman" w:hAnsi="Times New Roman" w:cs="Times New Roman"/>
          <w:noProof/>
          <w:sz w:val="24"/>
          <w:szCs w:val="24"/>
          <w:lang w:val="pt-PT"/>
        </w:rPr>
        <w:tab/>
        <w:t>a szabványokkal és megfelelőségértékeléssel kapcsolatos meglévő együttműködés továbbfejlesztése.</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3.</w:t>
      </w:r>
      <w:r>
        <w:rPr>
          <w:rFonts w:ascii="Times New Roman" w:hAnsi="Times New Roman" w:cs="Times New Roman"/>
          <w:noProof/>
          <w:sz w:val="24"/>
          <w:szCs w:val="24"/>
          <w:lang w:val="pt-PT"/>
        </w:rPr>
        <w:tab/>
        <w:t>A Felek megállapodnak, hogy megkönnyítik és továbbfejlesztik az illetékes kereskedelem- és befektetés-ösztönzési szerveik közötti együttműködést.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30.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Civil társadalom</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 Felek ösztönzik a párbeszédet a kormányzati és nem kormányzati szervezetek – így a szakszervezetek, munkaadók, vállalkozói szövetségek, kereskedelmi és iparkamarák – közötti párbeszédet, hogy elősegítsék a kereskedelmet és a beruházást a közös érdekű területeken.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31.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Turizmus</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Felismerve a turizmus értékét az Unió és Ausztrália népei közötti kölcsönös megértés és nagyrabecsülés elmélyítésében, valamint a turizmus fokozódásából származó gazdasági előnyöket, a Felek megállapodnak, hogy együttműködnek az Unió és Ausztrália közötti kétoldalú turizmus erősítése érdekében.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V. CÍM</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 xml:space="preserve">EGYÜTTMŰKÖDÉS A JOGÉRVÉNYESÜLÉS, </w:t>
      </w:r>
      <w:r>
        <w:rPr>
          <w:rFonts w:ascii="Times New Roman" w:hAnsi="Times New Roman" w:cs="Times New Roman"/>
          <w:noProof/>
          <w:sz w:val="24"/>
          <w:szCs w:val="24"/>
          <w:lang w:val="pt-PT"/>
        </w:rPr>
        <w:br/>
        <w:t>A SZABADSÁG ÉS A BIZTONSÁG TERÜLETÉN</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32.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Jogi együttműködés</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Felek elismerik a nemzetközi magánjog, valamint a polgári és kereskedelmi ügyekben folytatott igazságügyi együttműködés jelentőségét a nemzetközi kereskedelmet és beruházást, valamint a személyek mobilitását elősegítő környezet támogatásában. A Felek megállapodnak, hogy megerősítik együttműködésüket, többek között a nemzetközi megállapodások – különösen a Hágai Nemzetközi Magánjogi Konferencia keretében elfogadott megállapodások – tárgyalása, megerősítése és végrehajtása révén.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2.</w:t>
      </w:r>
      <w:r>
        <w:rPr>
          <w:rFonts w:ascii="Times New Roman" w:hAnsi="Times New Roman" w:cs="Times New Roman"/>
          <w:noProof/>
          <w:sz w:val="24"/>
          <w:szCs w:val="24"/>
          <w:lang w:val="pt-PT"/>
        </w:rPr>
        <w:tab/>
        <w:t>A Felek megállapodnak abban, hogy – adott esetben – megkönnyítik és ösztönzik a polgári és magánfelek közötti kereskedelmi jogviták választottbírósági úton történő megoldását, az alkalmazandó nemzetközi jogi eszközöknek megfelelően.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3.</w:t>
      </w:r>
      <w:r>
        <w:rPr>
          <w:rFonts w:ascii="Times New Roman" w:hAnsi="Times New Roman" w:cs="Times New Roman"/>
          <w:noProof/>
          <w:sz w:val="24"/>
          <w:szCs w:val="24"/>
          <w:lang w:val="pt-PT"/>
        </w:rPr>
        <w:tab/>
        <w:t>A Felek a büntetőügyekben folytatott igazságügyi együttműködés tekintetében fokozzák a kölcsönös jogsegélyre vonatkozó együttműködést a vonatkozó nemzetközi jogi eszközök alapján. Ez adott esetben magába foglalná a vonatkozó ENSZ-eszközökhöz való csatlakozást és azok végrehajtását. Adott esetben magába foglalhatja az Európa Tanács vonatkozó eszközeinek támogatását, valamint az illetékes ausztrál hatóságok és az Eurojust közötti együttműködést is.</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33.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Bűnüldözési együttműködés</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 Felek megállapodnak a bűnüldözői hatóságaik, ügynökségeik és szolgálataik közötti együttműködésről, valamint a mindkét Félre veszélyt jelentő, határokon átnyúló bűncselekmények felgöngyölítéséhez és felszámolásához való hozzájárulásról. Ez az együttműködés a következő formákat öltheti: kölcsönös segítségnyújtás a nyomozások során, nyomozati módszerek megosztása, a bűnüldöző személyzet közös oktatása és képzése, továbbá a Felek közös megállapodása alapján bármilyen egyéb típusú közös tevékenység és segítségnyújtás.</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34.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A terrorizmus, a nemzetközi szervezett bűnözés és korrupció elleni küzdelem</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Felek megállapodnak abban, hogy együttműködnek a terrorizmus megelőzése és visszaszorítása terén, a 9. cikkben foglaltak szerint.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2.</w:t>
      </w:r>
      <w:r>
        <w:rPr>
          <w:rFonts w:ascii="Times New Roman" w:hAnsi="Times New Roman" w:cs="Times New Roman"/>
          <w:noProof/>
          <w:sz w:val="24"/>
          <w:szCs w:val="24"/>
          <w:lang w:val="pt-PT"/>
        </w:rPr>
        <w:tab/>
        <w:t>A Felek újból megerősítik elkötelezettségüket aziránt, hogy együttműködést folytatnak a szervezett, a gazdasági és a pénzügyi bűncselekmények, a korrupció, a hamisítás és az illegális pénzügyi műveletek megelőzésében és az ellenük folytatott küzdelem terén azáltal, hogy maradéktalanul betartják az e területen fennálló kölcsönös nemzetközi kötelezettségeiket, többek között a korrupciós cselekményekből származó eszközök vagy pénzeszközök visszaszerzése terén folytatott hatékony együttműködés tekintetében.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3.</w:t>
      </w:r>
      <w:r>
        <w:rPr>
          <w:rFonts w:ascii="Times New Roman" w:hAnsi="Times New Roman" w:cs="Times New Roman"/>
          <w:noProof/>
          <w:sz w:val="24"/>
          <w:szCs w:val="24"/>
          <w:lang w:val="pt-PT"/>
        </w:rPr>
        <w:tab/>
        <w:t>A terrorista bűncselekmények és a súlyos nemzetközi bűncselekmények megelőzésével, felderítésével, kivizsgálásával és büntetőeljárás alá vonásával összefüggésben a Felek elismerik az Európai Unió és Ausztrália közötti, az utas-nyilvántartási adatállomány (PNR) adatainak a légi fuvarozók általi feldolgozásáról és az Ausztrál Vámügyi és Határvédelmi Szolgálatnak való továbbításáról szóló megállapodás jelentőségét.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4.</w:t>
      </w:r>
      <w:r>
        <w:rPr>
          <w:rFonts w:ascii="Times New Roman" w:hAnsi="Times New Roman" w:cs="Times New Roman"/>
          <w:noProof/>
          <w:sz w:val="24"/>
          <w:szCs w:val="24"/>
          <w:lang w:val="pt-PT"/>
        </w:rPr>
        <w:tab/>
        <w:t>A Felek előmozdítják a nemzetközi szervezett bűnözés elleni ENSZ-egyezmény és kiegészítő jegyzőkönyveinek végrehajtását, ideértve a szigorú és hatékony felülvizsgálati mechanizmusok támogatását is.</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5.</w:t>
      </w:r>
      <w:r>
        <w:rPr>
          <w:rFonts w:ascii="Times New Roman" w:hAnsi="Times New Roman" w:cs="Times New Roman"/>
          <w:noProof/>
          <w:sz w:val="24"/>
          <w:szCs w:val="24"/>
          <w:lang w:val="pt-PT"/>
        </w:rPr>
        <w:tab/>
        <w:t>A Felek adott esetben az ENSZ Korrupció elleni egyezménye végrehajtását is előmozdítják, szigorú felülvizsgálati mechanizmus működtetését is beleértve, az átláthatóság elvének tiszteletben tartása és a civil társadalom részvétele mellett.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35.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Tiltott kábítószerek elleni küzdelem</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Illetékességük és hatáskörük keretén belül a Felek együttműködnek egy olyan kiegyensúlyozott és integrált megközelítés kidolgozásában, amelynek célja a tiltott kábítószerek egyénekre, családokra és közösségekre gyakorolt káros hatásának minimalizálása. A kábítószerekkel kapcsolatos szakpolitikák és tevékenységek célja az illegális kábítószerek elleni küzdelmet szolgáló struktúrák megerősítése, a tiltott kábítószerek kínálatának, kereskedelmének és keresletének csökkentése, a kábítószerrel való visszaélés egészségügyi és szociális következményeinek kezelése, a függőségből való felépülés elősegítése, valamint a kábítószerek és pszichotróp anyagok tiltott előállítására felhasznált kémiai prekurzorok ilyen célú alkalmazásának hatékony megakadályozásában való további együttműködés.</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2.</w:t>
      </w:r>
      <w:r>
        <w:rPr>
          <w:rFonts w:ascii="Times New Roman" w:hAnsi="Times New Roman" w:cs="Times New Roman"/>
          <w:noProof/>
          <w:sz w:val="24"/>
          <w:szCs w:val="24"/>
          <w:lang w:val="pt-PT"/>
        </w:rPr>
        <w:tab/>
        <w:t>A Felek együttműködnek a kábítószer-kereskedelemmel foglalkozó transznacionális bűnszövetkezetek felszámolása érdekében, többek között információk és bűnüldözési operatív információk cseréjével, képzés révén vagy a bevált gyakorlatok – ezen belül a különleges nyomozási technikák – megosztásával. Különös erőfeszítést kell tenni a bűnözők legális gazdaságba való bejutásának megakadályozása érdekében.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3.</w:t>
      </w:r>
      <w:r>
        <w:rPr>
          <w:rFonts w:ascii="Times New Roman" w:hAnsi="Times New Roman" w:cs="Times New Roman"/>
          <w:noProof/>
          <w:sz w:val="24"/>
          <w:szCs w:val="24"/>
          <w:lang w:val="pt-PT"/>
        </w:rPr>
        <w:tab/>
        <w:t>A Felek együttműködnek az új pszichoaktív anyagok problémájának kezelésében, többek között – adott esetben – az információk és bűnüldözési operatív információk cseréje révén.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36.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A számítástechnikai bűnözés elleni küzdelem</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Felek az információk és gyakorlati tapasztalatok cseréje révén erősítik az együttműködést a csúcstechnológiás, számítástechnikai és elektronikus bűncselekményeknek, valamint az illegális tartalmak – ezen belül a terrorizmussal kapcsolatos tartalmak – interneten keresztüli terjesztésének megelőzése és az említettek ellen folytatott küzdelem érdekében, nemzeti jogszabályaikkal és a nemzetközi emberi jogi kötelezettségekkel összhangban és hatáskörükön belül.</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2.</w:t>
      </w:r>
      <w:r>
        <w:rPr>
          <w:rFonts w:ascii="Times New Roman" w:hAnsi="Times New Roman" w:cs="Times New Roman"/>
          <w:noProof/>
          <w:sz w:val="24"/>
          <w:szCs w:val="24"/>
          <w:lang w:val="pt-PT"/>
        </w:rPr>
        <w:tab/>
        <w:t>A Felek információt cserélnek a számítástechnikai bűnözéssel foglalkozó nyomozók oktatása és képzése, a számítógépes bűncselekményekkel kapcsolatos nyomozások és a digitális igazságügyi tudomány terén.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3.</w:t>
      </w:r>
      <w:r>
        <w:rPr>
          <w:rFonts w:ascii="Times New Roman" w:hAnsi="Times New Roman" w:cs="Times New Roman"/>
          <w:noProof/>
          <w:sz w:val="24"/>
          <w:szCs w:val="24"/>
          <w:lang w:val="pt-PT"/>
        </w:rPr>
        <w:tab/>
        <w:t>A Felek minden megfelelő szinten támogatják a számítástechnikai bűnözésről szóló budapesti egyezményt, mint a számítástechnikai bűnözés elleni globális normát.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37.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Küzdelem a pénzmosás és a terrorizmus finanszírozása ellen</w:t>
      </w:r>
    </w:p>
    <w:p>
      <w:pPr>
        <w:spacing w:after="0" w:line="360" w:lineRule="auto"/>
        <w:jc w:val="center"/>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Felek újból megerősítik annak szükségességét, hogy együttműködjenek annak érdekében, hogy ne lehessen pénzügyi rendszereiket bármiféle bűncselekményekből – többek között a kábítószer-kereskedelemből és a korrupcióból – származó bevételek tisztára mosására felhasználni, valamint hogy küzdjenek a terrorizmus finanszírozása ellen. Ez az együttműködés kiterjed a bűncselekményből származó eszközök vagy pénzeszközök visszaszerzésére.</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2.</w:t>
      </w:r>
      <w:r>
        <w:rPr>
          <w:rFonts w:ascii="Times New Roman" w:hAnsi="Times New Roman" w:cs="Times New Roman"/>
          <w:noProof/>
          <w:sz w:val="24"/>
          <w:szCs w:val="24"/>
          <w:lang w:val="pt-PT"/>
        </w:rPr>
        <w:tab/>
        <w:t>A Felek saját jogszabályaik keretein belül kicserélik a vonatkozó információkat, valamint megfelelő intézkedéseket hajtanak végre a pénzmosás és a terrorizmus finanszírozása elleni küzdelem érdekében, az e területen tevékenykedő nemzetközi testületek, például a Pénzügyi Akció Munkacsoport (FATF) által elfogadott előírásokkal összhangban.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38.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Migráció és menekültügy</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Felek megállapodnak, hogy intenzívebbé teszik a párbeszédet és az együttműködést a migrációval, a menekültüggyel, a részvétellel és a sokszínűséggel kapcsolatos kérdésekben.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2.</w:t>
      </w:r>
      <w:r>
        <w:rPr>
          <w:rFonts w:ascii="Times New Roman" w:hAnsi="Times New Roman" w:cs="Times New Roman"/>
          <w:noProof/>
          <w:sz w:val="24"/>
          <w:szCs w:val="24"/>
          <w:lang w:val="pt-PT"/>
        </w:rPr>
        <w:tab/>
        <w:t>Az együttműködés magába foglalhatja a következő kérdések megközelítéseivel kapcsolatos információcserét: illegális bevándorlás, embercsempészet, emberkereskedelem, menekültügy, a migránsok társadalmi és gazdasági részvétele, határigazgatás, vízumok, biometria és okmánybiztonság.</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3.</w:t>
      </w:r>
      <w:r>
        <w:rPr>
          <w:rFonts w:ascii="Times New Roman" w:hAnsi="Times New Roman" w:cs="Times New Roman"/>
          <w:noProof/>
          <w:sz w:val="24"/>
          <w:szCs w:val="24"/>
          <w:lang w:val="pt-PT"/>
        </w:rPr>
        <w:tab/>
        <w:t>A Felek megállapodnak abban, hogy együttműködnek az illegális bevándorlás megelőzése és ellenőrzése érdekében. E célból:</w:t>
      </w:r>
    </w:p>
    <w:p>
      <w:pPr>
        <w:spacing w:after="0" w:line="360" w:lineRule="auto"/>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(a)</w:t>
      </w:r>
      <w:r>
        <w:rPr>
          <w:rFonts w:ascii="Times New Roman" w:hAnsi="Times New Roman" w:cs="Times New Roman"/>
          <w:noProof/>
          <w:sz w:val="24"/>
          <w:szCs w:val="24"/>
          <w:lang w:val="pt-PT"/>
        </w:rPr>
        <w:tab/>
        <w:t>Ausztrália visszafogadja a tagállamok valamelyikének területén illegálisan tartózkodó állampolgárait, az érintett tagállam kérésére és indokolatlan késedelmet okozó szükségtelen formalitások nélkül;</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(b)</w:t>
      </w:r>
      <w:r>
        <w:rPr>
          <w:rFonts w:ascii="Times New Roman" w:hAnsi="Times New Roman" w:cs="Times New Roman"/>
          <w:noProof/>
          <w:sz w:val="24"/>
          <w:szCs w:val="24"/>
          <w:lang w:val="pt-PT"/>
        </w:rPr>
        <w:tab/>
        <w:t>mindegyik tagállam visszafogadja az Ausztrália területén illegálisan tartózkodó állampolgárait, Ausztrália kérésére és indokolatlan késedelmet okozó szükségtelen formalitások nélkül; valamint</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(c)</w:t>
      </w:r>
      <w:r>
        <w:rPr>
          <w:rFonts w:ascii="Times New Roman" w:hAnsi="Times New Roman" w:cs="Times New Roman"/>
          <w:noProof/>
          <w:sz w:val="24"/>
          <w:szCs w:val="24"/>
          <w:lang w:val="pt-PT"/>
        </w:rPr>
        <w:tab/>
        <w:t>a tagállamok és Ausztrália az ilyen célokra megfelelő személyazonossági okmánnyal látják el állampolgáraikat.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4.</w:t>
      </w:r>
      <w:r>
        <w:rPr>
          <w:rFonts w:ascii="Times New Roman" w:hAnsi="Times New Roman" w:cs="Times New Roman"/>
          <w:noProof/>
          <w:sz w:val="24"/>
          <w:szCs w:val="24"/>
          <w:lang w:val="pt-PT"/>
        </w:rPr>
        <w:tab/>
        <w:t>A Felek – bármelyik Fél kérésére – feltárják annak lehetőségét, hogy Ausztrália és az Európai Unió között visszafogadási megállapodás megkötésére kerüljön sor. Ennek keretében mérlegelik a harmadik országbeli állampolgárok és a hontalanok visszafogadására vonatkozó megfelelő rendelkezések elfogadását is.</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39.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Konzuli védelem</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Ausztrália beleegyezik abba, hogy a területén képviselettel rendelkező tagállamok bármelyikének diplomáciai és konzuli hatóságai konzuli védelmet</w:t>
      </w:r>
      <w:r>
        <w:rPr>
          <w:rStyle w:val="FootnoteReference"/>
          <w:rFonts w:ascii="Times New Roman" w:hAnsi="Times New Roman" w:cs="Times New Roman"/>
          <w:noProof/>
          <w:sz w:val="24"/>
          <w:szCs w:val="24"/>
        </w:rPr>
        <w:footnoteReference w:id="1"/>
      </w:r>
      <w:r>
        <w:rPr>
          <w:rFonts w:ascii="Times New Roman" w:hAnsi="Times New Roman" w:cs="Times New Roman"/>
          <w:noProof/>
          <w:sz w:val="24"/>
          <w:szCs w:val="24"/>
          <w:lang w:val="pt-PT"/>
        </w:rPr>
        <w:t xml:space="preserve"> nyújtsanak olyan más tagállamok nevében, amelyek nem rendelkeznek elérhető állandó képviselettel Ausztráliában.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2.</w:t>
      </w:r>
      <w:r>
        <w:rPr>
          <w:rFonts w:ascii="Times New Roman" w:hAnsi="Times New Roman" w:cs="Times New Roman"/>
          <w:noProof/>
          <w:sz w:val="24"/>
          <w:szCs w:val="24"/>
          <w:lang w:val="pt-PT"/>
        </w:rPr>
        <w:tab/>
        <w:t>Az Unió és a tagállamok beleegyeznek abba, hogy Ausztrália diplomáciai és konzuli hatóságai konzuli védelmet nyújtsanak olyan harmadik ország nevében, illetve harmadik országok konzuli védelmet nyújtsanak Ausztrália nevében az Unión belül olyan helyeken, ahol Ausztrália vagy az érintett harmadik ország nem rendelkezik elérhető állandó képviselettel.</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3.</w:t>
      </w:r>
      <w:r>
        <w:rPr>
          <w:rFonts w:ascii="Times New Roman" w:hAnsi="Times New Roman" w:cs="Times New Roman"/>
          <w:noProof/>
          <w:sz w:val="24"/>
          <w:szCs w:val="24"/>
          <w:lang w:val="pt-PT"/>
        </w:rPr>
        <w:tab/>
        <w:t>Az (1) és (2) bekezdés célja megszüntetni azokat az esetleges értesítési és jóváhagyási kötelezettségeket, amelyek egyébként alkalmazandók lennének.</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4.</w:t>
      </w:r>
      <w:r>
        <w:rPr>
          <w:rFonts w:ascii="Times New Roman" w:hAnsi="Times New Roman" w:cs="Times New Roman"/>
          <w:noProof/>
          <w:sz w:val="24"/>
          <w:szCs w:val="24"/>
          <w:lang w:val="pt-PT"/>
        </w:rPr>
        <w:tab/>
        <w:t>A Felek megállapodnak abban, hogy megkönnyítik illetékes hatóságaik között a konzuli ügyekről folytatott párbeszédet.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40.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A személyes adatok védelme</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Felek megállapodnak abban, hogy együttműködnek annak biztosítása érdekében, hogy a személyes adatok védelmének szintje megfeleljen a vonatkozó nemzetközi normáknak, ideértve a magánélet védelméről és a személyes adatok határokon átívelő áramlásáról szóló OECD-iránymutatást is.</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2.</w:t>
      </w:r>
      <w:r>
        <w:rPr>
          <w:rFonts w:ascii="Times New Roman" w:hAnsi="Times New Roman" w:cs="Times New Roman"/>
          <w:noProof/>
          <w:sz w:val="24"/>
          <w:szCs w:val="24"/>
          <w:lang w:val="pt-PT"/>
        </w:rPr>
        <w:tab/>
        <w:t xml:space="preserve">A személyes adatok védelmével kapcsolatos együttműködés magában foglalhatja többek között az információ és a szakmai ismeretek cseréjét. Kiterjedhet továbbá az olyan testületekben szerepet vállaló szabályozói képviselőik közötti együttműködésre, mint az információszabadsággal és a magánélet védelmével foglalkozó OECD-munkacsoport és a </w:t>
      </w:r>
      <w:r>
        <w:rPr>
          <w:rFonts w:ascii="Times New Roman" w:hAnsi="Times New Roman" w:cs="Times New Roman"/>
          <w:i/>
          <w:iCs/>
          <w:noProof/>
          <w:sz w:val="24"/>
          <w:szCs w:val="24"/>
          <w:lang w:val="pt-PT"/>
        </w:rPr>
        <w:t>Global Privacy Enforcement Network</w:t>
      </w:r>
      <w:r>
        <w:rPr>
          <w:rFonts w:ascii="Times New Roman" w:hAnsi="Times New Roman" w:cs="Times New Roman"/>
          <w:noProof/>
          <w:sz w:val="24"/>
          <w:szCs w:val="24"/>
          <w:lang w:val="pt-PT"/>
        </w:rPr>
        <w: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VI. CÍM</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 xml:space="preserve">EGYÜTTMŰKÖDÉS A KUTATÁS, AZ INNOVÁCIÓ ÉS </w:t>
      </w:r>
      <w:r>
        <w:rPr>
          <w:rFonts w:ascii="Times New Roman" w:hAnsi="Times New Roman" w:cs="Times New Roman"/>
          <w:noProof/>
          <w:sz w:val="24"/>
          <w:szCs w:val="24"/>
          <w:lang w:val="pt-PT"/>
        </w:rPr>
        <w:br/>
        <w:t>AZ INFORMÁCIÓS TÁRSADALOM TERÉN</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41.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Tudomány, kutatás és innováció</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Felek megállapodnak abban, hogy fokozzák együttműködésüket a tudomány, a kutatás és az innováció terén, az Európai Közösség és Ausztrália között létrejött, a tudományos és műszaki együttműködésről szóló megállapodást támogatva, illetve azt kiegészítve.</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2.</w:t>
      </w:r>
      <w:r>
        <w:rPr>
          <w:rFonts w:ascii="Times New Roman" w:hAnsi="Times New Roman" w:cs="Times New Roman"/>
          <w:noProof/>
          <w:sz w:val="24"/>
          <w:szCs w:val="24"/>
          <w:lang w:val="pt-PT"/>
        </w:rPr>
        <w:tab/>
        <w:t>A fokozott együttműködés többek között az alábbiakra irányul:</w:t>
      </w:r>
    </w:p>
    <w:p>
      <w:pPr>
        <w:spacing w:after="0" w:line="360" w:lineRule="auto"/>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(a)</w:t>
      </w:r>
      <w:r>
        <w:rPr>
          <w:rFonts w:ascii="Times New Roman" w:hAnsi="Times New Roman" w:cs="Times New Roman"/>
          <w:noProof/>
          <w:sz w:val="24"/>
          <w:szCs w:val="24"/>
          <w:lang w:val="pt-PT"/>
        </w:rPr>
        <w:tab/>
        <w:t>Ausztrália és az Unió legfontosabb közös társadalmi kihívásainak kezelése, az Európai Közösség és Ausztrália között létrejött, a tudományos és műszaki együttműködésről szóló megállapodás 5. cikke értelmében létrehozott tudományos és technológiai együttműködési vegyes bizottság felülvizsgálatával és egyetértésével;</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(b)</w:t>
      </w:r>
      <w:r>
        <w:rPr>
          <w:rFonts w:ascii="Times New Roman" w:hAnsi="Times New Roman" w:cs="Times New Roman"/>
          <w:noProof/>
          <w:sz w:val="24"/>
          <w:szCs w:val="24"/>
          <w:lang w:val="pt-PT"/>
        </w:rPr>
        <w:tab/>
        <w:t>a köz- és magánszektorban az innováció területén működő szereplők széles körének bevonása – a kkv-kra is kiterjedően – a kutatási együttműködés eredményei kiaknázásának lehetővé tétele, valamint a kölcsönösen előnyös kereskedelmi és/vagy tágabb társadalmi eredmények megvalósítása érdekében;</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(c)</w:t>
      </w:r>
      <w:r>
        <w:rPr>
          <w:rFonts w:ascii="Times New Roman" w:hAnsi="Times New Roman" w:cs="Times New Roman"/>
          <w:noProof/>
          <w:sz w:val="24"/>
          <w:szCs w:val="24"/>
          <w:lang w:val="pt-PT"/>
        </w:rPr>
        <w:tab/>
        <w:t>az ausztrál és az uniós kutatók számára a Felek kutatási és innovációs programjai által kínált lehetőségek még szélesebb körű kihasználásának lehetővé tétele, többek között az alábbiak révén:</w:t>
      </w:r>
    </w:p>
    <w:p>
      <w:pPr>
        <w:spacing w:after="0" w:line="360" w:lineRule="auto"/>
        <w:ind w:left="1134" w:hanging="567"/>
        <w:rPr>
          <w:rFonts w:ascii="Times New Roman" w:hAnsi="Times New Roman" w:cs="Times New Roman"/>
          <w:noProof/>
          <w:sz w:val="24"/>
          <w:szCs w:val="24"/>
          <w:lang w:val="pt-PT"/>
        </w:rPr>
      </w:pPr>
    </w:p>
    <w:p>
      <w:pPr>
        <w:spacing w:after="0" w:line="360" w:lineRule="auto"/>
        <w:ind w:left="1134"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(i)</w:t>
      </w:r>
      <w:r>
        <w:rPr>
          <w:rFonts w:ascii="Times New Roman" w:hAnsi="Times New Roman" w:cs="Times New Roman"/>
          <w:noProof/>
          <w:sz w:val="24"/>
          <w:szCs w:val="24"/>
          <w:lang w:val="pt-PT"/>
        </w:rPr>
        <w:tab/>
        <w:t>átfogó tájékoztatás a programokról és a részvételi lehetőségekről;</w:t>
      </w:r>
    </w:p>
    <w:p>
      <w:pPr>
        <w:spacing w:after="0" w:line="360" w:lineRule="auto"/>
        <w:ind w:left="1134" w:hanging="567"/>
        <w:rPr>
          <w:rFonts w:ascii="Times New Roman" w:hAnsi="Times New Roman" w:cs="Times New Roman"/>
          <w:noProof/>
          <w:sz w:val="24"/>
          <w:szCs w:val="24"/>
          <w:lang w:val="pt-PT"/>
        </w:rPr>
      </w:pPr>
    </w:p>
    <w:p>
      <w:pPr>
        <w:spacing w:after="0" w:line="360" w:lineRule="auto"/>
        <w:ind w:left="1134"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(ii)</w:t>
      </w:r>
      <w:r>
        <w:rPr>
          <w:rFonts w:ascii="Times New Roman" w:hAnsi="Times New Roman" w:cs="Times New Roman"/>
          <w:noProof/>
          <w:sz w:val="24"/>
          <w:szCs w:val="24"/>
          <w:lang w:val="pt-PT"/>
        </w:rPr>
        <w:tab/>
        <w:t>kellő időben adott tájékoztatás az új stratégiai prioritásokról;</w:t>
      </w:r>
    </w:p>
    <w:p>
      <w:pPr>
        <w:spacing w:after="0" w:line="360" w:lineRule="auto"/>
        <w:ind w:left="1134" w:hanging="567"/>
        <w:rPr>
          <w:rFonts w:ascii="Times New Roman" w:hAnsi="Times New Roman" w:cs="Times New Roman"/>
          <w:noProof/>
          <w:sz w:val="24"/>
          <w:szCs w:val="24"/>
          <w:lang w:val="pt-PT"/>
        </w:rPr>
      </w:pPr>
    </w:p>
    <w:p>
      <w:pPr>
        <w:spacing w:after="0" w:line="360" w:lineRule="auto"/>
        <w:ind w:left="1134"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(iii)</w:t>
      </w:r>
      <w:r>
        <w:rPr>
          <w:rFonts w:ascii="Times New Roman" w:hAnsi="Times New Roman" w:cs="Times New Roman"/>
          <w:noProof/>
          <w:sz w:val="24"/>
          <w:szCs w:val="24"/>
          <w:lang w:val="pt-PT"/>
        </w:rPr>
        <w:tab/>
        <w:t>további lehetőségek feltárása az együttműködési mechanizmusok – pl. az ikerintézményi együttműködés, a közös pályázatok és az összehangolt pályázatok – alkalmazásának és megerősítésének terén; valamint</w:t>
      </w:r>
    </w:p>
    <w:p>
      <w:pPr>
        <w:spacing w:after="0" w:line="360" w:lineRule="auto"/>
        <w:ind w:left="1134"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(d)</w:t>
      </w:r>
      <w:r>
        <w:rPr>
          <w:rFonts w:ascii="Times New Roman" w:hAnsi="Times New Roman" w:cs="Times New Roman"/>
          <w:noProof/>
          <w:sz w:val="24"/>
          <w:szCs w:val="24"/>
          <w:lang w:val="pt-PT"/>
        </w:rPr>
        <w:tab/>
        <w:t>annak feltárása, hogy milyen lehetőségek vannak Ausztrália és az Unió együttműködésére a szélesebb körű regionális és nemzetközi kutatási és innovációs együttműködésre irányuló kezdeményezések és szerepvállalás tekintetében.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3.</w:t>
      </w:r>
      <w:r>
        <w:rPr>
          <w:rFonts w:ascii="Times New Roman" w:hAnsi="Times New Roman" w:cs="Times New Roman"/>
          <w:noProof/>
          <w:sz w:val="24"/>
          <w:szCs w:val="24"/>
          <w:lang w:val="pt-PT"/>
        </w:rPr>
        <w:tab/>
        <w:t>A Felek – törvényeikkel és egyéb jogszabályaikkal összhangban – ösztönzik a magán- és állami szektor és a civil társadalom részvételét saját területükön belül az együttműködést fokozó tevékenységekben.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4.</w:t>
      </w:r>
      <w:r>
        <w:rPr>
          <w:rFonts w:ascii="Times New Roman" w:hAnsi="Times New Roman" w:cs="Times New Roman"/>
          <w:noProof/>
          <w:sz w:val="24"/>
          <w:szCs w:val="24"/>
          <w:lang w:val="pt-PT"/>
        </w:rPr>
        <w:tab/>
        <w:t>A fokozott együttműködés a polgári kutatás és innováció valamennyi területét felöleli, és kiterjed, ám nem korlátozódik az alábbiakra:</w:t>
      </w:r>
    </w:p>
    <w:p>
      <w:pPr>
        <w:spacing w:after="0" w:line="360" w:lineRule="auto"/>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(a)</w:t>
      </w:r>
      <w:r>
        <w:rPr>
          <w:rFonts w:ascii="Times New Roman" w:hAnsi="Times New Roman" w:cs="Times New Roman"/>
          <w:noProof/>
          <w:sz w:val="24"/>
          <w:szCs w:val="24"/>
          <w:lang w:val="pt-PT"/>
        </w:rPr>
        <w:tab/>
        <w:t>a közös érdekű területeket érintő társadalmi kihívások kezelése, valamint a kulcsfontosságú alaptechnológiák fejlesztése, beleértve az űrtudományt is;</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(b)</w:t>
      </w:r>
      <w:r>
        <w:rPr>
          <w:rFonts w:ascii="Times New Roman" w:hAnsi="Times New Roman" w:cs="Times New Roman"/>
          <w:noProof/>
          <w:sz w:val="24"/>
          <w:szCs w:val="24"/>
          <w:lang w:val="pt-PT"/>
        </w:rPr>
        <w:tab/>
        <w:t>kutatási infrastruktúra, beleértve az e-infrastruktúrát is, valamint információcsere olyan kérdésekben, mint a kutatási infrastruktúrához való hozzáférés, annak kezelése, finanszírozása, valamint prioritásainak megállapítása; valamint</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(c)</w:t>
      </w:r>
      <w:r>
        <w:rPr>
          <w:rFonts w:ascii="Times New Roman" w:hAnsi="Times New Roman" w:cs="Times New Roman"/>
          <w:noProof/>
          <w:sz w:val="24"/>
          <w:szCs w:val="24"/>
          <w:lang w:val="pt-PT"/>
        </w:rPr>
        <w:tab/>
        <w:t>az Ausztrália és az Unió közötti kutatói mobilitás erősítése.</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42.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Információs társadalom</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Elismerve, hogy az információs és kommunikációs technológiák a modern élet kulcsfontosságú elemei, továbbá létfontosságúak a gazdasági és társadalmi fejlődés szempontjából, a Felek megállapodnak abban, hogy véleményt cserélnek az e téren folytatott szakpolitikájukról.</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2.</w:t>
      </w:r>
      <w:r>
        <w:rPr>
          <w:rFonts w:ascii="Times New Roman" w:hAnsi="Times New Roman" w:cs="Times New Roman"/>
          <w:noProof/>
          <w:sz w:val="24"/>
          <w:szCs w:val="24"/>
          <w:lang w:val="pt-PT"/>
        </w:rPr>
        <w:tab/>
        <w:t>Az e téren folytatott együttműködés többek között a következőkre összpontosulhat:</w:t>
      </w:r>
    </w:p>
    <w:p>
      <w:pPr>
        <w:spacing w:after="0" w:line="360" w:lineRule="auto"/>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(a)</w:t>
      </w:r>
      <w:r>
        <w:rPr>
          <w:rFonts w:ascii="Times New Roman" w:hAnsi="Times New Roman" w:cs="Times New Roman"/>
          <w:noProof/>
          <w:sz w:val="24"/>
          <w:szCs w:val="24"/>
          <w:lang w:val="pt-PT"/>
        </w:rPr>
        <w:tab/>
        <w:t>véleménycsere az információs társadalom különböző vonatkozásairól, különösen az elektronikus hírközlési politikákról és szabályozásról, ezen belül az egyetemes szolgáltatásról, a használati engedélyezésről és az általános engedélyezésről, a magánélet és a személyes adatok védelméről, az e-kormányzatról és a nyílt kormányzatról, az internetbiztonságból, valamint a szabályozó hatóságok függetlenségéről és hatékonyságáról;</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(b)</w:t>
      </w:r>
      <w:r>
        <w:rPr>
          <w:rFonts w:ascii="Times New Roman" w:hAnsi="Times New Roman" w:cs="Times New Roman"/>
          <w:noProof/>
          <w:sz w:val="24"/>
          <w:szCs w:val="24"/>
          <w:lang w:val="pt-PT"/>
        </w:rPr>
        <w:tab/>
        <w:t>a kutatási hálózatok, a számítástechnikai és tudományos adatinfrastruktúrák és szolgáltatások összekapcsolása és kölcsönös átjárhatósága, regionális szinten is;</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(c)</w:t>
      </w:r>
      <w:r>
        <w:rPr>
          <w:rFonts w:ascii="Times New Roman" w:hAnsi="Times New Roman" w:cs="Times New Roman"/>
          <w:noProof/>
          <w:sz w:val="24"/>
          <w:szCs w:val="24"/>
          <w:lang w:val="pt-PT"/>
        </w:rPr>
        <w:tab/>
        <w:t>az új információs és kommunikációs technológiák szabványosítása, tanúsítása és terjesztése;</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(d)</w:t>
      </w:r>
      <w:r>
        <w:rPr>
          <w:rFonts w:ascii="Times New Roman" w:hAnsi="Times New Roman" w:cs="Times New Roman"/>
          <w:noProof/>
          <w:sz w:val="24"/>
          <w:szCs w:val="24"/>
          <w:lang w:val="pt-PT"/>
        </w:rPr>
        <w:tab/>
        <w:t>az információs és kommunikációs technológiák és szolgáltatások biztonsággal, bizalommal és a magánélet védelmével kapcsolatos vonatkozásai, ideértve az online biztonság előmozdítását, valamint az információtechnológiával és az elektronikus média, illetve az információmegosztás valamennyi formájával való visszaélés elleni küzdelmet; valamint</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(e)</w:t>
      </w:r>
      <w:r>
        <w:rPr>
          <w:rFonts w:ascii="Times New Roman" w:hAnsi="Times New Roman" w:cs="Times New Roman"/>
          <w:noProof/>
          <w:sz w:val="24"/>
          <w:szCs w:val="24"/>
          <w:lang w:val="pt-PT"/>
        </w:rPr>
        <w:tab/>
        <w:t>véleménycsere a nemzetközi barangolási díjak kérdésének kezelésére irányuló intézkedésekről, többek között a kérdés „határok mögötti” kereskedelmi akadályként való kezelésével.</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VII. CÍM</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EGYÜTTMŰKÖDÉS AZ OKTATÁS ÉS A KULTÚRA TERÉN</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43.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Oktatás, képzés és ifjúság</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Felek elismerik az oktatás és a képzés kulcsfontosságú hozzájárulását a minőségi munkahelyek létrehozásához és a fenntartható növekedéshez a tudásalapú gazdaságokban, és felismerik, hogy közös érdekük az oktatási, képzési és az ezekhez kapcsolódó ifjúsági kérdésekben való együttműködés.</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2.</w:t>
      </w:r>
      <w:r>
        <w:rPr>
          <w:rFonts w:ascii="Times New Roman" w:hAnsi="Times New Roman" w:cs="Times New Roman"/>
          <w:noProof/>
          <w:sz w:val="24"/>
          <w:szCs w:val="24"/>
          <w:lang w:val="pt-PT"/>
        </w:rPr>
        <w:tab/>
        <w:t>Kölcsönös érdekeikkel és oktatáspolitikai céljaikkal összhangban a Felek vállalják, hogy folytatják az EU–Ausztrália párbeszédet az oktatási és képzési szakpolitikákról, és támogatják a megfelelő együttműködési tevékenységeket az oktatás, a képzés és az ifjúság tekintetében. Ez az együttműködés az oktatás valamennyi ágazatára kiterjed, és többek között az alábbi formákban valósulhat meg:</w:t>
      </w:r>
    </w:p>
    <w:p>
      <w:pPr>
        <w:spacing w:after="0" w:line="360" w:lineRule="auto"/>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(a)</w:t>
      </w:r>
      <w:r>
        <w:rPr>
          <w:rFonts w:ascii="Times New Roman" w:hAnsi="Times New Roman" w:cs="Times New Roman"/>
          <w:noProof/>
          <w:sz w:val="24"/>
          <w:szCs w:val="24"/>
          <w:lang w:val="pt-PT"/>
        </w:rPr>
        <w:tab/>
        <w:t>a személyek mobilitása a diákok, a felsőfokú oktatásban dolgozó tudományos és adminisztratív alkalmazottak, a tanárok és az ifjúságsegítők cseréjének ösztönzésével és megkönnyítésével;</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(b)</w:t>
      </w:r>
      <w:r>
        <w:rPr>
          <w:rFonts w:ascii="Times New Roman" w:hAnsi="Times New Roman" w:cs="Times New Roman"/>
          <w:noProof/>
          <w:sz w:val="24"/>
          <w:szCs w:val="24"/>
          <w:lang w:val="pt-PT"/>
        </w:rPr>
        <w:tab/>
        <w:t>az Unióban és Ausztráliában működő oktatási és képzési intézmények közötti közös együttműködési projektek a tantervfejlesztés, a közös tanulmányi programok és képesítések, valamint az oktatói és hallgatói mobilitás előmozdításának céljával;</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(c)</w:t>
      </w:r>
      <w:r>
        <w:rPr>
          <w:rFonts w:ascii="Times New Roman" w:hAnsi="Times New Roman" w:cs="Times New Roman"/>
          <w:noProof/>
          <w:sz w:val="24"/>
          <w:szCs w:val="24"/>
          <w:lang w:val="pt-PT"/>
        </w:rPr>
        <w:tab/>
        <w:t>intézményi együttműködés, kapcsolatok és partnerségek a tapasztalat és a szaktudás megosztása ösztönzésének céljából, valamint az oktatás, a kutatás és az innováció közötti hatékony kapcsolatok; valamint</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(d)</w:t>
      </w:r>
      <w:r>
        <w:rPr>
          <w:rFonts w:ascii="Times New Roman" w:hAnsi="Times New Roman" w:cs="Times New Roman"/>
          <w:noProof/>
          <w:sz w:val="24"/>
          <w:szCs w:val="24"/>
          <w:lang w:val="pt-PT"/>
        </w:rPr>
        <w:tab/>
        <w:t>a szakpolitikai reform támogatása párbeszéd, tanulmányok, konferenciák, szemináriumok, munkacsoportok, teljesítmény-összehasonlítás, valamint az információk és a bevált gyakorlatok megosztása révén, különös tekintettel a bolognai és a koppenhágai folyamatra és az uniós átláthatósági eszközökre.</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44.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Kulturális, audiovizuális és médiaegyüttműködés</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Felek megállapodnak, hogy előmozdítják az együttműködést a kulturális és kreatív ágazatokban, hogy elősegítsék – többek között – kultúráik kölcsönös megértését és megismertetését.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2.</w:t>
      </w:r>
      <w:r>
        <w:rPr>
          <w:rFonts w:ascii="Times New Roman" w:hAnsi="Times New Roman" w:cs="Times New Roman"/>
          <w:noProof/>
          <w:sz w:val="24"/>
          <w:szCs w:val="24"/>
          <w:lang w:val="pt-PT"/>
        </w:rPr>
        <w:tab/>
        <w:t>A Felek törekednek arra, hogy megtegyék a kulturális cserék támogatásához szükséges intézkedéseket, és közös kezdeményezéseket tegyenek a kultúra különféle területein, a meglévő együttműködési eszközök és keretek alkalmazásával.</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3.</w:t>
      </w:r>
      <w:r>
        <w:rPr>
          <w:rFonts w:ascii="Times New Roman" w:hAnsi="Times New Roman" w:cs="Times New Roman"/>
          <w:noProof/>
          <w:sz w:val="24"/>
          <w:szCs w:val="24"/>
          <w:lang w:val="pt-PT"/>
        </w:rPr>
        <w:tab/>
        <w:t>A Felek törekednek a kulturális szakemberek és a műalkotások mobilitásának előmozdítására Ausztrália, valamint az Unió és tagállamai között.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4.</w:t>
      </w:r>
      <w:r>
        <w:rPr>
          <w:rFonts w:ascii="Times New Roman" w:hAnsi="Times New Roman" w:cs="Times New Roman"/>
          <w:noProof/>
          <w:sz w:val="24"/>
          <w:szCs w:val="24"/>
          <w:lang w:val="pt-PT"/>
        </w:rPr>
        <w:tab/>
        <w:t>A Felek ösztönzik országaik között a civil társadalmi szervezetek és az egyének közötti interkulturális párbeszédet.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5.</w:t>
      </w:r>
      <w:r>
        <w:rPr>
          <w:rFonts w:ascii="Times New Roman" w:hAnsi="Times New Roman" w:cs="Times New Roman"/>
          <w:noProof/>
          <w:sz w:val="24"/>
          <w:szCs w:val="24"/>
          <w:lang w:val="pt-PT"/>
        </w:rPr>
        <w:tab/>
        <w:t>A Felek megállapodnak abban, hogy együttműködnek – különösen szakpolitikai párbeszéd révén – a megfelelő nemzetközi fórumokon, különösen az Egyesült Nemzetek Szervezetének Nevelésügyi, Tudományos és Kulturális Szervezete (UNESCO) keretében, hogy megvalósítsák közös célkitűzéseiket és ösztönözzék a kulturális sokszínűséget, többek között a kulturális kifejezések sokszínűségének védelméről és előmozdításáról szóló UNESCO-egyezmény végrehajtásával.</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6.</w:t>
      </w:r>
      <w:r>
        <w:rPr>
          <w:rFonts w:ascii="Times New Roman" w:hAnsi="Times New Roman" w:cs="Times New Roman"/>
          <w:noProof/>
          <w:sz w:val="24"/>
          <w:szCs w:val="24"/>
          <w:lang w:val="pt-PT"/>
        </w:rPr>
        <w:tab/>
        <w:t>A Felek ösztönzik, támogatják és elősegítik az intézményeik és szakembereik közötti cseréket, együttműködést és párbeszédet az audiovizuális ágazat és a média terén.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7.</w:t>
      </w:r>
      <w:r>
        <w:rPr>
          <w:rFonts w:ascii="Times New Roman" w:hAnsi="Times New Roman" w:cs="Times New Roman"/>
          <w:noProof/>
          <w:sz w:val="24"/>
          <w:szCs w:val="24"/>
          <w:lang w:val="pt-PT"/>
        </w:rPr>
        <w:tab/>
        <w:t>A Felek megállapodnak abban, hogy támogatják a kulturális együttműködést az ASEM keretében, különösen az Ázsia–Európa Alapítvány (ASEF) tevékenységei révén.</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VIII. CÍM</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 xml:space="preserve">EGYÜTTMŰKÖDÉS A FENNTARTHATÓ FEJLŐDÉS, </w:t>
      </w:r>
      <w:r>
        <w:rPr>
          <w:rFonts w:ascii="Times New Roman" w:hAnsi="Times New Roman" w:cs="Times New Roman"/>
          <w:noProof/>
          <w:sz w:val="24"/>
          <w:szCs w:val="24"/>
          <w:lang w:val="pt-PT"/>
        </w:rPr>
        <w:br/>
        <w:t>AZ ENERGIAÜGY ÉS A KÖZLEKEDÉS TERÉN</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45.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Környezetvédelem és természeti erőforrások</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Felek megállapodnak a természeti erőforrások és a biológiai sokféleség védelmének, megőrzésének és fenntartható módon való igazgatásának szükségességéről, ami a jelen és a jövő generációi fejlődésének alapját jelenti.</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2.</w:t>
      </w:r>
      <w:r>
        <w:rPr>
          <w:rFonts w:ascii="Times New Roman" w:hAnsi="Times New Roman" w:cs="Times New Roman"/>
          <w:noProof/>
          <w:sz w:val="24"/>
          <w:szCs w:val="24"/>
          <w:lang w:val="pt-PT"/>
        </w:rPr>
        <w:tab/>
        <w:t>A Felek megerősítik együttműködésüket a környezetvédelem terén, valamint a környezetvédelmi szempontoknak az együttműködés valamennyi ágazatában való érvényesítésével kapcsolatban, beleértve a nemzetközi és regionális kontextust is, különösen az alábbiak tekintetében:</w:t>
      </w:r>
    </w:p>
    <w:p>
      <w:pPr>
        <w:spacing w:after="0" w:line="360" w:lineRule="auto"/>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(a)</w:t>
      </w:r>
      <w:r>
        <w:rPr>
          <w:rFonts w:ascii="Times New Roman" w:hAnsi="Times New Roman" w:cs="Times New Roman"/>
          <w:noProof/>
          <w:sz w:val="24"/>
          <w:szCs w:val="24"/>
          <w:lang w:val="pt-PT"/>
        </w:rPr>
        <w:tab/>
        <w:t>környezetvédelmi kérdésekről folytatott magas szintű párbeszéd fenntartása;</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(b)</w:t>
      </w:r>
      <w:r>
        <w:rPr>
          <w:rFonts w:ascii="Times New Roman" w:hAnsi="Times New Roman" w:cs="Times New Roman"/>
          <w:noProof/>
          <w:sz w:val="24"/>
          <w:szCs w:val="24"/>
          <w:lang w:val="pt-PT"/>
        </w:rPr>
        <w:tab/>
        <w:t>többoldalú környezetvédelmi megállapodásokban való részvétel és ezek végrehajtása, valamint adott esetben közös álláspontok kialakítása a Felek között, beleértve a többoldalú fórumokon való szerepvállalást is;</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(c)</w:t>
      </w:r>
      <w:r>
        <w:rPr>
          <w:rFonts w:ascii="Times New Roman" w:hAnsi="Times New Roman" w:cs="Times New Roman"/>
          <w:noProof/>
          <w:sz w:val="24"/>
          <w:szCs w:val="24"/>
          <w:lang w:val="pt-PT"/>
        </w:rPr>
        <w:tab/>
        <w:t>a genetikai erőforrásokhoz való hozzáférés és azok fenntartható felhasználásának előmozdítása és ösztönzése, a nemzeti jogszabályokkal, valamint azon, e területre vonatkozó nemzetközi egyezményekkel összhangban, amelyeket a Felek megerősítettek vagy amelyekhez a Felek csatlakoztak; valamint</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(d)</w:t>
      </w:r>
      <w:r>
        <w:rPr>
          <w:rFonts w:ascii="Times New Roman" w:hAnsi="Times New Roman" w:cs="Times New Roman"/>
          <w:noProof/>
          <w:sz w:val="24"/>
          <w:szCs w:val="24"/>
          <w:lang w:val="pt-PT"/>
        </w:rPr>
        <w:tab/>
        <w:t>az információ, a műszaki szakértelem és a környezetvédelmi gyakorlatok megosztásának ösztönzése olyan területeken, mint:</w:t>
      </w:r>
    </w:p>
    <w:p>
      <w:pPr>
        <w:spacing w:after="0" w:line="360" w:lineRule="auto"/>
        <w:rPr>
          <w:rFonts w:ascii="Times New Roman" w:hAnsi="Times New Roman" w:cs="Times New Roman"/>
          <w:noProof/>
          <w:sz w:val="24"/>
          <w:szCs w:val="24"/>
          <w:lang w:val="pt-PT"/>
        </w:rPr>
      </w:pPr>
    </w:p>
    <w:p>
      <w:pPr>
        <w:spacing w:after="0" w:line="360" w:lineRule="auto"/>
        <w:ind w:left="1134"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(i)</w:t>
      </w:r>
      <w:r>
        <w:rPr>
          <w:rFonts w:ascii="Times New Roman" w:hAnsi="Times New Roman" w:cs="Times New Roman"/>
          <w:noProof/>
          <w:sz w:val="24"/>
          <w:szCs w:val="24"/>
          <w:lang w:val="pt-PT"/>
        </w:rPr>
        <w:tab/>
        <w:t>a környezetvédelmi jogszabályok végrehajtása és érvényesítése;</w:t>
      </w:r>
    </w:p>
    <w:p>
      <w:pPr>
        <w:spacing w:after="0" w:line="360" w:lineRule="auto"/>
        <w:ind w:left="1134" w:hanging="567"/>
        <w:rPr>
          <w:rFonts w:ascii="Times New Roman" w:hAnsi="Times New Roman" w:cs="Times New Roman"/>
          <w:noProof/>
          <w:sz w:val="24"/>
          <w:szCs w:val="24"/>
          <w:lang w:val="pt-PT"/>
        </w:rPr>
      </w:pPr>
    </w:p>
    <w:p>
      <w:pPr>
        <w:spacing w:after="0" w:line="360" w:lineRule="auto"/>
        <w:ind w:left="1134"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(ii)</w:t>
      </w:r>
      <w:r>
        <w:rPr>
          <w:rFonts w:ascii="Times New Roman" w:hAnsi="Times New Roman" w:cs="Times New Roman"/>
          <w:noProof/>
          <w:sz w:val="24"/>
          <w:szCs w:val="24"/>
          <w:lang w:val="pt-PT"/>
        </w:rPr>
        <w:tab/>
        <w:t>erőforrás-hatékonyság, fenntartható fogyasztás és termelés;</w:t>
      </w:r>
    </w:p>
    <w:p>
      <w:pPr>
        <w:spacing w:after="0" w:line="360" w:lineRule="auto"/>
        <w:ind w:left="1134" w:hanging="567"/>
        <w:rPr>
          <w:rFonts w:ascii="Times New Roman" w:hAnsi="Times New Roman" w:cs="Times New Roman"/>
          <w:noProof/>
          <w:sz w:val="24"/>
          <w:szCs w:val="24"/>
          <w:lang w:val="pt-PT"/>
        </w:rPr>
      </w:pPr>
    </w:p>
    <w:p>
      <w:pPr>
        <w:spacing w:after="0" w:line="360" w:lineRule="auto"/>
        <w:ind w:left="1134"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(iii)</w:t>
      </w:r>
      <w:r>
        <w:rPr>
          <w:rFonts w:ascii="Times New Roman" w:hAnsi="Times New Roman" w:cs="Times New Roman"/>
          <w:noProof/>
          <w:sz w:val="24"/>
          <w:szCs w:val="24"/>
          <w:lang w:val="pt-PT"/>
        </w:rPr>
        <w:tab/>
        <w:t>a biológiai sokféleség megőrzése és fenntartható használata;</w:t>
      </w:r>
    </w:p>
    <w:p>
      <w:pPr>
        <w:spacing w:after="0" w:line="360" w:lineRule="auto"/>
        <w:ind w:left="1134" w:hanging="567"/>
        <w:rPr>
          <w:rFonts w:ascii="Times New Roman" w:hAnsi="Times New Roman" w:cs="Times New Roman"/>
          <w:noProof/>
          <w:sz w:val="24"/>
          <w:szCs w:val="24"/>
          <w:lang w:val="pt-PT"/>
        </w:rPr>
      </w:pPr>
    </w:p>
    <w:p>
      <w:pPr>
        <w:spacing w:after="0" w:line="360" w:lineRule="auto"/>
        <w:ind w:left="1134"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(iv)</w:t>
      </w:r>
      <w:r>
        <w:rPr>
          <w:rFonts w:ascii="Times New Roman" w:hAnsi="Times New Roman" w:cs="Times New Roman"/>
          <w:noProof/>
          <w:sz w:val="24"/>
          <w:szCs w:val="24"/>
          <w:lang w:val="pt-PT"/>
        </w:rPr>
        <w:tab/>
        <w:t>vegyianyag-kezelés és hulladékgazdálkodás;</w:t>
      </w:r>
    </w:p>
    <w:p>
      <w:pPr>
        <w:spacing w:after="0" w:line="360" w:lineRule="auto"/>
        <w:ind w:left="1134" w:hanging="567"/>
        <w:rPr>
          <w:rFonts w:ascii="Times New Roman" w:hAnsi="Times New Roman" w:cs="Times New Roman"/>
          <w:noProof/>
          <w:sz w:val="24"/>
          <w:szCs w:val="24"/>
          <w:lang w:val="pt-PT"/>
        </w:rPr>
      </w:pPr>
    </w:p>
    <w:p>
      <w:pPr>
        <w:spacing w:after="0" w:line="360" w:lineRule="auto"/>
        <w:ind w:left="1134"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(v)</w:t>
      </w:r>
      <w:r>
        <w:rPr>
          <w:rFonts w:ascii="Times New Roman" w:hAnsi="Times New Roman" w:cs="Times New Roman"/>
          <w:noProof/>
          <w:sz w:val="24"/>
          <w:szCs w:val="24"/>
          <w:lang w:val="pt-PT"/>
        </w:rPr>
        <w:tab/>
        <w:t>vízpolitika; valamint</w:t>
      </w:r>
    </w:p>
    <w:p>
      <w:pPr>
        <w:spacing w:after="0" w:line="360" w:lineRule="auto"/>
        <w:ind w:left="1134" w:hanging="567"/>
        <w:rPr>
          <w:rFonts w:ascii="Times New Roman" w:hAnsi="Times New Roman" w:cs="Times New Roman"/>
          <w:noProof/>
          <w:sz w:val="24"/>
          <w:szCs w:val="24"/>
          <w:lang w:val="pt-PT"/>
        </w:rPr>
      </w:pPr>
    </w:p>
    <w:p>
      <w:pPr>
        <w:spacing w:after="0" w:line="360" w:lineRule="auto"/>
        <w:ind w:left="1134"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(vi)</w:t>
      </w:r>
      <w:r>
        <w:rPr>
          <w:rFonts w:ascii="Times New Roman" w:hAnsi="Times New Roman" w:cs="Times New Roman"/>
          <w:noProof/>
          <w:sz w:val="24"/>
          <w:szCs w:val="24"/>
          <w:lang w:val="pt-PT"/>
        </w:rPr>
        <w:tab/>
        <w:t>a partvidék és a tengeri környezet megóvása, a szennyezések és a lebomlás ellenőrzése.</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46.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Éghajlatváltozás</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Felek elismerik, hogy az éghajlatváltozás közös globális fenyegetést jelent és a kibocsátáscsökkentés céljából valamennyi országnak intézkedéseket kell hoznia annak érdekében, hogy az üvegházhatást okozó gázok légköri koncentrációját olyan szinten stabilizálják, amely megakadályozza az éghajlati rendszerbe való veszélyes mértékű emberi beavatkozást. A Felek – hatásköreiken belül, valamint a nemzetközi fórumokon, így az ENSZ Éghajlat-változási Keretegyezménye (UNFCCC) keretében folytatott megbeszélések sérelme nélkül – fokozzák az együttműködést e téren. Ez az együttműködés az alábbi célokra irányul, ám nem korlátozódik ezekre:</w:t>
      </w:r>
    </w:p>
    <w:p>
      <w:pPr>
        <w:spacing w:after="0" w:line="360" w:lineRule="auto"/>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(a)</w:t>
      </w:r>
      <w:r>
        <w:rPr>
          <w:rFonts w:ascii="Times New Roman" w:hAnsi="Times New Roman" w:cs="Times New Roman"/>
          <w:noProof/>
          <w:sz w:val="24"/>
          <w:szCs w:val="24"/>
          <w:lang w:val="pt-PT"/>
        </w:rPr>
        <w:tab/>
        <w:t>az éghajlatváltozás elleni küzdelem, az üvegházhatást okozó gázok légköri koncentrációjának stabilizálását tűzve ki átfogó célul, figyelembe véve a legkorszerűbb tudományos információkat és az alacsony kibocsátású gazdaságra való áttérés szükségességét, a fenntartható gazdasági növekedés megfelelő nemzeti mérséklési és alkalmazkodási intézkedések révén történő fenntartása mellett;</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(b)</w:t>
      </w:r>
      <w:r>
        <w:rPr>
          <w:rFonts w:ascii="Times New Roman" w:hAnsi="Times New Roman" w:cs="Times New Roman"/>
          <w:noProof/>
          <w:sz w:val="24"/>
          <w:szCs w:val="24"/>
          <w:lang w:val="pt-PT"/>
        </w:rPr>
        <w:tab/>
        <w:t>szakmai ismeretek és információk cseréje a hazai mérséklési szakpolitikák és megközelítések kialakítása, végrehajtása és fejlesztése tekintetében, adott esetben a piaci alapú mechanizmusokra is kiterjedően;</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(c)</w:t>
      </w:r>
      <w:r>
        <w:rPr>
          <w:rFonts w:ascii="Times New Roman" w:hAnsi="Times New Roman" w:cs="Times New Roman"/>
          <w:noProof/>
          <w:sz w:val="24"/>
          <w:szCs w:val="24"/>
          <w:lang w:val="pt-PT"/>
        </w:rPr>
        <w:tab/>
        <w:t>szakmai ismeretek és információk cseréje a köz- és a magánszektor éghajlat-politikát szolgáló finanszírozási eszközeiről;</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(d)</w:t>
      </w:r>
      <w:r>
        <w:rPr>
          <w:rFonts w:ascii="Times New Roman" w:hAnsi="Times New Roman" w:cs="Times New Roman"/>
          <w:noProof/>
          <w:sz w:val="24"/>
          <w:szCs w:val="24"/>
          <w:lang w:val="pt-PT"/>
        </w:rPr>
        <w:tab/>
        <w:t>az üvegházhatást okozó gázok kibocsátásának mérséklése érdekében az alacsony kibocsátású technológiák kutatására, fejlesztésére, terjesztésére, telepítésére és átadására vonatkozó együttműködés, valamint az erőforrások hatékony felhasználásának ösztönzése, a gazdasági növekedés fenntartásával párhuzamosan;</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(e)</w:t>
      </w:r>
      <w:r>
        <w:rPr>
          <w:rFonts w:ascii="Times New Roman" w:hAnsi="Times New Roman" w:cs="Times New Roman"/>
          <w:noProof/>
          <w:sz w:val="24"/>
          <w:szCs w:val="24"/>
          <w:lang w:val="pt-PT"/>
        </w:rPr>
        <w:tab/>
        <w:t>adott esetben tapasztalatok, szakmai ismeretek és bevált gyakorlatok cseréje, az üvegházhatást okozó gázok hatásainak nyomon követése és elemzése, valamint az éghajlatváltozás mérséklésével és az ahhoz való alkalmazkodással foglalkozó programok és az alacsony kibocsátásra irányuló stratégiák kidolgozása terén;</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(f)</w:t>
      </w:r>
      <w:r>
        <w:rPr>
          <w:rFonts w:ascii="Times New Roman" w:hAnsi="Times New Roman" w:cs="Times New Roman"/>
          <w:noProof/>
          <w:sz w:val="24"/>
          <w:szCs w:val="24"/>
          <w:lang w:val="pt-PT"/>
        </w:rPr>
        <w:tab/>
        <w:t>adott esetben fejlődő országok mérsékléssel és alkalmazkodással kapcsolatos fellépéseinek támogatása;</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(g)</w:t>
      </w:r>
      <w:r>
        <w:rPr>
          <w:rFonts w:ascii="Times New Roman" w:hAnsi="Times New Roman" w:cs="Times New Roman"/>
          <w:noProof/>
          <w:sz w:val="24"/>
          <w:szCs w:val="24"/>
          <w:lang w:val="pt-PT"/>
        </w:rPr>
        <w:tab/>
        <w:t>együttműködés egy minden országra érvényes, erőteljes és jogilag kötelező erejű nemzetközi éghajlat-változási megállapodás elérése érdekében.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2.</w:t>
      </w:r>
      <w:r>
        <w:rPr>
          <w:rFonts w:ascii="Times New Roman" w:hAnsi="Times New Roman" w:cs="Times New Roman"/>
          <w:noProof/>
          <w:sz w:val="24"/>
          <w:szCs w:val="24"/>
          <w:lang w:val="pt-PT"/>
        </w:rPr>
        <w:tab/>
        <w:t>E célok érdekében a Felek megállapodnak abban, hogy rendszeres párbeszédet és együttműködést tartanak fenn politikai, szakpolitikai és technikai szinten, mind kétoldalú módon, mind pedig a vonatkozó plurilaterális és multilaterális fórumok keretében.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47.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Polgári védelem</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 Felek felismerik, hogy minimalizálni kell a természeti és ember okozta katasztrófák hatásait. A Felek megerősítik közös elkötelezettségüket a megelőzést, enyhítést, a felkészültséget és az elhárítást célzó intézkedések előmozdítása mellett, a társadalom és az infrastruktúra ellenálló-képességének növelése érdekében, valamint a kétoldalú és multilaterális politikai szinten való megfelelő, e célok megvalósítását szolgáló együttműködés mellett.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48.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Energiaügy</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 Felek elismerik az energiaágazat jelentőségét és a jól működő energiapiac szerepét a fenntartható fejlődésben és a gazdasági növekedésben, a nemzetközileg elfogadott fejlesztési célok megvalósításához való hozzájárulás, valamint a globális környezeti és éghajlati kihívások kezelését célzó együttműködés mellett, és hatásköreiken belül törekednek az e területen való együttműködést fokozni az alábbi célok érdekében:</w:t>
      </w:r>
    </w:p>
    <w:p>
      <w:pPr>
        <w:spacing w:after="0" w:line="360" w:lineRule="auto"/>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(a)</w:t>
      </w:r>
      <w:r>
        <w:rPr>
          <w:rFonts w:ascii="Times New Roman" w:hAnsi="Times New Roman" w:cs="Times New Roman"/>
          <w:noProof/>
          <w:sz w:val="24"/>
          <w:szCs w:val="24"/>
          <w:lang w:val="pt-PT"/>
        </w:rPr>
        <w:tab/>
        <w:t>az energiabiztonságot erősítő szakpolitikák kialakítása;</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(b)</w:t>
      </w:r>
      <w:r>
        <w:rPr>
          <w:rFonts w:ascii="Times New Roman" w:hAnsi="Times New Roman" w:cs="Times New Roman"/>
          <w:noProof/>
          <w:sz w:val="24"/>
          <w:szCs w:val="24"/>
          <w:lang w:val="pt-PT"/>
        </w:rPr>
        <w:tab/>
        <w:t>a globális energiakereskedelem és az energiaágazatba irányuló beruházások ösztönzése;</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(c)</w:t>
      </w:r>
      <w:r>
        <w:rPr>
          <w:rFonts w:ascii="Times New Roman" w:hAnsi="Times New Roman" w:cs="Times New Roman"/>
          <w:noProof/>
          <w:sz w:val="24"/>
          <w:szCs w:val="24"/>
          <w:lang w:val="pt-PT"/>
        </w:rPr>
        <w:tab/>
        <w:t>a versenyképesség növelése;</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(d)</w:t>
      </w:r>
      <w:r>
        <w:rPr>
          <w:rFonts w:ascii="Times New Roman" w:hAnsi="Times New Roman" w:cs="Times New Roman"/>
          <w:noProof/>
          <w:sz w:val="24"/>
          <w:szCs w:val="24"/>
          <w:lang w:val="pt-PT"/>
        </w:rPr>
        <w:tab/>
        <w:t>a globális energiapiacok működésének javítása;</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(e)</w:t>
      </w:r>
      <w:r>
        <w:rPr>
          <w:rFonts w:ascii="Times New Roman" w:hAnsi="Times New Roman" w:cs="Times New Roman"/>
          <w:noProof/>
          <w:sz w:val="24"/>
          <w:szCs w:val="24"/>
          <w:lang w:val="pt-PT"/>
        </w:rPr>
        <w:tab/>
        <w:t>az információk és szakpolitikai tapasztalatok megosztása a meglévő multilaterális fórumok keretében;</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(f)</w:t>
      </w:r>
      <w:r>
        <w:rPr>
          <w:rFonts w:ascii="Times New Roman" w:hAnsi="Times New Roman" w:cs="Times New Roman"/>
          <w:noProof/>
          <w:sz w:val="24"/>
          <w:szCs w:val="24"/>
          <w:lang w:val="pt-PT"/>
        </w:rPr>
        <w:tab/>
        <w:t>a tiszta, sokrétű, költséghatékony és fenntartható energiatechnológiák fejlesztésének és elterjedésének ösztönzése, ideértve a megújulóenergia-technológiákat és az alacsony kibocsátású energiatechnológiákat is;</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(g)</w:t>
      </w:r>
      <w:r>
        <w:rPr>
          <w:rFonts w:ascii="Times New Roman" w:hAnsi="Times New Roman" w:cs="Times New Roman"/>
          <w:noProof/>
          <w:sz w:val="24"/>
          <w:szCs w:val="24"/>
          <w:lang w:val="pt-PT"/>
        </w:rPr>
        <w:tab/>
        <w:t>az energiafelhasználás racionalizálása a kínálati és keresleti oldal bevonásával, az energiahatékonyság ösztönzése révén az energiatermelés, -szállítás, -elosztás, valamint -végfelhasználás vonatkozásában; valamint</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(h)</w:t>
      </w:r>
      <w:r>
        <w:rPr>
          <w:rFonts w:ascii="Times New Roman" w:hAnsi="Times New Roman" w:cs="Times New Roman"/>
          <w:noProof/>
          <w:sz w:val="24"/>
          <w:szCs w:val="24"/>
          <w:lang w:val="pt-PT"/>
        </w:rPr>
        <w:tab/>
        <w:t>a bevált gyakorlatok megosztása az energiafeltárás és -termelés terén.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49.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Közlekedés</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Felek törekednek arra, hogy a közlekedéspolitika valamennyi fontos területén – így az integrált közlekedéspolitika terén is – együttműködjenek egymással annak érdekében, hogy fejlesszék az áruk és a személyek szállítását, erősítsék a tengeri hajózás és légi közlekedés biztonságát és védelmét, valamint a környezet védelmét, továbbá fokozzák közlekedési rendszereik hatékonyságát.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2.</w:t>
      </w:r>
      <w:r>
        <w:rPr>
          <w:rFonts w:ascii="Times New Roman" w:hAnsi="Times New Roman" w:cs="Times New Roman"/>
          <w:noProof/>
          <w:sz w:val="24"/>
          <w:szCs w:val="24"/>
          <w:lang w:val="pt-PT"/>
        </w:rPr>
        <w:tab/>
        <w:t>E területen a Felek közötti együttműködés célja, hogy támogassák a következőket:</w:t>
      </w:r>
    </w:p>
    <w:p>
      <w:pPr>
        <w:spacing w:after="0" w:line="360" w:lineRule="auto"/>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(a)</w:t>
      </w:r>
      <w:r>
        <w:rPr>
          <w:rFonts w:ascii="Times New Roman" w:hAnsi="Times New Roman" w:cs="Times New Roman"/>
          <w:noProof/>
          <w:sz w:val="24"/>
          <w:szCs w:val="24"/>
          <w:lang w:val="pt-PT"/>
        </w:rPr>
        <w:tab/>
        <w:t>információcsere a közlekedési szakpolitikáikról és gyakorlataikról, beleértve a szabályozási rendszerek közlekedési ágazataikat érintő javasolt változásaival kapcsolatos, kellő időben nyújtott tanácsot;</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(b)</w:t>
      </w:r>
      <w:r>
        <w:rPr>
          <w:rFonts w:ascii="Times New Roman" w:hAnsi="Times New Roman" w:cs="Times New Roman"/>
          <w:noProof/>
          <w:sz w:val="24"/>
          <w:szCs w:val="24"/>
          <w:lang w:val="pt-PT"/>
        </w:rPr>
        <w:tab/>
        <w:t>az Ausztrália és az Unió közötti légi közlekedési kapcsolatok erősítése, a piacra jutás és a beruházási lehetőségek javítása, valamint a szabályozói együttműködés szélesítése és elmélyítése a légi közlekedés biztonsága és védelme, valamint a légi közlekedési ágazat gazdasági szabályozása tekintetében, azzal a céllal, hogy támogassák a szabályozás egységességét és a vállalkozások előtt álló akadályok megszüntetését, valamint a légiforgalom-irányítási együttműködést;</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(c)</w:t>
      </w:r>
      <w:r>
        <w:rPr>
          <w:rFonts w:ascii="Times New Roman" w:hAnsi="Times New Roman" w:cs="Times New Roman"/>
          <w:noProof/>
          <w:sz w:val="24"/>
          <w:szCs w:val="24"/>
          <w:lang w:val="pt-PT"/>
        </w:rPr>
        <w:tab/>
        <w:t>párbeszéd és együttműködés a nemzetközi tengeri piacokhoz és kereskedelemhez való, a tisztességes versenyen alapuló, kereskedelmi jellegű korlátlan hozzáférés céljának megvalósítása érdekében;</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(d)</w:t>
      </w:r>
      <w:r>
        <w:rPr>
          <w:rFonts w:ascii="Times New Roman" w:hAnsi="Times New Roman" w:cs="Times New Roman"/>
          <w:noProof/>
          <w:sz w:val="24"/>
          <w:szCs w:val="24"/>
          <w:lang w:val="pt-PT"/>
        </w:rPr>
        <w:tab/>
        <w:t>párbeszéd és együttműködés a környezetvédelemhez kapcsolódó közlekedési kérdésekben;</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(e)</w:t>
      </w:r>
      <w:r>
        <w:rPr>
          <w:rFonts w:ascii="Times New Roman" w:hAnsi="Times New Roman" w:cs="Times New Roman"/>
          <w:noProof/>
          <w:sz w:val="24"/>
          <w:szCs w:val="24"/>
          <w:lang w:val="pt-PT"/>
        </w:rPr>
        <w:tab/>
        <w:t>párbeszéd és együttműködés a vezetői engedélyek kölcsönös elismerésének elérésére; valamint</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(f)</w:t>
      </w:r>
      <w:r>
        <w:rPr>
          <w:rFonts w:ascii="Times New Roman" w:hAnsi="Times New Roman" w:cs="Times New Roman"/>
          <w:noProof/>
          <w:sz w:val="24"/>
          <w:szCs w:val="24"/>
          <w:lang w:val="pt-PT"/>
        </w:rPr>
        <w:tab/>
        <w:t>együttműködés a nemzetközi közlekedési fórumokon.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50.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Mezőgazdaság és vidékfejlesztés</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Felek megállapodnak abban, hogy ösztönzik a mezőgazdasági és vidékfejlesztési együttműködést.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2.</w:t>
      </w:r>
      <w:r>
        <w:rPr>
          <w:rFonts w:ascii="Times New Roman" w:hAnsi="Times New Roman" w:cs="Times New Roman"/>
          <w:noProof/>
          <w:sz w:val="24"/>
          <w:szCs w:val="24"/>
          <w:lang w:val="pt-PT"/>
        </w:rPr>
        <w:tab/>
        <w:t>A mérlegelhető együttműködési tevékenységek magukban foglalják következőket, de nem csak ezekre korlátozódnak: mezőgazdasági és vidékfejlesztési politika, földrajzi jelzések, a mezőgazdasági ágazatok diverzifikációja és szerkezetátalakítása, valamint a fenntartható mezőgazdaság.</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51.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Fenntartható erdőgazdálkodás</w:t>
      </w:r>
    </w:p>
    <w:p>
      <w:pPr>
        <w:spacing w:after="0" w:line="360" w:lineRule="auto"/>
        <w:jc w:val="center"/>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 Felek megállapodnak abban, hogy ösztönzik az együttműködést nemzeti és nemzetközi szinten a fenntartható erdőgazdálkodás, valamint a kapcsolódó szakpolitikák és szabályozások tekintetében, beleértve az illegális fakitermelés és -kereskedelem elleni küzdelmet szolgáló intézkedéseket és a megfelelő erdészeti irányítás előmozdítását is.</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52.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Tengerügyek és halászat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Felek megerősítik a párbeszédet és az együttműködést a közös érdekű kérdések tekintetében a halászat és a tengerügyek terén. A Felek törekednek az élő tengeri erőforrások hosszú távú védelmére és fenntartható kezelésére, információt cserélnek a regionális halászati gazdálkodási szervezetek és megállapodások, valamint olyan multilaterális fórumok keretében, mint az ENSZ Élelmezési és Mezőgazdasági Szervezete (a továbbiakban: FAO), ösztönzik a jogellenes, be nem jelentett és szabályozatlan halászat megelőzésére, megakadályozására és felszámolására irányuló erőfeszítéseket, ökoszisztéma-alapú irányítást valósítanak meg, valamint ösztönzik a tengerügyek és a halászat fenntarthatóságát érintő kutatási együttműködést.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2.</w:t>
      </w:r>
      <w:r>
        <w:rPr>
          <w:rFonts w:ascii="Times New Roman" w:hAnsi="Times New Roman" w:cs="Times New Roman"/>
          <w:noProof/>
          <w:sz w:val="24"/>
          <w:szCs w:val="24"/>
          <w:lang w:val="pt-PT"/>
        </w:rPr>
        <w:tab/>
        <w:t>A Felek együttműködnek a következők érdekében:</w:t>
      </w:r>
    </w:p>
    <w:p>
      <w:pPr>
        <w:spacing w:after="0" w:line="360" w:lineRule="auto"/>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(a)</w:t>
      </w:r>
      <w:r>
        <w:rPr>
          <w:rFonts w:ascii="Times New Roman" w:hAnsi="Times New Roman" w:cs="Times New Roman"/>
          <w:noProof/>
          <w:sz w:val="24"/>
          <w:szCs w:val="24"/>
          <w:lang w:val="pt-PT"/>
        </w:rPr>
        <w:tab/>
        <w:t>a halászati erőforrások hosszú távú védelmének és fenntartható kezelésének biztosítására irányuló hatékony intézkedések kialakításának, végrehajtásának és betartásának ösztönzése a regionális halászati gazdálkodási szervezetek hatáskörén belül vagy olyan megállapodások alapján, amelyeknek részes felei közé tartoznak;</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(b)</w:t>
      </w:r>
      <w:r>
        <w:rPr>
          <w:rFonts w:ascii="Times New Roman" w:hAnsi="Times New Roman" w:cs="Times New Roman"/>
          <w:noProof/>
          <w:sz w:val="24"/>
          <w:szCs w:val="24"/>
          <w:lang w:val="pt-PT"/>
        </w:rPr>
        <w:tab/>
        <w:t>az érintett regionális halászati gazdálkodási szervezeten belül a multilaterális irányítás biztosítása a hosszú távon vándorló halállományok teljes előfordulási területére vonatkozóan;</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(c)</w:t>
      </w:r>
      <w:r>
        <w:rPr>
          <w:rFonts w:ascii="Times New Roman" w:hAnsi="Times New Roman" w:cs="Times New Roman"/>
          <w:noProof/>
          <w:sz w:val="24"/>
          <w:szCs w:val="24"/>
          <w:lang w:val="pt-PT"/>
        </w:rPr>
        <w:tab/>
        <w:t>a tengerügyek integrált megközelítésének szorgalmazása nemzetközi szinten; valamint</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(d)</w:t>
      </w:r>
      <w:r>
        <w:rPr>
          <w:rFonts w:ascii="Times New Roman" w:hAnsi="Times New Roman" w:cs="Times New Roman"/>
          <w:noProof/>
          <w:sz w:val="24"/>
          <w:szCs w:val="24"/>
          <w:lang w:val="pt-PT"/>
        </w:rPr>
        <w:tab/>
        <w:t>a regionális halászati gazdálkodási szervezetekben való tagság elősegítése minden lehetséges módon azokban az esetekben, amikor az egyik Fél tag, a másik pedig együttműködő fél.</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3.</w:t>
      </w:r>
      <w:r>
        <w:rPr>
          <w:rFonts w:ascii="Times New Roman" w:hAnsi="Times New Roman" w:cs="Times New Roman"/>
          <w:noProof/>
          <w:sz w:val="24"/>
          <w:szCs w:val="24"/>
          <w:lang w:val="pt-PT"/>
        </w:rPr>
        <w:tab/>
        <w:t>A Felek más vezető tisztviselői szintű megbeszélésekkel egyidejűleg rendszeres időközönként párbeszédet folytatnak annak érdekében, hogy megerősítsék a halászati politika és a tengerügyek terén a párbeszédet és az együttműködést, valamint az információ- és tapasztalatcserét.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53.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Foglalkoztatási és szociális ügyek</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Felek megállapodnak abban, hogy fokozzák az együttműködést a foglalkoztatás és a szociális kérdések terén, a globalizációval és a demográfiai változásokkal összefüggésben is. Erőfeszítéseket tesznek az együttműködés, valamint az információ- és tapasztalatcsere ösztönzésére a foglalkoztatási és munkaügyi kérdések vonatkozásában. Az együttműködés területei közé tartozhatnak a következőket érintő konzultációk: foglalkoztatáspolitika, társadalmi integráció, regionális és szociális kohézió, társadalmi integráció, társadalombiztosítási rendszerek, munkaügyi kapcsolatok, az egész életen át tartó készségfejlesztés, ifjúsági foglalkoztatás, munkahelyi egészségvédelem és biztonság, megkülönböztetésmentesség és egyenlőség, a nemek közötti egyenlőséget is beleértve, valamint a vállalati társadalmi felelősségvállalás és a tisztességes munka.</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2.</w:t>
      </w:r>
      <w:r>
        <w:rPr>
          <w:rFonts w:ascii="Times New Roman" w:hAnsi="Times New Roman" w:cs="Times New Roman"/>
          <w:noProof/>
          <w:sz w:val="24"/>
          <w:szCs w:val="24"/>
          <w:lang w:val="pt-PT"/>
        </w:rPr>
        <w:tab/>
        <w:t>A Felek megerősítik, hogy elő kell mozdítani a teljes körű és termelékeny foglalkoztatást és a tisztességes munkát, mivel ezeknek kulcsfontosságú szerepe van a fenntartható fejlődésben és a szegénység csökkentésében. Ezzel kapcsolatban a Felek emlékeztetnek a Nemzetközi Munkaügyi Szervezetnek (a továbbiakban: ILO) a tisztességes globalizációhoz szükséges társadalmi igazságosságról szóló nyilatkozatára.</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3.</w:t>
      </w:r>
      <w:r>
        <w:rPr>
          <w:rFonts w:ascii="Times New Roman" w:hAnsi="Times New Roman" w:cs="Times New Roman"/>
          <w:noProof/>
          <w:sz w:val="24"/>
          <w:szCs w:val="24"/>
          <w:lang w:val="pt-PT"/>
        </w:rPr>
        <w:tab/>
        <w:t>A Felek megerősítik a nemzetközi szinten elismert munkaügyi és szociális normák tiszteletben tartása, előmozdítása és megvalósítása melletti elkötelezettségüket, az alapvető munkahelyi elvekről és jogokról szóló ILO-nyilatkozatban foglaltak szerint.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4.</w:t>
      </w:r>
      <w:r>
        <w:rPr>
          <w:rFonts w:ascii="Times New Roman" w:hAnsi="Times New Roman" w:cs="Times New Roman"/>
          <w:noProof/>
          <w:sz w:val="24"/>
          <w:szCs w:val="24"/>
          <w:lang w:val="pt-PT"/>
        </w:rPr>
        <w:tab/>
        <w:t>Az együttműködés formái magukban foglalhatnak többek között egyedi programokat, projekteket és kezdeményezéseket, kölcsönös megállapodás alapján, valamint a közös érdekű témákkal kapcsolatos két- vagy többoldalú párbeszédet.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54.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Egészségügy</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 Felek megállapodnak abban, hogy ösztönzik a kölcsönös együttműködést, információcserét és a szakpolitikai tapasztalatok megosztását az egészségügy és a határokon átnyúló egészségügyi problémák hatékony kezelése terén.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IX. CÍM</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INTÉZMÉNYI KERET</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55.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Egyéb megállapodások és rendelkezések</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Felek kiegészíthetik e megállapodást a hatálya alá tartozó bármely együttműködési területre vonatkozó külön megállapodások megkötésével vagy egyéb rendelkezések elfogadásával. Az ilyen külön megállapodások az e megállapodás által szabályozott átfogó kétoldalú kapcsolatok szerves részét képezik.</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2.</w:t>
      </w:r>
      <w:r>
        <w:rPr>
          <w:rFonts w:ascii="Times New Roman" w:hAnsi="Times New Roman" w:cs="Times New Roman"/>
          <w:noProof/>
          <w:sz w:val="24"/>
          <w:szCs w:val="24"/>
          <w:lang w:val="pt-PT"/>
        </w:rPr>
        <w:tab/>
        <w:t>Ez a megállapodás nem érinti vagy nem sérti a Felek közötti egyéb megállapodások értelmezését, működését vagy alkalmazását. Különösen e megállapodás vitarendezési rendelkezései nem lépnek a Felek közötti egyéb megállapodások vitarendezési rendelkezéseinek helyébe, és semmilyen módon nem befolyásolják azokat.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3.</w:t>
      </w:r>
      <w:r>
        <w:rPr>
          <w:rFonts w:ascii="Times New Roman" w:hAnsi="Times New Roman" w:cs="Times New Roman"/>
          <w:noProof/>
          <w:sz w:val="24"/>
          <w:szCs w:val="24"/>
          <w:lang w:val="pt-PT"/>
        </w:rPr>
        <w:tab/>
        <w:t>A Felek elismerik, hogy az 57. cikk (7) bekezdésében meghatározott különlegesen sürgős eset alapot adhat arra is, hogy a Felek közötti egyéb megállapodásokat felfüggesszék vagy megszüntessék. E körülmények fennállása esetén a Felek az érintett egyéb megállapodások vitarendezésről, felfüggesztésről és megszüntetésről szóló rendelkezéseihez folyamodnak az ilyen esetleges viták rendezése céljából.</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56.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Vegyes bizottság</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Felek létrehozzák a Felek képviselőiből álló vegyes bizottságot.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2.</w:t>
      </w:r>
      <w:r>
        <w:rPr>
          <w:rFonts w:ascii="Times New Roman" w:hAnsi="Times New Roman" w:cs="Times New Roman"/>
          <w:noProof/>
          <w:sz w:val="24"/>
          <w:szCs w:val="24"/>
          <w:lang w:val="pt-PT"/>
        </w:rPr>
        <w:tab/>
        <w:t>A vegyes bizottságban konzultációkat kell folytatni annak érdekében, hogy elősegítsék e megállapodás végrehajtását és általános céljainak előmozdítását, valamint hogy fenntartsák az EU–Ausztrália kapcsolatok átfogó egységességét.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3.</w:t>
      </w:r>
      <w:r>
        <w:rPr>
          <w:rFonts w:ascii="Times New Roman" w:hAnsi="Times New Roman" w:cs="Times New Roman"/>
          <w:noProof/>
          <w:sz w:val="24"/>
          <w:szCs w:val="24"/>
          <w:lang w:val="pt-PT"/>
        </w:rPr>
        <w:tab/>
        <w:t>A vegyes bizottság:</w:t>
      </w:r>
    </w:p>
    <w:p>
      <w:pPr>
        <w:spacing w:after="0" w:line="360" w:lineRule="auto"/>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(a)</w:t>
      </w:r>
      <w:r>
        <w:rPr>
          <w:rFonts w:ascii="Times New Roman" w:hAnsi="Times New Roman" w:cs="Times New Roman"/>
          <w:noProof/>
          <w:sz w:val="24"/>
          <w:szCs w:val="24"/>
          <w:lang w:val="pt-PT"/>
        </w:rPr>
        <w:tab/>
        <w:t>előmozdítja e megállapodás hatékony végrehajtását;</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(b)</w:t>
      </w:r>
      <w:r>
        <w:rPr>
          <w:rFonts w:ascii="Times New Roman" w:hAnsi="Times New Roman" w:cs="Times New Roman"/>
          <w:noProof/>
          <w:sz w:val="24"/>
          <w:szCs w:val="24"/>
          <w:lang w:val="pt-PT"/>
        </w:rPr>
        <w:tab/>
        <w:t>figyelemmel kíséri a Felek közötti átfogó kétoldalú kapcsolat, ezen belül a megállapodások alakulását;</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(c)</w:t>
      </w:r>
      <w:r>
        <w:rPr>
          <w:rFonts w:ascii="Times New Roman" w:hAnsi="Times New Roman" w:cs="Times New Roman"/>
          <w:noProof/>
          <w:sz w:val="24"/>
          <w:szCs w:val="24"/>
          <w:lang w:val="pt-PT"/>
        </w:rPr>
        <w:tab/>
        <w:t>adott esetben tájékoztatás kér a Felek közötti egyéb megállapodások alapján létrehozott bizottságoktól és egyéb testületektől, és mérlegeli az általuk benyújtott esetleges jelentéseket;</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(d)</w:t>
      </w:r>
      <w:r>
        <w:rPr>
          <w:rFonts w:ascii="Times New Roman" w:hAnsi="Times New Roman" w:cs="Times New Roman"/>
          <w:noProof/>
          <w:sz w:val="24"/>
          <w:szCs w:val="24"/>
          <w:lang w:val="pt-PT"/>
        </w:rPr>
        <w:tab/>
        <w:t>véleményt cserél és javaslatot tesz bármely közös érdekű kérdésben, ideértve a jövőbeli fellépéseket és az ezek végrehajtására rendelkezésre álló erőforrásokat is;</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(e)</w:t>
      </w:r>
      <w:r>
        <w:rPr>
          <w:rFonts w:ascii="Times New Roman" w:hAnsi="Times New Roman" w:cs="Times New Roman"/>
          <w:noProof/>
          <w:sz w:val="24"/>
          <w:szCs w:val="24"/>
          <w:lang w:val="pt-PT"/>
        </w:rPr>
        <w:tab/>
        <w:t>prioritásokat állapít meg és adott esetben meghatározza a következő lépéseket vagy cselekvési terveket a megállapodás céljával kapcsolatban;</w:t>
      </w:r>
    </w:p>
    <w:p>
      <w:pPr>
        <w:spacing w:after="0" w:line="360" w:lineRule="auto"/>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(f)</w:t>
      </w:r>
      <w:r>
        <w:rPr>
          <w:rFonts w:ascii="Times New Roman" w:hAnsi="Times New Roman" w:cs="Times New Roman"/>
          <w:noProof/>
          <w:sz w:val="24"/>
          <w:szCs w:val="24"/>
          <w:lang w:val="pt-PT"/>
        </w:rPr>
        <w:tab/>
        <w:t>megfelelő módszereket keres az e megállapodás hatálya alá tartozó területeken esetlegesen felmerülő problémák megelőzésére;</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(g)</w:t>
      </w:r>
      <w:r>
        <w:rPr>
          <w:rFonts w:ascii="Times New Roman" w:hAnsi="Times New Roman" w:cs="Times New Roman"/>
          <w:noProof/>
          <w:sz w:val="24"/>
          <w:szCs w:val="24"/>
          <w:lang w:val="pt-PT"/>
        </w:rPr>
        <w:tab/>
        <w:t>az 57. cikknek megfelelően törekszik rendezni az e megállapodás alkalmazása vagy értelmezése során felmerülő vitákat;</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(h)</w:t>
      </w:r>
      <w:r>
        <w:rPr>
          <w:rFonts w:ascii="Times New Roman" w:hAnsi="Times New Roman" w:cs="Times New Roman"/>
          <w:noProof/>
          <w:sz w:val="24"/>
          <w:szCs w:val="24"/>
          <w:lang w:val="pt-PT"/>
        </w:rPr>
        <w:tab/>
        <w:t>az 57. cikknek megfelelően megvizsgálja az adott Fél által benyújtott információkat; valamint</w:t>
      </w:r>
    </w:p>
    <w:p>
      <w:pPr>
        <w:spacing w:after="0" w:line="360" w:lineRule="auto"/>
        <w:ind w:left="567" w:hanging="567"/>
        <w:rPr>
          <w:rFonts w:ascii="Times New Roman" w:hAnsi="Times New Roman" w:cs="Times New Roman"/>
          <w:noProof/>
          <w:sz w:val="24"/>
          <w:szCs w:val="24"/>
          <w:lang w:val="pt-PT"/>
        </w:rPr>
      </w:pPr>
    </w:p>
    <w:p>
      <w:pPr>
        <w:spacing w:after="0" w:line="360" w:lineRule="auto"/>
        <w:ind w:left="567"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(i)</w:t>
      </w:r>
      <w:r>
        <w:rPr>
          <w:rFonts w:ascii="Times New Roman" w:hAnsi="Times New Roman" w:cs="Times New Roman"/>
          <w:noProof/>
          <w:sz w:val="24"/>
          <w:szCs w:val="24"/>
          <w:lang w:val="pt-PT"/>
        </w:rPr>
        <w:tab/>
        <w:t>adott esetben határozatokat fogad el a megállapodás egyes vonatkozásainak érvényesítése érdekében.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4.</w:t>
      </w:r>
      <w:r>
        <w:rPr>
          <w:rFonts w:ascii="Times New Roman" w:hAnsi="Times New Roman" w:cs="Times New Roman"/>
          <w:noProof/>
          <w:sz w:val="24"/>
          <w:szCs w:val="24"/>
          <w:lang w:val="pt-PT"/>
        </w:rPr>
        <w:tab/>
        <w:t>A vegyes bizottság konszenzus alapján működik. Elfogadja az eljárási szabályzatát. Konkrét kérdések kezelése érdekében albizottságokat és munkacsoportokat hozhat létre.</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5.</w:t>
      </w:r>
      <w:r>
        <w:rPr>
          <w:rFonts w:ascii="Times New Roman" w:hAnsi="Times New Roman" w:cs="Times New Roman"/>
          <w:noProof/>
          <w:sz w:val="24"/>
          <w:szCs w:val="24"/>
          <w:lang w:val="pt-PT"/>
        </w:rPr>
        <w:tab/>
        <w:t>A vegyes bizottság általában évente egy alkalommal ülésezik, felváltva az Unióban és Ausztráliában. A vegyes bizottság bármelyik Fél kérésére külön ülést tart. A vegyes bizottság elnöki feladatait a két Fél közösen látja el. A vegyes bizottság általában vezető tisztviselői szinten ülésezik, azonban miniszteri szintű találkozóra is van lehetőség. A vegyes bizottság video- vagy telefonos kapcsolat alkalmazásával is működhet és e-mail útján is folytathat információcserét.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57.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A végrehajtás módjai és a vitarendezés</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megállapodás által megtestesített kölcsönös tisztelet és együttműködés szellemében a Felek megteszik azokat az általános vagy különleges intézkedéseket, amelyek a megállapodás szerinti kötelezettségeik teljesítéséhez szükségesek.</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2.</w:t>
      </w:r>
      <w:r>
        <w:rPr>
          <w:rFonts w:ascii="Times New Roman" w:hAnsi="Times New Roman" w:cs="Times New Roman"/>
          <w:noProof/>
          <w:sz w:val="24"/>
          <w:szCs w:val="24"/>
          <w:lang w:val="pt-PT"/>
        </w:rPr>
        <w:tab/>
        <w:t>A Felek megállapodnak abban, hogy a megállapodás végrehajtása kapcsán esetlegesen felmerülő vitás kérdésekben bármely Fél kérésére a lehető leggyorsabban konzultációt kezdenek. Amennyiben e megállapodás alkalmazása vagy értelmezése tekintetében véleménykülönbség áll fenn, a kérdést bármely Fél a vegyes bizottság elé utalhatja. A nézeteltérések időben és baráti légkörben való rendezése érdekében a Felek a kérdés alapos megvizsgálásához szükséges valamennyi információt benyújtják a vegyes bizottságnak.</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3.</w:t>
      </w:r>
      <w:r>
        <w:rPr>
          <w:rFonts w:ascii="Times New Roman" w:hAnsi="Times New Roman" w:cs="Times New Roman"/>
          <w:noProof/>
          <w:sz w:val="24"/>
          <w:szCs w:val="24"/>
          <w:lang w:val="pt-PT"/>
        </w:rPr>
        <w:tab/>
        <w:t>Különlegesen sürgős esetben a Felek bármelyike azonnal a vegyes bizottság elé terjeszti a kérdést, és a helyzet alapos megvizsgálásához szükséges valamennyi információt benyújtja, a gyors és kölcsönösen elfogadható megoldás elérése érdekében. Amennyiben a vegyes bizottság vezető tisztviselői szinten esetleg nem képes megoldani a helyzetet a konzultációk megkezdésétől számított 15 napon belül, és a kérdésnek a vegyes bizottsághoz való utalásától számított legfeljebb 30 napon belül, a kérdést további 15 napos határidő meghatározásával a miniszterek elé terjesztik sürgős mérlegelés céljából.</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4.</w:t>
      </w:r>
      <w:r>
        <w:rPr>
          <w:rFonts w:ascii="Times New Roman" w:hAnsi="Times New Roman" w:cs="Times New Roman"/>
          <w:noProof/>
          <w:sz w:val="24"/>
          <w:szCs w:val="24"/>
          <w:lang w:val="pt-PT"/>
        </w:rPr>
        <w:tab/>
        <w:t>Abban a valószínűtlen és váratlan esetben, ha a miniszteri szintű konzultációk megkezdésétől számított 15 nap elteltével és a kérdésnek a vegyes bizottsághoz való utalásától számított legfeljebb 45 napon belül nem találnak kölcsönösen elfogadható megoldást, bármelyik Fél dönthet úgy, hogy a megállapodással kapcsolatban megteszi a megfelelő lépéseket, beleértve a megállapodás rendelkezéseinek felfüggesztését vagy a megállapodás megszüntetését is. A Felek elismerik, hogy különlegesen sürgős esetek a megállapodás körén kívüli megfelelő intézkedések megtételére is alapot adhatnak, a Felek közötti egyéb megállapodásokban meghatározott vagy az általános nemzetközi jog alapján fennálló jogaikkal és kötelezettségeikkel összhangban. Az Unió esetében a rendelkezések alkalmazásának felfüggesztéséhez egyhangú döntésre van szükség. Ausztráliában a rendelkezések alkalmazásának felfüggesztésére vonatkozó határozatot Ausztrália kormánya hozza saját törvényeinek és egyéb jogszabályainak megfelelően.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5.</w:t>
      </w:r>
      <w:r>
        <w:rPr>
          <w:rFonts w:ascii="Times New Roman" w:hAnsi="Times New Roman" w:cs="Times New Roman"/>
          <w:noProof/>
          <w:sz w:val="24"/>
          <w:szCs w:val="24"/>
          <w:lang w:val="pt-PT"/>
        </w:rPr>
        <w:tab/>
        <w:t>A Felek megállapodnak abban, hogy a (4) bekezdés szerinti megfelelő lépések tételére vonatkozó határozatot megfelelően indokolni kell. A határozatról haladéktalanul, írásban értesíteni kell a másik Felet. A Felek megállapodnak abban, hogy az ilyen intézkedéseknek arányosaknak kell lenniük, valamint összhangban kell állniuk az 55. cikk (2) bekezdésével és a nemzetközi jog alapelveivel.</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6.</w:t>
      </w:r>
      <w:r>
        <w:rPr>
          <w:rFonts w:ascii="Times New Roman" w:hAnsi="Times New Roman" w:cs="Times New Roman"/>
          <w:noProof/>
          <w:sz w:val="24"/>
          <w:szCs w:val="24"/>
          <w:lang w:val="pt-PT"/>
        </w:rPr>
        <w:tab/>
        <w:t>A (4) bekezdés alapján tett esetleges intézkedéseket haladéktalanul vissza kell vonni, amint az elfogadásukra okot adó körülmények megszűnnek. A (4) bekezdés alkalmazását igénylő Fél állandó megfigyelés alatt tartja annak a helyzetnek az alakulását, amely a határozat kiváltó oka volt, és amint az indokolttá válik, visszavonja a hozott intézkedéseket.</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7.</w:t>
      </w:r>
      <w:r>
        <w:rPr>
          <w:rFonts w:ascii="Times New Roman" w:hAnsi="Times New Roman" w:cs="Times New Roman"/>
          <w:noProof/>
          <w:sz w:val="24"/>
          <w:szCs w:val="24"/>
          <w:lang w:val="pt-PT"/>
        </w:rPr>
        <w:tab/>
        <w:t>A Felek megállapodnak abban, hogy a megállapodás helyes értelmezése és gyakorlati alkalmazása érdekében a „különlegesen sürgős eset” kifejezés a megállapodás 2. cikke (2) bekezdésében és 6. cikke (2) bekezdésében meghatározott kötelezettségek olyan különösen súlyos és jelentős megsértését jelenti a Felek valamelyike részéről, amely a másik Fél azonnali reagálását szükségessé tevő helyzethez vezet. A Felek figyelembe veszik, hogy a 2. cikk (2) bekezdésének vagy a 6. cikk (2) bekezdésének különösen súlyos és jelentős megsértése olyan kivételes jellegű eset lehet csak, amely a nemzetközi békét és a biztonságot veszélyezteti.</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8.</w:t>
      </w:r>
      <w:r>
        <w:rPr>
          <w:rFonts w:ascii="Times New Roman" w:hAnsi="Times New Roman" w:cs="Times New Roman"/>
          <w:noProof/>
          <w:sz w:val="24"/>
          <w:szCs w:val="24"/>
          <w:lang w:val="pt-PT"/>
        </w:rPr>
        <w:tab/>
        <w:t>Amennyiben egy harmadik országban alakul ki a különlegesen sürgős esettel egyenértékűnek minősíthető súlyosságú és jellegű helyzet, a Felek bármely Fél kérésére törekednek sürgős konzultációt tartani a helyzettel kapcsolatos álláspontok megvitatása és a lehetséges reagálás mérlegelése érdekében.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X. CÍM</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ZÁRÓ RENDELKEZÉSEK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58.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Fogalommeghatározások</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E megállapodás alkalmazásában a Felek egyrészről hatásköreiktől függően az Unió vagy tagállamai, illetve az Unió és tagállamai, és másrészről Ausztrália.</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59.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Pénzügyi együttműködés</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fejlesztési együttműködési szakpolitikáik alá tartozó segélyprogramok végrehajtása során a Felek együttműködnek a szabálytalanságok, a csalás, a korrupció és minden egyéb, a Felek pénzügyi érdekeit károsító jogellenes tevékenység megelőzése és az ezek elleni küzdelem céljából.</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2.</w:t>
      </w:r>
      <w:r>
        <w:rPr>
          <w:rFonts w:ascii="Times New Roman" w:hAnsi="Times New Roman" w:cs="Times New Roman"/>
          <w:noProof/>
          <w:sz w:val="24"/>
          <w:szCs w:val="24"/>
          <w:lang w:val="pt-PT"/>
        </w:rPr>
        <w:tab/>
        <w:t>E célból az Unió és Ausztrália illetékes hatóságai jogszabályaikkal összhangban információkat – ezen belül személyes adatokat – osztanak meg, és bármely Fél kérésére konzultációkat folytatnak.</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3.</w:t>
      </w:r>
      <w:r>
        <w:rPr>
          <w:rFonts w:ascii="Times New Roman" w:hAnsi="Times New Roman" w:cs="Times New Roman"/>
          <w:noProof/>
          <w:sz w:val="24"/>
          <w:szCs w:val="24"/>
          <w:lang w:val="pt-PT"/>
        </w:rPr>
        <w:tab/>
        <w:t>Az Európai Csalás Elleni Hivatal és az illetékes ausztrál hatóságok további együttműködésről állapodhatnak meg a csalás elleni küzdelem terén, beleértve operatív megállapodások megkötését is.</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60.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Az információk közzététele</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A Felek megfelelő védelmet biztosítanak a megállapodás alapján megosztott információknak, az információhoz való hozzáféréshez fűződő közérdekkel összhangban.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2.</w:t>
      </w:r>
      <w:r>
        <w:rPr>
          <w:rFonts w:ascii="Times New Roman" w:hAnsi="Times New Roman" w:cs="Times New Roman"/>
          <w:noProof/>
          <w:sz w:val="24"/>
          <w:szCs w:val="24"/>
          <w:lang w:val="pt-PT"/>
        </w:rPr>
        <w:tab/>
        <w:t>E megállapodás egy rendelkezése sem értelmezhető úgy, hogy az a Feleket olyan információk megosztására kötelezi, vagy olyan megosztott információkhoz tesz lehetővé hozzáférést, amelyek</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w:t>
      </w:r>
      <w:r>
        <w:rPr>
          <w:rFonts w:ascii="Times New Roman" w:hAnsi="Times New Roman" w:cs="Times New Roman"/>
          <w:noProof/>
          <w:sz w:val="24"/>
          <w:szCs w:val="24"/>
          <w:lang w:val="pt-PT"/>
        </w:rPr>
        <w:tab/>
        <w:t>hátrányosak lehetnek a következőkre:</w:t>
      </w:r>
    </w:p>
    <w:p>
      <w:pPr>
        <w:spacing w:after="0" w:line="360" w:lineRule="auto"/>
        <w:rPr>
          <w:rFonts w:ascii="Times New Roman" w:hAnsi="Times New Roman" w:cs="Times New Roman"/>
          <w:noProof/>
          <w:sz w:val="24"/>
          <w:szCs w:val="24"/>
          <w:lang w:val="pt-PT"/>
        </w:rPr>
      </w:pPr>
    </w:p>
    <w:p>
      <w:pPr>
        <w:spacing w:after="0" w:line="360" w:lineRule="auto"/>
        <w:ind w:left="1134"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(i)</w:t>
      </w:r>
      <w:r>
        <w:rPr>
          <w:rFonts w:ascii="Times New Roman" w:hAnsi="Times New Roman" w:cs="Times New Roman"/>
          <w:noProof/>
          <w:sz w:val="24"/>
          <w:szCs w:val="24"/>
          <w:lang w:val="pt-PT"/>
        </w:rPr>
        <w:tab/>
        <w:t>közbiztonság;</w:t>
      </w:r>
    </w:p>
    <w:p>
      <w:pPr>
        <w:spacing w:after="0" w:line="360" w:lineRule="auto"/>
        <w:ind w:left="1134" w:hanging="567"/>
        <w:rPr>
          <w:rFonts w:ascii="Times New Roman" w:hAnsi="Times New Roman" w:cs="Times New Roman"/>
          <w:noProof/>
          <w:sz w:val="24"/>
          <w:szCs w:val="24"/>
          <w:lang w:val="pt-PT"/>
        </w:rPr>
      </w:pPr>
    </w:p>
    <w:p>
      <w:pPr>
        <w:spacing w:after="0" w:line="360" w:lineRule="auto"/>
        <w:ind w:left="1134"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(ii)</w:t>
      </w:r>
      <w:r>
        <w:rPr>
          <w:rFonts w:ascii="Times New Roman" w:hAnsi="Times New Roman" w:cs="Times New Roman"/>
          <w:noProof/>
          <w:sz w:val="24"/>
          <w:szCs w:val="24"/>
          <w:lang w:val="pt-PT"/>
        </w:rPr>
        <w:tab/>
        <w:t>hírszerzés, védelem és katonai ügyek;</w:t>
      </w:r>
    </w:p>
    <w:p>
      <w:pPr>
        <w:spacing w:after="0" w:line="360" w:lineRule="auto"/>
        <w:ind w:left="1134" w:hanging="567"/>
        <w:rPr>
          <w:rFonts w:ascii="Times New Roman" w:hAnsi="Times New Roman" w:cs="Times New Roman"/>
          <w:noProof/>
          <w:sz w:val="24"/>
          <w:szCs w:val="24"/>
          <w:lang w:val="pt-PT"/>
        </w:rPr>
      </w:pPr>
    </w:p>
    <w:p>
      <w:pPr>
        <w:spacing w:after="0" w:line="360" w:lineRule="auto"/>
        <w:ind w:left="1134"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(iii)</w:t>
      </w:r>
      <w:r>
        <w:rPr>
          <w:rFonts w:ascii="Times New Roman" w:hAnsi="Times New Roman" w:cs="Times New Roman"/>
          <w:noProof/>
          <w:sz w:val="24"/>
          <w:szCs w:val="24"/>
          <w:lang w:val="pt-PT"/>
        </w:rPr>
        <w:tab/>
        <w:t>nemzetközi kapcsolatok;</w:t>
      </w:r>
    </w:p>
    <w:p>
      <w:pPr>
        <w:spacing w:after="0" w:line="360" w:lineRule="auto"/>
        <w:ind w:left="1134" w:hanging="567"/>
        <w:rPr>
          <w:rFonts w:ascii="Times New Roman" w:hAnsi="Times New Roman" w:cs="Times New Roman"/>
          <w:noProof/>
          <w:sz w:val="24"/>
          <w:szCs w:val="24"/>
          <w:lang w:val="pt-PT"/>
        </w:rPr>
      </w:pPr>
    </w:p>
    <w:p>
      <w:pPr>
        <w:spacing w:after="0" w:line="360" w:lineRule="auto"/>
        <w:ind w:left="1134"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(iv)</w:t>
      </w:r>
      <w:r>
        <w:rPr>
          <w:rFonts w:ascii="Times New Roman" w:hAnsi="Times New Roman" w:cs="Times New Roman"/>
          <w:noProof/>
          <w:sz w:val="24"/>
          <w:szCs w:val="24"/>
          <w:lang w:val="pt-PT"/>
        </w:rPr>
        <w:tab/>
        <w:t>pénzügyi, monetáris vagy gazdasági politika;</w:t>
      </w:r>
    </w:p>
    <w:p>
      <w:pPr>
        <w:spacing w:after="0" w:line="360" w:lineRule="auto"/>
        <w:ind w:left="1134" w:hanging="567"/>
        <w:rPr>
          <w:rFonts w:ascii="Times New Roman" w:hAnsi="Times New Roman" w:cs="Times New Roman"/>
          <w:noProof/>
          <w:sz w:val="24"/>
          <w:szCs w:val="24"/>
          <w:lang w:val="pt-PT"/>
        </w:rPr>
      </w:pPr>
    </w:p>
    <w:p>
      <w:pPr>
        <w:spacing w:after="0" w:line="360" w:lineRule="auto"/>
        <w:ind w:left="1134"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(v)</w:t>
      </w:r>
      <w:r>
        <w:rPr>
          <w:rFonts w:ascii="Times New Roman" w:hAnsi="Times New Roman" w:cs="Times New Roman"/>
          <w:noProof/>
          <w:sz w:val="24"/>
          <w:szCs w:val="24"/>
          <w:lang w:val="pt-PT"/>
        </w:rPr>
        <w:tab/>
        <w:t>a magánélet védelme vagy</w:t>
      </w:r>
    </w:p>
    <w:p>
      <w:pPr>
        <w:spacing w:after="0" w:line="360" w:lineRule="auto"/>
        <w:ind w:left="1134" w:hanging="567"/>
        <w:rPr>
          <w:rFonts w:ascii="Times New Roman" w:hAnsi="Times New Roman" w:cs="Times New Roman"/>
          <w:noProof/>
          <w:sz w:val="24"/>
          <w:szCs w:val="24"/>
          <w:lang w:val="pt-PT"/>
        </w:rPr>
      </w:pPr>
    </w:p>
    <w:p>
      <w:pPr>
        <w:spacing w:after="0" w:line="360" w:lineRule="auto"/>
        <w:ind w:left="1134" w:hanging="567"/>
        <w:rPr>
          <w:rFonts w:ascii="Times New Roman" w:hAnsi="Times New Roman" w:cs="Times New Roman"/>
          <w:noProof/>
          <w:sz w:val="24"/>
          <w:szCs w:val="24"/>
          <w:lang w:val="pt-PT"/>
        </w:rPr>
      </w:pPr>
      <w:r>
        <w:rPr>
          <w:rFonts w:ascii="Times New Roman" w:hAnsi="Times New Roman" w:cs="Times New Roman"/>
          <w:noProof/>
          <w:sz w:val="24"/>
          <w:szCs w:val="24"/>
          <w:lang w:val="pt-PT"/>
        </w:rPr>
        <w:t>(vi)</w:t>
      </w:r>
      <w:r>
        <w:rPr>
          <w:rFonts w:ascii="Times New Roman" w:hAnsi="Times New Roman" w:cs="Times New Roman"/>
          <w:noProof/>
          <w:sz w:val="24"/>
          <w:szCs w:val="24"/>
          <w:lang w:val="pt-PT"/>
        </w:rPr>
        <w:tab/>
        <w:t>jogos üzleti érdekek vagy üzleti ügyek; vagy</w:t>
      </w:r>
    </w:p>
    <w:p>
      <w:pPr>
        <w:spacing w:after="0" w:line="360" w:lineRule="auto"/>
        <w:ind w:left="1134" w:hanging="567"/>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(b)</w:t>
      </w:r>
      <w:r>
        <w:rPr>
          <w:rFonts w:ascii="Times New Roman" w:hAnsi="Times New Roman" w:cs="Times New Roman"/>
          <w:noProof/>
          <w:sz w:val="24"/>
          <w:szCs w:val="24"/>
          <w:lang w:val="pt-PT"/>
        </w:rPr>
        <w:tab/>
        <w:t>más módon ellentétesek a közérdekkel.</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3.</w:t>
      </w:r>
      <w:r>
        <w:rPr>
          <w:rFonts w:ascii="Times New Roman" w:hAnsi="Times New Roman" w:cs="Times New Roman"/>
          <w:noProof/>
          <w:sz w:val="24"/>
          <w:szCs w:val="24"/>
          <w:lang w:val="pt-PT"/>
        </w:rPr>
        <w:tab/>
        <w:t>Amennyiben az ezen cikkben említett jellegű információk kerülnek megosztásra, az azokat megkapó Fél az ilyen információkat csak a másik Fél hozzájárulásával adhatja tovább vagy teheti közzé, vagy pedig azokat akkor adhatja tovább vagy teheti közzé, ha ez jogi kötelezettségeinek betartása miatt szükséges.</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4.</w:t>
      </w:r>
      <w:r>
        <w:rPr>
          <w:rFonts w:ascii="Times New Roman" w:hAnsi="Times New Roman" w:cs="Times New Roman"/>
          <w:noProof/>
          <w:sz w:val="24"/>
          <w:szCs w:val="24"/>
          <w:lang w:val="pt-PT"/>
        </w:rPr>
        <w:tab/>
        <w:t>E megállapodás egy rendelkezésének sem célja a Felek kétoldalú megállapodásokban vagy egyéb rendelkezésekben rögzített jogaitól, kötelezettségeitől vagy kötelezettségvállalásaitól való eltérés a minősített adatok Felek közötti cseréje tekintetében.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61.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Hatálybalépés, ideiglenes alkalmazás, időtartam és megszűnés</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1.</w:t>
      </w:r>
      <w:r>
        <w:rPr>
          <w:rFonts w:ascii="Times New Roman" w:hAnsi="Times New Roman" w:cs="Times New Roman"/>
          <w:noProof/>
          <w:sz w:val="24"/>
          <w:szCs w:val="24"/>
          <w:lang w:val="pt-PT"/>
        </w:rPr>
        <w:tab/>
        <w:t>E megállapodás harminc nappal azt követően lép hatályba, hogy a Felek értesítik egymást az ehhez szükséges jogi eljárások befejezéséről.</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2.</w:t>
      </w:r>
      <w:r>
        <w:rPr>
          <w:rFonts w:ascii="Times New Roman" w:hAnsi="Times New Roman" w:cs="Times New Roman"/>
          <w:noProof/>
          <w:sz w:val="24"/>
          <w:szCs w:val="24"/>
          <w:lang w:val="pt-PT"/>
        </w:rPr>
        <w:tab/>
        <w:t>Az (1) bekezdés ellenére, az Unió és Ausztrália a megállapodás hatálybalépéséig ideiglenesen alkalmazhatja a megállapodás kölcsönösen meghatározott rendelkezéseit. Az ideiglenes alkalmazás 30 nappal azután veszi kezdetét, hogy Ausztrália és az Unió értesítették egymást az ilyen ideiglenes alkalmazáshoz szükséges belső jogi eljárásaik befejezéséről.</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3.</w:t>
      </w:r>
      <w:r>
        <w:rPr>
          <w:rFonts w:ascii="Times New Roman" w:hAnsi="Times New Roman" w:cs="Times New Roman"/>
          <w:noProof/>
          <w:sz w:val="24"/>
          <w:szCs w:val="24"/>
          <w:lang w:val="pt-PT"/>
        </w:rPr>
        <w:tab/>
        <w:t>Ez a megállapodás határozatlan ideig érvényes. Bármelyik Fél írásban értesítheti a másik Felet az e megállapodás felmondására irányuló szándékáról. A felmondás az értesítést követően hat hónappal lép hatályba.</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62.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Értesítések</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A 61. cikkel összhangban tett értesítéseket az Európai Unió Tanácsa Főtitkárságának, illetőleg Ausztrália Külügyi és Kereskedelmi Minisztériumának, vagy azok utódszervezeteinek kell megküldeni.</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br w:type="page"/>
        <w:t>63.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Területi hatály</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Ezt a megállapodást egyrészről azokon a területeken kell alkalmazni, amelyeken az Európai Unióról szóló szerződés és az Európai Unió működéséről szóló szerződés alkalmazandó, az azokban a szerződésekben meghatározott feltételekkel, másrészről Ausztrália területén.</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64. CIKK</w:t>
      </w:r>
    </w:p>
    <w:p>
      <w:pPr>
        <w:spacing w:after="0" w:line="360" w:lineRule="auto"/>
        <w:jc w:val="center"/>
        <w:rPr>
          <w:rFonts w:ascii="Times New Roman" w:hAnsi="Times New Roman" w:cs="Times New Roman"/>
          <w:noProof/>
          <w:sz w:val="24"/>
          <w:szCs w:val="24"/>
          <w:lang w:val="pt-PT"/>
        </w:rPr>
      </w:pPr>
    </w:p>
    <w:p>
      <w:pPr>
        <w:spacing w:after="0" w:line="360" w:lineRule="auto"/>
        <w:jc w:val="center"/>
        <w:rPr>
          <w:rFonts w:ascii="Times New Roman" w:hAnsi="Times New Roman" w:cs="Times New Roman"/>
          <w:noProof/>
          <w:sz w:val="24"/>
          <w:szCs w:val="24"/>
          <w:lang w:val="pt-PT"/>
        </w:rPr>
      </w:pPr>
      <w:r>
        <w:rPr>
          <w:rFonts w:ascii="Times New Roman" w:hAnsi="Times New Roman" w:cs="Times New Roman"/>
          <w:noProof/>
          <w:sz w:val="24"/>
          <w:szCs w:val="24"/>
          <w:lang w:val="pt-PT"/>
        </w:rPr>
        <w:t>Hiteles szövegek</w:t>
      </w:r>
    </w:p>
    <w:p>
      <w:pPr>
        <w:spacing w:after="0" w:line="360" w:lineRule="auto"/>
        <w:rPr>
          <w:rFonts w:ascii="Times New Roman" w:hAnsi="Times New Roman" w:cs="Times New Roman"/>
          <w:noProof/>
          <w:sz w:val="24"/>
          <w:szCs w:val="24"/>
          <w:lang w:val="pt-PT"/>
        </w:rPr>
      </w:pPr>
    </w:p>
    <w:p>
      <w:pPr>
        <w:spacing w:after="0" w:line="360" w:lineRule="auto"/>
        <w:rPr>
          <w:rFonts w:ascii="Times New Roman" w:hAnsi="Times New Roman" w:cs="Times New Roman"/>
          <w:noProof/>
          <w:sz w:val="24"/>
          <w:szCs w:val="24"/>
          <w:lang w:val="pt-PT"/>
        </w:rPr>
      </w:pPr>
      <w:r>
        <w:rPr>
          <w:rFonts w:ascii="Times New Roman" w:hAnsi="Times New Roman" w:cs="Times New Roman"/>
          <w:noProof/>
          <w:sz w:val="24"/>
          <w:szCs w:val="24"/>
          <w:lang w:val="pt-PT"/>
        </w:rPr>
        <w:t>E megállapodás két-két eredeti példányban készült, angol, bolgár, cseh, dán, észt, finn, francia, görög, holland, horvát, lengyel, lett, litván, magyar, máltai, német, olasz, portugál, román, spanyol, svéd, szlovák és szlovén nyelven, amely szövegek mindegyike egyaránt hiteles.</w:t>
      </w:r>
      <w:bookmarkEnd w:id="11"/>
    </w:p>
    <w:p>
      <w:pPr>
        <w:spacing w:after="0" w:line="360" w:lineRule="auto"/>
        <w:rPr>
          <w:rFonts w:ascii="Times New Roman" w:hAnsi="Times New Roman" w:cs="Times New Roman"/>
          <w:noProof/>
          <w:sz w:val="24"/>
          <w:szCs w:val="24"/>
          <w:lang w:val="pt-PT"/>
        </w:rPr>
      </w:pPr>
    </w:p>
    <w:sectPr>
      <w:headerReference w:type="even" r:id="rId28"/>
      <w:headerReference w:type="default" r:id="rId29"/>
      <w:footerReference w:type="even" r:id="rId30"/>
      <w:footerReference w:type="default" r:id="rId31"/>
      <w:headerReference w:type="first" r:id="rId32"/>
      <w:footerReference w:type="first" r:id="rId33"/>
      <w:footnotePr>
        <w:numRestart w:val="eachSect"/>
      </w:footnotePr>
      <w:pgSz w:w="11907" w:h="16840" w:code="9"/>
      <w:pgMar w:top="1134" w:right="1134" w:bottom="1134" w:left="1134" w:header="1134" w:footer="113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HU</w:t>
    </w:r>
    <w:r>
      <w:rPr>
        <w:rFonts w:ascii="Arial" w:hAnsi="Arial" w:cs="Arial"/>
        <w:b/>
        <w:sz w:val="48"/>
      </w:rPr>
      <w:tab/>
    </w:r>
    <w:r>
      <w:rPr>
        <w:rFonts w:ascii="Arial" w:hAnsi="Arial" w:cs="Arial"/>
        <w:b/>
        <w:sz w:val="48"/>
      </w:rP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HU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spacing w:after="60"/>
    </w:pPr>
  </w:p>
  <w:p>
    <w:pPr>
      <w:pStyle w:val="Footer"/>
    </w:pPr>
    <w:bookmarkStart w:id="14" w:name="CoteFooter"/>
    <w:bookmarkEnd w:id="14"/>
    <w:r>
      <w:t>9776/16</w:t>
    </w:r>
    <w:r>
      <w:tab/>
    </w:r>
    <w:bookmarkStart w:id="15" w:name="SuplCote"/>
    <w:bookmarkEnd w:id="15"/>
    <w:r>
      <w:tab/>
    </w:r>
    <w:bookmarkStart w:id="16" w:name="Init"/>
    <w:bookmarkEnd w:id="16"/>
    <w:r>
      <w:t>EVI/is</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pPr>
      <w:pStyle w:val="Footer"/>
      <w:spacing w:line="280" w:lineRule="exact"/>
    </w:pPr>
    <w:r>
      <w:tab/>
    </w:r>
    <w:bookmarkStart w:id="17" w:name="DG"/>
    <w:bookmarkEnd w:id="17"/>
    <w:r>
      <w:t>DGC 1B</w:t>
    </w:r>
    <w:r>
      <w:tab/>
    </w:r>
    <w:bookmarkStart w:id="18" w:name="FooterCoteSec"/>
    <w:r>
      <w:rPr>
        <w:b/>
        <w:position w:val="-4"/>
        <w:sz w:val="36"/>
      </w:rPr>
      <w:t xml:space="preserve"> </w:t>
    </w:r>
    <w:bookmarkEnd w:id="18"/>
    <w:r>
      <w:rPr>
        <w:b/>
        <w:position w:val="-4"/>
        <w:sz w:val="36"/>
      </w:rPr>
      <w:t> </w:t>
    </w:r>
    <w:bookmarkStart w:id="19" w:name="Langue"/>
    <w:r>
      <w:rPr>
        <w:b/>
        <w:position w:val="-4"/>
        <w:sz w:val="36"/>
      </w:rPr>
      <w:t>HU</w:t>
    </w:r>
    <w:bookmarkEnd w:id="19"/>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jc w:val="center"/>
    </w:pPr>
  </w:p>
  <w:p>
    <w:pPr>
      <w:pStyle w:val="Footer"/>
      <w:jc w:val="center"/>
    </w:pPr>
    <w:r>
      <w:t xml:space="preserve">EU/AU/hu </w:t>
    </w:r>
    <w:r>
      <w:fldChar w:fldCharType="begin"/>
    </w:r>
    <w:r>
      <w:instrText xml:space="preserve"> PAGE   \* MERGEFORMAT </w:instrText>
    </w:r>
    <w:r>
      <w:fldChar w:fldCharType="separate"/>
    </w:r>
    <w:r>
      <w:rPr>
        <w:noProof/>
      </w:rPr>
      <w:t>1</w:t>
    </w:r>
    <w:r>
      <w:rPr>
        <w:noProof/>
      </w:rPr>
      <w:fldChar w:fldCharType="end"/>
    </w:r>
  </w:p>
  <w:p>
    <w:pPr>
      <w:pStyle w:val="FooterCouncil"/>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jc w:val="center"/>
    </w:pPr>
  </w:p>
  <w:p>
    <w:pPr>
      <w:pStyle w:val="Footer"/>
      <w:jc w:val="center"/>
    </w:pPr>
    <w:r>
      <w:t xml:space="preserve">EU/AU/hu </w:t>
    </w:r>
    <w:r>
      <w:fldChar w:fldCharType="begin"/>
    </w:r>
    <w:r>
      <w:instrText xml:space="preserve"> PAGE   \* MERGEFORMAT </w:instrText>
    </w:r>
    <w:r>
      <w:fldChar w:fldCharType="separate"/>
    </w:r>
    <w:r>
      <w:rPr>
        <w:noProof/>
      </w:rPr>
      <w:t>66</w:t>
    </w:r>
    <w:r>
      <w:rPr>
        <w:noProof/>
      </w:rP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FootnoteText"/>
      </w:pPr>
      <w:r>
        <w:rPr>
          <w:rStyle w:val="FootnoteReference"/>
        </w:rPr>
        <w:footnoteRef/>
      </w:r>
      <w:r>
        <w:tab/>
        <w:t>Ausztráliának lehetősége van beleegyezni a „konzuli feladatok” helyett a „konzuli védelem” kifejezés használatába e cikkben, annak alapján, hogy ez utóbbi a harmadik országokban képviselettel nem rendelkező uniós polgárok konzuli védelmét elősegítő koordinációs és együttműködési intézkedésekről és a 95/553/EK határozat hatályon kívül helyezéséről szóló (EU) 2015/637 tanácsi irányelv 9. cikkében említett feladatokat fedi le, és e feladatok közé tartozik a sürgősségi útlevelek és/vagy úti okmányok biztosítása is.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350F1"/>
    <w:multiLevelType w:val="singleLevel"/>
    <w:tmpl w:val="8A36B78C"/>
    <w:name w:val="Bullet (1)"/>
    <w:lvl w:ilvl="0">
      <w:start w:val="1"/>
      <w:numFmt w:val="bullet"/>
      <w:lvlRestart w:val="0"/>
      <w:pStyle w:val="Bullet1"/>
      <w:lvlText w:val=""/>
      <w:lvlJc w:val="left"/>
      <w:pPr>
        <w:tabs>
          <w:tab w:val="num" w:pos="1134"/>
        </w:tabs>
        <w:ind w:left="1134" w:hanging="567"/>
      </w:pPr>
      <w:rPr>
        <w:rFonts w:ascii="Symbol" w:hAnsi="Symbol" w:hint="default"/>
      </w:rPr>
    </w:lvl>
  </w:abstractNum>
  <w:abstractNum w:abstractNumId="1">
    <w:nsid w:val="0B7F4273"/>
    <w:multiLevelType w:val="singleLevel"/>
    <w:tmpl w:val="6276CDDE"/>
    <w:lvl w:ilvl="0">
      <w:start w:val="1"/>
      <w:numFmt w:val="upperRoman"/>
      <w:pStyle w:val="Par-numberI"/>
      <w:lvlText w:val="%1."/>
      <w:lvlJc w:val="left"/>
      <w:pPr>
        <w:tabs>
          <w:tab w:val="num" w:pos="567"/>
        </w:tabs>
        <w:ind w:left="567" w:hanging="567"/>
      </w:pPr>
    </w:lvl>
  </w:abstractNum>
  <w:abstractNum w:abstractNumId="2">
    <w:nsid w:val="0E020591"/>
    <w:multiLevelType w:val="singleLevel"/>
    <w:tmpl w:val="65A27EB6"/>
    <w:name w:val="Dash Equal 0"/>
    <w:lvl w:ilvl="0">
      <w:start w:val="1"/>
      <w:numFmt w:val="bullet"/>
      <w:lvlRestart w:val="0"/>
      <w:pStyle w:val="DashEqual"/>
      <w:lvlText w:val="="/>
      <w:lvlJc w:val="left"/>
      <w:pPr>
        <w:tabs>
          <w:tab w:val="num" w:pos="567"/>
        </w:tabs>
        <w:ind w:left="567" w:hanging="567"/>
      </w:pPr>
    </w:lvl>
  </w:abstractNum>
  <w:abstractNum w:abstractNumId="3">
    <w:nsid w:val="0E200A09"/>
    <w:multiLevelType w:val="multilevel"/>
    <w:tmpl w:val="C8DEA596"/>
    <w:name w:val="Heading ABC"/>
    <w:lvl w:ilvl="0">
      <w:start w:val="1"/>
      <w:numFmt w:val="upperLetter"/>
      <w:lvlRestart w:val="0"/>
      <w:pStyle w:val="HeadingABC"/>
      <w:lvlText w:val="%1."/>
      <w:lvlJc w:val="left"/>
      <w:pPr>
        <w:tabs>
          <w:tab w:val="num" w:pos="567"/>
        </w:tabs>
        <w:ind w:left="567" w:hanging="567"/>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22CA659A"/>
    <w:multiLevelType w:val="singleLevel"/>
    <w:tmpl w:val="7B9C897A"/>
    <w:lvl w:ilvl="0">
      <w:start w:val="1"/>
      <w:numFmt w:val="bullet"/>
      <w:pStyle w:val="Par-dash"/>
      <w:lvlText w:val=""/>
      <w:lvlJc w:val="left"/>
      <w:pPr>
        <w:tabs>
          <w:tab w:val="num" w:pos="567"/>
        </w:tabs>
        <w:ind w:left="567" w:hanging="567"/>
      </w:pPr>
      <w:rPr>
        <w:rFonts w:ascii="Symbol" w:hAnsi="Symbol" w:hint="default"/>
      </w:rPr>
    </w:lvl>
  </w:abstractNum>
  <w:abstractNum w:abstractNumId="5">
    <w:nsid w:val="22D918D1"/>
    <w:multiLevelType w:val="multilevel"/>
    <w:tmpl w:val="DE2606C8"/>
    <w:lvl w:ilvl="0">
      <w:start w:val="1"/>
      <w:numFmt w:val="decimal"/>
      <w:pStyle w:val="Heading1"/>
      <w:lvlText w:val="%1."/>
      <w:lvlJc w:val="left"/>
      <w:pPr>
        <w:tabs>
          <w:tab w:val="num" w:pos="851"/>
        </w:tabs>
        <w:ind w:left="851" w:hanging="851"/>
      </w:pPr>
    </w:lvl>
    <w:lvl w:ilvl="1">
      <w:start w:val="1"/>
      <w:numFmt w:val="decimal"/>
      <w:pStyle w:val="Heading2"/>
      <w:lvlText w:val="%1.%2."/>
      <w:lvlJc w:val="left"/>
      <w:pPr>
        <w:tabs>
          <w:tab w:val="num" w:pos="851"/>
        </w:tabs>
        <w:ind w:left="851" w:hanging="851"/>
      </w:pPr>
    </w:lvl>
    <w:lvl w:ilvl="2">
      <w:start w:val="1"/>
      <w:numFmt w:val="decimal"/>
      <w:pStyle w:val="Heading3"/>
      <w:lvlText w:val="%1.%2.%3."/>
      <w:lvlJc w:val="left"/>
      <w:pPr>
        <w:tabs>
          <w:tab w:val="num" w:pos="851"/>
        </w:tabs>
        <w:ind w:left="851" w:hanging="851"/>
      </w:pPr>
    </w:lvl>
    <w:lvl w:ilvl="3">
      <w:start w:val="1"/>
      <w:numFmt w:val="decimal"/>
      <w:pStyle w:val="Heading4"/>
      <w:lvlText w:val="%1.%2.%3.%4."/>
      <w:lvlJc w:val="left"/>
      <w:pPr>
        <w:tabs>
          <w:tab w:val="num" w:pos="851"/>
        </w:tabs>
        <w:ind w:left="851" w:hanging="851"/>
      </w:pPr>
    </w:lvl>
    <w:lvl w:ilvl="4">
      <w:start w:val="1"/>
      <w:numFmt w:val="none"/>
      <w:lvlText w:val=""/>
      <w:lvlJc w:val="left"/>
      <w:pPr>
        <w:tabs>
          <w:tab w:val="num" w:pos="36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6">
    <w:nsid w:val="25085576"/>
    <w:multiLevelType w:val="singleLevel"/>
    <w:tmpl w:val="FFD2A502"/>
    <w:name w:val="Dash Equal 3"/>
    <w:lvl w:ilvl="0">
      <w:start w:val="1"/>
      <w:numFmt w:val="bullet"/>
      <w:lvlRestart w:val="0"/>
      <w:pStyle w:val="DashEqual3"/>
      <w:lvlText w:val="="/>
      <w:lvlJc w:val="left"/>
      <w:pPr>
        <w:tabs>
          <w:tab w:val="num" w:pos="2268"/>
        </w:tabs>
        <w:ind w:left="2268" w:hanging="567"/>
      </w:pPr>
    </w:lvl>
  </w:abstractNum>
  <w:abstractNum w:abstractNumId="7">
    <w:nsid w:val="253C316A"/>
    <w:multiLevelType w:val="multilevel"/>
    <w:tmpl w:val="A26EDDF0"/>
    <w:name w:val="Heading IVX"/>
    <w:lvl w:ilvl="0">
      <w:start w:val="1"/>
      <w:numFmt w:val="upperRoman"/>
      <w:lvlRestart w:val="0"/>
      <w:pStyle w:val="HeadingIVX"/>
      <w:lvlText w:val="%1."/>
      <w:lvlJc w:val="left"/>
      <w:pPr>
        <w:tabs>
          <w:tab w:val="num" w:pos="567"/>
        </w:tabs>
        <w:ind w:left="567" w:hanging="567"/>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BD82C0C"/>
    <w:multiLevelType w:val="singleLevel"/>
    <w:tmpl w:val="7C183DDA"/>
    <w:name w:val="Dash Equal 2"/>
    <w:lvl w:ilvl="0">
      <w:start w:val="1"/>
      <w:numFmt w:val="bullet"/>
      <w:lvlRestart w:val="0"/>
      <w:pStyle w:val="DashEqual2"/>
      <w:lvlText w:val="="/>
      <w:lvlJc w:val="left"/>
      <w:pPr>
        <w:tabs>
          <w:tab w:val="num" w:pos="1701"/>
        </w:tabs>
        <w:ind w:left="1701" w:hanging="567"/>
      </w:pPr>
    </w:lvl>
  </w:abstractNum>
  <w:abstractNum w:abstractNumId="9">
    <w:nsid w:val="2D2D468B"/>
    <w:multiLevelType w:val="singleLevel"/>
    <w:tmpl w:val="A18042A8"/>
    <w:lvl w:ilvl="0">
      <w:start w:val="1"/>
      <w:numFmt w:val="upperLetter"/>
      <w:pStyle w:val="Par-numberA"/>
      <w:lvlText w:val="%1."/>
      <w:lvlJc w:val="left"/>
      <w:pPr>
        <w:tabs>
          <w:tab w:val="num" w:pos="567"/>
        </w:tabs>
        <w:ind w:left="567" w:hanging="567"/>
      </w:pPr>
    </w:lvl>
  </w:abstractNum>
  <w:abstractNum w:abstractNumId="10">
    <w:nsid w:val="2DB37182"/>
    <w:multiLevelType w:val="singleLevel"/>
    <w:tmpl w:val="F612DBDC"/>
    <w:lvl w:ilvl="0">
      <w:start w:val="1"/>
      <w:numFmt w:val="lowerRoman"/>
      <w:pStyle w:val="Par-numberi0"/>
      <w:lvlText w:val="(%1)"/>
      <w:lvlJc w:val="left"/>
      <w:pPr>
        <w:tabs>
          <w:tab w:val="num" w:pos="720"/>
        </w:tabs>
        <w:ind w:left="567" w:hanging="567"/>
      </w:pPr>
    </w:lvl>
  </w:abstractNum>
  <w:abstractNum w:abstractNumId="11">
    <w:nsid w:val="3845653E"/>
    <w:multiLevelType w:val="singleLevel"/>
    <w:tmpl w:val="234EAC60"/>
    <w:name w:val="Dash Equal 1"/>
    <w:lvl w:ilvl="0">
      <w:start w:val="1"/>
      <w:numFmt w:val="bullet"/>
      <w:lvlRestart w:val="0"/>
      <w:pStyle w:val="DashEqual1"/>
      <w:lvlText w:val="="/>
      <w:lvlJc w:val="left"/>
      <w:pPr>
        <w:tabs>
          <w:tab w:val="num" w:pos="1134"/>
        </w:tabs>
        <w:ind w:left="1134" w:hanging="567"/>
      </w:pPr>
    </w:lvl>
  </w:abstractNum>
  <w:abstractNum w:abstractNumId="12">
    <w:nsid w:val="385710C1"/>
    <w:multiLevelType w:val="singleLevel"/>
    <w:tmpl w:val="FF3EB506"/>
    <w:name w:val="Dash 4"/>
    <w:lvl w:ilvl="0">
      <w:start w:val="1"/>
      <w:numFmt w:val="bullet"/>
      <w:lvlRestart w:val="0"/>
      <w:pStyle w:val="Dash4"/>
      <w:lvlText w:val="–"/>
      <w:lvlJc w:val="left"/>
      <w:pPr>
        <w:tabs>
          <w:tab w:val="num" w:pos="2835"/>
        </w:tabs>
        <w:ind w:left="2835" w:hanging="567"/>
      </w:pPr>
    </w:lvl>
  </w:abstractNum>
  <w:abstractNum w:abstractNumId="13">
    <w:nsid w:val="38F424D0"/>
    <w:multiLevelType w:val="multilevel"/>
    <w:tmpl w:val="48741C5E"/>
    <w:name w:val="Points"/>
    <w:lvl w:ilvl="0">
      <w:start w:val="1"/>
      <w:numFmt w:val="decimal"/>
      <w:lvlRestart w:val="0"/>
      <w:pStyle w:val="Point123"/>
      <w:lvlText w:val="%1."/>
      <w:lvlJc w:val="left"/>
      <w:pPr>
        <w:tabs>
          <w:tab w:val="num" w:pos="567"/>
        </w:tabs>
        <w:ind w:left="567" w:hanging="567"/>
      </w:pPr>
    </w:lvl>
    <w:lvl w:ilvl="1">
      <w:start w:val="1"/>
      <w:numFmt w:val="lowerLetter"/>
      <w:pStyle w:val="Pointabc"/>
      <w:lvlText w:val="%2)"/>
      <w:lvlJc w:val="left"/>
      <w:pPr>
        <w:tabs>
          <w:tab w:val="num" w:pos="567"/>
        </w:tabs>
        <w:ind w:left="567" w:hanging="567"/>
      </w:pPr>
    </w:lvl>
    <w:lvl w:ilvl="2">
      <w:start w:val="1"/>
      <w:numFmt w:val="decimal"/>
      <w:pStyle w:val="Point1231"/>
      <w:lvlText w:val="%3."/>
      <w:lvlJc w:val="left"/>
      <w:pPr>
        <w:tabs>
          <w:tab w:val="num" w:pos="1134"/>
        </w:tabs>
        <w:ind w:left="1134" w:hanging="567"/>
      </w:pPr>
    </w:lvl>
    <w:lvl w:ilvl="3">
      <w:start w:val="1"/>
      <w:numFmt w:val="lowerLetter"/>
      <w:pStyle w:val="Pointabc1"/>
      <w:lvlText w:val="%4)"/>
      <w:lvlJc w:val="left"/>
      <w:pPr>
        <w:tabs>
          <w:tab w:val="num" w:pos="1134"/>
        </w:tabs>
        <w:ind w:left="1134" w:hanging="567"/>
      </w:pPr>
    </w:lvl>
    <w:lvl w:ilvl="4">
      <w:start w:val="1"/>
      <w:numFmt w:val="decimal"/>
      <w:pStyle w:val="Point1232"/>
      <w:lvlText w:val="%5."/>
      <w:lvlJc w:val="left"/>
      <w:pPr>
        <w:tabs>
          <w:tab w:val="num" w:pos="1701"/>
        </w:tabs>
        <w:ind w:left="1701" w:hanging="567"/>
      </w:pPr>
    </w:lvl>
    <w:lvl w:ilvl="5">
      <w:start w:val="1"/>
      <w:numFmt w:val="lowerLetter"/>
      <w:pStyle w:val="Pointabc2"/>
      <w:lvlText w:val="%6)"/>
      <w:lvlJc w:val="left"/>
      <w:pPr>
        <w:tabs>
          <w:tab w:val="num" w:pos="1701"/>
        </w:tabs>
        <w:ind w:left="1701" w:hanging="567"/>
      </w:pPr>
    </w:lvl>
    <w:lvl w:ilvl="6">
      <w:start w:val="1"/>
      <w:numFmt w:val="decimal"/>
      <w:pStyle w:val="Point1233"/>
      <w:lvlText w:val="%7."/>
      <w:lvlJc w:val="left"/>
      <w:pPr>
        <w:tabs>
          <w:tab w:val="num" w:pos="2268"/>
        </w:tabs>
        <w:ind w:left="2268" w:hanging="567"/>
      </w:pPr>
    </w:lvl>
    <w:lvl w:ilvl="7">
      <w:start w:val="1"/>
      <w:numFmt w:val="lowerLetter"/>
      <w:pStyle w:val="Pointabc3"/>
      <w:lvlText w:val="%8)"/>
      <w:lvlJc w:val="left"/>
      <w:pPr>
        <w:tabs>
          <w:tab w:val="num" w:pos="2268"/>
        </w:tabs>
        <w:ind w:left="2268" w:hanging="567"/>
      </w:pPr>
    </w:lvl>
    <w:lvl w:ilvl="8">
      <w:start w:val="1"/>
      <w:numFmt w:val="lowerLetter"/>
      <w:pStyle w:val="Pointabc4"/>
      <w:lvlText w:val="%9)"/>
      <w:lvlJc w:val="left"/>
      <w:pPr>
        <w:tabs>
          <w:tab w:val="num" w:pos="2835"/>
        </w:tabs>
        <w:ind w:left="2835" w:hanging="567"/>
      </w:pPr>
    </w:lvl>
  </w:abstractNum>
  <w:abstractNum w:abstractNumId="14">
    <w:nsid w:val="394F5925"/>
    <w:multiLevelType w:val="singleLevel"/>
    <w:tmpl w:val="395C08BE"/>
    <w:lvl w:ilvl="0">
      <w:start w:val="1"/>
      <w:numFmt w:val="decimal"/>
      <w:pStyle w:val="Par-number1"/>
      <w:lvlText w:val="(%1)"/>
      <w:lvlJc w:val="left"/>
      <w:pPr>
        <w:tabs>
          <w:tab w:val="num" w:pos="567"/>
        </w:tabs>
        <w:ind w:left="567" w:hanging="567"/>
      </w:pPr>
    </w:lvl>
  </w:abstractNum>
  <w:abstractNum w:abstractNumId="15">
    <w:nsid w:val="3DD66C9D"/>
    <w:multiLevelType w:val="singleLevel"/>
    <w:tmpl w:val="E5905DC2"/>
    <w:lvl w:ilvl="0">
      <w:start w:val="1"/>
      <w:numFmt w:val="lowerLetter"/>
      <w:pStyle w:val="Par-numbera0"/>
      <w:lvlText w:val="(%1)"/>
      <w:lvlJc w:val="left"/>
      <w:pPr>
        <w:tabs>
          <w:tab w:val="num" w:pos="567"/>
        </w:tabs>
        <w:ind w:left="567" w:hanging="567"/>
      </w:pPr>
    </w:lvl>
  </w:abstractNum>
  <w:abstractNum w:abstractNumId="16">
    <w:nsid w:val="3FC80B1B"/>
    <w:multiLevelType w:val="singleLevel"/>
    <w:tmpl w:val="C11CD6E2"/>
    <w:lvl w:ilvl="0">
      <w:start w:val="1"/>
      <w:numFmt w:val="decimal"/>
      <w:pStyle w:val="Par-number10"/>
      <w:lvlText w:val="%1)"/>
      <w:lvlJc w:val="left"/>
      <w:pPr>
        <w:tabs>
          <w:tab w:val="num" w:pos="567"/>
        </w:tabs>
        <w:ind w:left="567" w:hanging="567"/>
      </w:pPr>
    </w:lvl>
  </w:abstractNum>
  <w:abstractNum w:abstractNumId="17">
    <w:nsid w:val="436E0A5D"/>
    <w:multiLevelType w:val="singleLevel"/>
    <w:tmpl w:val="9C807126"/>
    <w:lvl w:ilvl="0">
      <w:start w:val="1"/>
      <w:numFmt w:val="bullet"/>
      <w:pStyle w:val="Par-equal"/>
      <w:lvlText w:val=""/>
      <w:lvlJc w:val="left"/>
      <w:pPr>
        <w:tabs>
          <w:tab w:val="num" w:pos="567"/>
        </w:tabs>
        <w:ind w:left="567" w:hanging="567"/>
      </w:pPr>
      <w:rPr>
        <w:rFonts w:ascii="Symbol" w:hAnsi="Symbol" w:hint="default"/>
      </w:rPr>
    </w:lvl>
  </w:abstractNum>
  <w:abstractNum w:abstractNumId="18">
    <w:nsid w:val="43F67AF0"/>
    <w:multiLevelType w:val="singleLevel"/>
    <w:tmpl w:val="7DB04F0A"/>
    <w:name w:val="Dash 2"/>
    <w:lvl w:ilvl="0">
      <w:start w:val="1"/>
      <w:numFmt w:val="bullet"/>
      <w:lvlRestart w:val="0"/>
      <w:pStyle w:val="Dash2"/>
      <w:lvlText w:val="–"/>
      <w:lvlJc w:val="left"/>
      <w:pPr>
        <w:tabs>
          <w:tab w:val="num" w:pos="1701"/>
        </w:tabs>
        <w:ind w:left="1701" w:hanging="567"/>
      </w:pPr>
    </w:lvl>
  </w:abstractNum>
  <w:abstractNum w:abstractNumId="19">
    <w:nsid w:val="46933FAA"/>
    <w:multiLevelType w:val="hybridMultilevel"/>
    <w:tmpl w:val="492A5A4A"/>
    <w:lvl w:ilvl="0" w:tplc="E0FA58C2">
      <w:numFmt w:val="bullet"/>
      <w:lvlText w:val="-"/>
      <w:lvlJc w:val="left"/>
      <w:pPr>
        <w:ind w:left="1440" w:hanging="360"/>
      </w:pPr>
      <w:rPr>
        <w:rFonts w:ascii="Times New Roman" w:eastAsia="Times New Roman"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nsid w:val="47AB25E5"/>
    <w:multiLevelType w:val="singleLevel"/>
    <w:tmpl w:val="75164398"/>
    <w:name w:val="Dash 1"/>
    <w:lvl w:ilvl="0">
      <w:start w:val="1"/>
      <w:numFmt w:val="bullet"/>
      <w:lvlRestart w:val="0"/>
      <w:pStyle w:val="Dash1"/>
      <w:lvlText w:val="–"/>
      <w:lvlJc w:val="left"/>
      <w:pPr>
        <w:tabs>
          <w:tab w:val="num" w:pos="1134"/>
        </w:tabs>
        <w:ind w:left="1134" w:hanging="567"/>
      </w:pPr>
    </w:lvl>
  </w:abstractNum>
  <w:abstractNum w:abstractNumId="21">
    <w:nsid w:val="47C10D90"/>
    <w:multiLevelType w:val="singleLevel"/>
    <w:tmpl w:val="07C45670"/>
    <w:name w:val="Dash 3"/>
    <w:lvl w:ilvl="0">
      <w:start w:val="1"/>
      <w:numFmt w:val="bullet"/>
      <w:lvlRestart w:val="0"/>
      <w:pStyle w:val="Dash3"/>
      <w:lvlText w:val="–"/>
      <w:lvlJc w:val="left"/>
      <w:pPr>
        <w:tabs>
          <w:tab w:val="num" w:pos="2268"/>
        </w:tabs>
        <w:ind w:left="2268" w:hanging="567"/>
      </w:pPr>
    </w:lvl>
  </w:abstractNum>
  <w:abstractNum w:abstractNumId="22">
    <w:nsid w:val="4D6B557C"/>
    <w:multiLevelType w:val="singleLevel"/>
    <w:tmpl w:val="D7C06852"/>
    <w:name w:val="Bullet (4)"/>
    <w:lvl w:ilvl="0">
      <w:start w:val="1"/>
      <w:numFmt w:val="bullet"/>
      <w:lvlRestart w:val="0"/>
      <w:pStyle w:val="Bullet4"/>
      <w:lvlText w:val=""/>
      <w:lvlJc w:val="left"/>
      <w:pPr>
        <w:tabs>
          <w:tab w:val="num" w:pos="2835"/>
        </w:tabs>
        <w:ind w:left="2835" w:hanging="567"/>
      </w:pPr>
      <w:rPr>
        <w:rFonts w:ascii="Symbol" w:hAnsi="Symbol" w:hint="default"/>
      </w:rPr>
    </w:lvl>
  </w:abstractNum>
  <w:abstractNum w:abstractNumId="23">
    <w:nsid w:val="4E067598"/>
    <w:multiLevelType w:val="multilevel"/>
    <w:tmpl w:val="2D64BC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FD53283"/>
    <w:multiLevelType w:val="hybridMultilevel"/>
    <w:tmpl w:val="ECF4EA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278684C"/>
    <w:multiLevelType w:val="multilevel"/>
    <w:tmpl w:val="33AE034E"/>
    <w:name w:val="Points roman"/>
    <w:lvl w:ilvl="0">
      <w:start w:val="1"/>
      <w:numFmt w:val="lowerRoman"/>
      <w:lvlRestart w:val="0"/>
      <w:pStyle w:val="Pointivx"/>
      <w:lvlText w:val="%1)"/>
      <w:lvlJc w:val="left"/>
      <w:pPr>
        <w:tabs>
          <w:tab w:val="num" w:pos="567"/>
        </w:tabs>
        <w:ind w:left="567" w:hanging="567"/>
      </w:pPr>
    </w:lvl>
    <w:lvl w:ilvl="1">
      <w:start w:val="1"/>
      <w:numFmt w:val="lowerRoman"/>
      <w:pStyle w:val="Pointivx1"/>
      <w:lvlText w:val="%2)"/>
      <w:lvlJc w:val="left"/>
      <w:pPr>
        <w:tabs>
          <w:tab w:val="num" w:pos="1134"/>
        </w:tabs>
        <w:ind w:left="1134" w:hanging="567"/>
      </w:pPr>
    </w:lvl>
    <w:lvl w:ilvl="2">
      <w:start w:val="1"/>
      <w:numFmt w:val="lowerRoman"/>
      <w:pStyle w:val="Pointivx2"/>
      <w:lvlText w:val="%3)"/>
      <w:lvlJc w:val="left"/>
      <w:pPr>
        <w:tabs>
          <w:tab w:val="num" w:pos="1701"/>
        </w:tabs>
        <w:ind w:left="1701" w:hanging="567"/>
      </w:pPr>
    </w:lvl>
    <w:lvl w:ilvl="3">
      <w:start w:val="1"/>
      <w:numFmt w:val="lowerRoman"/>
      <w:pStyle w:val="Pointivx3"/>
      <w:lvlText w:val="%4)"/>
      <w:lvlJc w:val="left"/>
      <w:pPr>
        <w:tabs>
          <w:tab w:val="num" w:pos="2268"/>
        </w:tabs>
        <w:ind w:left="2268" w:hanging="567"/>
      </w:pPr>
    </w:lvl>
    <w:lvl w:ilvl="4">
      <w:start w:val="1"/>
      <w:numFmt w:val="lowerRoman"/>
      <w:pStyle w:val="Pointivx4"/>
      <w:lvlText w:val="%5)"/>
      <w:lvlJc w:val="left"/>
      <w:pPr>
        <w:tabs>
          <w:tab w:val="num" w:pos="2835"/>
        </w:tabs>
        <w:ind w:left="2835" w:hanging="567"/>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68AA1742"/>
    <w:multiLevelType w:val="singleLevel"/>
    <w:tmpl w:val="4F329520"/>
    <w:name w:val="Dash 0"/>
    <w:lvl w:ilvl="0">
      <w:start w:val="1"/>
      <w:numFmt w:val="bullet"/>
      <w:lvlRestart w:val="0"/>
      <w:pStyle w:val="Dash"/>
      <w:lvlText w:val="–"/>
      <w:lvlJc w:val="left"/>
      <w:pPr>
        <w:tabs>
          <w:tab w:val="num" w:pos="567"/>
        </w:tabs>
        <w:ind w:left="567" w:hanging="567"/>
      </w:pPr>
    </w:lvl>
  </w:abstractNum>
  <w:abstractNum w:abstractNumId="27">
    <w:nsid w:val="6A807310"/>
    <w:multiLevelType w:val="singleLevel"/>
    <w:tmpl w:val="62B42714"/>
    <w:name w:val="Bullet (3)"/>
    <w:lvl w:ilvl="0">
      <w:start w:val="1"/>
      <w:numFmt w:val="bullet"/>
      <w:lvlRestart w:val="0"/>
      <w:pStyle w:val="Bullet3"/>
      <w:lvlText w:val=""/>
      <w:lvlJc w:val="left"/>
      <w:pPr>
        <w:tabs>
          <w:tab w:val="num" w:pos="2268"/>
        </w:tabs>
        <w:ind w:left="2268" w:hanging="567"/>
      </w:pPr>
      <w:rPr>
        <w:rFonts w:ascii="Symbol" w:hAnsi="Symbol" w:hint="default"/>
      </w:rPr>
    </w:lvl>
  </w:abstractNum>
  <w:abstractNum w:abstractNumId="28">
    <w:nsid w:val="6E4E71E4"/>
    <w:multiLevelType w:val="singleLevel"/>
    <w:tmpl w:val="21145626"/>
    <w:lvl w:ilvl="0">
      <w:start w:val="1"/>
      <w:numFmt w:val="decimal"/>
      <w:pStyle w:val="Par-number11"/>
      <w:lvlText w:val="%1."/>
      <w:lvlJc w:val="left"/>
      <w:pPr>
        <w:tabs>
          <w:tab w:val="num" w:pos="567"/>
        </w:tabs>
        <w:ind w:left="567" w:hanging="567"/>
      </w:pPr>
    </w:lvl>
  </w:abstractNum>
  <w:abstractNum w:abstractNumId="29">
    <w:nsid w:val="7380518A"/>
    <w:multiLevelType w:val="singleLevel"/>
    <w:tmpl w:val="43DEF6E2"/>
    <w:name w:val="Dash Equal 4"/>
    <w:lvl w:ilvl="0">
      <w:start w:val="1"/>
      <w:numFmt w:val="bullet"/>
      <w:lvlRestart w:val="0"/>
      <w:pStyle w:val="DashEqual4"/>
      <w:lvlText w:val="="/>
      <w:lvlJc w:val="left"/>
      <w:pPr>
        <w:tabs>
          <w:tab w:val="num" w:pos="2835"/>
        </w:tabs>
        <w:ind w:left="2835" w:hanging="567"/>
      </w:pPr>
    </w:lvl>
  </w:abstractNum>
  <w:abstractNum w:abstractNumId="30">
    <w:nsid w:val="73EA208D"/>
    <w:multiLevelType w:val="singleLevel"/>
    <w:tmpl w:val="0A7218F6"/>
    <w:name w:val="Bullet (0)"/>
    <w:lvl w:ilvl="0">
      <w:start w:val="1"/>
      <w:numFmt w:val="bullet"/>
      <w:lvlRestart w:val="0"/>
      <w:pStyle w:val="Bullet"/>
      <w:lvlText w:val=""/>
      <w:lvlJc w:val="left"/>
      <w:pPr>
        <w:tabs>
          <w:tab w:val="num" w:pos="567"/>
        </w:tabs>
        <w:ind w:left="567" w:hanging="567"/>
      </w:pPr>
      <w:rPr>
        <w:rFonts w:ascii="Symbol" w:hAnsi="Symbol" w:hint="default"/>
      </w:rPr>
    </w:lvl>
  </w:abstractNum>
  <w:abstractNum w:abstractNumId="31">
    <w:nsid w:val="77280071"/>
    <w:multiLevelType w:val="multilevel"/>
    <w:tmpl w:val="39C25228"/>
    <w:name w:val="Heading 123"/>
    <w:lvl w:ilvl="0">
      <w:start w:val="1"/>
      <w:numFmt w:val="decimal"/>
      <w:lvlRestart w:val="0"/>
      <w:pStyle w:val="Heading123"/>
      <w:lvlText w:val="%1."/>
      <w:lvlJc w:val="left"/>
      <w:pPr>
        <w:tabs>
          <w:tab w:val="num" w:pos="567"/>
        </w:tabs>
        <w:ind w:left="567" w:hanging="567"/>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79FA34D6"/>
    <w:multiLevelType w:val="singleLevel"/>
    <w:tmpl w:val="41326E50"/>
    <w:lvl w:ilvl="0">
      <w:start w:val="1"/>
      <w:numFmt w:val="bullet"/>
      <w:pStyle w:val="Par-bullet"/>
      <w:lvlText w:val=""/>
      <w:lvlJc w:val="left"/>
      <w:pPr>
        <w:tabs>
          <w:tab w:val="num" w:pos="567"/>
        </w:tabs>
        <w:ind w:left="567" w:hanging="567"/>
      </w:pPr>
      <w:rPr>
        <w:rFonts w:ascii="Symbol" w:hAnsi="Symbol" w:hint="default"/>
      </w:rPr>
    </w:lvl>
  </w:abstractNum>
  <w:abstractNum w:abstractNumId="33">
    <w:nsid w:val="7CAE7682"/>
    <w:multiLevelType w:val="singleLevel"/>
    <w:tmpl w:val="D7C4174A"/>
    <w:name w:val="Bullet (2)"/>
    <w:lvl w:ilvl="0">
      <w:start w:val="1"/>
      <w:numFmt w:val="bullet"/>
      <w:lvlRestart w:val="0"/>
      <w:pStyle w:val="Bullet2"/>
      <w:lvlText w:val=""/>
      <w:lvlJc w:val="left"/>
      <w:pPr>
        <w:tabs>
          <w:tab w:val="num" w:pos="1701"/>
        </w:tabs>
        <w:ind w:left="1701" w:hanging="567"/>
      </w:pPr>
      <w:rPr>
        <w:rFonts w:ascii="Symbol" w:hAnsi="Symbol" w:hint="default"/>
      </w:rPr>
    </w:lvl>
  </w:abstractNum>
  <w:num w:numId="1">
    <w:abstractNumId w:val="10"/>
  </w:num>
  <w:num w:numId="2">
    <w:abstractNumId w:val="15"/>
  </w:num>
  <w:num w:numId="3">
    <w:abstractNumId w:val="32"/>
  </w:num>
  <w:num w:numId="4">
    <w:abstractNumId w:val="4"/>
  </w:num>
  <w:num w:numId="5">
    <w:abstractNumId w:val="17"/>
  </w:num>
  <w:num w:numId="6">
    <w:abstractNumId w:val="14"/>
  </w:num>
  <w:num w:numId="7">
    <w:abstractNumId w:val="16"/>
  </w:num>
  <w:num w:numId="8">
    <w:abstractNumId w:val="28"/>
  </w:num>
  <w:num w:numId="9">
    <w:abstractNumId w:val="9"/>
  </w:num>
  <w:num w:numId="10">
    <w:abstractNumId w:val="1"/>
  </w:num>
  <w:num w:numId="11">
    <w:abstractNumId w:val="5"/>
  </w:num>
  <w:num w:numId="12">
    <w:abstractNumId w:val="26"/>
  </w:num>
  <w:num w:numId="13">
    <w:abstractNumId w:val="20"/>
  </w:num>
  <w:num w:numId="14">
    <w:abstractNumId w:val="18"/>
  </w:num>
  <w:num w:numId="15">
    <w:abstractNumId w:val="21"/>
  </w:num>
  <w:num w:numId="16">
    <w:abstractNumId w:val="12"/>
  </w:num>
  <w:num w:numId="17">
    <w:abstractNumId w:val="2"/>
  </w:num>
  <w:num w:numId="18">
    <w:abstractNumId w:val="11"/>
  </w:num>
  <w:num w:numId="19">
    <w:abstractNumId w:val="8"/>
  </w:num>
  <w:num w:numId="20">
    <w:abstractNumId w:val="6"/>
  </w:num>
  <w:num w:numId="21">
    <w:abstractNumId w:val="29"/>
  </w:num>
  <w:num w:numId="22">
    <w:abstractNumId w:val="30"/>
  </w:num>
  <w:num w:numId="23">
    <w:abstractNumId w:val="0"/>
  </w:num>
  <w:num w:numId="24">
    <w:abstractNumId w:val="33"/>
  </w:num>
  <w:num w:numId="25">
    <w:abstractNumId w:val="27"/>
  </w:num>
  <w:num w:numId="26">
    <w:abstractNumId w:val="22"/>
  </w:num>
  <w:num w:numId="27">
    <w:abstractNumId w:val="13"/>
  </w:num>
  <w:num w:numId="28">
    <w:abstractNumId w:val="25"/>
  </w:num>
  <w:num w:numId="29">
    <w:abstractNumId w:val="3"/>
  </w:num>
  <w:num w:numId="30">
    <w:abstractNumId w:val="31"/>
  </w:num>
  <w:num w:numId="31">
    <w:abstractNumId w:val="7"/>
  </w:num>
  <w:num w:numId="32">
    <w:abstractNumId w:val="24"/>
  </w:num>
  <w:num w:numId="33">
    <w:abstractNumId w:val="19"/>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revisionView w:markup="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VERPAGE_EXISTS" w:val="True"/>
    <w:docVar w:name="DocStatus" w:val="Green"/>
    <w:docVar w:name="LW_ACCOMPAGNANT.CP" w:val="a következ\u337?höz:"/>
    <w:docVar w:name="LW_ANNEX_NBR_FIRST" w:val="1"/>
    <w:docVar w:name="LW_ANNEX_NBR_LAST" w:val="1"/>
    <w:docVar w:name="LW_CONFIDENCE" w:val=" "/>
    <w:docVar w:name="LW_CONST_RESTREINT_UE" w:val="RESTREINT UE"/>
    <w:docVar w:name="LW_CORRIGENDUM" w:val="&lt;UNUSED&gt;"/>
    <w:docVar w:name="LW_COVERPAGE_GUID" w:val="4A69B1B40FC144D8B9F99B4730E2BA1C"/>
    <w:docVar w:name="LW_CROSSREFERENCE" w:val="&lt;UNUSED&gt;"/>
    <w:docVar w:name="LW_DocType" w:val="NORMAL"/>
    <w:docVar w:name="LW_EMISSION" w:val="2016.11.28."/>
    <w:docVar w:name="LW_EMISSION_ISODATE" w:val="2016-11-28"/>
    <w:docVar w:name="LW_EMISSION_LOCATION" w:val="BRX"/>
    <w:docVar w:name="LW_EMISSION_PREFIX" w:val="Brüsszel, "/>
    <w:docVar w:name="LW_EMISSION_SUFFIX" w:val=" "/>
    <w:docVar w:name="LW_ID_DOCTYPE_NONLW" w:val="CP-037"/>
    <w:docVar w:name="LW_LANGUE" w:val="HU"/>
    <w:docVar w:name="LW_MARKING" w:val="&lt;UNUSED&gt;"/>
    <w:docVar w:name="LW_NOM.INST" w:val="EURÓPAI BIZOTTSÁG"/>
    <w:docVar w:name="LW_NOM.INST_JOINTDOC" w:val="AZ UNIÓ KÜLÜGYI ÉS_x000b_BIZTONSÁGPOLITIKAI_x000b_F\u336?KÉPVISEL\u336?JE"/>
    <w:docVar w:name="LW_OBJETACTEPRINCIPAL.CP" w:val="az egyrészr\u337?l az Európai Unió és tagállamai, másrészr\u337?l Ausztrália közötti keretmegállapodás megkötésér\u337?l"/>
    <w:docVar w:name="LW_PART_NBR" w:val="1"/>
    <w:docVar w:name="LW_PART_NBR_TOTAL" w:val="1"/>
    <w:docVar w:name="LW_REF.INST.NEW" w:val="JOIN"/>
    <w:docVar w:name="LW_REF.INST.NEW_ADOPTED" w:val="final"/>
    <w:docVar w:name="LW_REF.INST.NEW_TEXT" w:val="(2016) 51"/>
    <w:docVar w:name="LW_REF.INTERNE" w:val="&lt;UNUSED&gt;"/>
    <w:docVar w:name="LW_SUPERTITRE" w:val="&lt;UNUSED&gt;"/>
    <w:docVar w:name="LW_TITRE.OBJ.CP" w:val="&lt;UNUSED&gt;"/>
    <w:docVar w:name="LW_TYPE.DOC.CP" w:val="MELLÉKLET_x000b_"/>
    <w:docVar w:name="LW_TYPEACTEPRINCIPAL.CP" w:val="Együttes javaslat_x000b_A TANÁCS HATÁROZATA_x000b_"/>
  </w:docVar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pPr>
      <w:keepNext/>
      <w:numPr>
        <w:numId w:val="11"/>
      </w:numPr>
      <w:spacing w:before="360" w:after="120" w:line="240" w:lineRule="auto"/>
      <w:jc w:val="both"/>
      <w:outlineLvl w:val="0"/>
    </w:pPr>
    <w:rPr>
      <w:rFonts w:ascii="Times New Roman" w:eastAsia="Times New Roman" w:hAnsi="Times New Roman" w:cs="Times New Roman"/>
      <w:b/>
      <w:smallCaps/>
      <w:sz w:val="24"/>
      <w:szCs w:val="20"/>
      <w:lang w:eastAsia="fr-BE"/>
    </w:rPr>
  </w:style>
  <w:style w:type="paragraph" w:styleId="Heading2">
    <w:name w:val="heading 2"/>
    <w:basedOn w:val="Normal"/>
    <w:next w:val="Normal"/>
    <w:link w:val="Heading2Char"/>
    <w:qFormat/>
    <w:pPr>
      <w:keepNext/>
      <w:numPr>
        <w:ilvl w:val="1"/>
        <w:numId w:val="11"/>
      </w:numPr>
      <w:spacing w:before="120" w:after="120" w:line="240" w:lineRule="auto"/>
      <w:jc w:val="both"/>
      <w:outlineLvl w:val="1"/>
    </w:pPr>
    <w:rPr>
      <w:rFonts w:ascii="Times New Roman" w:eastAsia="Times New Roman" w:hAnsi="Times New Roman" w:cs="Times New Roman"/>
      <w:b/>
      <w:sz w:val="24"/>
      <w:szCs w:val="20"/>
      <w:lang w:eastAsia="fr-BE"/>
    </w:rPr>
  </w:style>
  <w:style w:type="paragraph" w:styleId="Heading3">
    <w:name w:val="heading 3"/>
    <w:basedOn w:val="Normal"/>
    <w:next w:val="Normal"/>
    <w:link w:val="Heading3Char"/>
    <w:qFormat/>
    <w:pPr>
      <w:keepNext/>
      <w:numPr>
        <w:ilvl w:val="2"/>
        <w:numId w:val="11"/>
      </w:numPr>
      <w:spacing w:before="120" w:after="120" w:line="240" w:lineRule="auto"/>
      <w:jc w:val="both"/>
      <w:outlineLvl w:val="2"/>
    </w:pPr>
    <w:rPr>
      <w:rFonts w:ascii="Times New Roman" w:eastAsia="Times New Roman" w:hAnsi="Times New Roman" w:cs="Times New Roman"/>
      <w:i/>
      <w:sz w:val="24"/>
      <w:szCs w:val="20"/>
      <w:lang w:eastAsia="fr-BE"/>
    </w:rPr>
  </w:style>
  <w:style w:type="paragraph" w:styleId="Heading4">
    <w:name w:val="heading 4"/>
    <w:basedOn w:val="Normal"/>
    <w:next w:val="Normal"/>
    <w:link w:val="Heading4Char"/>
    <w:qFormat/>
    <w:pPr>
      <w:keepNext/>
      <w:numPr>
        <w:ilvl w:val="3"/>
        <w:numId w:val="11"/>
      </w:numPr>
      <w:spacing w:before="120" w:after="120" w:line="240" w:lineRule="auto"/>
      <w:jc w:val="both"/>
      <w:outlineLvl w:val="3"/>
    </w:pPr>
    <w:rPr>
      <w:rFonts w:ascii="Times New Roman" w:eastAsia="Times New Roman" w:hAnsi="Times New Roman" w:cs="Times New Roman"/>
      <w:sz w:val="24"/>
      <w:szCs w:val="20"/>
      <w:lang w:eastAsia="fr-BE"/>
    </w:rPr>
  </w:style>
  <w:style w:type="paragraph" w:styleId="Heading5">
    <w:name w:val="heading 5"/>
    <w:basedOn w:val="Normal"/>
    <w:next w:val="Normal"/>
    <w:link w:val="Heading5Char"/>
    <w:qFormat/>
    <w:pPr>
      <w:spacing w:before="240" w:after="60" w:line="240" w:lineRule="auto"/>
      <w:jc w:val="both"/>
      <w:outlineLvl w:val="4"/>
    </w:pPr>
    <w:rPr>
      <w:rFonts w:ascii="Arial" w:eastAsia="Times New Roman" w:hAnsi="Arial" w:cs="Times New Roman"/>
      <w:szCs w:val="20"/>
      <w:lang w:eastAsia="fr-BE"/>
    </w:rPr>
  </w:style>
  <w:style w:type="paragraph" w:styleId="Heading6">
    <w:name w:val="heading 6"/>
    <w:basedOn w:val="Normal"/>
    <w:next w:val="Normal"/>
    <w:link w:val="Heading6Char"/>
    <w:qFormat/>
    <w:pPr>
      <w:spacing w:before="240" w:after="60" w:line="240" w:lineRule="auto"/>
      <w:jc w:val="both"/>
      <w:outlineLvl w:val="5"/>
    </w:pPr>
    <w:rPr>
      <w:rFonts w:ascii="Arial" w:eastAsia="Times New Roman" w:hAnsi="Arial" w:cs="Times New Roman"/>
      <w:i/>
      <w:szCs w:val="20"/>
      <w:lang w:eastAsia="fr-BE"/>
    </w:rPr>
  </w:style>
  <w:style w:type="paragraph" w:styleId="Heading7">
    <w:name w:val="heading 7"/>
    <w:basedOn w:val="Normal"/>
    <w:next w:val="Normal"/>
    <w:link w:val="Heading7Char"/>
    <w:qFormat/>
    <w:pPr>
      <w:spacing w:before="240" w:after="60" w:line="240" w:lineRule="auto"/>
      <w:jc w:val="both"/>
      <w:outlineLvl w:val="6"/>
    </w:pPr>
    <w:rPr>
      <w:rFonts w:ascii="Arial" w:eastAsia="Times New Roman" w:hAnsi="Arial" w:cs="Times New Roman"/>
      <w:sz w:val="20"/>
      <w:szCs w:val="20"/>
      <w:lang w:eastAsia="fr-BE"/>
    </w:rPr>
  </w:style>
  <w:style w:type="paragraph" w:styleId="Heading8">
    <w:name w:val="heading 8"/>
    <w:basedOn w:val="Normal"/>
    <w:next w:val="Normal"/>
    <w:link w:val="Heading8Char"/>
    <w:qFormat/>
    <w:pPr>
      <w:spacing w:before="240" w:after="60" w:line="240" w:lineRule="auto"/>
      <w:jc w:val="both"/>
      <w:outlineLvl w:val="7"/>
    </w:pPr>
    <w:rPr>
      <w:rFonts w:ascii="Arial" w:eastAsia="Times New Roman" w:hAnsi="Arial" w:cs="Times New Roman"/>
      <w:i/>
      <w:sz w:val="20"/>
      <w:szCs w:val="20"/>
      <w:lang w:eastAsia="fr-BE"/>
    </w:rPr>
  </w:style>
  <w:style w:type="paragraph" w:styleId="Heading9">
    <w:name w:val="heading 9"/>
    <w:basedOn w:val="Normal"/>
    <w:next w:val="Normal"/>
    <w:link w:val="Heading9Char"/>
    <w:qFormat/>
    <w:pPr>
      <w:spacing w:before="240" w:after="60" w:line="240" w:lineRule="auto"/>
      <w:jc w:val="both"/>
      <w:outlineLvl w:val="8"/>
    </w:pPr>
    <w:rPr>
      <w:rFonts w:ascii="Arial" w:eastAsia="Times New Roman" w:hAnsi="Arial" w:cs="Times New Roman"/>
      <w:i/>
      <w:sz w:val="18"/>
      <w:szCs w:val="20"/>
      <w:lang w:eastAsia="fr-B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nhideWhenUsed/>
    <w:pPr>
      <w:tabs>
        <w:tab w:val="center" w:pos="4536"/>
        <w:tab w:val="right" w:pos="9072"/>
      </w:tabs>
      <w:spacing w:after="0" w:line="240" w:lineRule="auto"/>
    </w:pPr>
  </w:style>
  <w:style w:type="character" w:customStyle="1" w:styleId="HeaderChar">
    <w:name w:val="Header Char"/>
    <w:basedOn w:val="DefaultParagraphFont"/>
    <w:link w:val="Header"/>
  </w:style>
  <w:style w:type="paragraph" w:styleId="Footer">
    <w:name w:val="footer"/>
    <w:basedOn w:val="Normal"/>
    <w:link w:val="FooterChar"/>
    <w:uiPriority w:val="99"/>
    <w:unhideWhenUsed/>
    <w:pPr>
      <w:tabs>
        <w:tab w:val="center" w:pos="4536"/>
        <w:tab w:val="right" w:pos="9072"/>
      </w:tabs>
      <w:spacing w:after="0" w:line="240" w:lineRule="auto"/>
    </w:pPr>
  </w:style>
  <w:style w:type="character" w:customStyle="1" w:styleId="FooterChar">
    <w:name w:val="Footer Char"/>
    <w:basedOn w:val="DefaultParagraphFont"/>
    <w:link w:val="Footer"/>
    <w:uiPriority w:val="99"/>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character" w:customStyle="1" w:styleId="Heading1Char">
    <w:name w:val="Heading 1 Char"/>
    <w:basedOn w:val="DefaultParagraphFont"/>
    <w:link w:val="Heading1"/>
    <w:rPr>
      <w:rFonts w:ascii="Times New Roman" w:eastAsia="Times New Roman" w:hAnsi="Times New Roman" w:cs="Times New Roman"/>
      <w:b/>
      <w:smallCaps/>
      <w:sz w:val="24"/>
      <w:szCs w:val="20"/>
      <w:lang w:eastAsia="fr-BE"/>
    </w:rPr>
  </w:style>
  <w:style w:type="character" w:customStyle="1" w:styleId="Heading2Char">
    <w:name w:val="Heading 2 Char"/>
    <w:basedOn w:val="DefaultParagraphFont"/>
    <w:link w:val="Heading2"/>
    <w:rPr>
      <w:rFonts w:ascii="Times New Roman" w:eastAsia="Times New Roman" w:hAnsi="Times New Roman" w:cs="Times New Roman"/>
      <w:b/>
      <w:sz w:val="24"/>
      <w:szCs w:val="20"/>
      <w:lang w:eastAsia="fr-BE"/>
    </w:rPr>
  </w:style>
  <w:style w:type="character" w:customStyle="1" w:styleId="Heading3Char">
    <w:name w:val="Heading 3 Char"/>
    <w:basedOn w:val="DefaultParagraphFont"/>
    <w:link w:val="Heading3"/>
    <w:rPr>
      <w:rFonts w:ascii="Times New Roman" w:eastAsia="Times New Roman" w:hAnsi="Times New Roman" w:cs="Times New Roman"/>
      <w:i/>
      <w:sz w:val="24"/>
      <w:szCs w:val="20"/>
      <w:lang w:eastAsia="fr-BE"/>
    </w:rPr>
  </w:style>
  <w:style w:type="character" w:customStyle="1" w:styleId="Heading4Char">
    <w:name w:val="Heading 4 Char"/>
    <w:basedOn w:val="DefaultParagraphFont"/>
    <w:link w:val="Heading4"/>
    <w:rPr>
      <w:rFonts w:ascii="Times New Roman" w:eastAsia="Times New Roman" w:hAnsi="Times New Roman" w:cs="Times New Roman"/>
      <w:sz w:val="24"/>
      <w:szCs w:val="20"/>
      <w:lang w:eastAsia="fr-BE"/>
    </w:rPr>
  </w:style>
  <w:style w:type="character" w:customStyle="1" w:styleId="Heading5Char">
    <w:name w:val="Heading 5 Char"/>
    <w:basedOn w:val="DefaultParagraphFont"/>
    <w:link w:val="Heading5"/>
    <w:rPr>
      <w:rFonts w:ascii="Arial" w:eastAsia="Times New Roman" w:hAnsi="Arial" w:cs="Times New Roman"/>
      <w:szCs w:val="20"/>
      <w:lang w:eastAsia="fr-BE"/>
    </w:rPr>
  </w:style>
  <w:style w:type="character" w:customStyle="1" w:styleId="Heading6Char">
    <w:name w:val="Heading 6 Char"/>
    <w:basedOn w:val="DefaultParagraphFont"/>
    <w:link w:val="Heading6"/>
    <w:rPr>
      <w:rFonts w:ascii="Arial" w:eastAsia="Times New Roman" w:hAnsi="Arial" w:cs="Times New Roman"/>
      <w:i/>
      <w:szCs w:val="20"/>
      <w:lang w:eastAsia="fr-BE"/>
    </w:rPr>
  </w:style>
  <w:style w:type="character" w:customStyle="1" w:styleId="Heading7Char">
    <w:name w:val="Heading 7 Char"/>
    <w:basedOn w:val="DefaultParagraphFont"/>
    <w:link w:val="Heading7"/>
    <w:rPr>
      <w:rFonts w:ascii="Arial" w:eastAsia="Times New Roman" w:hAnsi="Arial" w:cs="Times New Roman"/>
      <w:sz w:val="20"/>
      <w:szCs w:val="20"/>
      <w:lang w:eastAsia="fr-BE"/>
    </w:rPr>
  </w:style>
  <w:style w:type="character" w:customStyle="1" w:styleId="Heading8Char">
    <w:name w:val="Heading 8 Char"/>
    <w:basedOn w:val="DefaultParagraphFont"/>
    <w:link w:val="Heading8"/>
    <w:rPr>
      <w:rFonts w:ascii="Arial" w:eastAsia="Times New Roman" w:hAnsi="Arial" w:cs="Times New Roman"/>
      <w:i/>
      <w:sz w:val="20"/>
      <w:szCs w:val="20"/>
      <w:lang w:eastAsia="fr-BE"/>
    </w:rPr>
  </w:style>
  <w:style w:type="character" w:customStyle="1" w:styleId="Heading9Char">
    <w:name w:val="Heading 9 Char"/>
    <w:basedOn w:val="DefaultParagraphFont"/>
    <w:link w:val="Heading9"/>
    <w:rPr>
      <w:rFonts w:ascii="Arial" w:eastAsia="Times New Roman" w:hAnsi="Arial" w:cs="Times New Roman"/>
      <w:i/>
      <w:sz w:val="18"/>
      <w:szCs w:val="20"/>
      <w:lang w:eastAsia="fr-BE"/>
    </w:rPr>
  </w:style>
  <w:style w:type="numbering" w:customStyle="1" w:styleId="NoList1">
    <w:name w:val="No List1"/>
    <w:next w:val="NoList"/>
    <w:uiPriority w:val="99"/>
    <w:semiHidden/>
    <w:unhideWhenUsed/>
  </w:style>
  <w:style w:type="paragraph" w:customStyle="1" w:styleId="EntInstit">
    <w:name w:val="EntInstit"/>
    <w:basedOn w:val="Normal"/>
    <w:pPr>
      <w:widowControl w:val="0"/>
      <w:spacing w:after="0" w:line="240" w:lineRule="auto"/>
      <w:jc w:val="right"/>
    </w:pPr>
    <w:rPr>
      <w:rFonts w:ascii="Times New Roman" w:eastAsia="Times New Roman" w:hAnsi="Times New Roman" w:cs="Times New Roman"/>
      <w:b/>
      <w:sz w:val="24"/>
      <w:szCs w:val="20"/>
      <w:lang w:eastAsia="fr-BE"/>
    </w:rPr>
  </w:style>
  <w:style w:type="paragraph" w:customStyle="1" w:styleId="EntRefer">
    <w:name w:val="EntRefer"/>
    <w:basedOn w:val="Normal"/>
    <w:pPr>
      <w:widowControl w:val="0"/>
      <w:spacing w:after="0" w:line="240" w:lineRule="auto"/>
    </w:pPr>
    <w:rPr>
      <w:rFonts w:ascii="Times New Roman" w:eastAsia="Times New Roman" w:hAnsi="Times New Roman" w:cs="Times New Roman"/>
      <w:b/>
      <w:sz w:val="24"/>
      <w:szCs w:val="20"/>
      <w:lang w:eastAsia="fr-BE"/>
    </w:rPr>
  </w:style>
  <w:style w:type="paragraph" w:customStyle="1" w:styleId="Par-number10">
    <w:name w:val="Par-number 1)"/>
    <w:basedOn w:val="Normal"/>
    <w:next w:val="Normal"/>
    <w:pPr>
      <w:widowControl w:val="0"/>
      <w:numPr>
        <w:numId w:val="7"/>
      </w:numPr>
      <w:spacing w:after="0" w:line="360" w:lineRule="auto"/>
    </w:pPr>
    <w:rPr>
      <w:rFonts w:ascii="Times New Roman" w:eastAsia="Times New Roman" w:hAnsi="Times New Roman" w:cs="Times New Roman"/>
      <w:sz w:val="24"/>
      <w:szCs w:val="20"/>
      <w:lang w:eastAsia="fr-BE"/>
    </w:rPr>
  </w:style>
  <w:style w:type="paragraph" w:customStyle="1" w:styleId="EntEmet">
    <w:name w:val="EntEmet"/>
    <w:basedOn w:val="Normal"/>
    <w:pPr>
      <w:widowControl w:val="0"/>
      <w:tabs>
        <w:tab w:val="left" w:pos="284"/>
        <w:tab w:val="left" w:pos="567"/>
        <w:tab w:val="left" w:pos="851"/>
        <w:tab w:val="left" w:pos="1134"/>
        <w:tab w:val="left" w:pos="1418"/>
      </w:tabs>
      <w:spacing w:before="40" w:after="0" w:line="240" w:lineRule="auto"/>
    </w:pPr>
    <w:rPr>
      <w:rFonts w:ascii="Times New Roman" w:eastAsia="Times New Roman" w:hAnsi="Times New Roman" w:cs="Times New Roman"/>
      <w:sz w:val="24"/>
      <w:szCs w:val="20"/>
      <w:lang w:eastAsia="fr-BE"/>
    </w:rPr>
  </w:style>
  <w:style w:type="character" w:styleId="FootnoteReference">
    <w:name w:val="footnote reference"/>
    <w:rPr>
      <w:b/>
      <w:vertAlign w:val="superscript"/>
    </w:rPr>
  </w:style>
  <w:style w:type="paragraph" w:styleId="FootnoteText">
    <w:name w:val="footnote text"/>
    <w:basedOn w:val="Normal"/>
    <w:link w:val="FootnoteTextChar"/>
    <w:pPr>
      <w:widowControl w:val="0"/>
      <w:tabs>
        <w:tab w:val="left" w:pos="567"/>
      </w:tabs>
      <w:spacing w:after="0" w:line="240" w:lineRule="auto"/>
      <w:ind w:left="567" w:hanging="567"/>
    </w:pPr>
    <w:rPr>
      <w:rFonts w:ascii="Times New Roman" w:eastAsia="Times New Roman" w:hAnsi="Times New Roman" w:cs="Times New Roman"/>
      <w:sz w:val="24"/>
      <w:szCs w:val="20"/>
      <w:lang w:eastAsia="fr-BE"/>
    </w:rPr>
  </w:style>
  <w:style w:type="character" w:customStyle="1" w:styleId="FootnoteTextChar">
    <w:name w:val="Footnote Text Char"/>
    <w:basedOn w:val="DefaultParagraphFont"/>
    <w:link w:val="FootnoteText"/>
    <w:rPr>
      <w:rFonts w:ascii="Times New Roman" w:eastAsia="Times New Roman" w:hAnsi="Times New Roman" w:cs="Times New Roman"/>
      <w:sz w:val="24"/>
      <w:szCs w:val="20"/>
      <w:lang w:eastAsia="fr-BE"/>
    </w:rPr>
  </w:style>
  <w:style w:type="paragraph" w:customStyle="1" w:styleId="Par-bullet">
    <w:name w:val="Par-bullet"/>
    <w:basedOn w:val="Normal"/>
    <w:next w:val="Normal"/>
    <w:pPr>
      <w:widowControl w:val="0"/>
      <w:numPr>
        <w:numId w:val="3"/>
      </w:numPr>
      <w:spacing w:after="0" w:line="360" w:lineRule="auto"/>
    </w:pPr>
    <w:rPr>
      <w:rFonts w:ascii="Times New Roman" w:eastAsia="Times New Roman" w:hAnsi="Times New Roman" w:cs="Times New Roman"/>
      <w:sz w:val="24"/>
      <w:szCs w:val="20"/>
      <w:lang w:eastAsia="fr-BE"/>
    </w:rPr>
  </w:style>
  <w:style w:type="paragraph" w:customStyle="1" w:styleId="Par-equal">
    <w:name w:val="Par-equal"/>
    <w:basedOn w:val="Normal"/>
    <w:next w:val="Normal"/>
    <w:pPr>
      <w:widowControl w:val="0"/>
      <w:numPr>
        <w:numId w:val="5"/>
      </w:numPr>
      <w:spacing w:after="0" w:line="360" w:lineRule="auto"/>
    </w:pPr>
    <w:rPr>
      <w:rFonts w:ascii="Times New Roman" w:eastAsia="Times New Roman" w:hAnsi="Times New Roman" w:cs="Times New Roman"/>
      <w:sz w:val="24"/>
      <w:szCs w:val="20"/>
      <w:lang w:eastAsia="fr-BE"/>
    </w:rPr>
  </w:style>
  <w:style w:type="paragraph" w:styleId="TOC1">
    <w:name w:val="toc 1"/>
    <w:basedOn w:val="Normal"/>
    <w:next w:val="Normal"/>
    <w:pPr>
      <w:widowControl w:val="0"/>
      <w:tabs>
        <w:tab w:val="left" w:pos="567"/>
        <w:tab w:val="right" w:leader="dot" w:pos="9639"/>
      </w:tabs>
      <w:spacing w:after="0" w:line="360" w:lineRule="auto"/>
      <w:ind w:left="567" w:right="567" w:hanging="567"/>
    </w:pPr>
    <w:rPr>
      <w:rFonts w:ascii="Times New Roman" w:eastAsia="Times New Roman" w:hAnsi="Times New Roman" w:cs="Times New Roman"/>
      <w:sz w:val="24"/>
      <w:szCs w:val="20"/>
      <w:lang w:eastAsia="fr-BE"/>
    </w:rPr>
  </w:style>
  <w:style w:type="paragraph" w:customStyle="1" w:styleId="Par-number1">
    <w:name w:val="Par-number (1)"/>
    <w:basedOn w:val="Normal"/>
    <w:next w:val="Normal"/>
    <w:pPr>
      <w:widowControl w:val="0"/>
      <w:numPr>
        <w:numId w:val="6"/>
      </w:numPr>
      <w:spacing w:after="0" w:line="360" w:lineRule="auto"/>
    </w:pPr>
    <w:rPr>
      <w:rFonts w:ascii="Times New Roman" w:eastAsia="Times New Roman" w:hAnsi="Times New Roman" w:cs="Times New Roman"/>
      <w:sz w:val="24"/>
      <w:szCs w:val="20"/>
      <w:lang w:eastAsia="fr-BE"/>
    </w:rPr>
  </w:style>
  <w:style w:type="paragraph" w:customStyle="1" w:styleId="Par-number11">
    <w:name w:val="Par-number 1."/>
    <w:basedOn w:val="Normal"/>
    <w:next w:val="Normal"/>
    <w:pPr>
      <w:widowControl w:val="0"/>
      <w:numPr>
        <w:numId w:val="8"/>
      </w:numPr>
      <w:spacing w:after="0" w:line="360" w:lineRule="auto"/>
    </w:pPr>
    <w:rPr>
      <w:rFonts w:ascii="Times New Roman" w:eastAsia="Times New Roman" w:hAnsi="Times New Roman" w:cs="Times New Roman"/>
      <w:sz w:val="24"/>
      <w:szCs w:val="20"/>
      <w:lang w:eastAsia="fr-BE"/>
    </w:rPr>
  </w:style>
  <w:style w:type="paragraph" w:customStyle="1" w:styleId="Par-numberI">
    <w:name w:val="Par-number I."/>
    <w:basedOn w:val="Normal"/>
    <w:next w:val="Normal"/>
    <w:pPr>
      <w:widowControl w:val="0"/>
      <w:numPr>
        <w:numId w:val="10"/>
      </w:numPr>
      <w:spacing w:after="0" w:line="360" w:lineRule="auto"/>
    </w:pPr>
    <w:rPr>
      <w:rFonts w:ascii="Times New Roman" w:eastAsia="Times New Roman" w:hAnsi="Times New Roman" w:cs="Times New Roman"/>
      <w:sz w:val="24"/>
      <w:szCs w:val="20"/>
      <w:lang w:eastAsia="fr-BE"/>
    </w:rPr>
  </w:style>
  <w:style w:type="paragraph" w:customStyle="1" w:styleId="Par-dash">
    <w:name w:val="Par-dash"/>
    <w:basedOn w:val="Normal"/>
    <w:next w:val="Normal"/>
    <w:pPr>
      <w:widowControl w:val="0"/>
      <w:numPr>
        <w:numId w:val="4"/>
      </w:numPr>
      <w:spacing w:after="0" w:line="360" w:lineRule="auto"/>
    </w:pPr>
    <w:rPr>
      <w:rFonts w:ascii="Times New Roman" w:eastAsia="Times New Roman" w:hAnsi="Times New Roman" w:cs="Times New Roman"/>
      <w:sz w:val="24"/>
      <w:szCs w:val="20"/>
      <w:lang w:eastAsia="fr-BE"/>
    </w:rPr>
  </w:style>
  <w:style w:type="paragraph" w:customStyle="1" w:styleId="EntLogo">
    <w:name w:val="EntLogo"/>
    <w:basedOn w:val="Normal"/>
    <w:next w:val="EntInstit"/>
    <w:pPr>
      <w:widowControl w:val="0"/>
      <w:spacing w:after="0" w:line="360" w:lineRule="auto"/>
    </w:pPr>
    <w:rPr>
      <w:rFonts w:ascii="Times New Roman" w:eastAsia="Times New Roman" w:hAnsi="Times New Roman" w:cs="Times New Roman"/>
      <w:b/>
      <w:sz w:val="24"/>
      <w:szCs w:val="20"/>
      <w:lang w:eastAsia="fr-BE"/>
    </w:rPr>
  </w:style>
  <w:style w:type="paragraph" w:customStyle="1" w:styleId="FooterLandscape">
    <w:name w:val="FooterLandscape"/>
    <w:basedOn w:val="Footer"/>
    <w:pPr>
      <w:widowControl w:val="0"/>
      <w:tabs>
        <w:tab w:val="clear" w:pos="4536"/>
        <w:tab w:val="clear" w:pos="9072"/>
        <w:tab w:val="center" w:pos="7371"/>
        <w:tab w:val="center" w:pos="11340"/>
        <w:tab w:val="right" w:pos="14572"/>
      </w:tabs>
    </w:pPr>
    <w:rPr>
      <w:rFonts w:ascii="Times New Roman" w:eastAsia="Times New Roman" w:hAnsi="Times New Roman" w:cs="Times New Roman"/>
      <w:sz w:val="24"/>
      <w:szCs w:val="20"/>
      <w:lang w:eastAsia="fr-BE"/>
    </w:rPr>
  </w:style>
  <w:style w:type="paragraph" w:customStyle="1" w:styleId="Par-numberA">
    <w:name w:val="Par-number A."/>
    <w:basedOn w:val="Normal"/>
    <w:next w:val="Normal"/>
    <w:pPr>
      <w:widowControl w:val="0"/>
      <w:numPr>
        <w:numId w:val="9"/>
      </w:numPr>
      <w:spacing w:after="0" w:line="360" w:lineRule="auto"/>
    </w:pPr>
    <w:rPr>
      <w:rFonts w:ascii="Times New Roman" w:eastAsia="Times New Roman" w:hAnsi="Times New Roman" w:cs="Times New Roman"/>
      <w:sz w:val="24"/>
      <w:szCs w:val="20"/>
      <w:lang w:eastAsia="fr-BE"/>
    </w:rPr>
  </w:style>
  <w:style w:type="paragraph" w:styleId="TOC2">
    <w:name w:val="toc 2"/>
    <w:basedOn w:val="Normal"/>
    <w:next w:val="Normal"/>
    <w:pPr>
      <w:widowControl w:val="0"/>
      <w:tabs>
        <w:tab w:val="left" w:pos="1134"/>
        <w:tab w:val="right" w:leader="dot" w:pos="9639"/>
      </w:tabs>
      <w:spacing w:after="0" w:line="360" w:lineRule="auto"/>
      <w:ind w:left="1134" w:right="567" w:hanging="567"/>
    </w:pPr>
    <w:rPr>
      <w:rFonts w:ascii="Times New Roman" w:eastAsia="Times New Roman" w:hAnsi="Times New Roman" w:cs="Times New Roman"/>
      <w:sz w:val="24"/>
      <w:szCs w:val="20"/>
      <w:lang w:eastAsia="fr-BE"/>
    </w:rPr>
  </w:style>
  <w:style w:type="paragraph" w:styleId="TOC3">
    <w:name w:val="toc 3"/>
    <w:basedOn w:val="Normal"/>
    <w:next w:val="Normal"/>
    <w:pPr>
      <w:widowControl w:val="0"/>
      <w:tabs>
        <w:tab w:val="left" w:pos="1701"/>
        <w:tab w:val="right" w:leader="dot" w:pos="9639"/>
      </w:tabs>
      <w:spacing w:after="0" w:line="360" w:lineRule="auto"/>
      <w:ind w:left="1701" w:right="567" w:hanging="567"/>
    </w:pPr>
    <w:rPr>
      <w:rFonts w:ascii="Times New Roman" w:eastAsia="Times New Roman" w:hAnsi="Times New Roman" w:cs="Times New Roman"/>
      <w:sz w:val="24"/>
      <w:szCs w:val="20"/>
      <w:lang w:eastAsia="fr-BE"/>
    </w:rPr>
  </w:style>
  <w:style w:type="paragraph" w:styleId="TOC4">
    <w:name w:val="toc 4"/>
    <w:basedOn w:val="Normal"/>
    <w:next w:val="Normal"/>
    <w:pPr>
      <w:widowControl w:val="0"/>
      <w:tabs>
        <w:tab w:val="left" w:pos="2268"/>
        <w:tab w:val="right" w:pos="9639"/>
      </w:tabs>
      <w:spacing w:after="0" w:line="360" w:lineRule="auto"/>
      <w:ind w:left="2268" w:right="567" w:hanging="567"/>
    </w:pPr>
    <w:rPr>
      <w:rFonts w:ascii="Times New Roman" w:eastAsia="Times New Roman" w:hAnsi="Times New Roman" w:cs="Times New Roman"/>
      <w:sz w:val="24"/>
      <w:szCs w:val="20"/>
      <w:lang w:eastAsia="fr-BE"/>
    </w:rPr>
  </w:style>
  <w:style w:type="paragraph" w:styleId="TOC5">
    <w:name w:val="toc 5"/>
    <w:basedOn w:val="Normal"/>
    <w:next w:val="Normal"/>
    <w:pPr>
      <w:widowControl w:val="0"/>
      <w:tabs>
        <w:tab w:val="left" w:pos="2835"/>
        <w:tab w:val="right" w:leader="dot" w:pos="9639"/>
      </w:tabs>
      <w:spacing w:after="0" w:line="360" w:lineRule="auto"/>
      <w:ind w:left="2835" w:right="567" w:hanging="567"/>
    </w:pPr>
    <w:rPr>
      <w:rFonts w:ascii="Times New Roman" w:eastAsia="Times New Roman" w:hAnsi="Times New Roman" w:cs="Times New Roman"/>
      <w:sz w:val="24"/>
      <w:szCs w:val="20"/>
      <w:lang w:eastAsia="fr-BE"/>
    </w:rPr>
  </w:style>
  <w:style w:type="paragraph" w:styleId="TOC6">
    <w:name w:val="toc 6"/>
    <w:basedOn w:val="Normal"/>
    <w:next w:val="Normal"/>
    <w:pPr>
      <w:widowControl w:val="0"/>
      <w:tabs>
        <w:tab w:val="left" w:pos="3402"/>
        <w:tab w:val="right" w:leader="dot" w:pos="9639"/>
      </w:tabs>
      <w:spacing w:after="0" w:line="360" w:lineRule="auto"/>
      <w:ind w:left="3402" w:right="567" w:hanging="567"/>
    </w:pPr>
    <w:rPr>
      <w:rFonts w:ascii="Times New Roman" w:eastAsia="Times New Roman" w:hAnsi="Times New Roman" w:cs="Times New Roman"/>
      <w:sz w:val="24"/>
      <w:szCs w:val="20"/>
      <w:lang w:eastAsia="fr-BE"/>
    </w:rPr>
  </w:style>
  <w:style w:type="paragraph" w:styleId="TOC7">
    <w:name w:val="toc 7"/>
    <w:basedOn w:val="Normal"/>
    <w:next w:val="Normal"/>
    <w:pPr>
      <w:widowControl w:val="0"/>
      <w:tabs>
        <w:tab w:val="left" w:pos="3969"/>
        <w:tab w:val="right" w:leader="dot" w:pos="9639"/>
      </w:tabs>
      <w:spacing w:after="0" w:line="360" w:lineRule="auto"/>
      <w:ind w:left="3969" w:right="567" w:hanging="567"/>
    </w:pPr>
    <w:rPr>
      <w:rFonts w:ascii="Times New Roman" w:eastAsia="Times New Roman" w:hAnsi="Times New Roman" w:cs="Times New Roman"/>
      <w:sz w:val="24"/>
      <w:szCs w:val="20"/>
      <w:lang w:eastAsia="fr-BE"/>
    </w:rPr>
  </w:style>
  <w:style w:type="paragraph" w:styleId="TOC8">
    <w:name w:val="toc 8"/>
    <w:basedOn w:val="Normal"/>
    <w:next w:val="Normal"/>
    <w:pPr>
      <w:widowControl w:val="0"/>
      <w:tabs>
        <w:tab w:val="left" w:pos="4536"/>
        <w:tab w:val="right" w:leader="dot" w:pos="9639"/>
      </w:tabs>
      <w:spacing w:after="0" w:line="360" w:lineRule="auto"/>
      <w:ind w:left="4536" w:right="567" w:hanging="567"/>
    </w:pPr>
    <w:rPr>
      <w:rFonts w:ascii="Times New Roman" w:eastAsia="Times New Roman" w:hAnsi="Times New Roman" w:cs="Times New Roman"/>
      <w:sz w:val="24"/>
      <w:szCs w:val="20"/>
      <w:lang w:eastAsia="fr-BE"/>
    </w:rPr>
  </w:style>
  <w:style w:type="paragraph" w:styleId="TOC9">
    <w:name w:val="toc 9"/>
    <w:basedOn w:val="Normal"/>
    <w:next w:val="Normal"/>
    <w:pPr>
      <w:widowControl w:val="0"/>
      <w:tabs>
        <w:tab w:val="left" w:pos="5103"/>
        <w:tab w:val="right" w:leader="dot" w:pos="9639"/>
      </w:tabs>
      <w:spacing w:after="0" w:line="360" w:lineRule="auto"/>
      <w:ind w:left="5103" w:right="567" w:hanging="567"/>
    </w:pPr>
    <w:rPr>
      <w:rFonts w:ascii="Times New Roman" w:eastAsia="Times New Roman" w:hAnsi="Times New Roman" w:cs="Times New Roman"/>
      <w:sz w:val="24"/>
      <w:szCs w:val="20"/>
      <w:lang w:eastAsia="fr-BE"/>
    </w:rPr>
  </w:style>
  <w:style w:type="paragraph" w:styleId="EndnoteText">
    <w:name w:val="endnote text"/>
    <w:basedOn w:val="Normal"/>
    <w:link w:val="EndnoteTextChar"/>
    <w:pPr>
      <w:widowControl w:val="0"/>
      <w:tabs>
        <w:tab w:val="left" w:pos="567"/>
      </w:tabs>
      <w:spacing w:after="0" w:line="240" w:lineRule="auto"/>
      <w:ind w:left="567" w:hanging="567"/>
    </w:pPr>
    <w:rPr>
      <w:rFonts w:ascii="Times New Roman" w:eastAsia="Times New Roman" w:hAnsi="Times New Roman" w:cs="Times New Roman"/>
      <w:sz w:val="24"/>
      <w:szCs w:val="20"/>
      <w:lang w:eastAsia="fr-BE"/>
    </w:rPr>
  </w:style>
  <w:style w:type="character" w:customStyle="1" w:styleId="EndnoteTextChar">
    <w:name w:val="Endnote Text Char"/>
    <w:basedOn w:val="DefaultParagraphFont"/>
    <w:link w:val="EndnoteText"/>
    <w:rPr>
      <w:rFonts w:ascii="Times New Roman" w:eastAsia="Times New Roman" w:hAnsi="Times New Roman" w:cs="Times New Roman"/>
      <w:sz w:val="24"/>
      <w:szCs w:val="20"/>
      <w:lang w:eastAsia="fr-BE"/>
    </w:rPr>
  </w:style>
  <w:style w:type="character" w:styleId="EndnoteReference">
    <w:name w:val="endnote reference"/>
    <w:rPr>
      <w:b/>
      <w:vertAlign w:val="superscript"/>
    </w:rPr>
  </w:style>
  <w:style w:type="paragraph" w:customStyle="1" w:styleId="AC">
    <w:name w:val="AC"/>
    <w:basedOn w:val="Normal"/>
    <w:next w:val="Normal"/>
    <w:pPr>
      <w:widowControl w:val="0"/>
      <w:spacing w:after="0" w:line="360" w:lineRule="auto"/>
    </w:pPr>
    <w:rPr>
      <w:rFonts w:ascii="Times New Roman" w:eastAsia="Times New Roman" w:hAnsi="Times New Roman" w:cs="Times New Roman"/>
      <w:b/>
      <w:sz w:val="40"/>
      <w:szCs w:val="20"/>
      <w:lang w:eastAsia="fr-BE"/>
    </w:rPr>
  </w:style>
  <w:style w:type="character" w:styleId="PageNumber">
    <w:name w:val="page number"/>
    <w:basedOn w:val="DefaultParagraphFont"/>
  </w:style>
  <w:style w:type="paragraph" w:customStyle="1" w:styleId="Par-numberi0">
    <w:name w:val="Par-number (i)"/>
    <w:basedOn w:val="Normal"/>
    <w:next w:val="Normal"/>
    <w:pPr>
      <w:widowControl w:val="0"/>
      <w:numPr>
        <w:numId w:val="1"/>
      </w:numPr>
      <w:tabs>
        <w:tab w:val="clear" w:pos="720"/>
        <w:tab w:val="left" w:pos="567"/>
      </w:tabs>
      <w:spacing w:after="0" w:line="360" w:lineRule="auto"/>
    </w:pPr>
    <w:rPr>
      <w:rFonts w:ascii="Times New Roman" w:eastAsia="Times New Roman" w:hAnsi="Times New Roman" w:cs="Times New Roman"/>
      <w:sz w:val="24"/>
      <w:szCs w:val="20"/>
      <w:lang w:eastAsia="fr-BE"/>
    </w:rPr>
  </w:style>
  <w:style w:type="paragraph" w:customStyle="1" w:styleId="Par-numbera0">
    <w:name w:val="Par-number (a)"/>
    <w:basedOn w:val="Normal"/>
    <w:next w:val="Normal"/>
    <w:pPr>
      <w:widowControl w:val="0"/>
      <w:numPr>
        <w:numId w:val="2"/>
      </w:numPr>
      <w:spacing w:after="0" w:line="360" w:lineRule="auto"/>
    </w:pPr>
    <w:rPr>
      <w:rFonts w:ascii="Times New Roman" w:eastAsia="Times New Roman" w:hAnsi="Times New Roman" w:cs="Times New Roman"/>
      <w:sz w:val="24"/>
      <w:szCs w:val="20"/>
      <w:lang w:eastAsia="fr-BE"/>
    </w:rPr>
  </w:style>
  <w:style w:type="character" w:customStyle="1" w:styleId="DontTranslate">
    <w:name w:val="DontTranslate"/>
    <w:rPr>
      <w:color w:val="auto"/>
    </w:rPr>
  </w:style>
  <w:style w:type="paragraph" w:customStyle="1" w:styleId="AddReference">
    <w:name w:val="Add Reference"/>
    <w:basedOn w:val="Normal"/>
    <w:pPr>
      <w:widowControl w:val="0"/>
      <w:pBdr>
        <w:top w:val="single" w:sz="4" w:space="1" w:color="auto"/>
        <w:left w:val="single" w:sz="4" w:space="4" w:color="auto"/>
        <w:bottom w:val="single" w:sz="4" w:space="1" w:color="auto"/>
        <w:right w:val="single" w:sz="4" w:space="4" w:color="auto"/>
      </w:pBdr>
      <w:spacing w:after="0" w:line="240" w:lineRule="auto"/>
      <w:ind w:left="7655" w:right="-454"/>
    </w:pPr>
    <w:rPr>
      <w:rFonts w:ascii="Times New Roman" w:eastAsia="Times New Roman" w:hAnsi="Times New Roman" w:cs="Times New Roman"/>
      <w:i/>
      <w:sz w:val="20"/>
      <w:szCs w:val="20"/>
    </w:rPr>
  </w:style>
  <w:style w:type="paragraph" w:styleId="BalloonText">
    <w:name w:val="Balloon Text"/>
    <w:basedOn w:val="Normal"/>
    <w:link w:val="BalloonTextChar"/>
    <w:uiPriority w:val="99"/>
    <w:semiHidden/>
    <w:pPr>
      <w:widowControl w:val="0"/>
      <w:spacing w:after="0" w:line="360" w:lineRule="auto"/>
    </w:pPr>
    <w:rPr>
      <w:rFonts w:ascii="Tahoma" w:eastAsia="Times New Roman" w:hAnsi="Tahoma" w:cs="Tahoma"/>
      <w:sz w:val="16"/>
      <w:szCs w:val="16"/>
      <w:lang w:eastAsia="fr-BE"/>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eastAsia="fr-BE"/>
    </w:rPr>
  </w:style>
  <w:style w:type="paragraph" w:customStyle="1" w:styleId="NormalCentered">
    <w:name w:val="Normal Centered"/>
    <w:basedOn w:val="Normal"/>
    <w:pPr>
      <w:spacing w:before="200" w:after="120" w:line="360" w:lineRule="auto"/>
      <w:jc w:val="center"/>
    </w:pPr>
    <w:rPr>
      <w:rFonts w:ascii="Times New Roman" w:eastAsia="Times New Roman" w:hAnsi="Times New Roman" w:cs="Times New Roman"/>
      <w:sz w:val="24"/>
      <w:szCs w:val="24"/>
    </w:rPr>
  </w:style>
  <w:style w:type="paragraph" w:customStyle="1" w:styleId="NormalRight">
    <w:name w:val="Normal Right"/>
    <w:basedOn w:val="Normal"/>
    <w:pPr>
      <w:spacing w:before="200" w:after="120" w:line="360" w:lineRule="auto"/>
      <w:jc w:val="right"/>
    </w:pPr>
    <w:rPr>
      <w:rFonts w:ascii="Times New Roman" w:eastAsia="Times New Roman" w:hAnsi="Times New Roman" w:cs="Times New Roman"/>
      <w:sz w:val="24"/>
      <w:szCs w:val="24"/>
    </w:rPr>
  </w:style>
  <w:style w:type="paragraph" w:customStyle="1" w:styleId="NormalJustified">
    <w:name w:val="Normal Justified"/>
    <w:basedOn w:val="Normal"/>
    <w:pPr>
      <w:spacing w:before="200" w:after="120" w:line="360" w:lineRule="auto"/>
      <w:jc w:val="both"/>
    </w:pPr>
    <w:rPr>
      <w:rFonts w:ascii="Times New Roman" w:eastAsia="Times New Roman" w:hAnsi="Times New Roman" w:cs="Times New Roman"/>
      <w:sz w:val="24"/>
      <w:szCs w:val="24"/>
    </w:rPr>
  </w:style>
  <w:style w:type="paragraph" w:customStyle="1" w:styleId="HeaderLandscape">
    <w:name w:val="HeaderLandscape"/>
    <w:basedOn w:val="Normal"/>
    <w:pPr>
      <w:tabs>
        <w:tab w:val="right" w:pos="14570"/>
      </w:tabs>
      <w:spacing w:before="120" w:after="120" w:line="360" w:lineRule="auto"/>
    </w:pPr>
    <w:rPr>
      <w:rFonts w:ascii="Times New Roman" w:eastAsia="Times New Roman" w:hAnsi="Times New Roman" w:cs="Times New Roman"/>
      <w:sz w:val="24"/>
      <w:szCs w:val="24"/>
    </w:rPr>
  </w:style>
  <w:style w:type="paragraph" w:customStyle="1" w:styleId="HeaderCouncil">
    <w:name w:val="Header Council"/>
    <w:basedOn w:val="Normal"/>
    <w:pPr>
      <w:spacing w:after="0" w:line="240" w:lineRule="auto"/>
    </w:pPr>
    <w:rPr>
      <w:rFonts w:ascii="Times New Roman" w:eastAsia="Times New Roman" w:hAnsi="Times New Roman" w:cs="Times New Roman"/>
      <w:sz w:val="2"/>
      <w:szCs w:val="24"/>
    </w:rPr>
  </w:style>
  <w:style w:type="paragraph" w:customStyle="1" w:styleId="FooterCouncil">
    <w:name w:val="Footer Council"/>
    <w:basedOn w:val="Normal"/>
    <w:pPr>
      <w:spacing w:after="0" w:line="240" w:lineRule="auto"/>
    </w:pPr>
    <w:rPr>
      <w:rFonts w:ascii="Times New Roman" w:eastAsia="Times New Roman" w:hAnsi="Times New Roman" w:cs="Times New Roman"/>
      <w:sz w:val="2"/>
      <w:szCs w:val="24"/>
    </w:rPr>
  </w:style>
  <w:style w:type="paragraph" w:customStyle="1" w:styleId="TechnicalBlock">
    <w:name w:val="Technical Block"/>
    <w:basedOn w:val="Normal"/>
    <w:next w:val="Normal"/>
    <w:link w:val="TechnicalBlockChar"/>
    <w:pPr>
      <w:spacing w:after="240" w:line="240" w:lineRule="auto"/>
      <w:jc w:val="center"/>
    </w:pPr>
    <w:rPr>
      <w:rFonts w:ascii="Times New Roman" w:eastAsia="Times New Roman" w:hAnsi="Times New Roman" w:cs="Times New Roman"/>
      <w:sz w:val="24"/>
      <w:szCs w:val="24"/>
    </w:rPr>
  </w:style>
  <w:style w:type="paragraph" w:customStyle="1" w:styleId="FinalLine">
    <w:name w:val="Final Line"/>
    <w:basedOn w:val="Normal"/>
    <w:next w:val="Normal"/>
    <w:pPr>
      <w:pBdr>
        <w:bottom w:val="single" w:sz="4" w:space="0" w:color="000000"/>
      </w:pBdr>
      <w:spacing w:before="360" w:after="120" w:line="360" w:lineRule="auto"/>
      <w:ind w:left="3400" w:right="3400"/>
      <w:jc w:val="center"/>
    </w:pPr>
    <w:rPr>
      <w:rFonts w:ascii="Times New Roman" w:eastAsia="Times New Roman" w:hAnsi="Times New Roman" w:cs="Times New Roman"/>
      <w:b/>
      <w:sz w:val="24"/>
      <w:szCs w:val="24"/>
    </w:rPr>
  </w:style>
  <w:style w:type="paragraph" w:customStyle="1" w:styleId="FinalLineLandscape">
    <w:name w:val="Final Line (Landscape)"/>
    <w:basedOn w:val="Normal"/>
    <w:next w:val="Normal"/>
    <w:pPr>
      <w:pBdr>
        <w:bottom w:val="single" w:sz="4" w:space="0" w:color="000000"/>
      </w:pBdr>
      <w:spacing w:before="360" w:after="120" w:line="360" w:lineRule="auto"/>
      <w:ind w:left="5868" w:right="5868"/>
      <w:jc w:val="center"/>
    </w:pPr>
    <w:rPr>
      <w:rFonts w:ascii="Times New Roman" w:eastAsia="Times New Roman" w:hAnsi="Times New Roman" w:cs="Times New Roman"/>
      <w:b/>
      <w:sz w:val="24"/>
      <w:szCs w:val="24"/>
    </w:rPr>
  </w:style>
  <w:style w:type="paragraph" w:customStyle="1" w:styleId="Text1">
    <w:name w:val="Text 1"/>
    <w:basedOn w:val="Normal"/>
    <w:pPr>
      <w:spacing w:before="120" w:after="120" w:line="360" w:lineRule="auto"/>
      <w:ind w:left="567"/>
      <w:outlineLvl w:val="0"/>
    </w:pPr>
    <w:rPr>
      <w:rFonts w:ascii="Times New Roman" w:eastAsia="Times New Roman" w:hAnsi="Times New Roman" w:cs="Times New Roman"/>
      <w:sz w:val="24"/>
      <w:szCs w:val="24"/>
    </w:rPr>
  </w:style>
  <w:style w:type="paragraph" w:customStyle="1" w:styleId="Text2">
    <w:name w:val="Text 2"/>
    <w:basedOn w:val="Normal"/>
    <w:pPr>
      <w:spacing w:before="120" w:after="120" w:line="360" w:lineRule="auto"/>
      <w:ind w:left="1134"/>
      <w:outlineLvl w:val="1"/>
    </w:pPr>
    <w:rPr>
      <w:rFonts w:ascii="Times New Roman" w:eastAsia="Times New Roman" w:hAnsi="Times New Roman" w:cs="Times New Roman"/>
      <w:sz w:val="24"/>
      <w:szCs w:val="24"/>
    </w:rPr>
  </w:style>
  <w:style w:type="paragraph" w:customStyle="1" w:styleId="Text3">
    <w:name w:val="Text 3"/>
    <w:basedOn w:val="Normal"/>
    <w:pPr>
      <w:spacing w:before="120" w:after="120" w:line="360" w:lineRule="auto"/>
      <w:ind w:left="1701"/>
      <w:outlineLvl w:val="2"/>
    </w:pPr>
    <w:rPr>
      <w:rFonts w:ascii="Times New Roman" w:eastAsia="Times New Roman" w:hAnsi="Times New Roman" w:cs="Times New Roman"/>
      <w:sz w:val="24"/>
      <w:szCs w:val="24"/>
    </w:rPr>
  </w:style>
  <w:style w:type="paragraph" w:customStyle="1" w:styleId="Text4">
    <w:name w:val="Text 4"/>
    <w:basedOn w:val="Normal"/>
    <w:pPr>
      <w:spacing w:before="120" w:after="120" w:line="360" w:lineRule="auto"/>
      <w:ind w:left="2268"/>
      <w:outlineLvl w:val="3"/>
    </w:pPr>
    <w:rPr>
      <w:rFonts w:ascii="Times New Roman" w:eastAsia="Times New Roman" w:hAnsi="Times New Roman" w:cs="Times New Roman"/>
      <w:sz w:val="24"/>
      <w:szCs w:val="24"/>
    </w:rPr>
  </w:style>
  <w:style w:type="paragraph" w:customStyle="1" w:styleId="Text5">
    <w:name w:val="Text 5"/>
    <w:basedOn w:val="Normal"/>
    <w:pPr>
      <w:spacing w:before="120" w:after="120" w:line="360" w:lineRule="auto"/>
      <w:ind w:left="2835"/>
      <w:outlineLvl w:val="4"/>
    </w:pPr>
    <w:rPr>
      <w:rFonts w:ascii="Times New Roman" w:eastAsia="Times New Roman" w:hAnsi="Times New Roman" w:cs="Times New Roman"/>
      <w:sz w:val="24"/>
      <w:szCs w:val="24"/>
    </w:rPr>
  </w:style>
  <w:style w:type="paragraph" w:customStyle="1" w:styleId="Text6">
    <w:name w:val="Text 6"/>
    <w:basedOn w:val="Normal"/>
    <w:pPr>
      <w:spacing w:before="120" w:after="120" w:line="360" w:lineRule="auto"/>
      <w:ind w:left="3402"/>
      <w:outlineLvl w:val="5"/>
    </w:pPr>
    <w:rPr>
      <w:rFonts w:ascii="Times New Roman" w:eastAsia="Times New Roman" w:hAnsi="Times New Roman" w:cs="Times New Roman"/>
      <w:sz w:val="24"/>
      <w:szCs w:val="24"/>
    </w:rPr>
  </w:style>
  <w:style w:type="paragraph" w:customStyle="1" w:styleId="PointManual">
    <w:name w:val="Point Manual"/>
    <w:basedOn w:val="Normal"/>
    <w:pPr>
      <w:spacing w:before="120" w:after="120" w:line="360" w:lineRule="auto"/>
      <w:ind w:left="567" w:hanging="567"/>
    </w:pPr>
    <w:rPr>
      <w:rFonts w:ascii="Times New Roman" w:eastAsia="Times New Roman" w:hAnsi="Times New Roman" w:cs="Times New Roman"/>
      <w:sz w:val="24"/>
      <w:szCs w:val="24"/>
    </w:rPr>
  </w:style>
  <w:style w:type="paragraph" w:customStyle="1" w:styleId="PointManual1">
    <w:name w:val="Point Manual (1)"/>
    <w:basedOn w:val="Normal"/>
    <w:pPr>
      <w:spacing w:before="120" w:after="120" w:line="360" w:lineRule="auto"/>
      <w:ind w:left="1134" w:hanging="567"/>
      <w:outlineLvl w:val="0"/>
    </w:pPr>
    <w:rPr>
      <w:rFonts w:ascii="Times New Roman" w:eastAsia="Times New Roman" w:hAnsi="Times New Roman" w:cs="Times New Roman"/>
      <w:sz w:val="24"/>
      <w:szCs w:val="24"/>
    </w:rPr>
  </w:style>
  <w:style w:type="paragraph" w:customStyle="1" w:styleId="PointManual2">
    <w:name w:val="Point Manual (2)"/>
    <w:basedOn w:val="Normal"/>
    <w:pPr>
      <w:spacing w:before="120" w:after="120" w:line="360" w:lineRule="auto"/>
      <w:ind w:left="1701" w:hanging="567"/>
      <w:outlineLvl w:val="1"/>
    </w:pPr>
    <w:rPr>
      <w:rFonts w:ascii="Times New Roman" w:eastAsia="Times New Roman" w:hAnsi="Times New Roman" w:cs="Times New Roman"/>
      <w:sz w:val="24"/>
      <w:szCs w:val="24"/>
    </w:rPr>
  </w:style>
  <w:style w:type="paragraph" w:customStyle="1" w:styleId="PointManual3">
    <w:name w:val="Point Manual (3)"/>
    <w:basedOn w:val="Normal"/>
    <w:pPr>
      <w:spacing w:before="120" w:after="120" w:line="360" w:lineRule="auto"/>
      <w:ind w:left="2268" w:hanging="567"/>
      <w:outlineLvl w:val="2"/>
    </w:pPr>
    <w:rPr>
      <w:rFonts w:ascii="Times New Roman" w:eastAsia="Times New Roman" w:hAnsi="Times New Roman" w:cs="Times New Roman"/>
      <w:sz w:val="24"/>
      <w:szCs w:val="24"/>
    </w:rPr>
  </w:style>
  <w:style w:type="paragraph" w:customStyle="1" w:styleId="PointManual4">
    <w:name w:val="Point Manual (4)"/>
    <w:basedOn w:val="Normal"/>
    <w:pPr>
      <w:spacing w:before="120" w:after="120" w:line="360" w:lineRule="auto"/>
      <w:ind w:left="2835" w:hanging="567"/>
      <w:outlineLvl w:val="3"/>
    </w:pPr>
    <w:rPr>
      <w:rFonts w:ascii="Times New Roman" w:eastAsia="Times New Roman" w:hAnsi="Times New Roman" w:cs="Times New Roman"/>
      <w:sz w:val="24"/>
      <w:szCs w:val="24"/>
    </w:rPr>
  </w:style>
  <w:style w:type="paragraph" w:customStyle="1" w:styleId="PointDoubleManual">
    <w:name w:val="Point Double Manual"/>
    <w:basedOn w:val="Normal"/>
    <w:pPr>
      <w:tabs>
        <w:tab w:val="left" w:pos="567"/>
      </w:tabs>
      <w:spacing w:before="120" w:after="120" w:line="360" w:lineRule="auto"/>
      <w:ind w:left="1134" w:hanging="1134"/>
    </w:pPr>
    <w:rPr>
      <w:rFonts w:ascii="Times New Roman" w:eastAsia="Times New Roman" w:hAnsi="Times New Roman" w:cs="Times New Roman"/>
      <w:sz w:val="24"/>
      <w:szCs w:val="24"/>
    </w:rPr>
  </w:style>
  <w:style w:type="paragraph" w:customStyle="1" w:styleId="PointDoubleManual1">
    <w:name w:val="Point Double Manual (1)"/>
    <w:basedOn w:val="Normal"/>
    <w:pPr>
      <w:tabs>
        <w:tab w:val="left" w:pos="1134"/>
      </w:tabs>
      <w:spacing w:before="120" w:after="120" w:line="360" w:lineRule="auto"/>
      <w:ind w:left="1701" w:hanging="1134"/>
      <w:outlineLvl w:val="0"/>
    </w:pPr>
    <w:rPr>
      <w:rFonts w:ascii="Times New Roman" w:eastAsia="Times New Roman" w:hAnsi="Times New Roman" w:cs="Times New Roman"/>
      <w:sz w:val="24"/>
      <w:szCs w:val="24"/>
    </w:rPr>
  </w:style>
  <w:style w:type="paragraph" w:customStyle="1" w:styleId="PointDoubleManual2">
    <w:name w:val="Point Double Manual (2)"/>
    <w:basedOn w:val="Normal"/>
    <w:pPr>
      <w:tabs>
        <w:tab w:val="left" w:pos="1701"/>
      </w:tabs>
      <w:spacing w:before="120" w:after="120" w:line="360" w:lineRule="auto"/>
      <w:ind w:left="2268" w:hanging="1134"/>
      <w:outlineLvl w:val="1"/>
    </w:pPr>
    <w:rPr>
      <w:rFonts w:ascii="Times New Roman" w:eastAsia="Times New Roman" w:hAnsi="Times New Roman" w:cs="Times New Roman"/>
      <w:sz w:val="24"/>
      <w:szCs w:val="24"/>
    </w:rPr>
  </w:style>
  <w:style w:type="paragraph" w:customStyle="1" w:styleId="PointDoubleManual3">
    <w:name w:val="Point Double Manual (3)"/>
    <w:basedOn w:val="Normal"/>
    <w:pPr>
      <w:tabs>
        <w:tab w:val="left" w:pos="2268"/>
      </w:tabs>
      <w:spacing w:before="120" w:after="120" w:line="360" w:lineRule="auto"/>
      <w:ind w:left="2835" w:hanging="1134"/>
      <w:outlineLvl w:val="2"/>
    </w:pPr>
    <w:rPr>
      <w:rFonts w:ascii="Times New Roman" w:eastAsia="Times New Roman" w:hAnsi="Times New Roman" w:cs="Times New Roman"/>
      <w:sz w:val="24"/>
      <w:szCs w:val="24"/>
    </w:rPr>
  </w:style>
  <w:style w:type="paragraph" w:customStyle="1" w:styleId="PointDoubleManual4">
    <w:name w:val="Point Double Manual (4)"/>
    <w:basedOn w:val="Normal"/>
    <w:pPr>
      <w:tabs>
        <w:tab w:val="left" w:pos="2835"/>
      </w:tabs>
      <w:spacing w:before="120" w:after="120" w:line="360" w:lineRule="auto"/>
      <w:ind w:left="3402" w:hanging="1134"/>
      <w:outlineLvl w:val="3"/>
    </w:pPr>
    <w:rPr>
      <w:rFonts w:ascii="Times New Roman" w:eastAsia="Times New Roman" w:hAnsi="Times New Roman" w:cs="Times New Roman"/>
      <w:sz w:val="24"/>
      <w:szCs w:val="24"/>
    </w:rPr>
  </w:style>
  <w:style w:type="paragraph" w:customStyle="1" w:styleId="Pointabc">
    <w:name w:val="Point abc"/>
    <w:basedOn w:val="Normal"/>
    <w:pPr>
      <w:numPr>
        <w:ilvl w:val="1"/>
        <w:numId w:val="27"/>
      </w:numPr>
      <w:spacing w:before="120" w:after="120" w:line="360" w:lineRule="auto"/>
    </w:pPr>
    <w:rPr>
      <w:rFonts w:ascii="Times New Roman" w:eastAsia="Times New Roman" w:hAnsi="Times New Roman" w:cs="Times New Roman"/>
      <w:sz w:val="24"/>
      <w:szCs w:val="24"/>
    </w:rPr>
  </w:style>
  <w:style w:type="paragraph" w:customStyle="1" w:styleId="Pointabc1">
    <w:name w:val="Point abc (1)"/>
    <w:basedOn w:val="Normal"/>
    <w:pPr>
      <w:numPr>
        <w:ilvl w:val="3"/>
        <w:numId w:val="27"/>
      </w:numPr>
      <w:spacing w:before="120" w:after="120" w:line="360" w:lineRule="auto"/>
      <w:outlineLvl w:val="0"/>
    </w:pPr>
    <w:rPr>
      <w:rFonts w:ascii="Times New Roman" w:eastAsia="Times New Roman" w:hAnsi="Times New Roman" w:cs="Times New Roman"/>
      <w:sz w:val="24"/>
      <w:szCs w:val="24"/>
    </w:rPr>
  </w:style>
  <w:style w:type="paragraph" w:customStyle="1" w:styleId="Pointabc2">
    <w:name w:val="Point abc (2)"/>
    <w:basedOn w:val="Normal"/>
    <w:pPr>
      <w:numPr>
        <w:ilvl w:val="5"/>
        <w:numId w:val="27"/>
      </w:numPr>
      <w:spacing w:before="120" w:after="120" w:line="360" w:lineRule="auto"/>
      <w:outlineLvl w:val="1"/>
    </w:pPr>
    <w:rPr>
      <w:rFonts w:ascii="Times New Roman" w:eastAsia="Times New Roman" w:hAnsi="Times New Roman" w:cs="Times New Roman"/>
      <w:sz w:val="24"/>
      <w:szCs w:val="24"/>
    </w:rPr>
  </w:style>
  <w:style w:type="paragraph" w:customStyle="1" w:styleId="Pointabc3">
    <w:name w:val="Point abc (3)"/>
    <w:basedOn w:val="Normal"/>
    <w:pPr>
      <w:numPr>
        <w:ilvl w:val="7"/>
        <w:numId w:val="27"/>
      </w:numPr>
      <w:spacing w:before="120" w:after="120" w:line="360" w:lineRule="auto"/>
      <w:outlineLvl w:val="2"/>
    </w:pPr>
    <w:rPr>
      <w:rFonts w:ascii="Times New Roman" w:eastAsia="Times New Roman" w:hAnsi="Times New Roman" w:cs="Times New Roman"/>
      <w:sz w:val="24"/>
      <w:szCs w:val="24"/>
    </w:rPr>
  </w:style>
  <w:style w:type="paragraph" w:customStyle="1" w:styleId="Pointabc4">
    <w:name w:val="Point abc (4)"/>
    <w:basedOn w:val="Normal"/>
    <w:pPr>
      <w:numPr>
        <w:ilvl w:val="8"/>
        <w:numId w:val="27"/>
      </w:numPr>
      <w:spacing w:before="120" w:after="120" w:line="360" w:lineRule="auto"/>
      <w:outlineLvl w:val="3"/>
    </w:pPr>
    <w:rPr>
      <w:rFonts w:ascii="Times New Roman" w:eastAsia="Times New Roman" w:hAnsi="Times New Roman" w:cs="Times New Roman"/>
      <w:sz w:val="24"/>
      <w:szCs w:val="24"/>
    </w:rPr>
  </w:style>
  <w:style w:type="paragraph" w:customStyle="1" w:styleId="Point123">
    <w:name w:val="Point 123"/>
    <w:basedOn w:val="Normal"/>
    <w:pPr>
      <w:numPr>
        <w:numId w:val="27"/>
      </w:numPr>
      <w:spacing w:before="120" w:after="120" w:line="360" w:lineRule="auto"/>
    </w:pPr>
    <w:rPr>
      <w:rFonts w:ascii="Times New Roman" w:eastAsia="Times New Roman" w:hAnsi="Times New Roman" w:cs="Times New Roman"/>
      <w:sz w:val="24"/>
      <w:szCs w:val="24"/>
    </w:rPr>
  </w:style>
  <w:style w:type="paragraph" w:customStyle="1" w:styleId="Point1231">
    <w:name w:val="Point 123 (1)"/>
    <w:basedOn w:val="Normal"/>
    <w:pPr>
      <w:numPr>
        <w:ilvl w:val="2"/>
        <w:numId w:val="27"/>
      </w:numPr>
      <w:spacing w:before="120" w:after="120" w:line="360" w:lineRule="auto"/>
      <w:outlineLvl w:val="0"/>
    </w:pPr>
    <w:rPr>
      <w:rFonts w:ascii="Times New Roman" w:eastAsia="Times New Roman" w:hAnsi="Times New Roman" w:cs="Times New Roman"/>
      <w:sz w:val="24"/>
      <w:szCs w:val="24"/>
    </w:rPr>
  </w:style>
  <w:style w:type="paragraph" w:customStyle="1" w:styleId="Point1232">
    <w:name w:val="Point 123 (2)"/>
    <w:basedOn w:val="Normal"/>
    <w:pPr>
      <w:numPr>
        <w:ilvl w:val="4"/>
        <w:numId w:val="27"/>
      </w:numPr>
      <w:spacing w:before="120" w:after="120" w:line="360" w:lineRule="auto"/>
      <w:outlineLvl w:val="1"/>
    </w:pPr>
    <w:rPr>
      <w:rFonts w:ascii="Times New Roman" w:eastAsia="Times New Roman" w:hAnsi="Times New Roman" w:cs="Times New Roman"/>
      <w:sz w:val="24"/>
      <w:szCs w:val="24"/>
    </w:rPr>
  </w:style>
  <w:style w:type="paragraph" w:customStyle="1" w:styleId="Point1233">
    <w:name w:val="Point 123 (3)"/>
    <w:basedOn w:val="Normal"/>
    <w:pPr>
      <w:numPr>
        <w:ilvl w:val="6"/>
        <w:numId w:val="27"/>
      </w:numPr>
      <w:spacing w:before="120" w:after="120" w:line="360" w:lineRule="auto"/>
      <w:outlineLvl w:val="2"/>
    </w:pPr>
    <w:rPr>
      <w:rFonts w:ascii="Times New Roman" w:eastAsia="Times New Roman" w:hAnsi="Times New Roman" w:cs="Times New Roman"/>
      <w:sz w:val="24"/>
      <w:szCs w:val="24"/>
    </w:rPr>
  </w:style>
  <w:style w:type="paragraph" w:customStyle="1" w:styleId="Pointivx">
    <w:name w:val="Point ivx"/>
    <w:basedOn w:val="Normal"/>
    <w:pPr>
      <w:numPr>
        <w:numId w:val="28"/>
      </w:numPr>
      <w:spacing w:before="120" w:after="120" w:line="360" w:lineRule="auto"/>
    </w:pPr>
    <w:rPr>
      <w:rFonts w:ascii="Times New Roman" w:eastAsia="Times New Roman" w:hAnsi="Times New Roman" w:cs="Times New Roman"/>
      <w:sz w:val="24"/>
      <w:szCs w:val="24"/>
    </w:rPr>
  </w:style>
  <w:style w:type="paragraph" w:customStyle="1" w:styleId="Pointivx1">
    <w:name w:val="Point ivx (1)"/>
    <w:basedOn w:val="Normal"/>
    <w:pPr>
      <w:numPr>
        <w:ilvl w:val="1"/>
        <w:numId w:val="28"/>
      </w:numPr>
      <w:spacing w:before="120" w:after="120" w:line="360" w:lineRule="auto"/>
      <w:outlineLvl w:val="0"/>
    </w:pPr>
    <w:rPr>
      <w:rFonts w:ascii="Times New Roman" w:eastAsia="Times New Roman" w:hAnsi="Times New Roman" w:cs="Times New Roman"/>
      <w:sz w:val="24"/>
      <w:szCs w:val="24"/>
    </w:rPr>
  </w:style>
  <w:style w:type="paragraph" w:customStyle="1" w:styleId="Pointivx2">
    <w:name w:val="Point ivx (2)"/>
    <w:basedOn w:val="Normal"/>
    <w:pPr>
      <w:numPr>
        <w:ilvl w:val="2"/>
        <w:numId w:val="28"/>
      </w:numPr>
      <w:spacing w:before="120" w:after="120" w:line="360" w:lineRule="auto"/>
      <w:outlineLvl w:val="1"/>
    </w:pPr>
    <w:rPr>
      <w:rFonts w:ascii="Times New Roman" w:eastAsia="Times New Roman" w:hAnsi="Times New Roman" w:cs="Times New Roman"/>
      <w:sz w:val="24"/>
      <w:szCs w:val="24"/>
    </w:rPr>
  </w:style>
  <w:style w:type="paragraph" w:customStyle="1" w:styleId="Pointivx3">
    <w:name w:val="Point ivx (3)"/>
    <w:basedOn w:val="Normal"/>
    <w:pPr>
      <w:numPr>
        <w:ilvl w:val="3"/>
        <w:numId w:val="28"/>
      </w:numPr>
      <w:spacing w:before="120" w:after="120" w:line="360" w:lineRule="auto"/>
      <w:outlineLvl w:val="2"/>
    </w:pPr>
    <w:rPr>
      <w:rFonts w:ascii="Times New Roman" w:eastAsia="Times New Roman" w:hAnsi="Times New Roman" w:cs="Times New Roman"/>
      <w:sz w:val="24"/>
      <w:szCs w:val="24"/>
    </w:rPr>
  </w:style>
  <w:style w:type="paragraph" w:customStyle="1" w:styleId="Pointivx4">
    <w:name w:val="Point ivx (4)"/>
    <w:basedOn w:val="Normal"/>
    <w:pPr>
      <w:numPr>
        <w:ilvl w:val="4"/>
        <w:numId w:val="28"/>
      </w:numPr>
      <w:spacing w:before="120" w:after="120" w:line="360" w:lineRule="auto"/>
      <w:outlineLvl w:val="3"/>
    </w:pPr>
    <w:rPr>
      <w:rFonts w:ascii="Times New Roman" w:eastAsia="Times New Roman" w:hAnsi="Times New Roman" w:cs="Times New Roman"/>
      <w:sz w:val="24"/>
      <w:szCs w:val="24"/>
    </w:rPr>
  </w:style>
  <w:style w:type="paragraph" w:customStyle="1" w:styleId="Bullet">
    <w:name w:val="Bullet"/>
    <w:basedOn w:val="Normal"/>
    <w:pPr>
      <w:numPr>
        <w:numId w:val="22"/>
      </w:numPr>
      <w:spacing w:before="120" w:after="120" w:line="360" w:lineRule="auto"/>
    </w:pPr>
    <w:rPr>
      <w:rFonts w:ascii="Times New Roman" w:eastAsia="Times New Roman" w:hAnsi="Times New Roman" w:cs="Times New Roman"/>
      <w:sz w:val="24"/>
      <w:szCs w:val="24"/>
    </w:rPr>
  </w:style>
  <w:style w:type="paragraph" w:customStyle="1" w:styleId="Bullet1">
    <w:name w:val="Bullet 1"/>
    <w:basedOn w:val="Normal"/>
    <w:pPr>
      <w:numPr>
        <w:numId w:val="23"/>
      </w:numPr>
      <w:spacing w:before="120" w:after="120" w:line="360" w:lineRule="auto"/>
      <w:outlineLvl w:val="0"/>
    </w:pPr>
    <w:rPr>
      <w:rFonts w:ascii="Times New Roman" w:eastAsia="Times New Roman" w:hAnsi="Times New Roman" w:cs="Times New Roman"/>
      <w:sz w:val="24"/>
      <w:szCs w:val="24"/>
    </w:rPr>
  </w:style>
  <w:style w:type="paragraph" w:customStyle="1" w:styleId="Bullet2">
    <w:name w:val="Bullet 2"/>
    <w:basedOn w:val="Normal"/>
    <w:pPr>
      <w:numPr>
        <w:numId w:val="24"/>
      </w:numPr>
      <w:spacing w:before="120" w:after="120" w:line="360" w:lineRule="auto"/>
      <w:outlineLvl w:val="1"/>
    </w:pPr>
    <w:rPr>
      <w:rFonts w:ascii="Times New Roman" w:eastAsia="Times New Roman" w:hAnsi="Times New Roman" w:cs="Times New Roman"/>
      <w:sz w:val="24"/>
      <w:szCs w:val="24"/>
    </w:rPr>
  </w:style>
  <w:style w:type="paragraph" w:customStyle="1" w:styleId="Bullet3">
    <w:name w:val="Bullet 3"/>
    <w:basedOn w:val="Normal"/>
    <w:pPr>
      <w:numPr>
        <w:numId w:val="25"/>
      </w:numPr>
      <w:spacing w:before="120" w:after="120" w:line="360" w:lineRule="auto"/>
      <w:outlineLvl w:val="2"/>
    </w:pPr>
    <w:rPr>
      <w:rFonts w:ascii="Times New Roman" w:eastAsia="Times New Roman" w:hAnsi="Times New Roman" w:cs="Times New Roman"/>
      <w:sz w:val="24"/>
      <w:szCs w:val="24"/>
    </w:rPr>
  </w:style>
  <w:style w:type="paragraph" w:customStyle="1" w:styleId="Bullet4">
    <w:name w:val="Bullet 4"/>
    <w:basedOn w:val="Normal"/>
    <w:pPr>
      <w:numPr>
        <w:numId w:val="26"/>
      </w:numPr>
      <w:spacing w:before="120" w:after="120" w:line="360" w:lineRule="auto"/>
      <w:outlineLvl w:val="3"/>
    </w:pPr>
    <w:rPr>
      <w:rFonts w:ascii="Times New Roman" w:eastAsia="Times New Roman" w:hAnsi="Times New Roman" w:cs="Times New Roman"/>
      <w:sz w:val="24"/>
      <w:szCs w:val="24"/>
    </w:rPr>
  </w:style>
  <w:style w:type="paragraph" w:customStyle="1" w:styleId="Dash">
    <w:name w:val="Dash"/>
    <w:basedOn w:val="Normal"/>
    <w:pPr>
      <w:numPr>
        <w:numId w:val="12"/>
      </w:numPr>
      <w:spacing w:before="120" w:after="120" w:line="360" w:lineRule="auto"/>
    </w:pPr>
    <w:rPr>
      <w:rFonts w:ascii="Times New Roman" w:eastAsia="Times New Roman" w:hAnsi="Times New Roman" w:cs="Times New Roman"/>
      <w:sz w:val="24"/>
      <w:szCs w:val="24"/>
    </w:rPr>
  </w:style>
  <w:style w:type="paragraph" w:customStyle="1" w:styleId="Dash1">
    <w:name w:val="Dash 1"/>
    <w:basedOn w:val="Normal"/>
    <w:pPr>
      <w:numPr>
        <w:numId w:val="13"/>
      </w:numPr>
      <w:spacing w:before="120" w:after="120" w:line="360" w:lineRule="auto"/>
      <w:outlineLvl w:val="0"/>
    </w:pPr>
    <w:rPr>
      <w:rFonts w:ascii="Times New Roman" w:eastAsia="Times New Roman" w:hAnsi="Times New Roman" w:cs="Times New Roman"/>
      <w:sz w:val="24"/>
      <w:szCs w:val="24"/>
    </w:rPr>
  </w:style>
  <w:style w:type="paragraph" w:customStyle="1" w:styleId="Dash2">
    <w:name w:val="Dash 2"/>
    <w:basedOn w:val="Normal"/>
    <w:pPr>
      <w:numPr>
        <w:numId w:val="14"/>
      </w:numPr>
      <w:spacing w:before="120" w:after="120" w:line="360" w:lineRule="auto"/>
      <w:outlineLvl w:val="1"/>
    </w:pPr>
    <w:rPr>
      <w:rFonts w:ascii="Times New Roman" w:eastAsia="Times New Roman" w:hAnsi="Times New Roman" w:cs="Times New Roman"/>
      <w:sz w:val="24"/>
      <w:szCs w:val="24"/>
    </w:rPr>
  </w:style>
  <w:style w:type="paragraph" w:customStyle="1" w:styleId="Dash3">
    <w:name w:val="Dash 3"/>
    <w:basedOn w:val="Normal"/>
    <w:pPr>
      <w:numPr>
        <w:numId w:val="15"/>
      </w:numPr>
      <w:spacing w:before="120" w:after="120" w:line="360" w:lineRule="auto"/>
      <w:outlineLvl w:val="2"/>
    </w:pPr>
    <w:rPr>
      <w:rFonts w:ascii="Times New Roman" w:eastAsia="Times New Roman" w:hAnsi="Times New Roman" w:cs="Times New Roman"/>
      <w:sz w:val="24"/>
      <w:szCs w:val="24"/>
    </w:rPr>
  </w:style>
  <w:style w:type="paragraph" w:customStyle="1" w:styleId="Dash4">
    <w:name w:val="Dash 4"/>
    <w:basedOn w:val="Normal"/>
    <w:pPr>
      <w:numPr>
        <w:numId w:val="16"/>
      </w:numPr>
      <w:spacing w:before="120" w:after="120" w:line="360" w:lineRule="auto"/>
      <w:outlineLvl w:val="3"/>
    </w:pPr>
    <w:rPr>
      <w:rFonts w:ascii="Times New Roman" w:eastAsia="Times New Roman" w:hAnsi="Times New Roman" w:cs="Times New Roman"/>
      <w:sz w:val="24"/>
      <w:szCs w:val="24"/>
    </w:rPr>
  </w:style>
  <w:style w:type="paragraph" w:customStyle="1" w:styleId="DashEqual">
    <w:name w:val="Dash Equal"/>
    <w:basedOn w:val="Dash"/>
    <w:pPr>
      <w:numPr>
        <w:numId w:val="17"/>
      </w:numPr>
    </w:pPr>
  </w:style>
  <w:style w:type="paragraph" w:customStyle="1" w:styleId="DashEqual1">
    <w:name w:val="Dash Equal 1"/>
    <w:basedOn w:val="Dash1"/>
    <w:pPr>
      <w:numPr>
        <w:numId w:val="18"/>
      </w:numPr>
    </w:pPr>
  </w:style>
  <w:style w:type="paragraph" w:customStyle="1" w:styleId="DashEqual2">
    <w:name w:val="Dash Equal 2"/>
    <w:basedOn w:val="Dash2"/>
    <w:pPr>
      <w:numPr>
        <w:numId w:val="19"/>
      </w:numPr>
    </w:pPr>
  </w:style>
  <w:style w:type="paragraph" w:customStyle="1" w:styleId="DashEqual3">
    <w:name w:val="Dash Equal 3"/>
    <w:basedOn w:val="Dash3"/>
    <w:pPr>
      <w:numPr>
        <w:numId w:val="20"/>
      </w:numPr>
    </w:pPr>
  </w:style>
  <w:style w:type="paragraph" w:customStyle="1" w:styleId="DashEqual4">
    <w:name w:val="Dash Equal 4"/>
    <w:basedOn w:val="Dash4"/>
    <w:pPr>
      <w:numPr>
        <w:numId w:val="21"/>
      </w:numPr>
    </w:pPr>
  </w:style>
  <w:style w:type="character" w:customStyle="1" w:styleId="Marker1">
    <w:name w:val="Marker1"/>
    <w:rPr>
      <w:color w:val="008000"/>
      <w:shd w:val="clear" w:color="auto" w:fill="auto"/>
    </w:rPr>
  </w:style>
  <w:style w:type="paragraph" w:customStyle="1" w:styleId="HeadingLeft">
    <w:name w:val="Heading Left"/>
    <w:basedOn w:val="Normal"/>
    <w:next w:val="Normal"/>
    <w:pPr>
      <w:spacing w:before="360" w:after="120" w:line="360" w:lineRule="auto"/>
      <w:outlineLvl w:val="0"/>
    </w:pPr>
    <w:rPr>
      <w:rFonts w:ascii="Times New Roman" w:eastAsia="Times New Roman" w:hAnsi="Times New Roman" w:cs="Times New Roman"/>
      <w:b/>
      <w:caps/>
      <w:sz w:val="24"/>
      <w:szCs w:val="24"/>
      <w:u w:val="single"/>
    </w:rPr>
  </w:style>
  <w:style w:type="paragraph" w:customStyle="1" w:styleId="HeadingIVX">
    <w:name w:val="Heading IVX"/>
    <w:basedOn w:val="HeadingLeft"/>
    <w:next w:val="Normal"/>
    <w:pPr>
      <w:numPr>
        <w:numId w:val="31"/>
      </w:numPr>
    </w:pPr>
  </w:style>
  <w:style w:type="paragraph" w:customStyle="1" w:styleId="Heading123">
    <w:name w:val="Heading 123"/>
    <w:basedOn w:val="HeadingLeft"/>
    <w:next w:val="Normal"/>
    <w:pPr>
      <w:numPr>
        <w:numId w:val="30"/>
      </w:numPr>
    </w:pPr>
  </w:style>
  <w:style w:type="paragraph" w:customStyle="1" w:styleId="HeadingABC">
    <w:name w:val="Heading ABC"/>
    <w:basedOn w:val="HeadingLeft"/>
    <w:next w:val="Normal"/>
    <w:pPr>
      <w:numPr>
        <w:numId w:val="29"/>
      </w:numPr>
    </w:pPr>
  </w:style>
  <w:style w:type="paragraph" w:customStyle="1" w:styleId="HeadingCentered">
    <w:name w:val="Heading Centered"/>
    <w:basedOn w:val="HeadingLeft"/>
    <w:next w:val="Normal"/>
    <w:pPr>
      <w:jc w:val="center"/>
    </w:pPr>
  </w:style>
  <w:style w:type="paragraph" w:customStyle="1" w:styleId="Amendment">
    <w:name w:val="Amendment"/>
    <w:basedOn w:val="Normal"/>
    <w:next w:val="Normal"/>
    <w:pPr>
      <w:spacing w:before="120" w:after="120" w:line="360" w:lineRule="auto"/>
    </w:pPr>
    <w:rPr>
      <w:rFonts w:ascii="Times New Roman" w:eastAsia="Times New Roman" w:hAnsi="Times New Roman" w:cs="Times New Roman"/>
      <w:i/>
      <w:sz w:val="24"/>
      <w:szCs w:val="24"/>
      <w:u w:val="single"/>
    </w:rPr>
  </w:style>
  <w:style w:type="paragraph" w:customStyle="1" w:styleId="AmendmentList">
    <w:name w:val="Amendment List"/>
    <w:basedOn w:val="Normal"/>
    <w:pPr>
      <w:spacing w:before="120" w:after="120" w:line="360" w:lineRule="auto"/>
      <w:ind w:left="2268" w:hanging="2268"/>
    </w:pPr>
    <w:rPr>
      <w:rFonts w:ascii="Times New Roman" w:eastAsia="Times New Roman" w:hAnsi="Times New Roman" w:cs="Times New Roman"/>
      <w:sz w:val="24"/>
      <w:szCs w:val="24"/>
    </w:rPr>
  </w:style>
  <w:style w:type="paragraph" w:customStyle="1" w:styleId="ReplyRE">
    <w:name w:val="Reply RE"/>
    <w:basedOn w:val="Normal"/>
    <w:next w:val="Normal"/>
    <w:pPr>
      <w:spacing w:before="120" w:after="480" w:line="240" w:lineRule="auto"/>
      <w:contextualSpacing/>
    </w:pPr>
    <w:rPr>
      <w:rFonts w:ascii="Times New Roman" w:eastAsia="Times New Roman" w:hAnsi="Times New Roman" w:cs="Times New Roman"/>
      <w:sz w:val="24"/>
      <w:szCs w:val="24"/>
    </w:rPr>
  </w:style>
  <w:style w:type="paragraph" w:customStyle="1" w:styleId="ReplyBold">
    <w:name w:val="Reply Bold"/>
    <w:basedOn w:val="ReplyRE"/>
    <w:next w:val="Normal"/>
    <w:rPr>
      <w:b/>
    </w:rPr>
  </w:style>
  <w:style w:type="paragraph" w:customStyle="1" w:styleId="Annex">
    <w:name w:val="Annex"/>
    <w:basedOn w:val="Normal"/>
    <w:next w:val="Normal"/>
    <w:pPr>
      <w:spacing w:before="120" w:after="120" w:line="360" w:lineRule="auto"/>
      <w:jc w:val="right"/>
    </w:pPr>
    <w:rPr>
      <w:rFonts w:ascii="Times New Roman" w:eastAsia="Times New Roman" w:hAnsi="Times New Roman" w:cs="Times New Roman"/>
      <w:b/>
      <w:sz w:val="24"/>
      <w:szCs w:val="24"/>
      <w:u w:val="single"/>
    </w:rPr>
  </w:style>
  <w:style w:type="paragraph" w:customStyle="1" w:styleId="Sign">
    <w:name w:val="Sign"/>
    <w:basedOn w:val="Normal"/>
    <w:pPr>
      <w:tabs>
        <w:tab w:val="center" w:pos="7087"/>
      </w:tabs>
      <w:spacing w:before="120" w:after="120" w:line="360" w:lineRule="auto"/>
    </w:pPr>
    <w:rPr>
      <w:rFonts w:ascii="Times New Roman" w:eastAsia="Times New Roman" w:hAnsi="Times New Roman" w:cs="Times New Roman"/>
      <w:sz w:val="24"/>
      <w:szCs w:val="24"/>
    </w:rPr>
  </w:style>
  <w:style w:type="paragraph" w:customStyle="1" w:styleId="NotDeclassified">
    <w:name w:val="Not Declassified"/>
    <w:basedOn w:val="Normal"/>
    <w:qFormat/>
    <w:pPr>
      <w:spacing w:before="120" w:after="120" w:line="360" w:lineRule="auto"/>
    </w:pPr>
    <w:rPr>
      <w:rFonts w:ascii="Times New Roman" w:eastAsia="Times New Roman" w:hAnsi="Times New Roman" w:cs="Times New Roman"/>
      <w:b/>
      <w:bCs/>
      <w:sz w:val="24"/>
      <w:szCs w:val="24"/>
      <w:bdr w:val="single" w:sz="4" w:space="0" w:color="auto"/>
      <w:shd w:val="solid" w:color="CCCCCC" w:fill="CCCCCC"/>
      <w:lang w:val="de-LU"/>
    </w:rPr>
  </w:style>
  <w:style w:type="paragraph" w:customStyle="1" w:styleId="HeaderCouncilLarge">
    <w:name w:val="Header Council Large"/>
    <w:basedOn w:val="Normal"/>
    <w:link w:val="HeaderCouncilLargeChar"/>
    <w:pPr>
      <w:spacing w:after="440" w:line="360" w:lineRule="auto"/>
      <w:ind w:left="-1134" w:right="-1134"/>
    </w:pPr>
    <w:rPr>
      <w:rFonts w:ascii="Times New Roman" w:eastAsia="Times New Roman" w:hAnsi="Times New Roman" w:cs="Times New Roman"/>
      <w:sz w:val="2"/>
      <w:szCs w:val="24"/>
    </w:rPr>
  </w:style>
  <w:style w:type="character" w:customStyle="1" w:styleId="TechnicalBlockChar">
    <w:name w:val="Technical Block Char"/>
    <w:link w:val="TechnicalBlock"/>
    <w:rPr>
      <w:rFonts w:ascii="Times New Roman" w:eastAsia="Times New Roman" w:hAnsi="Times New Roman" w:cs="Times New Roman"/>
      <w:sz w:val="24"/>
      <w:szCs w:val="24"/>
    </w:rPr>
  </w:style>
  <w:style w:type="character" w:customStyle="1" w:styleId="HeaderCouncilLargeChar">
    <w:name w:val="Header Council Large Char"/>
    <w:link w:val="HeaderCouncilLarge"/>
    <w:rPr>
      <w:rFonts w:ascii="Times New Roman" w:eastAsia="Times New Roman" w:hAnsi="Times New Roman" w:cs="Times New Roman"/>
      <w:sz w:val="2"/>
      <w:szCs w:val="24"/>
    </w:rPr>
  </w:style>
  <w:style w:type="paragraph" w:customStyle="1" w:styleId="FooterText">
    <w:name w:val="Footer Text"/>
    <w:basedOn w:val="Normal"/>
    <w:pPr>
      <w:spacing w:after="0" w:line="240" w:lineRule="auto"/>
    </w:pPr>
    <w:rPr>
      <w:rFonts w:ascii="Times New Roman" w:eastAsia="Times New Roman" w:hAnsi="Times New Roman" w:cs="Times New Roman"/>
      <w:sz w:val="24"/>
      <w:szCs w:val="24"/>
    </w:rPr>
  </w:style>
  <w:style w:type="paragraph" w:customStyle="1" w:styleId="CharCharCharCharCharCharCharChar">
    <w:name w:val="Char Char Char Char Char Char Char Char"/>
    <w:basedOn w:val="Normal"/>
    <w:next w:val="Normal"/>
    <w:pPr>
      <w:spacing w:after="160" w:line="240" w:lineRule="exact"/>
    </w:pPr>
    <w:rPr>
      <w:rFonts w:ascii="Tahoma" w:eastAsia="Times New Roman" w:hAnsi="Tahoma" w:cs="Times New Roman"/>
      <w:sz w:val="24"/>
      <w:szCs w:val="20"/>
      <w:lang w:val="en-US"/>
    </w:r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unhideWhenUsed/>
    <w:pPr>
      <w:spacing w:before="120" w:after="12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rPr>
  </w:style>
  <w:style w:type="character" w:styleId="Strong">
    <w:name w:val="Strong"/>
    <w:uiPriority w:val="22"/>
    <w:qFormat/>
    <w:rPr>
      <w:b/>
      <w:bCs/>
    </w:rPr>
  </w:style>
  <w:style w:type="paragraph" w:styleId="Revision">
    <w:name w:val="Revision"/>
    <w:hidden/>
    <w:uiPriority w:val="99"/>
    <w:semiHidden/>
    <w:pPr>
      <w:spacing w:after="0" w:line="240" w:lineRule="auto"/>
    </w:pPr>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pPr>
      <w:spacing w:after="120" w:line="480" w:lineRule="auto"/>
      <w:ind w:left="283"/>
    </w:pPr>
    <w:rPr>
      <w:rFonts w:ascii="Times New Roman" w:eastAsia="Times New Roman" w:hAnsi="Times New Roman" w:cs="Times New Roman"/>
      <w:sz w:val="24"/>
      <w:szCs w:val="24"/>
      <w:lang w:eastAsia="en-GB"/>
    </w:rPr>
  </w:style>
  <w:style w:type="character" w:customStyle="1" w:styleId="BodyTextIndent2Char">
    <w:name w:val="Body Text Indent 2 Char"/>
    <w:basedOn w:val="DefaultParagraphFont"/>
    <w:link w:val="BodyTextIndent2"/>
    <w:uiPriority w:val="99"/>
    <w:rPr>
      <w:rFonts w:ascii="Times New Roman" w:eastAsia="Times New Roman" w:hAnsi="Times New Roman" w:cs="Times New Roman"/>
      <w:sz w:val="24"/>
      <w:szCs w:val="24"/>
      <w:lang w:eastAsia="en-GB"/>
    </w:rPr>
  </w:style>
  <w:style w:type="character" w:styleId="Hyperlink">
    <w:name w:val="Hyperlink"/>
    <w:uiPriority w:val="99"/>
    <w:unhideWhenUsed/>
    <w:rPr>
      <w:color w:val="0000FF"/>
      <w:u w:val="single"/>
    </w:rPr>
  </w:style>
  <w:style w:type="character" w:styleId="HTMLCite">
    <w:name w:val="HTML Cite"/>
    <w:uiPriority w:val="99"/>
    <w:semiHidden/>
    <w:unhideWhenUsed/>
    <w:rPr>
      <w:i/>
      <w:iCs/>
    </w:rPr>
  </w:style>
  <w:style w:type="character" w:styleId="FollowedHyperlink">
    <w:name w:val="FollowedHyperlink"/>
    <w:uiPriority w:val="99"/>
    <w:semiHidden/>
    <w:unhideWhenUsed/>
    <w:rPr>
      <w:color w:val="800080"/>
      <w:u w:val="single"/>
    </w:rPr>
  </w:style>
  <w:style w:type="paragraph" w:customStyle="1" w:styleId="Lignefinal">
    <w:name w:val="Ligne final"/>
    <w:basedOn w:val="Normal"/>
    <w:next w:val="Normal"/>
    <w:pPr>
      <w:pBdr>
        <w:bottom w:val="single" w:sz="4" w:space="0" w:color="000000"/>
      </w:pBdr>
      <w:spacing w:before="360" w:after="120" w:line="360" w:lineRule="auto"/>
      <w:ind w:left="3400" w:right="3400"/>
      <w:jc w:val="center"/>
    </w:pPr>
    <w:rPr>
      <w:rFonts w:ascii="Times New Roman" w:eastAsia="Times New Roman" w:hAnsi="Times New Roman" w:cs="Times New Roman"/>
      <w:b/>
      <w:sz w:val="24"/>
      <w:szCs w:val="24"/>
    </w:rPr>
  </w:style>
  <w:style w:type="paragraph" w:customStyle="1" w:styleId="EntText">
    <w:name w:val="EntText"/>
    <w:basedOn w:val="Normal"/>
    <w:pPr>
      <w:spacing w:before="120" w:after="120" w:line="360" w:lineRule="auto"/>
    </w:pPr>
    <w:rPr>
      <w:rFonts w:ascii="Times New Roman" w:eastAsia="Times New Roman" w:hAnsi="Times New Roman" w:cs="Times New Roman"/>
      <w:sz w:val="24"/>
      <w:szCs w:val="24"/>
    </w:rPr>
  </w:style>
  <w:style w:type="paragraph" w:customStyle="1" w:styleId="pj">
    <w:name w:val="p.j."/>
    <w:basedOn w:val="Normal"/>
    <w:link w:val="pjChar"/>
    <w:pPr>
      <w:widowControl w:val="0"/>
      <w:spacing w:before="1200" w:after="120" w:line="240" w:lineRule="auto"/>
      <w:ind w:left="1440" w:hanging="1440"/>
    </w:pPr>
    <w:rPr>
      <w:rFonts w:ascii="Times New Roman" w:eastAsia="Times New Roman" w:hAnsi="Times New Roman" w:cs="Times New Roman"/>
      <w:sz w:val="24"/>
      <w:szCs w:val="24"/>
      <w:lang w:eastAsia="fr-BE"/>
    </w:rPr>
  </w:style>
  <w:style w:type="character" w:customStyle="1" w:styleId="pjChar">
    <w:name w:val="p.j. Char"/>
    <w:basedOn w:val="TechnicalBlockChar"/>
    <w:link w:val="pj"/>
    <w:rPr>
      <w:rFonts w:ascii="Times New Roman" w:eastAsia="Times New Roman" w:hAnsi="Times New Roman" w:cs="Times New Roman"/>
      <w:sz w:val="24"/>
      <w:szCs w:val="24"/>
      <w:lang w:eastAsia="fr-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pPr>
      <w:keepNext/>
      <w:numPr>
        <w:numId w:val="11"/>
      </w:numPr>
      <w:spacing w:before="360" w:after="120" w:line="240" w:lineRule="auto"/>
      <w:jc w:val="both"/>
      <w:outlineLvl w:val="0"/>
    </w:pPr>
    <w:rPr>
      <w:rFonts w:ascii="Times New Roman" w:eastAsia="Times New Roman" w:hAnsi="Times New Roman" w:cs="Times New Roman"/>
      <w:b/>
      <w:smallCaps/>
      <w:sz w:val="24"/>
      <w:szCs w:val="20"/>
      <w:lang w:eastAsia="fr-BE"/>
    </w:rPr>
  </w:style>
  <w:style w:type="paragraph" w:styleId="Heading2">
    <w:name w:val="heading 2"/>
    <w:basedOn w:val="Normal"/>
    <w:next w:val="Normal"/>
    <w:link w:val="Heading2Char"/>
    <w:qFormat/>
    <w:pPr>
      <w:keepNext/>
      <w:numPr>
        <w:ilvl w:val="1"/>
        <w:numId w:val="11"/>
      </w:numPr>
      <w:spacing w:before="120" w:after="120" w:line="240" w:lineRule="auto"/>
      <w:jc w:val="both"/>
      <w:outlineLvl w:val="1"/>
    </w:pPr>
    <w:rPr>
      <w:rFonts w:ascii="Times New Roman" w:eastAsia="Times New Roman" w:hAnsi="Times New Roman" w:cs="Times New Roman"/>
      <w:b/>
      <w:sz w:val="24"/>
      <w:szCs w:val="20"/>
      <w:lang w:eastAsia="fr-BE"/>
    </w:rPr>
  </w:style>
  <w:style w:type="paragraph" w:styleId="Heading3">
    <w:name w:val="heading 3"/>
    <w:basedOn w:val="Normal"/>
    <w:next w:val="Normal"/>
    <w:link w:val="Heading3Char"/>
    <w:qFormat/>
    <w:pPr>
      <w:keepNext/>
      <w:numPr>
        <w:ilvl w:val="2"/>
        <w:numId w:val="11"/>
      </w:numPr>
      <w:spacing w:before="120" w:after="120" w:line="240" w:lineRule="auto"/>
      <w:jc w:val="both"/>
      <w:outlineLvl w:val="2"/>
    </w:pPr>
    <w:rPr>
      <w:rFonts w:ascii="Times New Roman" w:eastAsia="Times New Roman" w:hAnsi="Times New Roman" w:cs="Times New Roman"/>
      <w:i/>
      <w:sz w:val="24"/>
      <w:szCs w:val="20"/>
      <w:lang w:eastAsia="fr-BE"/>
    </w:rPr>
  </w:style>
  <w:style w:type="paragraph" w:styleId="Heading4">
    <w:name w:val="heading 4"/>
    <w:basedOn w:val="Normal"/>
    <w:next w:val="Normal"/>
    <w:link w:val="Heading4Char"/>
    <w:qFormat/>
    <w:pPr>
      <w:keepNext/>
      <w:numPr>
        <w:ilvl w:val="3"/>
        <w:numId w:val="11"/>
      </w:numPr>
      <w:spacing w:before="120" w:after="120" w:line="240" w:lineRule="auto"/>
      <w:jc w:val="both"/>
      <w:outlineLvl w:val="3"/>
    </w:pPr>
    <w:rPr>
      <w:rFonts w:ascii="Times New Roman" w:eastAsia="Times New Roman" w:hAnsi="Times New Roman" w:cs="Times New Roman"/>
      <w:sz w:val="24"/>
      <w:szCs w:val="20"/>
      <w:lang w:eastAsia="fr-BE"/>
    </w:rPr>
  </w:style>
  <w:style w:type="paragraph" w:styleId="Heading5">
    <w:name w:val="heading 5"/>
    <w:basedOn w:val="Normal"/>
    <w:next w:val="Normal"/>
    <w:link w:val="Heading5Char"/>
    <w:qFormat/>
    <w:pPr>
      <w:spacing w:before="240" w:after="60" w:line="240" w:lineRule="auto"/>
      <w:jc w:val="both"/>
      <w:outlineLvl w:val="4"/>
    </w:pPr>
    <w:rPr>
      <w:rFonts w:ascii="Arial" w:eastAsia="Times New Roman" w:hAnsi="Arial" w:cs="Times New Roman"/>
      <w:szCs w:val="20"/>
      <w:lang w:eastAsia="fr-BE"/>
    </w:rPr>
  </w:style>
  <w:style w:type="paragraph" w:styleId="Heading6">
    <w:name w:val="heading 6"/>
    <w:basedOn w:val="Normal"/>
    <w:next w:val="Normal"/>
    <w:link w:val="Heading6Char"/>
    <w:qFormat/>
    <w:pPr>
      <w:spacing w:before="240" w:after="60" w:line="240" w:lineRule="auto"/>
      <w:jc w:val="both"/>
      <w:outlineLvl w:val="5"/>
    </w:pPr>
    <w:rPr>
      <w:rFonts w:ascii="Arial" w:eastAsia="Times New Roman" w:hAnsi="Arial" w:cs="Times New Roman"/>
      <w:i/>
      <w:szCs w:val="20"/>
      <w:lang w:eastAsia="fr-BE"/>
    </w:rPr>
  </w:style>
  <w:style w:type="paragraph" w:styleId="Heading7">
    <w:name w:val="heading 7"/>
    <w:basedOn w:val="Normal"/>
    <w:next w:val="Normal"/>
    <w:link w:val="Heading7Char"/>
    <w:qFormat/>
    <w:pPr>
      <w:spacing w:before="240" w:after="60" w:line="240" w:lineRule="auto"/>
      <w:jc w:val="both"/>
      <w:outlineLvl w:val="6"/>
    </w:pPr>
    <w:rPr>
      <w:rFonts w:ascii="Arial" w:eastAsia="Times New Roman" w:hAnsi="Arial" w:cs="Times New Roman"/>
      <w:sz w:val="20"/>
      <w:szCs w:val="20"/>
      <w:lang w:eastAsia="fr-BE"/>
    </w:rPr>
  </w:style>
  <w:style w:type="paragraph" w:styleId="Heading8">
    <w:name w:val="heading 8"/>
    <w:basedOn w:val="Normal"/>
    <w:next w:val="Normal"/>
    <w:link w:val="Heading8Char"/>
    <w:qFormat/>
    <w:pPr>
      <w:spacing w:before="240" w:after="60" w:line="240" w:lineRule="auto"/>
      <w:jc w:val="both"/>
      <w:outlineLvl w:val="7"/>
    </w:pPr>
    <w:rPr>
      <w:rFonts w:ascii="Arial" w:eastAsia="Times New Roman" w:hAnsi="Arial" w:cs="Times New Roman"/>
      <w:i/>
      <w:sz w:val="20"/>
      <w:szCs w:val="20"/>
      <w:lang w:eastAsia="fr-BE"/>
    </w:rPr>
  </w:style>
  <w:style w:type="paragraph" w:styleId="Heading9">
    <w:name w:val="heading 9"/>
    <w:basedOn w:val="Normal"/>
    <w:next w:val="Normal"/>
    <w:link w:val="Heading9Char"/>
    <w:qFormat/>
    <w:pPr>
      <w:spacing w:before="240" w:after="60" w:line="240" w:lineRule="auto"/>
      <w:jc w:val="both"/>
      <w:outlineLvl w:val="8"/>
    </w:pPr>
    <w:rPr>
      <w:rFonts w:ascii="Arial" w:eastAsia="Times New Roman" w:hAnsi="Arial" w:cs="Times New Roman"/>
      <w:i/>
      <w:sz w:val="18"/>
      <w:szCs w:val="20"/>
      <w:lang w:eastAsia="fr-B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nhideWhenUsed/>
    <w:pPr>
      <w:tabs>
        <w:tab w:val="center" w:pos="4536"/>
        <w:tab w:val="right" w:pos="9072"/>
      </w:tabs>
      <w:spacing w:after="0" w:line="240" w:lineRule="auto"/>
    </w:pPr>
  </w:style>
  <w:style w:type="character" w:customStyle="1" w:styleId="HeaderChar">
    <w:name w:val="Header Char"/>
    <w:basedOn w:val="DefaultParagraphFont"/>
    <w:link w:val="Header"/>
  </w:style>
  <w:style w:type="paragraph" w:styleId="Footer">
    <w:name w:val="footer"/>
    <w:basedOn w:val="Normal"/>
    <w:link w:val="FooterChar"/>
    <w:uiPriority w:val="99"/>
    <w:unhideWhenUsed/>
    <w:pPr>
      <w:tabs>
        <w:tab w:val="center" w:pos="4536"/>
        <w:tab w:val="right" w:pos="9072"/>
      </w:tabs>
      <w:spacing w:after="0" w:line="240" w:lineRule="auto"/>
    </w:pPr>
  </w:style>
  <w:style w:type="character" w:customStyle="1" w:styleId="FooterChar">
    <w:name w:val="Footer Char"/>
    <w:basedOn w:val="DefaultParagraphFont"/>
    <w:link w:val="Footer"/>
    <w:uiPriority w:val="99"/>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character" w:customStyle="1" w:styleId="Heading1Char">
    <w:name w:val="Heading 1 Char"/>
    <w:basedOn w:val="DefaultParagraphFont"/>
    <w:link w:val="Heading1"/>
    <w:rPr>
      <w:rFonts w:ascii="Times New Roman" w:eastAsia="Times New Roman" w:hAnsi="Times New Roman" w:cs="Times New Roman"/>
      <w:b/>
      <w:smallCaps/>
      <w:sz w:val="24"/>
      <w:szCs w:val="20"/>
      <w:lang w:eastAsia="fr-BE"/>
    </w:rPr>
  </w:style>
  <w:style w:type="character" w:customStyle="1" w:styleId="Heading2Char">
    <w:name w:val="Heading 2 Char"/>
    <w:basedOn w:val="DefaultParagraphFont"/>
    <w:link w:val="Heading2"/>
    <w:rPr>
      <w:rFonts w:ascii="Times New Roman" w:eastAsia="Times New Roman" w:hAnsi="Times New Roman" w:cs="Times New Roman"/>
      <w:b/>
      <w:sz w:val="24"/>
      <w:szCs w:val="20"/>
      <w:lang w:eastAsia="fr-BE"/>
    </w:rPr>
  </w:style>
  <w:style w:type="character" w:customStyle="1" w:styleId="Heading3Char">
    <w:name w:val="Heading 3 Char"/>
    <w:basedOn w:val="DefaultParagraphFont"/>
    <w:link w:val="Heading3"/>
    <w:rPr>
      <w:rFonts w:ascii="Times New Roman" w:eastAsia="Times New Roman" w:hAnsi="Times New Roman" w:cs="Times New Roman"/>
      <w:i/>
      <w:sz w:val="24"/>
      <w:szCs w:val="20"/>
      <w:lang w:eastAsia="fr-BE"/>
    </w:rPr>
  </w:style>
  <w:style w:type="character" w:customStyle="1" w:styleId="Heading4Char">
    <w:name w:val="Heading 4 Char"/>
    <w:basedOn w:val="DefaultParagraphFont"/>
    <w:link w:val="Heading4"/>
    <w:rPr>
      <w:rFonts w:ascii="Times New Roman" w:eastAsia="Times New Roman" w:hAnsi="Times New Roman" w:cs="Times New Roman"/>
      <w:sz w:val="24"/>
      <w:szCs w:val="20"/>
      <w:lang w:eastAsia="fr-BE"/>
    </w:rPr>
  </w:style>
  <w:style w:type="character" w:customStyle="1" w:styleId="Heading5Char">
    <w:name w:val="Heading 5 Char"/>
    <w:basedOn w:val="DefaultParagraphFont"/>
    <w:link w:val="Heading5"/>
    <w:rPr>
      <w:rFonts w:ascii="Arial" w:eastAsia="Times New Roman" w:hAnsi="Arial" w:cs="Times New Roman"/>
      <w:szCs w:val="20"/>
      <w:lang w:eastAsia="fr-BE"/>
    </w:rPr>
  </w:style>
  <w:style w:type="character" w:customStyle="1" w:styleId="Heading6Char">
    <w:name w:val="Heading 6 Char"/>
    <w:basedOn w:val="DefaultParagraphFont"/>
    <w:link w:val="Heading6"/>
    <w:rPr>
      <w:rFonts w:ascii="Arial" w:eastAsia="Times New Roman" w:hAnsi="Arial" w:cs="Times New Roman"/>
      <w:i/>
      <w:szCs w:val="20"/>
      <w:lang w:eastAsia="fr-BE"/>
    </w:rPr>
  </w:style>
  <w:style w:type="character" w:customStyle="1" w:styleId="Heading7Char">
    <w:name w:val="Heading 7 Char"/>
    <w:basedOn w:val="DefaultParagraphFont"/>
    <w:link w:val="Heading7"/>
    <w:rPr>
      <w:rFonts w:ascii="Arial" w:eastAsia="Times New Roman" w:hAnsi="Arial" w:cs="Times New Roman"/>
      <w:sz w:val="20"/>
      <w:szCs w:val="20"/>
      <w:lang w:eastAsia="fr-BE"/>
    </w:rPr>
  </w:style>
  <w:style w:type="character" w:customStyle="1" w:styleId="Heading8Char">
    <w:name w:val="Heading 8 Char"/>
    <w:basedOn w:val="DefaultParagraphFont"/>
    <w:link w:val="Heading8"/>
    <w:rPr>
      <w:rFonts w:ascii="Arial" w:eastAsia="Times New Roman" w:hAnsi="Arial" w:cs="Times New Roman"/>
      <w:i/>
      <w:sz w:val="20"/>
      <w:szCs w:val="20"/>
      <w:lang w:eastAsia="fr-BE"/>
    </w:rPr>
  </w:style>
  <w:style w:type="character" w:customStyle="1" w:styleId="Heading9Char">
    <w:name w:val="Heading 9 Char"/>
    <w:basedOn w:val="DefaultParagraphFont"/>
    <w:link w:val="Heading9"/>
    <w:rPr>
      <w:rFonts w:ascii="Arial" w:eastAsia="Times New Roman" w:hAnsi="Arial" w:cs="Times New Roman"/>
      <w:i/>
      <w:sz w:val="18"/>
      <w:szCs w:val="20"/>
      <w:lang w:eastAsia="fr-BE"/>
    </w:rPr>
  </w:style>
  <w:style w:type="numbering" w:customStyle="1" w:styleId="NoList1">
    <w:name w:val="No List1"/>
    <w:next w:val="NoList"/>
    <w:uiPriority w:val="99"/>
    <w:semiHidden/>
    <w:unhideWhenUsed/>
  </w:style>
  <w:style w:type="paragraph" w:customStyle="1" w:styleId="EntInstit">
    <w:name w:val="EntInstit"/>
    <w:basedOn w:val="Normal"/>
    <w:pPr>
      <w:widowControl w:val="0"/>
      <w:spacing w:after="0" w:line="240" w:lineRule="auto"/>
      <w:jc w:val="right"/>
    </w:pPr>
    <w:rPr>
      <w:rFonts w:ascii="Times New Roman" w:eastAsia="Times New Roman" w:hAnsi="Times New Roman" w:cs="Times New Roman"/>
      <w:b/>
      <w:sz w:val="24"/>
      <w:szCs w:val="20"/>
      <w:lang w:eastAsia="fr-BE"/>
    </w:rPr>
  </w:style>
  <w:style w:type="paragraph" w:customStyle="1" w:styleId="EntRefer">
    <w:name w:val="EntRefer"/>
    <w:basedOn w:val="Normal"/>
    <w:pPr>
      <w:widowControl w:val="0"/>
      <w:spacing w:after="0" w:line="240" w:lineRule="auto"/>
    </w:pPr>
    <w:rPr>
      <w:rFonts w:ascii="Times New Roman" w:eastAsia="Times New Roman" w:hAnsi="Times New Roman" w:cs="Times New Roman"/>
      <w:b/>
      <w:sz w:val="24"/>
      <w:szCs w:val="20"/>
      <w:lang w:eastAsia="fr-BE"/>
    </w:rPr>
  </w:style>
  <w:style w:type="paragraph" w:customStyle="1" w:styleId="Par-number10">
    <w:name w:val="Par-number 1)"/>
    <w:basedOn w:val="Normal"/>
    <w:next w:val="Normal"/>
    <w:pPr>
      <w:widowControl w:val="0"/>
      <w:numPr>
        <w:numId w:val="7"/>
      </w:numPr>
      <w:spacing w:after="0" w:line="360" w:lineRule="auto"/>
    </w:pPr>
    <w:rPr>
      <w:rFonts w:ascii="Times New Roman" w:eastAsia="Times New Roman" w:hAnsi="Times New Roman" w:cs="Times New Roman"/>
      <w:sz w:val="24"/>
      <w:szCs w:val="20"/>
      <w:lang w:eastAsia="fr-BE"/>
    </w:rPr>
  </w:style>
  <w:style w:type="paragraph" w:customStyle="1" w:styleId="EntEmet">
    <w:name w:val="EntEmet"/>
    <w:basedOn w:val="Normal"/>
    <w:pPr>
      <w:widowControl w:val="0"/>
      <w:tabs>
        <w:tab w:val="left" w:pos="284"/>
        <w:tab w:val="left" w:pos="567"/>
        <w:tab w:val="left" w:pos="851"/>
        <w:tab w:val="left" w:pos="1134"/>
        <w:tab w:val="left" w:pos="1418"/>
      </w:tabs>
      <w:spacing w:before="40" w:after="0" w:line="240" w:lineRule="auto"/>
    </w:pPr>
    <w:rPr>
      <w:rFonts w:ascii="Times New Roman" w:eastAsia="Times New Roman" w:hAnsi="Times New Roman" w:cs="Times New Roman"/>
      <w:sz w:val="24"/>
      <w:szCs w:val="20"/>
      <w:lang w:eastAsia="fr-BE"/>
    </w:rPr>
  </w:style>
  <w:style w:type="character" w:styleId="FootnoteReference">
    <w:name w:val="footnote reference"/>
    <w:rPr>
      <w:b/>
      <w:vertAlign w:val="superscript"/>
    </w:rPr>
  </w:style>
  <w:style w:type="paragraph" w:styleId="FootnoteText">
    <w:name w:val="footnote text"/>
    <w:basedOn w:val="Normal"/>
    <w:link w:val="FootnoteTextChar"/>
    <w:pPr>
      <w:widowControl w:val="0"/>
      <w:tabs>
        <w:tab w:val="left" w:pos="567"/>
      </w:tabs>
      <w:spacing w:after="0" w:line="240" w:lineRule="auto"/>
      <w:ind w:left="567" w:hanging="567"/>
    </w:pPr>
    <w:rPr>
      <w:rFonts w:ascii="Times New Roman" w:eastAsia="Times New Roman" w:hAnsi="Times New Roman" w:cs="Times New Roman"/>
      <w:sz w:val="24"/>
      <w:szCs w:val="20"/>
      <w:lang w:eastAsia="fr-BE"/>
    </w:rPr>
  </w:style>
  <w:style w:type="character" w:customStyle="1" w:styleId="FootnoteTextChar">
    <w:name w:val="Footnote Text Char"/>
    <w:basedOn w:val="DefaultParagraphFont"/>
    <w:link w:val="FootnoteText"/>
    <w:rPr>
      <w:rFonts w:ascii="Times New Roman" w:eastAsia="Times New Roman" w:hAnsi="Times New Roman" w:cs="Times New Roman"/>
      <w:sz w:val="24"/>
      <w:szCs w:val="20"/>
      <w:lang w:eastAsia="fr-BE"/>
    </w:rPr>
  </w:style>
  <w:style w:type="paragraph" w:customStyle="1" w:styleId="Par-bullet">
    <w:name w:val="Par-bullet"/>
    <w:basedOn w:val="Normal"/>
    <w:next w:val="Normal"/>
    <w:pPr>
      <w:widowControl w:val="0"/>
      <w:numPr>
        <w:numId w:val="3"/>
      </w:numPr>
      <w:spacing w:after="0" w:line="360" w:lineRule="auto"/>
    </w:pPr>
    <w:rPr>
      <w:rFonts w:ascii="Times New Roman" w:eastAsia="Times New Roman" w:hAnsi="Times New Roman" w:cs="Times New Roman"/>
      <w:sz w:val="24"/>
      <w:szCs w:val="20"/>
      <w:lang w:eastAsia="fr-BE"/>
    </w:rPr>
  </w:style>
  <w:style w:type="paragraph" w:customStyle="1" w:styleId="Par-equal">
    <w:name w:val="Par-equal"/>
    <w:basedOn w:val="Normal"/>
    <w:next w:val="Normal"/>
    <w:pPr>
      <w:widowControl w:val="0"/>
      <w:numPr>
        <w:numId w:val="5"/>
      </w:numPr>
      <w:spacing w:after="0" w:line="360" w:lineRule="auto"/>
    </w:pPr>
    <w:rPr>
      <w:rFonts w:ascii="Times New Roman" w:eastAsia="Times New Roman" w:hAnsi="Times New Roman" w:cs="Times New Roman"/>
      <w:sz w:val="24"/>
      <w:szCs w:val="20"/>
      <w:lang w:eastAsia="fr-BE"/>
    </w:rPr>
  </w:style>
  <w:style w:type="paragraph" w:styleId="TOC1">
    <w:name w:val="toc 1"/>
    <w:basedOn w:val="Normal"/>
    <w:next w:val="Normal"/>
    <w:pPr>
      <w:widowControl w:val="0"/>
      <w:tabs>
        <w:tab w:val="left" w:pos="567"/>
        <w:tab w:val="right" w:leader="dot" w:pos="9639"/>
      </w:tabs>
      <w:spacing w:after="0" w:line="360" w:lineRule="auto"/>
      <w:ind w:left="567" w:right="567" w:hanging="567"/>
    </w:pPr>
    <w:rPr>
      <w:rFonts w:ascii="Times New Roman" w:eastAsia="Times New Roman" w:hAnsi="Times New Roman" w:cs="Times New Roman"/>
      <w:sz w:val="24"/>
      <w:szCs w:val="20"/>
      <w:lang w:eastAsia="fr-BE"/>
    </w:rPr>
  </w:style>
  <w:style w:type="paragraph" w:customStyle="1" w:styleId="Par-number1">
    <w:name w:val="Par-number (1)"/>
    <w:basedOn w:val="Normal"/>
    <w:next w:val="Normal"/>
    <w:pPr>
      <w:widowControl w:val="0"/>
      <w:numPr>
        <w:numId w:val="6"/>
      </w:numPr>
      <w:spacing w:after="0" w:line="360" w:lineRule="auto"/>
    </w:pPr>
    <w:rPr>
      <w:rFonts w:ascii="Times New Roman" w:eastAsia="Times New Roman" w:hAnsi="Times New Roman" w:cs="Times New Roman"/>
      <w:sz w:val="24"/>
      <w:szCs w:val="20"/>
      <w:lang w:eastAsia="fr-BE"/>
    </w:rPr>
  </w:style>
  <w:style w:type="paragraph" w:customStyle="1" w:styleId="Par-number11">
    <w:name w:val="Par-number 1."/>
    <w:basedOn w:val="Normal"/>
    <w:next w:val="Normal"/>
    <w:pPr>
      <w:widowControl w:val="0"/>
      <w:numPr>
        <w:numId w:val="8"/>
      </w:numPr>
      <w:spacing w:after="0" w:line="360" w:lineRule="auto"/>
    </w:pPr>
    <w:rPr>
      <w:rFonts w:ascii="Times New Roman" w:eastAsia="Times New Roman" w:hAnsi="Times New Roman" w:cs="Times New Roman"/>
      <w:sz w:val="24"/>
      <w:szCs w:val="20"/>
      <w:lang w:eastAsia="fr-BE"/>
    </w:rPr>
  </w:style>
  <w:style w:type="paragraph" w:customStyle="1" w:styleId="Par-numberI">
    <w:name w:val="Par-number I."/>
    <w:basedOn w:val="Normal"/>
    <w:next w:val="Normal"/>
    <w:pPr>
      <w:widowControl w:val="0"/>
      <w:numPr>
        <w:numId w:val="10"/>
      </w:numPr>
      <w:spacing w:after="0" w:line="360" w:lineRule="auto"/>
    </w:pPr>
    <w:rPr>
      <w:rFonts w:ascii="Times New Roman" w:eastAsia="Times New Roman" w:hAnsi="Times New Roman" w:cs="Times New Roman"/>
      <w:sz w:val="24"/>
      <w:szCs w:val="20"/>
      <w:lang w:eastAsia="fr-BE"/>
    </w:rPr>
  </w:style>
  <w:style w:type="paragraph" w:customStyle="1" w:styleId="Par-dash">
    <w:name w:val="Par-dash"/>
    <w:basedOn w:val="Normal"/>
    <w:next w:val="Normal"/>
    <w:pPr>
      <w:widowControl w:val="0"/>
      <w:numPr>
        <w:numId w:val="4"/>
      </w:numPr>
      <w:spacing w:after="0" w:line="360" w:lineRule="auto"/>
    </w:pPr>
    <w:rPr>
      <w:rFonts w:ascii="Times New Roman" w:eastAsia="Times New Roman" w:hAnsi="Times New Roman" w:cs="Times New Roman"/>
      <w:sz w:val="24"/>
      <w:szCs w:val="20"/>
      <w:lang w:eastAsia="fr-BE"/>
    </w:rPr>
  </w:style>
  <w:style w:type="paragraph" w:customStyle="1" w:styleId="EntLogo">
    <w:name w:val="EntLogo"/>
    <w:basedOn w:val="Normal"/>
    <w:next w:val="EntInstit"/>
    <w:pPr>
      <w:widowControl w:val="0"/>
      <w:spacing w:after="0" w:line="360" w:lineRule="auto"/>
    </w:pPr>
    <w:rPr>
      <w:rFonts w:ascii="Times New Roman" w:eastAsia="Times New Roman" w:hAnsi="Times New Roman" w:cs="Times New Roman"/>
      <w:b/>
      <w:sz w:val="24"/>
      <w:szCs w:val="20"/>
      <w:lang w:eastAsia="fr-BE"/>
    </w:rPr>
  </w:style>
  <w:style w:type="paragraph" w:customStyle="1" w:styleId="FooterLandscape">
    <w:name w:val="FooterLandscape"/>
    <w:basedOn w:val="Footer"/>
    <w:pPr>
      <w:widowControl w:val="0"/>
      <w:tabs>
        <w:tab w:val="clear" w:pos="4536"/>
        <w:tab w:val="clear" w:pos="9072"/>
        <w:tab w:val="center" w:pos="7371"/>
        <w:tab w:val="center" w:pos="11340"/>
        <w:tab w:val="right" w:pos="14572"/>
      </w:tabs>
    </w:pPr>
    <w:rPr>
      <w:rFonts w:ascii="Times New Roman" w:eastAsia="Times New Roman" w:hAnsi="Times New Roman" w:cs="Times New Roman"/>
      <w:sz w:val="24"/>
      <w:szCs w:val="20"/>
      <w:lang w:eastAsia="fr-BE"/>
    </w:rPr>
  </w:style>
  <w:style w:type="paragraph" w:customStyle="1" w:styleId="Par-numberA">
    <w:name w:val="Par-number A."/>
    <w:basedOn w:val="Normal"/>
    <w:next w:val="Normal"/>
    <w:pPr>
      <w:widowControl w:val="0"/>
      <w:numPr>
        <w:numId w:val="9"/>
      </w:numPr>
      <w:spacing w:after="0" w:line="360" w:lineRule="auto"/>
    </w:pPr>
    <w:rPr>
      <w:rFonts w:ascii="Times New Roman" w:eastAsia="Times New Roman" w:hAnsi="Times New Roman" w:cs="Times New Roman"/>
      <w:sz w:val="24"/>
      <w:szCs w:val="20"/>
      <w:lang w:eastAsia="fr-BE"/>
    </w:rPr>
  </w:style>
  <w:style w:type="paragraph" w:styleId="TOC2">
    <w:name w:val="toc 2"/>
    <w:basedOn w:val="Normal"/>
    <w:next w:val="Normal"/>
    <w:pPr>
      <w:widowControl w:val="0"/>
      <w:tabs>
        <w:tab w:val="left" w:pos="1134"/>
        <w:tab w:val="right" w:leader="dot" w:pos="9639"/>
      </w:tabs>
      <w:spacing w:after="0" w:line="360" w:lineRule="auto"/>
      <w:ind w:left="1134" w:right="567" w:hanging="567"/>
    </w:pPr>
    <w:rPr>
      <w:rFonts w:ascii="Times New Roman" w:eastAsia="Times New Roman" w:hAnsi="Times New Roman" w:cs="Times New Roman"/>
      <w:sz w:val="24"/>
      <w:szCs w:val="20"/>
      <w:lang w:eastAsia="fr-BE"/>
    </w:rPr>
  </w:style>
  <w:style w:type="paragraph" w:styleId="TOC3">
    <w:name w:val="toc 3"/>
    <w:basedOn w:val="Normal"/>
    <w:next w:val="Normal"/>
    <w:pPr>
      <w:widowControl w:val="0"/>
      <w:tabs>
        <w:tab w:val="left" w:pos="1701"/>
        <w:tab w:val="right" w:leader="dot" w:pos="9639"/>
      </w:tabs>
      <w:spacing w:after="0" w:line="360" w:lineRule="auto"/>
      <w:ind w:left="1701" w:right="567" w:hanging="567"/>
    </w:pPr>
    <w:rPr>
      <w:rFonts w:ascii="Times New Roman" w:eastAsia="Times New Roman" w:hAnsi="Times New Roman" w:cs="Times New Roman"/>
      <w:sz w:val="24"/>
      <w:szCs w:val="20"/>
      <w:lang w:eastAsia="fr-BE"/>
    </w:rPr>
  </w:style>
  <w:style w:type="paragraph" w:styleId="TOC4">
    <w:name w:val="toc 4"/>
    <w:basedOn w:val="Normal"/>
    <w:next w:val="Normal"/>
    <w:pPr>
      <w:widowControl w:val="0"/>
      <w:tabs>
        <w:tab w:val="left" w:pos="2268"/>
        <w:tab w:val="right" w:pos="9639"/>
      </w:tabs>
      <w:spacing w:after="0" w:line="360" w:lineRule="auto"/>
      <w:ind w:left="2268" w:right="567" w:hanging="567"/>
    </w:pPr>
    <w:rPr>
      <w:rFonts w:ascii="Times New Roman" w:eastAsia="Times New Roman" w:hAnsi="Times New Roman" w:cs="Times New Roman"/>
      <w:sz w:val="24"/>
      <w:szCs w:val="20"/>
      <w:lang w:eastAsia="fr-BE"/>
    </w:rPr>
  </w:style>
  <w:style w:type="paragraph" w:styleId="TOC5">
    <w:name w:val="toc 5"/>
    <w:basedOn w:val="Normal"/>
    <w:next w:val="Normal"/>
    <w:pPr>
      <w:widowControl w:val="0"/>
      <w:tabs>
        <w:tab w:val="left" w:pos="2835"/>
        <w:tab w:val="right" w:leader="dot" w:pos="9639"/>
      </w:tabs>
      <w:spacing w:after="0" w:line="360" w:lineRule="auto"/>
      <w:ind w:left="2835" w:right="567" w:hanging="567"/>
    </w:pPr>
    <w:rPr>
      <w:rFonts w:ascii="Times New Roman" w:eastAsia="Times New Roman" w:hAnsi="Times New Roman" w:cs="Times New Roman"/>
      <w:sz w:val="24"/>
      <w:szCs w:val="20"/>
      <w:lang w:eastAsia="fr-BE"/>
    </w:rPr>
  </w:style>
  <w:style w:type="paragraph" w:styleId="TOC6">
    <w:name w:val="toc 6"/>
    <w:basedOn w:val="Normal"/>
    <w:next w:val="Normal"/>
    <w:pPr>
      <w:widowControl w:val="0"/>
      <w:tabs>
        <w:tab w:val="left" w:pos="3402"/>
        <w:tab w:val="right" w:leader="dot" w:pos="9639"/>
      </w:tabs>
      <w:spacing w:after="0" w:line="360" w:lineRule="auto"/>
      <w:ind w:left="3402" w:right="567" w:hanging="567"/>
    </w:pPr>
    <w:rPr>
      <w:rFonts w:ascii="Times New Roman" w:eastAsia="Times New Roman" w:hAnsi="Times New Roman" w:cs="Times New Roman"/>
      <w:sz w:val="24"/>
      <w:szCs w:val="20"/>
      <w:lang w:eastAsia="fr-BE"/>
    </w:rPr>
  </w:style>
  <w:style w:type="paragraph" w:styleId="TOC7">
    <w:name w:val="toc 7"/>
    <w:basedOn w:val="Normal"/>
    <w:next w:val="Normal"/>
    <w:pPr>
      <w:widowControl w:val="0"/>
      <w:tabs>
        <w:tab w:val="left" w:pos="3969"/>
        <w:tab w:val="right" w:leader="dot" w:pos="9639"/>
      </w:tabs>
      <w:spacing w:after="0" w:line="360" w:lineRule="auto"/>
      <w:ind w:left="3969" w:right="567" w:hanging="567"/>
    </w:pPr>
    <w:rPr>
      <w:rFonts w:ascii="Times New Roman" w:eastAsia="Times New Roman" w:hAnsi="Times New Roman" w:cs="Times New Roman"/>
      <w:sz w:val="24"/>
      <w:szCs w:val="20"/>
      <w:lang w:eastAsia="fr-BE"/>
    </w:rPr>
  </w:style>
  <w:style w:type="paragraph" w:styleId="TOC8">
    <w:name w:val="toc 8"/>
    <w:basedOn w:val="Normal"/>
    <w:next w:val="Normal"/>
    <w:pPr>
      <w:widowControl w:val="0"/>
      <w:tabs>
        <w:tab w:val="left" w:pos="4536"/>
        <w:tab w:val="right" w:leader="dot" w:pos="9639"/>
      </w:tabs>
      <w:spacing w:after="0" w:line="360" w:lineRule="auto"/>
      <w:ind w:left="4536" w:right="567" w:hanging="567"/>
    </w:pPr>
    <w:rPr>
      <w:rFonts w:ascii="Times New Roman" w:eastAsia="Times New Roman" w:hAnsi="Times New Roman" w:cs="Times New Roman"/>
      <w:sz w:val="24"/>
      <w:szCs w:val="20"/>
      <w:lang w:eastAsia="fr-BE"/>
    </w:rPr>
  </w:style>
  <w:style w:type="paragraph" w:styleId="TOC9">
    <w:name w:val="toc 9"/>
    <w:basedOn w:val="Normal"/>
    <w:next w:val="Normal"/>
    <w:pPr>
      <w:widowControl w:val="0"/>
      <w:tabs>
        <w:tab w:val="left" w:pos="5103"/>
        <w:tab w:val="right" w:leader="dot" w:pos="9639"/>
      </w:tabs>
      <w:spacing w:after="0" w:line="360" w:lineRule="auto"/>
      <w:ind w:left="5103" w:right="567" w:hanging="567"/>
    </w:pPr>
    <w:rPr>
      <w:rFonts w:ascii="Times New Roman" w:eastAsia="Times New Roman" w:hAnsi="Times New Roman" w:cs="Times New Roman"/>
      <w:sz w:val="24"/>
      <w:szCs w:val="20"/>
      <w:lang w:eastAsia="fr-BE"/>
    </w:rPr>
  </w:style>
  <w:style w:type="paragraph" w:styleId="EndnoteText">
    <w:name w:val="endnote text"/>
    <w:basedOn w:val="Normal"/>
    <w:link w:val="EndnoteTextChar"/>
    <w:pPr>
      <w:widowControl w:val="0"/>
      <w:tabs>
        <w:tab w:val="left" w:pos="567"/>
      </w:tabs>
      <w:spacing w:after="0" w:line="240" w:lineRule="auto"/>
      <w:ind w:left="567" w:hanging="567"/>
    </w:pPr>
    <w:rPr>
      <w:rFonts w:ascii="Times New Roman" w:eastAsia="Times New Roman" w:hAnsi="Times New Roman" w:cs="Times New Roman"/>
      <w:sz w:val="24"/>
      <w:szCs w:val="20"/>
      <w:lang w:eastAsia="fr-BE"/>
    </w:rPr>
  </w:style>
  <w:style w:type="character" w:customStyle="1" w:styleId="EndnoteTextChar">
    <w:name w:val="Endnote Text Char"/>
    <w:basedOn w:val="DefaultParagraphFont"/>
    <w:link w:val="EndnoteText"/>
    <w:rPr>
      <w:rFonts w:ascii="Times New Roman" w:eastAsia="Times New Roman" w:hAnsi="Times New Roman" w:cs="Times New Roman"/>
      <w:sz w:val="24"/>
      <w:szCs w:val="20"/>
      <w:lang w:eastAsia="fr-BE"/>
    </w:rPr>
  </w:style>
  <w:style w:type="character" w:styleId="EndnoteReference">
    <w:name w:val="endnote reference"/>
    <w:rPr>
      <w:b/>
      <w:vertAlign w:val="superscript"/>
    </w:rPr>
  </w:style>
  <w:style w:type="paragraph" w:customStyle="1" w:styleId="AC">
    <w:name w:val="AC"/>
    <w:basedOn w:val="Normal"/>
    <w:next w:val="Normal"/>
    <w:pPr>
      <w:widowControl w:val="0"/>
      <w:spacing w:after="0" w:line="360" w:lineRule="auto"/>
    </w:pPr>
    <w:rPr>
      <w:rFonts w:ascii="Times New Roman" w:eastAsia="Times New Roman" w:hAnsi="Times New Roman" w:cs="Times New Roman"/>
      <w:b/>
      <w:sz w:val="40"/>
      <w:szCs w:val="20"/>
      <w:lang w:eastAsia="fr-BE"/>
    </w:rPr>
  </w:style>
  <w:style w:type="character" w:styleId="PageNumber">
    <w:name w:val="page number"/>
    <w:basedOn w:val="DefaultParagraphFont"/>
  </w:style>
  <w:style w:type="paragraph" w:customStyle="1" w:styleId="Par-numberi0">
    <w:name w:val="Par-number (i)"/>
    <w:basedOn w:val="Normal"/>
    <w:next w:val="Normal"/>
    <w:pPr>
      <w:widowControl w:val="0"/>
      <w:numPr>
        <w:numId w:val="1"/>
      </w:numPr>
      <w:tabs>
        <w:tab w:val="clear" w:pos="720"/>
        <w:tab w:val="left" w:pos="567"/>
      </w:tabs>
      <w:spacing w:after="0" w:line="360" w:lineRule="auto"/>
    </w:pPr>
    <w:rPr>
      <w:rFonts w:ascii="Times New Roman" w:eastAsia="Times New Roman" w:hAnsi="Times New Roman" w:cs="Times New Roman"/>
      <w:sz w:val="24"/>
      <w:szCs w:val="20"/>
      <w:lang w:eastAsia="fr-BE"/>
    </w:rPr>
  </w:style>
  <w:style w:type="paragraph" w:customStyle="1" w:styleId="Par-numbera0">
    <w:name w:val="Par-number (a)"/>
    <w:basedOn w:val="Normal"/>
    <w:next w:val="Normal"/>
    <w:pPr>
      <w:widowControl w:val="0"/>
      <w:numPr>
        <w:numId w:val="2"/>
      </w:numPr>
      <w:spacing w:after="0" w:line="360" w:lineRule="auto"/>
    </w:pPr>
    <w:rPr>
      <w:rFonts w:ascii="Times New Roman" w:eastAsia="Times New Roman" w:hAnsi="Times New Roman" w:cs="Times New Roman"/>
      <w:sz w:val="24"/>
      <w:szCs w:val="20"/>
      <w:lang w:eastAsia="fr-BE"/>
    </w:rPr>
  </w:style>
  <w:style w:type="character" w:customStyle="1" w:styleId="DontTranslate">
    <w:name w:val="DontTranslate"/>
    <w:rPr>
      <w:color w:val="auto"/>
    </w:rPr>
  </w:style>
  <w:style w:type="paragraph" w:customStyle="1" w:styleId="AddReference">
    <w:name w:val="Add Reference"/>
    <w:basedOn w:val="Normal"/>
    <w:pPr>
      <w:widowControl w:val="0"/>
      <w:pBdr>
        <w:top w:val="single" w:sz="4" w:space="1" w:color="auto"/>
        <w:left w:val="single" w:sz="4" w:space="4" w:color="auto"/>
        <w:bottom w:val="single" w:sz="4" w:space="1" w:color="auto"/>
        <w:right w:val="single" w:sz="4" w:space="4" w:color="auto"/>
      </w:pBdr>
      <w:spacing w:after="0" w:line="240" w:lineRule="auto"/>
      <w:ind w:left="7655" w:right="-454"/>
    </w:pPr>
    <w:rPr>
      <w:rFonts w:ascii="Times New Roman" w:eastAsia="Times New Roman" w:hAnsi="Times New Roman" w:cs="Times New Roman"/>
      <w:i/>
      <w:sz w:val="20"/>
      <w:szCs w:val="20"/>
    </w:rPr>
  </w:style>
  <w:style w:type="paragraph" w:styleId="BalloonText">
    <w:name w:val="Balloon Text"/>
    <w:basedOn w:val="Normal"/>
    <w:link w:val="BalloonTextChar"/>
    <w:uiPriority w:val="99"/>
    <w:semiHidden/>
    <w:pPr>
      <w:widowControl w:val="0"/>
      <w:spacing w:after="0" w:line="360" w:lineRule="auto"/>
    </w:pPr>
    <w:rPr>
      <w:rFonts w:ascii="Tahoma" w:eastAsia="Times New Roman" w:hAnsi="Tahoma" w:cs="Tahoma"/>
      <w:sz w:val="16"/>
      <w:szCs w:val="16"/>
      <w:lang w:eastAsia="fr-BE"/>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eastAsia="fr-BE"/>
    </w:rPr>
  </w:style>
  <w:style w:type="paragraph" w:customStyle="1" w:styleId="NormalCentered">
    <w:name w:val="Normal Centered"/>
    <w:basedOn w:val="Normal"/>
    <w:pPr>
      <w:spacing w:before="200" w:after="120" w:line="360" w:lineRule="auto"/>
      <w:jc w:val="center"/>
    </w:pPr>
    <w:rPr>
      <w:rFonts w:ascii="Times New Roman" w:eastAsia="Times New Roman" w:hAnsi="Times New Roman" w:cs="Times New Roman"/>
      <w:sz w:val="24"/>
      <w:szCs w:val="24"/>
    </w:rPr>
  </w:style>
  <w:style w:type="paragraph" w:customStyle="1" w:styleId="NormalRight">
    <w:name w:val="Normal Right"/>
    <w:basedOn w:val="Normal"/>
    <w:pPr>
      <w:spacing w:before="200" w:after="120" w:line="360" w:lineRule="auto"/>
      <w:jc w:val="right"/>
    </w:pPr>
    <w:rPr>
      <w:rFonts w:ascii="Times New Roman" w:eastAsia="Times New Roman" w:hAnsi="Times New Roman" w:cs="Times New Roman"/>
      <w:sz w:val="24"/>
      <w:szCs w:val="24"/>
    </w:rPr>
  </w:style>
  <w:style w:type="paragraph" w:customStyle="1" w:styleId="NormalJustified">
    <w:name w:val="Normal Justified"/>
    <w:basedOn w:val="Normal"/>
    <w:pPr>
      <w:spacing w:before="200" w:after="120" w:line="360" w:lineRule="auto"/>
      <w:jc w:val="both"/>
    </w:pPr>
    <w:rPr>
      <w:rFonts w:ascii="Times New Roman" w:eastAsia="Times New Roman" w:hAnsi="Times New Roman" w:cs="Times New Roman"/>
      <w:sz w:val="24"/>
      <w:szCs w:val="24"/>
    </w:rPr>
  </w:style>
  <w:style w:type="paragraph" w:customStyle="1" w:styleId="HeaderLandscape">
    <w:name w:val="HeaderLandscape"/>
    <w:basedOn w:val="Normal"/>
    <w:pPr>
      <w:tabs>
        <w:tab w:val="right" w:pos="14570"/>
      </w:tabs>
      <w:spacing w:before="120" w:after="120" w:line="360" w:lineRule="auto"/>
    </w:pPr>
    <w:rPr>
      <w:rFonts w:ascii="Times New Roman" w:eastAsia="Times New Roman" w:hAnsi="Times New Roman" w:cs="Times New Roman"/>
      <w:sz w:val="24"/>
      <w:szCs w:val="24"/>
    </w:rPr>
  </w:style>
  <w:style w:type="paragraph" w:customStyle="1" w:styleId="HeaderCouncil">
    <w:name w:val="Header Council"/>
    <w:basedOn w:val="Normal"/>
    <w:pPr>
      <w:spacing w:after="0" w:line="240" w:lineRule="auto"/>
    </w:pPr>
    <w:rPr>
      <w:rFonts w:ascii="Times New Roman" w:eastAsia="Times New Roman" w:hAnsi="Times New Roman" w:cs="Times New Roman"/>
      <w:sz w:val="2"/>
      <w:szCs w:val="24"/>
    </w:rPr>
  </w:style>
  <w:style w:type="paragraph" w:customStyle="1" w:styleId="FooterCouncil">
    <w:name w:val="Footer Council"/>
    <w:basedOn w:val="Normal"/>
    <w:pPr>
      <w:spacing w:after="0" w:line="240" w:lineRule="auto"/>
    </w:pPr>
    <w:rPr>
      <w:rFonts w:ascii="Times New Roman" w:eastAsia="Times New Roman" w:hAnsi="Times New Roman" w:cs="Times New Roman"/>
      <w:sz w:val="2"/>
      <w:szCs w:val="24"/>
    </w:rPr>
  </w:style>
  <w:style w:type="paragraph" w:customStyle="1" w:styleId="TechnicalBlock">
    <w:name w:val="Technical Block"/>
    <w:basedOn w:val="Normal"/>
    <w:next w:val="Normal"/>
    <w:link w:val="TechnicalBlockChar"/>
    <w:pPr>
      <w:spacing w:after="240" w:line="240" w:lineRule="auto"/>
      <w:jc w:val="center"/>
    </w:pPr>
    <w:rPr>
      <w:rFonts w:ascii="Times New Roman" w:eastAsia="Times New Roman" w:hAnsi="Times New Roman" w:cs="Times New Roman"/>
      <w:sz w:val="24"/>
      <w:szCs w:val="24"/>
    </w:rPr>
  </w:style>
  <w:style w:type="paragraph" w:customStyle="1" w:styleId="FinalLine">
    <w:name w:val="Final Line"/>
    <w:basedOn w:val="Normal"/>
    <w:next w:val="Normal"/>
    <w:pPr>
      <w:pBdr>
        <w:bottom w:val="single" w:sz="4" w:space="0" w:color="000000"/>
      </w:pBdr>
      <w:spacing w:before="360" w:after="120" w:line="360" w:lineRule="auto"/>
      <w:ind w:left="3400" w:right="3400"/>
      <w:jc w:val="center"/>
    </w:pPr>
    <w:rPr>
      <w:rFonts w:ascii="Times New Roman" w:eastAsia="Times New Roman" w:hAnsi="Times New Roman" w:cs="Times New Roman"/>
      <w:b/>
      <w:sz w:val="24"/>
      <w:szCs w:val="24"/>
    </w:rPr>
  </w:style>
  <w:style w:type="paragraph" w:customStyle="1" w:styleId="FinalLineLandscape">
    <w:name w:val="Final Line (Landscape)"/>
    <w:basedOn w:val="Normal"/>
    <w:next w:val="Normal"/>
    <w:pPr>
      <w:pBdr>
        <w:bottom w:val="single" w:sz="4" w:space="0" w:color="000000"/>
      </w:pBdr>
      <w:spacing w:before="360" w:after="120" w:line="360" w:lineRule="auto"/>
      <w:ind w:left="5868" w:right="5868"/>
      <w:jc w:val="center"/>
    </w:pPr>
    <w:rPr>
      <w:rFonts w:ascii="Times New Roman" w:eastAsia="Times New Roman" w:hAnsi="Times New Roman" w:cs="Times New Roman"/>
      <w:b/>
      <w:sz w:val="24"/>
      <w:szCs w:val="24"/>
    </w:rPr>
  </w:style>
  <w:style w:type="paragraph" w:customStyle="1" w:styleId="Text1">
    <w:name w:val="Text 1"/>
    <w:basedOn w:val="Normal"/>
    <w:pPr>
      <w:spacing w:before="120" w:after="120" w:line="360" w:lineRule="auto"/>
      <w:ind w:left="567"/>
      <w:outlineLvl w:val="0"/>
    </w:pPr>
    <w:rPr>
      <w:rFonts w:ascii="Times New Roman" w:eastAsia="Times New Roman" w:hAnsi="Times New Roman" w:cs="Times New Roman"/>
      <w:sz w:val="24"/>
      <w:szCs w:val="24"/>
    </w:rPr>
  </w:style>
  <w:style w:type="paragraph" w:customStyle="1" w:styleId="Text2">
    <w:name w:val="Text 2"/>
    <w:basedOn w:val="Normal"/>
    <w:pPr>
      <w:spacing w:before="120" w:after="120" w:line="360" w:lineRule="auto"/>
      <w:ind w:left="1134"/>
      <w:outlineLvl w:val="1"/>
    </w:pPr>
    <w:rPr>
      <w:rFonts w:ascii="Times New Roman" w:eastAsia="Times New Roman" w:hAnsi="Times New Roman" w:cs="Times New Roman"/>
      <w:sz w:val="24"/>
      <w:szCs w:val="24"/>
    </w:rPr>
  </w:style>
  <w:style w:type="paragraph" w:customStyle="1" w:styleId="Text3">
    <w:name w:val="Text 3"/>
    <w:basedOn w:val="Normal"/>
    <w:pPr>
      <w:spacing w:before="120" w:after="120" w:line="360" w:lineRule="auto"/>
      <w:ind w:left="1701"/>
      <w:outlineLvl w:val="2"/>
    </w:pPr>
    <w:rPr>
      <w:rFonts w:ascii="Times New Roman" w:eastAsia="Times New Roman" w:hAnsi="Times New Roman" w:cs="Times New Roman"/>
      <w:sz w:val="24"/>
      <w:szCs w:val="24"/>
    </w:rPr>
  </w:style>
  <w:style w:type="paragraph" w:customStyle="1" w:styleId="Text4">
    <w:name w:val="Text 4"/>
    <w:basedOn w:val="Normal"/>
    <w:pPr>
      <w:spacing w:before="120" w:after="120" w:line="360" w:lineRule="auto"/>
      <w:ind w:left="2268"/>
      <w:outlineLvl w:val="3"/>
    </w:pPr>
    <w:rPr>
      <w:rFonts w:ascii="Times New Roman" w:eastAsia="Times New Roman" w:hAnsi="Times New Roman" w:cs="Times New Roman"/>
      <w:sz w:val="24"/>
      <w:szCs w:val="24"/>
    </w:rPr>
  </w:style>
  <w:style w:type="paragraph" w:customStyle="1" w:styleId="Text5">
    <w:name w:val="Text 5"/>
    <w:basedOn w:val="Normal"/>
    <w:pPr>
      <w:spacing w:before="120" w:after="120" w:line="360" w:lineRule="auto"/>
      <w:ind w:left="2835"/>
      <w:outlineLvl w:val="4"/>
    </w:pPr>
    <w:rPr>
      <w:rFonts w:ascii="Times New Roman" w:eastAsia="Times New Roman" w:hAnsi="Times New Roman" w:cs="Times New Roman"/>
      <w:sz w:val="24"/>
      <w:szCs w:val="24"/>
    </w:rPr>
  </w:style>
  <w:style w:type="paragraph" w:customStyle="1" w:styleId="Text6">
    <w:name w:val="Text 6"/>
    <w:basedOn w:val="Normal"/>
    <w:pPr>
      <w:spacing w:before="120" w:after="120" w:line="360" w:lineRule="auto"/>
      <w:ind w:left="3402"/>
      <w:outlineLvl w:val="5"/>
    </w:pPr>
    <w:rPr>
      <w:rFonts w:ascii="Times New Roman" w:eastAsia="Times New Roman" w:hAnsi="Times New Roman" w:cs="Times New Roman"/>
      <w:sz w:val="24"/>
      <w:szCs w:val="24"/>
    </w:rPr>
  </w:style>
  <w:style w:type="paragraph" w:customStyle="1" w:styleId="PointManual">
    <w:name w:val="Point Manual"/>
    <w:basedOn w:val="Normal"/>
    <w:pPr>
      <w:spacing w:before="120" w:after="120" w:line="360" w:lineRule="auto"/>
      <w:ind w:left="567" w:hanging="567"/>
    </w:pPr>
    <w:rPr>
      <w:rFonts w:ascii="Times New Roman" w:eastAsia="Times New Roman" w:hAnsi="Times New Roman" w:cs="Times New Roman"/>
      <w:sz w:val="24"/>
      <w:szCs w:val="24"/>
    </w:rPr>
  </w:style>
  <w:style w:type="paragraph" w:customStyle="1" w:styleId="PointManual1">
    <w:name w:val="Point Manual (1)"/>
    <w:basedOn w:val="Normal"/>
    <w:pPr>
      <w:spacing w:before="120" w:after="120" w:line="360" w:lineRule="auto"/>
      <w:ind w:left="1134" w:hanging="567"/>
      <w:outlineLvl w:val="0"/>
    </w:pPr>
    <w:rPr>
      <w:rFonts w:ascii="Times New Roman" w:eastAsia="Times New Roman" w:hAnsi="Times New Roman" w:cs="Times New Roman"/>
      <w:sz w:val="24"/>
      <w:szCs w:val="24"/>
    </w:rPr>
  </w:style>
  <w:style w:type="paragraph" w:customStyle="1" w:styleId="PointManual2">
    <w:name w:val="Point Manual (2)"/>
    <w:basedOn w:val="Normal"/>
    <w:pPr>
      <w:spacing w:before="120" w:after="120" w:line="360" w:lineRule="auto"/>
      <w:ind w:left="1701" w:hanging="567"/>
      <w:outlineLvl w:val="1"/>
    </w:pPr>
    <w:rPr>
      <w:rFonts w:ascii="Times New Roman" w:eastAsia="Times New Roman" w:hAnsi="Times New Roman" w:cs="Times New Roman"/>
      <w:sz w:val="24"/>
      <w:szCs w:val="24"/>
    </w:rPr>
  </w:style>
  <w:style w:type="paragraph" w:customStyle="1" w:styleId="PointManual3">
    <w:name w:val="Point Manual (3)"/>
    <w:basedOn w:val="Normal"/>
    <w:pPr>
      <w:spacing w:before="120" w:after="120" w:line="360" w:lineRule="auto"/>
      <w:ind w:left="2268" w:hanging="567"/>
      <w:outlineLvl w:val="2"/>
    </w:pPr>
    <w:rPr>
      <w:rFonts w:ascii="Times New Roman" w:eastAsia="Times New Roman" w:hAnsi="Times New Roman" w:cs="Times New Roman"/>
      <w:sz w:val="24"/>
      <w:szCs w:val="24"/>
    </w:rPr>
  </w:style>
  <w:style w:type="paragraph" w:customStyle="1" w:styleId="PointManual4">
    <w:name w:val="Point Manual (4)"/>
    <w:basedOn w:val="Normal"/>
    <w:pPr>
      <w:spacing w:before="120" w:after="120" w:line="360" w:lineRule="auto"/>
      <w:ind w:left="2835" w:hanging="567"/>
      <w:outlineLvl w:val="3"/>
    </w:pPr>
    <w:rPr>
      <w:rFonts w:ascii="Times New Roman" w:eastAsia="Times New Roman" w:hAnsi="Times New Roman" w:cs="Times New Roman"/>
      <w:sz w:val="24"/>
      <w:szCs w:val="24"/>
    </w:rPr>
  </w:style>
  <w:style w:type="paragraph" w:customStyle="1" w:styleId="PointDoubleManual">
    <w:name w:val="Point Double Manual"/>
    <w:basedOn w:val="Normal"/>
    <w:pPr>
      <w:tabs>
        <w:tab w:val="left" w:pos="567"/>
      </w:tabs>
      <w:spacing w:before="120" w:after="120" w:line="360" w:lineRule="auto"/>
      <w:ind w:left="1134" w:hanging="1134"/>
    </w:pPr>
    <w:rPr>
      <w:rFonts w:ascii="Times New Roman" w:eastAsia="Times New Roman" w:hAnsi="Times New Roman" w:cs="Times New Roman"/>
      <w:sz w:val="24"/>
      <w:szCs w:val="24"/>
    </w:rPr>
  </w:style>
  <w:style w:type="paragraph" w:customStyle="1" w:styleId="PointDoubleManual1">
    <w:name w:val="Point Double Manual (1)"/>
    <w:basedOn w:val="Normal"/>
    <w:pPr>
      <w:tabs>
        <w:tab w:val="left" w:pos="1134"/>
      </w:tabs>
      <w:spacing w:before="120" w:after="120" w:line="360" w:lineRule="auto"/>
      <w:ind w:left="1701" w:hanging="1134"/>
      <w:outlineLvl w:val="0"/>
    </w:pPr>
    <w:rPr>
      <w:rFonts w:ascii="Times New Roman" w:eastAsia="Times New Roman" w:hAnsi="Times New Roman" w:cs="Times New Roman"/>
      <w:sz w:val="24"/>
      <w:szCs w:val="24"/>
    </w:rPr>
  </w:style>
  <w:style w:type="paragraph" w:customStyle="1" w:styleId="PointDoubleManual2">
    <w:name w:val="Point Double Manual (2)"/>
    <w:basedOn w:val="Normal"/>
    <w:pPr>
      <w:tabs>
        <w:tab w:val="left" w:pos="1701"/>
      </w:tabs>
      <w:spacing w:before="120" w:after="120" w:line="360" w:lineRule="auto"/>
      <w:ind w:left="2268" w:hanging="1134"/>
      <w:outlineLvl w:val="1"/>
    </w:pPr>
    <w:rPr>
      <w:rFonts w:ascii="Times New Roman" w:eastAsia="Times New Roman" w:hAnsi="Times New Roman" w:cs="Times New Roman"/>
      <w:sz w:val="24"/>
      <w:szCs w:val="24"/>
    </w:rPr>
  </w:style>
  <w:style w:type="paragraph" w:customStyle="1" w:styleId="PointDoubleManual3">
    <w:name w:val="Point Double Manual (3)"/>
    <w:basedOn w:val="Normal"/>
    <w:pPr>
      <w:tabs>
        <w:tab w:val="left" w:pos="2268"/>
      </w:tabs>
      <w:spacing w:before="120" w:after="120" w:line="360" w:lineRule="auto"/>
      <w:ind w:left="2835" w:hanging="1134"/>
      <w:outlineLvl w:val="2"/>
    </w:pPr>
    <w:rPr>
      <w:rFonts w:ascii="Times New Roman" w:eastAsia="Times New Roman" w:hAnsi="Times New Roman" w:cs="Times New Roman"/>
      <w:sz w:val="24"/>
      <w:szCs w:val="24"/>
    </w:rPr>
  </w:style>
  <w:style w:type="paragraph" w:customStyle="1" w:styleId="PointDoubleManual4">
    <w:name w:val="Point Double Manual (4)"/>
    <w:basedOn w:val="Normal"/>
    <w:pPr>
      <w:tabs>
        <w:tab w:val="left" w:pos="2835"/>
      </w:tabs>
      <w:spacing w:before="120" w:after="120" w:line="360" w:lineRule="auto"/>
      <w:ind w:left="3402" w:hanging="1134"/>
      <w:outlineLvl w:val="3"/>
    </w:pPr>
    <w:rPr>
      <w:rFonts w:ascii="Times New Roman" w:eastAsia="Times New Roman" w:hAnsi="Times New Roman" w:cs="Times New Roman"/>
      <w:sz w:val="24"/>
      <w:szCs w:val="24"/>
    </w:rPr>
  </w:style>
  <w:style w:type="paragraph" w:customStyle="1" w:styleId="Pointabc">
    <w:name w:val="Point abc"/>
    <w:basedOn w:val="Normal"/>
    <w:pPr>
      <w:numPr>
        <w:ilvl w:val="1"/>
        <w:numId w:val="27"/>
      </w:numPr>
      <w:spacing w:before="120" w:after="120" w:line="360" w:lineRule="auto"/>
    </w:pPr>
    <w:rPr>
      <w:rFonts w:ascii="Times New Roman" w:eastAsia="Times New Roman" w:hAnsi="Times New Roman" w:cs="Times New Roman"/>
      <w:sz w:val="24"/>
      <w:szCs w:val="24"/>
    </w:rPr>
  </w:style>
  <w:style w:type="paragraph" w:customStyle="1" w:styleId="Pointabc1">
    <w:name w:val="Point abc (1)"/>
    <w:basedOn w:val="Normal"/>
    <w:pPr>
      <w:numPr>
        <w:ilvl w:val="3"/>
        <w:numId w:val="27"/>
      </w:numPr>
      <w:spacing w:before="120" w:after="120" w:line="360" w:lineRule="auto"/>
      <w:outlineLvl w:val="0"/>
    </w:pPr>
    <w:rPr>
      <w:rFonts w:ascii="Times New Roman" w:eastAsia="Times New Roman" w:hAnsi="Times New Roman" w:cs="Times New Roman"/>
      <w:sz w:val="24"/>
      <w:szCs w:val="24"/>
    </w:rPr>
  </w:style>
  <w:style w:type="paragraph" w:customStyle="1" w:styleId="Pointabc2">
    <w:name w:val="Point abc (2)"/>
    <w:basedOn w:val="Normal"/>
    <w:pPr>
      <w:numPr>
        <w:ilvl w:val="5"/>
        <w:numId w:val="27"/>
      </w:numPr>
      <w:spacing w:before="120" w:after="120" w:line="360" w:lineRule="auto"/>
      <w:outlineLvl w:val="1"/>
    </w:pPr>
    <w:rPr>
      <w:rFonts w:ascii="Times New Roman" w:eastAsia="Times New Roman" w:hAnsi="Times New Roman" w:cs="Times New Roman"/>
      <w:sz w:val="24"/>
      <w:szCs w:val="24"/>
    </w:rPr>
  </w:style>
  <w:style w:type="paragraph" w:customStyle="1" w:styleId="Pointabc3">
    <w:name w:val="Point abc (3)"/>
    <w:basedOn w:val="Normal"/>
    <w:pPr>
      <w:numPr>
        <w:ilvl w:val="7"/>
        <w:numId w:val="27"/>
      </w:numPr>
      <w:spacing w:before="120" w:after="120" w:line="360" w:lineRule="auto"/>
      <w:outlineLvl w:val="2"/>
    </w:pPr>
    <w:rPr>
      <w:rFonts w:ascii="Times New Roman" w:eastAsia="Times New Roman" w:hAnsi="Times New Roman" w:cs="Times New Roman"/>
      <w:sz w:val="24"/>
      <w:szCs w:val="24"/>
    </w:rPr>
  </w:style>
  <w:style w:type="paragraph" w:customStyle="1" w:styleId="Pointabc4">
    <w:name w:val="Point abc (4)"/>
    <w:basedOn w:val="Normal"/>
    <w:pPr>
      <w:numPr>
        <w:ilvl w:val="8"/>
        <w:numId w:val="27"/>
      </w:numPr>
      <w:spacing w:before="120" w:after="120" w:line="360" w:lineRule="auto"/>
      <w:outlineLvl w:val="3"/>
    </w:pPr>
    <w:rPr>
      <w:rFonts w:ascii="Times New Roman" w:eastAsia="Times New Roman" w:hAnsi="Times New Roman" w:cs="Times New Roman"/>
      <w:sz w:val="24"/>
      <w:szCs w:val="24"/>
    </w:rPr>
  </w:style>
  <w:style w:type="paragraph" w:customStyle="1" w:styleId="Point123">
    <w:name w:val="Point 123"/>
    <w:basedOn w:val="Normal"/>
    <w:pPr>
      <w:numPr>
        <w:numId w:val="27"/>
      </w:numPr>
      <w:spacing w:before="120" w:after="120" w:line="360" w:lineRule="auto"/>
    </w:pPr>
    <w:rPr>
      <w:rFonts w:ascii="Times New Roman" w:eastAsia="Times New Roman" w:hAnsi="Times New Roman" w:cs="Times New Roman"/>
      <w:sz w:val="24"/>
      <w:szCs w:val="24"/>
    </w:rPr>
  </w:style>
  <w:style w:type="paragraph" w:customStyle="1" w:styleId="Point1231">
    <w:name w:val="Point 123 (1)"/>
    <w:basedOn w:val="Normal"/>
    <w:pPr>
      <w:numPr>
        <w:ilvl w:val="2"/>
        <w:numId w:val="27"/>
      </w:numPr>
      <w:spacing w:before="120" w:after="120" w:line="360" w:lineRule="auto"/>
      <w:outlineLvl w:val="0"/>
    </w:pPr>
    <w:rPr>
      <w:rFonts w:ascii="Times New Roman" w:eastAsia="Times New Roman" w:hAnsi="Times New Roman" w:cs="Times New Roman"/>
      <w:sz w:val="24"/>
      <w:szCs w:val="24"/>
    </w:rPr>
  </w:style>
  <w:style w:type="paragraph" w:customStyle="1" w:styleId="Point1232">
    <w:name w:val="Point 123 (2)"/>
    <w:basedOn w:val="Normal"/>
    <w:pPr>
      <w:numPr>
        <w:ilvl w:val="4"/>
        <w:numId w:val="27"/>
      </w:numPr>
      <w:spacing w:before="120" w:after="120" w:line="360" w:lineRule="auto"/>
      <w:outlineLvl w:val="1"/>
    </w:pPr>
    <w:rPr>
      <w:rFonts w:ascii="Times New Roman" w:eastAsia="Times New Roman" w:hAnsi="Times New Roman" w:cs="Times New Roman"/>
      <w:sz w:val="24"/>
      <w:szCs w:val="24"/>
    </w:rPr>
  </w:style>
  <w:style w:type="paragraph" w:customStyle="1" w:styleId="Point1233">
    <w:name w:val="Point 123 (3)"/>
    <w:basedOn w:val="Normal"/>
    <w:pPr>
      <w:numPr>
        <w:ilvl w:val="6"/>
        <w:numId w:val="27"/>
      </w:numPr>
      <w:spacing w:before="120" w:after="120" w:line="360" w:lineRule="auto"/>
      <w:outlineLvl w:val="2"/>
    </w:pPr>
    <w:rPr>
      <w:rFonts w:ascii="Times New Roman" w:eastAsia="Times New Roman" w:hAnsi="Times New Roman" w:cs="Times New Roman"/>
      <w:sz w:val="24"/>
      <w:szCs w:val="24"/>
    </w:rPr>
  </w:style>
  <w:style w:type="paragraph" w:customStyle="1" w:styleId="Pointivx">
    <w:name w:val="Point ivx"/>
    <w:basedOn w:val="Normal"/>
    <w:pPr>
      <w:numPr>
        <w:numId w:val="28"/>
      </w:numPr>
      <w:spacing w:before="120" w:after="120" w:line="360" w:lineRule="auto"/>
    </w:pPr>
    <w:rPr>
      <w:rFonts w:ascii="Times New Roman" w:eastAsia="Times New Roman" w:hAnsi="Times New Roman" w:cs="Times New Roman"/>
      <w:sz w:val="24"/>
      <w:szCs w:val="24"/>
    </w:rPr>
  </w:style>
  <w:style w:type="paragraph" w:customStyle="1" w:styleId="Pointivx1">
    <w:name w:val="Point ivx (1)"/>
    <w:basedOn w:val="Normal"/>
    <w:pPr>
      <w:numPr>
        <w:ilvl w:val="1"/>
        <w:numId w:val="28"/>
      </w:numPr>
      <w:spacing w:before="120" w:after="120" w:line="360" w:lineRule="auto"/>
      <w:outlineLvl w:val="0"/>
    </w:pPr>
    <w:rPr>
      <w:rFonts w:ascii="Times New Roman" w:eastAsia="Times New Roman" w:hAnsi="Times New Roman" w:cs="Times New Roman"/>
      <w:sz w:val="24"/>
      <w:szCs w:val="24"/>
    </w:rPr>
  </w:style>
  <w:style w:type="paragraph" w:customStyle="1" w:styleId="Pointivx2">
    <w:name w:val="Point ivx (2)"/>
    <w:basedOn w:val="Normal"/>
    <w:pPr>
      <w:numPr>
        <w:ilvl w:val="2"/>
        <w:numId w:val="28"/>
      </w:numPr>
      <w:spacing w:before="120" w:after="120" w:line="360" w:lineRule="auto"/>
      <w:outlineLvl w:val="1"/>
    </w:pPr>
    <w:rPr>
      <w:rFonts w:ascii="Times New Roman" w:eastAsia="Times New Roman" w:hAnsi="Times New Roman" w:cs="Times New Roman"/>
      <w:sz w:val="24"/>
      <w:szCs w:val="24"/>
    </w:rPr>
  </w:style>
  <w:style w:type="paragraph" w:customStyle="1" w:styleId="Pointivx3">
    <w:name w:val="Point ivx (3)"/>
    <w:basedOn w:val="Normal"/>
    <w:pPr>
      <w:numPr>
        <w:ilvl w:val="3"/>
        <w:numId w:val="28"/>
      </w:numPr>
      <w:spacing w:before="120" w:after="120" w:line="360" w:lineRule="auto"/>
      <w:outlineLvl w:val="2"/>
    </w:pPr>
    <w:rPr>
      <w:rFonts w:ascii="Times New Roman" w:eastAsia="Times New Roman" w:hAnsi="Times New Roman" w:cs="Times New Roman"/>
      <w:sz w:val="24"/>
      <w:szCs w:val="24"/>
    </w:rPr>
  </w:style>
  <w:style w:type="paragraph" w:customStyle="1" w:styleId="Pointivx4">
    <w:name w:val="Point ivx (4)"/>
    <w:basedOn w:val="Normal"/>
    <w:pPr>
      <w:numPr>
        <w:ilvl w:val="4"/>
        <w:numId w:val="28"/>
      </w:numPr>
      <w:spacing w:before="120" w:after="120" w:line="360" w:lineRule="auto"/>
      <w:outlineLvl w:val="3"/>
    </w:pPr>
    <w:rPr>
      <w:rFonts w:ascii="Times New Roman" w:eastAsia="Times New Roman" w:hAnsi="Times New Roman" w:cs="Times New Roman"/>
      <w:sz w:val="24"/>
      <w:szCs w:val="24"/>
    </w:rPr>
  </w:style>
  <w:style w:type="paragraph" w:customStyle="1" w:styleId="Bullet">
    <w:name w:val="Bullet"/>
    <w:basedOn w:val="Normal"/>
    <w:pPr>
      <w:numPr>
        <w:numId w:val="22"/>
      </w:numPr>
      <w:spacing w:before="120" w:after="120" w:line="360" w:lineRule="auto"/>
    </w:pPr>
    <w:rPr>
      <w:rFonts w:ascii="Times New Roman" w:eastAsia="Times New Roman" w:hAnsi="Times New Roman" w:cs="Times New Roman"/>
      <w:sz w:val="24"/>
      <w:szCs w:val="24"/>
    </w:rPr>
  </w:style>
  <w:style w:type="paragraph" w:customStyle="1" w:styleId="Bullet1">
    <w:name w:val="Bullet 1"/>
    <w:basedOn w:val="Normal"/>
    <w:pPr>
      <w:numPr>
        <w:numId w:val="23"/>
      </w:numPr>
      <w:spacing w:before="120" w:after="120" w:line="360" w:lineRule="auto"/>
      <w:outlineLvl w:val="0"/>
    </w:pPr>
    <w:rPr>
      <w:rFonts w:ascii="Times New Roman" w:eastAsia="Times New Roman" w:hAnsi="Times New Roman" w:cs="Times New Roman"/>
      <w:sz w:val="24"/>
      <w:szCs w:val="24"/>
    </w:rPr>
  </w:style>
  <w:style w:type="paragraph" w:customStyle="1" w:styleId="Bullet2">
    <w:name w:val="Bullet 2"/>
    <w:basedOn w:val="Normal"/>
    <w:pPr>
      <w:numPr>
        <w:numId w:val="24"/>
      </w:numPr>
      <w:spacing w:before="120" w:after="120" w:line="360" w:lineRule="auto"/>
      <w:outlineLvl w:val="1"/>
    </w:pPr>
    <w:rPr>
      <w:rFonts w:ascii="Times New Roman" w:eastAsia="Times New Roman" w:hAnsi="Times New Roman" w:cs="Times New Roman"/>
      <w:sz w:val="24"/>
      <w:szCs w:val="24"/>
    </w:rPr>
  </w:style>
  <w:style w:type="paragraph" w:customStyle="1" w:styleId="Bullet3">
    <w:name w:val="Bullet 3"/>
    <w:basedOn w:val="Normal"/>
    <w:pPr>
      <w:numPr>
        <w:numId w:val="25"/>
      </w:numPr>
      <w:spacing w:before="120" w:after="120" w:line="360" w:lineRule="auto"/>
      <w:outlineLvl w:val="2"/>
    </w:pPr>
    <w:rPr>
      <w:rFonts w:ascii="Times New Roman" w:eastAsia="Times New Roman" w:hAnsi="Times New Roman" w:cs="Times New Roman"/>
      <w:sz w:val="24"/>
      <w:szCs w:val="24"/>
    </w:rPr>
  </w:style>
  <w:style w:type="paragraph" w:customStyle="1" w:styleId="Bullet4">
    <w:name w:val="Bullet 4"/>
    <w:basedOn w:val="Normal"/>
    <w:pPr>
      <w:numPr>
        <w:numId w:val="26"/>
      </w:numPr>
      <w:spacing w:before="120" w:after="120" w:line="360" w:lineRule="auto"/>
      <w:outlineLvl w:val="3"/>
    </w:pPr>
    <w:rPr>
      <w:rFonts w:ascii="Times New Roman" w:eastAsia="Times New Roman" w:hAnsi="Times New Roman" w:cs="Times New Roman"/>
      <w:sz w:val="24"/>
      <w:szCs w:val="24"/>
    </w:rPr>
  </w:style>
  <w:style w:type="paragraph" w:customStyle="1" w:styleId="Dash">
    <w:name w:val="Dash"/>
    <w:basedOn w:val="Normal"/>
    <w:pPr>
      <w:numPr>
        <w:numId w:val="12"/>
      </w:numPr>
      <w:spacing w:before="120" w:after="120" w:line="360" w:lineRule="auto"/>
    </w:pPr>
    <w:rPr>
      <w:rFonts w:ascii="Times New Roman" w:eastAsia="Times New Roman" w:hAnsi="Times New Roman" w:cs="Times New Roman"/>
      <w:sz w:val="24"/>
      <w:szCs w:val="24"/>
    </w:rPr>
  </w:style>
  <w:style w:type="paragraph" w:customStyle="1" w:styleId="Dash1">
    <w:name w:val="Dash 1"/>
    <w:basedOn w:val="Normal"/>
    <w:pPr>
      <w:numPr>
        <w:numId w:val="13"/>
      </w:numPr>
      <w:spacing w:before="120" w:after="120" w:line="360" w:lineRule="auto"/>
      <w:outlineLvl w:val="0"/>
    </w:pPr>
    <w:rPr>
      <w:rFonts w:ascii="Times New Roman" w:eastAsia="Times New Roman" w:hAnsi="Times New Roman" w:cs="Times New Roman"/>
      <w:sz w:val="24"/>
      <w:szCs w:val="24"/>
    </w:rPr>
  </w:style>
  <w:style w:type="paragraph" w:customStyle="1" w:styleId="Dash2">
    <w:name w:val="Dash 2"/>
    <w:basedOn w:val="Normal"/>
    <w:pPr>
      <w:numPr>
        <w:numId w:val="14"/>
      </w:numPr>
      <w:spacing w:before="120" w:after="120" w:line="360" w:lineRule="auto"/>
      <w:outlineLvl w:val="1"/>
    </w:pPr>
    <w:rPr>
      <w:rFonts w:ascii="Times New Roman" w:eastAsia="Times New Roman" w:hAnsi="Times New Roman" w:cs="Times New Roman"/>
      <w:sz w:val="24"/>
      <w:szCs w:val="24"/>
    </w:rPr>
  </w:style>
  <w:style w:type="paragraph" w:customStyle="1" w:styleId="Dash3">
    <w:name w:val="Dash 3"/>
    <w:basedOn w:val="Normal"/>
    <w:pPr>
      <w:numPr>
        <w:numId w:val="15"/>
      </w:numPr>
      <w:spacing w:before="120" w:after="120" w:line="360" w:lineRule="auto"/>
      <w:outlineLvl w:val="2"/>
    </w:pPr>
    <w:rPr>
      <w:rFonts w:ascii="Times New Roman" w:eastAsia="Times New Roman" w:hAnsi="Times New Roman" w:cs="Times New Roman"/>
      <w:sz w:val="24"/>
      <w:szCs w:val="24"/>
    </w:rPr>
  </w:style>
  <w:style w:type="paragraph" w:customStyle="1" w:styleId="Dash4">
    <w:name w:val="Dash 4"/>
    <w:basedOn w:val="Normal"/>
    <w:pPr>
      <w:numPr>
        <w:numId w:val="16"/>
      </w:numPr>
      <w:spacing w:before="120" w:after="120" w:line="360" w:lineRule="auto"/>
      <w:outlineLvl w:val="3"/>
    </w:pPr>
    <w:rPr>
      <w:rFonts w:ascii="Times New Roman" w:eastAsia="Times New Roman" w:hAnsi="Times New Roman" w:cs="Times New Roman"/>
      <w:sz w:val="24"/>
      <w:szCs w:val="24"/>
    </w:rPr>
  </w:style>
  <w:style w:type="paragraph" w:customStyle="1" w:styleId="DashEqual">
    <w:name w:val="Dash Equal"/>
    <w:basedOn w:val="Dash"/>
    <w:pPr>
      <w:numPr>
        <w:numId w:val="17"/>
      </w:numPr>
    </w:pPr>
  </w:style>
  <w:style w:type="paragraph" w:customStyle="1" w:styleId="DashEqual1">
    <w:name w:val="Dash Equal 1"/>
    <w:basedOn w:val="Dash1"/>
    <w:pPr>
      <w:numPr>
        <w:numId w:val="18"/>
      </w:numPr>
    </w:pPr>
  </w:style>
  <w:style w:type="paragraph" w:customStyle="1" w:styleId="DashEqual2">
    <w:name w:val="Dash Equal 2"/>
    <w:basedOn w:val="Dash2"/>
    <w:pPr>
      <w:numPr>
        <w:numId w:val="19"/>
      </w:numPr>
    </w:pPr>
  </w:style>
  <w:style w:type="paragraph" w:customStyle="1" w:styleId="DashEqual3">
    <w:name w:val="Dash Equal 3"/>
    <w:basedOn w:val="Dash3"/>
    <w:pPr>
      <w:numPr>
        <w:numId w:val="20"/>
      </w:numPr>
    </w:pPr>
  </w:style>
  <w:style w:type="paragraph" w:customStyle="1" w:styleId="DashEqual4">
    <w:name w:val="Dash Equal 4"/>
    <w:basedOn w:val="Dash4"/>
    <w:pPr>
      <w:numPr>
        <w:numId w:val="21"/>
      </w:numPr>
    </w:pPr>
  </w:style>
  <w:style w:type="character" w:customStyle="1" w:styleId="Marker1">
    <w:name w:val="Marker1"/>
    <w:rPr>
      <w:color w:val="008000"/>
      <w:shd w:val="clear" w:color="auto" w:fill="auto"/>
    </w:rPr>
  </w:style>
  <w:style w:type="paragraph" w:customStyle="1" w:styleId="HeadingLeft">
    <w:name w:val="Heading Left"/>
    <w:basedOn w:val="Normal"/>
    <w:next w:val="Normal"/>
    <w:pPr>
      <w:spacing w:before="360" w:after="120" w:line="360" w:lineRule="auto"/>
      <w:outlineLvl w:val="0"/>
    </w:pPr>
    <w:rPr>
      <w:rFonts w:ascii="Times New Roman" w:eastAsia="Times New Roman" w:hAnsi="Times New Roman" w:cs="Times New Roman"/>
      <w:b/>
      <w:caps/>
      <w:sz w:val="24"/>
      <w:szCs w:val="24"/>
      <w:u w:val="single"/>
    </w:rPr>
  </w:style>
  <w:style w:type="paragraph" w:customStyle="1" w:styleId="HeadingIVX">
    <w:name w:val="Heading IVX"/>
    <w:basedOn w:val="HeadingLeft"/>
    <w:next w:val="Normal"/>
    <w:pPr>
      <w:numPr>
        <w:numId w:val="31"/>
      </w:numPr>
    </w:pPr>
  </w:style>
  <w:style w:type="paragraph" w:customStyle="1" w:styleId="Heading123">
    <w:name w:val="Heading 123"/>
    <w:basedOn w:val="HeadingLeft"/>
    <w:next w:val="Normal"/>
    <w:pPr>
      <w:numPr>
        <w:numId w:val="30"/>
      </w:numPr>
    </w:pPr>
  </w:style>
  <w:style w:type="paragraph" w:customStyle="1" w:styleId="HeadingABC">
    <w:name w:val="Heading ABC"/>
    <w:basedOn w:val="HeadingLeft"/>
    <w:next w:val="Normal"/>
    <w:pPr>
      <w:numPr>
        <w:numId w:val="29"/>
      </w:numPr>
    </w:pPr>
  </w:style>
  <w:style w:type="paragraph" w:customStyle="1" w:styleId="HeadingCentered">
    <w:name w:val="Heading Centered"/>
    <w:basedOn w:val="HeadingLeft"/>
    <w:next w:val="Normal"/>
    <w:pPr>
      <w:jc w:val="center"/>
    </w:pPr>
  </w:style>
  <w:style w:type="paragraph" w:customStyle="1" w:styleId="Amendment">
    <w:name w:val="Amendment"/>
    <w:basedOn w:val="Normal"/>
    <w:next w:val="Normal"/>
    <w:pPr>
      <w:spacing w:before="120" w:after="120" w:line="360" w:lineRule="auto"/>
    </w:pPr>
    <w:rPr>
      <w:rFonts w:ascii="Times New Roman" w:eastAsia="Times New Roman" w:hAnsi="Times New Roman" w:cs="Times New Roman"/>
      <w:i/>
      <w:sz w:val="24"/>
      <w:szCs w:val="24"/>
      <w:u w:val="single"/>
    </w:rPr>
  </w:style>
  <w:style w:type="paragraph" w:customStyle="1" w:styleId="AmendmentList">
    <w:name w:val="Amendment List"/>
    <w:basedOn w:val="Normal"/>
    <w:pPr>
      <w:spacing w:before="120" w:after="120" w:line="360" w:lineRule="auto"/>
      <w:ind w:left="2268" w:hanging="2268"/>
    </w:pPr>
    <w:rPr>
      <w:rFonts w:ascii="Times New Roman" w:eastAsia="Times New Roman" w:hAnsi="Times New Roman" w:cs="Times New Roman"/>
      <w:sz w:val="24"/>
      <w:szCs w:val="24"/>
    </w:rPr>
  </w:style>
  <w:style w:type="paragraph" w:customStyle="1" w:styleId="ReplyRE">
    <w:name w:val="Reply RE"/>
    <w:basedOn w:val="Normal"/>
    <w:next w:val="Normal"/>
    <w:pPr>
      <w:spacing w:before="120" w:after="480" w:line="240" w:lineRule="auto"/>
      <w:contextualSpacing/>
    </w:pPr>
    <w:rPr>
      <w:rFonts w:ascii="Times New Roman" w:eastAsia="Times New Roman" w:hAnsi="Times New Roman" w:cs="Times New Roman"/>
      <w:sz w:val="24"/>
      <w:szCs w:val="24"/>
    </w:rPr>
  </w:style>
  <w:style w:type="paragraph" w:customStyle="1" w:styleId="ReplyBold">
    <w:name w:val="Reply Bold"/>
    <w:basedOn w:val="ReplyRE"/>
    <w:next w:val="Normal"/>
    <w:rPr>
      <w:b/>
    </w:rPr>
  </w:style>
  <w:style w:type="paragraph" w:customStyle="1" w:styleId="Annex">
    <w:name w:val="Annex"/>
    <w:basedOn w:val="Normal"/>
    <w:next w:val="Normal"/>
    <w:pPr>
      <w:spacing w:before="120" w:after="120" w:line="360" w:lineRule="auto"/>
      <w:jc w:val="right"/>
    </w:pPr>
    <w:rPr>
      <w:rFonts w:ascii="Times New Roman" w:eastAsia="Times New Roman" w:hAnsi="Times New Roman" w:cs="Times New Roman"/>
      <w:b/>
      <w:sz w:val="24"/>
      <w:szCs w:val="24"/>
      <w:u w:val="single"/>
    </w:rPr>
  </w:style>
  <w:style w:type="paragraph" w:customStyle="1" w:styleId="Sign">
    <w:name w:val="Sign"/>
    <w:basedOn w:val="Normal"/>
    <w:pPr>
      <w:tabs>
        <w:tab w:val="center" w:pos="7087"/>
      </w:tabs>
      <w:spacing w:before="120" w:after="120" w:line="360" w:lineRule="auto"/>
    </w:pPr>
    <w:rPr>
      <w:rFonts w:ascii="Times New Roman" w:eastAsia="Times New Roman" w:hAnsi="Times New Roman" w:cs="Times New Roman"/>
      <w:sz w:val="24"/>
      <w:szCs w:val="24"/>
    </w:rPr>
  </w:style>
  <w:style w:type="paragraph" w:customStyle="1" w:styleId="NotDeclassified">
    <w:name w:val="Not Declassified"/>
    <w:basedOn w:val="Normal"/>
    <w:qFormat/>
    <w:pPr>
      <w:spacing w:before="120" w:after="120" w:line="360" w:lineRule="auto"/>
    </w:pPr>
    <w:rPr>
      <w:rFonts w:ascii="Times New Roman" w:eastAsia="Times New Roman" w:hAnsi="Times New Roman" w:cs="Times New Roman"/>
      <w:b/>
      <w:bCs/>
      <w:sz w:val="24"/>
      <w:szCs w:val="24"/>
      <w:bdr w:val="single" w:sz="4" w:space="0" w:color="auto"/>
      <w:shd w:val="solid" w:color="CCCCCC" w:fill="CCCCCC"/>
      <w:lang w:val="de-LU"/>
    </w:rPr>
  </w:style>
  <w:style w:type="paragraph" w:customStyle="1" w:styleId="HeaderCouncilLarge">
    <w:name w:val="Header Council Large"/>
    <w:basedOn w:val="Normal"/>
    <w:link w:val="HeaderCouncilLargeChar"/>
    <w:pPr>
      <w:spacing w:after="440" w:line="360" w:lineRule="auto"/>
      <w:ind w:left="-1134" w:right="-1134"/>
    </w:pPr>
    <w:rPr>
      <w:rFonts w:ascii="Times New Roman" w:eastAsia="Times New Roman" w:hAnsi="Times New Roman" w:cs="Times New Roman"/>
      <w:sz w:val="2"/>
      <w:szCs w:val="24"/>
    </w:rPr>
  </w:style>
  <w:style w:type="character" w:customStyle="1" w:styleId="TechnicalBlockChar">
    <w:name w:val="Technical Block Char"/>
    <w:link w:val="TechnicalBlock"/>
    <w:rPr>
      <w:rFonts w:ascii="Times New Roman" w:eastAsia="Times New Roman" w:hAnsi="Times New Roman" w:cs="Times New Roman"/>
      <w:sz w:val="24"/>
      <w:szCs w:val="24"/>
    </w:rPr>
  </w:style>
  <w:style w:type="character" w:customStyle="1" w:styleId="HeaderCouncilLargeChar">
    <w:name w:val="Header Council Large Char"/>
    <w:link w:val="HeaderCouncilLarge"/>
    <w:rPr>
      <w:rFonts w:ascii="Times New Roman" w:eastAsia="Times New Roman" w:hAnsi="Times New Roman" w:cs="Times New Roman"/>
      <w:sz w:val="2"/>
      <w:szCs w:val="24"/>
    </w:rPr>
  </w:style>
  <w:style w:type="paragraph" w:customStyle="1" w:styleId="FooterText">
    <w:name w:val="Footer Text"/>
    <w:basedOn w:val="Normal"/>
    <w:pPr>
      <w:spacing w:after="0" w:line="240" w:lineRule="auto"/>
    </w:pPr>
    <w:rPr>
      <w:rFonts w:ascii="Times New Roman" w:eastAsia="Times New Roman" w:hAnsi="Times New Roman" w:cs="Times New Roman"/>
      <w:sz w:val="24"/>
      <w:szCs w:val="24"/>
    </w:rPr>
  </w:style>
  <w:style w:type="paragraph" w:customStyle="1" w:styleId="CharCharCharCharCharCharCharChar">
    <w:name w:val="Char Char Char Char Char Char Char Char"/>
    <w:basedOn w:val="Normal"/>
    <w:next w:val="Normal"/>
    <w:pPr>
      <w:spacing w:after="160" w:line="240" w:lineRule="exact"/>
    </w:pPr>
    <w:rPr>
      <w:rFonts w:ascii="Tahoma" w:eastAsia="Times New Roman" w:hAnsi="Tahoma" w:cs="Times New Roman"/>
      <w:sz w:val="24"/>
      <w:szCs w:val="20"/>
      <w:lang w:val="en-US"/>
    </w:r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unhideWhenUsed/>
    <w:pPr>
      <w:spacing w:before="120" w:after="12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rPr>
  </w:style>
  <w:style w:type="character" w:styleId="Strong">
    <w:name w:val="Strong"/>
    <w:uiPriority w:val="22"/>
    <w:qFormat/>
    <w:rPr>
      <w:b/>
      <w:bCs/>
    </w:rPr>
  </w:style>
  <w:style w:type="paragraph" w:styleId="Revision">
    <w:name w:val="Revision"/>
    <w:hidden/>
    <w:uiPriority w:val="99"/>
    <w:semiHidden/>
    <w:pPr>
      <w:spacing w:after="0" w:line="240" w:lineRule="auto"/>
    </w:pPr>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pPr>
      <w:spacing w:after="120" w:line="480" w:lineRule="auto"/>
      <w:ind w:left="283"/>
    </w:pPr>
    <w:rPr>
      <w:rFonts w:ascii="Times New Roman" w:eastAsia="Times New Roman" w:hAnsi="Times New Roman" w:cs="Times New Roman"/>
      <w:sz w:val="24"/>
      <w:szCs w:val="24"/>
      <w:lang w:eastAsia="en-GB"/>
    </w:rPr>
  </w:style>
  <w:style w:type="character" w:customStyle="1" w:styleId="BodyTextIndent2Char">
    <w:name w:val="Body Text Indent 2 Char"/>
    <w:basedOn w:val="DefaultParagraphFont"/>
    <w:link w:val="BodyTextIndent2"/>
    <w:uiPriority w:val="99"/>
    <w:rPr>
      <w:rFonts w:ascii="Times New Roman" w:eastAsia="Times New Roman" w:hAnsi="Times New Roman" w:cs="Times New Roman"/>
      <w:sz w:val="24"/>
      <w:szCs w:val="24"/>
      <w:lang w:eastAsia="en-GB"/>
    </w:rPr>
  </w:style>
  <w:style w:type="character" w:styleId="Hyperlink">
    <w:name w:val="Hyperlink"/>
    <w:uiPriority w:val="99"/>
    <w:unhideWhenUsed/>
    <w:rPr>
      <w:color w:val="0000FF"/>
      <w:u w:val="single"/>
    </w:rPr>
  </w:style>
  <w:style w:type="character" w:styleId="HTMLCite">
    <w:name w:val="HTML Cite"/>
    <w:uiPriority w:val="99"/>
    <w:semiHidden/>
    <w:unhideWhenUsed/>
    <w:rPr>
      <w:i/>
      <w:iCs/>
    </w:rPr>
  </w:style>
  <w:style w:type="character" w:styleId="FollowedHyperlink">
    <w:name w:val="FollowedHyperlink"/>
    <w:uiPriority w:val="99"/>
    <w:semiHidden/>
    <w:unhideWhenUsed/>
    <w:rPr>
      <w:color w:val="800080"/>
      <w:u w:val="single"/>
    </w:rPr>
  </w:style>
  <w:style w:type="paragraph" w:customStyle="1" w:styleId="Lignefinal">
    <w:name w:val="Ligne final"/>
    <w:basedOn w:val="Normal"/>
    <w:next w:val="Normal"/>
    <w:pPr>
      <w:pBdr>
        <w:bottom w:val="single" w:sz="4" w:space="0" w:color="000000"/>
      </w:pBdr>
      <w:spacing w:before="360" w:after="120" w:line="360" w:lineRule="auto"/>
      <w:ind w:left="3400" w:right="3400"/>
      <w:jc w:val="center"/>
    </w:pPr>
    <w:rPr>
      <w:rFonts w:ascii="Times New Roman" w:eastAsia="Times New Roman" w:hAnsi="Times New Roman" w:cs="Times New Roman"/>
      <w:b/>
      <w:sz w:val="24"/>
      <w:szCs w:val="24"/>
    </w:rPr>
  </w:style>
  <w:style w:type="paragraph" w:customStyle="1" w:styleId="EntText">
    <w:name w:val="EntText"/>
    <w:basedOn w:val="Normal"/>
    <w:pPr>
      <w:spacing w:before="120" w:after="120" w:line="360" w:lineRule="auto"/>
    </w:pPr>
    <w:rPr>
      <w:rFonts w:ascii="Times New Roman" w:eastAsia="Times New Roman" w:hAnsi="Times New Roman" w:cs="Times New Roman"/>
      <w:sz w:val="24"/>
      <w:szCs w:val="24"/>
    </w:rPr>
  </w:style>
  <w:style w:type="paragraph" w:customStyle="1" w:styleId="pj">
    <w:name w:val="p.j."/>
    <w:basedOn w:val="Normal"/>
    <w:link w:val="pjChar"/>
    <w:pPr>
      <w:widowControl w:val="0"/>
      <w:spacing w:before="1200" w:after="120" w:line="240" w:lineRule="auto"/>
      <w:ind w:left="1440" w:hanging="1440"/>
    </w:pPr>
    <w:rPr>
      <w:rFonts w:ascii="Times New Roman" w:eastAsia="Times New Roman" w:hAnsi="Times New Roman" w:cs="Times New Roman"/>
      <w:sz w:val="24"/>
      <w:szCs w:val="24"/>
      <w:lang w:eastAsia="fr-BE"/>
    </w:rPr>
  </w:style>
  <w:style w:type="character" w:customStyle="1" w:styleId="pjChar">
    <w:name w:val="p.j. Char"/>
    <w:basedOn w:val="TechnicalBlockChar"/>
    <w:link w:val="pj"/>
    <w:rPr>
      <w:rFonts w:ascii="Times New Roman" w:eastAsia="Times New Roman" w:hAnsi="Times New Roman" w:cs="Times New Roman"/>
      <w:sz w:val="24"/>
      <w:szCs w:val="24"/>
      <w:lang w:eastAsia="fr-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header" Target="header9.xml"/><Relationship Id="rId3" Type="http://schemas.microsoft.com/office/2007/relationships/stylesWithEffects" Target="stylesWithEffects.xml"/><Relationship Id="rId21" Type="http://schemas.openxmlformats.org/officeDocument/2006/relationships/footer" Target="footer6.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footer" Target="footer8.xml"/><Relationship Id="rId33" Type="http://schemas.openxmlformats.org/officeDocument/2006/relationships/footer" Target="footer12.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7.xml"/><Relationship Id="rId32" Type="http://schemas.openxmlformats.org/officeDocument/2006/relationships/header" Target="header12.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8.xml"/><Relationship Id="rId28" Type="http://schemas.openxmlformats.org/officeDocument/2006/relationships/header" Target="header10.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footer" Target="footer1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footer" Target="footer10.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68</Pages>
  <Words>9203</Words>
  <Characters>67739</Characters>
  <Application>Microsoft Office Word</Application>
  <DocSecurity>0</DocSecurity>
  <Lines>1830</Lines>
  <Paragraphs>582</Paragraphs>
  <ScaleCrop>false</ScaleCrop>
  <HeadingPairs>
    <vt:vector size="2" baseType="variant">
      <vt:variant>
        <vt:lpstr>Title</vt:lpstr>
      </vt:variant>
      <vt:variant>
        <vt:i4>1</vt:i4>
      </vt:variant>
    </vt:vector>
  </HeadingPairs>
  <TitlesOfParts>
    <vt:vector size="1" baseType="lpstr">
      <vt:lpstr/>
    </vt:vector>
  </TitlesOfParts>
  <Company>EEAS</Company>
  <LinksUpToDate>false</LinksUpToDate>
  <CharactersWithSpaces>76360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15</cp:revision>
  <dcterms:created xsi:type="dcterms:W3CDTF">2016-10-25T11:27:00Z</dcterms:created>
  <dcterms:modified xsi:type="dcterms:W3CDTF">2016-11-28T09:15:00Z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rst annex">
    <vt:lpwstr>1</vt:lpwstr>
  </property>
  <property fmtid="{D5CDD505-2E9C-101B-9397-08002B2CF9AE}" pid="3" name="Last annex">
    <vt:lpwstr>1</vt:lpwstr>
  </property>
  <property fmtid="{D5CDD505-2E9C-101B-9397-08002B2CF9AE}" pid="4" name="Part">
    <vt:lpwstr>1</vt:lpwstr>
  </property>
  <property fmtid="{D5CDD505-2E9C-101B-9397-08002B2CF9AE}" pid="5" name="Total parts">
    <vt:lpwstr>1</vt:lpwstr>
  </property>
  <property fmtid="{D5CDD505-2E9C-101B-9397-08002B2CF9AE}" pid="6" name="DocStatus">
    <vt:lpwstr>Green</vt:lpwstr>
  </property>
  <property fmtid="{D5CDD505-2E9C-101B-9397-08002B2CF9AE}" pid="7" name="Classification">
    <vt:lpwstr> </vt:lpwstr>
  </property>
  <property name="OP_sanitized" fmtid="{D5CDD505-2E9C-101B-9397-08002B2CF9AE}" pid="8">
    <vt:lpwstr>True</vt:lpwstr>
  </property>
</Properties>
</file>