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58D" w:rsidRDefault="00942987" w:rsidP="00942987">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4467B634-0721-44CD-9B96-CC535F34000D" style="width:449.8pt;height:420.6pt">
            <v:imagedata r:id="rId11" o:title=""/>
          </v:shape>
        </w:pict>
      </w:r>
    </w:p>
    <w:bookmarkEnd w:id="0"/>
    <w:p w:rsidR="00BA058D" w:rsidRDefault="00BA058D">
      <w:pPr>
        <w:rPr>
          <w:noProof/>
        </w:rPr>
        <w:sectPr w:rsidR="00BA058D" w:rsidSect="00942987">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rsidR="00BA058D" w:rsidRDefault="00942987">
      <w:pPr>
        <w:jc w:val="center"/>
        <w:rPr>
          <w:b/>
          <w:i/>
          <w:noProof/>
        </w:rPr>
      </w:pPr>
      <w:bookmarkStart w:id="1" w:name="_GoBack"/>
      <w:bookmarkEnd w:id="1"/>
      <w:r>
        <w:rPr>
          <w:b/>
          <w:i/>
          <w:noProof/>
        </w:rPr>
        <w:lastRenderedPageBreak/>
        <w:t>Detailed actions and glossary</w:t>
      </w:r>
    </w:p>
    <w:tbl>
      <w:tblPr>
        <w:tblStyle w:val="TableGrid"/>
        <w:tblW w:w="10632" w:type="dxa"/>
        <w:tblInd w:w="-572" w:type="dxa"/>
        <w:tblLayout w:type="fixed"/>
        <w:tblCellMar>
          <w:top w:w="57" w:type="dxa"/>
          <w:bottom w:w="57" w:type="dxa"/>
        </w:tblCellMar>
        <w:tblLook w:val="04A0" w:firstRow="1" w:lastRow="0" w:firstColumn="1" w:lastColumn="0" w:noHBand="0" w:noVBand="1"/>
      </w:tblPr>
      <w:tblGrid>
        <w:gridCol w:w="10632"/>
      </w:tblGrid>
      <w:tr w:rsidR="00BA058D">
        <w:tc>
          <w:tcPr>
            <w:tcW w:w="10632" w:type="dxa"/>
            <w:shd w:val="clear" w:color="auto" w:fill="D9E2F3" w:themeFill="accent1" w:themeFillTint="33"/>
          </w:tcPr>
          <w:p w:rsidR="00BA058D" w:rsidRDefault="00942987">
            <w:pPr>
              <w:spacing w:after="0"/>
              <w:rPr>
                <w:b/>
                <w:noProof/>
              </w:rPr>
            </w:pPr>
            <w:r>
              <w:rPr>
                <w:b/>
                <w:noProof/>
              </w:rPr>
              <w:t>Financing the transition of the real economy towards sustainability</w:t>
            </w:r>
          </w:p>
        </w:tc>
      </w:tr>
      <w:tr w:rsidR="00BA058D">
        <w:tc>
          <w:tcPr>
            <w:tcW w:w="10632" w:type="dxa"/>
            <w:shd w:val="clear" w:color="auto" w:fill="E7E6E6" w:themeFill="background2"/>
          </w:tcPr>
          <w:p w:rsidR="00BA058D" w:rsidRDefault="00942987">
            <w:pPr>
              <w:spacing w:after="0"/>
              <w:rPr>
                <w:b/>
                <w:i/>
                <w:noProof/>
              </w:rPr>
            </w:pPr>
            <w:r>
              <w:rPr>
                <w:b/>
                <w:i/>
                <w:noProof/>
              </w:rPr>
              <w:t xml:space="preserve">Action 1: The Commission will develop a more </w:t>
            </w:r>
            <w:r>
              <w:rPr>
                <w:b/>
                <w:bCs/>
                <w:i/>
                <w:iCs/>
                <w:noProof/>
              </w:rPr>
              <w:t xml:space="preserve">comprehensive </w:t>
            </w:r>
            <w:r>
              <w:rPr>
                <w:b/>
                <w:i/>
                <w:noProof/>
              </w:rPr>
              <w:t xml:space="preserve">framework </w:t>
            </w:r>
            <w:r>
              <w:rPr>
                <w:b/>
                <w:bCs/>
                <w:i/>
                <w:iCs/>
                <w:noProof/>
              </w:rPr>
              <w:t>and help</w:t>
            </w:r>
            <w:r>
              <w:rPr>
                <w:b/>
                <w:i/>
                <w:noProof/>
              </w:rPr>
              <w:t xml:space="preserve"> the financing of intermediary steps </w:t>
            </w:r>
            <w:r>
              <w:rPr>
                <w:rFonts w:eastAsia="Times New Roman"/>
                <w:b/>
                <w:bCs/>
                <w:i/>
                <w:iCs/>
                <w:noProof/>
              </w:rPr>
              <w:t>towards sustainability</w:t>
            </w:r>
            <w:r>
              <w:rPr>
                <w:b/>
                <w:i/>
                <w:noProof/>
              </w:rPr>
              <w:t>.</w:t>
            </w:r>
          </w:p>
        </w:tc>
      </w:tr>
      <w:tr w:rsidR="00BA058D">
        <w:tc>
          <w:tcPr>
            <w:tcW w:w="10632" w:type="dxa"/>
            <w:shd w:val="clear" w:color="auto" w:fill="auto"/>
          </w:tcPr>
          <w:p w:rsidR="00BA058D" w:rsidRDefault="00942987">
            <w:pPr>
              <w:spacing w:after="0" w:line="259" w:lineRule="auto"/>
              <w:jc w:val="left"/>
              <w:rPr>
                <w:b/>
                <w:bCs/>
                <w:i/>
                <w:iCs/>
                <w:noProof/>
              </w:rPr>
            </w:pPr>
            <w:r>
              <w:rPr>
                <w:b/>
                <w:bCs/>
                <w:noProof/>
              </w:rPr>
              <w:t xml:space="preserve">1 (a): The Commission will consider proposing legislation to support financing certain economic activities contributing to reducing greenhouse gas emissions. </w:t>
            </w:r>
          </w:p>
        </w:tc>
      </w:tr>
      <w:tr w:rsidR="00BA058D">
        <w:tc>
          <w:tcPr>
            <w:tcW w:w="10632" w:type="dxa"/>
            <w:shd w:val="clear" w:color="auto" w:fill="auto"/>
          </w:tcPr>
          <w:p w:rsidR="00BA058D" w:rsidRDefault="00942987">
            <w:pPr>
              <w:pStyle w:val="ListParagraph"/>
              <w:numPr>
                <w:ilvl w:val="0"/>
                <w:numId w:val="56"/>
              </w:numPr>
              <w:spacing w:after="0"/>
              <w:rPr>
                <w:b/>
                <w:bCs/>
                <w:noProof/>
              </w:rPr>
            </w:pPr>
            <w:r>
              <w:rPr>
                <w:noProof/>
                <w:lang w:eastAsia="en-IE"/>
              </w:rPr>
              <w:t>The Commission will consider proposing legislation to support the financing of certain economic activities, primarily in the energy sector, including gas, that contribute to reducing greenhouse gas emissions in a way that supports the transition towards cl</w:t>
            </w:r>
            <w:r>
              <w:rPr>
                <w:noProof/>
                <w:lang w:eastAsia="en-IE"/>
              </w:rPr>
              <w:t>imate neutrality throughout the current decade</w:t>
            </w:r>
            <w:r>
              <w:rPr>
                <w:rStyle w:val="FootnoteReference"/>
                <w:noProof/>
                <w:lang w:eastAsia="en-IE"/>
              </w:rPr>
              <w:footnoteReference w:id="2"/>
            </w:r>
            <w:r>
              <w:rPr>
                <w:noProof/>
                <w:lang w:eastAsia="en-IE"/>
              </w:rPr>
              <w:t>.</w:t>
            </w:r>
          </w:p>
        </w:tc>
      </w:tr>
      <w:tr w:rsidR="00BA058D">
        <w:tc>
          <w:tcPr>
            <w:tcW w:w="10632" w:type="dxa"/>
            <w:shd w:val="clear" w:color="auto" w:fill="auto"/>
          </w:tcPr>
          <w:p w:rsidR="00BA058D" w:rsidRDefault="00942987">
            <w:pPr>
              <w:spacing w:after="0" w:line="259" w:lineRule="auto"/>
              <w:jc w:val="left"/>
              <w:rPr>
                <w:b/>
                <w:noProof/>
                <w:lang w:eastAsia="en-IE"/>
              </w:rPr>
            </w:pPr>
            <w:r>
              <w:rPr>
                <w:b/>
                <w:bCs/>
                <w:noProof/>
              </w:rPr>
              <w:t xml:space="preserve">1 (b): </w:t>
            </w:r>
            <w:r>
              <w:rPr>
                <w:b/>
                <w:noProof/>
              </w:rPr>
              <w:t xml:space="preserve">The Commission will consider options for </w:t>
            </w:r>
            <w:r>
              <w:rPr>
                <w:b/>
                <w:bCs/>
                <w:noProof/>
              </w:rPr>
              <w:t>an</w:t>
            </w:r>
            <w:r>
              <w:rPr>
                <w:b/>
                <w:noProof/>
              </w:rPr>
              <w:t xml:space="preserve"> extension of the EU Taxonomy framework to recognise transition efforts.</w:t>
            </w:r>
          </w:p>
        </w:tc>
      </w:tr>
      <w:tr w:rsidR="00BA058D">
        <w:tc>
          <w:tcPr>
            <w:tcW w:w="10632" w:type="dxa"/>
            <w:shd w:val="clear" w:color="auto" w:fill="auto"/>
          </w:tcPr>
          <w:p w:rsidR="00BA058D" w:rsidRDefault="00942987">
            <w:pPr>
              <w:pStyle w:val="ListParagraph"/>
              <w:numPr>
                <w:ilvl w:val="0"/>
                <w:numId w:val="56"/>
              </w:numPr>
              <w:spacing w:after="0" w:line="259" w:lineRule="auto"/>
              <w:rPr>
                <w:noProof/>
              </w:rPr>
            </w:pPr>
            <w:r>
              <w:rPr>
                <w:noProof/>
              </w:rPr>
              <w:t xml:space="preserve">The Commission will consider options for an extension of the EU Taxonomy framework to possibly recognise economic activities performing at an intermediate level, with the aim to boost transparency and mobilise finance for activities that are on a credible </w:t>
            </w:r>
            <w:r>
              <w:rPr>
                <w:noProof/>
              </w:rPr>
              <w:t xml:space="preserve">pathway towards sustainability. </w:t>
            </w:r>
          </w:p>
          <w:p w:rsidR="00BA058D" w:rsidRDefault="00942987">
            <w:pPr>
              <w:pStyle w:val="ListParagraph"/>
              <w:numPr>
                <w:ilvl w:val="0"/>
                <w:numId w:val="56"/>
              </w:numPr>
              <w:spacing w:after="0" w:line="259" w:lineRule="auto"/>
              <w:rPr>
                <w:b/>
                <w:bCs/>
                <w:noProof/>
              </w:rPr>
            </w:pPr>
            <w:r>
              <w:rPr>
                <w:noProof/>
              </w:rPr>
              <w:t xml:space="preserve">By the end of 2021, the Commission will publish a report describing the provisions that would be required to </w:t>
            </w:r>
            <w:r>
              <w:rPr>
                <w:noProof/>
                <w:lang w:eastAsia="en-IE"/>
              </w:rPr>
              <w:t>cover economic activities that do not have a significant impact on environmental sustainability and economic activ</w:t>
            </w:r>
            <w:r>
              <w:rPr>
                <w:noProof/>
                <w:lang w:eastAsia="en-IE"/>
              </w:rPr>
              <w:t>ities that significantly harm environmental sustainability.</w:t>
            </w:r>
          </w:p>
        </w:tc>
      </w:tr>
      <w:tr w:rsidR="00BA058D">
        <w:tc>
          <w:tcPr>
            <w:tcW w:w="10632" w:type="dxa"/>
            <w:shd w:val="clear" w:color="auto" w:fill="auto"/>
          </w:tcPr>
          <w:p w:rsidR="00BA058D" w:rsidRDefault="00942987">
            <w:pPr>
              <w:spacing w:after="0" w:line="259" w:lineRule="auto"/>
              <w:jc w:val="left"/>
              <w:rPr>
                <w:noProof/>
              </w:rPr>
            </w:pPr>
            <w:r>
              <w:rPr>
                <w:b/>
                <w:bCs/>
                <w:noProof/>
              </w:rPr>
              <w:t xml:space="preserve">1 (c): The Commission will add technical screening criteria for sustainable activities not yet covered in the first EU Taxonomy Climate Delegated Act. </w:t>
            </w:r>
          </w:p>
        </w:tc>
      </w:tr>
      <w:tr w:rsidR="00BA058D">
        <w:tc>
          <w:tcPr>
            <w:tcW w:w="10632" w:type="dxa"/>
            <w:shd w:val="clear" w:color="auto" w:fill="auto"/>
          </w:tcPr>
          <w:p w:rsidR="00BA058D" w:rsidRDefault="00942987">
            <w:pPr>
              <w:pStyle w:val="ListParagraph"/>
              <w:numPr>
                <w:ilvl w:val="0"/>
                <w:numId w:val="47"/>
              </w:numPr>
              <w:spacing w:after="0" w:line="259" w:lineRule="auto"/>
              <w:ind w:left="357" w:hanging="357"/>
              <w:rPr>
                <w:noProof/>
              </w:rPr>
            </w:pPr>
            <w:r>
              <w:rPr>
                <w:noProof/>
              </w:rPr>
              <w:t>The Commission will adopt a complementary Climate Taxonomy Delegated Act covering activities not yet covered in the first EU Taxonomy Climate Delegated Act, such as agriculture and certain energy sectors, in line with the requirements of the Taxonomy Regul</w:t>
            </w:r>
            <w:r>
              <w:rPr>
                <w:noProof/>
              </w:rPr>
              <w:t>ation. The Delegated Act will also cover nuclear energy activities, subject to and consistent with the specific expert review process that the Commission set out for this purpose. The Commission will adopt this complementary Delegated Act as soon as possib</w:t>
            </w:r>
            <w:r>
              <w:rPr>
                <w:noProof/>
              </w:rPr>
              <w:t>le after the end of the specific review process in summer 2021. This complementary Delegated Act will also cover natural gas and related technologies as transitional activity in as far as they fall within the limits of Article 10(2) of the EU Taxonomy Regu</w:t>
            </w:r>
            <w:r>
              <w:rPr>
                <w:noProof/>
              </w:rPr>
              <w:t xml:space="preserve">lation. The merits of a sunset clause for transitional activities will be considered in this context. </w:t>
            </w:r>
          </w:p>
        </w:tc>
      </w:tr>
      <w:tr w:rsidR="00BA058D">
        <w:tc>
          <w:tcPr>
            <w:tcW w:w="10632" w:type="dxa"/>
            <w:shd w:val="clear" w:color="auto" w:fill="auto"/>
          </w:tcPr>
          <w:p w:rsidR="00BA058D" w:rsidRDefault="00942987">
            <w:pPr>
              <w:spacing w:after="0" w:line="259" w:lineRule="auto"/>
              <w:rPr>
                <w:b/>
                <w:bCs/>
                <w:noProof/>
              </w:rPr>
            </w:pPr>
            <w:r>
              <w:rPr>
                <w:b/>
                <w:bCs/>
                <w:noProof/>
              </w:rPr>
              <w:t>1 (d): The Commission will adopt another Taxonomy Delegated Act covering the remaining four environmental objectives.</w:t>
            </w:r>
          </w:p>
        </w:tc>
      </w:tr>
      <w:tr w:rsidR="00BA058D">
        <w:tc>
          <w:tcPr>
            <w:tcW w:w="10632" w:type="dxa"/>
            <w:shd w:val="clear" w:color="auto" w:fill="auto"/>
          </w:tcPr>
          <w:p w:rsidR="00BA058D" w:rsidRDefault="00942987">
            <w:pPr>
              <w:pStyle w:val="ListParagraph"/>
              <w:numPr>
                <w:ilvl w:val="0"/>
                <w:numId w:val="47"/>
              </w:numPr>
              <w:spacing w:after="160" w:line="259" w:lineRule="auto"/>
              <w:rPr>
                <w:noProof/>
              </w:rPr>
            </w:pPr>
            <w:r>
              <w:rPr>
                <w:noProof/>
              </w:rPr>
              <w:t>As required by the Taxonomy Regul</w:t>
            </w:r>
            <w:r>
              <w:rPr>
                <w:noProof/>
              </w:rPr>
              <w:t>ation, the Commission will adopt another Taxonomy Delegated Act covering the remaining four environmental objectives (</w:t>
            </w:r>
            <w:r>
              <w:rPr>
                <w:rFonts w:eastAsia="Times New Roman"/>
                <w:noProof/>
              </w:rPr>
              <w:t>i.e. water, biodiversity, pollution prevention and circular economy)</w:t>
            </w:r>
            <w:r>
              <w:rPr>
                <w:noProof/>
              </w:rPr>
              <w:t xml:space="preserve"> in the first half of 2022. </w:t>
            </w:r>
          </w:p>
          <w:p w:rsidR="00BA058D" w:rsidRDefault="00942987">
            <w:pPr>
              <w:pStyle w:val="ListParagraph"/>
              <w:numPr>
                <w:ilvl w:val="0"/>
                <w:numId w:val="47"/>
              </w:numPr>
              <w:spacing w:after="0" w:line="259" w:lineRule="auto"/>
              <w:rPr>
                <w:noProof/>
              </w:rPr>
            </w:pPr>
            <w:r>
              <w:rPr>
                <w:noProof/>
              </w:rPr>
              <w:t>At the same time, the Commission will ado</w:t>
            </w:r>
            <w:r>
              <w:rPr>
                <w:noProof/>
              </w:rPr>
              <w:t>pt technical screening criteria for further activities contributing to climate objectives (e.g. further manufacturing and transportation activities).</w:t>
            </w:r>
          </w:p>
          <w:p w:rsidR="00BA058D" w:rsidRDefault="00BA058D">
            <w:pPr>
              <w:pStyle w:val="ListParagraph"/>
              <w:spacing w:after="0" w:line="259" w:lineRule="auto"/>
              <w:ind w:left="360"/>
              <w:rPr>
                <w:noProof/>
              </w:rPr>
            </w:pPr>
          </w:p>
        </w:tc>
      </w:tr>
      <w:tr w:rsidR="00BA058D">
        <w:tc>
          <w:tcPr>
            <w:tcW w:w="10632" w:type="dxa"/>
            <w:tcBorders>
              <w:bottom w:val="single" w:sz="4" w:space="0" w:color="auto"/>
            </w:tcBorders>
          </w:tcPr>
          <w:p w:rsidR="00BA058D" w:rsidRDefault="00942987">
            <w:pPr>
              <w:spacing w:after="0"/>
              <w:rPr>
                <w:b/>
                <w:noProof/>
              </w:rPr>
            </w:pPr>
            <w:r>
              <w:rPr>
                <w:b/>
                <w:noProof/>
              </w:rPr>
              <w:lastRenderedPageBreak/>
              <w:t>1 (e) The Commission will extend sustainable finance standards and labels that support financing the tra</w:t>
            </w:r>
            <w:r>
              <w:rPr>
                <w:b/>
                <w:noProof/>
              </w:rPr>
              <w:t>nsition to sustainability and phased transition efforts.</w:t>
            </w:r>
          </w:p>
        </w:tc>
      </w:tr>
      <w:tr w:rsidR="00BA058D">
        <w:tc>
          <w:tcPr>
            <w:tcW w:w="10632" w:type="dxa"/>
            <w:tcBorders>
              <w:bottom w:val="nil"/>
            </w:tcBorders>
          </w:tcPr>
          <w:p w:rsidR="00BA058D" w:rsidRDefault="00942987">
            <w:pPr>
              <w:spacing w:after="0"/>
              <w:rPr>
                <w:rFonts w:eastAsia="Calibri"/>
                <w:i/>
                <w:iCs/>
                <w:noProof/>
                <w:lang w:eastAsia="en-IE"/>
              </w:rPr>
            </w:pPr>
            <w:r>
              <w:rPr>
                <w:rFonts w:eastAsia="Calibri"/>
                <w:i/>
                <w:iCs/>
                <w:noProof/>
                <w:lang w:eastAsia="en-IE"/>
              </w:rPr>
              <w:t>Standards and labels for financial instruments</w:t>
            </w:r>
          </w:p>
        </w:tc>
      </w:tr>
      <w:tr w:rsidR="00BA058D">
        <w:tc>
          <w:tcPr>
            <w:tcW w:w="10632" w:type="dxa"/>
            <w:tcBorders>
              <w:top w:val="nil"/>
              <w:bottom w:val="nil"/>
            </w:tcBorders>
          </w:tcPr>
          <w:p w:rsidR="00BA058D" w:rsidRDefault="00942987">
            <w:pPr>
              <w:pStyle w:val="ListParagraph"/>
              <w:numPr>
                <w:ilvl w:val="0"/>
                <w:numId w:val="23"/>
              </w:numPr>
              <w:spacing w:after="0"/>
              <w:rPr>
                <w:rFonts w:asciiTheme="minorHAnsi" w:eastAsiaTheme="minorEastAsia" w:hAnsiTheme="minorHAnsi" w:cstheme="minorBidi"/>
                <w:noProof/>
                <w:color w:val="000000"/>
                <w:lang w:eastAsia="en-IE"/>
              </w:rPr>
            </w:pPr>
            <w:r>
              <w:rPr>
                <w:noProof/>
                <w:lang w:eastAsia="en-IE"/>
              </w:rPr>
              <w:t>In cooperation with the ESAs and the Platform on Sustainable Finance:</w:t>
            </w:r>
          </w:p>
          <w:p w:rsidR="00BA058D" w:rsidRDefault="00942987">
            <w:pPr>
              <w:pStyle w:val="ListParagraph"/>
              <w:numPr>
                <w:ilvl w:val="1"/>
                <w:numId w:val="57"/>
              </w:numPr>
              <w:spacing w:after="0"/>
              <w:rPr>
                <w:rFonts w:eastAsia="Calibri"/>
                <w:noProof/>
                <w:lang w:eastAsia="en-IE"/>
              </w:rPr>
            </w:pPr>
            <w:r>
              <w:rPr>
                <w:noProof/>
                <w:lang w:eastAsia="en-IE"/>
              </w:rPr>
              <w:t xml:space="preserve">The Commission will work on </w:t>
            </w:r>
            <w:r>
              <w:rPr>
                <w:noProof/>
              </w:rPr>
              <w:t xml:space="preserve">further bond labels such as transition or </w:t>
            </w:r>
            <w:r>
              <w:rPr>
                <w:noProof/>
              </w:rPr>
              <w:t>sustainability-linked bonds</w:t>
            </w:r>
            <w:r>
              <w:rPr>
                <w:noProof/>
                <w:lang w:eastAsia="en-IE"/>
              </w:rPr>
              <w:t xml:space="preserve"> by 2022.</w:t>
            </w:r>
          </w:p>
          <w:p w:rsidR="00BA058D" w:rsidRDefault="00942987">
            <w:pPr>
              <w:pStyle w:val="ListParagraph"/>
              <w:numPr>
                <w:ilvl w:val="1"/>
                <w:numId w:val="57"/>
              </w:numPr>
              <w:spacing w:after="0"/>
              <w:rPr>
                <w:rFonts w:eastAsia="Calibri"/>
                <w:noProof/>
                <w:lang w:eastAsia="en-IE"/>
              </w:rPr>
            </w:pPr>
            <w:r>
              <w:rPr>
                <w:noProof/>
                <w:lang w:eastAsia="en-IE"/>
              </w:rPr>
              <w:t xml:space="preserve">The Commission will assess the needs and merits of a general framework for labels for financial instruments financing the transition of the economy, by 2023. </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iCs/>
                <w:noProof/>
                <w:lang w:eastAsia="en-IE"/>
              </w:rPr>
              <w:t>Labels for financial products and benchmarks</w:t>
            </w:r>
          </w:p>
        </w:tc>
      </w:tr>
      <w:tr w:rsidR="00BA058D">
        <w:tc>
          <w:tcPr>
            <w:tcW w:w="10632" w:type="dxa"/>
            <w:tcBorders>
              <w:top w:val="nil"/>
              <w:bottom w:val="nil"/>
            </w:tcBorders>
          </w:tcPr>
          <w:p w:rsidR="00BA058D" w:rsidRDefault="00942987">
            <w:pPr>
              <w:pStyle w:val="ListParagraph"/>
              <w:numPr>
                <w:ilvl w:val="0"/>
                <w:numId w:val="10"/>
              </w:numPr>
              <w:spacing w:after="0"/>
              <w:rPr>
                <w:rFonts w:eastAsia="Calibri"/>
                <w:noProof/>
                <w:lang w:eastAsia="en-IE"/>
              </w:rPr>
            </w:pPr>
            <w:r>
              <w:rPr>
                <w:rFonts w:eastAsia="Calibri"/>
                <w:noProof/>
                <w:lang w:eastAsia="en-IE"/>
              </w:rPr>
              <w:t xml:space="preserve">As required by the Benchmark Regulation, the Commission will assess the possibility to create an ESG Benchmark, taking into account the evolving nature of sustainability indicators and the methods used to </w:t>
            </w:r>
            <w:r>
              <w:rPr>
                <w:noProof/>
                <w:lang w:eastAsia="en-IE"/>
              </w:rPr>
              <w:t>measure</w:t>
            </w:r>
            <w:r>
              <w:rPr>
                <w:rFonts w:eastAsia="Calibri"/>
                <w:noProof/>
                <w:lang w:eastAsia="en-IE"/>
              </w:rPr>
              <w:t xml:space="preserve"> them. The Commission’s assessment will be s</w:t>
            </w:r>
            <w:r>
              <w:rPr>
                <w:rFonts w:eastAsia="Calibri"/>
                <w:noProof/>
                <w:lang w:eastAsia="en-IE"/>
              </w:rPr>
              <w:t xml:space="preserve">upported by a study that looks at existing ESG-related benchmarks, best practices and shortcomings, as well as minimum standards for an EU ESG Benchmark. </w:t>
            </w:r>
          </w:p>
          <w:p w:rsidR="00BA058D" w:rsidRDefault="00942987">
            <w:pPr>
              <w:pStyle w:val="ListParagraph"/>
              <w:numPr>
                <w:ilvl w:val="0"/>
                <w:numId w:val="10"/>
              </w:numPr>
              <w:spacing w:after="0"/>
              <w:rPr>
                <w:rFonts w:asciiTheme="minorHAnsi" w:eastAsiaTheme="minorEastAsia" w:hAnsiTheme="minorHAnsi" w:cstheme="minorBidi"/>
                <w:noProof/>
                <w:lang w:eastAsia="en-IE"/>
              </w:rPr>
            </w:pPr>
            <w:r>
              <w:rPr>
                <w:rFonts w:eastAsia="Calibri"/>
                <w:noProof/>
                <w:lang w:eastAsia="en-IE"/>
              </w:rPr>
              <w:t xml:space="preserve">In addition, by 31 December 2022, the Commission will review the minimum standards for both EU </w:t>
            </w:r>
            <w:r>
              <w:rPr>
                <w:rFonts w:eastAsia="Calibri"/>
                <w:noProof/>
                <w:lang w:eastAsia="en-IE"/>
              </w:rPr>
              <w:t>Climate Transition Benchmarks and EU Paris-aligned Benchmarks to ensure that the selection of the underlying assets is coherent with the EU Taxonomy.</w:t>
            </w:r>
          </w:p>
          <w:p w:rsidR="00BA058D" w:rsidRDefault="00942987">
            <w:pPr>
              <w:pStyle w:val="ListParagraph"/>
              <w:numPr>
                <w:ilvl w:val="0"/>
                <w:numId w:val="10"/>
              </w:numPr>
              <w:spacing w:after="0"/>
              <w:rPr>
                <w:rFonts w:asciiTheme="minorHAnsi" w:eastAsiaTheme="minorEastAsia" w:hAnsiTheme="minorHAnsi" w:cstheme="minorBidi"/>
                <w:noProof/>
                <w:lang w:eastAsia="en-IE"/>
              </w:rPr>
            </w:pPr>
            <w:r>
              <w:rPr>
                <w:noProof/>
                <w:lang w:eastAsia="en-IE"/>
              </w:rPr>
              <w:t>The Commissio</w:t>
            </w:r>
            <w:r>
              <w:rPr>
                <w:rFonts w:eastAsiaTheme="minorEastAsia"/>
                <w:noProof/>
                <w:lang w:eastAsia="en-IE"/>
              </w:rPr>
              <w:t>n will propose minimum sustainability criteria, or a combination of criteria for financial pr</w:t>
            </w:r>
            <w:r>
              <w:rPr>
                <w:rFonts w:eastAsiaTheme="minorEastAsia"/>
                <w:noProof/>
                <w:lang w:eastAsia="en-IE"/>
              </w:rPr>
              <w:t>oducts that fall under Art. 8 of the SFDR, in order to guarantee minimum sustainability performance of such products to further</w:t>
            </w:r>
            <w:r>
              <w:rPr>
                <w:noProof/>
                <w:lang w:eastAsia="en-IE"/>
              </w:rPr>
              <w:t xml:space="preserve"> strengthen a harmonised application of the Regulation and incentivise transitional efforts.</w:t>
            </w:r>
          </w:p>
        </w:tc>
      </w:tr>
      <w:tr w:rsidR="00BA058D">
        <w:tc>
          <w:tcPr>
            <w:tcW w:w="10632" w:type="dxa"/>
            <w:tcBorders>
              <w:top w:val="nil"/>
              <w:bottom w:val="nil"/>
            </w:tcBorders>
          </w:tcPr>
          <w:p w:rsidR="00BA058D" w:rsidRDefault="00942987">
            <w:pPr>
              <w:spacing w:after="0"/>
              <w:ind w:left="66"/>
              <w:rPr>
                <w:noProof/>
                <w:lang w:eastAsia="en-IE"/>
              </w:rPr>
            </w:pPr>
            <w:r>
              <w:rPr>
                <w:i/>
                <w:noProof/>
                <w:lang w:eastAsia="en-IE"/>
              </w:rPr>
              <w:t>Prospectus disclosures</w:t>
            </w:r>
          </w:p>
        </w:tc>
      </w:tr>
      <w:tr w:rsidR="00BA058D">
        <w:tc>
          <w:tcPr>
            <w:tcW w:w="10632" w:type="dxa"/>
            <w:tcBorders>
              <w:top w:val="nil"/>
            </w:tcBorders>
          </w:tcPr>
          <w:p w:rsidR="00BA058D" w:rsidRDefault="00942987">
            <w:pPr>
              <w:pStyle w:val="ListParagraph"/>
              <w:numPr>
                <w:ilvl w:val="0"/>
                <w:numId w:val="10"/>
              </w:numPr>
              <w:spacing w:after="0"/>
              <w:rPr>
                <w:rFonts w:asciiTheme="minorHAnsi" w:eastAsiaTheme="minorEastAsia" w:hAnsiTheme="minorHAnsi" w:cstheme="minorBidi"/>
                <w:noProof/>
                <w:color w:val="000000"/>
                <w:lang w:eastAsia="en-IE"/>
              </w:rPr>
            </w:pPr>
            <w:r>
              <w:rPr>
                <w:noProof/>
                <w:lang w:eastAsia="en-IE"/>
              </w:rPr>
              <w:t xml:space="preserve">Within the </w:t>
            </w:r>
            <w:r>
              <w:rPr>
                <w:noProof/>
                <w:lang w:eastAsia="en-IE"/>
              </w:rPr>
              <w:t>framework of the Prospectus Regulation and over the course of 2022, the Commission will introduce targeted prospectus disclosures for green, social and sustainable securities to enhance the comparability, transparency and harmonization of information provi</w:t>
            </w:r>
            <w:r>
              <w:rPr>
                <w:noProof/>
                <w:lang w:eastAsia="en-IE"/>
              </w:rPr>
              <w:t>ded for such instruments and to help fight greenwashing.</w:t>
            </w:r>
          </w:p>
        </w:tc>
      </w:tr>
      <w:tr w:rsidR="00BA058D">
        <w:tc>
          <w:tcPr>
            <w:tcW w:w="10632" w:type="dxa"/>
            <w:shd w:val="clear" w:color="auto" w:fill="D9E2F3" w:themeFill="accent1" w:themeFillTint="33"/>
          </w:tcPr>
          <w:p w:rsidR="00BA058D" w:rsidRDefault="00942987">
            <w:pPr>
              <w:spacing w:after="0"/>
              <w:rPr>
                <w:b/>
                <w:noProof/>
              </w:rPr>
            </w:pPr>
            <w:r>
              <w:rPr>
                <w:b/>
                <w:noProof/>
              </w:rPr>
              <w:t>Towards a more inclusive sustainable finance framework</w:t>
            </w:r>
          </w:p>
        </w:tc>
      </w:tr>
      <w:tr w:rsidR="00BA058D">
        <w:tc>
          <w:tcPr>
            <w:tcW w:w="10632" w:type="dxa"/>
            <w:shd w:val="clear" w:color="auto" w:fill="E7E6E6" w:themeFill="background2"/>
          </w:tcPr>
          <w:p w:rsidR="00BA058D" w:rsidRDefault="00942987">
            <w:pPr>
              <w:spacing w:after="0"/>
              <w:rPr>
                <w:b/>
                <w:bCs/>
                <w:i/>
                <w:iCs/>
                <w:noProof/>
                <w:shd w:val="clear" w:color="auto" w:fill="E7E6E6" w:themeFill="background2"/>
              </w:rPr>
            </w:pPr>
            <w:r>
              <w:rPr>
                <w:b/>
                <w:bCs/>
                <w:i/>
                <w:iCs/>
                <w:noProof/>
                <w:shd w:val="clear" w:color="auto" w:fill="E7E6E6" w:themeFill="background2"/>
              </w:rPr>
              <w:t xml:space="preserve">Action 2: The Commission will work toward an inclusive sustainable finance framework for all. </w:t>
            </w:r>
          </w:p>
        </w:tc>
      </w:tr>
      <w:tr w:rsidR="00BA058D">
        <w:tc>
          <w:tcPr>
            <w:tcW w:w="10632" w:type="dxa"/>
            <w:tcBorders>
              <w:bottom w:val="single" w:sz="4" w:space="0" w:color="auto"/>
            </w:tcBorders>
          </w:tcPr>
          <w:p w:rsidR="00BA058D" w:rsidRDefault="00942987">
            <w:pPr>
              <w:spacing w:after="0"/>
              <w:rPr>
                <w:b/>
                <w:noProof/>
                <w:lang w:eastAsia="en-IE"/>
              </w:rPr>
            </w:pPr>
            <w:r>
              <w:rPr>
                <w:b/>
                <w:noProof/>
                <w:lang w:eastAsia="en-IE"/>
              </w:rPr>
              <w:t xml:space="preserve">2 (a): The Commission will aim to empower </w:t>
            </w:r>
            <w:r>
              <w:rPr>
                <w:b/>
                <w:noProof/>
                <w:lang w:eastAsia="en-IE"/>
              </w:rPr>
              <w:t>retail investors and SMEs to access sustainable finance opportunities.</w:t>
            </w:r>
          </w:p>
        </w:tc>
      </w:tr>
      <w:tr w:rsidR="00BA058D">
        <w:tc>
          <w:tcPr>
            <w:tcW w:w="10632" w:type="dxa"/>
            <w:tcBorders>
              <w:bottom w:val="nil"/>
            </w:tcBorders>
          </w:tcPr>
          <w:p w:rsidR="00BA058D" w:rsidRDefault="00942987">
            <w:pPr>
              <w:spacing w:after="0"/>
              <w:rPr>
                <w:rFonts w:eastAsia="Calibri"/>
                <w:i/>
                <w:iCs/>
                <w:noProof/>
                <w:lang w:val="en-US"/>
              </w:rPr>
            </w:pPr>
            <w:r>
              <w:rPr>
                <w:rFonts w:eastAsia="Calibri"/>
                <w:i/>
                <w:iCs/>
                <w:noProof/>
                <w:lang w:val="en-US"/>
              </w:rPr>
              <w:t>Green loans and mortgages</w:t>
            </w:r>
          </w:p>
        </w:tc>
      </w:tr>
      <w:tr w:rsidR="00BA058D">
        <w:tc>
          <w:tcPr>
            <w:tcW w:w="10632" w:type="dxa"/>
            <w:tcBorders>
              <w:top w:val="nil"/>
              <w:bottom w:val="nil"/>
            </w:tcBorders>
          </w:tcPr>
          <w:p w:rsidR="00BA058D" w:rsidRDefault="00942987">
            <w:pPr>
              <w:pStyle w:val="ListParagraph"/>
              <w:numPr>
                <w:ilvl w:val="0"/>
                <w:numId w:val="12"/>
              </w:numPr>
              <w:spacing w:after="0"/>
              <w:rPr>
                <w:rFonts w:asciiTheme="minorHAnsi" w:eastAsiaTheme="minorEastAsia" w:hAnsiTheme="minorHAnsi" w:cstheme="minorBidi"/>
                <w:noProof/>
                <w:lang w:val="en-US"/>
              </w:rPr>
            </w:pPr>
            <w:r>
              <w:rPr>
                <w:rFonts w:eastAsia="Times New Roman"/>
                <w:noProof/>
                <w:lang w:val="en-US"/>
              </w:rPr>
              <w:t xml:space="preserve">The Commission will ask the EBA for an opinion on the definition and possible supporting tools for green retail loans and green mortgage </w:t>
            </w:r>
            <w:r>
              <w:rPr>
                <w:noProof/>
                <w:lang w:eastAsia="en-IE"/>
              </w:rPr>
              <w:t>by Q2 2022</w:t>
            </w:r>
            <w:r>
              <w:rPr>
                <w:rFonts w:eastAsia="Times New Roman"/>
                <w:noProof/>
                <w:lang w:val="en-US"/>
              </w:rPr>
              <w:t>.</w:t>
            </w:r>
          </w:p>
          <w:p w:rsidR="00BA058D" w:rsidRDefault="00942987">
            <w:pPr>
              <w:pStyle w:val="ListParagraph"/>
              <w:numPr>
                <w:ilvl w:val="0"/>
                <w:numId w:val="12"/>
              </w:numPr>
              <w:spacing w:after="0"/>
              <w:rPr>
                <w:rFonts w:asciiTheme="minorHAnsi" w:eastAsiaTheme="minorEastAsia" w:hAnsiTheme="minorHAnsi" w:cstheme="minorBidi"/>
                <w:noProof/>
                <w:lang w:eastAsia="en-IE"/>
              </w:rPr>
            </w:pPr>
            <w:r>
              <w:rPr>
                <w:noProof/>
                <w:lang w:eastAsia="en-IE"/>
              </w:rPr>
              <w:t xml:space="preserve">As part of the review of the Mortgage Credit Directive, the Commission will explore ways to support the uptake of energy efficient mortgages by end 2022. </w:t>
            </w:r>
          </w:p>
          <w:p w:rsidR="00BA058D" w:rsidRDefault="00942987">
            <w:pPr>
              <w:pStyle w:val="ListParagraph"/>
              <w:numPr>
                <w:ilvl w:val="0"/>
                <w:numId w:val="12"/>
              </w:numPr>
              <w:spacing w:after="0"/>
              <w:rPr>
                <w:rFonts w:asciiTheme="minorHAnsi" w:eastAsiaTheme="minorEastAsia" w:hAnsiTheme="minorHAnsi" w:cstheme="minorBidi"/>
                <w:noProof/>
                <w:lang w:eastAsia="en-IE"/>
              </w:rPr>
            </w:pPr>
            <w:r>
              <w:rPr>
                <w:noProof/>
              </w:rPr>
              <w:t xml:space="preserve">The Commission will launch an EU-wide information campaign addressed to businesses and households on </w:t>
            </w:r>
            <w:r>
              <w:rPr>
                <w:noProof/>
              </w:rPr>
              <w:t>the features and benefits of such loans</w:t>
            </w:r>
            <w:r>
              <w:rPr>
                <w:rFonts w:eastAsia="Times New Roman"/>
                <w:noProof/>
                <w:lang w:val="en-US"/>
              </w:rPr>
              <w:t>.</w:t>
            </w:r>
            <w:r>
              <w:rPr>
                <w:noProof/>
                <w:lang w:eastAsia="en-IE"/>
              </w:rPr>
              <w:t xml:space="preserve"> </w:t>
            </w:r>
          </w:p>
          <w:p w:rsidR="00BA058D" w:rsidRDefault="00942987">
            <w:pPr>
              <w:pStyle w:val="ListParagraph"/>
              <w:numPr>
                <w:ilvl w:val="0"/>
                <w:numId w:val="12"/>
              </w:numPr>
              <w:spacing w:after="0"/>
              <w:rPr>
                <w:noProof/>
                <w:lang w:eastAsia="en-IE"/>
              </w:rPr>
            </w:pPr>
            <w:r>
              <w:rPr>
                <w:noProof/>
                <w:lang w:eastAsia="en-IE"/>
              </w:rPr>
              <w:lastRenderedPageBreak/>
              <w:t>The Commission will support Member States through its Technical Support Instrument</w:t>
            </w:r>
            <w:r>
              <w:rPr>
                <w:rStyle w:val="FootnoteReference"/>
                <w:noProof/>
                <w:lang w:eastAsia="en-IE"/>
              </w:rPr>
              <w:footnoteReference w:id="3"/>
            </w:r>
            <w:r>
              <w:rPr>
                <w:noProof/>
                <w:lang w:eastAsia="en-IE"/>
              </w:rPr>
              <w:t xml:space="preserve"> to develop capacity building and technical advice to support the generation of projects, for instance to advice on technical and f</w:t>
            </w:r>
            <w:r>
              <w:rPr>
                <w:noProof/>
                <w:lang w:eastAsia="en-IE"/>
              </w:rPr>
              <w:t xml:space="preserve">inancing solutions, including through green loan products. </w:t>
            </w:r>
          </w:p>
        </w:tc>
      </w:tr>
      <w:tr w:rsidR="00BA058D">
        <w:tc>
          <w:tcPr>
            <w:tcW w:w="10632" w:type="dxa"/>
            <w:tcBorders>
              <w:top w:val="nil"/>
              <w:bottom w:val="nil"/>
            </w:tcBorders>
          </w:tcPr>
          <w:p w:rsidR="00BA058D" w:rsidRDefault="00942987">
            <w:pPr>
              <w:spacing w:after="0"/>
              <w:rPr>
                <w:rFonts w:eastAsia="Times New Roman"/>
                <w:i/>
                <w:iCs/>
                <w:noProof/>
                <w:lang w:val="en-US"/>
              </w:rPr>
            </w:pPr>
            <w:r>
              <w:rPr>
                <w:rFonts w:eastAsia="Times New Roman"/>
                <w:i/>
                <w:noProof/>
                <w:lang w:val="en-US"/>
              </w:rPr>
              <w:lastRenderedPageBreak/>
              <w:t>Financial literacy and investment advisors</w:t>
            </w:r>
          </w:p>
        </w:tc>
      </w:tr>
      <w:tr w:rsidR="00BA058D">
        <w:tc>
          <w:tcPr>
            <w:tcW w:w="10632" w:type="dxa"/>
            <w:tcBorders>
              <w:top w:val="nil"/>
              <w:bottom w:val="nil"/>
            </w:tcBorders>
          </w:tcPr>
          <w:p w:rsidR="00BA058D" w:rsidRDefault="00942987">
            <w:pPr>
              <w:pStyle w:val="ListParagraph"/>
              <w:numPr>
                <w:ilvl w:val="0"/>
                <w:numId w:val="12"/>
              </w:numPr>
              <w:spacing w:after="0"/>
              <w:rPr>
                <w:rFonts w:asciiTheme="minorHAnsi" w:eastAsiaTheme="minorEastAsia" w:hAnsiTheme="minorHAnsi" w:cstheme="minorBidi"/>
                <w:noProof/>
                <w:lang w:eastAsia="en-IE"/>
              </w:rPr>
            </w:pPr>
            <w:r>
              <w:rPr>
                <w:rFonts w:eastAsia="Times New Roman"/>
                <w:noProof/>
              </w:rPr>
              <w:t>Subject to further assessment, the Commission will consider taking steps to strengthen the sustainability expertise and qualification of financial advi</w:t>
            </w:r>
            <w:r>
              <w:rPr>
                <w:rFonts w:eastAsia="Times New Roman"/>
                <w:noProof/>
              </w:rPr>
              <w:t xml:space="preserve">sors, in line with the Capital Market Union action plan. </w:t>
            </w:r>
          </w:p>
          <w:p w:rsidR="00BA058D" w:rsidRDefault="00942987">
            <w:pPr>
              <w:pStyle w:val="ListParagraph"/>
              <w:numPr>
                <w:ilvl w:val="0"/>
                <w:numId w:val="12"/>
              </w:numPr>
              <w:spacing w:after="0"/>
              <w:rPr>
                <w:rFonts w:asciiTheme="minorHAnsi" w:eastAsiaTheme="minorEastAsia" w:hAnsiTheme="minorHAnsi" w:cstheme="minorBidi"/>
                <w:noProof/>
                <w:lang w:eastAsia="en-IE"/>
              </w:rPr>
            </w:pPr>
            <w:r>
              <w:rPr>
                <w:noProof/>
                <w:lang w:eastAsia="en-IE"/>
              </w:rPr>
              <w:t xml:space="preserve">The Commission will integrate sustainable finance aspects in the development of the upcoming joint EU/OECD-INFE financial competence framework for individuals, starting with adults as of the end of </w:t>
            </w:r>
            <w:r>
              <w:rPr>
                <w:noProof/>
                <w:lang w:eastAsia="en-IE"/>
              </w:rPr>
              <w:t>2021.</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iCs/>
                <w:noProof/>
                <w:lang w:eastAsia="en-IE"/>
              </w:rPr>
              <w:t>Tools and advisory services for companies, especially SMEs and exporters</w:t>
            </w:r>
          </w:p>
        </w:tc>
      </w:tr>
      <w:tr w:rsidR="00BA058D">
        <w:tc>
          <w:tcPr>
            <w:tcW w:w="10632" w:type="dxa"/>
            <w:tcBorders>
              <w:top w:val="nil"/>
            </w:tcBorders>
          </w:tcPr>
          <w:p w:rsidR="00BA058D" w:rsidRDefault="00942987">
            <w:pPr>
              <w:pStyle w:val="ListParagraph"/>
              <w:numPr>
                <w:ilvl w:val="0"/>
                <w:numId w:val="44"/>
              </w:numPr>
              <w:rPr>
                <w:rFonts w:asciiTheme="minorHAnsi" w:eastAsiaTheme="minorEastAsia" w:hAnsiTheme="minorHAnsi" w:cstheme="minorBidi"/>
                <w:noProof/>
              </w:rPr>
            </w:pPr>
            <w:r>
              <w:rPr>
                <w:noProof/>
                <w:lang w:eastAsia="en-IE"/>
              </w:rPr>
              <w:t>The Commission will offer technical support to Member States to provide SMEs with access to sustainability advisory services across the EU and gain access to sustainable finan</w:t>
            </w:r>
            <w:r>
              <w:rPr>
                <w:noProof/>
                <w:lang w:eastAsia="en-IE"/>
              </w:rPr>
              <w:t>cing with low administrative burden as of 2023</w:t>
            </w:r>
            <w:r>
              <w:rPr>
                <w:rStyle w:val="FootnoteReference"/>
                <w:noProof/>
                <w:lang w:eastAsia="en-IE"/>
              </w:rPr>
              <w:footnoteReference w:id="4"/>
            </w:r>
            <w:r>
              <w:rPr>
                <w:noProof/>
                <w:lang w:eastAsia="en-IE"/>
              </w:rPr>
              <w:t>. This support will help improve sustainability capacity-building tailored to the specific needs of SMEs in their remit, including for EU Taxonomy reporting purposes.</w:t>
            </w:r>
          </w:p>
          <w:p w:rsidR="00BA058D" w:rsidRDefault="00942987">
            <w:pPr>
              <w:pStyle w:val="ListParagraph"/>
              <w:numPr>
                <w:ilvl w:val="0"/>
                <w:numId w:val="12"/>
              </w:numPr>
              <w:spacing w:after="0"/>
              <w:rPr>
                <w:noProof/>
                <w:lang w:eastAsia="en-IE"/>
              </w:rPr>
            </w:pPr>
            <w:r>
              <w:rPr>
                <w:noProof/>
                <w:lang w:eastAsia="en-IE"/>
              </w:rPr>
              <w:t>To facilitate the usability and applicatio</w:t>
            </w:r>
            <w:r>
              <w:rPr>
                <w:noProof/>
                <w:lang w:eastAsia="en-IE"/>
              </w:rPr>
              <w:t>n of sustainability disclosure frameworks, including for smaller companies, the Commission recently published an EU Taxonomy Compass</w:t>
            </w:r>
            <w:r>
              <w:rPr>
                <w:rStyle w:val="FootnoteReference"/>
                <w:noProof/>
                <w:lang w:eastAsia="en-IE"/>
              </w:rPr>
              <w:footnoteReference w:id="5"/>
            </w:r>
            <w:r>
              <w:rPr>
                <w:noProof/>
                <w:lang w:eastAsia="en-IE"/>
              </w:rPr>
              <w:t>. This digital tool enables users to understand and assess potential coverage and alignment and facilitates the integration</w:t>
            </w:r>
            <w:r>
              <w:rPr>
                <w:noProof/>
                <w:lang w:eastAsia="en-IE"/>
              </w:rPr>
              <w:t xml:space="preserve"> of EU Taxonomy criteria into business databases and reporting systems. </w:t>
            </w:r>
          </w:p>
          <w:p w:rsidR="00BA058D" w:rsidRDefault="00942987">
            <w:pPr>
              <w:pStyle w:val="ListParagraph"/>
              <w:numPr>
                <w:ilvl w:val="0"/>
                <w:numId w:val="12"/>
              </w:numPr>
              <w:spacing w:after="0"/>
              <w:rPr>
                <w:noProof/>
              </w:rPr>
            </w:pPr>
            <w:r>
              <w:rPr>
                <w:noProof/>
                <w:lang w:eastAsia="en-IE"/>
              </w:rPr>
              <w:t>With regard to public export credit, in addition to ending support for the coal-fired power sector,</w:t>
            </w:r>
            <w:r>
              <w:rPr>
                <w:rStyle w:val="FootnoteReference"/>
                <w:noProof/>
                <w:lang w:eastAsia="en-IE"/>
              </w:rPr>
              <w:footnoteReference w:id="6"/>
            </w:r>
            <w:r>
              <w:rPr>
                <w:noProof/>
                <w:lang w:eastAsia="en-IE"/>
              </w:rPr>
              <w:t xml:space="preserve"> the Commission will propose to review the OECD Arrangement with an aim to increase</w:t>
            </w:r>
            <w:r>
              <w:rPr>
                <w:noProof/>
                <w:lang w:eastAsia="en-IE"/>
              </w:rPr>
              <w:t xml:space="preserve"> the positive impact of the incentives granted to climate-friendly projects (this includes assessing the usability of the principles of the EU Taxonomy for sustainable activities for this purpose).</w:t>
            </w:r>
          </w:p>
        </w:tc>
      </w:tr>
      <w:tr w:rsidR="00BA058D">
        <w:tc>
          <w:tcPr>
            <w:tcW w:w="10632" w:type="dxa"/>
          </w:tcPr>
          <w:p w:rsidR="00BA058D" w:rsidRDefault="00942987">
            <w:pPr>
              <w:spacing w:after="0"/>
              <w:rPr>
                <w:noProof/>
                <w:lang w:val="en-US" w:eastAsia="en-IE"/>
              </w:rPr>
            </w:pPr>
            <w:r>
              <w:rPr>
                <w:b/>
                <w:bCs/>
                <w:noProof/>
                <w:lang w:eastAsia="en-IE"/>
              </w:rPr>
              <w:t xml:space="preserve">2 (b): The Commission will explore how to leverage the </w:t>
            </w:r>
            <w:r>
              <w:rPr>
                <w:b/>
                <w:bCs/>
                <w:noProof/>
                <w:lang w:eastAsia="en-IE"/>
              </w:rPr>
              <w:t>opportunities digital technologies offer for sustainable finance.</w:t>
            </w:r>
          </w:p>
        </w:tc>
      </w:tr>
      <w:tr w:rsidR="00BA058D">
        <w:tc>
          <w:tcPr>
            <w:tcW w:w="10632" w:type="dxa"/>
          </w:tcPr>
          <w:p w:rsidR="00BA058D" w:rsidRDefault="00942987">
            <w:pPr>
              <w:pStyle w:val="ListParagraph"/>
              <w:numPr>
                <w:ilvl w:val="0"/>
                <w:numId w:val="23"/>
              </w:numPr>
              <w:spacing w:after="0"/>
              <w:rPr>
                <w:rFonts w:asciiTheme="minorHAnsi" w:eastAsiaTheme="minorEastAsia" w:hAnsiTheme="minorHAnsi" w:cstheme="minorBidi"/>
                <w:noProof/>
              </w:rPr>
            </w:pPr>
            <w:r>
              <w:rPr>
                <w:rFonts w:eastAsia="Times New Roman"/>
                <w:noProof/>
              </w:rPr>
              <w:t>The Commission will integrate sustainable finance-related data in the data spaces under the European Data Strategy and reflect, together with the Digital finance platform, on possible addit</w:t>
            </w:r>
            <w:r>
              <w:rPr>
                <w:rFonts w:eastAsia="Times New Roman"/>
                <w:noProof/>
              </w:rPr>
              <w:t>ional actions to enable and encourage innovative solutions using digital technologies to support SMEs and retail investors.</w:t>
            </w:r>
          </w:p>
          <w:p w:rsidR="00BA058D" w:rsidRDefault="00942987">
            <w:pPr>
              <w:pStyle w:val="ListParagraph"/>
              <w:numPr>
                <w:ilvl w:val="0"/>
                <w:numId w:val="23"/>
              </w:numPr>
              <w:spacing w:after="0"/>
              <w:rPr>
                <w:rFonts w:asciiTheme="minorHAnsi" w:eastAsiaTheme="minorEastAsia" w:hAnsiTheme="minorHAnsi" w:cstheme="minorBidi"/>
                <w:noProof/>
                <w:lang w:val="en-US" w:eastAsia="en-IE"/>
              </w:rPr>
            </w:pPr>
            <w:r>
              <w:rPr>
                <w:noProof/>
                <w:lang w:eastAsia="en-IE"/>
              </w:rPr>
              <w:t>The Commission encourages the development of and investments in low or zero emission data centres and distributed ledger technologie</w:t>
            </w:r>
            <w:r>
              <w:rPr>
                <w:noProof/>
                <w:lang w:eastAsia="en-IE"/>
              </w:rPr>
              <w:t>s, including for crypto-assets, and it will explore whether the EU Taxonomy should be expanded to include further supporting activities by 2023.</w:t>
            </w:r>
          </w:p>
          <w:p w:rsidR="00BA058D" w:rsidRDefault="00BA058D">
            <w:pPr>
              <w:pStyle w:val="ListParagraph"/>
              <w:spacing w:after="0"/>
              <w:ind w:left="426"/>
              <w:rPr>
                <w:rFonts w:asciiTheme="minorHAnsi" w:eastAsiaTheme="minorEastAsia" w:hAnsiTheme="minorHAnsi" w:cstheme="minorBidi"/>
                <w:noProof/>
                <w:lang w:val="en-US" w:eastAsia="en-IE"/>
              </w:rPr>
            </w:pPr>
          </w:p>
        </w:tc>
      </w:tr>
      <w:tr w:rsidR="00BA058D">
        <w:tc>
          <w:tcPr>
            <w:tcW w:w="10632" w:type="dxa"/>
            <w:shd w:val="clear" w:color="auto" w:fill="auto"/>
          </w:tcPr>
          <w:p w:rsidR="00BA058D" w:rsidRDefault="00942987">
            <w:pPr>
              <w:spacing w:after="0"/>
              <w:rPr>
                <w:b/>
                <w:bCs/>
                <w:noProof/>
              </w:rPr>
            </w:pPr>
            <w:r>
              <w:rPr>
                <w:b/>
                <w:bCs/>
                <w:noProof/>
                <w:lang w:eastAsia="en-IE"/>
              </w:rPr>
              <w:t>2 (c): The Commission will work towards greater protection from climate and environmental risks through incre</w:t>
            </w:r>
            <w:r>
              <w:rPr>
                <w:b/>
                <w:bCs/>
                <w:noProof/>
                <w:lang w:eastAsia="en-IE"/>
              </w:rPr>
              <w:t>asing insurance coverage, beyond reducing these risks.</w:t>
            </w:r>
          </w:p>
        </w:tc>
      </w:tr>
      <w:tr w:rsidR="00BA058D">
        <w:tc>
          <w:tcPr>
            <w:tcW w:w="10632" w:type="dxa"/>
            <w:shd w:val="clear" w:color="auto" w:fill="auto"/>
          </w:tcPr>
          <w:p w:rsidR="00BA058D" w:rsidRDefault="00942987">
            <w:pPr>
              <w:pStyle w:val="ListParagraph"/>
              <w:numPr>
                <w:ilvl w:val="0"/>
                <w:numId w:val="38"/>
              </w:numPr>
              <w:spacing w:after="0"/>
              <w:rPr>
                <w:b/>
                <w:bCs/>
                <w:noProof/>
                <w:lang w:eastAsia="en-IE"/>
              </w:rPr>
            </w:pPr>
            <w:r>
              <w:rPr>
                <w:noProof/>
                <w:lang w:eastAsia="en-IE"/>
              </w:rPr>
              <w:t>The Commission will ask EIOPA to continue the development of the natural disaster dashboard by mid-2022 and it will explore the use of the dashboard for diagnostic assessment per Member States.</w:t>
            </w:r>
          </w:p>
          <w:p w:rsidR="00BA058D" w:rsidRDefault="00942987">
            <w:pPr>
              <w:pStyle w:val="ListParagraph"/>
              <w:numPr>
                <w:ilvl w:val="0"/>
                <w:numId w:val="18"/>
              </w:numPr>
              <w:spacing w:after="0"/>
              <w:rPr>
                <w:rFonts w:asciiTheme="minorHAnsi" w:eastAsiaTheme="minorEastAsia" w:hAnsiTheme="minorHAnsi" w:cstheme="minorBidi"/>
                <w:noProof/>
                <w:lang w:eastAsia="en-IE"/>
              </w:rPr>
            </w:pPr>
            <w:r>
              <w:rPr>
                <w:noProof/>
                <w:lang w:eastAsia="en-IE"/>
              </w:rPr>
              <w:t xml:space="preserve">The </w:t>
            </w:r>
            <w:r>
              <w:rPr>
                <w:noProof/>
                <w:lang w:eastAsia="en-IE"/>
              </w:rPr>
              <w:t>Commission will launch a Climate Resilience Dialogue by 2022, with the support of the insurance industry, national, local-level authorities and other stakeholders, to exchange best practices and identify ways to address the climate protection gap and incre</w:t>
            </w:r>
            <w:r>
              <w:rPr>
                <w:noProof/>
                <w:lang w:eastAsia="en-IE"/>
              </w:rPr>
              <w:t>ase climate resilience either through recommendations or through voluntary commitments.</w:t>
            </w:r>
          </w:p>
          <w:p w:rsidR="00BA058D" w:rsidRDefault="00942987">
            <w:pPr>
              <w:pStyle w:val="ListParagraph"/>
              <w:numPr>
                <w:ilvl w:val="0"/>
                <w:numId w:val="18"/>
              </w:numPr>
              <w:spacing w:after="0"/>
              <w:rPr>
                <w:rFonts w:asciiTheme="minorHAnsi" w:eastAsiaTheme="minorEastAsia" w:hAnsiTheme="minorHAnsi" w:cstheme="minorBidi"/>
                <w:noProof/>
                <w:lang w:eastAsia="en-IE"/>
              </w:rPr>
            </w:pPr>
            <w:r>
              <w:rPr>
                <w:noProof/>
                <w:lang w:eastAsia="en-IE"/>
              </w:rPr>
              <w:t>The Commission will invite EIOPA to continue its work on the identification of good practices by the insurance sector in the broader context of supplying products (incl</w:t>
            </w:r>
            <w:r>
              <w:rPr>
                <w:noProof/>
                <w:lang w:eastAsia="en-IE"/>
              </w:rPr>
              <w:t>uding pricing and underwriting) or services for the management of climate-change-related risks by customers. EIOPA should pay particular attention to innovative solutions and their potential risks or their opportunities for wider use.</w:t>
            </w:r>
          </w:p>
          <w:p w:rsidR="00BA058D" w:rsidRDefault="00942987">
            <w:pPr>
              <w:pStyle w:val="ListParagraph"/>
              <w:numPr>
                <w:ilvl w:val="0"/>
                <w:numId w:val="18"/>
              </w:numPr>
              <w:spacing w:after="0"/>
              <w:rPr>
                <w:rFonts w:asciiTheme="minorHAnsi" w:eastAsiaTheme="minorEastAsia" w:hAnsiTheme="minorHAnsi" w:cstheme="minorBidi"/>
                <w:noProof/>
                <w:lang w:eastAsia="en-IE"/>
              </w:rPr>
            </w:pPr>
            <w:r>
              <w:rPr>
                <w:noProof/>
                <w:lang w:eastAsia="en-IE"/>
              </w:rPr>
              <w:t>Based on EIOPA’s work</w:t>
            </w:r>
            <w:r>
              <w:rPr>
                <w:noProof/>
                <w:lang w:eastAsia="en-IE"/>
              </w:rPr>
              <w:t>, the Commission will consider whether legislative or non-legislative actions on prudential or other rules could facilitate the uptake of the identified good practices.</w:t>
            </w:r>
          </w:p>
        </w:tc>
      </w:tr>
      <w:tr w:rsidR="00BA058D">
        <w:tc>
          <w:tcPr>
            <w:tcW w:w="10632" w:type="dxa"/>
          </w:tcPr>
          <w:p w:rsidR="00BA058D" w:rsidRDefault="00942987">
            <w:pPr>
              <w:spacing w:after="0"/>
              <w:rPr>
                <w:b/>
                <w:bCs/>
                <w:noProof/>
              </w:rPr>
            </w:pPr>
            <w:r>
              <w:rPr>
                <w:b/>
                <w:bCs/>
                <w:noProof/>
                <w:color w:val="000000" w:themeColor="text1"/>
                <w:lang w:eastAsia="en-IE"/>
              </w:rPr>
              <w:t xml:space="preserve">2 (d): </w:t>
            </w:r>
            <w:r>
              <w:rPr>
                <w:b/>
                <w:bCs/>
                <w:noProof/>
                <w:lang w:eastAsia="en-IE"/>
              </w:rPr>
              <w:t>The Commission will support credible social investments.</w:t>
            </w:r>
          </w:p>
        </w:tc>
      </w:tr>
      <w:tr w:rsidR="00BA058D">
        <w:tc>
          <w:tcPr>
            <w:tcW w:w="10632" w:type="dxa"/>
          </w:tcPr>
          <w:p w:rsidR="00BA058D" w:rsidRDefault="00942987">
            <w:pPr>
              <w:pStyle w:val="ListParagraph"/>
              <w:numPr>
                <w:ilvl w:val="0"/>
                <w:numId w:val="18"/>
              </w:numPr>
              <w:spacing w:after="0"/>
              <w:rPr>
                <w:noProof/>
                <w:color w:val="000000"/>
                <w:lang w:eastAsia="en-IE"/>
              </w:rPr>
            </w:pPr>
            <w:r>
              <w:rPr>
                <w:rFonts w:eastAsia="Calibri"/>
                <w:noProof/>
              </w:rPr>
              <w:t>Before December 2022,</w:t>
            </w:r>
            <w:r>
              <w:rPr>
                <w:rFonts w:eastAsia="Calibri"/>
                <w:noProof/>
              </w:rPr>
              <w:t xml:space="preserve"> the Commission will engage with the ESAs to review the regulatory technical standards under the SFDR, to clarify indicators for both climate and environment-related principal adverse impacts and principal adverse impacts in the field of social and employe</w:t>
            </w:r>
            <w:r>
              <w:rPr>
                <w:rFonts w:eastAsia="Calibri"/>
                <w:noProof/>
              </w:rPr>
              <w:t>e matters, respect for human rights, anti-corruption and anti-bribery matters.</w:t>
            </w:r>
          </w:p>
          <w:p w:rsidR="00BA058D" w:rsidRDefault="00942987">
            <w:pPr>
              <w:pStyle w:val="ListParagraph"/>
              <w:numPr>
                <w:ilvl w:val="0"/>
                <w:numId w:val="18"/>
              </w:numPr>
              <w:spacing w:after="0"/>
              <w:rPr>
                <w:rFonts w:asciiTheme="minorHAnsi" w:eastAsiaTheme="minorEastAsia" w:hAnsiTheme="minorHAnsi" w:cstheme="minorBidi"/>
                <w:noProof/>
                <w:color w:val="000000"/>
                <w:lang w:eastAsia="en-IE"/>
              </w:rPr>
            </w:pPr>
            <w:r>
              <w:rPr>
                <w:rFonts w:eastAsia="Times New Roman"/>
                <w:noProof/>
              </w:rPr>
              <w:t>The Commission will publish a report on a social taxonomy, as required by the Taxonomy Regulation, by the end of 2021.</w:t>
            </w:r>
            <w:r>
              <w:rPr>
                <w:noProof/>
                <w:lang w:eastAsia="en-IE"/>
              </w:rPr>
              <w:t xml:space="preserve"> </w:t>
            </w:r>
          </w:p>
          <w:p w:rsidR="00BA058D" w:rsidRDefault="00942987">
            <w:pPr>
              <w:pStyle w:val="ListParagraph"/>
              <w:numPr>
                <w:ilvl w:val="0"/>
                <w:numId w:val="18"/>
              </w:numPr>
              <w:spacing w:after="0"/>
              <w:rPr>
                <w:rFonts w:asciiTheme="minorHAnsi" w:eastAsiaTheme="minorEastAsia" w:hAnsiTheme="minorHAnsi" w:cstheme="minorBidi"/>
                <w:noProof/>
                <w:color w:val="000000" w:themeColor="text1"/>
                <w:lang w:eastAsia="en-IE"/>
              </w:rPr>
            </w:pPr>
            <w:r>
              <w:rPr>
                <w:noProof/>
                <w:lang w:eastAsia="en-IE"/>
              </w:rPr>
              <w:t xml:space="preserve">The Commission will propose a Sustainable Corporate </w:t>
            </w:r>
            <w:r>
              <w:rPr>
                <w:noProof/>
                <w:lang w:eastAsia="en-IE"/>
              </w:rPr>
              <w:t>Governance Initiative in 2021.</w:t>
            </w:r>
          </w:p>
        </w:tc>
      </w:tr>
      <w:tr w:rsidR="00BA058D">
        <w:tc>
          <w:tcPr>
            <w:tcW w:w="10632" w:type="dxa"/>
          </w:tcPr>
          <w:p w:rsidR="00BA058D" w:rsidRDefault="00942987">
            <w:pPr>
              <w:spacing w:after="0"/>
              <w:rPr>
                <w:rFonts w:eastAsia="Calibri"/>
                <w:b/>
                <w:noProof/>
              </w:rPr>
            </w:pPr>
            <w:r>
              <w:rPr>
                <w:b/>
                <w:noProof/>
              </w:rPr>
              <w:t>2 (e): The Commission will work on green budgeting and risk-sharing mechanisms.</w:t>
            </w:r>
          </w:p>
        </w:tc>
      </w:tr>
      <w:tr w:rsidR="00BA058D">
        <w:tc>
          <w:tcPr>
            <w:tcW w:w="10632" w:type="dxa"/>
          </w:tcPr>
          <w:p w:rsidR="00BA058D" w:rsidRDefault="00942987">
            <w:pPr>
              <w:pStyle w:val="ListParagraph"/>
              <w:numPr>
                <w:ilvl w:val="0"/>
                <w:numId w:val="18"/>
              </w:numPr>
              <w:spacing w:after="0"/>
              <w:rPr>
                <w:rFonts w:eastAsia="Calibri"/>
                <w:noProof/>
              </w:rPr>
            </w:pPr>
            <w:r>
              <w:rPr>
                <w:rFonts w:eastAsia="Calibri"/>
                <w:noProof/>
              </w:rPr>
              <w:t>The Commission will strengthen tracking methodologies for climate and biodiversity spending and support Member States who want to redirect thei</w:t>
            </w:r>
            <w:r>
              <w:rPr>
                <w:rFonts w:eastAsia="Calibri"/>
                <w:noProof/>
              </w:rPr>
              <w:t>r national budget to green priorities.</w:t>
            </w:r>
          </w:p>
          <w:p w:rsidR="00BA058D" w:rsidRDefault="00942987">
            <w:pPr>
              <w:pStyle w:val="ListParagraph"/>
              <w:numPr>
                <w:ilvl w:val="0"/>
                <w:numId w:val="18"/>
              </w:numPr>
              <w:spacing w:after="0"/>
              <w:rPr>
                <w:rFonts w:eastAsia="Calibri"/>
                <w:noProof/>
              </w:rPr>
            </w:pPr>
            <w:r>
              <w:rPr>
                <w:rFonts w:eastAsia="Calibri"/>
                <w:noProof/>
              </w:rPr>
              <w:t>The Commission will organise an inaugural annual Sustainable Investment Summit ahead of COP 26.</w:t>
            </w:r>
          </w:p>
        </w:tc>
      </w:tr>
      <w:tr w:rsidR="00BA058D">
        <w:tc>
          <w:tcPr>
            <w:tcW w:w="10632" w:type="dxa"/>
            <w:shd w:val="clear" w:color="auto" w:fill="D9E2F3" w:themeFill="accent1" w:themeFillTint="33"/>
          </w:tcPr>
          <w:p w:rsidR="00BA058D" w:rsidRDefault="00942987">
            <w:pPr>
              <w:spacing w:after="0"/>
              <w:rPr>
                <w:b/>
                <w:bCs/>
                <w:noProof/>
              </w:rPr>
            </w:pPr>
            <w:r>
              <w:rPr>
                <w:b/>
                <w:bCs/>
                <w:noProof/>
              </w:rPr>
              <w:t>Improving financial sector’s resilience and contribution to sustainability: the double materiality perspective</w:t>
            </w:r>
          </w:p>
        </w:tc>
      </w:tr>
      <w:tr w:rsidR="00BA058D">
        <w:tc>
          <w:tcPr>
            <w:tcW w:w="10632" w:type="dxa"/>
            <w:shd w:val="clear" w:color="auto" w:fill="E7E6E6" w:themeFill="background2"/>
          </w:tcPr>
          <w:p w:rsidR="00BA058D" w:rsidRDefault="00942987">
            <w:pPr>
              <w:spacing w:after="0"/>
              <w:rPr>
                <w:b/>
                <w:bCs/>
                <w:i/>
                <w:iCs/>
                <w:noProof/>
                <w:lang w:eastAsia="en-IE"/>
              </w:rPr>
            </w:pPr>
            <w:r>
              <w:rPr>
                <w:b/>
                <w:bCs/>
                <w:i/>
                <w:iCs/>
                <w:noProof/>
                <w:lang w:eastAsia="en-IE"/>
              </w:rPr>
              <w:t xml:space="preserve">Action </w:t>
            </w:r>
            <w:r>
              <w:rPr>
                <w:b/>
                <w:bCs/>
                <w:i/>
                <w:iCs/>
                <w:noProof/>
                <w:lang w:eastAsia="en-IE"/>
              </w:rPr>
              <w:t>3: To enhance economic and financial resilience to sustainability risks, the Commission will take further steps with regard to accounting, credit ratings, micro-prudential and macro-prudential regulation.</w:t>
            </w:r>
          </w:p>
        </w:tc>
      </w:tr>
      <w:tr w:rsidR="00BA058D">
        <w:tc>
          <w:tcPr>
            <w:tcW w:w="10632" w:type="dxa"/>
          </w:tcPr>
          <w:p w:rsidR="00BA058D" w:rsidRDefault="00942987">
            <w:pPr>
              <w:spacing w:after="0"/>
              <w:rPr>
                <w:b/>
                <w:bCs/>
                <w:noProof/>
              </w:rPr>
            </w:pPr>
            <w:r>
              <w:rPr>
                <w:b/>
                <w:bCs/>
                <w:noProof/>
              </w:rPr>
              <w:t xml:space="preserve">3 (a): </w:t>
            </w:r>
            <w:r>
              <w:rPr>
                <w:b/>
                <w:bCs/>
                <w:noProof/>
                <w:lang w:val="en-US"/>
              </w:rPr>
              <w:t xml:space="preserve">The Commission will work towards financial </w:t>
            </w:r>
            <w:r>
              <w:rPr>
                <w:b/>
                <w:bCs/>
                <w:noProof/>
                <w:lang w:val="en-US"/>
              </w:rPr>
              <w:t>reporting standards that adequately reflect sustainability risks standards and will encourage natural capital accounting.</w:t>
            </w:r>
          </w:p>
        </w:tc>
      </w:tr>
      <w:tr w:rsidR="00BA058D">
        <w:tc>
          <w:tcPr>
            <w:tcW w:w="10632" w:type="dxa"/>
          </w:tcPr>
          <w:p w:rsidR="00BA058D" w:rsidRDefault="00942987">
            <w:pPr>
              <w:pStyle w:val="ListParagraph"/>
              <w:numPr>
                <w:ilvl w:val="0"/>
                <w:numId w:val="45"/>
              </w:numPr>
              <w:spacing w:after="0"/>
              <w:rPr>
                <w:rFonts w:asciiTheme="minorHAnsi" w:eastAsiaTheme="minorEastAsia" w:hAnsiTheme="minorHAnsi" w:cstheme="minorBidi"/>
                <w:noProof/>
                <w:color w:val="000000" w:themeColor="text1"/>
                <w:lang w:eastAsia="en-IE"/>
              </w:rPr>
            </w:pPr>
            <w:r>
              <w:rPr>
                <w:bCs/>
                <w:noProof/>
                <w:lang w:val="en-US"/>
              </w:rPr>
              <w:t>The Commission will work with EFRAG, ESMA and the IASB, on how financial reporting standards can best capture relevant sustainability</w:t>
            </w:r>
            <w:r>
              <w:rPr>
                <w:bCs/>
                <w:noProof/>
                <w:lang w:val="en-US"/>
              </w:rPr>
              <w:t xml:space="preserve"> risks</w:t>
            </w:r>
            <w:r>
              <w:rPr>
                <w:noProof/>
                <w:lang w:val="en-US"/>
              </w:rPr>
              <w:t>.</w:t>
            </w:r>
          </w:p>
          <w:p w:rsidR="00BA058D" w:rsidRDefault="00942987">
            <w:pPr>
              <w:pStyle w:val="ListParagraph"/>
              <w:numPr>
                <w:ilvl w:val="0"/>
                <w:numId w:val="45"/>
              </w:numPr>
              <w:spacing w:after="0"/>
              <w:rPr>
                <w:rFonts w:asciiTheme="minorHAnsi" w:eastAsiaTheme="minorEastAsia" w:hAnsiTheme="minorHAnsi" w:cstheme="minorBidi"/>
                <w:noProof/>
                <w:color w:val="000000" w:themeColor="text1"/>
                <w:lang w:eastAsia="en-IE"/>
              </w:rPr>
            </w:pPr>
            <w:r>
              <w:rPr>
                <w:noProof/>
                <w:lang w:eastAsia="en-IE"/>
              </w:rPr>
              <w:t>To encourage the development of standards for assessing natural capital in the EU and globally, the Commission is also intensifying its engagement with industry on biodiversity and natural capital accounting.</w:t>
            </w:r>
          </w:p>
          <w:p w:rsidR="00BA058D" w:rsidRDefault="00BA058D">
            <w:pPr>
              <w:spacing w:after="0"/>
              <w:rPr>
                <w:rFonts w:asciiTheme="minorHAnsi" w:eastAsiaTheme="minorEastAsia" w:hAnsiTheme="minorHAnsi" w:cstheme="minorBidi"/>
                <w:noProof/>
                <w:color w:val="000000" w:themeColor="text1"/>
                <w:lang w:eastAsia="en-IE"/>
              </w:rPr>
            </w:pPr>
          </w:p>
        </w:tc>
      </w:tr>
      <w:tr w:rsidR="00BA058D">
        <w:tc>
          <w:tcPr>
            <w:tcW w:w="10632" w:type="dxa"/>
          </w:tcPr>
          <w:p w:rsidR="00BA058D" w:rsidRDefault="00942987">
            <w:pPr>
              <w:spacing w:after="0"/>
              <w:rPr>
                <w:b/>
                <w:bCs/>
                <w:noProof/>
              </w:rPr>
            </w:pPr>
            <w:r>
              <w:rPr>
                <w:b/>
                <w:bCs/>
                <w:noProof/>
              </w:rPr>
              <w:t xml:space="preserve">3 (b): The Commission will take </w:t>
            </w:r>
            <w:r>
              <w:rPr>
                <w:b/>
                <w:bCs/>
                <w:noProof/>
              </w:rPr>
              <w:t>action to ensure that relevant ESG risks are systematically captured in credit ratings and rating outlooks in a transparent manner.</w:t>
            </w:r>
          </w:p>
        </w:tc>
      </w:tr>
      <w:tr w:rsidR="00BA058D">
        <w:tc>
          <w:tcPr>
            <w:tcW w:w="10632" w:type="dxa"/>
          </w:tcPr>
          <w:p w:rsidR="00BA058D" w:rsidRDefault="00942987">
            <w:pPr>
              <w:pStyle w:val="ListParagraph"/>
              <w:numPr>
                <w:ilvl w:val="0"/>
                <w:numId w:val="15"/>
              </w:numPr>
              <w:spacing w:after="0"/>
              <w:ind w:left="314"/>
              <w:rPr>
                <w:noProof/>
                <w:color w:val="000000"/>
                <w:lang w:eastAsia="en-IE"/>
              </w:rPr>
            </w:pPr>
            <w:r>
              <w:rPr>
                <w:noProof/>
                <w:lang w:eastAsia="en-IE"/>
              </w:rPr>
              <w:t>The Commission invites ESMA to share:</w:t>
            </w:r>
          </w:p>
          <w:p w:rsidR="00BA058D" w:rsidRDefault="00942987">
            <w:pPr>
              <w:pStyle w:val="ListParagraph"/>
              <w:numPr>
                <w:ilvl w:val="0"/>
                <w:numId w:val="60"/>
              </w:numPr>
              <w:spacing w:after="0"/>
              <w:rPr>
                <w:noProof/>
                <w:lang w:eastAsia="en-IE"/>
              </w:rPr>
            </w:pPr>
            <w:r>
              <w:rPr>
                <w:noProof/>
                <w:lang w:eastAsia="en-IE"/>
              </w:rPr>
              <w:t>by Q3 2021, its assessment on the implementation of the updated guidelines aimed at i</w:t>
            </w:r>
            <w:r>
              <w:rPr>
                <w:noProof/>
                <w:lang w:eastAsia="en-IE"/>
              </w:rPr>
              <w:t>mproving disclosure of information on how ESG factors are taken into account in credit ratings and outlooks;</w:t>
            </w:r>
          </w:p>
          <w:p w:rsidR="00BA058D" w:rsidRDefault="00942987">
            <w:pPr>
              <w:pStyle w:val="ListParagraph"/>
              <w:numPr>
                <w:ilvl w:val="0"/>
                <w:numId w:val="60"/>
              </w:numPr>
              <w:rPr>
                <w:noProof/>
                <w:lang w:eastAsia="en-IE"/>
              </w:rPr>
            </w:pPr>
            <w:r>
              <w:rPr>
                <w:noProof/>
                <w:lang w:eastAsia="en-IE"/>
              </w:rPr>
              <w:t>by Q2 2022, at the latest, its findings on how ESG factors are incorporated by CRAs in their methodologies.</w:t>
            </w:r>
          </w:p>
          <w:p w:rsidR="00BA058D" w:rsidRDefault="00942987">
            <w:pPr>
              <w:pStyle w:val="ListParagraph"/>
              <w:numPr>
                <w:ilvl w:val="0"/>
                <w:numId w:val="5"/>
              </w:numPr>
              <w:spacing w:after="0"/>
              <w:rPr>
                <w:rFonts w:asciiTheme="minorHAnsi" w:eastAsiaTheme="minorEastAsia" w:hAnsiTheme="minorHAnsi" w:cstheme="minorBidi"/>
                <w:noProof/>
                <w:color w:val="000000"/>
                <w:lang w:eastAsia="en-IE"/>
              </w:rPr>
            </w:pPr>
            <w:r>
              <w:rPr>
                <w:noProof/>
                <w:lang w:eastAsia="en-IE"/>
              </w:rPr>
              <w:t xml:space="preserve">Subject to ESMA’s findings and the </w:t>
            </w:r>
            <w:r>
              <w:rPr>
                <w:noProof/>
                <w:lang w:eastAsia="en-IE"/>
              </w:rPr>
              <w:t>outcome of an impact assessment, by Q1 2023 the Commission will take action to ensure that relevant ESG risks are systematically captured in credit ratings and to improve transparency on the inclusion of ESG risks by credit rating agencies in credit rating</w:t>
            </w:r>
            <w:r>
              <w:rPr>
                <w:noProof/>
                <w:lang w:eastAsia="en-IE"/>
              </w:rPr>
              <w:t>s and outlooks.</w:t>
            </w:r>
          </w:p>
        </w:tc>
      </w:tr>
      <w:tr w:rsidR="00BA058D">
        <w:tc>
          <w:tcPr>
            <w:tcW w:w="10632" w:type="dxa"/>
            <w:tcBorders>
              <w:bottom w:val="single" w:sz="4" w:space="0" w:color="auto"/>
            </w:tcBorders>
          </w:tcPr>
          <w:p w:rsidR="00BA058D" w:rsidRDefault="00942987">
            <w:pPr>
              <w:spacing w:after="0"/>
              <w:rPr>
                <w:b/>
                <w:bCs/>
                <w:noProof/>
              </w:rPr>
            </w:pPr>
            <w:r>
              <w:rPr>
                <w:rFonts w:eastAsia="Times New Roman"/>
                <w:b/>
                <w:bCs/>
                <w:noProof/>
                <w:color w:val="000000" w:themeColor="text1"/>
                <w:lang w:eastAsia="en-IE"/>
              </w:rPr>
              <w:t xml:space="preserve">3 (c): </w:t>
            </w:r>
            <w:r>
              <w:rPr>
                <w:b/>
                <w:bCs/>
                <w:noProof/>
              </w:rPr>
              <w:t xml:space="preserve">The Commission will propose amendments to the CRR/CRD to ensure ESG factors are consistently included in risk management systems of banks. </w:t>
            </w:r>
          </w:p>
        </w:tc>
      </w:tr>
      <w:tr w:rsidR="00BA058D">
        <w:tc>
          <w:tcPr>
            <w:tcW w:w="10632" w:type="dxa"/>
            <w:tcBorders>
              <w:bottom w:val="nil"/>
            </w:tcBorders>
          </w:tcPr>
          <w:p w:rsidR="00BA058D" w:rsidRDefault="00942987">
            <w:pPr>
              <w:spacing w:after="0"/>
              <w:rPr>
                <w:rFonts w:eastAsia="Calibri"/>
                <w:i/>
                <w:iCs/>
                <w:noProof/>
                <w:lang w:eastAsia="en-IE"/>
              </w:rPr>
            </w:pPr>
            <w:r>
              <w:rPr>
                <w:rFonts w:eastAsia="Calibri"/>
                <w:i/>
                <w:noProof/>
                <w:lang w:eastAsia="en-IE"/>
              </w:rPr>
              <w:t>Risk management and supervisory powers</w:t>
            </w:r>
          </w:p>
        </w:tc>
      </w:tr>
      <w:tr w:rsidR="00BA058D">
        <w:tc>
          <w:tcPr>
            <w:tcW w:w="10632" w:type="dxa"/>
            <w:tcBorders>
              <w:top w:val="nil"/>
              <w:bottom w:val="nil"/>
            </w:tcBorders>
          </w:tcPr>
          <w:p w:rsidR="00BA058D" w:rsidRDefault="00942987">
            <w:pPr>
              <w:pStyle w:val="ListParagraph"/>
              <w:numPr>
                <w:ilvl w:val="0"/>
                <w:numId w:val="16"/>
              </w:numPr>
              <w:spacing w:after="0"/>
              <w:rPr>
                <w:rFonts w:asciiTheme="minorHAnsi" w:eastAsiaTheme="minorEastAsia" w:hAnsiTheme="minorHAnsi" w:cstheme="minorBidi"/>
                <w:noProof/>
                <w:lang w:val="en-US"/>
              </w:rPr>
            </w:pPr>
            <w:r>
              <w:rPr>
                <w:noProof/>
                <w:lang w:eastAsia="en-IE"/>
              </w:rPr>
              <w:t xml:space="preserve">In the upcoming review of the CRR/CRD, the </w:t>
            </w:r>
            <w:r>
              <w:rPr>
                <w:noProof/>
                <w:lang w:eastAsia="en-IE"/>
              </w:rPr>
              <w:t>Commission will propose binding requirements and mandates for the European Banking Authority, for the integration of ESG risks in the risk management rules for banks and require supervisors to ensure that banks manage ESG risks adequately, reflecting the d</w:t>
            </w:r>
            <w:r>
              <w:rPr>
                <w:noProof/>
                <w:lang w:eastAsia="en-IE"/>
              </w:rPr>
              <w:t>ifferent types of sustainability risks (environment, social and governance). This will cover improvements and introducing a new mandate for the EBA to issue guidelines as regards the identification, measurement, management and monitoring of ESG risks by ba</w:t>
            </w:r>
            <w:r>
              <w:rPr>
                <w:noProof/>
                <w:lang w:eastAsia="en-IE"/>
              </w:rPr>
              <w:t>nks.</w:t>
            </w:r>
          </w:p>
          <w:p w:rsidR="00BA058D" w:rsidRDefault="00942987">
            <w:pPr>
              <w:pStyle w:val="ListParagraph"/>
              <w:numPr>
                <w:ilvl w:val="0"/>
                <w:numId w:val="16"/>
              </w:numPr>
              <w:spacing w:after="0"/>
              <w:rPr>
                <w:rFonts w:asciiTheme="minorHAnsi" w:eastAsiaTheme="minorEastAsia" w:hAnsiTheme="minorHAnsi" w:cstheme="minorBidi"/>
                <w:noProof/>
                <w:lang w:eastAsia="en-IE"/>
              </w:rPr>
            </w:pPr>
            <w:r>
              <w:rPr>
                <w:noProof/>
                <w:lang w:eastAsia="en-IE"/>
              </w:rPr>
              <w:t>The Commission will propose to explicitly empower supervisory authorities to incorporate ESG risks in the Supervisory Review and Evaluation Process (SREP).</w:t>
            </w:r>
          </w:p>
          <w:p w:rsidR="00BA058D" w:rsidRDefault="00942987">
            <w:pPr>
              <w:pStyle w:val="ListParagraph"/>
              <w:numPr>
                <w:ilvl w:val="0"/>
                <w:numId w:val="16"/>
              </w:numPr>
              <w:spacing w:after="0"/>
              <w:rPr>
                <w:rFonts w:asciiTheme="minorHAnsi" w:eastAsiaTheme="minorEastAsia" w:hAnsiTheme="minorHAnsi" w:cstheme="minorBidi"/>
                <w:noProof/>
                <w:lang w:val="en-US"/>
              </w:rPr>
            </w:pPr>
            <w:r>
              <w:rPr>
                <w:noProof/>
              </w:rPr>
              <w:t>Banks themselves will also be required to conduct internal stress tests to test their resilienc</w:t>
            </w:r>
            <w:r>
              <w:rPr>
                <w:noProof/>
              </w:rPr>
              <w:t>e to climate change risks and long-term negative impacts. T</w:t>
            </w:r>
            <w:r>
              <w:rPr>
                <w:noProof/>
                <w:lang w:eastAsia="en-IE"/>
              </w:rPr>
              <w:t xml:space="preserve">he Commission will mandate the EBA to issue guidelines on this. </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noProof/>
                <w:lang w:eastAsia="en-IE"/>
              </w:rPr>
              <w:t xml:space="preserve">Risk differentials and capital </w:t>
            </w:r>
            <w:r>
              <w:rPr>
                <w:rFonts w:eastAsia="Calibri"/>
                <w:i/>
                <w:iCs/>
                <w:noProof/>
                <w:lang w:eastAsia="en-IE"/>
              </w:rPr>
              <w:t>requirements</w:t>
            </w:r>
          </w:p>
        </w:tc>
      </w:tr>
      <w:tr w:rsidR="00BA058D">
        <w:tc>
          <w:tcPr>
            <w:tcW w:w="10632" w:type="dxa"/>
            <w:tcBorders>
              <w:top w:val="nil"/>
              <w:bottom w:val="nil"/>
            </w:tcBorders>
          </w:tcPr>
          <w:p w:rsidR="00BA058D" w:rsidRDefault="00942987">
            <w:pPr>
              <w:pStyle w:val="ListParagraph"/>
              <w:numPr>
                <w:ilvl w:val="0"/>
                <w:numId w:val="16"/>
              </w:numPr>
              <w:spacing w:after="0"/>
              <w:rPr>
                <w:rFonts w:asciiTheme="minorHAnsi" w:eastAsiaTheme="minorEastAsia" w:hAnsiTheme="minorHAnsi" w:cstheme="minorBidi"/>
                <w:noProof/>
                <w:lang w:eastAsia="en-IE"/>
              </w:rPr>
            </w:pPr>
            <w:r>
              <w:rPr>
                <w:rFonts w:eastAsia="Calibri"/>
                <w:noProof/>
                <w:lang w:eastAsia="en-IE"/>
              </w:rPr>
              <w:t>The Commission will propose to recognise that measures to enhance energy efficiency of</w:t>
            </w:r>
            <w:r>
              <w:rPr>
                <w:rFonts w:eastAsia="Calibri"/>
                <w:noProof/>
                <w:lang w:eastAsia="en-IE"/>
              </w:rPr>
              <w:t xml:space="preserve"> a mortgage collateral can be considered as unequivocally increasing property values.</w:t>
            </w:r>
          </w:p>
          <w:p w:rsidR="00BA058D" w:rsidRDefault="00942987">
            <w:pPr>
              <w:pStyle w:val="ListParagraph"/>
              <w:numPr>
                <w:ilvl w:val="0"/>
                <w:numId w:val="16"/>
              </w:numPr>
              <w:spacing w:after="0"/>
              <w:rPr>
                <w:noProof/>
                <w:color w:val="000000"/>
                <w:lang w:eastAsia="en-IE"/>
              </w:rPr>
            </w:pPr>
            <w:r>
              <w:rPr>
                <w:noProof/>
                <w:lang w:eastAsia="en-IE"/>
              </w:rPr>
              <w:t>The Commission will propose to bring forward to 2023 the EBA’s mandate to assess whether a dedicated prudential treatment of exposures related to assets and activities as</w:t>
            </w:r>
            <w:r>
              <w:rPr>
                <w:noProof/>
                <w:lang w:eastAsia="en-IE"/>
              </w:rPr>
              <w:t>sociated substantially with environmental and/or social objectives would be justified.</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noProof/>
                <w:lang w:eastAsia="en-IE"/>
              </w:rPr>
              <w:t>Disclosure and reporting</w:t>
            </w:r>
          </w:p>
        </w:tc>
      </w:tr>
      <w:tr w:rsidR="00BA058D">
        <w:tc>
          <w:tcPr>
            <w:tcW w:w="10632" w:type="dxa"/>
            <w:tcBorders>
              <w:top w:val="nil"/>
            </w:tcBorders>
          </w:tcPr>
          <w:p w:rsidR="00BA058D" w:rsidRDefault="00942987">
            <w:pPr>
              <w:pStyle w:val="ListParagraph"/>
              <w:numPr>
                <w:ilvl w:val="0"/>
                <w:numId w:val="16"/>
              </w:numPr>
              <w:spacing w:after="0"/>
              <w:rPr>
                <w:rFonts w:asciiTheme="minorHAnsi" w:eastAsiaTheme="minorEastAsia" w:hAnsiTheme="minorHAnsi" w:cstheme="minorBidi"/>
                <w:noProof/>
                <w:lang w:eastAsia="en-IE"/>
              </w:rPr>
            </w:pPr>
            <w:r>
              <w:rPr>
                <w:noProof/>
              </w:rPr>
              <w:t xml:space="preserve">The Commission will assess if information about the sustainable activities of financial institutions and their exposures to ESG risks should </w:t>
            </w:r>
            <w:r>
              <w:rPr>
                <w:noProof/>
              </w:rPr>
              <w:t>be integrated into prudential reporting.</w:t>
            </w:r>
          </w:p>
          <w:p w:rsidR="00BA058D" w:rsidRDefault="00942987">
            <w:pPr>
              <w:pStyle w:val="ListParagraph"/>
              <w:numPr>
                <w:ilvl w:val="0"/>
                <w:numId w:val="16"/>
              </w:numPr>
              <w:spacing w:after="0"/>
              <w:rPr>
                <w:noProof/>
                <w:lang w:eastAsia="en-IE"/>
              </w:rPr>
            </w:pPr>
            <w:r>
              <w:rPr>
                <w:noProof/>
                <w:lang w:eastAsia="en-IE"/>
              </w:rPr>
              <w:t>The Commission will extend disclosure requirements related to environmental risks to a larger universe of banks, following a proportionate approach to avoid an undue burden for small banks.</w:t>
            </w:r>
          </w:p>
          <w:p w:rsidR="00BA058D" w:rsidRDefault="00BA058D">
            <w:pPr>
              <w:spacing w:after="0"/>
              <w:rPr>
                <w:noProof/>
                <w:lang w:eastAsia="en-IE"/>
              </w:rPr>
            </w:pPr>
          </w:p>
          <w:p w:rsidR="00BA058D" w:rsidRDefault="00BA058D">
            <w:pPr>
              <w:spacing w:after="0"/>
              <w:rPr>
                <w:noProof/>
                <w:lang w:eastAsia="en-IE"/>
              </w:rPr>
            </w:pPr>
          </w:p>
          <w:p w:rsidR="00BA058D" w:rsidRDefault="00BA058D">
            <w:pPr>
              <w:spacing w:after="0"/>
              <w:rPr>
                <w:noProof/>
                <w:lang w:eastAsia="en-IE"/>
              </w:rPr>
            </w:pPr>
          </w:p>
        </w:tc>
      </w:tr>
      <w:tr w:rsidR="00BA058D">
        <w:tc>
          <w:tcPr>
            <w:tcW w:w="10632" w:type="dxa"/>
            <w:tcBorders>
              <w:bottom w:val="single" w:sz="4" w:space="0" w:color="auto"/>
            </w:tcBorders>
          </w:tcPr>
          <w:p w:rsidR="00BA058D" w:rsidRDefault="00942987">
            <w:pPr>
              <w:spacing w:after="0"/>
              <w:rPr>
                <w:rFonts w:eastAsia="Times New Roman"/>
                <w:b/>
                <w:bCs/>
                <w:noProof/>
                <w:color w:val="000000"/>
                <w:lang w:eastAsia="en-IE"/>
              </w:rPr>
            </w:pPr>
            <w:r>
              <w:rPr>
                <w:rFonts w:eastAsia="Times New Roman"/>
                <w:b/>
                <w:bCs/>
                <w:noProof/>
                <w:color w:val="000000" w:themeColor="text1"/>
                <w:lang w:eastAsia="en-IE"/>
              </w:rPr>
              <w:t xml:space="preserve">3 (d): </w:t>
            </w:r>
            <w:r>
              <w:rPr>
                <w:b/>
                <w:bCs/>
                <w:noProof/>
              </w:rPr>
              <w:t>The Commission</w:t>
            </w:r>
            <w:r>
              <w:rPr>
                <w:b/>
                <w:bCs/>
                <w:noProof/>
              </w:rPr>
              <w:t xml:space="preserve"> will propose amendments in the upcoming review of the Solvency II Directive (2021) to consistently integrate sustainability risks in the prudential framework for insurers.</w:t>
            </w:r>
          </w:p>
        </w:tc>
      </w:tr>
      <w:tr w:rsidR="00BA058D">
        <w:tc>
          <w:tcPr>
            <w:tcW w:w="10632" w:type="dxa"/>
            <w:tcBorders>
              <w:bottom w:val="nil"/>
            </w:tcBorders>
          </w:tcPr>
          <w:p w:rsidR="00BA058D" w:rsidRDefault="00942987">
            <w:pPr>
              <w:spacing w:after="0"/>
              <w:rPr>
                <w:noProof/>
                <w:lang w:eastAsia="en-IE"/>
              </w:rPr>
            </w:pPr>
            <w:r>
              <w:rPr>
                <w:i/>
                <w:noProof/>
                <w:lang w:eastAsia="en-IE"/>
              </w:rPr>
              <w:t>Risk management</w:t>
            </w:r>
          </w:p>
        </w:tc>
      </w:tr>
      <w:tr w:rsidR="00BA058D">
        <w:tc>
          <w:tcPr>
            <w:tcW w:w="10632" w:type="dxa"/>
            <w:tcBorders>
              <w:top w:val="nil"/>
              <w:bottom w:val="nil"/>
            </w:tcBorders>
          </w:tcPr>
          <w:p w:rsidR="00BA058D" w:rsidRDefault="00942987">
            <w:pPr>
              <w:pStyle w:val="ListParagraph"/>
              <w:numPr>
                <w:ilvl w:val="0"/>
                <w:numId w:val="17"/>
              </w:numPr>
              <w:spacing w:after="0"/>
              <w:rPr>
                <w:rFonts w:asciiTheme="minorHAnsi" w:eastAsiaTheme="minorEastAsia" w:hAnsiTheme="minorHAnsi" w:cstheme="minorBidi"/>
                <w:noProof/>
                <w:lang w:eastAsia="en-IE"/>
              </w:rPr>
            </w:pPr>
            <w:r>
              <w:rPr>
                <w:noProof/>
                <w:lang w:eastAsia="en-IE"/>
              </w:rPr>
              <w:t xml:space="preserve">In order to improve the management of sustainability risks in the insurance sector, insurers will be required to conduct “climate change scenario” analysis for prudential purposes. </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iCs/>
                <w:noProof/>
                <w:lang w:eastAsia="en-IE"/>
              </w:rPr>
              <w:t>Risk differentials and capital requirements</w:t>
            </w:r>
          </w:p>
        </w:tc>
      </w:tr>
      <w:tr w:rsidR="00BA058D">
        <w:tc>
          <w:tcPr>
            <w:tcW w:w="10632" w:type="dxa"/>
            <w:tcBorders>
              <w:top w:val="nil"/>
              <w:bottom w:val="nil"/>
            </w:tcBorders>
          </w:tcPr>
          <w:p w:rsidR="00BA058D" w:rsidRDefault="00942987">
            <w:pPr>
              <w:pStyle w:val="ListParagraph"/>
              <w:numPr>
                <w:ilvl w:val="0"/>
                <w:numId w:val="17"/>
              </w:numPr>
              <w:spacing w:after="0"/>
              <w:rPr>
                <w:rFonts w:asciiTheme="minorHAnsi" w:eastAsiaTheme="minorEastAsia" w:hAnsiTheme="minorHAnsi" w:cstheme="minorBidi"/>
                <w:noProof/>
              </w:rPr>
            </w:pPr>
            <w:r>
              <w:rPr>
                <w:rFonts w:eastAsia="Times New Roman"/>
                <w:noProof/>
              </w:rPr>
              <w:t xml:space="preserve">In the upcoming Solvency II </w:t>
            </w:r>
            <w:r>
              <w:rPr>
                <w:rFonts w:eastAsia="Times New Roman"/>
                <w:noProof/>
              </w:rPr>
              <w:t>review, the Commission will propose to mandate EIOPA to investigate whether a dedicated prudential treatment of exposures related to assets and activities associated substantially with environmental and/or social objectives would be justified by 2023.</w:t>
            </w:r>
          </w:p>
          <w:p w:rsidR="00BA058D" w:rsidRDefault="00942987">
            <w:pPr>
              <w:pStyle w:val="ListParagraph"/>
              <w:numPr>
                <w:ilvl w:val="0"/>
                <w:numId w:val="17"/>
              </w:numPr>
              <w:spacing w:after="0"/>
              <w:rPr>
                <w:rFonts w:asciiTheme="minorHAnsi" w:eastAsiaTheme="minorEastAsia" w:hAnsiTheme="minorHAnsi" w:cstheme="minorBidi"/>
                <w:noProof/>
                <w:lang w:eastAsia="en-IE"/>
              </w:rPr>
            </w:pPr>
            <w:r>
              <w:rPr>
                <w:noProof/>
                <w:lang w:eastAsia="en-IE"/>
              </w:rPr>
              <w:t>More</w:t>
            </w:r>
            <w:r>
              <w:rPr>
                <w:noProof/>
                <w:lang w:eastAsia="en-IE"/>
              </w:rPr>
              <w:t xml:space="preserve">over, the Commission will propose to mandate EIOPA to assess </w:t>
            </w:r>
            <w:r>
              <w:rPr>
                <w:rFonts w:eastAsia="Times New Roman"/>
                <w:noProof/>
                <w:color w:val="000000" w:themeColor="text1"/>
                <w:lang w:val="en-US"/>
              </w:rPr>
              <w:t>the effectiveness of the current prudential regime, especially in terms of asset allocation and the resulting impact on cost of capital of firms operating in sectors with different carbon intensi</w:t>
            </w:r>
            <w:r>
              <w:rPr>
                <w:rFonts w:eastAsia="Times New Roman"/>
                <w:noProof/>
                <w:color w:val="000000" w:themeColor="text1"/>
                <w:lang w:val="en-US"/>
              </w:rPr>
              <w:t>ty.</w:t>
            </w:r>
            <w:r>
              <w:rPr>
                <w:noProof/>
                <w:lang w:eastAsia="en-IE"/>
              </w:rPr>
              <w:t xml:space="preserve"> </w:t>
            </w:r>
          </w:p>
          <w:p w:rsidR="00BA058D" w:rsidRDefault="00942987">
            <w:pPr>
              <w:pStyle w:val="ListParagraph"/>
              <w:numPr>
                <w:ilvl w:val="0"/>
                <w:numId w:val="17"/>
              </w:numPr>
              <w:spacing w:after="0"/>
              <w:rPr>
                <w:noProof/>
                <w:lang w:eastAsia="en-IE"/>
              </w:rPr>
            </w:pPr>
            <w:r>
              <w:rPr>
                <w:noProof/>
                <w:lang w:eastAsia="en-IE"/>
              </w:rPr>
              <w:t>Based on EIOPA’s work, the Commission will consider whether Solvency II delegated acts need to be amended.</w:t>
            </w:r>
          </w:p>
        </w:tc>
      </w:tr>
      <w:tr w:rsidR="00BA058D">
        <w:tc>
          <w:tcPr>
            <w:tcW w:w="10632" w:type="dxa"/>
            <w:tcBorders>
              <w:bottom w:val="single" w:sz="4" w:space="0" w:color="auto"/>
            </w:tcBorders>
          </w:tcPr>
          <w:p w:rsidR="00BA058D" w:rsidRDefault="00942987">
            <w:pPr>
              <w:spacing w:after="0"/>
              <w:rPr>
                <w:rFonts w:eastAsia="Times New Roman"/>
                <w:b/>
                <w:bCs/>
                <w:noProof/>
                <w:color w:val="000000"/>
                <w:u w:val="single"/>
                <w:lang w:eastAsia="en-IE"/>
              </w:rPr>
            </w:pPr>
            <w:r>
              <w:rPr>
                <w:rFonts w:eastAsia="Times New Roman"/>
                <w:b/>
                <w:bCs/>
                <w:noProof/>
                <w:color w:val="000000" w:themeColor="text1"/>
                <w:lang w:eastAsia="en-IE"/>
              </w:rPr>
              <w:t xml:space="preserve">3 (e): </w:t>
            </w:r>
            <w:r>
              <w:rPr>
                <w:b/>
                <w:bCs/>
                <w:noProof/>
              </w:rPr>
              <w:t>The Commission will strengthen its efforts to monitor and address potential systemic risks stemming from sustainability challenges, with</w:t>
            </w:r>
            <w:r>
              <w:rPr>
                <w:b/>
                <w:bCs/>
                <w:noProof/>
              </w:rPr>
              <w:t xml:space="preserve"> an aim to maintain long-term financial stability and limit systemic risk. </w:t>
            </w:r>
          </w:p>
        </w:tc>
      </w:tr>
      <w:tr w:rsidR="00BA058D">
        <w:tc>
          <w:tcPr>
            <w:tcW w:w="10632" w:type="dxa"/>
            <w:tcBorders>
              <w:bottom w:val="nil"/>
            </w:tcBorders>
          </w:tcPr>
          <w:p w:rsidR="00BA058D" w:rsidRDefault="00942987">
            <w:pPr>
              <w:spacing w:after="0"/>
              <w:rPr>
                <w:rFonts w:eastAsia="Times New Roman"/>
                <w:b/>
                <w:bCs/>
                <w:noProof/>
                <w:color w:val="000000" w:themeColor="text1"/>
                <w:lang w:eastAsia="en-IE"/>
              </w:rPr>
            </w:pPr>
            <w:r>
              <w:rPr>
                <w:i/>
                <w:noProof/>
                <w:lang w:eastAsia="en-IE"/>
              </w:rPr>
              <w:t>Monitoring financial stability risks</w:t>
            </w:r>
          </w:p>
        </w:tc>
      </w:tr>
      <w:tr w:rsidR="00BA058D">
        <w:tc>
          <w:tcPr>
            <w:tcW w:w="10632" w:type="dxa"/>
            <w:tcBorders>
              <w:top w:val="nil"/>
              <w:bottom w:val="nil"/>
            </w:tcBorders>
          </w:tcPr>
          <w:p w:rsidR="00BA058D" w:rsidRDefault="00942987">
            <w:pPr>
              <w:pStyle w:val="ListParagraph"/>
              <w:numPr>
                <w:ilvl w:val="0"/>
                <w:numId w:val="17"/>
              </w:numPr>
              <w:spacing w:after="0"/>
              <w:rPr>
                <w:rFonts w:asciiTheme="minorHAnsi" w:eastAsiaTheme="minorEastAsia" w:hAnsiTheme="minorHAnsi" w:cstheme="minorBidi"/>
                <w:noProof/>
                <w:lang w:eastAsia="en-IE"/>
              </w:rPr>
            </w:pPr>
            <w:r>
              <w:rPr>
                <w:noProof/>
                <w:lang w:eastAsia="en-IE"/>
              </w:rPr>
              <w:t xml:space="preserve">In close cooperation with the ESRB, ECB, ESAs, EEA and relevant national authorities, the Commission will systematically monitor </w:t>
            </w:r>
            <w:r>
              <w:rPr>
                <w:noProof/>
                <w:lang w:eastAsia="en-IE"/>
              </w:rPr>
              <w:t>climate-related financial stability risks, subject to the availability of data and methodologies, and expand the scope of this monitoring to include other environmental</w:t>
            </w:r>
            <w:r>
              <w:rPr>
                <w:rFonts w:eastAsia="Times New Roman"/>
                <w:noProof/>
              </w:rPr>
              <w:t xml:space="preserve"> </w:t>
            </w:r>
            <w:r>
              <w:rPr>
                <w:noProof/>
                <w:lang w:eastAsia="en-IE"/>
              </w:rPr>
              <w:t xml:space="preserve">risks. </w:t>
            </w:r>
          </w:p>
          <w:p w:rsidR="00BA058D" w:rsidRDefault="00942987">
            <w:pPr>
              <w:pStyle w:val="ListParagraph"/>
              <w:numPr>
                <w:ilvl w:val="0"/>
                <w:numId w:val="17"/>
              </w:numPr>
              <w:spacing w:after="0"/>
              <w:rPr>
                <w:noProof/>
                <w:lang w:eastAsia="en-IE"/>
              </w:rPr>
            </w:pPr>
            <w:r>
              <w:rPr>
                <w:noProof/>
                <w:lang w:eastAsia="en-IE"/>
              </w:rPr>
              <w:t>By the end of 2023, the Commission will deliver a report on these risks to fina</w:t>
            </w:r>
            <w:r>
              <w:rPr>
                <w:noProof/>
                <w:lang w:eastAsia="en-IE"/>
              </w:rPr>
              <w:t xml:space="preserve">ncial stability and their likely evolution, with proposals for further policy actions, if appropriate. </w:t>
            </w:r>
          </w:p>
          <w:p w:rsidR="00BA058D" w:rsidRDefault="00942987">
            <w:pPr>
              <w:pStyle w:val="ListParagraph"/>
              <w:numPr>
                <w:ilvl w:val="0"/>
                <w:numId w:val="17"/>
              </w:numPr>
              <w:spacing w:after="0"/>
              <w:rPr>
                <w:rFonts w:asciiTheme="minorHAnsi" w:eastAsiaTheme="minorEastAsia" w:hAnsiTheme="minorHAnsi" w:cstheme="minorBidi"/>
                <w:noProof/>
                <w:lang w:eastAsia="en-IE"/>
              </w:rPr>
            </w:pPr>
            <w:r>
              <w:rPr>
                <w:noProof/>
                <w:lang w:eastAsia="en-IE"/>
              </w:rPr>
              <w:t>By 2022, the Commission will develop a report to present a methodological framework and assess the potential financial risks associated with biodiversit</w:t>
            </w:r>
            <w:r>
              <w:rPr>
                <w:noProof/>
                <w:lang w:eastAsia="en-IE"/>
              </w:rPr>
              <w:t>y loss and ecosystem degradation at both micro- and macro-level and explore the possible sustainable finance policy changes needed.</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noProof/>
                <w:lang w:eastAsia="en-IE"/>
              </w:rPr>
              <w:t>Supervisory stress testing</w:t>
            </w:r>
          </w:p>
        </w:tc>
      </w:tr>
      <w:tr w:rsidR="00BA058D">
        <w:tc>
          <w:tcPr>
            <w:tcW w:w="10632" w:type="dxa"/>
            <w:tcBorders>
              <w:top w:val="nil"/>
              <w:bottom w:val="nil"/>
            </w:tcBorders>
          </w:tcPr>
          <w:p w:rsidR="00BA058D" w:rsidRDefault="00942987">
            <w:pPr>
              <w:pStyle w:val="ListParagraph"/>
              <w:numPr>
                <w:ilvl w:val="0"/>
                <w:numId w:val="21"/>
              </w:numPr>
              <w:spacing w:after="0"/>
              <w:rPr>
                <w:rFonts w:asciiTheme="minorHAnsi" w:eastAsiaTheme="minorEastAsia" w:hAnsiTheme="minorHAnsi" w:cstheme="minorBidi"/>
                <w:noProof/>
                <w:lang w:eastAsia="en-IE"/>
              </w:rPr>
            </w:pPr>
            <w:r>
              <w:rPr>
                <w:noProof/>
                <w:lang w:eastAsia="en-IE"/>
              </w:rPr>
              <w:t xml:space="preserve">The Commission will mandate the ESAs and ask the ECB to perform regular climate change stress </w:t>
            </w:r>
            <w:r>
              <w:rPr>
                <w:noProof/>
                <w:lang w:eastAsia="en-IE"/>
              </w:rPr>
              <w:t>tests or scenario analyses, using a bottom-up and top-down approach respectively.</w:t>
            </w:r>
          </w:p>
          <w:p w:rsidR="00BA058D" w:rsidRDefault="00942987">
            <w:pPr>
              <w:pStyle w:val="ListParagraph"/>
              <w:numPr>
                <w:ilvl w:val="0"/>
                <w:numId w:val="21"/>
              </w:numPr>
              <w:spacing w:after="0"/>
              <w:rPr>
                <w:rFonts w:asciiTheme="minorHAnsi" w:eastAsiaTheme="minorEastAsia" w:hAnsiTheme="minorHAnsi" w:cstheme="minorBidi"/>
                <w:noProof/>
                <w:lang w:eastAsia="en-IE"/>
              </w:rPr>
            </w:pPr>
            <w:r>
              <w:rPr>
                <w:noProof/>
                <w:lang w:eastAsia="en-IE"/>
              </w:rPr>
              <w:t>In addition, as a one-off exercise, the Commission will mandate the ESAs, and ask the ECB, to conduct a coordinated, bottom-up and top-down EU-level climate change stress tes</w:t>
            </w:r>
            <w:r>
              <w:rPr>
                <w:noProof/>
                <w:lang w:eastAsia="en-IE"/>
              </w:rPr>
              <w:t xml:space="preserve">t across the financial sector to assess the resilience of the financial sector in line with the Fit-for-55 package.  The year, scope and sector-specific aspects of this exercise will be determined by the ESAs and the ECB. </w:t>
            </w:r>
          </w:p>
          <w:p w:rsidR="00BA058D" w:rsidRDefault="00942987">
            <w:pPr>
              <w:pStyle w:val="ListParagraph"/>
              <w:numPr>
                <w:ilvl w:val="0"/>
                <w:numId w:val="21"/>
              </w:numPr>
              <w:spacing w:after="0"/>
              <w:rPr>
                <w:rFonts w:asciiTheme="minorHAnsi" w:eastAsiaTheme="minorEastAsia" w:hAnsiTheme="minorHAnsi" w:cstheme="minorBidi"/>
                <w:noProof/>
                <w:lang w:eastAsia="en-IE"/>
              </w:rPr>
            </w:pPr>
            <w:r>
              <w:rPr>
                <w:noProof/>
                <w:lang w:eastAsia="en-IE"/>
              </w:rPr>
              <w:t>The Commission will mandate the E</w:t>
            </w:r>
            <w:r>
              <w:rPr>
                <w:noProof/>
                <w:lang w:eastAsia="en-IE"/>
              </w:rPr>
              <w:t>SAs to further develop the methods, parameters and scenarios for bottom-up climate stress testing to be used by supervisors and supervised entities in their specific sectors, and will ask the ECB to further develop the methods, parameters and scenarios for</w:t>
            </w:r>
            <w:r>
              <w:rPr>
                <w:noProof/>
                <w:lang w:eastAsia="en-IE"/>
              </w:rPr>
              <w:t xml:space="preserve"> top-down climate stress tests, with the support of the ESRB, while leveraging on the ongoing work of the NGFS. This includes sharing this practice broadly to ensure a rapid cross-learning exercise among supervisors and financial institutions.</w:t>
            </w:r>
          </w:p>
          <w:p w:rsidR="00BA058D" w:rsidRDefault="00942987">
            <w:pPr>
              <w:pStyle w:val="ListParagraph"/>
              <w:numPr>
                <w:ilvl w:val="0"/>
                <w:numId w:val="21"/>
              </w:numPr>
              <w:spacing w:after="0"/>
              <w:rPr>
                <w:noProof/>
              </w:rPr>
            </w:pPr>
            <w:r>
              <w:rPr>
                <w:noProof/>
                <w:lang w:eastAsia="en-IE"/>
              </w:rPr>
              <w:t>The Commissi</w:t>
            </w:r>
            <w:r>
              <w:rPr>
                <w:noProof/>
                <w:lang w:eastAsia="en-IE"/>
              </w:rPr>
              <w:t>on will analyse how risks identified by stress tests or scenario analysis can be integrated into micro- and macro-prudential regulation and supervision.</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iCs/>
                <w:noProof/>
                <w:lang w:eastAsia="en-IE"/>
              </w:rPr>
              <w:t>Macro-prudential tools</w:t>
            </w:r>
          </w:p>
        </w:tc>
      </w:tr>
      <w:tr w:rsidR="00BA058D">
        <w:tc>
          <w:tcPr>
            <w:tcW w:w="10632" w:type="dxa"/>
            <w:tcBorders>
              <w:top w:val="nil"/>
            </w:tcBorders>
          </w:tcPr>
          <w:p w:rsidR="00BA058D" w:rsidRDefault="00942987">
            <w:pPr>
              <w:pStyle w:val="ListParagraph"/>
              <w:numPr>
                <w:ilvl w:val="0"/>
                <w:numId w:val="21"/>
              </w:numPr>
              <w:spacing w:after="0"/>
              <w:rPr>
                <w:noProof/>
                <w:lang w:eastAsia="en-IE"/>
              </w:rPr>
            </w:pPr>
            <w:r>
              <w:rPr>
                <w:noProof/>
                <w:lang w:eastAsia="en-IE"/>
              </w:rPr>
              <w:t>With the input from the ESRB, ECB and the EBA, the Commission will assess whet</w:t>
            </w:r>
            <w:r>
              <w:rPr>
                <w:noProof/>
                <w:lang w:eastAsia="en-IE"/>
              </w:rPr>
              <w:t xml:space="preserve">her the current macro-prudential toolkit is suitable to address climate-change-related financial stability risks and it will consider a legislative proposal as part of an upcoming review of the banking macro-prudential framework. </w:t>
            </w:r>
          </w:p>
          <w:p w:rsidR="00BA058D" w:rsidRDefault="00942987">
            <w:pPr>
              <w:pStyle w:val="ListParagraph"/>
              <w:numPr>
                <w:ilvl w:val="0"/>
                <w:numId w:val="21"/>
              </w:numPr>
              <w:spacing w:after="0"/>
              <w:rPr>
                <w:noProof/>
                <w:lang w:eastAsia="en-IE"/>
              </w:rPr>
            </w:pPr>
            <w:r>
              <w:rPr>
                <w:noProof/>
                <w:lang w:eastAsia="en-IE"/>
              </w:rPr>
              <w:t>In the medium term, the C</w:t>
            </w:r>
            <w:r>
              <w:rPr>
                <w:noProof/>
                <w:lang w:eastAsia="en-IE"/>
              </w:rPr>
              <w:t>ommission intends to broaden systemic risk considerations to environment-related financial risks, cover non-bank financial intermediaries and assess the treatment of assets where environmental exposures are unknown.</w:t>
            </w:r>
          </w:p>
        </w:tc>
      </w:tr>
      <w:tr w:rsidR="00BA058D">
        <w:tc>
          <w:tcPr>
            <w:tcW w:w="10632" w:type="dxa"/>
            <w:shd w:val="clear" w:color="auto" w:fill="E7E6E6" w:themeFill="background2"/>
          </w:tcPr>
          <w:p w:rsidR="00BA058D" w:rsidRDefault="00942987">
            <w:pPr>
              <w:pStyle w:val="NoSpacing"/>
              <w:spacing w:after="0"/>
              <w:rPr>
                <w:b/>
                <w:bCs/>
                <w:i/>
                <w:iCs/>
                <w:noProof/>
              </w:rPr>
            </w:pPr>
            <w:r>
              <w:rPr>
                <w:b/>
                <w:bCs/>
                <w:i/>
                <w:iCs/>
                <w:noProof/>
              </w:rPr>
              <w:t>Action 4: The Commission will</w:t>
            </w:r>
            <w:r>
              <w:rPr>
                <w:rFonts w:eastAsia="Times New Roman"/>
                <w:b/>
                <w:bCs/>
                <w:i/>
                <w:iCs/>
                <w:noProof/>
              </w:rPr>
              <w:t xml:space="preserve"> work to i</w:t>
            </w:r>
            <w:r>
              <w:rPr>
                <w:rFonts w:eastAsia="Times New Roman"/>
                <w:b/>
                <w:bCs/>
                <w:i/>
                <w:iCs/>
                <w:noProof/>
              </w:rPr>
              <w:t>mprove the contribution of the financial sector to sustainability goals.</w:t>
            </w:r>
          </w:p>
        </w:tc>
      </w:tr>
      <w:tr w:rsidR="00BA058D">
        <w:tc>
          <w:tcPr>
            <w:tcW w:w="10632" w:type="dxa"/>
            <w:tcBorders>
              <w:bottom w:val="single" w:sz="4" w:space="0" w:color="auto"/>
            </w:tcBorders>
          </w:tcPr>
          <w:p w:rsidR="00BA058D" w:rsidRDefault="00942987">
            <w:pPr>
              <w:pStyle w:val="Heading3"/>
              <w:outlineLvl w:val="2"/>
              <w:rPr>
                <w:noProof/>
              </w:rPr>
            </w:pPr>
            <w:r>
              <w:rPr>
                <w:rFonts w:eastAsia="Times New Roman"/>
                <w:noProof/>
                <w:color w:val="000000"/>
              </w:rPr>
              <w:t xml:space="preserve">4 (a): </w:t>
            </w:r>
            <w:r>
              <w:rPr>
                <w:rFonts w:eastAsia="Times New Roman"/>
                <w:noProof/>
              </w:rPr>
              <w:t>The Commission will reinforce science-based target setting, disclosure and monitoring of financial sector’s commitments.</w:t>
            </w:r>
          </w:p>
        </w:tc>
      </w:tr>
      <w:tr w:rsidR="00BA058D">
        <w:tc>
          <w:tcPr>
            <w:tcW w:w="10632" w:type="dxa"/>
            <w:tcBorders>
              <w:bottom w:val="nil"/>
            </w:tcBorders>
          </w:tcPr>
          <w:p w:rsidR="00BA058D" w:rsidRDefault="00942987">
            <w:pPr>
              <w:spacing w:after="0"/>
              <w:rPr>
                <w:noProof/>
                <w:lang w:eastAsia="en-IE"/>
              </w:rPr>
            </w:pPr>
            <w:r>
              <w:rPr>
                <w:i/>
                <w:noProof/>
                <w:lang w:eastAsia="en-IE"/>
              </w:rPr>
              <w:t>Disclosure and reporting</w:t>
            </w:r>
          </w:p>
        </w:tc>
      </w:tr>
      <w:tr w:rsidR="00BA058D">
        <w:tc>
          <w:tcPr>
            <w:tcW w:w="10632" w:type="dxa"/>
            <w:tcBorders>
              <w:top w:val="nil"/>
              <w:bottom w:val="nil"/>
            </w:tcBorders>
          </w:tcPr>
          <w:p w:rsidR="00BA058D" w:rsidRDefault="00942987">
            <w:pPr>
              <w:pStyle w:val="ListParagraph"/>
              <w:numPr>
                <w:ilvl w:val="0"/>
                <w:numId w:val="6"/>
              </w:numPr>
              <w:spacing w:after="0"/>
              <w:rPr>
                <w:rFonts w:asciiTheme="minorEastAsia" w:eastAsiaTheme="minorEastAsia" w:hAnsiTheme="minorEastAsia" w:cstheme="minorEastAsia"/>
                <w:i/>
                <w:iCs/>
                <w:noProof/>
                <w:color w:val="000000" w:themeColor="text1"/>
                <w:lang w:eastAsia="en-IE"/>
              </w:rPr>
            </w:pPr>
            <w:r>
              <w:rPr>
                <w:rFonts w:eastAsia="Times New Roman"/>
                <w:noProof/>
              </w:rPr>
              <w:t>The CSRD proposal and the accompanying standard to be developed by EFRAG would require financial institutions including banks, investors and insurers to disclose their transition and decarbonisation plans and how they plan on reducing their environmental f</w:t>
            </w:r>
            <w:r>
              <w:rPr>
                <w:rFonts w:eastAsia="Times New Roman"/>
                <w:noProof/>
              </w:rPr>
              <w:t xml:space="preserve">ootprint. </w:t>
            </w:r>
          </w:p>
          <w:p w:rsidR="00BA058D" w:rsidRDefault="00942987">
            <w:pPr>
              <w:pStyle w:val="ListParagraph"/>
              <w:numPr>
                <w:ilvl w:val="0"/>
                <w:numId w:val="6"/>
              </w:numPr>
              <w:spacing w:after="0"/>
              <w:rPr>
                <w:rFonts w:asciiTheme="minorEastAsia" w:eastAsiaTheme="minorEastAsia" w:hAnsiTheme="minorEastAsia" w:cstheme="minorEastAsia"/>
                <w:i/>
                <w:noProof/>
                <w:color w:val="000000" w:themeColor="text1"/>
                <w:lang w:eastAsia="en-IE"/>
              </w:rPr>
            </w:pPr>
            <w:r>
              <w:rPr>
                <w:rFonts w:eastAsia="Times New Roman"/>
                <w:noProof/>
              </w:rPr>
              <w:t>Building on the regulatory technical standard under the SFDR, the Commission will aim to strengthen the disclosure and effectiveness of decarbonisation action by financial market participants for all financial products.</w:t>
            </w:r>
          </w:p>
        </w:tc>
      </w:tr>
      <w:tr w:rsidR="00BA058D">
        <w:tc>
          <w:tcPr>
            <w:tcW w:w="10632" w:type="dxa"/>
            <w:tcBorders>
              <w:top w:val="nil"/>
              <w:bottom w:val="nil"/>
            </w:tcBorders>
          </w:tcPr>
          <w:p w:rsidR="00BA058D" w:rsidRDefault="00942987">
            <w:pPr>
              <w:rPr>
                <w:rFonts w:eastAsia="Times New Roman"/>
                <w:noProof/>
              </w:rPr>
            </w:pPr>
            <w:r>
              <w:rPr>
                <w:rFonts w:eastAsiaTheme="minorEastAsia"/>
                <w:i/>
                <w:iCs/>
                <w:noProof/>
              </w:rPr>
              <w:t xml:space="preserve">Sustainability pledges </w:t>
            </w:r>
            <w:r>
              <w:rPr>
                <w:rFonts w:eastAsia="Times New Roman"/>
                <w:b/>
                <w:bCs/>
                <w:noProof/>
              </w:rPr>
              <w:t xml:space="preserve"> </w:t>
            </w:r>
          </w:p>
          <w:p w:rsidR="00BA058D" w:rsidRDefault="00942987">
            <w:pPr>
              <w:pStyle w:val="ListParagraph"/>
              <w:numPr>
                <w:ilvl w:val="0"/>
                <w:numId w:val="58"/>
              </w:numPr>
              <w:rPr>
                <w:rFonts w:eastAsia="Times New Roman"/>
                <w:noProof/>
              </w:rPr>
            </w:pPr>
            <w:r>
              <w:rPr>
                <w:rFonts w:eastAsia="Times New Roman"/>
                <w:bCs/>
                <w:noProof/>
              </w:rPr>
              <w:t>In this regard, voluntary pledges by financial institutions globally to adopt strategic science-based climate and sustainability targets are also commendable as the first step</w:t>
            </w:r>
            <w:r>
              <w:rPr>
                <w:rFonts w:eastAsia="Times New Roman"/>
                <w:noProof/>
              </w:rPr>
              <w:t>.</w:t>
            </w:r>
            <w:r>
              <w:rPr>
                <w:rFonts w:eastAsia="Times New Roman"/>
                <w:noProof/>
                <w:sz w:val="20"/>
                <w:szCs w:val="20"/>
                <w:vertAlign w:val="superscript"/>
              </w:rPr>
              <w:t xml:space="preserve"> </w:t>
            </w:r>
            <w:r>
              <w:rPr>
                <w:rFonts w:eastAsia="Times New Roman"/>
                <w:noProof/>
              </w:rPr>
              <w:t>Pending possible further policy action in this area, the Commission will exami</w:t>
            </w:r>
            <w:r>
              <w:rPr>
                <w:rFonts w:eastAsia="Times New Roman"/>
                <w:noProof/>
              </w:rPr>
              <w:t>ne to what extent more guidance could ensure that such voluntary pledges are credible and will monitor progress over time across the EU. At this stage, financial institutions could use the EU Taxonomy and other sustainable finance tools to progress towards</w:t>
            </w:r>
            <w:r>
              <w:rPr>
                <w:rFonts w:eastAsia="Times New Roman"/>
                <w:noProof/>
              </w:rPr>
              <w:t xml:space="preserve"> achieving their plans at entity and portfolio level. </w:t>
            </w:r>
          </w:p>
        </w:tc>
      </w:tr>
      <w:tr w:rsidR="00BA058D">
        <w:tc>
          <w:tcPr>
            <w:tcW w:w="10632" w:type="dxa"/>
            <w:tcBorders>
              <w:bottom w:val="single" w:sz="4" w:space="0" w:color="auto"/>
            </w:tcBorders>
          </w:tcPr>
          <w:p w:rsidR="00BA058D" w:rsidRDefault="00942987">
            <w:pPr>
              <w:spacing w:after="0"/>
              <w:rPr>
                <w:b/>
                <w:bCs/>
                <w:noProof/>
                <w:lang w:eastAsia="en-IE"/>
              </w:rPr>
            </w:pPr>
            <w:r>
              <w:rPr>
                <w:b/>
                <w:bCs/>
                <w:noProof/>
                <w:lang w:eastAsia="en-IE"/>
              </w:rPr>
              <w:t>4 (b): The Commissio</w:t>
            </w:r>
            <w:r>
              <w:rPr>
                <w:rFonts w:eastAsiaTheme="minorEastAsia"/>
                <w:b/>
                <w:bCs/>
                <w:noProof/>
                <w:lang w:eastAsia="en-IE"/>
              </w:rPr>
              <w:t>n will clarify the fiduciary duties and stewardship rules of investors to reflect the financial sector’s contribution to Green Deal targets.</w:t>
            </w:r>
          </w:p>
        </w:tc>
      </w:tr>
      <w:tr w:rsidR="00BA058D">
        <w:tc>
          <w:tcPr>
            <w:tcW w:w="10632" w:type="dxa"/>
            <w:tcBorders>
              <w:bottom w:val="nil"/>
            </w:tcBorders>
          </w:tcPr>
          <w:p w:rsidR="00BA058D" w:rsidRDefault="00942987">
            <w:pPr>
              <w:spacing w:after="0"/>
              <w:rPr>
                <w:rFonts w:eastAsia="Calibri"/>
                <w:i/>
                <w:iCs/>
                <w:noProof/>
                <w:lang w:eastAsia="en-IE"/>
              </w:rPr>
            </w:pPr>
            <w:r>
              <w:rPr>
                <w:rFonts w:eastAsia="Calibri"/>
                <w:i/>
                <w:iCs/>
                <w:noProof/>
                <w:lang w:eastAsia="en-IE"/>
              </w:rPr>
              <w:t>Fiduciary duties</w:t>
            </w:r>
          </w:p>
        </w:tc>
      </w:tr>
      <w:tr w:rsidR="00BA058D">
        <w:tc>
          <w:tcPr>
            <w:tcW w:w="10632" w:type="dxa"/>
            <w:tcBorders>
              <w:top w:val="nil"/>
              <w:bottom w:val="nil"/>
            </w:tcBorders>
          </w:tcPr>
          <w:p w:rsidR="00BA058D" w:rsidRDefault="00942987">
            <w:pPr>
              <w:pStyle w:val="ListParagraph"/>
              <w:numPr>
                <w:ilvl w:val="0"/>
                <w:numId w:val="6"/>
              </w:numPr>
              <w:spacing w:after="0"/>
              <w:rPr>
                <w:noProof/>
                <w:lang w:eastAsia="en-IE"/>
              </w:rPr>
            </w:pPr>
            <w:r>
              <w:rPr>
                <w:noProof/>
                <w:lang w:eastAsia="en-IE"/>
              </w:rPr>
              <w:t xml:space="preserve">Ahead of the review of the IORP II Directive, the Commission will ask EIOPA to analyse the pension framework, notably to: </w:t>
            </w:r>
          </w:p>
          <w:p w:rsidR="00BA058D" w:rsidRDefault="00942987">
            <w:pPr>
              <w:pStyle w:val="ListParagraph"/>
              <w:numPr>
                <w:ilvl w:val="0"/>
                <w:numId w:val="61"/>
              </w:numPr>
              <w:spacing w:after="0"/>
              <w:ind w:left="747" w:hanging="387"/>
              <w:rPr>
                <w:noProof/>
                <w:lang w:eastAsia="en-IE"/>
              </w:rPr>
            </w:pPr>
            <w:r>
              <w:rPr>
                <w:noProof/>
                <w:lang w:eastAsia="en-IE"/>
              </w:rPr>
              <w:t>assess the potential need to broaden the concept of the “long-term best interests of members and beneficiaries” and introduce the not</w:t>
            </w:r>
            <w:r>
              <w:rPr>
                <w:noProof/>
                <w:lang w:eastAsia="en-IE"/>
              </w:rPr>
              <w:t xml:space="preserve">ion of double materiality, taking into account members and beneficiaries’ sustainability preferences and broader societal and environmental goals; and </w:t>
            </w:r>
          </w:p>
          <w:p w:rsidR="00BA058D" w:rsidRDefault="00942987">
            <w:pPr>
              <w:pStyle w:val="ListParagraph"/>
              <w:numPr>
                <w:ilvl w:val="0"/>
                <w:numId w:val="61"/>
              </w:numPr>
              <w:spacing w:after="0"/>
              <w:ind w:left="747" w:hanging="387"/>
              <w:rPr>
                <w:noProof/>
                <w:lang w:eastAsia="en-IE"/>
              </w:rPr>
            </w:pPr>
            <w:r>
              <w:rPr>
                <w:noProof/>
                <w:lang w:eastAsia="en-IE"/>
              </w:rPr>
              <w:t>assess whether the prudent person rule should be clarified and/or explore possible avenues to require th</w:t>
            </w:r>
            <w:r>
              <w:rPr>
                <w:noProof/>
                <w:lang w:eastAsia="en-IE"/>
              </w:rPr>
              <w:t>e integration of sustainability impacts in investment decision. </w:t>
            </w:r>
          </w:p>
          <w:p w:rsidR="00BA058D" w:rsidRDefault="00942987">
            <w:pPr>
              <w:pStyle w:val="ListParagraph"/>
              <w:numPr>
                <w:ilvl w:val="0"/>
                <w:numId w:val="6"/>
              </w:numPr>
              <w:spacing w:after="0"/>
              <w:rPr>
                <w:rFonts w:asciiTheme="minorHAnsi" w:eastAsiaTheme="minorEastAsia" w:hAnsiTheme="minorHAnsi" w:cstheme="minorBidi"/>
                <w:noProof/>
                <w:lang w:eastAsia="en-IE"/>
              </w:rPr>
            </w:pPr>
            <w:r>
              <w:rPr>
                <w:rFonts w:eastAsia="Times New Roman"/>
                <w:noProof/>
              </w:rPr>
              <w:t>In collaboration with the ESAs and building on the changes in fiduciary duty rules introduced by the package from April 2021, the Commission will consider merits of further changes to enable financial market participants and advisers to systematically cons</w:t>
            </w:r>
            <w:r>
              <w:rPr>
                <w:rFonts w:eastAsia="Times New Roman"/>
                <w:noProof/>
              </w:rPr>
              <w:t>ider positive and negative sustainability impacts of the products they advise on and of their investment decisions, including for UCITS, MIFID II, AIFMD and IDD entities. Such review would develop in continuity with the potential review of fiduciary duties</w:t>
            </w:r>
            <w:r>
              <w:rPr>
                <w:rFonts w:eastAsia="Times New Roman"/>
                <w:noProof/>
              </w:rPr>
              <w:t xml:space="preserve"> through IORP II. </w:t>
            </w:r>
          </w:p>
        </w:tc>
      </w:tr>
      <w:tr w:rsidR="00BA058D">
        <w:tc>
          <w:tcPr>
            <w:tcW w:w="10632" w:type="dxa"/>
            <w:tcBorders>
              <w:top w:val="nil"/>
              <w:bottom w:val="nil"/>
            </w:tcBorders>
          </w:tcPr>
          <w:p w:rsidR="00BA058D" w:rsidRDefault="00942987">
            <w:pPr>
              <w:spacing w:after="0"/>
              <w:rPr>
                <w:rFonts w:eastAsia="Calibri"/>
                <w:i/>
                <w:iCs/>
                <w:noProof/>
                <w:lang w:eastAsia="en-IE"/>
              </w:rPr>
            </w:pPr>
            <w:r>
              <w:rPr>
                <w:rFonts w:eastAsia="Calibri"/>
                <w:i/>
                <w:iCs/>
                <w:noProof/>
                <w:lang w:eastAsia="en-IE"/>
              </w:rPr>
              <w:t>Stewardship and engagement</w:t>
            </w:r>
          </w:p>
        </w:tc>
      </w:tr>
      <w:tr w:rsidR="00BA058D">
        <w:tc>
          <w:tcPr>
            <w:tcW w:w="10632" w:type="dxa"/>
            <w:tcBorders>
              <w:top w:val="nil"/>
            </w:tcBorders>
          </w:tcPr>
          <w:p w:rsidR="00BA058D" w:rsidRDefault="00942987">
            <w:pPr>
              <w:pStyle w:val="ListParagraph"/>
              <w:numPr>
                <w:ilvl w:val="0"/>
                <w:numId w:val="6"/>
              </w:numPr>
              <w:spacing w:after="0"/>
              <w:rPr>
                <w:noProof/>
                <w:lang w:eastAsia="en-IE"/>
              </w:rPr>
            </w:pPr>
            <w:r>
              <w:rPr>
                <w:noProof/>
                <w:lang w:eastAsia="en-IE"/>
              </w:rPr>
              <w:t xml:space="preserve">The Shareholder Rights Directive (SRD II) provides a minimum baseline for stewardship activities, effective stewardship and long-term investment decision-making. Considering the review of the SRD II by 2023, </w:t>
            </w:r>
            <w:r>
              <w:rPr>
                <w:noProof/>
                <w:lang w:eastAsia="en-IE"/>
              </w:rPr>
              <w:t>the Commission will explore how the SRD II may better reflect impact considerations and global best practices in stewardship guidelines. </w:t>
            </w:r>
          </w:p>
          <w:p w:rsidR="00BA058D" w:rsidRDefault="00942987">
            <w:pPr>
              <w:pStyle w:val="ListParagraph"/>
              <w:numPr>
                <w:ilvl w:val="0"/>
                <w:numId w:val="6"/>
              </w:numPr>
              <w:spacing w:after="0"/>
              <w:rPr>
                <w:noProof/>
                <w:lang w:eastAsia="en-IE"/>
              </w:rPr>
            </w:pPr>
            <w:r>
              <w:rPr>
                <w:noProof/>
                <w:shd w:val="clear" w:color="auto" w:fill="FFFFFF"/>
              </w:rPr>
              <w:t>The Commission will ask the ESAs and national regulator to develop further guidance to ensure acting in </w:t>
            </w:r>
            <w:r>
              <w:rPr>
                <w:noProof/>
              </w:rPr>
              <w:t>concert</w:t>
            </w:r>
            <w:r>
              <w:rPr>
                <w:noProof/>
                <w:shd w:val="clear" w:color="auto" w:fill="FFFFFF"/>
              </w:rPr>
              <w:t> does n</w:t>
            </w:r>
            <w:r>
              <w:rPr>
                <w:noProof/>
                <w:shd w:val="clear" w:color="auto" w:fill="FFFFFF"/>
              </w:rPr>
              <w:t>ot impede collaborative engagement by investors around common sustainability goals</w:t>
            </w:r>
            <w:r>
              <w:rPr>
                <w:rStyle w:val="FootnoteReference"/>
                <w:noProof/>
                <w:shd w:val="clear" w:color="auto" w:fill="FFFFFF"/>
              </w:rPr>
              <w:footnoteReference w:id="7"/>
            </w:r>
            <w:r>
              <w:rPr>
                <w:noProof/>
                <w:shd w:val="clear" w:color="auto" w:fill="FFFFFF"/>
              </w:rPr>
              <w:t>.</w:t>
            </w:r>
          </w:p>
        </w:tc>
      </w:tr>
      <w:tr w:rsidR="00BA058D">
        <w:tc>
          <w:tcPr>
            <w:tcW w:w="10632" w:type="dxa"/>
          </w:tcPr>
          <w:p w:rsidR="00BA058D" w:rsidRDefault="00942987">
            <w:pPr>
              <w:spacing w:after="0"/>
              <w:rPr>
                <w:b/>
                <w:bCs/>
                <w:noProof/>
              </w:rPr>
            </w:pPr>
            <w:r>
              <w:rPr>
                <w:b/>
                <w:bCs/>
                <w:noProof/>
                <w:lang w:eastAsia="en-IE"/>
              </w:rPr>
              <w:t xml:space="preserve">4 (c): The Commission will take action to improve the availability, integrity and transparency of ESG market research and ratings. </w:t>
            </w:r>
          </w:p>
        </w:tc>
      </w:tr>
      <w:tr w:rsidR="00BA058D">
        <w:tc>
          <w:tcPr>
            <w:tcW w:w="10632" w:type="dxa"/>
          </w:tcPr>
          <w:p w:rsidR="00BA058D" w:rsidRDefault="00942987">
            <w:pPr>
              <w:pStyle w:val="ListParagraph"/>
              <w:numPr>
                <w:ilvl w:val="0"/>
                <w:numId w:val="6"/>
              </w:numPr>
              <w:spacing w:after="0"/>
              <w:rPr>
                <w:noProof/>
                <w:lang w:eastAsia="en-IE"/>
              </w:rPr>
            </w:pPr>
            <w:r>
              <w:rPr>
                <w:noProof/>
                <w:lang w:eastAsia="en-IE"/>
              </w:rPr>
              <w:t xml:space="preserve">By Q4 of 2021 at the latest, the Commission will organise a targeted public consultation on the functioning of the market for ESG ratings. </w:t>
            </w:r>
          </w:p>
          <w:p w:rsidR="00BA058D" w:rsidRDefault="00942987">
            <w:pPr>
              <w:pStyle w:val="ListParagraph"/>
              <w:numPr>
                <w:ilvl w:val="0"/>
                <w:numId w:val="6"/>
              </w:numPr>
              <w:spacing w:after="0"/>
              <w:rPr>
                <w:noProof/>
                <w:lang w:eastAsia="en-IE"/>
              </w:rPr>
            </w:pPr>
            <w:r>
              <w:rPr>
                <w:noProof/>
                <w:lang w:eastAsia="en-IE"/>
              </w:rPr>
              <w:t xml:space="preserve">Subject to an impact assessment, the Commission will take action to strengthen the reliability and comparability of </w:t>
            </w:r>
            <w:r>
              <w:rPr>
                <w:noProof/>
                <w:lang w:eastAsia="en-IE"/>
              </w:rPr>
              <w:t>ESG ratings by Q1 2023.</w:t>
            </w:r>
          </w:p>
          <w:p w:rsidR="00BA058D" w:rsidRDefault="00942987">
            <w:pPr>
              <w:pStyle w:val="ListParagraph"/>
              <w:numPr>
                <w:ilvl w:val="0"/>
                <w:numId w:val="6"/>
              </w:numPr>
              <w:spacing w:after="0"/>
              <w:rPr>
                <w:rFonts w:asciiTheme="minorHAnsi" w:eastAsiaTheme="minorEastAsia" w:hAnsiTheme="minorHAnsi" w:cstheme="minorBidi"/>
                <w:noProof/>
                <w:lang w:eastAsia="en-IE"/>
              </w:rPr>
            </w:pPr>
            <w:r>
              <w:rPr>
                <w:rFonts w:eastAsia="Times New Roman"/>
                <w:noProof/>
              </w:rPr>
              <w:t>The Commission may assess certain aspects of ESG research, to decide on whether an intervention is necessary and on the possible appropriate measures</w:t>
            </w:r>
            <w:r>
              <w:rPr>
                <w:noProof/>
                <w:lang w:eastAsia="en-IE"/>
              </w:rPr>
              <w:t>.</w:t>
            </w:r>
          </w:p>
        </w:tc>
      </w:tr>
      <w:tr w:rsidR="00BA058D">
        <w:tc>
          <w:tcPr>
            <w:tcW w:w="10632" w:type="dxa"/>
            <w:shd w:val="clear" w:color="auto" w:fill="E7E6E6" w:themeFill="background2"/>
          </w:tcPr>
          <w:p w:rsidR="00BA058D" w:rsidRDefault="00942987">
            <w:pPr>
              <w:spacing w:after="0"/>
              <w:rPr>
                <w:b/>
                <w:bCs/>
                <w:i/>
                <w:iCs/>
                <w:noProof/>
                <w:lang w:eastAsia="en-IE"/>
              </w:rPr>
            </w:pPr>
            <w:r>
              <w:rPr>
                <w:rFonts w:eastAsiaTheme="minorEastAsia"/>
                <w:b/>
                <w:bCs/>
                <w:i/>
                <w:iCs/>
                <w:noProof/>
                <w:lang w:eastAsia="en-IE"/>
              </w:rPr>
              <w:t>Action 5: The Commission will work to monitor an orderly transition and ensure t</w:t>
            </w:r>
            <w:r>
              <w:rPr>
                <w:rFonts w:eastAsiaTheme="minorEastAsia"/>
                <w:b/>
                <w:bCs/>
                <w:i/>
                <w:iCs/>
                <w:noProof/>
                <w:lang w:eastAsia="en-IE"/>
              </w:rPr>
              <w:t>he integrity of the EU financial system.</w:t>
            </w:r>
          </w:p>
        </w:tc>
      </w:tr>
      <w:tr w:rsidR="00BA058D">
        <w:trPr>
          <w:trHeight w:val="165"/>
        </w:trPr>
        <w:tc>
          <w:tcPr>
            <w:tcW w:w="10632" w:type="dxa"/>
          </w:tcPr>
          <w:p w:rsidR="00BA058D" w:rsidRDefault="00942987">
            <w:pPr>
              <w:spacing w:after="0"/>
              <w:rPr>
                <w:noProof/>
              </w:rPr>
            </w:pPr>
            <w:r>
              <w:rPr>
                <w:rStyle w:val="normaltextrun"/>
                <w:b/>
                <w:noProof/>
                <w:color w:val="000000" w:themeColor="text1"/>
              </w:rPr>
              <w:t xml:space="preserve">5 (a): The Commission will enable supervisors to address greenwashing. </w:t>
            </w:r>
          </w:p>
        </w:tc>
      </w:tr>
      <w:tr w:rsidR="00BA058D">
        <w:tc>
          <w:tcPr>
            <w:tcW w:w="10632" w:type="dxa"/>
          </w:tcPr>
          <w:p w:rsidR="00BA058D" w:rsidRDefault="00942987">
            <w:pPr>
              <w:pStyle w:val="ListParagraph"/>
              <w:numPr>
                <w:ilvl w:val="0"/>
                <w:numId w:val="7"/>
              </w:numPr>
              <w:spacing w:after="0"/>
              <w:rPr>
                <w:rFonts w:asciiTheme="minorHAnsi" w:eastAsiaTheme="minorEastAsia" w:hAnsiTheme="minorHAnsi" w:cstheme="minorBidi"/>
                <w:noProof/>
                <w:color w:val="000000" w:themeColor="text1"/>
                <w:lang w:eastAsia="en-IE"/>
              </w:rPr>
            </w:pPr>
            <w:r>
              <w:rPr>
                <w:noProof/>
                <w:lang w:eastAsia="en-IE"/>
              </w:rPr>
              <w:t>In cooperation with the ESAs, the Commission will assess whether supervisory powers, capabilities and obligations of Competent Authorities as well as the enforcement measures taken by competent authorities are fit for purpose to effectively fight greenwash</w:t>
            </w:r>
            <w:r>
              <w:rPr>
                <w:noProof/>
                <w:lang w:eastAsia="en-IE"/>
              </w:rPr>
              <w:t xml:space="preserve">ing. This includes the monitoring of greenwashing risks by the ESAs and competent authorities. </w:t>
            </w:r>
          </w:p>
          <w:p w:rsidR="00BA058D" w:rsidRDefault="00942987">
            <w:pPr>
              <w:pStyle w:val="ListParagraph"/>
              <w:numPr>
                <w:ilvl w:val="0"/>
                <w:numId w:val="7"/>
              </w:numPr>
              <w:spacing w:after="0"/>
              <w:rPr>
                <w:rFonts w:asciiTheme="minorHAnsi" w:eastAsiaTheme="minorEastAsia" w:hAnsiTheme="minorHAnsi" w:cstheme="minorBidi"/>
                <w:noProof/>
                <w:color w:val="000000" w:themeColor="text1"/>
                <w:lang w:eastAsia="en-IE"/>
              </w:rPr>
            </w:pPr>
            <w:r>
              <w:rPr>
                <w:noProof/>
                <w:lang w:eastAsia="en-IE"/>
              </w:rPr>
              <w:t xml:space="preserve">As part of this assessment, the ESAs will be asked to assess and report to the Commission whether the current supervisory and enforcement toolkit available to </w:t>
            </w:r>
            <w:r>
              <w:rPr>
                <w:noProof/>
                <w:lang w:eastAsia="en-IE"/>
              </w:rPr>
              <w:t>competent authorities for monitoring, investigating and sanctioning greenwashing is sufficiently efficient, consistent and deterrent across the EU and whether it is fit for purpose in identifying possible greenwashing risks throughout the product lifecycle</w:t>
            </w:r>
            <w:r>
              <w:rPr>
                <w:noProof/>
                <w:lang w:eastAsia="en-IE"/>
              </w:rPr>
              <w:t>.</w:t>
            </w:r>
          </w:p>
          <w:p w:rsidR="00BA058D" w:rsidRDefault="00942987">
            <w:pPr>
              <w:pStyle w:val="ListParagraph"/>
              <w:numPr>
                <w:ilvl w:val="0"/>
                <w:numId w:val="26"/>
              </w:numPr>
              <w:spacing w:after="0"/>
              <w:rPr>
                <w:rFonts w:asciiTheme="minorHAnsi" w:eastAsiaTheme="minorEastAsia" w:hAnsiTheme="minorHAnsi" w:cstheme="minorBidi"/>
                <w:noProof/>
                <w:color w:val="000000" w:themeColor="text1"/>
              </w:rPr>
            </w:pPr>
            <w:r>
              <w:rPr>
                <w:noProof/>
              </w:rPr>
              <w:t>Subsequently, the Commission will consider whether further steps are necessary to enable supervisors to ensure a sufficient and consistent level of supervision and enforcement across the EU. The Commission will consider the need for a stronger coordinati</w:t>
            </w:r>
            <w:r>
              <w:rPr>
                <w:noProof/>
              </w:rPr>
              <w:t xml:space="preserve">on and convergence role by the ESAs or other amendments to EU legislation. </w:t>
            </w:r>
          </w:p>
        </w:tc>
      </w:tr>
      <w:tr w:rsidR="00BA058D">
        <w:tc>
          <w:tcPr>
            <w:tcW w:w="10632" w:type="dxa"/>
          </w:tcPr>
          <w:p w:rsidR="00BA058D" w:rsidRDefault="00942987">
            <w:pPr>
              <w:spacing w:after="0"/>
              <w:rPr>
                <w:rStyle w:val="normaltextrun"/>
                <w:b/>
                <w:noProof/>
                <w:color w:val="000000" w:themeColor="text1"/>
              </w:rPr>
            </w:pPr>
            <w:r>
              <w:rPr>
                <w:rStyle w:val="normaltextrun"/>
                <w:b/>
                <w:noProof/>
                <w:color w:val="000000" w:themeColor="text1"/>
              </w:rPr>
              <w:t>5 (b): The Commission will develop a robust monitoring framework to measure progress made by the EU financial system.</w:t>
            </w:r>
          </w:p>
        </w:tc>
      </w:tr>
      <w:tr w:rsidR="00BA058D">
        <w:tc>
          <w:tcPr>
            <w:tcW w:w="10632" w:type="dxa"/>
          </w:tcPr>
          <w:p w:rsidR="00BA058D" w:rsidRDefault="00942987">
            <w:pPr>
              <w:pStyle w:val="ListParagraph"/>
              <w:numPr>
                <w:ilvl w:val="0"/>
                <w:numId w:val="26"/>
              </w:numPr>
              <w:spacing w:after="0"/>
              <w:rPr>
                <w:rFonts w:asciiTheme="minorHAnsi" w:eastAsiaTheme="minorEastAsia" w:hAnsiTheme="minorHAnsi" w:cstheme="minorBidi"/>
                <w:noProof/>
                <w:color w:val="000000" w:themeColor="text1"/>
              </w:rPr>
            </w:pPr>
            <w:r>
              <w:rPr>
                <w:noProof/>
                <w:lang w:eastAsia="en-IE"/>
              </w:rPr>
              <w:t>In order to assess the alignment of EU’s financial sector, t</w:t>
            </w:r>
            <w:r>
              <w:rPr>
                <w:noProof/>
                <w:lang w:eastAsia="en-IE"/>
              </w:rPr>
              <w:t>he Commission,</w:t>
            </w:r>
            <w:r>
              <w:rPr>
                <w:noProof/>
              </w:rPr>
              <w:t xml:space="preserve"> in collaboration with the Platform on Sustainable Finance,</w:t>
            </w:r>
            <w:r>
              <w:rPr>
                <w:noProof/>
                <w:lang w:eastAsia="en-IE"/>
              </w:rPr>
              <w:t xml:space="preserve"> will develop a robust monitoring framework and a set of indicators to measure capital flows to sustainable investments. </w:t>
            </w:r>
          </w:p>
          <w:p w:rsidR="00BA058D" w:rsidRDefault="00942987">
            <w:pPr>
              <w:pStyle w:val="ListParagraph"/>
              <w:numPr>
                <w:ilvl w:val="0"/>
                <w:numId w:val="26"/>
              </w:numPr>
              <w:spacing w:after="0"/>
              <w:rPr>
                <w:rFonts w:asciiTheme="minorHAnsi" w:eastAsiaTheme="minorEastAsia" w:hAnsiTheme="minorHAnsi" w:cstheme="minorBidi"/>
                <w:noProof/>
                <w:color w:val="000000" w:themeColor="text1"/>
              </w:rPr>
            </w:pPr>
            <w:r>
              <w:rPr>
                <w:noProof/>
                <w:lang w:eastAsia="en-IE"/>
              </w:rPr>
              <w:t>The Commission will assist Member States in assessing the inv</w:t>
            </w:r>
            <w:r>
              <w:rPr>
                <w:noProof/>
                <w:lang w:eastAsia="en-IE"/>
              </w:rPr>
              <w:t>estment gap and measuring the progress made by their financial sectors to align with our climate and environmental goals. To this end, by June 2023, the Commission will invite Member States to prepare an assessment of their financial markets’ alignment wit</w:t>
            </w:r>
            <w:r>
              <w:rPr>
                <w:noProof/>
                <w:lang w:eastAsia="en-IE"/>
              </w:rPr>
              <w:t xml:space="preserve">h the climate and environmental goals that will cover banks, asset managers, pension funds and insurance companies. </w:t>
            </w:r>
          </w:p>
          <w:p w:rsidR="00BA058D" w:rsidRDefault="00942987">
            <w:pPr>
              <w:pStyle w:val="ListParagraph"/>
              <w:numPr>
                <w:ilvl w:val="0"/>
                <w:numId w:val="26"/>
              </w:numPr>
              <w:spacing w:after="0"/>
              <w:rPr>
                <w:rFonts w:asciiTheme="minorHAnsi" w:eastAsiaTheme="minorEastAsia" w:hAnsiTheme="minorHAnsi" w:cstheme="minorBidi"/>
                <w:noProof/>
                <w:color w:val="000000" w:themeColor="text1"/>
              </w:rPr>
            </w:pPr>
            <w:r>
              <w:rPr>
                <w:noProof/>
                <w:color w:val="000000" w:themeColor="text1"/>
              </w:rPr>
              <w:t>In order to improve the assessment of the investment gap to meet our climate and environmental objectives, by Q1 2023 the Commission will c</w:t>
            </w:r>
            <w:r>
              <w:rPr>
                <w:noProof/>
                <w:color w:val="000000" w:themeColor="text1"/>
              </w:rPr>
              <w:t>onduct a detailed long-term investment needs and investment gap analysis taking into account evolving legislative proposals and future investment needs studies.</w:t>
            </w:r>
          </w:p>
          <w:p w:rsidR="00BA058D" w:rsidRDefault="00942987">
            <w:pPr>
              <w:pStyle w:val="ListParagraph"/>
              <w:numPr>
                <w:ilvl w:val="0"/>
                <w:numId w:val="26"/>
              </w:numPr>
              <w:spacing w:after="0"/>
              <w:rPr>
                <w:rStyle w:val="normaltextrun"/>
                <w:rFonts w:asciiTheme="minorHAnsi" w:eastAsiaTheme="minorEastAsia" w:hAnsiTheme="minorHAnsi" w:cstheme="minorBidi"/>
                <w:noProof/>
                <w:color w:val="000000" w:themeColor="text1"/>
              </w:rPr>
            </w:pPr>
            <w:r>
              <w:rPr>
                <w:noProof/>
                <w:lang w:eastAsia="en-IE"/>
              </w:rPr>
              <w:t>Based on the above, by the end of 2023 the Commission will present a consolidated report on the</w:t>
            </w:r>
            <w:r>
              <w:rPr>
                <w:noProof/>
                <w:lang w:eastAsia="en-IE"/>
              </w:rPr>
              <w:t xml:space="preserve"> state of play of EU financial markets’ transition. In addition, the Commission will assess the impact of the EU sustainable finance agenda by the end of 2023.</w:t>
            </w:r>
          </w:p>
        </w:tc>
      </w:tr>
      <w:tr w:rsidR="00BA058D">
        <w:tc>
          <w:tcPr>
            <w:tcW w:w="10632" w:type="dxa"/>
          </w:tcPr>
          <w:p w:rsidR="00BA058D" w:rsidRDefault="00942987">
            <w:pPr>
              <w:spacing w:after="0"/>
              <w:rPr>
                <w:rStyle w:val="normaltextrun"/>
                <w:noProof/>
                <w:color w:val="000000" w:themeColor="text1"/>
              </w:rPr>
            </w:pPr>
            <w:r>
              <w:rPr>
                <w:rStyle w:val="normaltextrun"/>
                <w:b/>
                <w:bCs/>
                <w:noProof/>
                <w:color w:val="000000" w:themeColor="text1"/>
              </w:rPr>
              <w:t>5 (c): The Commission will</w:t>
            </w:r>
            <w:r>
              <w:rPr>
                <w:rStyle w:val="normaltextrun"/>
                <w:noProof/>
                <w:color w:val="000000" w:themeColor="text1"/>
              </w:rPr>
              <w:t xml:space="preserve"> </w:t>
            </w:r>
            <w:r>
              <w:rPr>
                <w:rStyle w:val="normaltextrun"/>
                <w:b/>
                <w:bCs/>
                <w:noProof/>
                <w:color w:val="000000" w:themeColor="text1"/>
              </w:rPr>
              <w:t>improve the cooperation between authorities to work towards a common</w:t>
            </w:r>
            <w:r>
              <w:rPr>
                <w:rStyle w:val="normaltextrun"/>
                <w:b/>
                <w:bCs/>
                <w:noProof/>
                <w:color w:val="000000" w:themeColor="text1"/>
              </w:rPr>
              <w:t xml:space="preserve"> approach to monitor an orderly transition and monitor the alignment of the EU financial system with Green Deal targets.</w:t>
            </w:r>
          </w:p>
        </w:tc>
      </w:tr>
      <w:tr w:rsidR="00BA058D">
        <w:tc>
          <w:tcPr>
            <w:tcW w:w="10632" w:type="dxa"/>
          </w:tcPr>
          <w:p w:rsidR="00BA058D" w:rsidRDefault="00942987">
            <w:pPr>
              <w:pStyle w:val="ListParagraph"/>
              <w:numPr>
                <w:ilvl w:val="0"/>
                <w:numId w:val="26"/>
              </w:numPr>
              <w:spacing w:after="0"/>
              <w:rPr>
                <w:rStyle w:val="normaltextrun"/>
                <w:rFonts w:asciiTheme="minorHAnsi" w:eastAsiaTheme="minorEastAsia" w:hAnsiTheme="minorHAnsi" w:cstheme="minorBidi"/>
                <w:noProof/>
                <w:color w:val="000000" w:themeColor="text1"/>
                <w:lang w:val="en-US"/>
              </w:rPr>
            </w:pPr>
            <w:r>
              <w:rPr>
                <w:rStyle w:val="normaltextrun"/>
                <w:noProof/>
                <w:color w:val="000000" w:themeColor="text1"/>
              </w:rPr>
              <w:t xml:space="preserve">By 2022, the Commission will strengthen its cooperation with the ECB, the ESRB, the ESAs and the EEA, with the objective to develop a </w:t>
            </w:r>
            <w:r>
              <w:rPr>
                <w:rStyle w:val="normaltextrun"/>
                <w:noProof/>
                <w:color w:val="000000" w:themeColor="text1"/>
              </w:rPr>
              <w:t xml:space="preserve">common methodological base and consistently and coherently </w:t>
            </w:r>
            <w:r>
              <w:rPr>
                <w:rStyle w:val="normaltextrun"/>
                <w:rFonts w:eastAsiaTheme="minorEastAsia"/>
                <w:noProof/>
                <w:color w:val="000000" w:themeColor="text1"/>
              </w:rPr>
              <w:t xml:space="preserve">integrate the double materiality perspective across the EU financial system. </w:t>
            </w:r>
          </w:p>
          <w:p w:rsidR="00BA058D" w:rsidRDefault="00942987">
            <w:pPr>
              <w:pStyle w:val="ListParagraph"/>
              <w:numPr>
                <w:ilvl w:val="0"/>
                <w:numId w:val="26"/>
              </w:numPr>
              <w:spacing w:after="0"/>
              <w:rPr>
                <w:rStyle w:val="normaltextrun"/>
                <w:rFonts w:asciiTheme="minorHAnsi" w:eastAsiaTheme="minorEastAsia" w:hAnsiTheme="minorHAnsi" w:cstheme="minorBidi"/>
                <w:noProof/>
                <w:color w:val="000000" w:themeColor="text1"/>
                <w:lang w:val="en-US"/>
              </w:rPr>
            </w:pPr>
            <w:r>
              <w:rPr>
                <w:rStyle w:val="normaltextrun"/>
                <w:rFonts w:eastAsiaTheme="minorEastAsia"/>
                <w:noProof/>
                <w:color w:val="000000" w:themeColor="text1"/>
              </w:rPr>
              <w:t xml:space="preserve">This cooperation should help </w:t>
            </w:r>
            <w:r>
              <w:rPr>
                <w:rStyle w:val="normaltextrun"/>
                <w:rFonts w:eastAsiaTheme="minorEastAsia"/>
                <w:noProof/>
              </w:rPr>
              <w:t xml:space="preserve">define intermediate targets for the financial sector, understand better whether ongoing </w:t>
            </w:r>
            <w:r>
              <w:rPr>
                <w:rStyle w:val="normaltextrun"/>
                <w:rFonts w:eastAsiaTheme="minorEastAsia"/>
                <w:noProof/>
              </w:rPr>
              <w:t>and prospective progress is sufficient, and thus facilitate taking a more collaborative policy action by all relevant public authorities where necessary.</w:t>
            </w:r>
            <w:r>
              <w:rPr>
                <w:rStyle w:val="normaltextrun"/>
                <w:rFonts w:eastAsiaTheme="minorEastAsia"/>
                <w:noProof/>
                <w:color w:val="000000" w:themeColor="text1"/>
              </w:rPr>
              <w:t xml:space="preserve"> This could lead to rec</w:t>
            </w:r>
            <w:r>
              <w:rPr>
                <w:rStyle w:val="normaltextrun"/>
                <w:noProof/>
                <w:color w:val="000000" w:themeColor="text1"/>
              </w:rPr>
              <w:t xml:space="preserve">ommending policy measures, tools and methodologies to implement forward-looking </w:t>
            </w:r>
            <w:r>
              <w:rPr>
                <w:rStyle w:val="normaltextrun"/>
                <w:noProof/>
                <w:color w:val="000000" w:themeColor="text1"/>
              </w:rPr>
              <w:t xml:space="preserve">alignment strategies and to address financial stability risks for use by supervisors, regulators and financial sector entities in the EU. </w:t>
            </w:r>
          </w:p>
        </w:tc>
      </w:tr>
      <w:tr w:rsidR="00BA058D">
        <w:tc>
          <w:tcPr>
            <w:tcW w:w="10632" w:type="dxa"/>
          </w:tcPr>
          <w:p w:rsidR="00BA058D" w:rsidRDefault="00942987">
            <w:pPr>
              <w:spacing w:after="0"/>
              <w:rPr>
                <w:noProof/>
                <w:lang w:eastAsia="en-IE"/>
              </w:rPr>
            </w:pPr>
            <w:r>
              <w:rPr>
                <w:rStyle w:val="normaltextrun"/>
                <w:b/>
                <w:bCs/>
                <w:noProof/>
                <w:color w:val="000000"/>
                <w:shd w:val="clear" w:color="auto" w:fill="FFFFFF"/>
              </w:rPr>
              <w:t>5 (d): The Commission will strengthen sustainable finance </w:t>
            </w:r>
            <w:r>
              <w:rPr>
                <w:rStyle w:val="findhit"/>
                <w:b/>
                <w:bCs/>
                <w:noProof/>
                <w:color w:val="000000"/>
                <w:shd w:val="clear" w:color="auto" w:fill="FFFFFF"/>
              </w:rPr>
              <w:t>research</w:t>
            </w:r>
            <w:r>
              <w:rPr>
                <w:rStyle w:val="normaltextrun"/>
                <w:b/>
                <w:bCs/>
                <w:noProof/>
                <w:color w:val="000000"/>
                <w:shd w:val="clear" w:color="auto" w:fill="FFFFFF"/>
              </w:rPr>
              <w:t> and knowledge transfer.</w:t>
            </w:r>
            <w:r>
              <w:rPr>
                <w:rStyle w:val="eop"/>
                <w:noProof/>
                <w:color w:val="000000"/>
                <w:shd w:val="clear" w:color="auto" w:fill="FFFFFF"/>
              </w:rPr>
              <w:t> </w:t>
            </w:r>
          </w:p>
        </w:tc>
      </w:tr>
      <w:tr w:rsidR="00BA058D">
        <w:tc>
          <w:tcPr>
            <w:tcW w:w="10632" w:type="dxa"/>
          </w:tcPr>
          <w:p w:rsidR="00BA058D" w:rsidRDefault="00942987">
            <w:pPr>
              <w:pStyle w:val="ListParagraph"/>
              <w:numPr>
                <w:ilvl w:val="0"/>
                <w:numId w:val="6"/>
              </w:numPr>
              <w:spacing w:after="160" w:line="259" w:lineRule="auto"/>
              <w:rPr>
                <w:noProof/>
                <w:lang w:eastAsia="en-IE"/>
              </w:rPr>
            </w:pPr>
            <w:r>
              <w:rPr>
                <w:noProof/>
                <w:lang w:eastAsia="en-IE"/>
              </w:rPr>
              <w:t xml:space="preserve">The Commission will establish a Sustainable Finance Research Forum to strengthen the role of science and knowledge sharing between the financial sector and the research community. </w:t>
            </w:r>
          </w:p>
          <w:p w:rsidR="00BA058D" w:rsidRDefault="00942987">
            <w:pPr>
              <w:pStyle w:val="ListParagraph"/>
              <w:numPr>
                <w:ilvl w:val="0"/>
                <w:numId w:val="6"/>
              </w:numPr>
              <w:spacing w:after="0" w:line="259" w:lineRule="auto"/>
              <w:rPr>
                <w:noProof/>
                <w:lang w:eastAsia="en-IE"/>
              </w:rPr>
            </w:pPr>
            <w:r>
              <w:rPr>
                <w:noProof/>
                <w:lang w:eastAsia="en-IE"/>
              </w:rPr>
              <w:t>The Sustainable Finance Research Forum will be tasked with increasing aware</w:t>
            </w:r>
            <w:r>
              <w:rPr>
                <w:noProof/>
                <w:lang w:eastAsia="en-IE"/>
              </w:rPr>
              <w:t>ness of the use of sustainability-related science, research and innovation data from EU R&amp;I funding programmes, increasing investor appetite for research on sustainability and increasing knowledge exchange between researchers and the financial community. </w:t>
            </w:r>
          </w:p>
        </w:tc>
      </w:tr>
    </w:tbl>
    <w:p w:rsidR="00BA058D" w:rsidRDefault="00BA058D">
      <w:pPr>
        <w:rPr>
          <w:noProof/>
        </w:rPr>
      </w:pPr>
    </w:p>
    <w:p w:rsidR="00BA058D" w:rsidRDefault="00BA058D">
      <w:pPr>
        <w:rPr>
          <w:noProof/>
        </w:rPr>
      </w:pPr>
    </w:p>
    <w:p w:rsidR="00BA058D" w:rsidRDefault="00BA058D">
      <w:pPr>
        <w:rPr>
          <w:noProof/>
        </w:rPr>
      </w:pPr>
    </w:p>
    <w:p w:rsidR="00BA058D" w:rsidRDefault="00BA058D">
      <w:pPr>
        <w:rPr>
          <w:noProof/>
        </w:rPr>
      </w:pPr>
    </w:p>
    <w:p w:rsidR="00BA058D" w:rsidRDefault="00BA058D">
      <w:pPr>
        <w:rPr>
          <w:noProof/>
        </w:rPr>
      </w:pPr>
    </w:p>
    <w:tbl>
      <w:tblPr>
        <w:tblStyle w:val="TableGrid"/>
        <w:tblW w:w="10632" w:type="dxa"/>
        <w:tblInd w:w="-572" w:type="dxa"/>
        <w:tblLayout w:type="fixed"/>
        <w:tblCellMar>
          <w:top w:w="57" w:type="dxa"/>
          <w:bottom w:w="57" w:type="dxa"/>
        </w:tblCellMar>
        <w:tblLook w:val="04A0" w:firstRow="1" w:lastRow="0" w:firstColumn="1" w:lastColumn="0" w:noHBand="0" w:noVBand="1"/>
      </w:tblPr>
      <w:tblGrid>
        <w:gridCol w:w="10632"/>
      </w:tblGrid>
      <w:tr w:rsidR="00BA058D">
        <w:tc>
          <w:tcPr>
            <w:tcW w:w="10632" w:type="dxa"/>
            <w:shd w:val="clear" w:color="auto" w:fill="D9E2F3" w:themeFill="accent1" w:themeFillTint="33"/>
          </w:tcPr>
          <w:p w:rsidR="00BA058D" w:rsidRDefault="00942987">
            <w:pPr>
              <w:spacing w:after="0"/>
              <w:rPr>
                <w:b/>
                <w:noProof/>
              </w:rPr>
            </w:pPr>
            <w:r>
              <w:rPr>
                <w:b/>
                <w:noProof/>
              </w:rPr>
              <w:t>Fostering global ambition</w:t>
            </w:r>
          </w:p>
        </w:tc>
      </w:tr>
      <w:tr w:rsidR="00BA058D">
        <w:tc>
          <w:tcPr>
            <w:tcW w:w="10632" w:type="dxa"/>
            <w:shd w:val="clear" w:color="auto" w:fill="E7E6E6" w:themeFill="background2"/>
          </w:tcPr>
          <w:p w:rsidR="00BA058D" w:rsidRDefault="00942987">
            <w:pPr>
              <w:spacing w:after="0"/>
              <w:rPr>
                <w:b/>
                <w:bCs/>
                <w:i/>
                <w:iCs/>
                <w:noProof/>
              </w:rPr>
            </w:pPr>
            <w:r>
              <w:rPr>
                <w:b/>
                <w:bCs/>
                <w:i/>
                <w:iCs/>
                <w:noProof/>
                <w:lang w:eastAsia="en-IE"/>
              </w:rPr>
              <w:t>Action 6: The Commission will commit to setting a high level of ambition in developing international sustainable finance initiatives and standards, embracing the concept of double materiality and supporting EU partner count</w:t>
            </w:r>
            <w:r>
              <w:rPr>
                <w:b/>
                <w:bCs/>
                <w:i/>
                <w:iCs/>
                <w:noProof/>
                <w:lang w:eastAsia="en-IE"/>
              </w:rPr>
              <w:t>ries.</w:t>
            </w:r>
          </w:p>
        </w:tc>
      </w:tr>
      <w:tr w:rsidR="00BA058D">
        <w:tc>
          <w:tcPr>
            <w:tcW w:w="10632" w:type="dxa"/>
          </w:tcPr>
          <w:p w:rsidR="00BA058D" w:rsidRDefault="00942987">
            <w:pPr>
              <w:spacing w:after="0"/>
              <w:rPr>
                <w:b/>
                <w:noProof/>
              </w:rPr>
            </w:pPr>
            <w:r>
              <w:rPr>
                <w:b/>
                <w:noProof/>
              </w:rPr>
              <w:t>6 (a): The Commission will promote an ambitious consensus in international forums.</w:t>
            </w:r>
          </w:p>
        </w:tc>
      </w:tr>
      <w:tr w:rsidR="00BA058D">
        <w:tc>
          <w:tcPr>
            <w:tcW w:w="10632" w:type="dxa"/>
          </w:tcPr>
          <w:p w:rsidR="00BA058D" w:rsidRDefault="00942987">
            <w:pPr>
              <w:pStyle w:val="ListParagraph"/>
              <w:numPr>
                <w:ilvl w:val="0"/>
                <w:numId w:val="28"/>
              </w:numPr>
              <w:spacing w:after="0"/>
              <w:rPr>
                <w:rFonts w:eastAsiaTheme="minorEastAsia"/>
                <w:noProof/>
              </w:rPr>
            </w:pPr>
            <w:r>
              <w:rPr>
                <w:noProof/>
              </w:rPr>
              <w:t>Building upon this Strategy, the Commission will set a high level of ambition in the development of international sustainable finance initiatives and standards, in particular advocating for mainstreaming the concept of double materiality and agreeing on co</w:t>
            </w:r>
            <w:r>
              <w:rPr>
                <w:noProof/>
              </w:rPr>
              <w:t xml:space="preserve">mmon objectives and principles for sustainable taxonomies. </w:t>
            </w:r>
          </w:p>
          <w:p w:rsidR="00BA058D" w:rsidRDefault="00942987">
            <w:pPr>
              <w:pStyle w:val="ListParagraph"/>
              <w:numPr>
                <w:ilvl w:val="0"/>
                <w:numId w:val="28"/>
              </w:numPr>
              <w:spacing w:after="0"/>
              <w:rPr>
                <w:noProof/>
              </w:rPr>
            </w:pPr>
            <w:r>
              <w:rPr>
                <w:noProof/>
              </w:rPr>
              <w:t>The Commission will advocate for the development of a solid international governance on sustainable finance and suggest expanding the mandate of the Financial Stability Board to integrate the doub</w:t>
            </w:r>
            <w:r>
              <w:rPr>
                <w:noProof/>
              </w:rPr>
              <w:t>le materiality perspective.</w:t>
            </w:r>
          </w:p>
          <w:p w:rsidR="00BA058D" w:rsidRDefault="00942987">
            <w:pPr>
              <w:pStyle w:val="ListParagraph"/>
              <w:numPr>
                <w:ilvl w:val="0"/>
                <w:numId w:val="28"/>
              </w:numPr>
              <w:spacing w:after="0"/>
              <w:rPr>
                <w:noProof/>
              </w:rPr>
            </w:pPr>
            <w:r>
              <w:rPr>
                <w:noProof/>
              </w:rPr>
              <w:t>The Commission invites all international partners to deepen cooperation on sustainable finance, in particular to provide the private sector with usable tools and metrics, such as taxonomies.</w:t>
            </w:r>
          </w:p>
        </w:tc>
      </w:tr>
      <w:tr w:rsidR="00BA058D">
        <w:tc>
          <w:tcPr>
            <w:tcW w:w="10632" w:type="dxa"/>
          </w:tcPr>
          <w:p w:rsidR="00BA058D" w:rsidRDefault="00942987">
            <w:pPr>
              <w:spacing w:after="0"/>
              <w:rPr>
                <w:b/>
                <w:noProof/>
              </w:rPr>
            </w:pPr>
            <w:r>
              <w:rPr>
                <w:b/>
                <w:noProof/>
              </w:rPr>
              <w:t>6 (b): The Commission will propose t</w:t>
            </w:r>
            <w:r>
              <w:rPr>
                <w:b/>
                <w:noProof/>
              </w:rPr>
              <w:t>o advance and deepen the work of the IPSF.</w:t>
            </w:r>
          </w:p>
        </w:tc>
      </w:tr>
      <w:tr w:rsidR="00BA058D">
        <w:tc>
          <w:tcPr>
            <w:tcW w:w="10632" w:type="dxa"/>
          </w:tcPr>
          <w:p w:rsidR="00BA058D" w:rsidRDefault="00942987">
            <w:pPr>
              <w:pStyle w:val="ListParagraph"/>
              <w:numPr>
                <w:ilvl w:val="0"/>
                <w:numId w:val="29"/>
              </w:numPr>
              <w:spacing w:after="0"/>
              <w:rPr>
                <w:noProof/>
              </w:rPr>
            </w:pPr>
            <w:r>
              <w:rPr>
                <w:noProof/>
              </w:rPr>
              <w:t>In autumn 2021, the IPSF will publish:</w:t>
            </w:r>
          </w:p>
          <w:p w:rsidR="00BA058D" w:rsidRDefault="00942987">
            <w:pPr>
              <w:pStyle w:val="ListParagraph"/>
              <w:numPr>
                <w:ilvl w:val="0"/>
                <w:numId w:val="59"/>
              </w:numPr>
              <w:spacing w:after="0"/>
              <w:rPr>
                <w:noProof/>
              </w:rPr>
            </w:pPr>
            <w:r>
              <w:rPr>
                <w:noProof/>
              </w:rPr>
              <w:t>a Report on a Common Ground Taxonomy, setting out the common features in existing taxonomies developed by public authorities;</w:t>
            </w:r>
          </w:p>
          <w:p w:rsidR="00BA058D" w:rsidRDefault="00942987">
            <w:pPr>
              <w:pStyle w:val="ListParagraph"/>
              <w:numPr>
                <w:ilvl w:val="0"/>
                <w:numId w:val="59"/>
              </w:numPr>
              <w:spacing w:after="0"/>
              <w:rPr>
                <w:noProof/>
              </w:rPr>
            </w:pPr>
            <w:r>
              <w:rPr>
                <w:noProof/>
              </w:rPr>
              <w:t xml:space="preserve">a Report on Sustainability-related Disclosures </w:t>
            </w:r>
            <w:r>
              <w:rPr>
                <w:noProof/>
              </w:rPr>
              <w:t>to provide a comprehensive comparison of requirements for companies, asset managers and institutional investors;</w:t>
            </w:r>
          </w:p>
          <w:p w:rsidR="00BA058D" w:rsidRDefault="00942987">
            <w:pPr>
              <w:pStyle w:val="ListParagraph"/>
              <w:numPr>
                <w:ilvl w:val="0"/>
                <w:numId w:val="59"/>
              </w:numPr>
              <w:spacing w:after="0"/>
              <w:rPr>
                <w:noProof/>
              </w:rPr>
            </w:pPr>
            <w:r>
              <w:rPr>
                <w:noProof/>
              </w:rPr>
              <w:t>its Annual Report.</w:t>
            </w:r>
          </w:p>
          <w:p w:rsidR="00BA058D" w:rsidRDefault="00942987">
            <w:pPr>
              <w:pStyle w:val="ListParagraph"/>
              <w:numPr>
                <w:ilvl w:val="0"/>
                <w:numId w:val="29"/>
              </w:numPr>
              <w:spacing w:after="0"/>
              <w:rPr>
                <w:noProof/>
              </w:rPr>
            </w:pPr>
            <w:r>
              <w:rPr>
                <w:noProof/>
              </w:rPr>
              <w:t xml:space="preserve">In addition, the IPSF will report on its work on a ‘common ground Taxonomy’ by including ‘new’ taxonomies, as they are </w:t>
            </w:r>
            <w:r>
              <w:rPr>
                <w:noProof/>
              </w:rPr>
              <w:t>developed by its member jurisdictions, and on sustainability disclosures.</w:t>
            </w:r>
          </w:p>
          <w:p w:rsidR="00BA058D" w:rsidRDefault="00942987">
            <w:pPr>
              <w:pStyle w:val="ListParagraph"/>
              <w:numPr>
                <w:ilvl w:val="0"/>
                <w:numId w:val="29"/>
              </w:numPr>
              <w:spacing w:after="0"/>
              <w:rPr>
                <w:noProof/>
              </w:rPr>
            </w:pPr>
            <w:r>
              <w:rPr>
                <w:noProof/>
              </w:rPr>
              <w:t xml:space="preserve">The Commission will propose to the IPSF to expand its work to new issues, such as biodiversity and transition finance. </w:t>
            </w:r>
          </w:p>
          <w:p w:rsidR="00BA058D" w:rsidRDefault="00942987">
            <w:pPr>
              <w:pStyle w:val="ListParagraph"/>
              <w:numPr>
                <w:ilvl w:val="0"/>
                <w:numId w:val="29"/>
              </w:numPr>
              <w:spacing w:after="0"/>
              <w:rPr>
                <w:noProof/>
              </w:rPr>
            </w:pPr>
            <w:r>
              <w:rPr>
                <w:noProof/>
              </w:rPr>
              <w:t>The Commission will propose a stronger governance structure fo</w:t>
            </w:r>
            <w:r>
              <w:rPr>
                <w:noProof/>
              </w:rPr>
              <w:t xml:space="preserve">r the IPSF. </w:t>
            </w:r>
          </w:p>
          <w:p w:rsidR="00BA058D" w:rsidRDefault="00942987">
            <w:pPr>
              <w:pStyle w:val="ListParagraph"/>
              <w:numPr>
                <w:ilvl w:val="0"/>
                <w:numId w:val="29"/>
              </w:numPr>
              <w:spacing w:after="0"/>
              <w:rPr>
                <w:noProof/>
              </w:rPr>
            </w:pPr>
            <w:r>
              <w:rPr>
                <w:noProof/>
              </w:rPr>
              <w:t>To ensure impact on the ground, the Commission will propose the development of closer cooperation and interaction for the IPSF with the private sector.</w:t>
            </w:r>
          </w:p>
        </w:tc>
      </w:tr>
      <w:tr w:rsidR="00BA058D">
        <w:tc>
          <w:tcPr>
            <w:tcW w:w="10632" w:type="dxa"/>
          </w:tcPr>
          <w:p w:rsidR="00BA058D" w:rsidRDefault="00942987">
            <w:pPr>
              <w:spacing w:after="0"/>
              <w:rPr>
                <w:b/>
                <w:noProof/>
              </w:rPr>
            </w:pPr>
            <w:r>
              <w:rPr>
                <w:b/>
                <w:noProof/>
              </w:rPr>
              <w:t>6 (c): The Commission will support low- and middle-income countries in scaling up their ac</w:t>
            </w:r>
            <w:r>
              <w:rPr>
                <w:b/>
                <w:noProof/>
              </w:rPr>
              <w:t>cess to sustainable finance.</w:t>
            </w:r>
          </w:p>
        </w:tc>
      </w:tr>
      <w:tr w:rsidR="00BA058D">
        <w:tc>
          <w:tcPr>
            <w:tcW w:w="10632" w:type="dxa"/>
          </w:tcPr>
          <w:p w:rsidR="00BA058D" w:rsidRDefault="00942987">
            <w:pPr>
              <w:pStyle w:val="NoSpacing"/>
              <w:numPr>
                <w:ilvl w:val="0"/>
                <w:numId w:val="29"/>
              </w:numPr>
              <w:spacing w:after="0"/>
              <w:rPr>
                <w:noProof/>
                <w:lang w:eastAsia="en-IE"/>
              </w:rPr>
            </w:pPr>
            <w:r>
              <w:rPr>
                <w:noProof/>
              </w:rPr>
              <w:t xml:space="preserve">The </w:t>
            </w:r>
            <w:r>
              <w:rPr>
                <w:noProof/>
                <w:lang w:eastAsia="en-IE"/>
              </w:rPr>
              <w:t xml:space="preserve">Commission will </w:t>
            </w:r>
            <w:r>
              <w:rPr>
                <w:noProof/>
              </w:rPr>
              <w:t xml:space="preserve">develop a comprehensive strategy to help scale up sustainable finance in our partner countries. </w:t>
            </w:r>
            <w:r>
              <w:rPr>
                <w:noProof/>
                <w:lang w:eastAsia="en-IE"/>
              </w:rPr>
              <w:t>To this end, a dedicated high-level expert group (HLEG) will be created to identify the challenges and opportu</w:t>
            </w:r>
            <w:r>
              <w:rPr>
                <w:noProof/>
                <w:lang w:eastAsia="en-IE"/>
              </w:rPr>
              <w:t>nities that sustainable finance presents in our partner countries; and to provide recommendations to the Commission, so as to accelerate private financial flows for the implementation of the external dimension of the Green Deal and a green, just and resili</w:t>
            </w:r>
            <w:r>
              <w:rPr>
                <w:noProof/>
                <w:lang w:eastAsia="en-IE"/>
              </w:rPr>
              <w:t xml:space="preserve">ent recovery in our partner countries. </w:t>
            </w:r>
          </w:p>
          <w:p w:rsidR="00BA058D" w:rsidRDefault="00942987">
            <w:pPr>
              <w:pStyle w:val="NoSpacing"/>
              <w:numPr>
                <w:ilvl w:val="0"/>
                <w:numId w:val="29"/>
              </w:numPr>
              <w:spacing w:after="0"/>
              <w:rPr>
                <w:rFonts w:asciiTheme="minorHAnsi" w:eastAsiaTheme="minorEastAsia" w:hAnsiTheme="minorHAnsi" w:cstheme="minorBidi"/>
                <w:noProof/>
              </w:rPr>
            </w:pPr>
            <w:r>
              <w:rPr>
                <w:noProof/>
              </w:rPr>
              <w:t>The Commission will also support efforts to scale up sustainability-related financial instruments, and help build back better globally, notably via the Neighbourhood, Development and International Cooperation Instrum</w:t>
            </w:r>
            <w:r>
              <w:rPr>
                <w:noProof/>
              </w:rPr>
              <w:t xml:space="preserve">ent (NDICI) ‘Global Europe’ and its new European Fund for Sustainable Development (EFSD+), and </w:t>
            </w:r>
            <w:r>
              <w:rPr>
                <w:rFonts w:eastAsia="Times New Roman"/>
                <w:noProof/>
              </w:rPr>
              <w:t>the Instrument for Pre-Accession Assistance (IPA).</w:t>
            </w:r>
            <w:r>
              <w:rPr>
                <w:rStyle w:val="CommentReference"/>
                <w:noProof/>
              </w:rPr>
              <w:t xml:space="preserve"> </w:t>
            </w:r>
          </w:p>
        </w:tc>
      </w:tr>
    </w:tbl>
    <w:p w:rsidR="00BA058D" w:rsidRDefault="00942987">
      <w:pPr>
        <w:pStyle w:val="Heading3"/>
        <w:rPr>
          <w:noProof/>
        </w:rPr>
      </w:pPr>
      <w:bookmarkStart w:id="2" w:name="_Toc72319962"/>
      <w:bookmarkStart w:id="3" w:name="_Toc72320651"/>
      <w:bookmarkStart w:id="4" w:name="_Toc72322952"/>
      <w:bookmarkStart w:id="5" w:name="_Toc72478066"/>
      <w:r>
        <w:rPr>
          <w:noProof/>
        </w:rPr>
        <w:t xml:space="preserve">Glossary </w:t>
      </w:r>
      <w:bookmarkEnd w:id="2"/>
      <w:bookmarkEnd w:id="3"/>
      <w:bookmarkEnd w:id="4"/>
      <w:bookmarkEnd w:id="5"/>
    </w:p>
    <w:tbl>
      <w:tblPr>
        <w:tblStyle w:val="TableGridLight1"/>
        <w:tblW w:w="9606" w:type="dxa"/>
        <w:tblInd w:w="0" w:type="dxa"/>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ayout w:type="fixed"/>
        <w:tblLook w:val="04A0" w:firstRow="1" w:lastRow="0" w:firstColumn="1" w:lastColumn="0" w:noHBand="0" w:noVBand="1"/>
      </w:tblPr>
      <w:tblGrid>
        <w:gridCol w:w="1489"/>
        <w:gridCol w:w="3439"/>
        <w:gridCol w:w="1276"/>
        <w:gridCol w:w="3402"/>
      </w:tblGrid>
      <w:tr w:rsidR="00BA058D">
        <w:trPr>
          <w:trHeight w:val="460"/>
        </w:trPr>
        <w:tc>
          <w:tcPr>
            <w:tcW w:w="1489" w:type="dxa"/>
            <w:noWrap/>
            <w:vAlign w:val="center"/>
          </w:tcPr>
          <w:p w:rsidR="00BA058D" w:rsidRDefault="00942987">
            <w:pPr>
              <w:rPr>
                <w:noProof/>
                <w:lang w:eastAsia="en-GB"/>
              </w:rPr>
            </w:pPr>
            <w:r>
              <w:rPr>
                <w:noProof/>
                <w:lang w:eastAsia="en-GB"/>
              </w:rPr>
              <w:t>AIFMD</w:t>
            </w:r>
          </w:p>
        </w:tc>
        <w:tc>
          <w:tcPr>
            <w:tcW w:w="3439" w:type="dxa"/>
            <w:tcBorders>
              <w:right w:val="single" w:sz="4" w:space="0" w:color="auto"/>
            </w:tcBorders>
            <w:noWrap/>
            <w:vAlign w:val="center"/>
          </w:tcPr>
          <w:p w:rsidR="00BA058D" w:rsidRDefault="00942987">
            <w:pPr>
              <w:jc w:val="left"/>
              <w:rPr>
                <w:noProof/>
                <w:lang w:eastAsia="en-GB"/>
              </w:rPr>
            </w:pPr>
            <w:r>
              <w:rPr>
                <w:noProof/>
                <w:lang w:eastAsia="en-GB"/>
              </w:rPr>
              <w:t>Alternative Investment Fund Managers Directive</w:t>
            </w:r>
          </w:p>
        </w:tc>
        <w:tc>
          <w:tcPr>
            <w:tcW w:w="1276" w:type="dxa"/>
            <w:tcBorders>
              <w:left w:val="single" w:sz="4" w:space="0" w:color="auto"/>
            </w:tcBorders>
          </w:tcPr>
          <w:p w:rsidR="00BA058D" w:rsidRDefault="00942987">
            <w:pPr>
              <w:rPr>
                <w:noProof/>
                <w:lang w:eastAsia="es-ES"/>
              </w:rPr>
            </w:pPr>
            <w:r>
              <w:rPr>
                <w:noProof/>
                <w:lang w:eastAsia="es-ES"/>
              </w:rPr>
              <w:t>KPI</w:t>
            </w:r>
          </w:p>
        </w:tc>
        <w:tc>
          <w:tcPr>
            <w:tcW w:w="3402" w:type="dxa"/>
          </w:tcPr>
          <w:p w:rsidR="00BA058D" w:rsidRDefault="00942987">
            <w:pPr>
              <w:jc w:val="left"/>
              <w:rPr>
                <w:noProof/>
                <w:lang w:eastAsia="es-ES"/>
              </w:rPr>
            </w:pPr>
            <w:r>
              <w:rPr>
                <w:noProof/>
                <w:lang w:eastAsia="es-ES"/>
              </w:rPr>
              <w:t>Key Performance Indicator</w:t>
            </w:r>
          </w:p>
        </w:tc>
      </w:tr>
      <w:tr w:rsidR="00BA058D">
        <w:trPr>
          <w:trHeight w:val="460"/>
        </w:trPr>
        <w:tc>
          <w:tcPr>
            <w:tcW w:w="1489" w:type="dxa"/>
            <w:noWrap/>
            <w:hideMark/>
          </w:tcPr>
          <w:p w:rsidR="00BA058D" w:rsidRDefault="00942987">
            <w:pPr>
              <w:rPr>
                <w:noProof/>
                <w:lang w:eastAsia="en-GB"/>
              </w:rPr>
            </w:pPr>
            <w:r>
              <w:rPr>
                <w:noProof/>
                <w:lang w:eastAsia="es-ES"/>
              </w:rPr>
              <w:t>CRA</w:t>
            </w:r>
          </w:p>
        </w:tc>
        <w:tc>
          <w:tcPr>
            <w:tcW w:w="3439" w:type="dxa"/>
            <w:tcBorders>
              <w:right w:val="single" w:sz="4" w:space="0" w:color="auto"/>
            </w:tcBorders>
            <w:noWrap/>
            <w:hideMark/>
          </w:tcPr>
          <w:p w:rsidR="00BA058D" w:rsidRDefault="00942987">
            <w:pPr>
              <w:jc w:val="left"/>
              <w:rPr>
                <w:noProof/>
                <w:lang w:eastAsia="en-GB"/>
              </w:rPr>
            </w:pPr>
            <w:r>
              <w:rPr>
                <w:noProof/>
                <w:lang w:eastAsia="es-ES"/>
              </w:rPr>
              <w:t xml:space="preserve">Credit </w:t>
            </w:r>
            <w:r>
              <w:rPr>
                <w:noProof/>
                <w:lang w:eastAsia="es-ES"/>
              </w:rPr>
              <w:t>Rating Agencies</w:t>
            </w:r>
          </w:p>
        </w:tc>
        <w:tc>
          <w:tcPr>
            <w:tcW w:w="1276" w:type="dxa"/>
            <w:tcBorders>
              <w:left w:val="single" w:sz="4" w:space="0" w:color="auto"/>
            </w:tcBorders>
          </w:tcPr>
          <w:p w:rsidR="00BA058D" w:rsidRDefault="00942987">
            <w:pPr>
              <w:rPr>
                <w:noProof/>
                <w:lang w:eastAsia="es-ES"/>
              </w:rPr>
            </w:pPr>
            <w:r>
              <w:rPr>
                <w:noProof/>
                <w:lang w:eastAsia="es-ES"/>
              </w:rPr>
              <w:t>MCD</w:t>
            </w:r>
          </w:p>
        </w:tc>
        <w:tc>
          <w:tcPr>
            <w:tcW w:w="3402" w:type="dxa"/>
          </w:tcPr>
          <w:p w:rsidR="00BA058D" w:rsidRDefault="00942987">
            <w:pPr>
              <w:jc w:val="left"/>
              <w:rPr>
                <w:noProof/>
                <w:lang w:eastAsia="es-ES"/>
              </w:rPr>
            </w:pPr>
            <w:r>
              <w:rPr>
                <w:noProof/>
                <w:lang w:eastAsia="es-ES"/>
              </w:rPr>
              <w:t>Mortgage Credit Directive</w:t>
            </w:r>
          </w:p>
        </w:tc>
      </w:tr>
      <w:tr w:rsidR="00BA058D">
        <w:trPr>
          <w:trHeight w:val="460"/>
        </w:trPr>
        <w:tc>
          <w:tcPr>
            <w:tcW w:w="1489" w:type="dxa"/>
            <w:noWrap/>
          </w:tcPr>
          <w:p w:rsidR="00BA058D" w:rsidRDefault="00942987">
            <w:pPr>
              <w:rPr>
                <w:noProof/>
                <w:lang w:eastAsia="es-ES"/>
              </w:rPr>
            </w:pPr>
            <w:r>
              <w:rPr>
                <w:noProof/>
                <w:lang w:eastAsia="es-ES"/>
              </w:rPr>
              <w:t>CRD/CRR</w:t>
            </w:r>
          </w:p>
        </w:tc>
        <w:tc>
          <w:tcPr>
            <w:tcW w:w="3439" w:type="dxa"/>
            <w:tcBorders>
              <w:right w:val="single" w:sz="4" w:space="0" w:color="auto"/>
            </w:tcBorders>
            <w:noWrap/>
          </w:tcPr>
          <w:p w:rsidR="00BA058D" w:rsidRDefault="00942987">
            <w:pPr>
              <w:jc w:val="left"/>
              <w:rPr>
                <w:noProof/>
                <w:lang w:eastAsia="es-ES"/>
              </w:rPr>
            </w:pPr>
            <w:r>
              <w:rPr>
                <w:noProof/>
                <w:lang w:eastAsia="es-ES"/>
              </w:rPr>
              <w:t>Capital Requirements Directive/Regulation</w:t>
            </w:r>
          </w:p>
        </w:tc>
        <w:tc>
          <w:tcPr>
            <w:tcW w:w="1276" w:type="dxa"/>
            <w:tcBorders>
              <w:left w:val="single" w:sz="4" w:space="0" w:color="auto"/>
            </w:tcBorders>
          </w:tcPr>
          <w:p w:rsidR="00BA058D" w:rsidRDefault="00942987">
            <w:pPr>
              <w:rPr>
                <w:noProof/>
                <w:lang w:eastAsia="es-ES"/>
              </w:rPr>
            </w:pPr>
            <w:r>
              <w:rPr>
                <w:noProof/>
                <w:lang w:eastAsia="es-ES"/>
              </w:rPr>
              <w:t>MIFID</w:t>
            </w:r>
          </w:p>
        </w:tc>
        <w:tc>
          <w:tcPr>
            <w:tcW w:w="3402" w:type="dxa"/>
          </w:tcPr>
          <w:p w:rsidR="00BA058D" w:rsidRDefault="00942987">
            <w:pPr>
              <w:jc w:val="left"/>
              <w:rPr>
                <w:noProof/>
                <w:lang w:eastAsia="es-ES"/>
              </w:rPr>
            </w:pPr>
            <w:r>
              <w:rPr>
                <w:noProof/>
                <w:lang w:eastAsia="es-ES"/>
              </w:rPr>
              <w:t>Markets in Financial Instruments Directive</w:t>
            </w:r>
          </w:p>
        </w:tc>
      </w:tr>
      <w:tr w:rsidR="00BA058D">
        <w:trPr>
          <w:trHeight w:val="460"/>
        </w:trPr>
        <w:tc>
          <w:tcPr>
            <w:tcW w:w="1489" w:type="dxa"/>
            <w:noWrap/>
          </w:tcPr>
          <w:p w:rsidR="00BA058D" w:rsidRDefault="00942987">
            <w:pPr>
              <w:rPr>
                <w:noProof/>
                <w:lang w:eastAsia="es-ES"/>
              </w:rPr>
            </w:pPr>
            <w:r>
              <w:rPr>
                <w:noProof/>
                <w:lang w:eastAsia="es-ES"/>
              </w:rPr>
              <w:t>CSRD</w:t>
            </w:r>
          </w:p>
        </w:tc>
        <w:tc>
          <w:tcPr>
            <w:tcW w:w="3439" w:type="dxa"/>
            <w:tcBorders>
              <w:right w:val="single" w:sz="4" w:space="0" w:color="auto"/>
            </w:tcBorders>
            <w:noWrap/>
          </w:tcPr>
          <w:p w:rsidR="00BA058D" w:rsidRDefault="00942987">
            <w:pPr>
              <w:jc w:val="left"/>
              <w:rPr>
                <w:noProof/>
                <w:lang w:eastAsia="es-ES"/>
              </w:rPr>
            </w:pPr>
            <w:r>
              <w:rPr>
                <w:noProof/>
                <w:lang w:eastAsia="es-ES"/>
              </w:rPr>
              <w:t>Corporate Sustainability Reporting Directive</w:t>
            </w:r>
          </w:p>
        </w:tc>
        <w:tc>
          <w:tcPr>
            <w:tcW w:w="1276" w:type="dxa"/>
            <w:tcBorders>
              <w:left w:val="single" w:sz="4" w:space="0" w:color="auto"/>
            </w:tcBorders>
          </w:tcPr>
          <w:p w:rsidR="00BA058D" w:rsidRDefault="00942987">
            <w:pPr>
              <w:rPr>
                <w:noProof/>
                <w:lang w:eastAsia="es-ES"/>
              </w:rPr>
            </w:pPr>
            <w:r>
              <w:rPr>
                <w:noProof/>
                <w:lang w:eastAsia="es-ES"/>
              </w:rPr>
              <w:t>NCAs</w:t>
            </w:r>
          </w:p>
        </w:tc>
        <w:tc>
          <w:tcPr>
            <w:tcW w:w="3402" w:type="dxa"/>
          </w:tcPr>
          <w:p w:rsidR="00BA058D" w:rsidRDefault="00942987">
            <w:pPr>
              <w:jc w:val="left"/>
              <w:rPr>
                <w:noProof/>
                <w:lang w:eastAsia="es-ES"/>
              </w:rPr>
            </w:pPr>
            <w:r>
              <w:rPr>
                <w:noProof/>
              </w:rPr>
              <w:t>National Competent Authorities</w:t>
            </w:r>
          </w:p>
        </w:tc>
      </w:tr>
      <w:tr w:rsidR="00BA058D">
        <w:trPr>
          <w:trHeight w:val="460"/>
        </w:trPr>
        <w:tc>
          <w:tcPr>
            <w:tcW w:w="1489" w:type="dxa"/>
            <w:noWrap/>
          </w:tcPr>
          <w:p w:rsidR="00BA058D" w:rsidRDefault="00942987">
            <w:pPr>
              <w:rPr>
                <w:noProof/>
                <w:lang w:eastAsia="es-ES"/>
              </w:rPr>
            </w:pPr>
            <w:r>
              <w:rPr>
                <w:noProof/>
              </w:rPr>
              <w:t>DLT</w:t>
            </w:r>
          </w:p>
        </w:tc>
        <w:tc>
          <w:tcPr>
            <w:tcW w:w="3439" w:type="dxa"/>
            <w:tcBorders>
              <w:right w:val="single" w:sz="4" w:space="0" w:color="auto"/>
            </w:tcBorders>
            <w:noWrap/>
          </w:tcPr>
          <w:p w:rsidR="00BA058D" w:rsidRDefault="00942987">
            <w:pPr>
              <w:jc w:val="left"/>
              <w:rPr>
                <w:noProof/>
                <w:lang w:eastAsia="es-ES"/>
              </w:rPr>
            </w:pPr>
            <w:r>
              <w:rPr>
                <w:bCs/>
                <w:noProof/>
                <w:lang w:eastAsia="fr-BE"/>
              </w:rPr>
              <w:t>D</w:t>
            </w:r>
            <w:r>
              <w:rPr>
                <w:noProof/>
              </w:rPr>
              <w:t>istributed ledger</w:t>
            </w:r>
            <w:r>
              <w:rPr>
                <w:noProof/>
              </w:rPr>
              <w:t xml:space="preserve"> technologies</w:t>
            </w:r>
          </w:p>
        </w:tc>
        <w:tc>
          <w:tcPr>
            <w:tcW w:w="1276" w:type="dxa"/>
            <w:tcBorders>
              <w:left w:val="single" w:sz="4" w:space="0" w:color="auto"/>
            </w:tcBorders>
          </w:tcPr>
          <w:p w:rsidR="00BA058D" w:rsidRDefault="00942987">
            <w:pPr>
              <w:rPr>
                <w:noProof/>
                <w:lang w:eastAsia="es-ES"/>
              </w:rPr>
            </w:pPr>
            <w:r>
              <w:rPr>
                <w:noProof/>
                <w:lang w:eastAsia="es-ES"/>
              </w:rPr>
              <w:t>NECP</w:t>
            </w:r>
          </w:p>
        </w:tc>
        <w:tc>
          <w:tcPr>
            <w:tcW w:w="3402" w:type="dxa"/>
          </w:tcPr>
          <w:p w:rsidR="00BA058D" w:rsidRDefault="00942987">
            <w:pPr>
              <w:jc w:val="left"/>
              <w:rPr>
                <w:noProof/>
                <w:lang w:eastAsia="es-ES"/>
              </w:rPr>
            </w:pPr>
            <w:r>
              <w:rPr>
                <w:noProof/>
                <w:lang w:eastAsia="es-ES"/>
              </w:rPr>
              <w:t>National Energy and Climate Plans</w:t>
            </w:r>
          </w:p>
        </w:tc>
      </w:tr>
      <w:tr w:rsidR="00BA058D">
        <w:trPr>
          <w:trHeight w:val="460"/>
        </w:trPr>
        <w:tc>
          <w:tcPr>
            <w:tcW w:w="1489" w:type="dxa"/>
            <w:noWrap/>
            <w:hideMark/>
          </w:tcPr>
          <w:p w:rsidR="00BA058D" w:rsidRDefault="00942987">
            <w:pPr>
              <w:rPr>
                <w:noProof/>
                <w:lang w:eastAsia="en-GB"/>
              </w:rPr>
            </w:pPr>
            <w:r>
              <w:rPr>
                <w:noProof/>
                <w:lang w:eastAsia="es-ES"/>
              </w:rPr>
              <w:t>EBA</w:t>
            </w:r>
          </w:p>
        </w:tc>
        <w:tc>
          <w:tcPr>
            <w:tcW w:w="3439" w:type="dxa"/>
            <w:tcBorders>
              <w:right w:val="single" w:sz="4" w:space="0" w:color="auto"/>
            </w:tcBorders>
            <w:noWrap/>
            <w:hideMark/>
          </w:tcPr>
          <w:p w:rsidR="00BA058D" w:rsidRDefault="00942987">
            <w:pPr>
              <w:jc w:val="left"/>
              <w:rPr>
                <w:noProof/>
                <w:lang w:eastAsia="en-GB"/>
              </w:rPr>
            </w:pPr>
            <w:r>
              <w:rPr>
                <w:noProof/>
                <w:lang w:eastAsia="es-ES"/>
              </w:rPr>
              <w:t>European Banking Authority</w:t>
            </w:r>
          </w:p>
        </w:tc>
        <w:tc>
          <w:tcPr>
            <w:tcW w:w="1276" w:type="dxa"/>
            <w:tcBorders>
              <w:left w:val="single" w:sz="4" w:space="0" w:color="auto"/>
            </w:tcBorders>
          </w:tcPr>
          <w:p w:rsidR="00BA058D" w:rsidRDefault="00942987">
            <w:pPr>
              <w:rPr>
                <w:noProof/>
                <w:lang w:eastAsia="es-ES"/>
              </w:rPr>
            </w:pPr>
            <w:r>
              <w:rPr>
                <w:noProof/>
                <w:lang w:eastAsia="es-ES"/>
              </w:rPr>
              <w:t>NFRD</w:t>
            </w:r>
          </w:p>
        </w:tc>
        <w:tc>
          <w:tcPr>
            <w:tcW w:w="3402" w:type="dxa"/>
          </w:tcPr>
          <w:p w:rsidR="00BA058D" w:rsidRDefault="00942987">
            <w:pPr>
              <w:jc w:val="left"/>
              <w:rPr>
                <w:noProof/>
                <w:lang w:val="fr-BE" w:eastAsia="es-ES"/>
              </w:rPr>
            </w:pPr>
            <w:r>
              <w:rPr>
                <w:noProof/>
                <w:lang w:eastAsia="es-ES"/>
              </w:rPr>
              <w:t>Non-Financial Reporting Directive</w:t>
            </w:r>
          </w:p>
        </w:tc>
      </w:tr>
      <w:tr w:rsidR="00BA058D">
        <w:trPr>
          <w:trHeight w:val="460"/>
        </w:trPr>
        <w:tc>
          <w:tcPr>
            <w:tcW w:w="1489" w:type="dxa"/>
            <w:noWrap/>
          </w:tcPr>
          <w:p w:rsidR="00BA058D" w:rsidRDefault="00942987">
            <w:pPr>
              <w:rPr>
                <w:noProof/>
                <w:lang w:eastAsia="es-ES"/>
              </w:rPr>
            </w:pPr>
            <w:r>
              <w:rPr>
                <w:noProof/>
                <w:lang w:eastAsia="es-ES"/>
              </w:rPr>
              <w:t>ECB</w:t>
            </w:r>
          </w:p>
        </w:tc>
        <w:tc>
          <w:tcPr>
            <w:tcW w:w="3439" w:type="dxa"/>
            <w:tcBorders>
              <w:right w:val="single" w:sz="4" w:space="0" w:color="auto"/>
            </w:tcBorders>
            <w:noWrap/>
          </w:tcPr>
          <w:p w:rsidR="00BA058D" w:rsidRDefault="00942987">
            <w:pPr>
              <w:jc w:val="left"/>
              <w:rPr>
                <w:noProof/>
                <w:lang w:eastAsia="es-ES"/>
              </w:rPr>
            </w:pPr>
            <w:r>
              <w:rPr>
                <w:noProof/>
                <w:lang w:eastAsia="es-ES"/>
              </w:rPr>
              <w:t>European Central Bank</w:t>
            </w:r>
          </w:p>
        </w:tc>
        <w:tc>
          <w:tcPr>
            <w:tcW w:w="1276" w:type="dxa"/>
            <w:tcBorders>
              <w:left w:val="single" w:sz="4" w:space="0" w:color="auto"/>
            </w:tcBorders>
          </w:tcPr>
          <w:p w:rsidR="00BA058D" w:rsidRDefault="00942987">
            <w:pPr>
              <w:rPr>
                <w:noProof/>
                <w:lang w:eastAsia="es-ES"/>
              </w:rPr>
            </w:pPr>
            <w:r>
              <w:rPr>
                <w:noProof/>
                <w:lang w:eastAsia="es-ES"/>
              </w:rPr>
              <w:t>NGFS</w:t>
            </w:r>
          </w:p>
        </w:tc>
        <w:tc>
          <w:tcPr>
            <w:tcW w:w="3402" w:type="dxa"/>
          </w:tcPr>
          <w:p w:rsidR="00BA058D" w:rsidRDefault="00942987">
            <w:pPr>
              <w:jc w:val="left"/>
              <w:rPr>
                <w:noProof/>
                <w:lang w:eastAsia="es-ES"/>
              </w:rPr>
            </w:pPr>
            <w:r>
              <w:rPr>
                <w:noProof/>
                <w:lang w:eastAsia="es-ES"/>
              </w:rPr>
              <w:t>Network of central banks and supervisors for Greening the Financial System</w:t>
            </w:r>
          </w:p>
        </w:tc>
      </w:tr>
      <w:tr w:rsidR="00BA058D">
        <w:trPr>
          <w:trHeight w:val="460"/>
        </w:trPr>
        <w:tc>
          <w:tcPr>
            <w:tcW w:w="1489" w:type="dxa"/>
            <w:noWrap/>
          </w:tcPr>
          <w:p w:rsidR="00BA058D" w:rsidRDefault="00942987">
            <w:pPr>
              <w:rPr>
                <w:noProof/>
                <w:lang w:eastAsia="es-ES"/>
              </w:rPr>
            </w:pPr>
            <w:r>
              <w:rPr>
                <w:noProof/>
                <w:lang w:eastAsia="es-ES"/>
              </w:rPr>
              <w:t>EEA</w:t>
            </w:r>
          </w:p>
        </w:tc>
        <w:tc>
          <w:tcPr>
            <w:tcW w:w="3439" w:type="dxa"/>
            <w:tcBorders>
              <w:right w:val="single" w:sz="4" w:space="0" w:color="auto"/>
            </w:tcBorders>
            <w:noWrap/>
          </w:tcPr>
          <w:p w:rsidR="00BA058D" w:rsidRDefault="00942987">
            <w:pPr>
              <w:jc w:val="left"/>
              <w:rPr>
                <w:noProof/>
                <w:lang w:eastAsia="es-ES"/>
              </w:rPr>
            </w:pPr>
            <w:r>
              <w:rPr>
                <w:noProof/>
              </w:rPr>
              <w:t>European Environment</w:t>
            </w:r>
            <w:r>
              <w:rPr>
                <w:noProof/>
              </w:rPr>
              <w:t xml:space="preserve"> Agency</w:t>
            </w:r>
          </w:p>
        </w:tc>
        <w:tc>
          <w:tcPr>
            <w:tcW w:w="1276" w:type="dxa"/>
            <w:tcBorders>
              <w:left w:val="single" w:sz="4" w:space="0" w:color="auto"/>
            </w:tcBorders>
          </w:tcPr>
          <w:p w:rsidR="00BA058D" w:rsidRDefault="00942987">
            <w:pPr>
              <w:rPr>
                <w:noProof/>
                <w:lang w:eastAsia="es-ES"/>
              </w:rPr>
            </w:pPr>
            <w:r>
              <w:rPr>
                <w:noProof/>
                <w:lang w:eastAsia="es-ES"/>
              </w:rPr>
              <w:t>OECD</w:t>
            </w:r>
          </w:p>
        </w:tc>
        <w:tc>
          <w:tcPr>
            <w:tcW w:w="3402" w:type="dxa"/>
          </w:tcPr>
          <w:p w:rsidR="00BA058D" w:rsidRDefault="00942987">
            <w:pPr>
              <w:jc w:val="left"/>
              <w:rPr>
                <w:noProof/>
                <w:lang w:eastAsia="es-ES"/>
              </w:rPr>
            </w:pPr>
            <w:r>
              <w:rPr>
                <w:noProof/>
              </w:rPr>
              <w:t>Organisation for Economic Co-operation and Development</w:t>
            </w:r>
          </w:p>
        </w:tc>
      </w:tr>
      <w:tr w:rsidR="00BA058D">
        <w:trPr>
          <w:trHeight w:val="460"/>
        </w:trPr>
        <w:tc>
          <w:tcPr>
            <w:tcW w:w="1489" w:type="dxa"/>
            <w:noWrap/>
          </w:tcPr>
          <w:p w:rsidR="00BA058D" w:rsidRDefault="00942987">
            <w:pPr>
              <w:rPr>
                <w:noProof/>
                <w:lang w:eastAsia="es-ES"/>
              </w:rPr>
            </w:pPr>
            <w:r>
              <w:rPr>
                <w:noProof/>
                <w:lang w:eastAsia="es-ES"/>
              </w:rPr>
              <w:t>EFRAG</w:t>
            </w:r>
          </w:p>
        </w:tc>
        <w:tc>
          <w:tcPr>
            <w:tcW w:w="3439" w:type="dxa"/>
            <w:tcBorders>
              <w:right w:val="single" w:sz="4" w:space="0" w:color="auto"/>
            </w:tcBorders>
            <w:noWrap/>
          </w:tcPr>
          <w:p w:rsidR="00BA058D" w:rsidRDefault="00942987">
            <w:pPr>
              <w:jc w:val="left"/>
              <w:rPr>
                <w:noProof/>
                <w:lang w:eastAsia="es-ES"/>
              </w:rPr>
            </w:pPr>
            <w:r>
              <w:rPr>
                <w:noProof/>
                <w:lang w:eastAsia="en-IE"/>
              </w:rPr>
              <w:t>European Financial Reporting Advisory Group</w:t>
            </w:r>
          </w:p>
        </w:tc>
        <w:tc>
          <w:tcPr>
            <w:tcW w:w="1276" w:type="dxa"/>
            <w:tcBorders>
              <w:left w:val="single" w:sz="4" w:space="0" w:color="auto"/>
            </w:tcBorders>
          </w:tcPr>
          <w:p w:rsidR="00BA058D" w:rsidRDefault="00942987">
            <w:pPr>
              <w:rPr>
                <w:noProof/>
                <w:lang w:eastAsia="es-ES"/>
              </w:rPr>
            </w:pPr>
            <w:r>
              <w:rPr>
                <w:noProof/>
                <w:lang w:eastAsia="es-ES"/>
              </w:rPr>
              <w:t>PSF</w:t>
            </w:r>
          </w:p>
        </w:tc>
        <w:tc>
          <w:tcPr>
            <w:tcW w:w="3402" w:type="dxa"/>
          </w:tcPr>
          <w:p w:rsidR="00BA058D" w:rsidRDefault="00942987">
            <w:pPr>
              <w:jc w:val="left"/>
              <w:rPr>
                <w:noProof/>
                <w:lang w:eastAsia="es-ES"/>
              </w:rPr>
            </w:pPr>
            <w:r>
              <w:rPr>
                <w:noProof/>
                <w:lang w:eastAsia="es-ES"/>
              </w:rPr>
              <w:t>Platform on Sustainable Finance</w:t>
            </w:r>
          </w:p>
        </w:tc>
      </w:tr>
      <w:tr w:rsidR="00BA058D">
        <w:trPr>
          <w:trHeight w:val="460"/>
        </w:trPr>
        <w:tc>
          <w:tcPr>
            <w:tcW w:w="1489" w:type="dxa"/>
            <w:noWrap/>
          </w:tcPr>
          <w:p w:rsidR="00BA058D" w:rsidRDefault="00942987">
            <w:pPr>
              <w:rPr>
                <w:noProof/>
                <w:lang w:eastAsia="es-ES"/>
              </w:rPr>
            </w:pPr>
            <w:r>
              <w:rPr>
                <w:noProof/>
                <w:lang w:eastAsia="es-ES"/>
              </w:rPr>
              <w:t>EGD</w:t>
            </w:r>
          </w:p>
        </w:tc>
        <w:tc>
          <w:tcPr>
            <w:tcW w:w="3439" w:type="dxa"/>
            <w:tcBorders>
              <w:right w:val="single" w:sz="4" w:space="0" w:color="auto"/>
            </w:tcBorders>
            <w:noWrap/>
          </w:tcPr>
          <w:p w:rsidR="00BA058D" w:rsidRDefault="00942987">
            <w:pPr>
              <w:jc w:val="left"/>
              <w:rPr>
                <w:noProof/>
                <w:lang w:eastAsia="es-ES"/>
              </w:rPr>
            </w:pPr>
            <w:r>
              <w:rPr>
                <w:noProof/>
                <w:lang w:eastAsia="es-ES"/>
              </w:rPr>
              <w:t>European Green Deal</w:t>
            </w:r>
          </w:p>
        </w:tc>
        <w:tc>
          <w:tcPr>
            <w:tcW w:w="1276" w:type="dxa"/>
            <w:tcBorders>
              <w:left w:val="single" w:sz="4" w:space="0" w:color="auto"/>
            </w:tcBorders>
          </w:tcPr>
          <w:p w:rsidR="00BA058D" w:rsidRDefault="00942987">
            <w:pPr>
              <w:rPr>
                <w:noProof/>
                <w:lang w:eastAsia="es-ES"/>
              </w:rPr>
            </w:pPr>
            <w:r>
              <w:rPr>
                <w:noProof/>
                <w:lang w:eastAsia="es-ES"/>
              </w:rPr>
              <w:t>R&amp;I</w:t>
            </w:r>
          </w:p>
        </w:tc>
        <w:tc>
          <w:tcPr>
            <w:tcW w:w="3402" w:type="dxa"/>
          </w:tcPr>
          <w:p w:rsidR="00BA058D" w:rsidRDefault="00942987">
            <w:pPr>
              <w:jc w:val="left"/>
              <w:rPr>
                <w:noProof/>
                <w:lang w:eastAsia="es-ES"/>
              </w:rPr>
            </w:pPr>
            <w:r>
              <w:rPr>
                <w:noProof/>
                <w:lang w:eastAsia="es-ES"/>
              </w:rPr>
              <w:t>Research and Innovation</w:t>
            </w:r>
          </w:p>
        </w:tc>
      </w:tr>
      <w:tr w:rsidR="00BA058D">
        <w:trPr>
          <w:trHeight w:val="460"/>
        </w:trPr>
        <w:tc>
          <w:tcPr>
            <w:tcW w:w="1489" w:type="dxa"/>
            <w:noWrap/>
          </w:tcPr>
          <w:p w:rsidR="00BA058D" w:rsidRDefault="00942987">
            <w:pPr>
              <w:rPr>
                <w:noProof/>
                <w:lang w:eastAsia="es-ES"/>
              </w:rPr>
            </w:pPr>
            <w:r>
              <w:rPr>
                <w:noProof/>
                <w:lang w:eastAsia="es-ES"/>
              </w:rPr>
              <w:t>EIOPA</w:t>
            </w:r>
          </w:p>
        </w:tc>
        <w:tc>
          <w:tcPr>
            <w:tcW w:w="3439" w:type="dxa"/>
            <w:tcBorders>
              <w:right w:val="single" w:sz="4" w:space="0" w:color="auto"/>
            </w:tcBorders>
            <w:noWrap/>
          </w:tcPr>
          <w:p w:rsidR="00BA058D" w:rsidRDefault="00942987">
            <w:pPr>
              <w:jc w:val="left"/>
              <w:rPr>
                <w:noProof/>
                <w:lang w:eastAsia="es-ES"/>
              </w:rPr>
            </w:pPr>
            <w:r>
              <w:rPr>
                <w:noProof/>
                <w:lang w:eastAsia="es-ES"/>
              </w:rPr>
              <w:t xml:space="preserve">European Insurance and Occupational </w:t>
            </w:r>
            <w:r>
              <w:rPr>
                <w:noProof/>
                <w:lang w:eastAsia="es-ES"/>
              </w:rPr>
              <w:t>Pensions Authority</w:t>
            </w:r>
          </w:p>
        </w:tc>
        <w:tc>
          <w:tcPr>
            <w:tcW w:w="1276" w:type="dxa"/>
            <w:tcBorders>
              <w:left w:val="single" w:sz="4" w:space="0" w:color="auto"/>
            </w:tcBorders>
          </w:tcPr>
          <w:p w:rsidR="00BA058D" w:rsidRDefault="00942987">
            <w:pPr>
              <w:rPr>
                <w:noProof/>
                <w:lang w:eastAsia="es-ES"/>
              </w:rPr>
            </w:pPr>
            <w:r>
              <w:rPr>
                <w:noProof/>
                <w:lang w:eastAsia="es-ES"/>
              </w:rPr>
              <w:t>RSFS</w:t>
            </w:r>
          </w:p>
        </w:tc>
        <w:tc>
          <w:tcPr>
            <w:tcW w:w="3402" w:type="dxa"/>
          </w:tcPr>
          <w:p w:rsidR="00BA058D" w:rsidRDefault="00942987">
            <w:pPr>
              <w:jc w:val="left"/>
              <w:rPr>
                <w:noProof/>
                <w:lang w:eastAsia="es-ES"/>
              </w:rPr>
            </w:pPr>
            <w:r>
              <w:rPr>
                <w:noProof/>
                <w:lang w:eastAsia="es-ES"/>
              </w:rPr>
              <w:t>Renewed Sustainable Finance Strategy</w:t>
            </w:r>
          </w:p>
        </w:tc>
      </w:tr>
      <w:tr w:rsidR="00BA058D">
        <w:trPr>
          <w:trHeight w:val="460"/>
        </w:trPr>
        <w:tc>
          <w:tcPr>
            <w:tcW w:w="1489" w:type="dxa"/>
            <w:noWrap/>
          </w:tcPr>
          <w:p w:rsidR="00BA058D" w:rsidRDefault="00942987">
            <w:pPr>
              <w:rPr>
                <w:noProof/>
                <w:lang w:eastAsia="es-ES"/>
              </w:rPr>
            </w:pPr>
            <w:r>
              <w:rPr>
                <w:noProof/>
                <w:lang w:eastAsia="es-ES"/>
              </w:rPr>
              <w:t>ESAs</w:t>
            </w:r>
          </w:p>
        </w:tc>
        <w:tc>
          <w:tcPr>
            <w:tcW w:w="3439" w:type="dxa"/>
            <w:tcBorders>
              <w:right w:val="single" w:sz="4" w:space="0" w:color="auto"/>
            </w:tcBorders>
            <w:noWrap/>
          </w:tcPr>
          <w:p w:rsidR="00BA058D" w:rsidRDefault="00942987">
            <w:pPr>
              <w:jc w:val="left"/>
              <w:rPr>
                <w:noProof/>
                <w:lang w:eastAsia="es-ES"/>
              </w:rPr>
            </w:pPr>
            <w:r>
              <w:rPr>
                <w:noProof/>
                <w:lang w:eastAsia="es-ES"/>
              </w:rPr>
              <w:t>European Supervisory Authorities</w:t>
            </w:r>
          </w:p>
        </w:tc>
        <w:tc>
          <w:tcPr>
            <w:tcW w:w="1276" w:type="dxa"/>
            <w:tcBorders>
              <w:left w:val="single" w:sz="4" w:space="0" w:color="auto"/>
            </w:tcBorders>
          </w:tcPr>
          <w:p w:rsidR="00BA058D" w:rsidRDefault="00942987">
            <w:pPr>
              <w:rPr>
                <w:noProof/>
                <w:lang w:eastAsia="es-ES"/>
              </w:rPr>
            </w:pPr>
            <w:r>
              <w:rPr>
                <w:noProof/>
              </w:rPr>
              <w:t>SFDR</w:t>
            </w:r>
          </w:p>
        </w:tc>
        <w:tc>
          <w:tcPr>
            <w:tcW w:w="3402" w:type="dxa"/>
          </w:tcPr>
          <w:p w:rsidR="00BA058D" w:rsidRDefault="00942987">
            <w:pPr>
              <w:jc w:val="left"/>
              <w:rPr>
                <w:noProof/>
                <w:lang w:eastAsia="es-ES"/>
              </w:rPr>
            </w:pPr>
            <w:r>
              <w:rPr>
                <w:noProof/>
                <w:lang w:eastAsia="es-ES"/>
              </w:rPr>
              <w:t>Sustainable Finance Disclosure Regulation</w:t>
            </w:r>
          </w:p>
        </w:tc>
      </w:tr>
      <w:tr w:rsidR="00BA058D">
        <w:trPr>
          <w:trHeight w:val="320"/>
        </w:trPr>
        <w:tc>
          <w:tcPr>
            <w:tcW w:w="1489" w:type="dxa"/>
            <w:noWrap/>
          </w:tcPr>
          <w:p w:rsidR="00BA058D" w:rsidRDefault="00942987">
            <w:pPr>
              <w:rPr>
                <w:noProof/>
                <w:lang w:eastAsia="en-GB"/>
              </w:rPr>
            </w:pPr>
            <w:r>
              <w:rPr>
                <w:noProof/>
                <w:lang w:eastAsia="es-ES"/>
              </w:rPr>
              <w:t>ESAP</w:t>
            </w:r>
          </w:p>
        </w:tc>
        <w:tc>
          <w:tcPr>
            <w:tcW w:w="3439" w:type="dxa"/>
            <w:tcBorders>
              <w:right w:val="single" w:sz="4" w:space="0" w:color="auto"/>
            </w:tcBorders>
            <w:noWrap/>
          </w:tcPr>
          <w:p w:rsidR="00BA058D" w:rsidRDefault="00942987">
            <w:pPr>
              <w:jc w:val="left"/>
              <w:rPr>
                <w:noProof/>
                <w:lang w:eastAsia="en-GB"/>
              </w:rPr>
            </w:pPr>
            <w:r>
              <w:rPr>
                <w:noProof/>
                <w:lang w:eastAsia="es-ES"/>
              </w:rPr>
              <w:t>European single access point for financial and non-financial information</w:t>
            </w:r>
          </w:p>
        </w:tc>
        <w:tc>
          <w:tcPr>
            <w:tcW w:w="1276" w:type="dxa"/>
            <w:tcBorders>
              <w:left w:val="single" w:sz="4" w:space="0" w:color="auto"/>
            </w:tcBorders>
          </w:tcPr>
          <w:p w:rsidR="00BA058D" w:rsidRDefault="00942987">
            <w:pPr>
              <w:rPr>
                <w:noProof/>
                <w:lang w:eastAsia="es-ES"/>
              </w:rPr>
            </w:pPr>
            <w:r>
              <w:rPr>
                <w:noProof/>
              </w:rPr>
              <w:t>SFSG</w:t>
            </w:r>
          </w:p>
        </w:tc>
        <w:tc>
          <w:tcPr>
            <w:tcW w:w="3402" w:type="dxa"/>
          </w:tcPr>
          <w:p w:rsidR="00BA058D" w:rsidRDefault="00942987">
            <w:pPr>
              <w:jc w:val="left"/>
              <w:rPr>
                <w:noProof/>
                <w:lang w:eastAsia="es-ES"/>
              </w:rPr>
            </w:pPr>
            <w:r>
              <w:rPr>
                <w:noProof/>
                <w:lang w:eastAsia="es-ES"/>
              </w:rPr>
              <w:t>Sustainable Finance Study</w:t>
            </w:r>
            <w:r>
              <w:rPr>
                <w:noProof/>
                <w:lang w:eastAsia="es-ES"/>
              </w:rPr>
              <w:t xml:space="preserve"> Group </w:t>
            </w:r>
          </w:p>
        </w:tc>
      </w:tr>
      <w:tr w:rsidR="00BA058D">
        <w:trPr>
          <w:trHeight w:val="460"/>
        </w:trPr>
        <w:tc>
          <w:tcPr>
            <w:tcW w:w="1489" w:type="dxa"/>
            <w:noWrap/>
          </w:tcPr>
          <w:p w:rsidR="00BA058D" w:rsidRDefault="00942987">
            <w:pPr>
              <w:rPr>
                <w:noProof/>
                <w:lang w:eastAsia="es-ES"/>
              </w:rPr>
            </w:pPr>
            <w:r>
              <w:rPr>
                <w:noProof/>
                <w:lang w:eastAsia="es-ES"/>
              </w:rPr>
              <w:t>ESG</w:t>
            </w:r>
          </w:p>
        </w:tc>
        <w:tc>
          <w:tcPr>
            <w:tcW w:w="3439" w:type="dxa"/>
            <w:tcBorders>
              <w:right w:val="single" w:sz="4" w:space="0" w:color="auto"/>
            </w:tcBorders>
            <w:noWrap/>
          </w:tcPr>
          <w:p w:rsidR="00BA058D" w:rsidRDefault="00942987">
            <w:pPr>
              <w:jc w:val="left"/>
              <w:rPr>
                <w:noProof/>
                <w:lang w:eastAsia="es-ES"/>
              </w:rPr>
            </w:pPr>
            <w:r>
              <w:rPr>
                <w:noProof/>
                <w:lang w:eastAsia="es-ES"/>
              </w:rPr>
              <w:t>Environmental, Social and Governance criteria</w:t>
            </w:r>
          </w:p>
        </w:tc>
        <w:tc>
          <w:tcPr>
            <w:tcW w:w="1276" w:type="dxa"/>
            <w:tcBorders>
              <w:left w:val="single" w:sz="4" w:space="0" w:color="auto"/>
            </w:tcBorders>
          </w:tcPr>
          <w:p w:rsidR="00BA058D" w:rsidRDefault="00942987">
            <w:pPr>
              <w:rPr>
                <w:noProof/>
                <w:lang w:eastAsia="es-ES"/>
              </w:rPr>
            </w:pPr>
            <w:r>
              <w:rPr>
                <w:noProof/>
                <w:lang w:eastAsia="es-ES"/>
              </w:rPr>
              <w:t>SDG's</w:t>
            </w:r>
          </w:p>
        </w:tc>
        <w:tc>
          <w:tcPr>
            <w:tcW w:w="3402" w:type="dxa"/>
          </w:tcPr>
          <w:p w:rsidR="00BA058D" w:rsidRDefault="00942987">
            <w:pPr>
              <w:jc w:val="left"/>
              <w:rPr>
                <w:noProof/>
                <w:lang w:eastAsia="es-ES"/>
              </w:rPr>
            </w:pPr>
            <w:r>
              <w:rPr>
                <w:noProof/>
                <w:lang w:eastAsia="es-ES"/>
              </w:rPr>
              <w:t>Sustainable Development Goals</w:t>
            </w:r>
          </w:p>
        </w:tc>
      </w:tr>
      <w:tr w:rsidR="00BA058D">
        <w:trPr>
          <w:trHeight w:val="460"/>
        </w:trPr>
        <w:tc>
          <w:tcPr>
            <w:tcW w:w="1489" w:type="dxa"/>
            <w:noWrap/>
          </w:tcPr>
          <w:p w:rsidR="00BA058D" w:rsidRDefault="00942987">
            <w:pPr>
              <w:rPr>
                <w:noProof/>
                <w:lang w:eastAsia="en-GB"/>
              </w:rPr>
            </w:pPr>
            <w:r>
              <w:rPr>
                <w:noProof/>
                <w:lang w:eastAsia="es-ES"/>
              </w:rPr>
              <w:t>ESMA</w:t>
            </w:r>
          </w:p>
        </w:tc>
        <w:tc>
          <w:tcPr>
            <w:tcW w:w="3439" w:type="dxa"/>
            <w:tcBorders>
              <w:right w:val="single" w:sz="4" w:space="0" w:color="auto"/>
            </w:tcBorders>
            <w:noWrap/>
          </w:tcPr>
          <w:p w:rsidR="00BA058D" w:rsidRDefault="00942987">
            <w:pPr>
              <w:jc w:val="left"/>
              <w:rPr>
                <w:noProof/>
                <w:lang w:eastAsia="en-GB"/>
              </w:rPr>
            </w:pPr>
            <w:r>
              <w:rPr>
                <w:noProof/>
                <w:lang w:eastAsia="es-ES"/>
              </w:rPr>
              <w:t>European Securities and Markets Authority</w:t>
            </w:r>
          </w:p>
        </w:tc>
        <w:tc>
          <w:tcPr>
            <w:tcW w:w="1276" w:type="dxa"/>
            <w:tcBorders>
              <w:left w:val="single" w:sz="4" w:space="0" w:color="auto"/>
            </w:tcBorders>
          </w:tcPr>
          <w:p w:rsidR="00BA058D" w:rsidRDefault="00942987">
            <w:pPr>
              <w:rPr>
                <w:noProof/>
                <w:lang w:eastAsia="es-ES"/>
              </w:rPr>
            </w:pPr>
            <w:r>
              <w:rPr>
                <w:noProof/>
                <w:lang w:eastAsia="es-ES"/>
              </w:rPr>
              <w:t>SMEs</w:t>
            </w:r>
          </w:p>
        </w:tc>
        <w:tc>
          <w:tcPr>
            <w:tcW w:w="3402" w:type="dxa"/>
          </w:tcPr>
          <w:p w:rsidR="00BA058D" w:rsidRDefault="00942987">
            <w:pPr>
              <w:jc w:val="left"/>
              <w:rPr>
                <w:noProof/>
                <w:lang w:eastAsia="es-ES"/>
              </w:rPr>
            </w:pPr>
            <w:r>
              <w:rPr>
                <w:noProof/>
                <w:lang w:eastAsia="es-ES"/>
              </w:rPr>
              <w:t>Small and Medium-sized Enterprises</w:t>
            </w:r>
          </w:p>
        </w:tc>
      </w:tr>
      <w:tr w:rsidR="00BA058D">
        <w:trPr>
          <w:trHeight w:val="460"/>
        </w:trPr>
        <w:tc>
          <w:tcPr>
            <w:tcW w:w="1489" w:type="dxa"/>
            <w:noWrap/>
          </w:tcPr>
          <w:p w:rsidR="00BA058D" w:rsidRDefault="00942987">
            <w:pPr>
              <w:rPr>
                <w:noProof/>
                <w:lang w:eastAsia="en-GB"/>
              </w:rPr>
            </w:pPr>
            <w:r>
              <w:rPr>
                <w:noProof/>
                <w:lang w:eastAsia="en-IE"/>
              </w:rPr>
              <w:t>ESRB</w:t>
            </w:r>
          </w:p>
        </w:tc>
        <w:tc>
          <w:tcPr>
            <w:tcW w:w="3439" w:type="dxa"/>
            <w:tcBorders>
              <w:right w:val="single" w:sz="4" w:space="0" w:color="auto"/>
            </w:tcBorders>
            <w:noWrap/>
          </w:tcPr>
          <w:p w:rsidR="00BA058D" w:rsidRDefault="00942987">
            <w:pPr>
              <w:jc w:val="left"/>
              <w:rPr>
                <w:noProof/>
                <w:lang w:eastAsia="en-GB"/>
              </w:rPr>
            </w:pPr>
            <w:r>
              <w:rPr>
                <w:noProof/>
                <w:lang w:eastAsia="es-ES"/>
              </w:rPr>
              <w:t>European Systemic Risk Board</w:t>
            </w:r>
          </w:p>
        </w:tc>
        <w:tc>
          <w:tcPr>
            <w:tcW w:w="1276" w:type="dxa"/>
            <w:tcBorders>
              <w:left w:val="single" w:sz="4" w:space="0" w:color="auto"/>
            </w:tcBorders>
          </w:tcPr>
          <w:p w:rsidR="00BA058D" w:rsidRDefault="00942987">
            <w:pPr>
              <w:rPr>
                <w:noProof/>
                <w:lang w:eastAsia="es-ES"/>
              </w:rPr>
            </w:pPr>
            <w:r>
              <w:rPr>
                <w:noProof/>
                <w:lang w:eastAsia="es-ES"/>
              </w:rPr>
              <w:t>SREP</w:t>
            </w:r>
          </w:p>
        </w:tc>
        <w:tc>
          <w:tcPr>
            <w:tcW w:w="3402" w:type="dxa"/>
          </w:tcPr>
          <w:p w:rsidR="00BA058D" w:rsidRDefault="00942987">
            <w:pPr>
              <w:jc w:val="left"/>
              <w:rPr>
                <w:noProof/>
                <w:lang w:eastAsia="es-ES"/>
              </w:rPr>
            </w:pPr>
            <w:r>
              <w:rPr>
                <w:noProof/>
                <w:lang w:eastAsia="es-ES"/>
              </w:rPr>
              <w:t>Supervisory Review and Evaluation</w:t>
            </w:r>
            <w:r>
              <w:rPr>
                <w:noProof/>
                <w:lang w:eastAsia="es-ES"/>
              </w:rPr>
              <w:t xml:space="preserve"> Process</w:t>
            </w:r>
          </w:p>
        </w:tc>
      </w:tr>
      <w:tr w:rsidR="00BA058D">
        <w:trPr>
          <w:trHeight w:val="460"/>
        </w:trPr>
        <w:tc>
          <w:tcPr>
            <w:tcW w:w="1489" w:type="dxa"/>
            <w:noWrap/>
          </w:tcPr>
          <w:p w:rsidR="00BA058D" w:rsidRDefault="00942987">
            <w:pPr>
              <w:rPr>
                <w:noProof/>
                <w:lang w:eastAsia="es-ES"/>
              </w:rPr>
            </w:pPr>
            <w:r>
              <w:rPr>
                <w:noProof/>
                <w:lang w:eastAsia="es-ES"/>
              </w:rPr>
              <w:t>Eu GB</w:t>
            </w:r>
          </w:p>
        </w:tc>
        <w:tc>
          <w:tcPr>
            <w:tcW w:w="3439" w:type="dxa"/>
            <w:tcBorders>
              <w:right w:val="single" w:sz="4" w:space="0" w:color="auto"/>
            </w:tcBorders>
            <w:noWrap/>
          </w:tcPr>
          <w:p w:rsidR="00BA058D" w:rsidRDefault="00942987">
            <w:pPr>
              <w:jc w:val="left"/>
              <w:rPr>
                <w:noProof/>
                <w:lang w:eastAsia="es-ES"/>
              </w:rPr>
            </w:pPr>
            <w:r>
              <w:rPr>
                <w:noProof/>
                <w:lang w:eastAsia="es-ES"/>
              </w:rPr>
              <w:t>European green bond</w:t>
            </w:r>
          </w:p>
        </w:tc>
        <w:tc>
          <w:tcPr>
            <w:tcW w:w="1276" w:type="dxa"/>
            <w:tcBorders>
              <w:left w:val="single" w:sz="4" w:space="0" w:color="auto"/>
            </w:tcBorders>
          </w:tcPr>
          <w:p w:rsidR="00BA058D" w:rsidRDefault="00942987">
            <w:pPr>
              <w:rPr>
                <w:noProof/>
                <w:lang w:eastAsia="es-ES"/>
              </w:rPr>
            </w:pPr>
            <w:r>
              <w:rPr>
                <w:noProof/>
                <w:lang w:eastAsia="es-ES"/>
              </w:rPr>
              <w:t>TCFD</w:t>
            </w:r>
          </w:p>
        </w:tc>
        <w:tc>
          <w:tcPr>
            <w:tcW w:w="3402" w:type="dxa"/>
          </w:tcPr>
          <w:p w:rsidR="00BA058D" w:rsidRDefault="00942987">
            <w:pPr>
              <w:jc w:val="left"/>
              <w:rPr>
                <w:noProof/>
                <w:lang w:eastAsia="es-ES"/>
              </w:rPr>
            </w:pPr>
            <w:r>
              <w:rPr>
                <w:noProof/>
                <w:lang w:eastAsia="es-ES"/>
              </w:rPr>
              <w:t>Task Force on Climate-related Financial Disclosures</w:t>
            </w:r>
          </w:p>
        </w:tc>
      </w:tr>
      <w:tr w:rsidR="00BA058D">
        <w:trPr>
          <w:trHeight w:val="460"/>
        </w:trPr>
        <w:tc>
          <w:tcPr>
            <w:tcW w:w="1489" w:type="dxa"/>
            <w:noWrap/>
          </w:tcPr>
          <w:p w:rsidR="00BA058D" w:rsidRDefault="00942987">
            <w:pPr>
              <w:rPr>
                <w:noProof/>
                <w:lang w:eastAsia="en-GB"/>
              </w:rPr>
            </w:pPr>
            <w:r>
              <w:rPr>
                <w:noProof/>
                <w:lang w:eastAsia="es-ES"/>
              </w:rPr>
              <w:t>IDD</w:t>
            </w:r>
          </w:p>
        </w:tc>
        <w:tc>
          <w:tcPr>
            <w:tcW w:w="3439" w:type="dxa"/>
            <w:tcBorders>
              <w:right w:val="single" w:sz="4" w:space="0" w:color="auto"/>
            </w:tcBorders>
            <w:noWrap/>
          </w:tcPr>
          <w:p w:rsidR="00BA058D" w:rsidRDefault="00942987">
            <w:pPr>
              <w:jc w:val="left"/>
              <w:rPr>
                <w:noProof/>
                <w:lang w:eastAsia="en-GB"/>
              </w:rPr>
            </w:pPr>
            <w:r>
              <w:rPr>
                <w:noProof/>
                <w:lang w:eastAsia="es-ES"/>
              </w:rPr>
              <w:t>Insurance Distribution Directive</w:t>
            </w:r>
          </w:p>
        </w:tc>
        <w:tc>
          <w:tcPr>
            <w:tcW w:w="1276" w:type="dxa"/>
            <w:tcBorders>
              <w:left w:val="single" w:sz="4" w:space="0" w:color="auto"/>
            </w:tcBorders>
          </w:tcPr>
          <w:p w:rsidR="00BA058D" w:rsidRDefault="00942987">
            <w:pPr>
              <w:rPr>
                <w:noProof/>
                <w:lang w:eastAsia="es-ES"/>
              </w:rPr>
            </w:pPr>
            <w:r>
              <w:rPr>
                <w:noProof/>
                <w:lang w:eastAsia="es-ES"/>
              </w:rPr>
              <w:t>UCITS</w:t>
            </w:r>
          </w:p>
        </w:tc>
        <w:tc>
          <w:tcPr>
            <w:tcW w:w="3402" w:type="dxa"/>
          </w:tcPr>
          <w:p w:rsidR="00BA058D" w:rsidRDefault="00942987">
            <w:pPr>
              <w:jc w:val="left"/>
              <w:rPr>
                <w:noProof/>
                <w:lang w:eastAsia="es-ES"/>
              </w:rPr>
            </w:pPr>
            <w:r>
              <w:rPr>
                <w:noProof/>
                <w:lang w:eastAsia="es-ES"/>
              </w:rPr>
              <w:t>Undertakings for Collective Investments in Transferable Securities Directive</w:t>
            </w:r>
          </w:p>
        </w:tc>
      </w:tr>
      <w:tr w:rsidR="00BA058D">
        <w:trPr>
          <w:trHeight w:val="460"/>
        </w:trPr>
        <w:tc>
          <w:tcPr>
            <w:tcW w:w="1489" w:type="dxa"/>
            <w:noWrap/>
          </w:tcPr>
          <w:p w:rsidR="00BA058D" w:rsidRDefault="00942987">
            <w:pPr>
              <w:rPr>
                <w:noProof/>
                <w:lang w:eastAsia="es-ES"/>
              </w:rPr>
            </w:pPr>
            <w:r>
              <w:rPr>
                <w:noProof/>
                <w:lang w:eastAsia="es-ES"/>
              </w:rPr>
              <w:t>IFRS</w:t>
            </w:r>
          </w:p>
        </w:tc>
        <w:tc>
          <w:tcPr>
            <w:tcW w:w="3439" w:type="dxa"/>
            <w:tcBorders>
              <w:right w:val="single" w:sz="4" w:space="0" w:color="auto"/>
            </w:tcBorders>
            <w:noWrap/>
          </w:tcPr>
          <w:p w:rsidR="00BA058D" w:rsidRDefault="00942987">
            <w:pPr>
              <w:jc w:val="left"/>
              <w:rPr>
                <w:noProof/>
                <w:lang w:eastAsia="es-ES"/>
              </w:rPr>
            </w:pPr>
            <w:r>
              <w:rPr>
                <w:noProof/>
                <w:lang w:eastAsia="es-ES"/>
              </w:rPr>
              <w:t xml:space="preserve">International Financial Reporting </w:t>
            </w:r>
            <w:r>
              <w:rPr>
                <w:noProof/>
                <w:lang w:eastAsia="es-ES"/>
              </w:rPr>
              <w:t>Standard</w:t>
            </w:r>
          </w:p>
        </w:tc>
        <w:tc>
          <w:tcPr>
            <w:tcW w:w="1276" w:type="dxa"/>
            <w:tcBorders>
              <w:left w:val="single" w:sz="4" w:space="0" w:color="auto"/>
              <w:bottom w:val="single" w:sz="4" w:space="0" w:color="auto"/>
            </w:tcBorders>
          </w:tcPr>
          <w:p w:rsidR="00BA058D" w:rsidRDefault="00942987">
            <w:pPr>
              <w:rPr>
                <w:noProof/>
                <w:lang w:eastAsia="es-ES"/>
              </w:rPr>
            </w:pPr>
            <w:r>
              <w:rPr>
                <w:noProof/>
                <w:lang w:eastAsia="es-ES"/>
              </w:rPr>
              <w:t>TEG</w:t>
            </w:r>
          </w:p>
        </w:tc>
        <w:tc>
          <w:tcPr>
            <w:tcW w:w="3402" w:type="dxa"/>
            <w:tcBorders>
              <w:bottom w:val="single" w:sz="4" w:space="0" w:color="auto"/>
            </w:tcBorders>
          </w:tcPr>
          <w:p w:rsidR="00BA058D" w:rsidRDefault="00942987">
            <w:pPr>
              <w:jc w:val="left"/>
              <w:rPr>
                <w:noProof/>
                <w:lang w:eastAsia="es-ES"/>
              </w:rPr>
            </w:pPr>
            <w:r>
              <w:rPr>
                <w:noProof/>
                <w:lang w:eastAsia="es-ES"/>
              </w:rPr>
              <w:t>Technical Expert Group on Sustainable Finance</w:t>
            </w:r>
          </w:p>
        </w:tc>
      </w:tr>
      <w:tr w:rsidR="00BA058D">
        <w:trPr>
          <w:trHeight w:val="460"/>
        </w:trPr>
        <w:tc>
          <w:tcPr>
            <w:tcW w:w="1489" w:type="dxa"/>
            <w:noWrap/>
          </w:tcPr>
          <w:p w:rsidR="00BA058D" w:rsidRDefault="00942987">
            <w:pPr>
              <w:rPr>
                <w:noProof/>
                <w:lang w:eastAsia="es-ES"/>
              </w:rPr>
            </w:pPr>
            <w:r>
              <w:rPr>
                <w:noProof/>
                <w:lang w:eastAsia="es-ES"/>
              </w:rPr>
              <w:t>IORP</w:t>
            </w:r>
          </w:p>
        </w:tc>
        <w:tc>
          <w:tcPr>
            <w:tcW w:w="3439" w:type="dxa"/>
            <w:tcBorders>
              <w:right w:val="single" w:sz="4" w:space="0" w:color="auto"/>
            </w:tcBorders>
            <w:noWrap/>
          </w:tcPr>
          <w:p w:rsidR="00BA058D" w:rsidRDefault="00942987">
            <w:pPr>
              <w:jc w:val="left"/>
              <w:rPr>
                <w:noProof/>
                <w:lang w:eastAsia="es-ES"/>
              </w:rPr>
            </w:pPr>
            <w:r>
              <w:rPr>
                <w:noProof/>
                <w:lang w:eastAsia="es-ES"/>
              </w:rPr>
              <w:t>Institutions for Occupational and Retirement Provision</w:t>
            </w:r>
          </w:p>
        </w:tc>
        <w:tc>
          <w:tcPr>
            <w:tcW w:w="1276" w:type="dxa"/>
            <w:tcBorders>
              <w:left w:val="single" w:sz="4" w:space="0" w:color="auto"/>
              <w:bottom w:val="nil"/>
            </w:tcBorders>
          </w:tcPr>
          <w:p w:rsidR="00BA058D" w:rsidRDefault="00BA058D">
            <w:pPr>
              <w:rPr>
                <w:noProof/>
                <w:lang w:eastAsia="es-ES"/>
              </w:rPr>
            </w:pPr>
          </w:p>
        </w:tc>
        <w:tc>
          <w:tcPr>
            <w:tcW w:w="3402" w:type="dxa"/>
            <w:tcBorders>
              <w:bottom w:val="nil"/>
              <w:right w:val="nil"/>
            </w:tcBorders>
          </w:tcPr>
          <w:p w:rsidR="00BA058D" w:rsidRDefault="00BA058D">
            <w:pPr>
              <w:jc w:val="left"/>
              <w:rPr>
                <w:noProof/>
                <w:lang w:eastAsia="es-ES"/>
              </w:rPr>
            </w:pPr>
          </w:p>
        </w:tc>
      </w:tr>
      <w:tr w:rsidR="00BA058D">
        <w:trPr>
          <w:trHeight w:val="460"/>
        </w:trPr>
        <w:tc>
          <w:tcPr>
            <w:tcW w:w="1489" w:type="dxa"/>
            <w:noWrap/>
          </w:tcPr>
          <w:p w:rsidR="00BA058D" w:rsidRDefault="00942987">
            <w:pPr>
              <w:rPr>
                <w:noProof/>
                <w:lang w:eastAsia="es-ES"/>
              </w:rPr>
            </w:pPr>
            <w:r>
              <w:rPr>
                <w:noProof/>
                <w:lang w:eastAsia="es-ES"/>
              </w:rPr>
              <w:t>IPSF</w:t>
            </w:r>
          </w:p>
        </w:tc>
        <w:tc>
          <w:tcPr>
            <w:tcW w:w="3439" w:type="dxa"/>
            <w:tcBorders>
              <w:right w:val="single" w:sz="4" w:space="0" w:color="auto"/>
            </w:tcBorders>
            <w:noWrap/>
          </w:tcPr>
          <w:p w:rsidR="00BA058D" w:rsidRDefault="00942987">
            <w:pPr>
              <w:jc w:val="left"/>
              <w:rPr>
                <w:noProof/>
                <w:lang w:eastAsia="es-ES"/>
              </w:rPr>
            </w:pPr>
            <w:r>
              <w:rPr>
                <w:noProof/>
                <w:lang w:eastAsia="es-ES"/>
              </w:rPr>
              <w:t xml:space="preserve">International Platform on Sustainable Finance </w:t>
            </w:r>
          </w:p>
        </w:tc>
        <w:tc>
          <w:tcPr>
            <w:tcW w:w="1276" w:type="dxa"/>
            <w:tcBorders>
              <w:top w:val="nil"/>
              <w:left w:val="single" w:sz="4" w:space="0" w:color="auto"/>
              <w:bottom w:val="nil"/>
            </w:tcBorders>
          </w:tcPr>
          <w:p w:rsidR="00BA058D" w:rsidRDefault="00BA058D">
            <w:pPr>
              <w:rPr>
                <w:noProof/>
                <w:lang w:eastAsia="es-ES"/>
              </w:rPr>
            </w:pPr>
          </w:p>
        </w:tc>
        <w:tc>
          <w:tcPr>
            <w:tcW w:w="3402" w:type="dxa"/>
            <w:tcBorders>
              <w:top w:val="nil"/>
              <w:bottom w:val="nil"/>
              <w:right w:val="nil"/>
            </w:tcBorders>
          </w:tcPr>
          <w:p w:rsidR="00BA058D" w:rsidRDefault="00BA058D">
            <w:pPr>
              <w:jc w:val="left"/>
              <w:rPr>
                <w:noProof/>
                <w:lang w:eastAsia="es-ES"/>
              </w:rPr>
            </w:pPr>
          </w:p>
        </w:tc>
      </w:tr>
    </w:tbl>
    <w:p w:rsidR="00BA058D" w:rsidRDefault="00BA058D">
      <w:pPr>
        <w:rPr>
          <w:noProof/>
        </w:rPr>
      </w:pPr>
    </w:p>
    <w:sectPr w:rsidR="00BA058D">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3402891" w16cex:dateUtc="2021-06-07T06:40:35.634Z"/>
  <w16cex:commentExtensible w16cex:durableId="380F3A4F" w16cex:dateUtc="2021-06-07T06:40:45.005Z"/>
  <w16cex:commentExtensible w16cex:durableId="15CB34FA" w16cex:dateUtc="2021-06-07T07:00:50.559Z"/>
  <w16cex:commentExtensible w16cex:durableId="7DB4C574" w16cex:dateUtc="2021-06-07T09:05:12.823Z"/>
  <w16cex:commentExtensible w16cex:durableId="6049ADA3" w16cex:dateUtc="2021-06-07T09:16:33.815Z"/>
  <w16cex:commentExtensible w16cex:durableId="2FD382C0" w16cex:dateUtc="2021-06-07T14:08:56.601Z"/>
  <w16cex:commentExtensible w16cex:durableId="3A9DC8F9" w16cex:dateUtc="2021-06-07T14:09:45.691Z"/>
  <w16cex:commentExtensible w16cex:durableId="0301C811" w16cex:dateUtc="2021-06-07T14:10:35.441Z"/>
  <w16cex:commentExtensible w16cex:durableId="3FF47B4A" w16cex:dateUtc="2021-06-07T14:11:22.399Z"/>
  <w16cex:commentExtensible w16cex:durableId="7BE99FC2" w16cex:dateUtc="2021-06-07T14:12:05.344Z"/>
  <w16cex:commentExtensible w16cex:durableId="1A62AEA0" w16cex:dateUtc="2021-06-07T14:13:29.623Z"/>
  <w16cex:commentExtensible w16cex:durableId="3BD0246E" w16cex:dateUtc="2021-06-07T14:14:20.095Z"/>
  <w16cex:commentExtensible w16cex:durableId="57890CD8" w16cex:dateUtc="2021-06-07T14:14:20.095Z"/>
  <w16cex:commentExtensible w16cex:durableId="15E51305" w16cex:dateUtc="2021-06-08T12:31:24.201Z"/>
  <w16cex:commentExtensible w16cex:durableId="5E6D6A65" w16cex:dateUtc="2021-06-08T12:31:42.149Z"/>
  <w16cex:commentExtensible w16cex:durableId="5B39D04B" w16cex:dateUtc="2021-06-08T12:53:22.773Z"/>
  <w16cex:commentExtensible w16cex:durableId="0A5717CC" w16cex:dateUtc="2021-06-08T12:54:21.878Z"/>
  <w16cex:commentExtensible w16cex:durableId="0BCBAB1D" w16cex:dateUtc="2021-06-08T12:53:22.773Z"/>
  <w16cex:commentExtensible w16cex:durableId="48F28BCA" w16cex:dateUtc="2021-06-23T15:36:41.963Z"/>
  <w16cex:commentExtensible w16cex:durableId="012321F7" w16cex:dateUtc="2021-06-23T15:37:48.006Z"/>
  <w16cex:commentExtensible w16cex:durableId="5FBA107B" w16cex:dateUtc="2021-06-23T15:39:17.639Z"/>
  <w16cex:commentExtensible w16cex:durableId="546FD9CF" w16cex:dateUtc="2021-06-23T15:40:52.603Z"/>
  <w16cex:commentExtensible w16cex:durableId="2D0E3E50" w16cex:dateUtc="2021-06-25T07:08:46.175Z"/>
  <w16cex:commentExtensible w16cex:durableId="6593A2B1" w16cex:dateUtc="2021-06-25T07:09:36.933Z"/>
  <w16cex:commentExtensible w16cex:durableId="6B8675E1" w16cex:dateUtc="2021-06-25T07:10:58.39Z"/>
  <w16cex:commentExtensible w16cex:durableId="794E79E5" w16cex:dateUtc="2021-06-25T07:11:31.877Z"/>
  <w16cex:commentExtensible w16cex:durableId="5EC69288" w16cex:dateUtc="2021-06-25T07:12:08.55Z"/>
  <w16cex:commentExtensible w16cex:durableId="39E6A258" w16cex:dateUtc="2021-06-25T07:12:41.262Z"/>
  <w16cex:commentExtensible w16cex:durableId="12986DA3" w16cex:dateUtc="2021-06-25T07:34:32.264Z"/>
  <w16cex:commentExtensible w16cex:durableId="5BF0E1FC" w16cex:dateUtc="2021-06-25T07:35:34.852Z"/>
  <w16cex:commentExtensible w16cex:durableId="7C0FF19D" w16cex:dateUtc="2021-06-25T07:41:57.447Z"/>
  <w16cex:commentExtensible w16cex:durableId="5C3F613F" w16cex:dateUtc="2021-06-25T07:44:44.816Z"/>
  <w16cex:commentExtensible w16cex:durableId="6C0EBF6F" w16cex:dateUtc="2021-06-25T07:49:40.197Z"/>
  <w16cex:commentExtensible w16cex:durableId="2C3E73DF" w16cex:dateUtc="2021-06-25T08:20:35.886Z"/>
  <w16cex:commentExtensible w16cex:durableId="5E738794" w16cex:dateUtc="2021-06-25T08:20:44.092Z"/>
  <w16cex:commentExtensible w16cex:durableId="5C5D88C4" w16cex:dateUtc="2021-06-25T08:50:57.881Z"/>
  <w16cex:commentExtensible w16cex:durableId="728CE67D" w16cex:dateUtc="2021-06-25T08:55:52.279Z"/>
  <w16cex:commentExtensible w16cex:durableId="12C335FD" w16cex:dateUtc="2021-06-25T08:57:01.085Z"/>
  <w16cex:commentExtensible w16cex:durableId="1D1D879F" w16cex:dateUtc="2021-06-25T08:58:48.927Z"/>
  <w16cex:commentExtensible w16cex:durableId="4E21F044" w16cex:dateUtc="2021-06-25T10:35:35.93Z"/>
  <w16cex:commentExtensible w16cex:durableId="602A7730" w16cex:dateUtc="2021-06-25T10:39:06.585Z"/>
  <w16cex:commentExtensible w16cex:durableId="5E1AF55C" w16cex:dateUtc="2021-06-25T10:43:38.208Z"/>
  <w16cex:commentExtensible w16cex:durableId="31C6851A" w16cex:dateUtc="2021-06-25T10:48:14.378Z"/>
  <w16cex:commentExtensible w16cex:durableId="2ED45BF2" w16cex:dateUtc="2021-06-25T10:49:31.589Z"/>
  <w16cex:commentExtensible w16cex:durableId="509460AE" w16cex:dateUtc="2021-06-28T09:23:48.673Z"/>
  <w16cex:commentExtensible w16cex:durableId="236B7EB6" w16cex:dateUtc="2021-06-28T19:51:56.975Z"/>
  <w16cex:commentExtensible w16cex:durableId="3AF9F3A2" w16cex:dateUtc="2021-06-28T19:52:06.579Z"/>
  <w16cex:commentExtensible w16cex:durableId="6F1C2DAF" w16cex:dateUtc="2021-06-28T19:54:30.024Z"/>
  <w16cex:commentExtensible w16cex:durableId="79469A87" w16cex:dateUtc="2021-07-01T15:10:35.335Z"/>
  <w16cex:commentExtensible w16cex:durableId="4599C844" w16cex:dateUtc="2021-07-01T15:56:28.003Z"/>
  <w16cex:commentExtensible w16cex:durableId="2A9789A4" w16cex:dateUtc="2021-07-02T11:43:54.201Z"/>
  <w16cex:commentExtensible w16cex:durableId="37FB26AC" w16cex:dateUtc="2021-07-02T18:21:01.931Z"/>
</w16cex:commentsExtensible>
</file>

<file path=word/commentsIds.xml><?xml version="1.0" encoding="utf-8"?>
<w16cid:commentsIds xmlns:mc="http://schemas.openxmlformats.org/markup-compatibility/2006" xmlns:w16cid="http://schemas.microsoft.com/office/word/2016/wordml/cid" mc:Ignorable="w16cid">
  <w16cid:commentId w16cid:paraId="48DCD473" w16cid:durableId="5CC13BB0"/>
  <w16cid:commentId w16cid:paraId="62A66B16" w16cid:durableId="47ADEE90"/>
  <w16cid:commentId w16cid:paraId="1598F924" w16cid:durableId="4CCAB44A"/>
  <w16cid:commentId w16cid:paraId="36B71781" w16cid:durableId="0658F2C5"/>
  <w16cid:commentId w16cid:paraId="3B03855F" w16cid:durableId="3105B76B"/>
  <w16cid:commentId w16cid:paraId="574A7FF4" w16cid:durableId="4BE8F387"/>
  <w16cid:commentId w16cid:paraId="22787371" w16cid:durableId="7C912655"/>
  <w16cid:commentId w16cid:paraId="3027A880" w16cid:durableId="3F2C4DA7"/>
  <w16cid:commentId w16cid:paraId="47E35AB5" w16cid:durableId="3F8EE231"/>
  <w16cid:commentId w16cid:paraId="686F23C7" w16cid:durableId="470E2200"/>
  <w16cid:commentId w16cid:paraId="061345B2" w16cid:durableId="3D4E0C88"/>
  <w16cid:commentId w16cid:paraId="078E3493" w16cid:durableId="3AA587EA"/>
  <w16cid:commentId w16cid:paraId="74296E17" w16cid:durableId="63E121C0"/>
  <w16cid:commentId w16cid:paraId="3AFFE0F8" w16cid:durableId="1A711405"/>
  <w16cid:commentId w16cid:paraId="44E5C608" w16cid:durableId="4D9C5E0B"/>
  <w16cid:commentId w16cid:paraId="60B74D5A" w16cid:durableId="1A41C6D2"/>
  <w16cid:commentId w16cid:paraId="661227DF" w16cid:durableId="7FBCFC49"/>
  <w16cid:commentId w16cid:paraId="691213A1" w16cid:durableId="33402891"/>
  <w16cid:commentId w16cid:paraId="77598F48" w16cid:durableId="380F3A4F"/>
  <w16cid:commentId w16cid:paraId="1FFE145B" w16cid:durableId="15CB34FA"/>
  <w16cid:commentId w16cid:paraId="2B9DB368" w16cid:durableId="7DB4C574"/>
  <w16cid:commentId w16cid:paraId="27C94979" w16cid:durableId="6049ADA3"/>
  <w16cid:commentId w16cid:paraId="40B287E1" w16cid:durableId="2FD382C0"/>
  <w16cid:commentId w16cid:paraId="327EBD70" w16cid:durableId="3A9DC8F9"/>
  <w16cid:commentId w16cid:paraId="64FA00FA" w16cid:durableId="0301C811"/>
  <w16cid:commentId w16cid:paraId="6AAFC3AE" w16cid:durableId="3FF47B4A"/>
  <w16cid:commentId w16cid:paraId="7688AA29" w16cid:durableId="7BE99FC2"/>
  <w16cid:commentId w16cid:paraId="580C79EB" w16cid:durableId="1A62AEA0"/>
  <w16cid:commentId w16cid:paraId="372FD1B6" w16cid:durableId="3BD0246E"/>
  <w16cid:commentId w16cid:paraId="307948B5" w16cid:durableId="16D751E7"/>
  <w16cid:commentId w16cid:paraId="01465926" w16cid:durableId="57890CD8"/>
  <w16cid:commentId w16cid:paraId="111CA18B" w16cid:durableId="15E51305"/>
  <w16cid:commentId w16cid:paraId="0883FA56" w16cid:durableId="5E6D6A65"/>
  <w16cid:commentId w16cid:paraId="0852E5E1" w16cid:durableId="5B39D04B"/>
  <w16cid:commentId w16cid:paraId="5F0439EF" w16cid:durableId="0A5717CC"/>
  <w16cid:commentId w16cid:paraId="54584D8B" w16cid:durableId="0BCBAB1D"/>
  <w16cid:commentId w16cid:paraId="6C27233F" w16cid:durableId="3E315144"/>
  <w16cid:commentId w16cid:paraId="18DE0265" w16cid:durableId="2096D476"/>
  <w16cid:commentId w16cid:paraId="5C7084A8" w16cid:durableId="2928DF53"/>
  <w16cid:commentId w16cid:paraId="3F417BD7" w16cid:durableId="4BE7B2E2"/>
  <w16cid:commentId w16cid:paraId="41A340BA" w16cid:durableId="079DD27A"/>
  <w16cid:commentId w16cid:paraId="52950D08" w16cid:durableId="2D3B4288"/>
  <w16cid:commentId w16cid:paraId="7092923D" w16cid:durableId="027446FD"/>
  <w16cid:commentId w16cid:paraId="43FD9515" w16cid:durableId="7E3E32C6"/>
  <w16cid:commentId w16cid:paraId="5EFE6ADA" w16cid:durableId="3518B150"/>
  <w16cid:commentId w16cid:paraId="24EAC1B7" w16cid:durableId="46D166ED"/>
  <w16cid:commentId w16cid:paraId="15A4C71F" w16cid:durableId="22E54B62"/>
  <w16cid:commentId w16cid:paraId="0279E763" w16cid:durableId="4177CC20"/>
  <w16cid:commentId w16cid:paraId="207224DF" w16cid:durableId="791B7881"/>
  <w16cid:commentId w16cid:paraId="17299364" w16cid:durableId="40489CCC"/>
  <w16cid:commentId w16cid:paraId="04378080" w16cid:durableId="7CBA35DE"/>
  <w16cid:commentId w16cid:paraId="394B2617" w16cid:durableId="4F4D7EB6"/>
  <w16cid:commentId w16cid:paraId="7DAD66DD" w16cid:durableId="7D422ADB"/>
  <w16cid:commentId w16cid:paraId="776F79C8" w16cid:durableId="6BE1BFBB"/>
  <w16cid:commentId w16cid:paraId="4030F290" w16cid:durableId="6739C522"/>
  <w16cid:commentId w16cid:paraId="1AD4A882" w16cid:durableId="18C1F7C4"/>
  <w16cid:commentId w16cid:paraId="7B1C8EEF" w16cid:durableId="3D24A55D"/>
  <w16cid:commentId w16cid:paraId="25F2EC04" w16cid:durableId="432C662E"/>
  <w16cid:commentId w16cid:paraId="6E66B873" w16cid:durableId="4E0FC8B5"/>
  <w16cid:commentId w16cid:paraId="5C2F6518" w16cid:durableId="5E13B49E"/>
  <w16cid:commentId w16cid:paraId="0CEB0998" w16cid:durableId="4821E441"/>
  <w16cid:commentId w16cid:paraId="41FD9209" w16cid:durableId="219C29CB"/>
  <w16cid:commentId w16cid:paraId="006F431D" w16cid:durableId="46B48860"/>
  <w16cid:commentId w16cid:paraId="10F19A14" w16cid:durableId="4AF13FBF"/>
  <w16cid:commentId w16cid:paraId="652D498E" w16cid:durableId="47ECD26F"/>
  <w16cid:commentId w16cid:paraId="2EC2E907" w16cid:durableId="3B35DD75"/>
  <w16cid:commentId w16cid:paraId="3B677551" w16cid:durableId="5B91B4D6"/>
  <w16cid:commentId w16cid:paraId="2B575F9A" w16cid:durableId="15004E10"/>
  <w16cid:commentId w16cid:paraId="23F713FC" w16cid:durableId="44274E78"/>
  <w16cid:commentId w16cid:paraId="5702EA77" w16cid:durableId="0BA4EEF9"/>
  <w16cid:commentId w16cid:paraId="6F6228C8" w16cid:durableId="199B66E1"/>
  <w16cid:commentId w16cid:paraId="49FB0220" w16cid:durableId="15566C33"/>
  <w16cid:commentId w16cid:paraId="2069A3D0" w16cid:durableId="1F6C81DA"/>
  <w16cid:commentId w16cid:paraId="45F5656D" w16cid:durableId="505A9C8D"/>
  <w16cid:commentId w16cid:paraId="124B8E48" w16cid:durableId="4413DE47"/>
  <w16cid:commentId w16cid:paraId="0855908A" w16cid:durableId="519EBBD2"/>
  <w16cid:commentId w16cid:paraId="0E284DDA" w16cid:durableId="0E22D1D2"/>
  <w16cid:commentId w16cid:paraId="620CE242" w16cid:durableId="3683AE7E"/>
  <w16cid:commentId w16cid:paraId="10768333" w16cid:durableId="1853789E"/>
  <w16cid:commentId w16cid:paraId="7062FC8A" w16cid:durableId="4E6E9AC3"/>
  <w16cid:commentId w16cid:paraId="7315B308" w16cid:durableId="4AC45876"/>
  <w16cid:commentId w16cid:paraId="05B212D2" w16cid:durableId="1D24E352"/>
  <w16cid:commentId w16cid:paraId="590AA6B8" w16cid:durableId="106FC256"/>
  <w16cid:commentId w16cid:paraId="36D1D634" w16cid:durableId="2AE68725"/>
  <w16cid:commentId w16cid:paraId="6CF453B4" w16cid:durableId="154FAA56"/>
  <w16cid:commentId w16cid:paraId="58CBE4D0" w16cid:durableId="3ABADF09"/>
  <w16cid:commentId w16cid:paraId="71199FBE" w16cid:durableId="72AA6743"/>
  <w16cid:commentId w16cid:paraId="32419EEA" w16cid:durableId="3A0CE80F"/>
  <w16cid:commentId w16cid:paraId="0152B1C9" w16cid:durableId="0F3E74AF"/>
  <w16cid:commentId w16cid:paraId="79F5C614" w16cid:durableId="273E66F8"/>
  <w16cid:commentId w16cid:paraId="06765175" w16cid:durableId="7B04EB15"/>
  <w16cid:commentId w16cid:paraId="7DA92C14" w16cid:durableId="52870BC0"/>
  <w16cid:commentId w16cid:paraId="7772AAB5" w16cid:durableId="4B152AB4"/>
  <w16cid:commentId w16cid:paraId="78EBB61B" w16cid:durableId="03C5CEA1"/>
  <w16cid:commentId w16cid:paraId="1F80D425" w16cid:durableId="6601A8AE"/>
  <w16cid:commentId w16cid:paraId="64247E15" w16cid:durableId="6686BA27"/>
  <w16cid:commentId w16cid:paraId="5363C813" w16cid:durableId="3783073D"/>
  <w16cid:commentId w16cid:paraId="149BC1D3" w16cid:durableId="2FB98233"/>
  <w16cid:commentId w16cid:paraId="504E1E30" w16cid:durableId="6D2BDEE0"/>
  <w16cid:commentId w16cid:paraId="3E502B67" w16cid:durableId="0B9B8978"/>
  <w16cid:commentId w16cid:paraId="6CE45AE7" w16cid:durableId="300C16FF"/>
  <w16cid:commentId w16cid:paraId="043C5295" w16cid:durableId="1797D2FE"/>
  <w16cid:commentId w16cid:paraId="37C69F70" w16cid:durableId="61EB2189"/>
  <w16cid:commentId w16cid:paraId="46D584CE" w16cid:durableId="46884B0A"/>
  <w16cid:commentId w16cid:paraId="3C0411DA" w16cid:durableId="0ACA4736"/>
  <w16cid:commentId w16cid:paraId="42D2EFBD" w16cid:durableId="6081A8BD"/>
  <w16cid:commentId w16cid:paraId="031F5738" w16cid:durableId="650111D8"/>
  <w16cid:commentId w16cid:paraId="1ACBC493" w16cid:durableId="620C6E05"/>
  <w16cid:commentId w16cid:paraId="79361FBA" w16cid:durableId="5C3A5AAB"/>
  <w16cid:commentId w16cid:paraId="76443EDE" w16cid:durableId="09BD3A54"/>
  <w16cid:commentId w16cid:paraId="45A503C9" w16cid:durableId="1EACB2BB"/>
  <w16cid:commentId w16cid:paraId="6739C90A" w16cid:durableId="18E1C3B4"/>
  <w16cid:commentId w16cid:paraId="2189E55B" w16cid:durableId="456A1F21"/>
  <w16cid:commentId w16cid:paraId="69BF0420" w16cid:durableId="1B38C941"/>
  <w16cid:commentId w16cid:paraId="210B6C3C" w16cid:durableId="221F6BDF"/>
  <w16cid:commentId w16cid:paraId="2176EDD3" w16cid:durableId="7C6CE9C0"/>
  <w16cid:commentId w16cid:paraId="39F5A3AF" w16cid:durableId="3480E580"/>
  <w16cid:commentId w16cid:paraId="58FC0A50" w16cid:durableId="44482894"/>
  <w16cid:commentId w16cid:paraId="3AEAFB63" w16cid:durableId="15228220"/>
  <w16cid:commentId w16cid:paraId="115720FF" w16cid:durableId="52D919EB"/>
  <w16cid:commentId w16cid:paraId="71ADBE8C" w16cid:durableId="15CA5313"/>
  <w16cid:commentId w16cid:paraId="0088B2B2" w16cid:durableId="519F6BCB"/>
  <w16cid:commentId w16cid:paraId="7707E00E" w16cid:durableId="4C321C07"/>
  <w16cid:commentId w16cid:paraId="1177EEC6" w16cid:durableId="40CBF528"/>
  <w16cid:commentId w16cid:paraId="51FCF629" w16cid:durableId="05D36D9D"/>
  <w16cid:commentId w16cid:paraId="3C6ECE35" w16cid:durableId="6CB38451"/>
  <w16cid:commentId w16cid:paraId="55107859" w16cid:durableId="435FF18C"/>
  <w16cid:commentId w16cid:paraId="38128697" w16cid:durableId="48F28BCA"/>
  <w16cid:commentId w16cid:paraId="63A59AE6" w16cid:durableId="012321F7"/>
  <w16cid:commentId w16cid:paraId="513FE7C2" w16cid:durableId="5FBA107B"/>
  <w16cid:commentId w16cid:paraId="0E13942F" w16cid:durableId="546FD9CF"/>
  <w16cid:commentId w16cid:paraId="7857B85C" w16cid:durableId="242CE48C"/>
  <w16cid:commentId w16cid:paraId="52FDC17E" w16cid:durableId="791A00DC"/>
  <w16cid:commentId w16cid:paraId="2D7B594D" w16cid:durableId="3840150C"/>
  <w16cid:commentId w16cid:paraId="7E22E060" w16cid:durableId="6B9BD9A2"/>
  <w16cid:commentId w16cid:paraId="1D5B05D7" w16cid:durableId="3F6D6C58"/>
  <w16cid:commentId w16cid:paraId="67A9656B" w16cid:durableId="317BCEA1"/>
  <w16cid:commentId w16cid:paraId="1E8CB171" w16cid:durableId="11AD255A"/>
  <w16cid:commentId w16cid:paraId="7A38EB8E" w16cid:durableId="04AB3C79"/>
  <w16cid:commentId w16cid:paraId="26593CAE" w16cid:durableId="6964D8C1"/>
  <w16cid:commentId w16cid:paraId="426F79F2" w16cid:durableId="504E5A7D"/>
  <w16cid:commentId w16cid:paraId="22645A1E" w16cid:durableId="59525A93"/>
  <w16cid:commentId w16cid:paraId="0E02FB93" w16cid:durableId="4C8C6679"/>
  <w16cid:commentId w16cid:paraId="2840FF0D" w16cid:durableId="3C1CB8A7"/>
  <w16cid:commentId w16cid:paraId="603DC3C1" w16cid:durableId="2102B878"/>
  <w16cid:commentId w16cid:paraId="3A2A33C1" w16cid:durableId="61FA868F"/>
  <w16cid:commentId w16cid:paraId="65DFAA38" w16cid:durableId="32035A6E"/>
  <w16cid:commentId w16cid:paraId="253FD3CE" w16cid:durableId="78BD5DE3"/>
  <w16cid:commentId w16cid:paraId="6C986D91" w16cid:durableId="04A39F6A"/>
  <w16cid:commentId w16cid:paraId="13F9691D" w16cid:durableId="21F65CCF"/>
  <w16cid:commentId w16cid:paraId="2A40E0E2" w16cid:durableId="16EF2D3C"/>
  <w16cid:commentId w16cid:paraId="2655B7BD" w16cid:durableId="69A1A0FD"/>
  <w16cid:commentId w16cid:paraId="630620AD" w16cid:durableId="0EF0E4CC"/>
  <w16cid:commentId w16cid:paraId="5052D2E5" w16cid:durableId="2D0E3E50"/>
  <w16cid:commentId w16cid:paraId="162B6448" w16cid:durableId="6593A2B1"/>
  <w16cid:commentId w16cid:paraId="764AFB6B" w16cid:durableId="6B8675E1"/>
  <w16cid:commentId w16cid:paraId="341DE9A9" w16cid:durableId="794E79E5"/>
  <w16cid:commentId w16cid:paraId="61BD1B7C" w16cid:durableId="5EC69288"/>
  <w16cid:commentId w16cid:paraId="034E9E5F" w16cid:durableId="39E6A258"/>
  <w16cid:commentId w16cid:paraId="59FDB9B9" w16cid:durableId="12986DA3"/>
  <w16cid:commentId w16cid:paraId="771B18B2" w16cid:durableId="5BF0E1FC"/>
  <w16cid:commentId w16cid:paraId="0119C441" w16cid:durableId="7C0FF19D"/>
  <w16cid:commentId w16cid:paraId="5A727F86" w16cid:durableId="5C3F613F"/>
  <w16cid:commentId w16cid:paraId="78A7916A" w16cid:durableId="6C0EBF6F"/>
  <w16cid:commentId w16cid:paraId="19694B4D" w16cid:durableId="2C3E73DF"/>
  <w16cid:commentId w16cid:paraId="180D4F7A" w16cid:durableId="5E738794"/>
  <w16cid:commentId w16cid:paraId="4E8AE52E" w16cid:durableId="5C5D88C4"/>
  <w16cid:commentId w16cid:paraId="568EBFB1" w16cid:durableId="728CE67D"/>
  <w16cid:commentId w16cid:paraId="60937FA6" w16cid:durableId="12C335FD"/>
  <w16cid:commentId w16cid:paraId="506B8979" w16cid:durableId="1D1D879F"/>
  <w16cid:commentId w16cid:paraId="2109661E" w16cid:durableId="5E220EF9"/>
  <w16cid:commentId w16cid:paraId="35EC0145" w16cid:durableId="1F928F0B"/>
  <w16cid:commentId w16cid:paraId="65975457" w16cid:durableId="723D7088"/>
  <w16cid:commentId w16cid:paraId="70652B7D" w16cid:durableId="765BA7D5"/>
  <w16cid:commentId w16cid:paraId="45F5A1AC" w16cid:durableId="31B9D321"/>
  <w16cid:commentId w16cid:paraId="640A8A19" w16cid:durableId="4253CA8E"/>
  <w16cid:commentId w16cid:paraId="0360C93D" w16cid:durableId="185C6599"/>
  <w16cid:commentId w16cid:paraId="003053E4" w16cid:durableId="4E21F044"/>
  <w16cid:commentId w16cid:paraId="5AFC2F7C" w16cid:durableId="602A7730"/>
  <w16cid:commentId w16cid:paraId="67AC536A" w16cid:durableId="5E1AF55C"/>
  <w16cid:commentId w16cid:paraId="66C1D235" w16cid:durableId="31C6851A"/>
  <w16cid:commentId w16cid:paraId="711EBCF4" w16cid:durableId="2ED45BF2"/>
  <w16cid:commentId w16cid:paraId="52033128" w16cid:durableId="4DE040B4"/>
  <w16cid:commentId w16cid:paraId="567B4041" w16cid:durableId="7FF1C0D8"/>
  <w16cid:commentId w16cid:paraId="145EF127" w16cid:durableId="3B7A26C7"/>
  <w16cid:commentId w16cid:paraId="14D0CBC7" w16cid:durableId="4F7567D0"/>
  <w16cid:commentId w16cid:paraId="529849C1" w16cid:durableId="129FA7CA"/>
  <w16cid:commentId w16cid:paraId="4B4F971A" w16cid:durableId="0CB9B2BE"/>
  <w16cid:commentId w16cid:paraId="6ADC67CE" w16cid:durableId="662232AD"/>
  <w16cid:commentId w16cid:paraId="24580D0D" w16cid:durableId="38565A6C"/>
  <w16cid:commentId w16cid:paraId="6780E770" w16cid:durableId="31C29808"/>
  <w16cid:commentId w16cid:paraId="3F1B4410" w16cid:durableId="271B1BEE"/>
  <w16cid:commentId w16cid:paraId="0DFDF27B" w16cid:durableId="6D76516E"/>
  <w16cid:commentId w16cid:paraId="74F70FCB" w16cid:durableId="4D5EA7DF"/>
  <w16cid:commentId w16cid:paraId="19FF8F25" w16cid:durableId="6385949F"/>
  <w16cid:commentId w16cid:paraId="5BD97FDE" w16cid:durableId="6764F634"/>
  <w16cid:commentId w16cid:paraId="11D29867" w16cid:durableId="7742BFB3"/>
  <w16cid:commentId w16cid:paraId="0E318C72" w16cid:durableId="60565FBA"/>
  <w16cid:commentId w16cid:paraId="501CCB9C" w16cid:durableId="273B4C8D"/>
  <w16cid:commentId w16cid:paraId="1A215301" w16cid:durableId="1C135B76"/>
  <w16cid:commentId w16cid:paraId="4EFF92B0" w16cid:durableId="761DEEEB"/>
  <w16cid:commentId w16cid:paraId="174DDCBD" w16cid:durableId="291F9167"/>
  <w16cid:commentId w16cid:paraId="7569622D" w16cid:durableId="43087217"/>
  <w16cid:commentId w16cid:paraId="44326649" w16cid:durableId="0125D779"/>
  <w16cid:commentId w16cid:paraId="0474B968" w16cid:durableId="13379CCF"/>
  <w16cid:commentId w16cid:paraId="379F0296" w16cid:durableId="54AB1A0F"/>
  <w16cid:commentId w16cid:paraId="1B44FFF2" w16cid:durableId="444B3DD8"/>
  <w16cid:commentId w16cid:paraId="648957C6" w16cid:durableId="3132F6DA"/>
  <w16cid:commentId w16cid:paraId="567EE88C" w16cid:durableId="1C72B7CF"/>
  <w16cid:commentId w16cid:paraId="565F131B" w16cid:durableId="3660CE6A"/>
  <w16cid:commentId w16cid:paraId="37A591B2" w16cid:durableId="313F9B2E"/>
  <w16cid:commentId w16cid:paraId="295184E4" w16cid:durableId="646C4F3D"/>
  <w16cid:commentId w16cid:paraId="5C46A62C" w16cid:durableId="509460AE"/>
  <w16cid:commentId w16cid:paraId="713003AA" w16cid:durableId="3913995E"/>
  <w16cid:commentId w16cid:paraId="5FA95EC8" w16cid:durableId="436277A0"/>
  <w16cid:commentId w16cid:paraId="7FA5F7F8" w16cid:durableId="05E9E022"/>
  <w16cid:commentId w16cid:paraId="2A3578E7" w16cid:durableId="1C0E36F7"/>
  <w16cid:commentId w16cid:paraId="04B9699B" w16cid:durableId="19D9959B"/>
  <w16cid:commentId w16cid:paraId="51E0FA29" w16cid:durableId="6E0F1603"/>
  <w16cid:commentId w16cid:paraId="21CB59D8" w16cid:durableId="3B526375"/>
  <w16cid:commentId w16cid:paraId="22A671F5" w16cid:durableId="384D8656"/>
  <w16cid:commentId w16cid:paraId="5ACCB1DF" w16cid:durableId="236B7EB6"/>
  <w16cid:commentId w16cid:paraId="5888BA68" w16cid:durableId="3AF9F3A2"/>
  <w16cid:commentId w16cid:paraId="199A1648" w16cid:durableId="6F1C2DAF"/>
  <w16cid:commentId w16cid:paraId="269FB1DD" w16cid:durableId="15E9A304"/>
  <w16cid:commentId w16cid:paraId="32E9E6B3" w16cid:durableId="2A9AD738"/>
  <w16cid:commentId w16cid:paraId="7E3BEB8A" w16cid:durableId="79469A87"/>
  <w16cid:commentId w16cid:paraId="22C5AA81" w16cid:durableId="4599C844"/>
  <w16cid:commentId w16cid:paraId="2FDD2AAD" w16cid:durableId="64BBB9D0"/>
  <w16cid:commentId w16cid:paraId="61821FD7" w16cid:durableId="23827033"/>
  <w16cid:commentId w16cid:paraId="2014DCC6" w16cid:durableId="7F978D07"/>
  <w16cid:commentId w16cid:paraId="0EF6BB8A" w16cid:durableId="43426478"/>
  <w16cid:commentId w16cid:paraId="5AFF72C6" w16cid:durableId="24570A3A"/>
  <w16cid:commentId w16cid:paraId="34E82D2B" w16cid:durableId="64027BAE"/>
  <w16cid:commentId w16cid:paraId="4FD7C201" w16cid:durableId="408905EE"/>
  <w16cid:commentId w16cid:paraId="596C9CE3" w16cid:durableId="524F20FA"/>
  <w16cid:commentId w16cid:paraId="40B90B74" w16cid:durableId="4C78EAB3"/>
  <w16cid:commentId w16cid:paraId="4C8A867C" w16cid:durableId="7C768B41"/>
  <w16cid:commentId w16cid:paraId="7DB46006" w16cid:durableId="2A9789A4"/>
  <w16cid:commentId w16cid:paraId="550374E1" w16cid:durableId="5D919C70"/>
  <w16cid:commentId w16cid:paraId="00A7B941" w16cid:durableId="1F4EF38A"/>
  <w16cid:commentId w16cid:paraId="6A988846" w16cid:durableId="5E1E8051"/>
  <w16cid:commentId w16cid:paraId="60CE097B" w16cid:durableId="07636465"/>
  <w16cid:commentId w16cid:paraId="4076371E" w16cid:durableId="4F0A3291"/>
  <w16cid:commentId w16cid:paraId="3A57E1B9" w16cid:durableId="07F722A4"/>
  <w16cid:commentId w16cid:paraId="6302C182" w16cid:durableId="37FB26A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58D" w:rsidRDefault="00942987">
      <w:r>
        <w:separator/>
      </w:r>
    </w:p>
  </w:endnote>
  <w:endnote w:type="continuationSeparator" w:id="0">
    <w:p w:rsidR="00BA058D" w:rsidRDefault="00942987">
      <w:r>
        <w:continuationSeparator/>
      </w:r>
    </w:p>
  </w:endnote>
  <w:endnote w:type="continuationNotice" w:id="1">
    <w:p w:rsidR="00BA058D" w:rsidRDefault="00BA0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FooterCoverPage"/>
      <w:rPr>
        <w:rFonts w:ascii="Arial" w:hAnsi="Arial" w:cs="Arial"/>
        <w:b/>
        <w:sz w:val="48"/>
      </w:rPr>
    </w:pPr>
    <w:r w:rsidRPr="00942987">
      <w:rPr>
        <w:rFonts w:ascii="Arial" w:hAnsi="Arial" w:cs="Arial"/>
        <w:b/>
        <w:sz w:val="48"/>
      </w:rPr>
      <w:t>EN</w:t>
    </w:r>
    <w:r w:rsidRPr="00942987">
      <w:rPr>
        <w:rFonts w:ascii="Arial" w:hAnsi="Arial" w:cs="Arial"/>
        <w:b/>
        <w:sz w:val="48"/>
      </w:rPr>
      <w:tab/>
    </w:r>
    <w:r w:rsidRPr="00942987">
      <w:rPr>
        <w:rFonts w:ascii="Arial" w:hAnsi="Arial" w:cs="Arial"/>
        <w:b/>
        <w:sz w:val="48"/>
      </w:rPr>
      <w:tab/>
    </w:r>
    <w:r w:rsidRPr="00942987">
      <w:tab/>
    </w:r>
    <w:r w:rsidRPr="00942987">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58D" w:rsidRDefault="00BA058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322267"/>
      <w:docPartObj>
        <w:docPartGallery w:val="Page Numbers (Bottom of Page)"/>
        <w:docPartUnique/>
      </w:docPartObj>
    </w:sdtPr>
    <w:sdtEndPr>
      <w:rPr>
        <w:noProof/>
      </w:rPr>
    </w:sdtEndPr>
    <w:sdtContent>
      <w:p w:rsidR="00BA058D" w:rsidRDefault="0094298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A058D" w:rsidRDefault="00BA058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58D" w:rsidRDefault="00BA0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58D" w:rsidRDefault="00942987">
      <w:r>
        <w:separator/>
      </w:r>
    </w:p>
  </w:footnote>
  <w:footnote w:type="continuationSeparator" w:id="0">
    <w:p w:rsidR="00BA058D" w:rsidRDefault="00942987">
      <w:r>
        <w:continuationSeparator/>
      </w:r>
    </w:p>
  </w:footnote>
  <w:footnote w:type="continuationNotice" w:id="1">
    <w:p w:rsidR="00BA058D" w:rsidRDefault="00BA058D"/>
  </w:footnote>
  <w:footnote w:id="2">
    <w:p w:rsidR="00BA058D" w:rsidRDefault="00942987">
      <w:pPr>
        <w:pStyle w:val="FootnoteText"/>
        <w:rPr>
          <w:rFonts w:eastAsia="Calibri"/>
        </w:rPr>
      </w:pPr>
      <w:r>
        <w:rPr>
          <w:rStyle w:val="FootnoteReference"/>
          <w:rFonts w:ascii="Times New Roman" w:eastAsia="Calibri" w:hAnsi="Times New Roman" w:cs="Times New Roman"/>
        </w:rPr>
        <w:footnoteRef/>
      </w:r>
      <w:r>
        <w:rPr>
          <w:rFonts w:ascii="Times New Roman" w:eastAsia="Calibri" w:hAnsi="Times New Roman" w:cs="Times New Roman"/>
        </w:rPr>
        <w:t xml:space="preserve"> Following the way forward described in the Communication on EU Taxonomy, Corporate Sustainability Reporting, Sustainability Preferences and Fiduciary Duties: Directing finance towards the European Green Deal, COM(2021) 188 final, 21.4.2021.</w:t>
      </w:r>
    </w:p>
  </w:footnote>
  <w:footnote w:id="3">
    <w:p w:rsidR="00BA058D" w:rsidRDefault="00942987">
      <w:pPr>
        <w:pStyle w:val="FootnoteText"/>
        <w:rPr>
          <w:rFonts w:eastAsia="Times New Roman"/>
          <w:lang w:val="en-GB"/>
        </w:rPr>
      </w:pPr>
      <w:r>
        <w:rPr>
          <w:rStyle w:val="FootnoteReference"/>
        </w:rPr>
        <w:footnoteRef/>
      </w:r>
      <w:r>
        <w:t xml:space="preserve"> </w:t>
      </w:r>
      <w:r>
        <w:rPr>
          <w:rFonts w:ascii="Times New Roman" w:eastAsia="Times New Roman" w:hAnsi="Times New Roman" w:cs="Times New Roman"/>
          <w:sz w:val="18"/>
          <w:szCs w:val="18"/>
          <w:lang w:val="en-IE"/>
        </w:rPr>
        <w:t>The Commissi</w:t>
      </w:r>
      <w:r>
        <w:rPr>
          <w:rFonts w:ascii="Times New Roman" w:eastAsia="Times New Roman" w:hAnsi="Times New Roman" w:cs="Times New Roman"/>
          <w:sz w:val="18"/>
          <w:szCs w:val="18"/>
          <w:lang w:val="en-IE"/>
        </w:rPr>
        <w:t xml:space="preserve">on will provide this support through its Technical Support Instrument under </w:t>
      </w:r>
      <w:r>
        <w:rPr>
          <w:rFonts w:ascii="Times New Roman" w:eastAsia="Times New Roman" w:hAnsi="Times New Roman" w:cs="Times New Roman"/>
          <w:sz w:val="18"/>
          <w:szCs w:val="18"/>
          <w:lang w:val="en-GB"/>
        </w:rPr>
        <w:t>Regulation (EU) 2021/240 of the European Parliament and of the Council of 10 February 2021 establishing a Technical Support Instrument, (OJ L 57, 18.2.2021).</w:t>
      </w:r>
    </w:p>
  </w:footnote>
  <w:footnote w:id="4">
    <w:p w:rsidR="00BA058D" w:rsidRDefault="00942987">
      <w:pPr>
        <w:pStyle w:val="FootnoteText"/>
        <w:rPr>
          <w:rFonts w:eastAsia="Times New Roman"/>
          <w:color w:val="881798"/>
          <w:u w:val="single"/>
          <w:lang w:val="en-GB"/>
        </w:rPr>
      </w:pPr>
      <w:r>
        <w:rPr>
          <w:rStyle w:val="FootnoteReference"/>
        </w:rPr>
        <w:footnoteRef/>
      </w:r>
      <w:r>
        <w:t xml:space="preserve"> </w:t>
      </w:r>
      <w:r>
        <w:rPr>
          <w:rFonts w:ascii="Times New Roman" w:eastAsia="Times New Roman" w:hAnsi="Times New Roman" w:cs="Times New Roman"/>
          <w:sz w:val="18"/>
          <w:szCs w:val="18"/>
          <w:lang w:val="en-IE"/>
        </w:rPr>
        <w:t xml:space="preserve">The Commission will </w:t>
      </w:r>
      <w:r>
        <w:rPr>
          <w:rFonts w:ascii="Times New Roman" w:eastAsia="Times New Roman" w:hAnsi="Times New Roman" w:cs="Times New Roman"/>
          <w:sz w:val="18"/>
          <w:szCs w:val="18"/>
          <w:lang w:val="en-IE"/>
        </w:rPr>
        <w:t xml:space="preserve">provide this support through its Technical Support Instrument under </w:t>
      </w:r>
      <w:r>
        <w:rPr>
          <w:rFonts w:ascii="Times New Roman" w:eastAsia="Times New Roman" w:hAnsi="Times New Roman" w:cs="Times New Roman"/>
          <w:sz w:val="18"/>
          <w:szCs w:val="18"/>
          <w:lang w:val="en-GB"/>
        </w:rPr>
        <w:t>Regulation (EU) 2021/240 of the European Parliament and of the Council of 10 February 2021 establishing a Technical Support Instrument, (OJ L 57, 18.2.2021).</w:t>
      </w:r>
    </w:p>
  </w:footnote>
  <w:footnote w:id="5">
    <w:p w:rsidR="00BA058D" w:rsidRDefault="00942987">
      <w:pPr>
        <w:pStyle w:val="FootnoteText"/>
        <w:rPr>
          <w:rFonts w:ascii="Times New Roman" w:hAnsi="Times New Roman" w:cs="Times New Roman"/>
          <w:sz w:val="18"/>
        </w:rPr>
      </w:pPr>
      <w:r>
        <w:rPr>
          <w:rStyle w:val="FootnoteReference"/>
          <w:rFonts w:ascii="Times New Roman" w:hAnsi="Times New Roman" w:cs="Times New Roman"/>
          <w:sz w:val="18"/>
        </w:rPr>
        <w:footnoteRef/>
      </w:r>
      <w:r>
        <w:rPr>
          <w:rFonts w:ascii="Times New Roman" w:hAnsi="Times New Roman" w:cs="Times New Roman"/>
          <w:sz w:val="18"/>
        </w:rPr>
        <w:t xml:space="preserve"> See </w:t>
      </w:r>
      <w:hyperlink r:id="rId1" w:history="1">
        <w:r>
          <w:rPr>
            <w:rStyle w:val="Hyperlink"/>
            <w:rFonts w:ascii="Times New Roman" w:hAnsi="Times New Roman" w:cs="Times New Roman"/>
            <w:sz w:val="18"/>
          </w:rPr>
          <w:t>here</w:t>
        </w:r>
      </w:hyperlink>
      <w:r>
        <w:rPr>
          <w:rFonts w:ascii="Times New Roman" w:hAnsi="Times New Roman" w:cs="Times New Roman"/>
          <w:sz w:val="18"/>
        </w:rPr>
        <w:t>.</w:t>
      </w:r>
    </w:p>
  </w:footnote>
  <w:footnote w:id="6">
    <w:p w:rsidR="00BA058D" w:rsidRDefault="00942987">
      <w:pPr>
        <w:pStyle w:val="FootnoteText"/>
        <w:rPr>
          <w:rFonts w:ascii="Times New Roman" w:hAnsi="Times New Roman" w:cs="Times New Roman"/>
          <w:lang w:val="en-IE"/>
        </w:rPr>
      </w:pPr>
      <w:r>
        <w:rPr>
          <w:rStyle w:val="FootnoteReference"/>
          <w:rFonts w:ascii="Times New Roman" w:hAnsi="Times New Roman" w:cs="Times New Roman"/>
          <w:sz w:val="18"/>
        </w:rPr>
        <w:footnoteRef/>
      </w:r>
      <w:r>
        <w:rPr>
          <w:rFonts w:ascii="Times New Roman" w:hAnsi="Times New Roman" w:cs="Times New Roman"/>
          <w:sz w:val="18"/>
        </w:rPr>
        <w:t xml:space="preserve"> Export credits are government-backed financial instruments provided by national export credit agencies (ECAs). See </w:t>
      </w:r>
      <w:hyperlink r:id="rId2" w:history="1">
        <w:r>
          <w:rPr>
            <w:rStyle w:val="Hyperlink"/>
            <w:rFonts w:ascii="Times New Roman" w:hAnsi="Times New Roman" w:cs="Times New Roman"/>
            <w:sz w:val="18"/>
          </w:rPr>
          <w:t>Trade Policy Review</w:t>
        </w:r>
      </w:hyperlink>
      <w:r>
        <w:rPr>
          <w:rFonts w:ascii="Times New Roman" w:hAnsi="Times New Roman" w:cs="Times New Roman"/>
          <w:sz w:val="18"/>
        </w:rPr>
        <w:t xml:space="preserve">. </w:t>
      </w:r>
    </w:p>
  </w:footnote>
  <w:footnote w:id="7">
    <w:p w:rsidR="00BA058D" w:rsidRDefault="00942987">
      <w:pPr>
        <w:pStyle w:val="FootnoteText"/>
        <w:rPr>
          <w:rFonts w:ascii="Times New Roman" w:hAnsi="Times New Roman" w:cs="Times New Roman"/>
          <w:lang w:val="en-IE"/>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Cs/>
          <w:shd w:val="clear" w:color="auto" w:fill="FFFFFF"/>
        </w:rPr>
        <w:t>European Securities and Markets Authority, public statement on ‘Information on shareholder cooperation and acting in concert under the Takeover Bids Directive’, ESMA/2014/677-REV, 8.1.2019, availa</w:t>
      </w:r>
      <w:r>
        <w:rPr>
          <w:rFonts w:ascii="Times New Roman" w:hAnsi="Times New Roman" w:cs="Times New Roman"/>
          <w:iCs/>
          <w:shd w:val="clear" w:color="auto" w:fill="FFFFFF"/>
        </w:rPr>
        <w:t>ble </w:t>
      </w:r>
      <w:hyperlink r:id="rId3" w:tgtFrame="_blank" w:history="1">
        <w:r>
          <w:rPr>
            <w:rStyle w:val="Hyperlink"/>
            <w:rFonts w:ascii="Times New Roman" w:hAnsi="Times New Roman" w:cs="Times New Roman"/>
            <w:iCs/>
            <w:shd w:val="clear" w:color="auto" w:fill="FFFFFF"/>
          </w:rPr>
          <w:t>here</w:t>
        </w:r>
      </w:hyperlink>
      <w:r>
        <w:rPr>
          <w:rFonts w:ascii="Times New Roman" w:hAnsi="Times New Roman" w:cs="Times New Roman"/>
          <w:iCs/>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987" w:rsidRPr="00942987" w:rsidRDefault="00942987" w:rsidP="00942987">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58D" w:rsidRDefault="00BA058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58D" w:rsidRDefault="00BA058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58D" w:rsidRDefault="00BA05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13D4"/>
    <w:multiLevelType w:val="hybridMultilevel"/>
    <w:tmpl w:val="9C9A3D3A"/>
    <w:lvl w:ilvl="0" w:tplc="DBA29448">
      <w:numFmt w:val="bullet"/>
      <w:lvlText w:val="-"/>
      <w:lvlJc w:val="left"/>
      <w:pPr>
        <w:ind w:left="720" w:hanging="360"/>
      </w:pPr>
      <w:rPr>
        <w:rFonts w:ascii="Calibri" w:eastAsia="Times New Roman" w:hAnsi="Calibri" w:cs="Calibri" w:hint="default"/>
      </w:rPr>
    </w:lvl>
    <w:lvl w:ilvl="1" w:tplc="DBA29448">
      <w:numFmt w:val="bullet"/>
      <w:lvlText w:val="-"/>
      <w:lvlJc w:val="left"/>
      <w:pPr>
        <w:ind w:left="1440" w:hanging="360"/>
      </w:pPr>
      <w:rPr>
        <w:rFonts w:ascii="Calibri" w:eastAsia="Times New Roman"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3853222"/>
    <w:multiLevelType w:val="hybridMultilevel"/>
    <w:tmpl w:val="FD181B28"/>
    <w:lvl w:ilvl="0" w:tplc="4B34776E">
      <w:start w:val="1"/>
      <w:numFmt w:val="bullet"/>
      <w:lvlText w:val="·"/>
      <w:lvlJc w:val="left"/>
      <w:pPr>
        <w:ind w:left="720" w:hanging="360"/>
      </w:pPr>
      <w:rPr>
        <w:rFonts w:ascii="Symbol" w:hAnsi="Symbol" w:hint="default"/>
      </w:rPr>
    </w:lvl>
    <w:lvl w:ilvl="1" w:tplc="2856C70E">
      <w:start w:val="1"/>
      <w:numFmt w:val="bullet"/>
      <w:lvlText w:val="o"/>
      <w:lvlJc w:val="left"/>
      <w:pPr>
        <w:ind w:left="1440" w:hanging="360"/>
      </w:pPr>
      <w:rPr>
        <w:rFonts w:ascii="Courier New" w:hAnsi="Courier New" w:hint="default"/>
      </w:rPr>
    </w:lvl>
    <w:lvl w:ilvl="2" w:tplc="17D83EB8">
      <w:start w:val="1"/>
      <w:numFmt w:val="bullet"/>
      <w:lvlText w:val=""/>
      <w:lvlJc w:val="left"/>
      <w:pPr>
        <w:ind w:left="2160" w:hanging="360"/>
      </w:pPr>
      <w:rPr>
        <w:rFonts w:ascii="Wingdings" w:hAnsi="Wingdings" w:hint="default"/>
      </w:rPr>
    </w:lvl>
    <w:lvl w:ilvl="3" w:tplc="82A0A50A">
      <w:start w:val="1"/>
      <w:numFmt w:val="bullet"/>
      <w:lvlText w:val=""/>
      <w:lvlJc w:val="left"/>
      <w:pPr>
        <w:ind w:left="2880" w:hanging="360"/>
      </w:pPr>
      <w:rPr>
        <w:rFonts w:ascii="Symbol" w:hAnsi="Symbol" w:hint="default"/>
      </w:rPr>
    </w:lvl>
    <w:lvl w:ilvl="4" w:tplc="0CD46280">
      <w:start w:val="1"/>
      <w:numFmt w:val="bullet"/>
      <w:lvlText w:val="o"/>
      <w:lvlJc w:val="left"/>
      <w:pPr>
        <w:ind w:left="3600" w:hanging="360"/>
      </w:pPr>
      <w:rPr>
        <w:rFonts w:ascii="Courier New" w:hAnsi="Courier New" w:hint="default"/>
      </w:rPr>
    </w:lvl>
    <w:lvl w:ilvl="5" w:tplc="62548A9C">
      <w:start w:val="1"/>
      <w:numFmt w:val="bullet"/>
      <w:lvlText w:val=""/>
      <w:lvlJc w:val="left"/>
      <w:pPr>
        <w:ind w:left="4320" w:hanging="360"/>
      </w:pPr>
      <w:rPr>
        <w:rFonts w:ascii="Wingdings" w:hAnsi="Wingdings" w:hint="default"/>
      </w:rPr>
    </w:lvl>
    <w:lvl w:ilvl="6" w:tplc="29C4C9BE">
      <w:start w:val="1"/>
      <w:numFmt w:val="bullet"/>
      <w:lvlText w:val=""/>
      <w:lvlJc w:val="left"/>
      <w:pPr>
        <w:ind w:left="5040" w:hanging="360"/>
      </w:pPr>
      <w:rPr>
        <w:rFonts w:ascii="Symbol" w:hAnsi="Symbol" w:hint="default"/>
      </w:rPr>
    </w:lvl>
    <w:lvl w:ilvl="7" w:tplc="27A07F38">
      <w:start w:val="1"/>
      <w:numFmt w:val="bullet"/>
      <w:lvlText w:val="o"/>
      <w:lvlJc w:val="left"/>
      <w:pPr>
        <w:ind w:left="5760" w:hanging="360"/>
      </w:pPr>
      <w:rPr>
        <w:rFonts w:ascii="Courier New" w:hAnsi="Courier New" w:hint="default"/>
      </w:rPr>
    </w:lvl>
    <w:lvl w:ilvl="8" w:tplc="189C9D86">
      <w:start w:val="1"/>
      <w:numFmt w:val="bullet"/>
      <w:lvlText w:val=""/>
      <w:lvlJc w:val="left"/>
      <w:pPr>
        <w:ind w:left="6480" w:hanging="360"/>
      </w:pPr>
      <w:rPr>
        <w:rFonts w:ascii="Wingdings" w:hAnsi="Wingdings" w:hint="default"/>
      </w:rPr>
    </w:lvl>
  </w:abstractNum>
  <w:abstractNum w:abstractNumId="2" w15:restartNumberingAfterBreak="0">
    <w:nsid w:val="04584FF7"/>
    <w:multiLevelType w:val="hybridMultilevel"/>
    <w:tmpl w:val="E0F0D930"/>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4DE634C"/>
    <w:multiLevelType w:val="hybridMultilevel"/>
    <w:tmpl w:val="6C849E56"/>
    <w:lvl w:ilvl="0" w:tplc="14B264DE">
      <w:start w:val="2"/>
      <w:numFmt w:val="bullet"/>
      <w:lvlText w:val=""/>
      <w:lvlJc w:val="left"/>
      <w:pPr>
        <w:ind w:left="360" w:hanging="360"/>
      </w:pPr>
      <w:rPr>
        <w:rFonts w:ascii="Symbol" w:eastAsia="Times New Roman" w:hAnsi="Symbol" w:cs="Calibri"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0532795C"/>
    <w:multiLevelType w:val="hybridMultilevel"/>
    <w:tmpl w:val="08422930"/>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7DD4F5E"/>
    <w:multiLevelType w:val="hybridMultilevel"/>
    <w:tmpl w:val="48E61B62"/>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15:restartNumberingAfterBreak="0">
    <w:nsid w:val="093D2378"/>
    <w:multiLevelType w:val="hybridMultilevel"/>
    <w:tmpl w:val="C4CC4A0A"/>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15:restartNumberingAfterBreak="0">
    <w:nsid w:val="099004C0"/>
    <w:multiLevelType w:val="hybridMultilevel"/>
    <w:tmpl w:val="DDDA9E4A"/>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15:restartNumberingAfterBreak="0">
    <w:nsid w:val="0AF51401"/>
    <w:multiLevelType w:val="hybridMultilevel"/>
    <w:tmpl w:val="DEC6D3B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0BE74E1D"/>
    <w:multiLevelType w:val="hybridMultilevel"/>
    <w:tmpl w:val="068EF676"/>
    <w:lvl w:ilvl="0" w:tplc="18090003">
      <w:start w:val="1"/>
      <w:numFmt w:val="bullet"/>
      <w:lvlText w:val="o"/>
      <w:lvlJc w:val="left"/>
      <w:pPr>
        <w:ind w:left="1080" w:hanging="720"/>
      </w:pPr>
      <w:rPr>
        <w:rFonts w:ascii="Courier New" w:hAnsi="Courier New" w:cs="Courier New"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0D617088"/>
    <w:multiLevelType w:val="hybridMultilevel"/>
    <w:tmpl w:val="A4586678"/>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0F014F98"/>
    <w:multiLevelType w:val="hybridMultilevel"/>
    <w:tmpl w:val="723A8304"/>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15:restartNumberingAfterBreak="0">
    <w:nsid w:val="0F090165"/>
    <w:multiLevelType w:val="hybridMultilevel"/>
    <w:tmpl w:val="799856F6"/>
    <w:lvl w:ilvl="0" w:tplc="9DEE1CA6">
      <w:start w:val="1"/>
      <w:numFmt w:val="bullet"/>
      <w:lvlText w:val="·"/>
      <w:lvlJc w:val="left"/>
      <w:pPr>
        <w:ind w:left="720" w:hanging="360"/>
      </w:pPr>
      <w:rPr>
        <w:rFonts w:ascii="Symbol" w:hAnsi="Symbol" w:hint="default"/>
      </w:rPr>
    </w:lvl>
    <w:lvl w:ilvl="1" w:tplc="74127338">
      <w:start w:val="1"/>
      <w:numFmt w:val="bullet"/>
      <w:lvlText w:val="o"/>
      <w:lvlJc w:val="left"/>
      <w:pPr>
        <w:ind w:left="1440" w:hanging="360"/>
      </w:pPr>
      <w:rPr>
        <w:rFonts w:ascii="Courier New" w:hAnsi="Courier New" w:hint="default"/>
      </w:rPr>
    </w:lvl>
    <w:lvl w:ilvl="2" w:tplc="CD12E7C0">
      <w:start w:val="1"/>
      <w:numFmt w:val="bullet"/>
      <w:lvlText w:val=""/>
      <w:lvlJc w:val="left"/>
      <w:pPr>
        <w:ind w:left="2160" w:hanging="360"/>
      </w:pPr>
      <w:rPr>
        <w:rFonts w:ascii="Wingdings" w:hAnsi="Wingdings" w:hint="default"/>
      </w:rPr>
    </w:lvl>
    <w:lvl w:ilvl="3" w:tplc="4964E458">
      <w:start w:val="1"/>
      <w:numFmt w:val="bullet"/>
      <w:lvlText w:val=""/>
      <w:lvlJc w:val="left"/>
      <w:pPr>
        <w:ind w:left="2880" w:hanging="360"/>
      </w:pPr>
      <w:rPr>
        <w:rFonts w:ascii="Symbol" w:hAnsi="Symbol" w:hint="default"/>
      </w:rPr>
    </w:lvl>
    <w:lvl w:ilvl="4" w:tplc="A376551E">
      <w:start w:val="1"/>
      <w:numFmt w:val="bullet"/>
      <w:lvlText w:val="o"/>
      <w:lvlJc w:val="left"/>
      <w:pPr>
        <w:ind w:left="3600" w:hanging="360"/>
      </w:pPr>
      <w:rPr>
        <w:rFonts w:ascii="Courier New" w:hAnsi="Courier New" w:hint="default"/>
      </w:rPr>
    </w:lvl>
    <w:lvl w:ilvl="5" w:tplc="BE4E3D04">
      <w:start w:val="1"/>
      <w:numFmt w:val="bullet"/>
      <w:lvlText w:val=""/>
      <w:lvlJc w:val="left"/>
      <w:pPr>
        <w:ind w:left="4320" w:hanging="360"/>
      </w:pPr>
      <w:rPr>
        <w:rFonts w:ascii="Wingdings" w:hAnsi="Wingdings" w:hint="default"/>
      </w:rPr>
    </w:lvl>
    <w:lvl w:ilvl="6" w:tplc="4672EED2">
      <w:start w:val="1"/>
      <w:numFmt w:val="bullet"/>
      <w:lvlText w:val=""/>
      <w:lvlJc w:val="left"/>
      <w:pPr>
        <w:ind w:left="5040" w:hanging="360"/>
      </w:pPr>
      <w:rPr>
        <w:rFonts w:ascii="Symbol" w:hAnsi="Symbol" w:hint="default"/>
      </w:rPr>
    </w:lvl>
    <w:lvl w:ilvl="7" w:tplc="A0509510">
      <w:start w:val="1"/>
      <w:numFmt w:val="bullet"/>
      <w:lvlText w:val="o"/>
      <w:lvlJc w:val="left"/>
      <w:pPr>
        <w:ind w:left="5760" w:hanging="360"/>
      </w:pPr>
      <w:rPr>
        <w:rFonts w:ascii="Courier New" w:hAnsi="Courier New" w:hint="default"/>
      </w:rPr>
    </w:lvl>
    <w:lvl w:ilvl="8" w:tplc="31641078">
      <w:start w:val="1"/>
      <w:numFmt w:val="bullet"/>
      <w:lvlText w:val=""/>
      <w:lvlJc w:val="left"/>
      <w:pPr>
        <w:ind w:left="6480" w:hanging="360"/>
      </w:pPr>
      <w:rPr>
        <w:rFonts w:ascii="Wingdings" w:hAnsi="Wingdings" w:hint="default"/>
      </w:rPr>
    </w:lvl>
  </w:abstractNum>
  <w:abstractNum w:abstractNumId="13" w15:restartNumberingAfterBreak="0">
    <w:nsid w:val="11B51353"/>
    <w:multiLevelType w:val="hybridMultilevel"/>
    <w:tmpl w:val="427E3D20"/>
    <w:lvl w:ilvl="0" w:tplc="18090001">
      <w:start w:val="1"/>
      <w:numFmt w:val="bullet"/>
      <w:lvlText w:val=""/>
      <w:lvlJc w:val="left"/>
      <w:pPr>
        <w:ind w:left="426" w:hanging="360"/>
      </w:pPr>
      <w:rPr>
        <w:rFonts w:ascii="Symbol" w:hAnsi="Symbol" w:hint="default"/>
      </w:rPr>
    </w:lvl>
    <w:lvl w:ilvl="1" w:tplc="DBA29448">
      <w:numFmt w:val="bullet"/>
      <w:lvlText w:val="-"/>
      <w:lvlJc w:val="left"/>
      <w:pPr>
        <w:ind w:left="1146" w:hanging="360"/>
      </w:pPr>
      <w:rPr>
        <w:rFonts w:ascii="Calibri" w:eastAsia="Times New Roman" w:hAnsi="Calibri" w:cs="Calibri" w:hint="default"/>
      </w:rPr>
    </w:lvl>
    <w:lvl w:ilvl="2" w:tplc="18090005" w:tentative="1">
      <w:start w:val="1"/>
      <w:numFmt w:val="bullet"/>
      <w:lvlText w:val=""/>
      <w:lvlJc w:val="left"/>
      <w:pPr>
        <w:ind w:left="1866" w:hanging="360"/>
      </w:pPr>
      <w:rPr>
        <w:rFonts w:ascii="Wingdings" w:hAnsi="Wingdings" w:hint="default"/>
      </w:rPr>
    </w:lvl>
    <w:lvl w:ilvl="3" w:tplc="18090001" w:tentative="1">
      <w:start w:val="1"/>
      <w:numFmt w:val="bullet"/>
      <w:lvlText w:val=""/>
      <w:lvlJc w:val="left"/>
      <w:pPr>
        <w:ind w:left="2586" w:hanging="360"/>
      </w:pPr>
      <w:rPr>
        <w:rFonts w:ascii="Symbol" w:hAnsi="Symbol" w:hint="default"/>
      </w:rPr>
    </w:lvl>
    <w:lvl w:ilvl="4" w:tplc="18090003" w:tentative="1">
      <w:start w:val="1"/>
      <w:numFmt w:val="bullet"/>
      <w:lvlText w:val="o"/>
      <w:lvlJc w:val="left"/>
      <w:pPr>
        <w:ind w:left="3306" w:hanging="360"/>
      </w:pPr>
      <w:rPr>
        <w:rFonts w:ascii="Courier New" w:hAnsi="Courier New" w:cs="Courier New" w:hint="default"/>
      </w:rPr>
    </w:lvl>
    <w:lvl w:ilvl="5" w:tplc="18090005" w:tentative="1">
      <w:start w:val="1"/>
      <w:numFmt w:val="bullet"/>
      <w:lvlText w:val=""/>
      <w:lvlJc w:val="left"/>
      <w:pPr>
        <w:ind w:left="4026" w:hanging="360"/>
      </w:pPr>
      <w:rPr>
        <w:rFonts w:ascii="Wingdings" w:hAnsi="Wingdings" w:hint="default"/>
      </w:rPr>
    </w:lvl>
    <w:lvl w:ilvl="6" w:tplc="18090001" w:tentative="1">
      <w:start w:val="1"/>
      <w:numFmt w:val="bullet"/>
      <w:lvlText w:val=""/>
      <w:lvlJc w:val="left"/>
      <w:pPr>
        <w:ind w:left="4746" w:hanging="360"/>
      </w:pPr>
      <w:rPr>
        <w:rFonts w:ascii="Symbol" w:hAnsi="Symbol" w:hint="default"/>
      </w:rPr>
    </w:lvl>
    <w:lvl w:ilvl="7" w:tplc="18090003" w:tentative="1">
      <w:start w:val="1"/>
      <w:numFmt w:val="bullet"/>
      <w:lvlText w:val="o"/>
      <w:lvlJc w:val="left"/>
      <w:pPr>
        <w:ind w:left="5466" w:hanging="360"/>
      </w:pPr>
      <w:rPr>
        <w:rFonts w:ascii="Courier New" w:hAnsi="Courier New" w:cs="Courier New" w:hint="default"/>
      </w:rPr>
    </w:lvl>
    <w:lvl w:ilvl="8" w:tplc="18090005" w:tentative="1">
      <w:start w:val="1"/>
      <w:numFmt w:val="bullet"/>
      <w:lvlText w:val=""/>
      <w:lvlJc w:val="left"/>
      <w:pPr>
        <w:ind w:left="6186" w:hanging="360"/>
      </w:pPr>
      <w:rPr>
        <w:rFonts w:ascii="Wingdings" w:hAnsi="Wingdings" w:hint="default"/>
      </w:rPr>
    </w:lvl>
  </w:abstractNum>
  <w:abstractNum w:abstractNumId="14" w15:restartNumberingAfterBreak="0">
    <w:nsid w:val="15BB6BFC"/>
    <w:multiLevelType w:val="multilevel"/>
    <w:tmpl w:val="D962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C26D81"/>
    <w:multiLevelType w:val="hybridMultilevel"/>
    <w:tmpl w:val="853813E0"/>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1EB134C1"/>
    <w:multiLevelType w:val="hybridMultilevel"/>
    <w:tmpl w:val="22F2E8C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20F804A8"/>
    <w:multiLevelType w:val="hybridMultilevel"/>
    <w:tmpl w:val="8E4A43B6"/>
    <w:lvl w:ilvl="0" w:tplc="1012C7AA">
      <w:start w:val="1"/>
      <w:numFmt w:val="bullet"/>
      <w:lvlText w:val="·"/>
      <w:lvlJc w:val="left"/>
      <w:pPr>
        <w:ind w:left="720" w:hanging="360"/>
      </w:pPr>
      <w:rPr>
        <w:rFonts w:ascii="Symbol" w:hAnsi="Symbol" w:hint="default"/>
      </w:rPr>
    </w:lvl>
    <w:lvl w:ilvl="1" w:tplc="7750B8E4">
      <w:start w:val="1"/>
      <w:numFmt w:val="bullet"/>
      <w:lvlText w:val="o"/>
      <w:lvlJc w:val="left"/>
      <w:pPr>
        <w:ind w:left="1440" w:hanging="360"/>
      </w:pPr>
      <w:rPr>
        <w:rFonts w:ascii="Courier New" w:hAnsi="Courier New" w:hint="default"/>
      </w:rPr>
    </w:lvl>
    <w:lvl w:ilvl="2" w:tplc="BB72B002">
      <w:start w:val="1"/>
      <w:numFmt w:val="bullet"/>
      <w:lvlText w:val=""/>
      <w:lvlJc w:val="left"/>
      <w:pPr>
        <w:ind w:left="2160" w:hanging="360"/>
      </w:pPr>
      <w:rPr>
        <w:rFonts w:ascii="Wingdings" w:hAnsi="Wingdings" w:hint="default"/>
      </w:rPr>
    </w:lvl>
    <w:lvl w:ilvl="3" w:tplc="C884017A">
      <w:start w:val="1"/>
      <w:numFmt w:val="bullet"/>
      <w:lvlText w:val=""/>
      <w:lvlJc w:val="left"/>
      <w:pPr>
        <w:ind w:left="2880" w:hanging="360"/>
      </w:pPr>
      <w:rPr>
        <w:rFonts w:ascii="Symbol" w:hAnsi="Symbol" w:hint="default"/>
      </w:rPr>
    </w:lvl>
    <w:lvl w:ilvl="4" w:tplc="EBE2CB10">
      <w:start w:val="1"/>
      <w:numFmt w:val="bullet"/>
      <w:lvlText w:val="o"/>
      <w:lvlJc w:val="left"/>
      <w:pPr>
        <w:ind w:left="3600" w:hanging="360"/>
      </w:pPr>
      <w:rPr>
        <w:rFonts w:ascii="Courier New" w:hAnsi="Courier New" w:hint="default"/>
      </w:rPr>
    </w:lvl>
    <w:lvl w:ilvl="5" w:tplc="AE78D9A2">
      <w:start w:val="1"/>
      <w:numFmt w:val="bullet"/>
      <w:lvlText w:val=""/>
      <w:lvlJc w:val="left"/>
      <w:pPr>
        <w:ind w:left="4320" w:hanging="360"/>
      </w:pPr>
      <w:rPr>
        <w:rFonts w:ascii="Wingdings" w:hAnsi="Wingdings" w:hint="default"/>
      </w:rPr>
    </w:lvl>
    <w:lvl w:ilvl="6" w:tplc="A0F436E8">
      <w:start w:val="1"/>
      <w:numFmt w:val="bullet"/>
      <w:lvlText w:val=""/>
      <w:lvlJc w:val="left"/>
      <w:pPr>
        <w:ind w:left="5040" w:hanging="360"/>
      </w:pPr>
      <w:rPr>
        <w:rFonts w:ascii="Symbol" w:hAnsi="Symbol" w:hint="default"/>
      </w:rPr>
    </w:lvl>
    <w:lvl w:ilvl="7" w:tplc="D560711A">
      <w:start w:val="1"/>
      <w:numFmt w:val="bullet"/>
      <w:lvlText w:val="o"/>
      <w:lvlJc w:val="left"/>
      <w:pPr>
        <w:ind w:left="5760" w:hanging="360"/>
      </w:pPr>
      <w:rPr>
        <w:rFonts w:ascii="Courier New" w:hAnsi="Courier New" w:hint="default"/>
      </w:rPr>
    </w:lvl>
    <w:lvl w:ilvl="8" w:tplc="4C0A6BA6">
      <w:start w:val="1"/>
      <w:numFmt w:val="bullet"/>
      <w:lvlText w:val=""/>
      <w:lvlJc w:val="left"/>
      <w:pPr>
        <w:ind w:left="6480" w:hanging="360"/>
      </w:pPr>
      <w:rPr>
        <w:rFonts w:ascii="Wingdings" w:hAnsi="Wingdings" w:hint="default"/>
      </w:rPr>
    </w:lvl>
  </w:abstractNum>
  <w:abstractNum w:abstractNumId="18" w15:restartNumberingAfterBreak="0">
    <w:nsid w:val="21DD57F5"/>
    <w:multiLevelType w:val="hybridMultilevel"/>
    <w:tmpl w:val="022E0FE0"/>
    <w:lvl w:ilvl="0" w:tplc="9CD28A8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298753A3"/>
    <w:multiLevelType w:val="hybridMultilevel"/>
    <w:tmpl w:val="A5145DC6"/>
    <w:lvl w:ilvl="0" w:tplc="14B264DE">
      <w:start w:val="2"/>
      <w:numFmt w:val="bullet"/>
      <w:lvlText w:val=""/>
      <w:lvlJc w:val="left"/>
      <w:pPr>
        <w:ind w:left="1080" w:hanging="360"/>
      </w:pPr>
      <w:rPr>
        <w:rFonts w:ascii="Symbol" w:eastAsia="Times New Roman" w:hAnsi="Symbol"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2B580CDB"/>
    <w:multiLevelType w:val="hybridMultilevel"/>
    <w:tmpl w:val="F61AFC06"/>
    <w:lvl w:ilvl="0" w:tplc="FFFFFFFF">
      <w:start w:val="1"/>
      <w:numFmt w:val="bullet"/>
      <w:lvlText w:val=""/>
      <w:lvlJc w:val="left"/>
      <w:pPr>
        <w:ind w:left="360" w:hanging="360"/>
      </w:pPr>
      <w:rPr>
        <w:rFonts w:ascii="Symbol" w:hAnsi="Symbol" w:hint="default"/>
      </w:rPr>
    </w:lvl>
    <w:lvl w:ilvl="1" w:tplc="BE9AB170">
      <w:numFmt w:val="bullet"/>
      <w:lvlText w:val="•"/>
      <w:lvlJc w:val="left"/>
      <w:pPr>
        <w:ind w:left="1440" w:hanging="720"/>
      </w:pPr>
      <w:rPr>
        <w:rFonts w:ascii="Times New Roman" w:eastAsia="Times New Roman" w:hAnsi="Times New Roman" w:cs="Times New Roman" w:hint="default"/>
        <w:b/>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1" w15:restartNumberingAfterBreak="0">
    <w:nsid w:val="2C7A03EC"/>
    <w:multiLevelType w:val="hybridMultilevel"/>
    <w:tmpl w:val="34DC41A4"/>
    <w:lvl w:ilvl="0" w:tplc="59046026">
      <w:start w:val="1"/>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2" w15:restartNumberingAfterBreak="0">
    <w:nsid w:val="317E75DD"/>
    <w:multiLevelType w:val="hybridMultilevel"/>
    <w:tmpl w:val="D72434E0"/>
    <w:lvl w:ilvl="0" w:tplc="18090001">
      <w:start w:val="1"/>
      <w:numFmt w:val="bullet"/>
      <w:lvlText w:val=""/>
      <w:lvlJc w:val="left"/>
      <w:pPr>
        <w:ind w:left="426" w:hanging="360"/>
      </w:pPr>
      <w:rPr>
        <w:rFonts w:ascii="Symbol" w:hAnsi="Symbol" w:hint="default"/>
      </w:rPr>
    </w:lvl>
    <w:lvl w:ilvl="1" w:tplc="18090003">
      <w:start w:val="1"/>
      <w:numFmt w:val="bullet"/>
      <w:lvlText w:val="o"/>
      <w:lvlJc w:val="left"/>
      <w:pPr>
        <w:ind w:left="1146" w:hanging="360"/>
      </w:pPr>
      <w:rPr>
        <w:rFonts w:ascii="Courier New" w:hAnsi="Courier New" w:cs="Courier New" w:hint="default"/>
      </w:rPr>
    </w:lvl>
    <w:lvl w:ilvl="2" w:tplc="18090005" w:tentative="1">
      <w:start w:val="1"/>
      <w:numFmt w:val="bullet"/>
      <w:lvlText w:val=""/>
      <w:lvlJc w:val="left"/>
      <w:pPr>
        <w:ind w:left="1866" w:hanging="360"/>
      </w:pPr>
      <w:rPr>
        <w:rFonts w:ascii="Wingdings" w:hAnsi="Wingdings" w:hint="default"/>
      </w:rPr>
    </w:lvl>
    <w:lvl w:ilvl="3" w:tplc="18090001" w:tentative="1">
      <w:start w:val="1"/>
      <w:numFmt w:val="bullet"/>
      <w:lvlText w:val=""/>
      <w:lvlJc w:val="left"/>
      <w:pPr>
        <w:ind w:left="2586" w:hanging="360"/>
      </w:pPr>
      <w:rPr>
        <w:rFonts w:ascii="Symbol" w:hAnsi="Symbol" w:hint="default"/>
      </w:rPr>
    </w:lvl>
    <w:lvl w:ilvl="4" w:tplc="18090003" w:tentative="1">
      <w:start w:val="1"/>
      <w:numFmt w:val="bullet"/>
      <w:lvlText w:val="o"/>
      <w:lvlJc w:val="left"/>
      <w:pPr>
        <w:ind w:left="3306" w:hanging="360"/>
      </w:pPr>
      <w:rPr>
        <w:rFonts w:ascii="Courier New" w:hAnsi="Courier New" w:cs="Courier New" w:hint="default"/>
      </w:rPr>
    </w:lvl>
    <w:lvl w:ilvl="5" w:tplc="18090005" w:tentative="1">
      <w:start w:val="1"/>
      <w:numFmt w:val="bullet"/>
      <w:lvlText w:val=""/>
      <w:lvlJc w:val="left"/>
      <w:pPr>
        <w:ind w:left="4026" w:hanging="360"/>
      </w:pPr>
      <w:rPr>
        <w:rFonts w:ascii="Wingdings" w:hAnsi="Wingdings" w:hint="default"/>
      </w:rPr>
    </w:lvl>
    <w:lvl w:ilvl="6" w:tplc="18090001" w:tentative="1">
      <w:start w:val="1"/>
      <w:numFmt w:val="bullet"/>
      <w:lvlText w:val=""/>
      <w:lvlJc w:val="left"/>
      <w:pPr>
        <w:ind w:left="4746" w:hanging="360"/>
      </w:pPr>
      <w:rPr>
        <w:rFonts w:ascii="Symbol" w:hAnsi="Symbol" w:hint="default"/>
      </w:rPr>
    </w:lvl>
    <w:lvl w:ilvl="7" w:tplc="18090003" w:tentative="1">
      <w:start w:val="1"/>
      <w:numFmt w:val="bullet"/>
      <w:lvlText w:val="o"/>
      <w:lvlJc w:val="left"/>
      <w:pPr>
        <w:ind w:left="5466" w:hanging="360"/>
      </w:pPr>
      <w:rPr>
        <w:rFonts w:ascii="Courier New" w:hAnsi="Courier New" w:cs="Courier New" w:hint="default"/>
      </w:rPr>
    </w:lvl>
    <w:lvl w:ilvl="8" w:tplc="18090005" w:tentative="1">
      <w:start w:val="1"/>
      <w:numFmt w:val="bullet"/>
      <w:lvlText w:val=""/>
      <w:lvlJc w:val="left"/>
      <w:pPr>
        <w:ind w:left="6186" w:hanging="360"/>
      </w:pPr>
      <w:rPr>
        <w:rFonts w:ascii="Wingdings" w:hAnsi="Wingdings" w:hint="default"/>
      </w:rPr>
    </w:lvl>
  </w:abstractNum>
  <w:abstractNum w:abstractNumId="23" w15:restartNumberingAfterBreak="0">
    <w:nsid w:val="31816A21"/>
    <w:multiLevelType w:val="hybridMultilevel"/>
    <w:tmpl w:val="8FFC4ED0"/>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4" w15:restartNumberingAfterBreak="0">
    <w:nsid w:val="35AA79F8"/>
    <w:multiLevelType w:val="hybridMultilevel"/>
    <w:tmpl w:val="F8DE1674"/>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365D3B43"/>
    <w:multiLevelType w:val="hybridMultilevel"/>
    <w:tmpl w:val="651C7814"/>
    <w:lvl w:ilvl="0" w:tplc="14B264DE">
      <w:start w:val="2"/>
      <w:numFmt w:val="bullet"/>
      <w:lvlText w:val=""/>
      <w:lvlJc w:val="left"/>
      <w:pPr>
        <w:ind w:left="426" w:hanging="360"/>
      </w:pPr>
      <w:rPr>
        <w:rFonts w:ascii="Symbol" w:eastAsia="Times New Roman" w:hAnsi="Symbol" w:cs="Calibri" w:hint="default"/>
      </w:rPr>
    </w:lvl>
    <w:lvl w:ilvl="1" w:tplc="18090003" w:tentative="1">
      <w:start w:val="1"/>
      <w:numFmt w:val="bullet"/>
      <w:lvlText w:val="o"/>
      <w:lvlJc w:val="left"/>
      <w:pPr>
        <w:ind w:left="1146" w:hanging="360"/>
      </w:pPr>
      <w:rPr>
        <w:rFonts w:ascii="Courier New" w:hAnsi="Courier New" w:cs="Courier New" w:hint="default"/>
      </w:rPr>
    </w:lvl>
    <w:lvl w:ilvl="2" w:tplc="18090005" w:tentative="1">
      <w:start w:val="1"/>
      <w:numFmt w:val="bullet"/>
      <w:lvlText w:val=""/>
      <w:lvlJc w:val="left"/>
      <w:pPr>
        <w:ind w:left="1866" w:hanging="360"/>
      </w:pPr>
      <w:rPr>
        <w:rFonts w:ascii="Wingdings" w:hAnsi="Wingdings" w:hint="default"/>
      </w:rPr>
    </w:lvl>
    <w:lvl w:ilvl="3" w:tplc="18090001" w:tentative="1">
      <w:start w:val="1"/>
      <w:numFmt w:val="bullet"/>
      <w:lvlText w:val=""/>
      <w:lvlJc w:val="left"/>
      <w:pPr>
        <w:ind w:left="2586" w:hanging="360"/>
      </w:pPr>
      <w:rPr>
        <w:rFonts w:ascii="Symbol" w:hAnsi="Symbol" w:hint="default"/>
      </w:rPr>
    </w:lvl>
    <w:lvl w:ilvl="4" w:tplc="18090003" w:tentative="1">
      <w:start w:val="1"/>
      <w:numFmt w:val="bullet"/>
      <w:lvlText w:val="o"/>
      <w:lvlJc w:val="left"/>
      <w:pPr>
        <w:ind w:left="3306" w:hanging="360"/>
      </w:pPr>
      <w:rPr>
        <w:rFonts w:ascii="Courier New" w:hAnsi="Courier New" w:cs="Courier New" w:hint="default"/>
      </w:rPr>
    </w:lvl>
    <w:lvl w:ilvl="5" w:tplc="18090005" w:tentative="1">
      <w:start w:val="1"/>
      <w:numFmt w:val="bullet"/>
      <w:lvlText w:val=""/>
      <w:lvlJc w:val="left"/>
      <w:pPr>
        <w:ind w:left="4026" w:hanging="360"/>
      </w:pPr>
      <w:rPr>
        <w:rFonts w:ascii="Wingdings" w:hAnsi="Wingdings" w:hint="default"/>
      </w:rPr>
    </w:lvl>
    <w:lvl w:ilvl="6" w:tplc="18090001" w:tentative="1">
      <w:start w:val="1"/>
      <w:numFmt w:val="bullet"/>
      <w:lvlText w:val=""/>
      <w:lvlJc w:val="left"/>
      <w:pPr>
        <w:ind w:left="4746" w:hanging="360"/>
      </w:pPr>
      <w:rPr>
        <w:rFonts w:ascii="Symbol" w:hAnsi="Symbol" w:hint="default"/>
      </w:rPr>
    </w:lvl>
    <w:lvl w:ilvl="7" w:tplc="18090003" w:tentative="1">
      <w:start w:val="1"/>
      <w:numFmt w:val="bullet"/>
      <w:lvlText w:val="o"/>
      <w:lvlJc w:val="left"/>
      <w:pPr>
        <w:ind w:left="5466" w:hanging="360"/>
      </w:pPr>
      <w:rPr>
        <w:rFonts w:ascii="Courier New" w:hAnsi="Courier New" w:cs="Courier New" w:hint="default"/>
      </w:rPr>
    </w:lvl>
    <w:lvl w:ilvl="8" w:tplc="18090005" w:tentative="1">
      <w:start w:val="1"/>
      <w:numFmt w:val="bullet"/>
      <w:lvlText w:val=""/>
      <w:lvlJc w:val="left"/>
      <w:pPr>
        <w:ind w:left="6186" w:hanging="360"/>
      </w:pPr>
      <w:rPr>
        <w:rFonts w:ascii="Wingdings" w:hAnsi="Wingdings" w:hint="default"/>
      </w:rPr>
    </w:lvl>
  </w:abstractNum>
  <w:abstractNum w:abstractNumId="26" w15:restartNumberingAfterBreak="0">
    <w:nsid w:val="36BE525A"/>
    <w:multiLevelType w:val="hybridMultilevel"/>
    <w:tmpl w:val="6C44E96C"/>
    <w:lvl w:ilvl="0" w:tplc="CD8E3CD0">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37284A33"/>
    <w:multiLevelType w:val="hybridMultilevel"/>
    <w:tmpl w:val="A2761B94"/>
    <w:lvl w:ilvl="0" w:tplc="18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92A3E52"/>
    <w:multiLevelType w:val="hybridMultilevel"/>
    <w:tmpl w:val="E99CAEE2"/>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9" w15:restartNumberingAfterBreak="0">
    <w:nsid w:val="39564F31"/>
    <w:multiLevelType w:val="hybridMultilevel"/>
    <w:tmpl w:val="B582E92A"/>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3AB97D4A"/>
    <w:multiLevelType w:val="hybridMultilevel"/>
    <w:tmpl w:val="AAC0F88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15:restartNumberingAfterBreak="0">
    <w:nsid w:val="3D8A274A"/>
    <w:multiLevelType w:val="hybridMultilevel"/>
    <w:tmpl w:val="0BB8E3F4"/>
    <w:lvl w:ilvl="0" w:tplc="FFFFFFFF">
      <w:start w:val="1"/>
      <w:numFmt w:val="bullet"/>
      <w:lvlText w:val=""/>
      <w:lvlJc w:val="left"/>
      <w:pPr>
        <w:ind w:left="36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40066B56"/>
    <w:multiLevelType w:val="hybridMultilevel"/>
    <w:tmpl w:val="B0D6AE78"/>
    <w:lvl w:ilvl="0" w:tplc="4170DEAA">
      <w:start w:val="3"/>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40DA2932"/>
    <w:multiLevelType w:val="hybridMultilevel"/>
    <w:tmpl w:val="4BC07258"/>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4" w15:restartNumberingAfterBreak="0">
    <w:nsid w:val="41FF1626"/>
    <w:multiLevelType w:val="hybridMultilevel"/>
    <w:tmpl w:val="E10AFBF0"/>
    <w:lvl w:ilvl="0" w:tplc="DBA29448">
      <w:numFmt w:val="bullet"/>
      <w:lvlText w:val="-"/>
      <w:lvlJc w:val="left"/>
      <w:pPr>
        <w:ind w:left="720" w:hanging="360"/>
      </w:pPr>
      <w:rPr>
        <w:rFonts w:ascii="Calibri" w:eastAsia="Times New Roman"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43BE1172"/>
    <w:multiLevelType w:val="hybridMultilevel"/>
    <w:tmpl w:val="FA8C87A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6" w15:restartNumberingAfterBreak="0">
    <w:nsid w:val="46463CE3"/>
    <w:multiLevelType w:val="hybridMultilevel"/>
    <w:tmpl w:val="04FA3748"/>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46EA48F5"/>
    <w:multiLevelType w:val="hybridMultilevel"/>
    <w:tmpl w:val="39502BC6"/>
    <w:lvl w:ilvl="0" w:tplc="1809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4930022C"/>
    <w:multiLevelType w:val="hybridMultilevel"/>
    <w:tmpl w:val="4F84E9FA"/>
    <w:lvl w:ilvl="0" w:tplc="18090001">
      <w:start w:val="1"/>
      <w:numFmt w:val="bullet"/>
      <w:lvlText w:val=""/>
      <w:lvlJc w:val="left"/>
      <w:pPr>
        <w:ind w:left="426" w:hanging="360"/>
      </w:pPr>
      <w:rPr>
        <w:rFonts w:ascii="Symbol" w:hAnsi="Symbol" w:hint="default"/>
      </w:rPr>
    </w:lvl>
    <w:lvl w:ilvl="1" w:tplc="18090003">
      <w:start w:val="1"/>
      <w:numFmt w:val="bullet"/>
      <w:lvlText w:val="o"/>
      <w:lvlJc w:val="left"/>
      <w:pPr>
        <w:ind w:left="1146" w:hanging="360"/>
      </w:pPr>
      <w:rPr>
        <w:rFonts w:ascii="Courier New" w:hAnsi="Courier New" w:cs="Courier New" w:hint="default"/>
      </w:rPr>
    </w:lvl>
    <w:lvl w:ilvl="2" w:tplc="18090005" w:tentative="1">
      <w:start w:val="1"/>
      <w:numFmt w:val="bullet"/>
      <w:lvlText w:val=""/>
      <w:lvlJc w:val="left"/>
      <w:pPr>
        <w:ind w:left="1866" w:hanging="360"/>
      </w:pPr>
      <w:rPr>
        <w:rFonts w:ascii="Wingdings" w:hAnsi="Wingdings" w:hint="default"/>
      </w:rPr>
    </w:lvl>
    <w:lvl w:ilvl="3" w:tplc="18090001" w:tentative="1">
      <w:start w:val="1"/>
      <w:numFmt w:val="bullet"/>
      <w:lvlText w:val=""/>
      <w:lvlJc w:val="left"/>
      <w:pPr>
        <w:ind w:left="2586" w:hanging="360"/>
      </w:pPr>
      <w:rPr>
        <w:rFonts w:ascii="Symbol" w:hAnsi="Symbol" w:hint="default"/>
      </w:rPr>
    </w:lvl>
    <w:lvl w:ilvl="4" w:tplc="18090003" w:tentative="1">
      <w:start w:val="1"/>
      <w:numFmt w:val="bullet"/>
      <w:lvlText w:val="o"/>
      <w:lvlJc w:val="left"/>
      <w:pPr>
        <w:ind w:left="3306" w:hanging="360"/>
      </w:pPr>
      <w:rPr>
        <w:rFonts w:ascii="Courier New" w:hAnsi="Courier New" w:cs="Courier New" w:hint="default"/>
      </w:rPr>
    </w:lvl>
    <w:lvl w:ilvl="5" w:tplc="18090005" w:tentative="1">
      <w:start w:val="1"/>
      <w:numFmt w:val="bullet"/>
      <w:lvlText w:val=""/>
      <w:lvlJc w:val="left"/>
      <w:pPr>
        <w:ind w:left="4026" w:hanging="360"/>
      </w:pPr>
      <w:rPr>
        <w:rFonts w:ascii="Wingdings" w:hAnsi="Wingdings" w:hint="default"/>
      </w:rPr>
    </w:lvl>
    <w:lvl w:ilvl="6" w:tplc="18090001" w:tentative="1">
      <w:start w:val="1"/>
      <w:numFmt w:val="bullet"/>
      <w:lvlText w:val=""/>
      <w:lvlJc w:val="left"/>
      <w:pPr>
        <w:ind w:left="4746" w:hanging="360"/>
      </w:pPr>
      <w:rPr>
        <w:rFonts w:ascii="Symbol" w:hAnsi="Symbol" w:hint="default"/>
      </w:rPr>
    </w:lvl>
    <w:lvl w:ilvl="7" w:tplc="18090003" w:tentative="1">
      <w:start w:val="1"/>
      <w:numFmt w:val="bullet"/>
      <w:lvlText w:val="o"/>
      <w:lvlJc w:val="left"/>
      <w:pPr>
        <w:ind w:left="5466" w:hanging="360"/>
      </w:pPr>
      <w:rPr>
        <w:rFonts w:ascii="Courier New" w:hAnsi="Courier New" w:cs="Courier New" w:hint="default"/>
      </w:rPr>
    </w:lvl>
    <w:lvl w:ilvl="8" w:tplc="18090005" w:tentative="1">
      <w:start w:val="1"/>
      <w:numFmt w:val="bullet"/>
      <w:lvlText w:val=""/>
      <w:lvlJc w:val="left"/>
      <w:pPr>
        <w:ind w:left="6186" w:hanging="360"/>
      </w:pPr>
      <w:rPr>
        <w:rFonts w:ascii="Wingdings" w:hAnsi="Wingdings" w:hint="default"/>
      </w:rPr>
    </w:lvl>
  </w:abstractNum>
  <w:abstractNum w:abstractNumId="39" w15:restartNumberingAfterBreak="0">
    <w:nsid w:val="4A6D0154"/>
    <w:multiLevelType w:val="hybridMultilevel"/>
    <w:tmpl w:val="54407616"/>
    <w:lvl w:ilvl="0" w:tplc="C118530E">
      <w:start w:val="1"/>
      <w:numFmt w:val="bullet"/>
      <w:lvlText w:val="·"/>
      <w:lvlJc w:val="left"/>
      <w:pPr>
        <w:ind w:left="720" w:hanging="360"/>
      </w:pPr>
      <w:rPr>
        <w:rFonts w:ascii="Symbol" w:hAnsi="Symbol" w:hint="default"/>
      </w:rPr>
    </w:lvl>
    <w:lvl w:ilvl="1" w:tplc="B142A8D0">
      <w:start w:val="1"/>
      <w:numFmt w:val="bullet"/>
      <w:lvlText w:val="o"/>
      <w:lvlJc w:val="left"/>
      <w:pPr>
        <w:ind w:left="1440" w:hanging="360"/>
      </w:pPr>
      <w:rPr>
        <w:rFonts w:ascii="Courier New" w:hAnsi="Courier New" w:hint="default"/>
      </w:rPr>
    </w:lvl>
    <w:lvl w:ilvl="2" w:tplc="AD7032FA">
      <w:start w:val="1"/>
      <w:numFmt w:val="bullet"/>
      <w:lvlText w:val=""/>
      <w:lvlJc w:val="left"/>
      <w:pPr>
        <w:ind w:left="2160" w:hanging="360"/>
      </w:pPr>
      <w:rPr>
        <w:rFonts w:ascii="Wingdings" w:hAnsi="Wingdings" w:hint="default"/>
      </w:rPr>
    </w:lvl>
    <w:lvl w:ilvl="3" w:tplc="EE18C356">
      <w:start w:val="1"/>
      <w:numFmt w:val="bullet"/>
      <w:lvlText w:val=""/>
      <w:lvlJc w:val="left"/>
      <w:pPr>
        <w:ind w:left="2880" w:hanging="360"/>
      </w:pPr>
      <w:rPr>
        <w:rFonts w:ascii="Symbol" w:hAnsi="Symbol" w:hint="default"/>
      </w:rPr>
    </w:lvl>
    <w:lvl w:ilvl="4" w:tplc="3A5ADC38">
      <w:start w:val="1"/>
      <w:numFmt w:val="bullet"/>
      <w:lvlText w:val="o"/>
      <w:lvlJc w:val="left"/>
      <w:pPr>
        <w:ind w:left="3600" w:hanging="360"/>
      </w:pPr>
      <w:rPr>
        <w:rFonts w:ascii="Courier New" w:hAnsi="Courier New" w:hint="default"/>
      </w:rPr>
    </w:lvl>
    <w:lvl w:ilvl="5" w:tplc="0B564F26">
      <w:start w:val="1"/>
      <w:numFmt w:val="bullet"/>
      <w:lvlText w:val=""/>
      <w:lvlJc w:val="left"/>
      <w:pPr>
        <w:ind w:left="4320" w:hanging="360"/>
      </w:pPr>
      <w:rPr>
        <w:rFonts w:ascii="Wingdings" w:hAnsi="Wingdings" w:hint="default"/>
      </w:rPr>
    </w:lvl>
    <w:lvl w:ilvl="6" w:tplc="E3C6C1DC">
      <w:start w:val="1"/>
      <w:numFmt w:val="bullet"/>
      <w:lvlText w:val=""/>
      <w:lvlJc w:val="left"/>
      <w:pPr>
        <w:ind w:left="5040" w:hanging="360"/>
      </w:pPr>
      <w:rPr>
        <w:rFonts w:ascii="Symbol" w:hAnsi="Symbol" w:hint="default"/>
      </w:rPr>
    </w:lvl>
    <w:lvl w:ilvl="7" w:tplc="8632A588">
      <w:start w:val="1"/>
      <w:numFmt w:val="bullet"/>
      <w:lvlText w:val="o"/>
      <w:lvlJc w:val="left"/>
      <w:pPr>
        <w:ind w:left="5760" w:hanging="360"/>
      </w:pPr>
      <w:rPr>
        <w:rFonts w:ascii="Courier New" w:hAnsi="Courier New" w:hint="default"/>
      </w:rPr>
    </w:lvl>
    <w:lvl w:ilvl="8" w:tplc="CE66BC68">
      <w:start w:val="1"/>
      <w:numFmt w:val="bullet"/>
      <w:lvlText w:val=""/>
      <w:lvlJc w:val="left"/>
      <w:pPr>
        <w:ind w:left="6480" w:hanging="360"/>
      </w:pPr>
      <w:rPr>
        <w:rFonts w:ascii="Wingdings" w:hAnsi="Wingdings" w:hint="default"/>
      </w:rPr>
    </w:lvl>
  </w:abstractNum>
  <w:abstractNum w:abstractNumId="40" w15:restartNumberingAfterBreak="0">
    <w:nsid w:val="4DC70879"/>
    <w:multiLevelType w:val="hybridMultilevel"/>
    <w:tmpl w:val="774AE3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4E211EA9"/>
    <w:multiLevelType w:val="hybridMultilevel"/>
    <w:tmpl w:val="DDAA7A0E"/>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15:restartNumberingAfterBreak="0">
    <w:nsid w:val="5142221B"/>
    <w:multiLevelType w:val="hybridMultilevel"/>
    <w:tmpl w:val="29B8EA12"/>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518E7599"/>
    <w:multiLevelType w:val="hybridMultilevel"/>
    <w:tmpl w:val="630ADA70"/>
    <w:lvl w:ilvl="0" w:tplc="14B264DE">
      <w:start w:val="2"/>
      <w:numFmt w:val="bullet"/>
      <w:lvlText w:val=""/>
      <w:lvlJc w:val="left"/>
      <w:pPr>
        <w:ind w:left="360" w:hanging="360"/>
      </w:pPr>
      <w:rPr>
        <w:rFonts w:ascii="Symbol" w:eastAsia="Times New Roman" w:hAnsi="Symbol" w:cs="Calibri"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4" w15:restartNumberingAfterBreak="0">
    <w:nsid w:val="5C3C2710"/>
    <w:multiLevelType w:val="hybridMultilevel"/>
    <w:tmpl w:val="8B828CC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5E134442"/>
    <w:multiLevelType w:val="hybridMultilevel"/>
    <w:tmpl w:val="B420CB8C"/>
    <w:lvl w:ilvl="0" w:tplc="428426C2">
      <w:start w:val="1"/>
      <w:numFmt w:val="bullet"/>
      <w:lvlText w:val="·"/>
      <w:lvlJc w:val="left"/>
      <w:pPr>
        <w:ind w:left="720" w:hanging="360"/>
      </w:pPr>
      <w:rPr>
        <w:rFonts w:ascii="Symbol" w:hAnsi="Symbol" w:hint="default"/>
      </w:rPr>
    </w:lvl>
    <w:lvl w:ilvl="1" w:tplc="31061104">
      <w:start w:val="1"/>
      <w:numFmt w:val="bullet"/>
      <w:lvlText w:val="o"/>
      <w:lvlJc w:val="left"/>
      <w:pPr>
        <w:ind w:left="1440" w:hanging="360"/>
      </w:pPr>
      <w:rPr>
        <w:rFonts w:ascii="Courier New" w:hAnsi="Courier New" w:hint="default"/>
      </w:rPr>
    </w:lvl>
    <w:lvl w:ilvl="2" w:tplc="1764CE66">
      <w:start w:val="1"/>
      <w:numFmt w:val="bullet"/>
      <w:lvlText w:val=""/>
      <w:lvlJc w:val="left"/>
      <w:pPr>
        <w:ind w:left="2160" w:hanging="360"/>
      </w:pPr>
      <w:rPr>
        <w:rFonts w:ascii="Wingdings" w:hAnsi="Wingdings" w:hint="default"/>
      </w:rPr>
    </w:lvl>
    <w:lvl w:ilvl="3" w:tplc="B3B23ED8">
      <w:start w:val="1"/>
      <w:numFmt w:val="bullet"/>
      <w:lvlText w:val=""/>
      <w:lvlJc w:val="left"/>
      <w:pPr>
        <w:ind w:left="2880" w:hanging="360"/>
      </w:pPr>
      <w:rPr>
        <w:rFonts w:ascii="Symbol" w:hAnsi="Symbol" w:hint="default"/>
      </w:rPr>
    </w:lvl>
    <w:lvl w:ilvl="4" w:tplc="6B7A803C">
      <w:start w:val="1"/>
      <w:numFmt w:val="bullet"/>
      <w:lvlText w:val="o"/>
      <w:lvlJc w:val="left"/>
      <w:pPr>
        <w:ind w:left="3600" w:hanging="360"/>
      </w:pPr>
      <w:rPr>
        <w:rFonts w:ascii="Courier New" w:hAnsi="Courier New" w:hint="default"/>
      </w:rPr>
    </w:lvl>
    <w:lvl w:ilvl="5" w:tplc="F10C120A">
      <w:start w:val="1"/>
      <w:numFmt w:val="bullet"/>
      <w:lvlText w:val=""/>
      <w:lvlJc w:val="left"/>
      <w:pPr>
        <w:ind w:left="4320" w:hanging="360"/>
      </w:pPr>
      <w:rPr>
        <w:rFonts w:ascii="Wingdings" w:hAnsi="Wingdings" w:hint="default"/>
      </w:rPr>
    </w:lvl>
    <w:lvl w:ilvl="6" w:tplc="611CE4AE">
      <w:start w:val="1"/>
      <w:numFmt w:val="bullet"/>
      <w:lvlText w:val=""/>
      <w:lvlJc w:val="left"/>
      <w:pPr>
        <w:ind w:left="5040" w:hanging="360"/>
      </w:pPr>
      <w:rPr>
        <w:rFonts w:ascii="Symbol" w:hAnsi="Symbol" w:hint="default"/>
      </w:rPr>
    </w:lvl>
    <w:lvl w:ilvl="7" w:tplc="8F30BA4A">
      <w:start w:val="1"/>
      <w:numFmt w:val="bullet"/>
      <w:lvlText w:val="o"/>
      <w:lvlJc w:val="left"/>
      <w:pPr>
        <w:ind w:left="5760" w:hanging="360"/>
      </w:pPr>
      <w:rPr>
        <w:rFonts w:ascii="Courier New" w:hAnsi="Courier New" w:hint="default"/>
      </w:rPr>
    </w:lvl>
    <w:lvl w:ilvl="8" w:tplc="204EA0E2">
      <w:start w:val="1"/>
      <w:numFmt w:val="bullet"/>
      <w:lvlText w:val=""/>
      <w:lvlJc w:val="left"/>
      <w:pPr>
        <w:ind w:left="6480" w:hanging="360"/>
      </w:pPr>
      <w:rPr>
        <w:rFonts w:ascii="Wingdings" w:hAnsi="Wingdings" w:hint="default"/>
      </w:rPr>
    </w:lvl>
  </w:abstractNum>
  <w:abstractNum w:abstractNumId="46" w15:restartNumberingAfterBreak="0">
    <w:nsid w:val="5EB9369B"/>
    <w:multiLevelType w:val="hybridMultilevel"/>
    <w:tmpl w:val="0D968D06"/>
    <w:lvl w:ilvl="0" w:tplc="DBA29448">
      <w:numFmt w:val="bullet"/>
      <w:lvlText w:val="-"/>
      <w:lvlJc w:val="left"/>
      <w:pPr>
        <w:ind w:left="720" w:hanging="360"/>
      </w:pPr>
      <w:rPr>
        <w:rFonts w:ascii="Calibri" w:eastAsia="Times New Roman" w:hAnsi="Calibri" w:cs="Calibr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7" w15:restartNumberingAfterBreak="0">
    <w:nsid w:val="5ED723CC"/>
    <w:multiLevelType w:val="hybridMultilevel"/>
    <w:tmpl w:val="EB4A209A"/>
    <w:lvl w:ilvl="0" w:tplc="14B264DE">
      <w:start w:val="2"/>
      <w:numFmt w:val="bullet"/>
      <w:lvlText w:val=""/>
      <w:lvlJc w:val="left"/>
      <w:pPr>
        <w:ind w:left="360" w:hanging="360"/>
      </w:pPr>
      <w:rPr>
        <w:rFonts w:ascii="Symbol" w:eastAsia="Times New Roman" w:hAnsi="Symbol" w:cs="Calibri" w:hint="default"/>
      </w:rPr>
    </w:lvl>
    <w:lvl w:ilvl="1" w:tplc="DBA29448">
      <w:numFmt w:val="bullet"/>
      <w:lvlText w:val="-"/>
      <w:lvlJc w:val="left"/>
      <w:pPr>
        <w:ind w:left="1080" w:hanging="360"/>
      </w:pPr>
      <w:rPr>
        <w:rFonts w:ascii="Calibri" w:eastAsia="Times New Roman" w:hAnsi="Calibri" w:cs="Calibri"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8" w15:restartNumberingAfterBreak="0">
    <w:nsid w:val="5FE1729C"/>
    <w:multiLevelType w:val="hybridMultilevel"/>
    <w:tmpl w:val="D22202F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9" w15:restartNumberingAfterBreak="0">
    <w:nsid w:val="612D4A4A"/>
    <w:multiLevelType w:val="hybridMultilevel"/>
    <w:tmpl w:val="808AC176"/>
    <w:lvl w:ilvl="0" w:tplc="FFFFFFFF">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15:restartNumberingAfterBreak="0">
    <w:nsid w:val="61955098"/>
    <w:multiLevelType w:val="hybridMultilevel"/>
    <w:tmpl w:val="547C9B30"/>
    <w:lvl w:ilvl="0" w:tplc="F8EC15DC">
      <w:start w:val="1"/>
      <w:numFmt w:val="bullet"/>
      <w:lvlText w:val="·"/>
      <w:lvlJc w:val="left"/>
      <w:pPr>
        <w:ind w:left="720" w:hanging="360"/>
      </w:pPr>
      <w:rPr>
        <w:rFonts w:ascii="Symbol" w:hAnsi="Symbol" w:hint="default"/>
      </w:rPr>
    </w:lvl>
    <w:lvl w:ilvl="1" w:tplc="1790554C">
      <w:start w:val="1"/>
      <w:numFmt w:val="bullet"/>
      <w:lvlText w:val="o"/>
      <w:lvlJc w:val="left"/>
      <w:pPr>
        <w:ind w:left="1440" w:hanging="360"/>
      </w:pPr>
      <w:rPr>
        <w:rFonts w:ascii="Courier New" w:hAnsi="Courier New" w:hint="default"/>
      </w:rPr>
    </w:lvl>
    <w:lvl w:ilvl="2" w:tplc="AE0A5B92">
      <w:start w:val="1"/>
      <w:numFmt w:val="bullet"/>
      <w:lvlText w:val=""/>
      <w:lvlJc w:val="left"/>
      <w:pPr>
        <w:ind w:left="2160" w:hanging="360"/>
      </w:pPr>
      <w:rPr>
        <w:rFonts w:ascii="Wingdings" w:hAnsi="Wingdings" w:hint="default"/>
      </w:rPr>
    </w:lvl>
    <w:lvl w:ilvl="3" w:tplc="774AB15C">
      <w:start w:val="1"/>
      <w:numFmt w:val="bullet"/>
      <w:lvlText w:val=""/>
      <w:lvlJc w:val="left"/>
      <w:pPr>
        <w:ind w:left="2880" w:hanging="360"/>
      </w:pPr>
      <w:rPr>
        <w:rFonts w:ascii="Symbol" w:hAnsi="Symbol" w:hint="default"/>
      </w:rPr>
    </w:lvl>
    <w:lvl w:ilvl="4" w:tplc="ADD8EE3E">
      <w:start w:val="1"/>
      <w:numFmt w:val="bullet"/>
      <w:lvlText w:val="o"/>
      <w:lvlJc w:val="left"/>
      <w:pPr>
        <w:ind w:left="3600" w:hanging="360"/>
      </w:pPr>
      <w:rPr>
        <w:rFonts w:ascii="Courier New" w:hAnsi="Courier New" w:hint="default"/>
      </w:rPr>
    </w:lvl>
    <w:lvl w:ilvl="5" w:tplc="561AB562">
      <w:start w:val="1"/>
      <w:numFmt w:val="bullet"/>
      <w:lvlText w:val=""/>
      <w:lvlJc w:val="left"/>
      <w:pPr>
        <w:ind w:left="4320" w:hanging="360"/>
      </w:pPr>
      <w:rPr>
        <w:rFonts w:ascii="Wingdings" w:hAnsi="Wingdings" w:hint="default"/>
      </w:rPr>
    </w:lvl>
    <w:lvl w:ilvl="6" w:tplc="FF9209D4">
      <w:start w:val="1"/>
      <w:numFmt w:val="bullet"/>
      <w:lvlText w:val=""/>
      <w:lvlJc w:val="left"/>
      <w:pPr>
        <w:ind w:left="5040" w:hanging="360"/>
      </w:pPr>
      <w:rPr>
        <w:rFonts w:ascii="Symbol" w:hAnsi="Symbol" w:hint="default"/>
      </w:rPr>
    </w:lvl>
    <w:lvl w:ilvl="7" w:tplc="7988F962">
      <w:start w:val="1"/>
      <w:numFmt w:val="bullet"/>
      <w:lvlText w:val="o"/>
      <w:lvlJc w:val="left"/>
      <w:pPr>
        <w:ind w:left="5760" w:hanging="360"/>
      </w:pPr>
      <w:rPr>
        <w:rFonts w:ascii="Courier New" w:hAnsi="Courier New" w:hint="default"/>
      </w:rPr>
    </w:lvl>
    <w:lvl w:ilvl="8" w:tplc="D3727CAC">
      <w:start w:val="1"/>
      <w:numFmt w:val="bullet"/>
      <w:lvlText w:val=""/>
      <w:lvlJc w:val="left"/>
      <w:pPr>
        <w:ind w:left="6480" w:hanging="360"/>
      </w:pPr>
      <w:rPr>
        <w:rFonts w:ascii="Wingdings" w:hAnsi="Wingdings" w:hint="default"/>
      </w:rPr>
    </w:lvl>
  </w:abstractNum>
  <w:abstractNum w:abstractNumId="51" w15:restartNumberingAfterBreak="0">
    <w:nsid w:val="6B515A71"/>
    <w:multiLevelType w:val="hybridMultilevel"/>
    <w:tmpl w:val="DD3AA1D4"/>
    <w:lvl w:ilvl="0" w:tplc="18090003">
      <w:start w:val="1"/>
      <w:numFmt w:val="bullet"/>
      <w:lvlText w:val="o"/>
      <w:lvlJc w:val="left"/>
      <w:pPr>
        <w:ind w:left="720" w:hanging="360"/>
      </w:pPr>
      <w:rPr>
        <w:rFonts w:ascii="Courier New" w:hAnsi="Courier New" w:cs="Courier New" w:hint="default"/>
      </w:rPr>
    </w:lvl>
    <w:lvl w:ilvl="1" w:tplc="DBA29448">
      <w:numFmt w:val="bullet"/>
      <w:lvlText w:val="-"/>
      <w:lvlJc w:val="left"/>
      <w:pPr>
        <w:ind w:left="1440" w:hanging="360"/>
      </w:pPr>
      <w:rPr>
        <w:rFonts w:ascii="Calibri" w:eastAsia="Times New Roman" w:hAnsi="Calibri"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2" w15:restartNumberingAfterBreak="0">
    <w:nsid w:val="6D260F90"/>
    <w:multiLevelType w:val="hybridMultilevel"/>
    <w:tmpl w:val="52C006BA"/>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3" w15:restartNumberingAfterBreak="0">
    <w:nsid w:val="6E493537"/>
    <w:multiLevelType w:val="hybridMultilevel"/>
    <w:tmpl w:val="794CFBC2"/>
    <w:lvl w:ilvl="0" w:tplc="14B264DE">
      <w:start w:val="2"/>
      <w:numFmt w:val="bullet"/>
      <w:lvlText w:val=""/>
      <w:lvlJc w:val="left"/>
      <w:pPr>
        <w:ind w:left="360" w:hanging="360"/>
      </w:pPr>
      <w:rPr>
        <w:rFonts w:ascii="Symbol" w:eastAsia="Times New Roman" w:hAnsi="Symbol" w:cs="Calibri"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4" w15:restartNumberingAfterBreak="0">
    <w:nsid w:val="6EF611AC"/>
    <w:multiLevelType w:val="hybridMultilevel"/>
    <w:tmpl w:val="4EF456E2"/>
    <w:lvl w:ilvl="0" w:tplc="B7D4F070">
      <w:start w:val="1"/>
      <w:numFmt w:val="bullet"/>
      <w:lvlText w:val="·"/>
      <w:lvlJc w:val="left"/>
      <w:pPr>
        <w:ind w:left="720" w:hanging="360"/>
      </w:pPr>
      <w:rPr>
        <w:rFonts w:ascii="Symbol" w:hAnsi="Symbol" w:hint="default"/>
      </w:rPr>
    </w:lvl>
    <w:lvl w:ilvl="1" w:tplc="976EEB0C">
      <w:start w:val="1"/>
      <w:numFmt w:val="bullet"/>
      <w:lvlText w:val="o"/>
      <w:lvlJc w:val="left"/>
      <w:pPr>
        <w:ind w:left="1440" w:hanging="360"/>
      </w:pPr>
      <w:rPr>
        <w:rFonts w:ascii="Courier New" w:hAnsi="Courier New" w:hint="default"/>
      </w:rPr>
    </w:lvl>
    <w:lvl w:ilvl="2" w:tplc="D5E0B048">
      <w:start w:val="1"/>
      <w:numFmt w:val="bullet"/>
      <w:lvlText w:val=""/>
      <w:lvlJc w:val="left"/>
      <w:pPr>
        <w:ind w:left="2160" w:hanging="360"/>
      </w:pPr>
      <w:rPr>
        <w:rFonts w:ascii="Wingdings" w:hAnsi="Wingdings" w:hint="default"/>
      </w:rPr>
    </w:lvl>
    <w:lvl w:ilvl="3" w:tplc="6D165AA6">
      <w:start w:val="1"/>
      <w:numFmt w:val="bullet"/>
      <w:lvlText w:val=""/>
      <w:lvlJc w:val="left"/>
      <w:pPr>
        <w:ind w:left="2880" w:hanging="360"/>
      </w:pPr>
      <w:rPr>
        <w:rFonts w:ascii="Symbol" w:hAnsi="Symbol" w:hint="default"/>
      </w:rPr>
    </w:lvl>
    <w:lvl w:ilvl="4" w:tplc="0068F2B6">
      <w:start w:val="1"/>
      <w:numFmt w:val="bullet"/>
      <w:lvlText w:val="o"/>
      <w:lvlJc w:val="left"/>
      <w:pPr>
        <w:ind w:left="3600" w:hanging="360"/>
      </w:pPr>
      <w:rPr>
        <w:rFonts w:ascii="Courier New" w:hAnsi="Courier New" w:hint="default"/>
      </w:rPr>
    </w:lvl>
    <w:lvl w:ilvl="5" w:tplc="B7248700">
      <w:start w:val="1"/>
      <w:numFmt w:val="bullet"/>
      <w:lvlText w:val=""/>
      <w:lvlJc w:val="left"/>
      <w:pPr>
        <w:ind w:left="4320" w:hanging="360"/>
      </w:pPr>
      <w:rPr>
        <w:rFonts w:ascii="Wingdings" w:hAnsi="Wingdings" w:hint="default"/>
      </w:rPr>
    </w:lvl>
    <w:lvl w:ilvl="6" w:tplc="A2AC1576">
      <w:start w:val="1"/>
      <w:numFmt w:val="bullet"/>
      <w:lvlText w:val=""/>
      <w:lvlJc w:val="left"/>
      <w:pPr>
        <w:ind w:left="5040" w:hanging="360"/>
      </w:pPr>
      <w:rPr>
        <w:rFonts w:ascii="Symbol" w:hAnsi="Symbol" w:hint="default"/>
      </w:rPr>
    </w:lvl>
    <w:lvl w:ilvl="7" w:tplc="A230AE4C">
      <w:start w:val="1"/>
      <w:numFmt w:val="bullet"/>
      <w:lvlText w:val="o"/>
      <w:lvlJc w:val="left"/>
      <w:pPr>
        <w:ind w:left="5760" w:hanging="360"/>
      </w:pPr>
      <w:rPr>
        <w:rFonts w:ascii="Courier New" w:hAnsi="Courier New" w:hint="default"/>
      </w:rPr>
    </w:lvl>
    <w:lvl w:ilvl="8" w:tplc="08F4E7D6">
      <w:start w:val="1"/>
      <w:numFmt w:val="bullet"/>
      <w:lvlText w:val=""/>
      <w:lvlJc w:val="left"/>
      <w:pPr>
        <w:ind w:left="6480" w:hanging="360"/>
      </w:pPr>
      <w:rPr>
        <w:rFonts w:ascii="Wingdings" w:hAnsi="Wingdings" w:hint="default"/>
      </w:rPr>
    </w:lvl>
  </w:abstractNum>
  <w:abstractNum w:abstractNumId="55" w15:restartNumberingAfterBreak="0">
    <w:nsid w:val="728C3600"/>
    <w:multiLevelType w:val="hybridMultilevel"/>
    <w:tmpl w:val="2A7AD67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6" w15:restartNumberingAfterBreak="0">
    <w:nsid w:val="74B807EA"/>
    <w:multiLevelType w:val="hybridMultilevel"/>
    <w:tmpl w:val="9EF0047E"/>
    <w:lvl w:ilvl="0" w:tplc="B7B88392">
      <w:start w:val="1"/>
      <w:numFmt w:val="bullet"/>
      <w:lvlText w:val="·"/>
      <w:lvlJc w:val="left"/>
      <w:pPr>
        <w:ind w:left="720" w:hanging="360"/>
      </w:pPr>
      <w:rPr>
        <w:rFonts w:ascii="Symbol" w:hAnsi="Symbol" w:hint="default"/>
      </w:rPr>
    </w:lvl>
    <w:lvl w:ilvl="1" w:tplc="F2DC79E8">
      <w:start w:val="1"/>
      <w:numFmt w:val="bullet"/>
      <w:lvlText w:val="o"/>
      <w:lvlJc w:val="left"/>
      <w:pPr>
        <w:ind w:left="1440" w:hanging="360"/>
      </w:pPr>
      <w:rPr>
        <w:rFonts w:ascii="Courier New" w:hAnsi="Courier New" w:hint="default"/>
      </w:rPr>
    </w:lvl>
    <w:lvl w:ilvl="2" w:tplc="36D026DC">
      <w:start w:val="1"/>
      <w:numFmt w:val="bullet"/>
      <w:lvlText w:val=""/>
      <w:lvlJc w:val="left"/>
      <w:pPr>
        <w:ind w:left="2160" w:hanging="360"/>
      </w:pPr>
      <w:rPr>
        <w:rFonts w:ascii="Wingdings" w:hAnsi="Wingdings" w:hint="default"/>
      </w:rPr>
    </w:lvl>
    <w:lvl w:ilvl="3" w:tplc="455A2534">
      <w:start w:val="1"/>
      <w:numFmt w:val="bullet"/>
      <w:lvlText w:val=""/>
      <w:lvlJc w:val="left"/>
      <w:pPr>
        <w:ind w:left="2880" w:hanging="360"/>
      </w:pPr>
      <w:rPr>
        <w:rFonts w:ascii="Symbol" w:hAnsi="Symbol" w:hint="default"/>
      </w:rPr>
    </w:lvl>
    <w:lvl w:ilvl="4" w:tplc="BD227144">
      <w:start w:val="1"/>
      <w:numFmt w:val="bullet"/>
      <w:lvlText w:val="o"/>
      <w:lvlJc w:val="left"/>
      <w:pPr>
        <w:ind w:left="3600" w:hanging="360"/>
      </w:pPr>
      <w:rPr>
        <w:rFonts w:ascii="Courier New" w:hAnsi="Courier New" w:hint="default"/>
      </w:rPr>
    </w:lvl>
    <w:lvl w:ilvl="5" w:tplc="AD5043CC">
      <w:start w:val="1"/>
      <w:numFmt w:val="bullet"/>
      <w:lvlText w:val=""/>
      <w:lvlJc w:val="left"/>
      <w:pPr>
        <w:ind w:left="4320" w:hanging="360"/>
      </w:pPr>
      <w:rPr>
        <w:rFonts w:ascii="Wingdings" w:hAnsi="Wingdings" w:hint="default"/>
      </w:rPr>
    </w:lvl>
    <w:lvl w:ilvl="6" w:tplc="4A284D08">
      <w:start w:val="1"/>
      <w:numFmt w:val="bullet"/>
      <w:lvlText w:val=""/>
      <w:lvlJc w:val="left"/>
      <w:pPr>
        <w:ind w:left="5040" w:hanging="360"/>
      </w:pPr>
      <w:rPr>
        <w:rFonts w:ascii="Symbol" w:hAnsi="Symbol" w:hint="default"/>
      </w:rPr>
    </w:lvl>
    <w:lvl w:ilvl="7" w:tplc="8F7C1342">
      <w:start w:val="1"/>
      <w:numFmt w:val="bullet"/>
      <w:lvlText w:val="o"/>
      <w:lvlJc w:val="left"/>
      <w:pPr>
        <w:ind w:left="5760" w:hanging="360"/>
      </w:pPr>
      <w:rPr>
        <w:rFonts w:ascii="Courier New" w:hAnsi="Courier New" w:hint="default"/>
      </w:rPr>
    </w:lvl>
    <w:lvl w:ilvl="8" w:tplc="2208D674">
      <w:start w:val="1"/>
      <w:numFmt w:val="bullet"/>
      <w:lvlText w:val=""/>
      <w:lvlJc w:val="left"/>
      <w:pPr>
        <w:ind w:left="6480" w:hanging="360"/>
      </w:pPr>
      <w:rPr>
        <w:rFonts w:ascii="Wingdings" w:hAnsi="Wingdings" w:hint="default"/>
      </w:rPr>
    </w:lvl>
  </w:abstractNum>
  <w:abstractNum w:abstractNumId="57" w15:restartNumberingAfterBreak="0">
    <w:nsid w:val="78825738"/>
    <w:multiLevelType w:val="hybridMultilevel"/>
    <w:tmpl w:val="7698FFD2"/>
    <w:lvl w:ilvl="0" w:tplc="DBA29448">
      <w:numFmt w:val="bullet"/>
      <w:lvlText w:val="-"/>
      <w:lvlJc w:val="left"/>
      <w:pPr>
        <w:ind w:left="360" w:hanging="360"/>
      </w:pPr>
      <w:rPr>
        <w:rFonts w:ascii="Calibri" w:eastAsia="Times New Roman" w:hAnsi="Calibri" w:cs="Calibri" w:hint="default"/>
      </w:rPr>
    </w:lvl>
    <w:lvl w:ilvl="1" w:tplc="1809001B">
      <w:start w:val="1"/>
      <w:numFmt w:val="lowerRoman"/>
      <w:lvlText w:val="%2."/>
      <w:lvlJc w:val="right"/>
      <w:pPr>
        <w:ind w:left="1080" w:hanging="360"/>
      </w:pPr>
      <w:rPr>
        <w:rFonts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8" w15:restartNumberingAfterBreak="0">
    <w:nsid w:val="7E136251"/>
    <w:multiLevelType w:val="hybridMultilevel"/>
    <w:tmpl w:val="2160BC50"/>
    <w:lvl w:ilvl="0" w:tplc="18090001">
      <w:start w:val="1"/>
      <w:numFmt w:val="bullet"/>
      <w:lvlText w:val=""/>
      <w:lvlJc w:val="left"/>
      <w:pPr>
        <w:ind w:left="360" w:hanging="360"/>
      </w:pPr>
      <w:rPr>
        <w:rFonts w:ascii="Symbol" w:hAnsi="Symbol" w:hint="default"/>
      </w:rPr>
    </w:lvl>
    <w:lvl w:ilvl="1" w:tplc="1809001B">
      <w:start w:val="1"/>
      <w:numFmt w:val="lowerRoman"/>
      <w:lvlText w:val="%2."/>
      <w:lvlJc w:val="right"/>
      <w:pPr>
        <w:ind w:left="1080" w:hanging="360"/>
      </w:pPr>
      <w:rPr>
        <w:rFonts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num w:numId="1">
    <w:abstractNumId w:val="39"/>
  </w:num>
  <w:num w:numId="2">
    <w:abstractNumId w:val="54"/>
  </w:num>
  <w:num w:numId="3">
    <w:abstractNumId w:val="12"/>
  </w:num>
  <w:num w:numId="4">
    <w:abstractNumId w:val="11"/>
  </w:num>
  <w:num w:numId="5">
    <w:abstractNumId w:val="47"/>
  </w:num>
  <w:num w:numId="6">
    <w:abstractNumId w:val="7"/>
  </w:num>
  <w:num w:numId="7">
    <w:abstractNumId w:val="5"/>
  </w:num>
  <w:num w:numId="8">
    <w:abstractNumId w:val="28"/>
  </w:num>
  <w:num w:numId="9">
    <w:abstractNumId w:val="53"/>
  </w:num>
  <w:num w:numId="10">
    <w:abstractNumId w:val="25"/>
  </w:num>
  <w:num w:numId="11">
    <w:abstractNumId w:val="48"/>
  </w:num>
  <w:num w:numId="12">
    <w:abstractNumId w:val="29"/>
  </w:num>
  <w:num w:numId="13">
    <w:abstractNumId w:val="43"/>
  </w:num>
  <w:num w:numId="14">
    <w:abstractNumId w:val="33"/>
  </w:num>
  <w:num w:numId="15">
    <w:abstractNumId w:val="49"/>
  </w:num>
  <w:num w:numId="16">
    <w:abstractNumId w:val="3"/>
  </w:num>
  <w:num w:numId="17">
    <w:abstractNumId w:val="6"/>
  </w:num>
  <w:num w:numId="18">
    <w:abstractNumId w:val="8"/>
  </w:num>
  <w:num w:numId="19">
    <w:abstractNumId w:val="44"/>
  </w:num>
  <w:num w:numId="20">
    <w:abstractNumId w:val="58"/>
  </w:num>
  <w:num w:numId="21">
    <w:abstractNumId w:val="20"/>
  </w:num>
  <w:num w:numId="22">
    <w:abstractNumId w:val="36"/>
  </w:num>
  <w:num w:numId="23">
    <w:abstractNumId w:val="38"/>
  </w:num>
  <w:num w:numId="24">
    <w:abstractNumId w:val="15"/>
  </w:num>
  <w:num w:numId="25">
    <w:abstractNumId w:val="52"/>
  </w:num>
  <w:num w:numId="26">
    <w:abstractNumId w:val="10"/>
  </w:num>
  <w:num w:numId="27">
    <w:abstractNumId w:val="24"/>
  </w:num>
  <w:num w:numId="28">
    <w:abstractNumId w:val="42"/>
  </w:num>
  <w:num w:numId="29">
    <w:abstractNumId w:val="41"/>
  </w:num>
  <w:num w:numId="30">
    <w:abstractNumId w:val="2"/>
  </w:num>
  <w:num w:numId="31">
    <w:abstractNumId w:val="14"/>
  </w:num>
  <w:num w:numId="32">
    <w:abstractNumId w:val="57"/>
  </w:num>
  <w:num w:numId="33">
    <w:abstractNumId w:val="46"/>
  </w:num>
  <w:num w:numId="34">
    <w:abstractNumId w:val="0"/>
  </w:num>
  <w:num w:numId="35">
    <w:abstractNumId w:val="34"/>
  </w:num>
  <w:num w:numId="36">
    <w:abstractNumId w:val="19"/>
  </w:num>
  <w:num w:numId="37">
    <w:abstractNumId w:val="23"/>
  </w:num>
  <w:num w:numId="38">
    <w:abstractNumId w:val="27"/>
  </w:num>
  <w:num w:numId="39">
    <w:abstractNumId w:val="37"/>
  </w:num>
  <w:num w:numId="40">
    <w:abstractNumId w:val="21"/>
  </w:num>
  <w:num w:numId="41">
    <w:abstractNumId w:val="26"/>
  </w:num>
  <w:num w:numId="42">
    <w:abstractNumId w:val="49"/>
  </w:num>
  <w:num w:numId="43">
    <w:abstractNumId w:val="13"/>
  </w:num>
  <w:num w:numId="44">
    <w:abstractNumId w:val="4"/>
  </w:num>
  <w:num w:numId="45">
    <w:abstractNumId w:val="31"/>
  </w:num>
  <w:num w:numId="46">
    <w:abstractNumId w:val="32"/>
  </w:num>
  <w:num w:numId="47">
    <w:abstractNumId w:val="30"/>
  </w:num>
  <w:num w:numId="48">
    <w:abstractNumId w:val="18"/>
  </w:num>
  <w:num w:numId="49">
    <w:abstractNumId w:val="45"/>
  </w:num>
  <w:num w:numId="50">
    <w:abstractNumId w:val="56"/>
  </w:num>
  <w:num w:numId="51">
    <w:abstractNumId w:val="37"/>
  </w:num>
  <w:num w:numId="52">
    <w:abstractNumId w:val="40"/>
  </w:num>
  <w:num w:numId="53">
    <w:abstractNumId w:val="1"/>
  </w:num>
  <w:num w:numId="54">
    <w:abstractNumId w:val="50"/>
  </w:num>
  <w:num w:numId="55">
    <w:abstractNumId w:val="17"/>
  </w:num>
  <w:num w:numId="56">
    <w:abstractNumId w:val="55"/>
  </w:num>
  <w:num w:numId="57">
    <w:abstractNumId w:val="22"/>
  </w:num>
  <w:num w:numId="58">
    <w:abstractNumId w:val="16"/>
  </w:num>
  <w:num w:numId="59">
    <w:abstractNumId w:val="35"/>
  </w:num>
  <w:num w:numId="60">
    <w:abstractNumId w:val="51"/>
  </w:num>
  <w:num w:numId="61">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removePersonalInformation/>
  <w:removeDateAndTime/>
  <w:hideSpellingErrors/>
  <w:hideGrammaticalErrors/>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to the "/>
    <w:docVar w:name="LW_ANNEX_NBR_FIRST" w:val="1"/>
    <w:docVar w:name="LW_ANNEX_NBR_LAST" w:val="1"/>
    <w:docVar w:name="LW_ANNEX_UNIQUE" w:val="1"/>
    <w:docVar w:name="LW_CORRIGENDUM" w:val="&lt;UNUSED&gt;"/>
    <w:docVar w:name="LW_COVERPAGE_EXISTS" w:val="True"/>
    <w:docVar w:name="LW_COVERPAGE_GUID" w:val="4467B634-0721-44CD-9B96-CC535F34000D"/>
    <w:docVar w:name="LW_COVERPAGE_TYPE" w:val="1"/>
    <w:docVar w:name="LW_CROSSREFERENCE" w:val="{SWD(2021) 180 final}"/>
    <w:docVar w:name="LW_DocType" w:val="NORMAL"/>
    <w:docVar w:name="LW_EMISSION" w:val="6.7.2021"/>
    <w:docVar w:name="LW_EMISSION_ISODATE" w:val="2021-07-06"/>
    <w:docVar w:name="LW_EMISSION_LOCATION" w:val="STR"/>
    <w:docVar w:name="LW_EMISSION_PREFIX" w:val="Strasbourg, "/>
    <w:docVar w:name="LW_EMISSION_SUFFIX" w:val=" "/>
    <w:docVar w:name="LW_ID_DOCTYPE_NONLW" w:val="CP-039"/>
    <w:docVar w:name="LW_LANGUE" w:val="EN"/>
    <w:docVar w:name="LW_LEVEL_OF_SENSITIVITY" w:val="Standard treatment"/>
    <w:docVar w:name="LW_NOM.INST" w:val="EUROPEAN COMMISSION"/>
    <w:docVar w:name="LW_NOM.INST_JOINTDOC" w:val="&lt;EMPTY&gt;"/>
    <w:docVar w:name="LW_OBJETACTEPRINCIPAL.CP" w:val="&lt;FMT:Bold&gt;Strategy for Financing the Transition to a Sustainable Economy&lt;/FMT&gt;_x000d__x000d__x000d__x000b_"/>
    <w:docVar w:name="LW_PART_NBR" w:val="1"/>
    <w:docVar w:name="LW_PART_NBR_TOTAL" w:val="1"/>
    <w:docVar w:name="LW_REF.INST.NEW" w:val="COM"/>
    <w:docVar w:name="LW_REF.INST.NEW_ADOPTED" w:val="final"/>
    <w:docVar w:name="LW_REF.INST.NEW_TEXT" w:val="(2021) 39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ANNEX_x000b_"/>
    <w:docVar w:name="LW_TYPEACTEPRINCIPAL.CP" w:val="COMMUNICATION FROM THE COMMISSION TO THE EUROPEAN PARLIAMENT, THE COUNCIL, THE EUROPEAN ECONOMIC AND SOCIAL COMMITTEE AND THE COMMITTEE OF THE REGIONS"/>
    <w:docVar w:name="LwApiVersions" w:val="LW4CoDe 1.23.0.0; LW 8.0, Build 20210114"/>
  </w:docVars>
  <w:rsids>
    <w:rsidRoot w:val="00BA058D"/>
    <w:rsid w:val="00942987"/>
    <w:rsid w:val="00BA0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76"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pPr>
      <w:spacing w:after="0"/>
      <w:outlineLvl w:val="2"/>
    </w:pPr>
    <w:rPr>
      <w:rFonts w:eastAsiaTheme="minorEastAsia"/>
      <w:b/>
      <w:color w:val="000000" w:themeColor="text1"/>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aliases w:val="Issue Action POC,List Paragraph1,3,POCG Table Text,Dot pt,F5 List Paragraph,List Paragraph Char Char Char,Indicator Text,Colorful List - Accent 11,Numbered Para 1,Bullet 1,Bullet Points,List Paragraph2,MAIN CONTENT,Normal numbered,EC,No T"/>
    <w:basedOn w:val="Normal"/>
    <w:link w:val="ListParagraphChar"/>
    <w:uiPriority w:val="34"/>
    <w:qFormat/>
    <w:pPr>
      <w:ind w:left="720"/>
      <w:contextualSpacing/>
    </w:p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1 Char"/>
    <w:link w:val="ListParagraph"/>
    <w:uiPriority w:val="34"/>
    <w:qFormat/>
    <w:locked/>
    <w:rPr>
      <w:lang w:val="en-IE"/>
    </w:rPr>
  </w:style>
  <w:style w:type="character" w:customStyle="1" w:styleId="normaltextrun">
    <w:name w:val="normaltextrun"/>
    <w:basedOn w:val="DefaultParagraphFont"/>
  </w:style>
  <w:style w:type="character" w:customStyle="1" w:styleId="Heading3Char">
    <w:name w:val="Heading 3 Char"/>
    <w:basedOn w:val="DefaultParagraphFont"/>
    <w:link w:val="Heading3"/>
    <w:uiPriority w:val="9"/>
    <w:rPr>
      <w:rFonts w:ascii="Times New Roman" w:eastAsiaTheme="minorEastAsia" w:hAnsi="Times New Roman" w:cs="Times New Roman"/>
      <w:b/>
      <w:color w:val="000000" w:themeColor="text1"/>
      <w:sz w:val="24"/>
      <w:szCs w:val="24"/>
      <w:lang w:eastAsia="en-I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rPr>
      <w:sz w:val="20"/>
      <w:szCs w:val="20"/>
      <w:lang w:eastAsia="en-IE"/>
    </w:rPr>
  </w:style>
  <w:style w:type="character" w:customStyle="1" w:styleId="CommentTextChar">
    <w:name w:val="Comment Text Char"/>
    <w:basedOn w:val="DefaultParagraphFont"/>
    <w:link w:val="CommentText"/>
    <w:uiPriority w:val="99"/>
    <w:qFormat/>
    <w:rPr>
      <w:rFonts w:ascii="Times New Roman" w:hAnsi="Times New Roman" w:cs="Times New Roman"/>
      <w:sz w:val="20"/>
      <w:szCs w:val="20"/>
      <w:lang w:val="en-IE" w:eastAsia="en-IE"/>
    </w:rPr>
  </w:style>
  <w:style w:type="character" w:customStyle="1" w:styleId="findhit">
    <w:name w:val="findhit"/>
    <w:basedOn w:val="DefaultParagraphFont"/>
  </w:style>
  <w:style w:type="paragraph" w:styleId="CommentSubject">
    <w:name w:val="annotation subject"/>
    <w:basedOn w:val="CommentText"/>
    <w:next w:val="CommentText"/>
    <w:link w:val="CommentSubjectChar"/>
    <w:uiPriority w:val="99"/>
    <w:semiHidden/>
    <w:unhideWhenUsed/>
    <w:pPr>
      <w:spacing w:after="160" w:line="240" w:lineRule="auto"/>
      <w:jc w:val="left"/>
    </w:pPr>
    <w:rPr>
      <w:rFonts w:ascii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IE" w:eastAsia="en-IE"/>
    </w:rPr>
  </w:style>
  <w:style w:type="paragraph" w:styleId="Revision">
    <w:name w:val="Revision"/>
    <w:hidden/>
    <w:uiPriority w:val="99"/>
    <w:semiHidden/>
    <w:pPr>
      <w:spacing w:after="0" w:line="240" w:lineRule="auto"/>
    </w:pPr>
  </w:style>
  <w:style w:type="paragraph" w:customStyle="1" w:styleId="paragraph">
    <w:name w:val="paragraph"/>
    <w:basedOn w:val="Normal"/>
    <w:pPr>
      <w:spacing w:before="100" w:beforeAutospacing="1" w:after="100" w:afterAutospacing="1" w:line="240" w:lineRule="auto"/>
    </w:pPr>
    <w:rPr>
      <w:rFonts w:eastAsia="Times New Roman"/>
      <w:lang w:val="fr-BE" w:eastAsia="fr-BE"/>
    </w:rPr>
  </w:style>
  <w:style w:type="character" w:customStyle="1" w:styleId="eop">
    <w:name w:val="eop"/>
    <w:basedOn w:val="DefaultParagraphFont"/>
  </w:style>
  <w:style w:type="character" w:styleId="Hyperlink">
    <w:name w:val="Hyperlink"/>
    <w:basedOn w:val="DefaultParagraphFont"/>
    <w:uiPriority w:val="99"/>
    <w:unhideWhenUsed/>
    <w:rPr>
      <w:color w:val="0563C1" w:themeColor="hyperlink"/>
      <w:u w:val="single"/>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IE"/>
    </w:rPr>
  </w:style>
  <w:style w:type="paragraph" w:styleId="NoSpacing">
    <w:name w:val="No Spacing"/>
    <w:uiPriority w:val="1"/>
    <w:qFormat/>
    <w:pPr>
      <w:spacing w:after="120" w:line="276" w:lineRule="auto"/>
      <w:jc w:val="both"/>
    </w:pPr>
    <w:rPr>
      <w:rFonts w:ascii="Times New Roman" w:hAnsi="Times New Roman" w:cs="Times New Roman"/>
      <w:sz w:val="24"/>
      <w:szCs w:val="24"/>
      <w:lang w:val="en-IE"/>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customStyle="1" w:styleId="TableGridLight1">
    <w:name w:val="Table Grid Light1"/>
    <w:basedOn w:val="TableNormal"/>
    <w:uiPriority w:val="40"/>
    <w:pPr>
      <w:widowControl w:val="0"/>
      <w:autoSpaceDE w:val="0"/>
      <w:autoSpaceDN w:val="0"/>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gkelc">
    <w:name w:val="hgkelc"/>
    <w:basedOn w:val="DefaultParagraphFont"/>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rFonts w:asciiTheme="minorHAnsi" w:hAnsiTheme="minorHAnsi" w:cstheme="minorBidi"/>
      <w:sz w:val="20"/>
      <w:szCs w:val="20"/>
      <w:lang w:val="en-US"/>
    </w:rPr>
  </w:style>
  <w:style w:type="character" w:customStyle="1" w:styleId="FootnoteTextChar1">
    <w:name w:val="Footnote Text Char1"/>
    <w:basedOn w:val="DefaultParagraphFont"/>
    <w:uiPriority w:val="99"/>
    <w:semiHidden/>
    <w:rPr>
      <w:rFonts w:ascii="Times New Roman" w:hAnsi="Times New Roman" w:cs="Times New Roman"/>
      <w:sz w:val="20"/>
      <w:szCs w:val="20"/>
      <w:lang w:val="en-IE"/>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pPr>
    <w:rPr>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jc w:val="left"/>
    </w:pPr>
  </w:style>
  <w:style w:type="character" w:customStyle="1" w:styleId="FooterCoverPageChar">
    <w:name w:val="Footer Cover Page Char"/>
    <w:basedOn w:val="DefaultParagraphFont"/>
    <w:link w:val="FooterCoverPage"/>
    <w:rPr>
      <w:rFonts w:ascii="Times New Roman" w:hAnsi="Times New Roman" w:cs="Times New Roman"/>
      <w:sz w:val="24"/>
      <w:szCs w:val="24"/>
      <w:lang w:val="en-GB"/>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szCs w:val="24"/>
      <w:lang w:val="en-GB"/>
    </w:rPr>
  </w:style>
  <w:style w:type="paragraph" w:customStyle="1" w:styleId="HeaderCoverPage">
    <w:name w:val="Header Cover Page"/>
    <w:basedOn w:val="Normal"/>
    <w:link w:val="HeaderCoverPageChar"/>
    <w:pPr>
      <w:tabs>
        <w:tab w:val="center" w:pos="4535"/>
        <w:tab w:val="right" w:pos="9071"/>
      </w:tabs>
      <w:spacing w:line="240" w:lineRule="auto"/>
    </w:pPr>
  </w:style>
  <w:style w:type="character" w:customStyle="1" w:styleId="HeaderCoverPageChar">
    <w:name w:val="Header Cover Page Char"/>
    <w:basedOn w:val="DefaultParagraphFont"/>
    <w:link w:val="HeaderCoverPage"/>
    <w:rPr>
      <w:rFonts w:ascii="Times New Roman" w:hAnsi="Times New Roman" w:cs="Times New Roman"/>
      <w:sz w:val="24"/>
      <w:szCs w:val="24"/>
      <w:lang w:val="en-GB"/>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line="240" w:lineRule="auto"/>
      <w:ind w:left="113" w:right="113"/>
      <w:jc w:val="center"/>
    </w:pPr>
    <w:rPr>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szCs w:val="24"/>
      <w:lang w:val="en-GB"/>
    </w:rPr>
  </w:style>
  <w:style w:type="paragraph" w:customStyle="1" w:styleId="HeaderSensitivityRight">
    <w:name w:val="Header Sensitivity Right"/>
    <w:basedOn w:val="Normal"/>
    <w:link w:val="HeaderSensitivityRightChar"/>
    <w:pPr>
      <w:spacing w:line="240" w:lineRule="auto"/>
      <w:jc w:val="right"/>
    </w:pPr>
    <w:rPr>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szCs w:val="24"/>
      <w:lang w:val="en-GB"/>
    </w:r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line="240" w:lineRule="auto"/>
    </w:pPr>
    <w:rPr>
      <w:szCs w:val="22"/>
    </w:rPr>
  </w:style>
  <w:style w:type="paragraph" w:customStyle="1" w:styleId="SecurityMarking">
    <w:name w:val="SecurityMarking"/>
    <w:basedOn w:val="Normal"/>
    <w:pPr>
      <w:spacing w:after="0"/>
      <w:ind w:left="5103"/>
      <w:jc w:val="left"/>
    </w:pPr>
    <w:rPr>
      <w:sz w:val="28"/>
      <w:szCs w:val="22"/>
    </w:rPr>
  </w:style>
  <w:style w:type="paragraph" w:customStyle="1" w:styleId="DateMarking">
    <w:name w:val="DateMarking"/>
    <w:basedOn w:val="Normal"/>
    <w:pPr>
      <w:spacing w:after="0"/>
      <w:ind w:left="5103"/>
      <w:jc w:val="left"/>
    </w:pPr>
    <w:rPr>
      <w:i/>
      <w:sz w:val="28"/>
      <w:szCs w:val="22"/>
    </w:rPr>
  </w:style>
  <w:style w:type="paragraph" w:customStyle="1" w:styleId="ReleasableTo">
    <w:name w:val="ReleasableTo"/>
    <w:basedOn w:val="Normal"/>
    <w:pPr>
      <w:spacing w:after="0"/>
      <w:ind w:left="5103"/>
      <w:jc w:val="left"/>
    </w:pPr>
    <w:rPr>
      <w:i/>
      <w:sz w:val="28"/>
      <w:szCs w:val="22"/>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19585">
      <w:bodyDiv w:val="1"/>
      <w:marLeft w:val="0"/>
      <w:marRight w:val="0"/>
      <w:marTop w:val="0"/>
      <w:marBottom w:val="0"/>
      <w:divBdr>
        <w:top w:val="none" w:sz="0" w:space="0" w:color="auto"/>
        <w:left w:val="none" w:sz="0" w:space="0" w:color="auto"/>
        <w:bottom w:val="none" w:sz="0" w:space="0" w:color="auto"/>
        <w:right w:val="none" w:sz="0" w:space="0" w:color="auto"/>
      </w:divBdr>
    </w:div>
    <w:div w:id="87894037">
      <w:bodyDiv w:val="1"/>
      <w:marLeft w:val="0"/>
      <w:marRight w:val="0"/>
      <w:marTop w:val="0"/>
      <w:marBottom w:val="0"/>
      <w:divBdr>
        <w:top w:val="none" w:sz="0" w:space="0" w:color="auto"/>
        <w:left w:val="none" w:sz="0" w:space="0" w:color="auto"/>
        <w:bottom w:val="none" w:sz="0" w:space="0" w:color="auto"/>
        <w:right w:val="none" w:sz="0" w:space="0" w:color="auto"/>
      </w:divBdr>
    </w:div>
    <w:div w:id="271745014">
      <w:bodyDiv w:val="1"/>
      <w:marLeft w:val="0"/>
      <w:marRight w:val="0"/>
      <w:marTop w:val="0"/>
      <w:marBottom w:val="0"/>
      <w:divBdr>
        <w:top w:val="none" w:sz="0" w:space="0" w:color="auto"/>
        <w:left w:val="none" w:sz="0" w:space="0" w:color="auto"/>
        <w:bottom w:val="none" w:sz="0" w:space="0" w:color="auto"/>
        <w:right w:val="none" w:sz="0" w:space="0" w:color="auto"/>
      </w:divBdr>
    </w:div>
    <w:div w:id="446659112">
      <w:bodyDiv w:val="1"/>
      <w:marLeft w:val="0"/>
      <w:marRight w:val="0"/>
      <w:marTop w:val="0"/>
      <w:marBottom w:val="0"/>
      <w:divBdr>
        <w:top w:val="none" w:sz="0" w:space="0" w:color="auto"/>
        <w:left w:val="none" w:sz="0" w:space="0" w:color="auto"/>
        <w:bottom w:val="none" w:sz="0" w:space="0" w:color="auto"/>
        <w:right w:val="none" w:sz="0" w:space="0" w:color="auto"/>
      </w:divBdr>
    </w:div>
    <w:div w:id="784497246">
      <w:bodyDiv w:val="1"/>
      <w:marLeft w:val="0"/>
      <w:marRight w:val="0"/>
      <w:marTop w:val="0"/>
      <w:marBottom w:val="0"/>
      <w:divBdr>
        <w:top w:val="none" w:sz="0" w:space="0" w:color="auto"/>
        <w:left w:val="none" w:sz="0" w:space="0" w:color="auto"/>
        <w:bottom w:val="none" w:sz="0" w:space="0" w:color="auto"/>
        <w:right w:val="none" w:sz="0" w:space="0" w:color="auto"/>
      </w:divBdr>
    </w:div>
    <w:div w:id="869412550">
      <w:bodyDiv w:val="1"/>
      <w:marLeft w:val="0"/>
      <w:marRight w:val="0"/>
      <w:marTop w:val="0"/>
      <w:marBottom w:val="0"/>
      <w:divBdr>
        <w:top w:val="none" w:sz="0" w:space="0" w:color="auto"/>
        <w:left w:val="none" w:sz="0" w:space="0" w:color="auto"/>
        <w:bottom w:val="none" w:sz="0" w:space="0" w:color="auto"/>
        <w:right w:val="none" w:sz="0" w:space="0" w:color="auto"/>
      </w:divBdr>
      <w:divsChild>
        <w:div w:id="1716275274">
          <w:marLeft w:val="0"/>
          <w:marRight w:val="0"/>
          <w:marTop w:val="0"/>
          <w:marBottom w:val="0"/>
          <w:divBdr>
            <w:top w:val="none" w:sz="0" w:space="0" w:color="auto"/>
            <w:left w:val="none" w:sz="0" w:space="0" w:color="auto"/>
            <w:bottom w:val="none" w:sz="0" w:space="0" w:color="auto"/>
            <w:right w:val="none" w:sz="0" w:space="0" w:color="auto"/>
          </w:divBdr>
        </w:div>
        <w:div w:id="1347562877">
          <w:marLeft w:val="0"/>
          <w:marRight w:val="0"/>
          <w:marTop w:val="0"/>
          <w:marBottom w:val="0"/>
          <w:divBdr>
            <w:top w:val="none" w:sz="0" w:space="0" w:color="auto"/>
            <w:left w:val="none" w:sz="0" w:space="0" w:color="auto"/>
            <w:bottom w:val="none" w:sz="0" w:space="0" w:color="auto"/>
            <w:right w:val="none" w:sz="0" w:space="0" w:color="auto"/>
          </w:divBdr>
        </w:div>
      </w:divsChild>
    </w:div>
    <w:div w:id="973290498">
      <w:bodyDiv w:val="1"/>
      <w:marLeft w:val="0"/>
      <w:marRight w:val="0"/>
      <w:marTop w:val="0"/>
      <w:marBottom w:val="0"/>
      <w:divBdr>
        <w:top w:val="none" w:sz="0" w:space="0" w:color="auto"/>
        <w:left w:val="none" w:sz="0" w:space="0" w:color="auto"/>
        <w:bottom w:val="none" w:sz="0" w:space="0" w:color="auto"/>
        <w:right w:val="none" w:sz="0" w:space="0" w:color="auto"/>
      </w:divBdr>
      <w:divsChild>
        <w:div w:id="1408069971">
          <w:marLeft w:val="0"/>
          <w:marRight w:val="0"/>
          <w:marTop w:val="0"/>
          <w:marBottom w:val="0"/>
          <w:divBdr>
            <w:top w:val="none" w:sz="0" w:space="0" w:color="auto"/>
            <w:left w:val="none" w:sz="0" w:space="0" w:color="auto"/>
            <w:bottom w:val="none" w:sz="0" w:space="0" w:color="auto"/>
            <w:right w:val="none" w:sz="0" w:space="0" w:color="auto"/>
          </w:divBdr>
        </w:div>
        <w:div w:id="556935840">
          <w:marLeft w:val="0"/>
          <w:marRight w:val="0"/>
          <w:marTop w:val="0"/>
          <w:marBottom w:val="0"/>
          <w:divBdr>
            <w:top w:val="none" w:sz="0" w:space="0" w:color="auto"/>
            <w:left w:val="none" w:sz="0" w:space="0" w:color="auto"/>
            <w:bottom w:val="none" w:sz="0" w:space="0" w:color="auto"/>
            <w:right w:val="none" w:sz="0" w:space="0" w:color="auto"/>
          </w:divBdr>
        </w:div>
        <w:div w:id="1352103288">
          <w:marLeft w:val="0"/>
          <w:marRight w:val="0"/>
          <w:marTop w:val="0"/>
          <w:marBottom w:val="0"/>
          <w:divBdr>
            <w:top w:val="none" w:sz="0" w:space="0" w:color="auto"/>
            <w:left w:val="none" w:sz="0" w:space="0" w:color="auto"/>
            <w:bottom w:val="none" w:sz="0" w:space="0" w:color="auto"/>
            <w:right w:val="none" w:sz="0" w:space="0" w:color="auto"/>
          </w:divBdr>
        </w:div>
      </w:divsChild>
    </w:div>
    <w:div w:id="1406807136">
      <w:bodyDiv w:val="1"/>
      <w:marLeft w:val="0"/>
      <w:marRight w:val="0"/>
      <w:marTop w:val="0"/>
      <w:marBottom w:val="0"/>
      <w:divBdr>
        <w:top w:val="none" w:sz="0" w:space="0" w:color="auto"/>
        <w:left w:val="none" w:sz="0" w:space="0" w:color="auto"/>
        <w:bottom w:val="none" w:sz="0" w:space="0" w:color="auto"/>
        <w:right w:val="none" w:sz="0" w:space="0" w:color="auto"/>
      </w:divBdr>
    </w:div>
    <w:div w:id="1505053497">
      <w:bodyDiv w:val="1"/>
      <w:marLeft w:val="0"/>
      <w:marRight w:val="0"/>
      <w:marTop w:val="0"/>
      <w:marBottom w:val="0"/>
      <w:divBdr>
        <w:top w:val="none" w:sz="0" w:space="0" w:color="auto"/>
        <w:left w:val="none" w:sz="0" w:space="0" w:color="auto"/>
        <w:bottom w:val="none" w:sz="0" w:space="0" w:color="auto"/>
        <w:right w:val="none" w:sz="0" w:space="0" w:color="auto"/>
      </w:divBdr>
    </w:div>
    <w:div w:id="1578858707">
      <w:bodyDiv w:val="1"/>
      <w:marLeft w:val="0"/>
      <w:marRight w:val="0"/>
      <w:marTop w:val="0"/>
      <w:marBottom w:val="0"/>
      <w:divBdr>
        <w:top w:val="none" w:sz="0" w:space="0" w:color="auto"/>
        <w:left w:val="none" w:sz="0" w:space="0" w:color="auto"/>
        <w:bottom w:val="none" w:sz="0" w:space="0" w:color="auto"/>
        <w:right w:val="none" w:sz="0" w:space="0" w:color="auto"/>
      </w:divBdr>
    </w:div>
    <w:div w:id="1771318782">
      <w:bodyDiv w:val="1"/>
      <w:marLeft w:val="0"/>
      <w:marRight w:val="0"/>
      <w:marTop w:val="0"/>
      <w:marBottom w:val="0"/>
      <w:divBdr>
        <w:top w:val="none" w:sz="0" w:space="0" w:color="auto"/>
        <w:left w:val="none" w:sz="0" w:space="0" w:color="auto"/>
        <w:bottom w:val="none" w:sz="0" w:space="0" w:color="auto"/>
        <w:right w:val="none" w:sz="0" w:space="0" w:color="auto"/>
      </w:divBdr>
    </w:div>
    <w:div w:id="204566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d6505ce184a34f6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61fe75368caf4139"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3" Type="http://schemas.openxmlformats.org/officeDocument/2006/relationships/hyperlink" Target="https://www.esma.europa.eu/sites/default/files/library/esma-2014-677-rev_public_statement_concerning_shareholder_cooperation_and_acting_in_concert.pdf" TargetMode="External"/><Relationship Id="rId2" Type="http://schemas.openxmlformats.org/officeDocument/2006/relationships/hyperlink" Target="https://trade.ec.europa.eu/doclib/docs/2021/february/tradoc_159438.pdf" TargetMode="External"/><Relationship Id="rId1" Type="http://schemas.openxmlformats.org/officeDocument/2006/relationships/hyperlink" Target="https://ec.europa.eu/sustainable-finance-taxonomy/tool/index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18F24F2D4E8140A461B5DCD99F9D2E" ma:contentTypeVersion="11" ma:contentTypeDescription="Create a new document." ma:contentTypeScope="" ma:versionID="324c9916df5468fa2464780b7a430a9a">
  <xsd:schema xmlns:xsd="http://www.w3.org/2001/XMLSchema" xmlns:xs="http://www.w3.org/2001/XMLSchema" xmlns:p="http://schemas.microsoft.com/office/2006/metadata/properties" xmlns:ns2="a5835c61-ca2e-49ee-8dca-a76e9f0344a3" xmlns:ns3="ba7bd860-1739-4001-af8a-147771a6eb05" targetNamespace="http://schemas.microsoft.com/office/2006/metadata/properties" ma:root="true" ma:fieldsID="66bc53149b4be89e49f6df9992b83f02" ns2:_="" ns3:_="">
    <xsd:import namespace="a5835c61-ca2e-49ee-8dca-a76e9f0344a3"/>
    <xsd:import namespace="ba7bd860-1739-4001-af8a-147771a6eb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35c61-ca2e-49ee-8dca-a76e9f0344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7bd860-1739-4001-af8a-147771a6eb0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506D8-4BE9-498A-BF4A-F8AD246BCF87}">
  <ds:schemaRefs>
    <ds:schemaRef ds:uri="http://schemas.microsoft.com/sharepoint/v3/contenttype/forms"/>
  </ds:schemaRefs>
</ds:datastoreItem>
</file>

<file path=customXml/itemProps2.xml><?xml version="1.0" encoding="utf-8"?>
<ds:datastoreItem xmlns:ds="http://schemas.openxmlformats.org/officeDocument/2006/customXml" ds:itemID="{93C6B693-9128-43C8-B294-EED8A34E97BC}">
  <ds:schemaRefs>
    <ds:schemaRef ds:uri="http://purl.org/dc/elements/1.1/"/>
    <ds:schemaRef ds:uri="http://schemas.microsoft.com/office/2006/metadata/properties"/>
    <ds:schemaRef ds:uri="ba7bd860-1739-4001-af8a-147771a6eb05"/>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a5835c61-ca2e-49ee-8dca-a76e9f0344a3"/>
    <ds:schemaRef ds:uri="http://www.w3.org/XML/1998/namespace"/>
    <ds:schemaRef ds:uri="http://purl.org/dc/dcmitype/"/>
  </ds:schemaRefs>
</ds:datastoreItem>
</file>

<file path=customXml/itemProps3.xml><?xml version="1.0" encoding="utf-8"?>
<ds:datastoreItem xmlns:ds="http://schemas.openxmlformats.org/officeDocument/2006/customXml" ds:itemID="{F5CE42B8-E24B-4AA1-876C-3EBCE0E10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35c61-ca2e-49ee-8dca-a76e9f0344a3"/>
    <ds:schemaRef ds:uri="ba7bd860-1739-4001-af8a-147771a6eb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332BBD-F71A-4D14-B052-49F026245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4492</Words>
  <Characters>26683</Characters>
  <Application>Microsoft Office Word</Application>
  <DocSecurity>0</DocSecurity>
  <Lines>503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2021-07-05T16:39:00Z</dcterms:created>
  <dcterms:modified xsi:type="dcterms:W3CDTF">2021-07-06T10:12:00Z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tatus">
    <vt:lpwstr>Green</vt:lpwstr>
  </property>
  <property fmtid="{D5CDD505-2E9C-101B-9397-08002B2CF9AE}" pid="3" name="Level of sensitivity">
    <vt:lpwstr>Standard treatment</vt:lpwstr>
  </property>
  <property fmtid="{D5CDD505-2E9C-101B-9397-08002B2CF9AE}" pid="4" name="Last edited using">
    <vt:lpwstr>LW 7.0.1, Build 20200226</vt:lpwstr>
  </property>
  <property fmtid="{D5CDD505-2E9C-101B-9397-08002B2CF9AE}" pid="5" name="First annex">
    <vt:lpwstr>1</vt:lpwstr>
  </property>
  <property fmtid="{D5CDD505-2E9C-101B-9397-08002B2CF9AE}" pid="6" name="Last annex">
    <vt:lpwstr>1</vt:lpwstr>
  </property>
  <property fmtid="{D5CDD505-2E9C-101B-9397-08002B2CF9AE}" pid="7" name="Unique annex">
    <vt:lpwstr>1</vt:lpwstr>
  </property>
  <property fmtid="{D5CDD505-2E9C-101B-9397-08002B2CF9AE}" pid="8" name="Part">
    <vt:lpwstr>1</vt:lpwstr>
  </property>
  <property fmtid="{D5CDD505-2E9C-101B-9397-08002B2CF9AE}" pid="9" name="Total parts">
    <vt:lpwstr>1</vt:lpwstr>
  </property>
  <property fmtid="{D5CDD505-2E9C-101B-9397-08002B2CF9AE}" pid="10" name="CPTemplateID">
    <vt:lpwstr>CP-039</vt:lpwstr>
  </property>
  <property fmtid="{D5CDD505-2E9C-101B-9397-08002B2CF9AE}" pid="11" name="_LW_INVALIDATED_ContentTypeId">
    <vt:lpwstr>0x0101008B18F24F2D4E8140A461B5DCD99F9D2E</vt:lpwstr>
  </property>
</Properties>
</file>