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895" w:rsidRPr="00F123D2" w:rsidRDefault="00A7243D" w:rsidP="00A7243D">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92CF511D-7150-4561-98FE-9E8BFAD5893B" style="width:455.25pt;height:371.25pt">
            <v:imagedata r:id="rId11" o:title=""/>
          </v:shape>
        </w:pict>
      </w:r>
    </w:p>
    <w:p w:rsidR="00382895" w:rsidRPr="00F123D2" w:rsidRDefault="00382895" w:rsidP="00440DA8">
      <w:pPr>
        <w:rPr>
          <w:noProof/>
        </w:rPr>
        <w:sectPr w:rsidR="00382895" w:rsidRPr="00F123D2" w:rsidSect="00A7243D">
          <w:footerReference w:type="even" r:id="rId12"/>
          <w:footerReference w:type="default" r:id="rId13"/>
          <w:footnotePr>
            <w:numRestart w:val="eachSect"/>
          </w:footnotePr>
          <w:pgSz w:w="11907" w:h="16839"/>
          <w:pgMar w:top="1134" w:right="1417" w:bottom="1134" w:left="1417" w:header="709" w:footer="709" w:gutter="0"/>
          <w:pgNumType w:start="0"/>
          <w:cols w:space="720"/>
          <w:docGrid w:linePitch="360"/>
        </w:sectPr>
      </w:pPr>
    </w:p>
    <w:p w:rsidR="00382895" w:rsidRPr="00F123D2" w:rsidRDefault="239980AF" w:rsidP="00440DA8">
      <w:pPr>
        <w:pStyle w:val="Exposdesmotifstitre"/>
        <w:rPr>
          <w:noProof/>
        </w:rPr>
      </w:pPr>
      <w:bookmarkStart w:id="0" w:name="_GoBack"/>
      <w:bookmarkEnd w:id="0"/>
      <w:r w:rsidRPr="00F123D2">
        <w:rPr>
          <w:noProof/>
        </w:rPr>
        <w:lastRenderedPageBreak/>
        <w:t>ОБЯСНИТЕЛЕН МЕМОРАНДУМ</w:t>
      </w:r>
    </w:p>
    <w:p w:rsidR="00382895" w:rsidRPr="00F123D2" w:rsidRDefault="00382895" w:rsidP="00440DA8">
      <w:pPr>
        <w:pStyle w:val="ManualHeading1"/>
        <w:rPr>
          <w:noProof/>
        </w:rPr>
      </w:pPr>
      <w:r w:rsidRPr="00F123D2">
        <w:rPr>
          <w:noProof/>
        </w:rPr>
        <w:t>1.</w:t>
      </w:r>
      <w:r w:rsidRPr="00F123D2">
        <w:rPr>
          <w:noProof/>
        </w:rPr>
        <w:tab/>
        <w:t>КОНТЕКСТ НА ПРЕДЛОЖЕНИЕТО</w:t>
      </w:r>
    </w:p>
    <w:p w:rsidR="00382895" w:rsidRPr="00F123D2" w:rsidRDefault="00382895" w:rsidP="00440DA8">
      <w:pPr>
        <w:pStyle w:val="ManualHeading2"/>
        <w:rPr>
          <w:rFonts w:eastAsia="Arial Unicode MS"/>
          <w:noProof/>
        </w:rPr>
      </w:pPr>
      <w:r w:rsidRPr="00F123D2">
        <w:rPr>
          <w:noProof/>
          <w:color w:val="000000"/>
          <w:u w:color="000000"/>
          <w:bdr w:val="nil"/>
        </w:rPr>
        <w:t>•</w:t>
      </w:r>
      <w:r w:rsidRPr="00F123D2">
        <w:rPr>
          <w:noProof/>
        </w:rPr>
        <w:tab/>
        <w:t>Основания и цели на предложението</w:t>
      </w:r>
    </w:p>
    <w:p w:rsidR="00063BFE" w:rsidRPr="00F123D2" w:rsidRDefault="43143727" w:rsidP="6F483BB9">
      <w:pPr>
        <w:pBdr>
          <w:top w:val="nil"/>
          <w:left w:val="nil"/>
          <w:bottom w:val="nil"/>
          <w:right w:val="nil"/>
          <w:between w:val="nil"/>
          <w:bar w:val="nil"/>
        </w:pBdr>
        <w:spacing w:before="0" w:after="240"/>
        <w:rPr>
          <w:noProof/>
        </w:rPr>
      </w:pPr>
      <w:r w:rsidRPr="00F123D2">
        <w:rPr>
          <w:noProof/>
        </w:rPr>
        <w:t>С Регламент (ЕС) 2026/249</w:t>
      </w:r>
      <w:r w:rsidRPr="00F123D2">
        <w:rPr>
          <w:rStyle w:val="FootnoteReference"/>
          <w:noProof/>
        </w:rPr>
        <w:footnoteReference w:id="2"/>
      </w:r>
      <w:r w:rsidRPr="00F123D2">
        <w:rPr>
          <w:noProof/>
        </w:rPr>
        <w:t xml:space="preserve"> на Съвета се определят възможностите за риболов за 2026 г., 2027 г. и 2028 г. на определени рибни запаси, приложими във водите на ЕС, както и за риболовните кораби на ЕС в някои води извън ЕС. Предложението изменя тези възможности за риболов, за да се вземат предвид публикуването на научни становища, резултатите от консултации с трети държави и от заседанията на регионални организации за управление на рибарството (РОУР), както и други развития. Регламент (ЕС) 2026/249 вече е изменян веднъж със същата цел</w:t>
      </w:r>
      <w:r w:rsidRPr="00F123D2">
        <w:rPr>
          <w:rStyle w:val="FootnoteReference"/>
          <w:noProof/>
        </w:rPr>
        <w:footnoteReference w:id="3"/>
      </w:r>
      <w:r w:rsidRPr="00F123D2">
        <w:rPr>
          <w:noProof/>
        </w:rPr>
        <w:t>.</w:t>
      </w:r>
    </w:p>
    <w:p w:rsidR="00382895" w:rsidRPr="00F123D2" w:rsidRDefault="00382895" w:rsidP="00440DA8">
      <w:pPr>
        <w:pStyle w:val="ManualHeading2"/>
        <w:rPr>
          <w:rFonts w:eastAsia="Arial Unicode MS"/>
          <w:noProof/>
          <w:color w:val="000000"/>
          <w:u w:color="000000"/>
          <w:bdr w:val="nil"/>
        </w:rPr>
      </w:pPr>
      <w:r w:rsidRPr="00F123D2">
        <w:rPr>
          <w:noProof/>
          <w:color w:val="000000"/>
          <w:u w:color="000000"/>
          <w:bdr w:val="nil"/>
        </w:rPr>
        <w:t>•</w:t>
      </w:r>
      <w:r w:rsidRPr="00F123D2">
        <w:rPr>
          <w:noProof/>
        </w:rPr>
        <w:tab/>
        <w:t>Съгласуваност с действащите разпоредби в тази област на политиката</w:t>
      </w:r>
    </w:p>
    <w:p w:rsidR="00382895" w:rsidRPr="00F123D2" w:rsidRDefault="239980AF" w:rsidP="00440DA8">
      <w:pPr>
        <w:rPr>
          <w:noProof/>
        </w:rPr>
      </w:pPr>
      <w:r w:rsidRPr="00F123D2">
        <w:rPr>
          <w:noProof/>
        </w:rPr>
        <w:t>Предложените мерки са в съответствие с целите и правилата, определени в Регламент (ЕС) № 1380/2013</w:t>
      </w:r>
      <w:r w:rsidRPr="00F123D2">
        <w:rPr>
          <w:rStyle w:val="FootnoteReference"/>
          <w:noProof/>
        </w:rPr>
        <w:footnoteReference w:id="4"/>
      </w:r>
      <w:r w:rsidRPr="00F123D2">
        <w:rPr>
          <w:noProof/>
        </w:rPr>
        <w:t xml:space="preserve"> на Европейския парламент и на Съвета относно общата политика в областта на рибарството („основния регламент“), които, наред с другото, трябва да се прилагат при определянето на възможностите за риболов, и по-специално на ограниченията на улова и на риболовното усилие. Една от целите на общата политика в областта на рибарството е възстановяване на запасите до равнища, при които е възможно постигане на максималния устойчив улов, и поддържането на тези равнища. Намерението е да се гарантира, че рибарството в ЕС е устойчиво както в екологично, така и в икономическо и социално отношение.</w:t>
      </w:r>
    </w:p>
    <w:p w:rsidR="00382895" w:rsidRPr="00F123D2" w:rsidRDefault="00382895" w:rsidP="00440DA8">
      <w:pPr>
        <w:pStyle w:val="ManualHeading2"/>
        <w:rPr>
          <w:rFonts w:eastAsia="Arial Unicode MS"/>
          <w:noProof/>
        </w:rPr>
      </w:pPr>
      <w:r w:rsidRPr="00F123D2">
        <w:rPr>
          <w:noProof/>
          <w:color w:val="000000"/>
          <w:u w:color="000000"/>
          <w:bdr w:val="nil"/>
        </w:rPr>
        <w:t>•</w:t>
      </w:r>
      <w:r w:rsidRPr="00F123D2">
        <w:rPr>
          <w:noProof/>
        </w:rPr>
        <w:tab/>
        <w:t>Съгласуваност с други политики на Съюза</w:t>
      </w:r>
    </w:p>
    <w:p w:rsidR="00D20D67" w:rsidRPr="00F123D2" w:rsidRDefault="008769C2" w:rsidP="00D20D67">
      <w:pPr>
        <w:spacing w:before="0" w:after="240"/>
        <w:rPr>
          <w:noProof/>
        </w:rPr>
      </w:pPr>
      <w:r w:rsidRPr="00F123D2">
        <w:rPr>
          <w:noProof/>
        </w:rPr>
        <w:t>Предложените мерки са съгласувани с други политики на ЕС, по-специално с Директива 2008/56/ЕО</w:t>
      </w:r>
      <w:r w:rsidRPr="00F123D2">
        <w:rPr>
          <w:rStyle w:val="FootnoteReference"/>
          <w:noProof/>
        </w:rPr>
        <w:footnoteReference w:id="5"/>
      </w:r>
      <w:r w:rsidRPr="00F123D2">
        <w:rPr>
          <w:noProof/>
        </w:rPr>
        <w:t xml:space="preserve"> на Европейския парламент и на Съвета (Рамкова директива за морска стратегия), като целта е да се допринесе за постигането на добро състояние на околната среда — по-специално по отношение на дескриптор 3, според който се изисква популациите на всички риби и ракообразни, които са обект на промишлен риболов, да са в безопасните биологични граници.</w:t>
      </w:r>
    </w:p>
    <w:p w:rsidR="00382895" w:rsidRPr="00F123D2" w:rsidRDefault="00382895" w:rsidP="00440DA8">
      <w:pPr>
        <w:pStyle w:val="ManualHeading1"/>
        <w:rPr>
          <w:noProof/>
        </w:rPr>
      </w:pPr>
      <w:r w:rsidRPr="00F123D2">
        <w:rPr>
          <w:noProof/>
        </w:rPr>
        <w:lastRenderedPageBreak/>
        <w:t>2.</w:t>
      </w:r>
      <w:r w:rsidRPr="00F123D2">
        <w:rPr>
          <w:noProof/>
        </w:rPr>
        <w:tab/>
        <w:t>ПРАВНО ОСНОВАНИЕ, СУБСИДИАРНОСТ И ПРОПОРЦИОНАЛНОСТ</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Правно основание</w:t>
      </w:r>
    </w:p>
    <w:p w:rsidR="00382895" w:rsidRPr="00F123D2" w:rsidRDefault="00382895" w:rsidP="00440DA8">
      <w:pPr>
        <w:rPr>
          <w:noProof/>
        </w:rPr>
      </w:pPr>
      <w:r w:rsidRPr="00F123D2">
        <w:rPr>
          <w:noProof/>
        </w:rPr>
        <w:t xml:space="preserve">Правното основание на предложението е член 43, параграф 3 от Договора за функционирането на Европейския съюз (ДФЕС). </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 xml:space="preserve">Субсидиарност </w:t>
      </w:r>
    </w:p>
    <w:p w:rsidR="00382895" w:rsidRPr="00F123D2" w:rsidRDefault="00A94AF2" w:rsidP="00440DA8">
      <w:pPr>
        <w:rPr>
          <w:rFonts w:eastAsia="Arial Unicode MS"/>
          <w:noProof/>
        </w:rPr>
      </w:pPr>
      <w:r w:rsidRPr="00F123D2">
        <w:rPr>
          <w:noProof/>
        </w:rPr>
        <w:t>Предложението попада в обхвата на изключителната компетентност на ЕС в съответствие с член 3, параграф 1, буква г) от ДФЕС. Поради това, принципът на субсидиарност не се прилага.</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Пропорционалност</w:t>
      </w:r>
    </w:p>
    <w:p w:rsidR="00D20D67" w:rsidRPr="00F123D2" w:rsidRDefault="00D20D67" w:rsidP="00D20D67">
      <w:pPr>
        <w:spacing w:before="0" w:after="240"/>
        <w:rPr>
          <w:noProof/>
        </w:rPr>
      </w:pPr>
      <w:r w:rsidRPr="00F123D2">
        <w:rPr>
          <w:noProof/>
        </w:rPr>
        <w:t>В предложението се предвижда разпределяне на възможностите за риболов между държавите членки в съответствие с целите и правилата, определени в основния регламент, както и с резултатите от многостранните или двустранните консултации с държави извън ЕС, включително в контекста на РОУР. Поради това, възможностите за риболов следва да се определят въз основа на най-добрите налични научни становища, като се вземат предвид биологичните и социално-икономическите съображения — когато това е възможно — в контекста на смесените видове риболов.</w:t>
      </w:r>
    </w:p>
    <w:p w:rsidR="00D20D67" w:rsidRPr="00F123D2" w:rsidRDefault="00D20D67" w:rsidP="00A156B8">
      <w:pPr>
        <w:spacing w:before="0" w:after="240"/>
        <w:rPr>
          <w:noProof/>
        </w:rPr>
      </w:pPr>
      <w:r w:rsidRPr="00F123D2">
        <w:rPr>
          <w:noProof/>
        </w:rPr>
        <w:t>Съгласно член 16, параграфи 6 и 7 и член 17 от основния регламент държавите членки решават как предоставените им възможности за риболов могат да бъдат разпределени на кораби, плаващи под тяхно знаме, в съответствие с определени критерии, установени в посочените членове. Поради това, държавите членки разполагат с необходимата свобода на преценка при разпределянето на предоставените им квоти в зависимост от предпочитания от тях социално-икономически модел за използване на възможностите за риболов, с които разполагат.</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Избор на инструмент</w:t>
      </w:r>
    </w:p>
    <w:p w:rsidR="00382895" w:rsidRPr="00F123D2" w:rsidRDefault="00302D0A" w:rsidP="00440DA8">
      <w:pPr>
        <w:rPr>
          <w:rFonts w:eastAsia="Arial Unicode MS"/>
          <w:noProof/>
        </w:rPr>
      </w:pPr>
      <w:r w:rsidRPr="00F123D2">
        <w:rPr>
          <w:noProof/>
        </w:rPr>
        <w:t>Тъй като предложението се отнася до изменението на съществуващ регламент, най-подходящият правен инструмент е регламент.</w:t>
      </w:r>
    </w:p>
    <w:p w:rsidR="00382895" w:rsidRPr="00F123D2" w:rsidRDefault="00382895" w:rsidP="00440DA8">
      <w:pPr>
        <w:pStyle w:val="ManualHeading1"/>
        <w:rPr>
          <w:noProof/>
        </w:rPr>
      </w:pPr>
      <w:r w:rsidRPr="00F123D2">
        <w:rPr>
          <w:noProof/>
        </w:rPr>
        <w:t>3.</w:t>
      </w:r>
      <w:r w:rsidRPr="00F123D2">
        <w:rPr>
          <w:noProof/>
        </w:rPr>
        <w:tab/>
        <w:t>РЕЗУЛТАТИ ОТ ПОСЛЕДВАЩИТЕ ОЦЕНКИ, КОНСУЛТАЦИИТЕ СЪС ЗАИНТЕРЕСОВАНИТЕ СТРАНИ И ОЦЕНКИТЕ НА ВЪЗДЕЙСТВИЕТО</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Последващи оценки/проверки за пригодност на действащото законодателство</w:t>
      </w:r>
    </w:p>
    <w:p w:rsidR="00382895" w:rsidRPr="00F123D2" w:rsidRDefault="00382895" w:rsidP="00440DA8">
      <w:pPr>
        <w:pBdr>
          <w:top w:val="nil"/>
          <w:left w:val="nil"/>
          <w:bottom w:val="nil"/>
          <w:right w:val="nil"/>
          <w:between w:val="nil"/>
          <w:bar w:val="nil"/>
        </w:pBdr>
        <w:spacing w:before="0" w:after="240"/>
        <w:rPr>
          <w:rFonts w:eastAsia="Arial Unicode MS"/>
          <w:noProof/>
        </w:rPr>
      </w:pPr>
      <w:r w:rsidRPr="00F123D2">
        <w:rPr>
          <w:noProof/>
        </w:rPr>
        <w:t>Не се прилага.</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Консултации със заинтересованите страни</w:t>
      </w:r>
    </w:p>
    <w:p w:rsidR="00D45B9C" w:rsidRPr="00F123D2" w:rsidRDefault="00790AA0" w:rsidP="00440DA8">
      <w:pPr>
        <w:rPr>
          <w:noProof/>
        </w:rPr>
      </w:pPr>
      <w:r w:rsidRPr="00F123D2">
        <w:rPr>
          <w:noProof/>
        </w:rPr>
        <w:t>Комисията проведе консултации със заинтересованите страни в рамките на консултативните съвети, въз основа на годишното си съобщение, озаглавено „</w:t>
      </w:r>
      <w:r w:rsidRPr="00F123D2">
        <w:rPr>
          <w:i/>
          <w:noProof/>
        </w:rPr>
        <w:t>Към по-устойчив риболов в ЕС: актуално състояние и насоки за 2026 г.</w:t>
      </w:r>
      <w:r w:rsidRPr="00F123D2">
        <w:rPr>
          <w:noProof/>
        </w:rPr>
        <w:t>“ (COM(2025) 296).</w:t>
      </w:r>
    </w:p>
    <w:p w:rsidR="00AD72C5" w:rsidRPr="00F123D2" w:rsidRDefault="008769C2" w:rsidP="00440DA8">
      <w:pPr>
        <w:rPr>
          <w:noProof/>
        </w:rPr>
      </w:pPr>
      <w:r w:rsidRPr="00F123D2">
        <w:rPr>
          <w:noProof/>
        </w:rPr>
        <w:t>В представените от заинтересованите страни отговори на това годишно съобщение се съдържат становищата им относно извършената от Комисията оценка на състоянието на ресурсите и относно подходящите мерки за тяхното управление. Тези отговори бяха взети предвид от Комисията при изготвянето на предложението.</w:t>
      </w:r>
    </w:p>
    <w:p w:rsidR="00382895" w:rsidRPr="00F123D2" w:rsidRDefault="00382895" w:rsidP="00440DA8">
      <w:pPr>
        <w:pStyle w:val="ManualHeading2"/>
        <w:rPr>
          <w:rFonts w:eastAsia="Arial Unicode MS"/>
          <w:noProof/>
          <w:u w:color="000000"/>
          <w:bdr w:val="nil"/>
        </w:rPr>
      </w:pPr>
      <w:r w:rsidRPr="00F123D2">
        <w:rPr>
          <w:noProof/>
          <w:u w:color="000000"/>
          <w:bdr w:val="nil"/>
        </w:rPr>
        <w:lastRenderedPageBreak/>
        <w:t>•</w:t>
      </w:r>
      <w:r w:rsidRPr="00F123D2">
        <w:rPr>
          <w:noProof/>
        </w:rPr>
        <w:tab/>
      </w:r>
      <w:r w:rsidRPr="00F123D2">
        <w:rPr>
          <w:noProof/>
          <w:u w:color="000000"/>
          <w:bdr w:val="nil"/>
        </w:rPr>
        <w:t>Събиране и използване на експертни становища</w:t>
      </w:r>
    </w:p>
    <w:p w:rsidR="00390F84" w:rsidRPr="00F123D2" w:rsidRDefault="008769C2" w:rsidP="00440DA8">
      <w:pPr>
        <w:rPr>
          <w:noProof/>
        </w:rPr>
      </w:pPr>
      <w:r w:rsidRPr="00F123D2">
        <w:rPr>
          <w:noProof/>
        </w:rPr>
        <w:t>Експертните групи и органите за вземане на решения на Международния съвет за изследване на морето (ICES) са разработили рамка за изготвянето на научни становища на ICES. Рамката се основава на най-добрите научни данни и подлежи на партньорска проверка от независими експерти. Научните становища на ICES се издават на базата на тази рамка и са насочени към постигането на целите и спазването на правилата, заложени в основния регламент, както е поискано от Комисията.</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Оценка на въздействието</w:t>
      </w:r>
    </w:p>
    <w:p w:rsidR="0075565C" w:rsidRPr="00F123D2" w:rsidRDefault="68A0268C" w:rsidP="00440DA8">
      <w:pPr>
        <w:rPr>
          <w:noProof/>
        </w:rPr>
      </w:pPr>
      <w:r w:rsidRPr="00F123D2">
        <w:rPr>
          <w:noProof/>
        </w:rPr>
        <w:t>Обхватът на предложението е ограничен от член 43, параграф 3 от ДФЕС.</w:t>
      </w:r>
    </w:p>
    <w:p w:rsidR="00A156B8" w:rsidRPr="00F123D2" w:rsidRDefault="00A156B8" w:rsidP="00A156B8">
      <w:pPr>
        <w:spacing w:before="0" w:after="240"/>
        <w:rPr>
          <w:noProof/>
        </w:rPr>
      </w:pPr>
      <w:r w:rsidRPr="00F123D2">
        <w:rPr>
          <w:noProof/>
        </w:rPr>
        <w:t>Целта на настоящото предложение е да се избегнат краткосрочните подходи, за да се постигне дългосрочна устойчивост. То взема предвид инициативите на заинтересованите страни и консултативните съвети, ако са получили положителна оценка от ICES. Предложението на Комисията за реформа на общата политика в областта на рибарството се основава на оценка на въздействието (SEC(2011) 891), в която се посочва, че макар постигането на целта за максимален устойчив улов да е необходимо условие за екологична, икономическа и социална устойчивост, тези три цели не могат да бъдат осъществени независимо една от друга.</w:t>
      </w:r>
    </w:p>
    <w:p w:rsidR="00A156B8" w:rsidRPr="00F123D2" w:rsidRDefault="00A156B8" w:rsidP="00A156B8">
      <w:pPr>
        <w:pBdr>
          <w:top w:val="nil"/>
          <w:left w:val="nil"/>
          <w:bottom w:val="nil"/>
          <w:right w:val="nil"/>
          <w:between w:val="nil"/>
          <w:bar w:val="nil"/>
        </w:pBdr>
        <w:spacing w:before="0" w:after="240"/>
        <w:rPr>
          <w:noProof/>
        </w:rPr>
      </w:pPr>
      <w:r w:rsidRPr="00F123D2">
        <w:rPr>
          <w:noProof/>
        </w:rPr>
        <w:t>Що се отнася до възможностите за риболов за запасите, които се управляват от РОУР, и за запасите, които се управляват съвместно с държави извън ЕС, с настоящото предложение по същество се транспонират мерки, договорени на международно равнище. Всички аспекти, които са от значение за оценката на евентуалното въздействие на възможностите за риболов, се разглеждат при подготовката и провеждането на международни преговори, в рамките на които възможностите за риболов на ЕС се съгласуват с държави извън ЕС.</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Пригодност и опростяване на законодателството</w:t>
      </w:r>
    </w:p>
    <w:p w:rsidR="00382895" w:rsidRPr="00F123D2" w:rsidRDefault="00FB2BDF" w:rsidP="00440DA8">
      <w:pPr>
        <w:rPr>
          <w:rFonts w:eastAsia="Arial Unicode MS"/>
          <w:noProof/>
        </w:rPr>
      </w:pPr>
      <w:r w:rsidRPr="00F123D2">
        <w:rPr>
          <w:noProof/>
        </w:rPr>
        <w:t>Не се прилага.</w:t>
      </w:r>
    </w:p>
    <w:p w:rsidR="00382895" w:rsidRPr="00F123D2" w:rsidRDefault="00382895" w:rsidP="00440DA8">
      <w:pPr>
        <w:pStyle w:val="ManualHeading2"/>
        <w:rPr>
          <w:rFonts w:eastAsia="Arial Unicode MS"/>
          <w:noProof/>
          <w:u w:color="000000"/>
          <w:bdr w:val="nil"/>
        </w:rPr>
      </w:pPr>
      <w:r w:rsidRPr="00F123D2">
        <w:rPr>
          <w:noProof/>
          <w:u w:color="000000"/>
          <w:bdr w:val="nil"/>
        </w:rPr>
        <w:t>•</w:t>
      </w:r>
      <w:r w:rsidRPr="00F123D2">
        <w:rPr>
          <w:noProof/>
        </w:rPr>
        <w:tab/>
      </w:r>
      <w:r w:rsidRPr="00F123D2">
        <w:rPr>
          <w:noProof/>
          <w:u w:color="000000"/>
          <w:bdr w:val="nil"/>
        </w:rPr>
        <w:t>Основни права</w:t>
      </w:r>
    </w:p>
    <w:p w:rsidR="00382895" w:rsidRPr="00F123D2" w:rsidRDefault="00A156B8" w:rsidP="00440DA8">
      <w:pPr>
        <w:pBdr>
          <w:top w:val="nil"/>
          <w:left w:val="nil"/>
          <w:bottom w:val="nil"/>
          <w:right w:val="nil"/>
          <w:between w:val="nil"/>
          <w:bar w:val="nil"/>
        </w:pBdr>
        <w:spacing w:before="0" w:after="240"/>
        <w:rPr>
          <w:rFonts w:eastAsia="Arial Unicode MS"/>
          <w:noProof/>
        </w:rPr>
      </w:pPr>
      <w:r w:rsidRPr="00F123D2">
        <w:rPr>
          <w:noProof/>
        </w:rPr>
        <w:t>С предложението са спазени основните права, и по-конкретно тези, които са признати в Хартата на основните права на Европейския съюз.</w:t>
      </w:r>
    </w:p>
    <w:p w:rsidR="00382895" w:rsidRPr="00F123D2" w:rsidRDefault="00382895" w:rsidP="00440DA8">
      <w:pPr>
        <w:pStyle w:val="ManualHeading1"/>
        <w:rPr>
          <w:noProof/>
        </w:rPr>
      </w:pPr>
      <w:r w:rsidRPr="00F123D2">
        <w:rPr>
          <w:noProof/>
        </w:rPr>
        <w:t>4.</w:t>
      </w:r>
      <w:r w:rsidRPr="00F123D2">
        <w:rPr>
          <w:noProof/>
        </w:rPr>
        <w:tab/>
        <w:t>ОТРАЖЕНИЕ ВЪРХУ БЮДЖЕТА</w:t>
      </w:r>
    </w:p>
    <w:p w:rsidR="00382895" w:rsidRPr="00F123D2" w:rsidRDefault="00382895" w:rsidP="00440DA8">
      <w:pPr>
        <w:rPr>
          <w:rFonts w:eastAsia="Arial Unicode MS"/>
          <w:noProof/>
        </w:rPr>
      </w:pPr>
      <w:r w:rsidRPr="00F123D2">
        <w:rPr>
          <w:noProof/>
        </w:rPr>
        <w:t>Предложените мерки няма да имат отражение върху бюджета.</w:t>
      </w:r>
    </w:p>
    <w:p w:rsidR="00312070" w:rsidRPr="00F123D2" w:rsidRDefault="00312070" w:rsidP="00312070">
      <w:pPr>
        <w:pStyle w:val="ManualHeading1"/>
        <w:rPr>
          <w:noProof/>
        </w:rPr>
      </w:pPr>
      <w:r w:rsidRPr="00F123D2">
        <w:rPr>
          <w:noProof/>
        </w:rPr>
        <w:t>ДРУГИ ЕЛЕМЕНТИ</w:t>
      </w:r>
    </w:p>
    <w:p w:rsidR="00312070" w:rsidRPr="00F123D2" w:rsidRDefault="1532F1E1" w:rsidP="00312070">
      <w:pPr>
        <w:pStyle w:val="Text1"/>
        <w:ind w:left="0"/>
        <w:rPr>
          <w:rFonts w:eastAsia="Arial Unicode MS"/>
          <w:b/>
          <w:noProof/>
          <w:u w:color="000000"/>
          <w:bdr w:val="nil"/>
        </w:rPr>
      </w:pPr>
      <w:r w:rsidRPr="00F123D2">
        <w:rPr>
          <w:b/>
          <w:noProof/>
          <w:bdr w:val="nil"/>
        </w:rPr>
        <w:t>•</w:t>
      </w:r>
      <w:r w:rsidRPr="00F123D2">
        <w:rPr>
          <w:noProof/>
        </w:rPr>
        <w:tab/>
      </w:r>
      <w:r w:rsidRPr="00F123D2">
        <w:rPr>
          <w:b/>
          <w:noProof/>
          <w:bdr w:val="nil"/>
        </w:rPr>
        <w:t xml:space="preserve">Подробно разяснение на конкретните разпоредби на предложението </w:t>
      </w:r>
    </w:p>
    <w:p w:rsidR="00312070" w:rsidRPr="00F123D2" w:rsidRDefault="003122F0" w:rsidP="00312070">
      <w:pPr>
        <w:pStyle w:val="Text1"/>
        <w:ind w:left="0"/>
        <w:rPr>
          <w:rFonts w:eastAsia="Arial Unicode MS"/>
          <w:noProof/>
          <w:bdr w:val="nil"/>
        </w:rPr>
      </w:pPr>
      <w:r w:rsidRPr="00F123D2">
        <w:rPr>
          <w:noProof/>
          <w:bdr w:val="nil"/>
        </w:rPr>
        <w:t xml:space="preserve">Целта на предложението е Регламент (ЕС) 2026/249 да бъде изменен, както е описано по-долу. </w:t>
      </w:r>
    </w:p>
    <w:p w:rsidR="00312070" w:rsidRPr="00F123D2" w:rsidRDefault="00312070" w:rsidP="22163002">
      <w:pPr>
        <w:pBdr>
          <w:top w:val="nil"/>
          <w:left w:val="nil"/>
          <w:bottom w:val="nil"/>
          <w:right w:val="nil"/>
          <w:between w:val="nil"/>
          <w:bar w:val="nil"/>
        </w:pBdr>
        <w:spacing w:before="240" w:after="240"/>
        <w:rPr>
          <w:b/>
          <w:bCs/>
          <w:noProof/>
        </w:rPr>
      </w:pPr>
      <w:r w:rsidRPr="00F123D2">
        <w:rPr>
          <w:b/>
          <w:noProof/>
        </w:rPr>
        <w:t>Хамсия в западната част на атлантическите води при Иберийския полуостров</w:t>
      </w:r>
    </w:p>
    <w:p w:rsidR="00312070" w:rsidRPr="00F123D2" w:rsidRDefault="6E80B011" w:rsidP="72CF8CC2">
      <w:pPr>
        <w:rPr>
          <w:i/>
          <w:iCs/>
          <w:noProof/>
        </w:rPr>
      </w:pPr>
      <w:r w:rsidRPr="00F123D2">
        <w:rPr>
          <w:noProof/>
        </w:rPr>
        <w:t>С Регламент (ЕС) 2026/249 временно беше определен нулев ОДУ за хамсия (</w:t>
      </w:r>
      <w:r w:rsidRPr="00F123D2">
        <w:rPr>
          <w:i/>
          <w:noProof/>
        </w:rPr>
        <w:t>Engraulis encrasicolus</w:t>
      </w:r>
      <w:r w:rsidRPr="00F123D2">
        <w:rPr>
          <w:noProof/>
        </w:rPr>
        <w:t xml:space="preserve">) в западната част на подзона 9 на ICES и в подзона 10 на ICES (западната част на атлантическите води при Иберийския полуостров и водите при Азорските острови) за периода от 1 юли 2026 г. до 30 юни 2027 г., докато ICES публикува </w:t>
      </w:r>
      <w:r w:rsidRPr="00F123D2">
        <w:rPr>
          <w:noProof/>
        </w:rPr>
        <w:lastRenderedPageBreak/>
        <w:t>научното си становище за хамсията в западната част на участък 9а на ICES (западната част на атлантическите води при Иберийския полуостров) за този период.</w:t>
      </w:r>
    </w:p>
    <w:p w:rsidR="00312070" w:rsidRPr="00F123D2" w:rsidRDefault="6E80B011" w:rsidP="72CF8CC2">
      <w:pPr>
        <w:rPr>
          <w:noProof/>
        </w:rPr>
      </w:pPr>
      <w:r w:rsidRPr="00F123D2">
        <w:rPr>
          <w:noProof/>
        </w:rPr>
        <w:t xml:space="preserve">Очаква се ICES да публикува съответното становище на 19 юни 2026 г. </w:t>
      </w:r>
      <w:bookmarkStart w:id="1" w:name="_Hlk192950561"/>
      <w:r w:rsidRPr="00F123D2">
        <w:rPr>
          <w:noProof/>
        </w:rPr>
        <w:t>До публикуването на становището на ICES, съответното съображение е включено на временно основание в квадратни скоби, като ОДУ за хамсия в западната част на подзона 9 и в подзона 10 на ICES за периода от 1 юли 2026 г. до 30 юни 2027 г. е обозначен с „pm“ (</w:t>
      </w:r>
      <w:r w:rsidRPr="00F123D2">
        <w:rPr>
          <w:i/>
          <w:noProof/>
        </w:rPr>
        <w:t>pro memoria</w:t>
      </w:r>
      <w:r w:rsidRPr="00F123D2">
        <w:rPr>
          <w:noProof/>
        </w:rPr>
        <w:t>).</w:t>
      </w:r>
      <w:bookmarkEnd w:id="1"/>
      <w:r w:rsidRPr="00F123D2">
        <w:rPr>
          <w:noProof/>
        </w:rPr>
        <w:t xml:space="preserve"> Веднага щом становището на ICES бъде налично, службите на Комисията ще актуализират предложението посредством неофициален документ, в който ще бъде предложен окончателен ОДУ за този запас и този период въз основа на становището. Въпреки това, ако се окаже, че това няма да позволи на Съвета да приеме окончателния ОДУ навреме и следователно ще доведе до временно прекъсване, считано от 1 юли 2026 г., на този вид риболов, службите на Комисията ще предложат временен ОДУ за периода от 1 юли до 30 септември 2026 г.</w:t>
      </w:r>
    </w:p>
    <w:p w:rsidR="001C5474" w:rsidRPr="00F123D2" w:rsidRDefault="147D189B" w:rsidP="72CF8CC2">
      <w:pPr>
        <w:pBdr>
          <w:top w:val="nil"/>
          <w:left w:val="nil"/>
          <w:bottom w:val="nil"/>
          <w:right w:val="nil"/>
          <w:between w:val="nil"/>
          <w:bar w:val="nil"/>
        </w:pBdr>
        <w:spacing w:before="240" w:after="240"/>
        <w:rPr>
          <w:b/>
          <w:bCs/>
          <w:noProof/>
        </w:rPr>
      </w:pPr>
      <w:r w:rsidRPr="00F123D2">
        <w:rPr>
          <w:b/>
          <w:noProof/>
        </w:rPr>
        <w:t xml:space="preserve">Северна скарида в Скагерак и Категат и Северно море </w:t>
      </w:r>
    </w:p>
    <w:p w:rsidR="001C5474" w:rsidRPr="00F123D2" w:rsidRDefault="29052605" w:rsidP="72CF8CC2">
      <w:pPr>
        <w:pBdr>
          <w:top w:val="nil"/>
          <w:left w:val="nil"/>
          <w:bottom w:val="nil"/>
          <w:right w:val="nil"/>
          <w:between w:val="nil"/>
          <w:bar w:val="nil"/>
        </w:pBdr>
        <w:spacing w:before="240" w:after="240"/>
        <w:rPr>
          <w:noProof/>
        </w:rPr>
      </w:pPr>
      <w:r w:rsidRPr="00F123D2">
        <w:rPr>
          <w:noProof/>
        </w:rPr>
        <w:t>С Регламент (ЕС) 2026/249 временно беше определен нулев ОДУ за северна скарида (</w:t>
      </w:r>
      <w:r w:rsidRPr="00F123D2">
        <w:rPr>
          <w:i/>
          <w:noProof/>
        </w:rPr>
        <w:t>Pandalus borealis</w:t>
      </w:r>
      <w:r w:rsidRPr="00F123D2">
        <w:rPr>
          <w:noProof/>
        </w:rPr>
        <w:t xml:space="preserve">) във водите на ЕС и Норвегия в участък 3a на ICES (Скагерак и Категат) за периода от 1 юли 2026 г. до 30 юни 2027 г. в очакване на ICES да публикува научното си становище относно северната скарида в участъци 3a и 4a изток на ICES (Скагерак и Категат и северната част на Северно море — в т. нар. „норвежка дълбоководна зона“). </w:t>
      </w:r>
    </w:p>
    <w:p w:rsidR="001C5474" w:rsidRPr="00F123D2" w:rsidRDefault="29052605" w:rsidP="72CF8CC2">
      <w:pPr>
        <w:pBdr>
          <w:top w:val="nil"/>
          <w:left w:val="nil"/>
          <w:bottom w:val="nil"/>
          <w:right w:val="nil"/>
          <w:between w:val="nil"/>
          <w:bar w:val="nil"/>
        </w:pBdr>
        <w:spacing w:before="240" w:after="240"/>
        <w:rPr>
          <w:noProof/>
        </w:rPr>
      </w:pPr>
      <w:r w:rsidRPr="00F123D2">
        <w:rPr>
          <w:noProof/>
        </w:rPr>
        <w:t xml:space="preserve">В допълнение, с посочения регламент се определя квотата на ЕС за северна скарида в норвежките води на Северно море на юг от 62° с.ш. за 2026 г. на равнището, договорено с Норвегия, т.е. 148 тона. </w:t>
      </w:r>
    </w:p>
    <w:p w:rsidR="00122C80" w:rsidRPr="00F123D2" w:rsidRDefault="5BC80EE8" w:rsidP="00887E21">
      <w:pPr>
        <w:pBdr>
          <w:top w:val="nil"/>
          <w:left w:val="nil"/>
          <w:bottom w:val="nil"/>
          <w:right w:val="nil"/>
          <w:between w:val="nil"/>
          <w:bar w:val="nil"/>
        </w:pBdr>
        <w:spacing w:before="240" w:after="240"/>
        <w:rPr>
          <w:noProof/>
        </w:rPr>
      </w:pPr>
      <w:r w:rsidRPr="00F123D2">
        <w:rPr>
          <w:noProof/>
        </w:rPr>
        <w:t xml:space="preserve">Очаква се ICES да публикува становището си относно северната скарида в участъци 3a и 4a изток на ICES на 8 юни 2026 г. След като становището бъде публикувано, ЕС ще проведе двустранни консултации с Норвегия относно: i) равнището на общите възможности за риболов за северна скарида в участъци 3a и 4a изток на ICES за периода от 1 юли 2026 г. до 30 юни 2027 г.; ii) равнището на ОДУ за северна скарида в участък 3а на ICES за същия период; и iii) допълнително прехвърляне на възможности за риболов от Норвегия към ЕС за северна скарида в норвежките води на Северно море на юг от 62° с.ш. за 2026 г. , което беше договорено за разглеждане между ЕС и Норвегия по време на двустранните консултации относно размяната на квоти и договореностите за достъп за 2026 г. Ако такова допълнително прехвърляне от Норвегия към ЕС бъде договорено, то ще бъде компенсирано с прехвърляне от ЕС към Норвегия на допълнителни възможности за риболов на северна скарида </w:t>
      </w:r>
      <w:r w:rsidRPr="00F123D2">
        <w:rPr>
          <w:noProof/>
          <w:color w:val="333333"/>
        </w:rPr>
        <w:t>във водите на Гренландия от подзони 2, 5, 12 и 14 на ICES</w:t>
      </w:r>
      <w:r w:rsidRPr="00F123D2">
        <w:rPr>
          <w:noProof/>
        </w:rPr>
        <w:t xml:space="preserve"> през </w:t>
      </w:r>
      <w:r w:rsidRPr="00F123D2">
        <w:rPr>
          <w:noProof/>
          <w:color w:val="333333"/>
        </w:rPr>
        <w:t>2026 г.</w:t>
      </w:r>
      <w:r w:rsidRPr="00F123D2">
        <w:rPr>
          <w:noProof/>
        </w:rPr>
        <w:t xml:space="preserve"> </w:t>
      </w:r>
    </w:p>
    <w:p w:rsidR="001C5474" w:rsidRPr="00F123D2" w:rsidRDefault="29052605" w:rsidP="72CF8CC2">
      <w:pPr>
        <w:pBdr>
          <w:top w:val="nil"/>
          <w:left w:val="nil"/>
          <w:bottom w:val="nil"/>
          <w:right w:val="nil"/>
          <w:between w:val="nil"/>
          <w:bar w:val="nil"/>
        </w:pBdr>
        <w:spacing w:before="240" w:after="240"/>
        <w:rPr>
          <w:noProof/>
        </w:rPr>
      </w:pPr>
      <w:r w:rsidRPr="00F123D2">
        <w:rPr>
          <w:noProof/>
        </w:rPr>
        <w:t>В очакване на резултата от тези двустранни консултации текстът на съответното съображение от Регламент (ЕС) 2025/1350</w:t>
      </w:r>
      <w:r w:rsidRPr="00F123D2">
        <w:rPr>
          <w:rStyle w:val="FootnoteReference"/>
          <w:noProof/>
        </w:rPr>
        <w:footnoteReference w:id="6"/>
      </w:r>
      <w:r w:rsidRPr="00F123D2">
        <w:rPr>
          <w:noProof/>
        </w:rPr>
        <w:t xml:space="preserve"> на Съвета е включен в настоящото предложение на временно основание в квадратни скоби, като ОДУ за северна скарида във: i) водите на ЕС и на Норвегия от участък 3а на ICES за периода от 1 юли 2026 г. до </w:t>
      </w:r>
      <w:r w:rsidRPr="00F123D2">
        <w:rPr>
          <w:noProof/>
        </w:rPr>
        <w:lastRenderedPageBreak/>
        <w:t xml:space="preserve">30 юни 2027 г.; ii) водите на Норвегия в Северно море на юг от 62° с.ш. за 2026 г.; и iii) </w:t>
      </w:r>
      <w:r w:rsidRPr="00F123D2">
        <w:rPr>
          <w:noProof/>
          <w:color w:val="333333"/>
        </w:rPr>
        <w:t>водите на Гренландия от подзони 2, 5, 12 и 14 на ICES</w:t>
      </w:r>
      <w:r w:rsidRPr="00F123D2">
        <w:rPr>
          <w:noProof/>
        </w:rPr>
        <w:t xml:space="preserve"> е обозначен с „pm“. Веднага щом станат известни резултатите от двустранните консултации, службите на Комисията ще актуализират предложението посредством неофициален документ, в който ще бъдат предложени съответните ОДУ за тези периоди на равнищата, договорени с Норвегия.</w:t>
      </w:r>
    </w:p>
    <w:p w:rsidR="00312070" w:rsidRPr="00F123D2" w:rsidRDefault="00312070" w:rsidP="33AF074E">
      <w:pPr>
        <w:pBdr>
          <w:top w:val="nil"/>
          <w:left w:val="nil"/>
          <w:bottom w:val="nil"/>
          <w:right w:val="nil"/>
          <w:between w:val="nil"/>
          <w:bar w:val="nil"/>
        </w:pBdr>
        <w:spacing w:before="240" w:after="240"/>
        <w:rPr>
          <w:b/>
          <w:bCs/>
          <w:noProof/>
        </w:rPr>
      </w:pPr>
      <w:r w:rsidRPr="00F123D2">
        <w:rPr>
          <w:b/>
          <w:noProof/>
        </w:rPr>
        <w:t>Цаца в Северно море и в Скагерак и Категат</w:t>
      </w:r>
    </w:p>
    <w:p w:rsidR="00312070" w:rsidRPr="00F123D2" w:rsidRDefault="00312070" w:rsidP="33AF074E">
      <w:pPr>
        <w:rPr>
          <w:noProof/>
        </w:rPr>
      </w:pPr>
      <w:r w:rsidRPr="00F123D2">
        <w:rPr>
          <w:noProof/>
        </w:rPr>
        <w:t>С Регламент (ЕС) 2026/249 временно бяха определени нулеви ОДУ за цаца (</w:t>
      </w:r>
      <w:r w:rsidRPr="00F123D2">
        <w:rPr>
          <w:i/>
          <w:noProof/>
        </w:rPr>
        <w:t>Sprattus sprattus</w:t>
      </w:r>
      <w:r w:rsidRPr="00F123D2">
        <w:rPr>
          <w:noProof/>
        </w:rPr>
        <w:t>) и за свързания прилов за периода от 1 юли 2026 г. до 30 юни 2027 г. във: i) водите на ЕС и Обединеното кралство от подзона 4 и участък 2a на ICES (Северно море); и ii) водите на ЕС и Норвегия от участък 3a на ICES (Скагерак и Категат), в очакване на ICES да публикува научното си становище относно цацата в подзона 4 и участък 3а на ICES за периода от 1 юли 2026 г. до 30 юни 2027 г.</w:t>
      </w:r>
    </w:p>
    <w:p w:rsidR="006E3C58" w:rsidRPr="00F123D2" w:rsidRDefault="00312070" w:rsidP="33AF074E">
      <w:pPr>
        <w:rPr>
          <w:noProof/>
        </w:rPr>
      </w:pPr>
      <w:r w:rsidRPr="00F123D2">
        <w:rPr>
          <w:noProof/>
        </w:rPr>
        <w:t xml:space="preserve">ICES публикува това становище на 30 април 2026 г. След публикуването на това становище на ICES, ЕС ще проведе тристранни консултации с Обединеното кралство и Норвегия относно: i) равнището на общите възможности за риболов за този запас за периода от 1 юли 2026 г. до 30 юни 2027 г.; и ii) равнището на ОДУ за цаца съответно в подзона 4, участък 2а и участък 3а на ICES за същия период. </w:t>
      </w:r>
    </w:p>
    <w:p w:rsidR="00312070" w:rsidRPr="00F123D2" w:rsidRDefault="00312070" w:rsidP="33AF074E">
      <w:pPr>
        <w:rPr>
          <w:noProof/>
        </w:rPr>
      </w:pPr>
      <w:r w:rsidRPr="00F123D2">
        <w:rPr>
          <w:noProof/>
        </w:rPr>
        <w:t>В очакване на резултата от тристранните консултации текстът на съответното съображение от Регламент (ЕС) 2025/1350 е включен в настоящото предложение на временно основание в квадратни скоби, като ОДУ за цаца и свързаният прилов за периода от 1 юли 2026 г. до 30 юни 2027 г. във: i) водите на ЕС и Обединеното кралство от подзона 4 и участък 2a на ICES; и ii) водите на ЕС и Норвегия от участък 3a на ICES, са обозначени с „pm“. Веднага щом станат известни резултатите от тристранните консултации, службите на Комисията ще актуализират предложението посредством неофициален документ, в който ще бъдат предложени съответните ОДУ за този период на равнищата, договорени с Обединеното кралство и Норвегия.</w:t>
      </w:r>
    </w:p>
    <w:p w:rsidR="00312070" w:rsidRPr="00F123D2" w:rsidRDefault="6E80B011" w:rsidP="0288B47E">
      <w:pPr>
        <w:pBdr>
          <w:top w:val="nil"/>
          <w:left w:val="nil"/>
          <w:bottom w:val="nil"/>
          <w:right w:val="nil"/>
          <w:between w:val="nil"/>
          <w:bar w:val="nil"/>
        </w:pBdr>
        <w:spacing w:before="240" w:after="240"/>
        <w:rPr>
          <w:b/>
          <w:bCs/>
          <w:noProof/>
        </w:rPr>
      </w:pPr>
      <w:r w:rsidRPr="00F123D2">
        <w:rPr>
          <w:b/>
          <w:noProof/>
        </w:rPr>
        <w:t>Цаца в Ламанша</w:t>
      </w:r>
    </w:p>
    <w:p w:rsidR="00312070" w:rsidRPr="00F123D2" w:rsidRDefault="6E80B011" w:rsidP="0288B47E">
      <w:pPr>
        <w:rPr>
          <w:noProof/>
        </w:rPr>
      </w:pPr>
      <w:r w:rsidRPr="00F123D2">
        <w:rPr>
          <w:noProof/>
        </w:rPr>
        <w:t xml:space="preserve">С Регламент (ЕС) 2026/249 временно беше определен нулев ОДУ за цаца във водите на ЕС и Обединеното кралство от участъци 7d и 7e на ICES (Ламанш) за периода от 1 юли 2026 г. до 30 юни 2027 г., в очакване на ICES да публикува научното си становище относно цацата в тази зона за същия период. </w:t>
      </w:r>
    </w:p>
    <w:p w:rsidR="002625AE" w:rsidRPr="00F123D2" w:rsidRDefault="232131D3" w:rsidP="72CF8CC2">
      <w:pPr>
        <w:rPr>
          <w:noProof/>
        </w:rPr>
      </w:pPr>
      <w:r w:rsidRPr="00F123D2">
        <w:rPr>
          <w:noProof/>
        </w:rPr>
        <w:t>ICES публикува това становище на 30 април 2026 г. След публикуването на това становище, ЕС ще проведе двустранни консултации с Обединеното кралство относно равнището на ОДУ за този запас за периода от 1 юли 2026 г. до 30 юни 2027 г. в съответствие с член 498, параграфи 2, 4 и 6 от Споразумението за търговия и сътрудничество между Европейския съюз и Европейската общност за атомна енергия, от една страна, и Обединеното кралство Великобритания и Северна Ирландия, от друга страна</w:t>
      </w:r>
      <w:r w:rsidRPr="00F123D2">
        <w:rPr>
          <w:rStyle w:val="FootnoteReference"/>
          <w:noProof/>
        </w:rPr>
        <w:footnoteReference w:id="7"/>
      </w:r>
      <w:r w:rsidRPr="00F123D2">
        <w:rPr>
          <w:noProof/>
        </w:rPr>
        <w:t xml:space="preserve"> („Споразумение за търговия и сътрудничество“). </w:t>
      </w:r>
    </w:p>
    <w:p w:rsidR="00312070" w:rsidRPr="00F123D2" w:rsidRDefault="232131D3" w:rsidP="72CF8CC2">
      <w:pPr>
        <w:rPr>
          <w:noProof/>
        </w:rPr>
      </w:pPr>
      <w:r w:rsidRPr="00F123D2">
        <w:rPr>
          <w:noProof/>
        </w:rPr>
        <w:lastRenderedPageBreak/>
        <w:t>В очакване на резултата от двустранните консултации текстът на съответното съображение от Регламент (ЕС) 2025/1350 е включен в настоящото предложение на временно основание в квадратни скоби, като ОДУ за цаца в участъци 7d и 7e на ICES за периода от 1 юли 2026 г. до 30 юни 2027 г. е обозначен с „pm“. Веднага щом станат известни резултатите от двустранните консултации, службите на Комисията ще актуализират предложението посредством неофициален документ, в който ще бъде предложен съответният ОДУ за този период на равнището, договорено с Обединеното кралство.</w:t>
      </w:r>
    </w:p>
    <w:p w:rsidR="00C167FF" w:rsidRPr="00F123D2" w:rsidRDefault="00C167FF" w:rsidP="00C167FF">
      <w:pPr>
        <w:pBdr>
          <w:top w:val="nil"/>
          <w:left w:val="nil"/>
          <w:bottom w:val="nil"/>
          <w:right w:val="nil"/>
          <w:between w:val="nil"/>
          <w:bar w:val="nil"/>
        </w:pBdr>
        <w:spacing w:before="240" w:after="240"/>
        <w:rPr>
          <w:b/>
          <w:bCs/>
          <w:noProof/>
        </w:rPr>
      </w:pPr>
      <w:r w:rsidRPr="00F123D2">
        <w:rPr>
          <w:b/>
          <w:noProof/>
        </w:rPr>
        <w:t>Мойва във водите на Гренландия</w:t>
      </w:r>
    </w:p>
    <w:p w:rsidR="004D5B5B" w:rsidRPr="00F123D2" w:rsidRDefault="09429927" w:rsidP="00B83F9C">
      <w:pPr>
        <w:rPr>
          <w:noProof/>
        </w:rPr>
      </w:pPr>
      <w:r w:rsidRPr="00F123D2">
        <w:rPr>
          <w:noProof/>
        </w:rPr>
        <w:t>След публикуването през януари 2026 г. на последното научно становище относно мойвата (</w:t>
      </w:r>
      <w:r w:rsidRPr="00F123D2">
        <w:rPr>
          <w:i/>
          <w:noProof/>
        </w:rPr>
        <w:t>Mallotus villosus</w:t>
      </w:r>
      <w:r w:rsidRPr="00F123D2">
        <w:rPr>
          <w:noProof/>
        </w:rPr>
        <w:t>) в зоната Исландия—Източна Гренландия—Ян Майен, Гренландия и Исландия определиха ОДУ и съответните си квоти за този запас за периода от 15 октомври 2025 г. до 15 април 2026 г. В съответствие с член 2, параграф 1 от Протокола за изпълнение на Споразумението за партньорство в областта на устойчивото рибарство между ЕС, от една страна, и правителството на Гренландия и правителството на Дания, от друга страна</w:t>
      </w:r>
      <w:r w:rsidRPr="00F123D2">
        <w:rPr>
          <w:rStyle w:val="FootnoteReference"/>
          <w:noProof/>
        </w:rPr>
        <w:footnoteReference w:id="8"/>
      </w:r>
      <w:r w:rsidRPr="00F123D2">
        <w:rPr>
          <w:noProof/>
        </w:rPr>
        <w:t>, Гренландия предложи възможности за риболов за този запас и за същия период от 5 545 тона, като ЕС прие предложението на 5 февруари 2026 г.  Поради това, в Регламент (ЕС) 2026/249, както е изменен с Регламент (ЕС) 2026/786</w:t>
      </w:r>
      <w:r w:rsidRPr="00F123D2">
        <w:rPr>
          <w:rStyle w:val="FootnoteReference"/>
          <w:noProof/>
        </w:rPr>
        <w:footnoteReference w:id="9"/>
      </w:r>
      <w:r w:rsidRPr="00F123D2">
        <w:rPr>
          <w:noProof/>
        </w:rPr>
        <w:t xml:space="preserve"> на Съвета, квотите на ЕС и на държавите членки за мойва във водите на Гренландия от подзони 2, 5, 12 и 14 на ICES за периода от 15 октомври 2025 г. до 15 април 2026 г. са определени на равнището, договорено с Гренландия. </w:t>
      </w:r>
    </w:p>
    <w:p w:rsidR="0063244B" w:rsidRPr="00F123D2" w:rsidRDefault="34482950" w:rsidP="7B446392">
      <w:pPr>
        <w:rPr>
          <w:noProof/>
        </w:rPr>
      </w:pPr>
      <w:r w:rsidRPr="00F123D2">
        <w:rPr>
          <w:noProof/>
        </w:rPr>
        <w:t xml:space="preserve">Въпреки това, впоследствие Гренландия поиска потвърждение от ЕС, че възнамерява да използва тези възможности за риболов, тъй като в противен случай те биха могли да бъдат използвани от гренландския флот, за да се осигури най-доброто използване на квотата.  Въз основа на отсъствието на интерес от страна на риболовния отрасъл, ЕС предложи на Гренландия да си възстанови тези възможности за риболов. Поради това, квотите на ЕС и на държавите членки за мойва във водите на Гренландия от подзони 2, 5, 12 и 14 на ICES за периода от 15 октомври 2025 г. до 15 април 2026 г. следва да бъдат съответно намалени до нула. </w:t>
      </w:r>
    </w:p>
    <w:p w:rsidR="0085398F" w:rsidRPr="00F123D2" w:rsidRDefault="0085398F" w:rsidP="00B83F9C">
      <w:pPr>
        <w:rPr>
          <w:noProof/>
        </w:rPr>
      </w:pPr>
    </w:p>
    <w:p w:rsidR="00811F73" w:rsidRPr="00F123D2" w:rsidRDefault="00811F73" w:rsidP="00384E62">
      <w:pPr>
        <w:rPr>
          <w:b/>
          <w:bCs/>
          <w:noProof/>
        </w:rPr>
      </w:pPr>
      <w:r w:rsidRPr="00F123D2">
        <w:rPr>
          <w:b/>
          <w:noProof/>
        </w:rPr>
        <w:t>Атлантическа треска във водите на Гренландия</w:t>
      </w:r>
    </w:p>
    <w:p w:rsidR="00FB48FB" w:rsidRPr="00F123D2" w:rsidRDefault="4632FAFE" w:rsidP="00384E62">
      <w:pPr>
        <w:rPr>
          <w:noProof/>
        </w:rPr>
      </w:pPr>
      <w:r w:rsidRPr="00F123D2">
        <w:rPr>
          <w:noProof/>
        </w:rPr>
        <w:t>В съответствие с член 11 от посоченото Споразумение за партньорство в областта на устойчивото рибарство между ЕС и Гренландия</w:t>
      </w:r>
      <w:r w:rsidRPr="00F123D2">
        <w:rPr>
          <w:rStyle w:val="FootnoteReference"/>
          <w:noProof/>
        </w:rPr>
        <w:footnoteReference w:id="10"/>
      </w:r>
      <w:r w:rsidRPr="00F123D2">
        <w:rPr>
          <w:noProof/>
        </w:rPr>
        <w:t xml:space="preserve"> и в съответствие с условията, определени в член 6 и глава VI от протокола към същото споразумение, ЕС и Гренландия се споразумяха да извършват експериментален риболов на атлантическа треска (</w:t>
      </w:r>
      <w:r w:rsidRPr="00F123D2">
        <w:rPr>
          <w:i/>
          <w:noProof/>
        </w:rPr>
        <w:t>Gadus morhua</w:t>
      </w:r>
      <w:r w:rsidRPr="00F123D2">
        <w:rPr>
          <w:noProof/>
        </w:rPr>
        <w:t xml:space="preserve">) във водите на Гренландия от подзони 5 и 14 на ICES на </w:t>
      </w:r>
      <w:r w:rsidRPr="00F123D2">
        <w:rPr>
          <w:noProof/>
        </w:rPr>
        <w:lastRenderedPageBreak/>
        <w:t xml:space="preserve">североизток от 42° з.д. за периода от 12 февруари 2026 г. до 31 декември 2026 г. Целта на експерименталния риболов е да се определи потенциалното наличие и разпространение на атлантическа треска в този район. За този експериментален риболов са определени възможности за риболов в размер на 3 000 тона, от които 900 тона са разпределени на ЕС. Тези възможности за риболов могат да се използват само от кораби, включени в рамката за този експериментален риболов и които вземат научни проби. Вземането на научни проби ще се извършва при условия, които се определят от Гренландския институт за природните ресурси. Предлага се тази квота на ЕС да бъде определена съгласно договореното с Гренландия. </w:t>
      </w:r>
    </w:p>
    <w:p w:rsidR="0085398F" w:rsidRPr="00F123D2" w:rsidRDefault="00384E62" w:rsidP="72CF8CC2">
      <w:pPr>
        <w:rPr>
          <w:noProof/>
        </w:rPr>
      </w:pPr>
      <w:r w:rsidRPr="00F123D2">
        <w:rPr>
          <w:noProof/>
        </w:rPr>
        <w:t>В очакване на споразумение между държавите членки относно формулата на разпределение за този запас се предлага временно да не се разпределя квотата на ЕС между държавите членки и да се позволи на всички държави членки да извършват риболов по квотата на ЕС, докато тя бъде напълно изчерпана.</w:t>
      </w:r>
    </w:p>
    <w:p w:rsidR="001C5474" w:rsidRPr="00F123D2" w:rsidRDefault="001C5474" w:rsidP="00312070">
      <w:pPr>
        <w:rPr>
          <w:b/>
          <w:bCs/>
          <w:noProof/>
        </w:rPr>
      </w:pPr>
      <w:r w:rsidRPr="00F123D2">
        <w:rPr>
          <w:b/>
          <w:noProof/>
        </w:rPr>
        <w:t xml:space="preserve">Атлантическа треска в северната част на NAFO </w:t>
      </w:r>
    </w:p>
    <w:p w:rsidR="00A11243" w:rsidRPr="00F123D2" w:rsidRDefault="32A2CB61" w:rsidP="3B72C7DA">
      <w:pPr>
        <w:rPr>
          <w:noProof/>
        </w:rPr>
      </w:pPr>
      <w:r w:rsidRPr="00F123D2">
        <w:rPr>
          <w:noProof/>
        </w:rPr>
        <w:t xml:space="preserve">С Регламент (ЕС) 2026/249 временно се определят на нула ОДУ и квотата на ЕС за атлантическа треска в участъци 2J, 3K и 3L на Организацията за риболова в северозападната част на Атлантическия океан (NAFO) (атлантическа треска в участъци „2J3KL“, „атлантическа треска в северната част на NAFO“) за периода от 1 юли 2026 г. до 30 юни 2027 г., в очакване на решение на NAFO за определяне на този ОДУ. </w:t>
      </w:r>
    </w:p>
    <w:p w:rsidR="00A11243" w:rsidRPr="00F123D2" w:rsidRDefault="147D189B" w:rsidP="3B72C7DA">
      <w:pPr>
        <w:rPr>
          <w:noProof/>
        </w:rPr>
      </w:pPr>
      <w:r w:rsidRPr="00F123D2">
        <w:rPr>
          <w:noProof/>
        </w:rPr>
        <w:t xml:space="preserve">Очаква се през юни 2026 г. Канада да публикува научното си становище за атлантическа треска в участъци 2J3KL за периода от 1 юли 2026 г. до 30 юни 2027 г. След публикуването на това становище се очаква Канада да определи за своите риболовни кораби ограничение на улова на атлантическа треска в участъци 2J3KL на NAFO за периода от 1 юли 2026 г. до 30 юни 2027 г. В съответствие със своите правила NAFO ще определи ОДУ за този запас и за този период, както и разпределението между други договарящи страни по NAFO, включително квота на ЕС, за риболова в регулаторната зона на NAFO. Този ОДУ и това разпределение се определят на такова равнище, така че ограничението на улова, установено от Канада, да съответства на 95 % от ОДУ, а разпределението за други договарящи страни по NAFO да съответства на 5 % от ОДУ. </w:t>
      </w:r>
    </w:p>
    <w:p w:rsidR="001C5474" w:rsidRPr="00F123D2" w:rsidRDefault="147D189B" w:rsidP="3B72C7DA">
      <w:pPr>
        <w:rPr>
          <w:noProof/>
        </w:rPr>
      </w:pPr>
      <w:r w:rsidRPr="00F123D2">
        <w:rPr>
          <w:noProof/>
        </w:rPr>
        <w:t>В очакване на решение на NAFO за установяване на този ОДУ, разпределение за други договарящи страни по NAFO и евентуални мерки за възстановяване за този запас, съответното съображение от Регламент (ЕС) 2025/1350 е включено в настоящото предложение на временно основание в квадратни скоби, като ОДУ за атлантическа треска в участък 2J3KL на NAFO за периода от 1 юли 2026 г. до 30 юни 2027 г. е обозначен с „pm“. Веднага щом решението на NAFO стане известно, службите на Комисията ще актуализират предложението посредством неофициален документ, в който ще бъдат предложени ОДУ и възможните мерки за възстановяване за този период в съответствие с решението на NAFO.</w:t>
      </w:r>
    </w:p>
    <w:p w:rsidR="008E5816" w:rsidRPr="00F123D2" w:rsidRDefault="00D85591" w:rsidP="728C8B72">
      <w:pPr>
        <w:pBdr>
          <w:top w:val="nil"/>
          <w:left w:val="nil"/>
          <w:bottom w:val="nil"/>
          <w:right w:val="nil"/>
          <w:between w:val="nil"/>
          <w:bar w:val="nil"/>
        </w:pBdr>
        <w:spacing w:before="240" w:after="240"/>
        <w:rPr>
          <w:b/>
          <w:bCs/>
          <w:noProof/>
        </w:rPr>
      </w:pPr>
      <w:r w:rsidRPr="00F123D2">
        <w:rPr>
          <w:b/>
          <w:noProof/>
        </w:rPr>
        <w:t>ICCAT</w:t>
      </w:r>
    </w:p>
    <w:p w:rsidR="007811C2" w:rsidRPr="00F123D2" w:rsidRDefault="19DB09FE" w:rsidP="5261A6E9">
      <w:pPr>
        <w:pBdr>
          <w:top w:val="nil"/>
          <w:left w:val="nil"/>
          <w:bottom w:val="nil"/>
          <w:right w:val="nil"/>
          <w:between w:val="nil"/>
          <w:bar w:val="nil"/>
        </w:pBdr>
        <w:spacing w:before="240" w:after="240"/>
        <w:rPr>
          <w:noProof/>
        </w:rPr>
      </w:pPr>
      <w:bookmarkStart w:id="2" w:name="_Hlk228798244"/>
      <w:r w:rsidRPr="00F123D2">
        <w:rPr>
          <w:noProof/>
        </w:rPr>
        <w:t xml:space="preserve">След приемането на 29-ото годишно заседание на Международната комисия за опазване на рибата тон в Атлантическия океан (ICCAT) през ноември 2025 г. на Препоръка 25-04 на ICCAT за установяване на многогодишен план за управление на </w:t>
      </w:r>
      <w:r w:rsidRPr="00F123D2">
        <w:rPr>
          <w:noProof/>
        </w:rPr>
        <w:lastRenderedPageBreak/>
        <w:t>червения тон в източната част на Атлантическия океан и в Средиземно море</w:t>
      </w:r>
      <w:r w:rsidRPr="00F123D2">
        <w:rPr>
          <w:rStyle w:val="FootnoteReference"/>
          <w:noProof/>
        </w:rPr>
        <w:footnoteReference w:id="11"/>
      </w:r>
      <w:r w:rsidRPr="00F123D2">
        <w:rPr>
          <w:noProof/>
        </w:rPr>
        <w:t xml:space="preserve">, на 4 март 2026 г. беше приет </w:t>
      </w:r>
      <w:bookmarkStart w:id="3" w:name="_Hlk227340434"/>
      <w:r w:rsidRPr="00F123D2">
        <w:rPr>
          <w:noProof/>
        </w:rPr>
        <w:t>делегиран регламент на Комисията</w:t>
      </w:r>
      <w:bookmarkEnd w:id="3"/>
      <w:r w:rsidRPr="00F123D2">
        <w:rPr>
          <w:noProof/>
        </w:rPr>
        <w:t>, съгласно член 66, параграф 1, буква а) от Регламент (ЕС) 2023/2053</w:t>
      </w:r>
      <w:r w:rsidRPr="00F123D2">
        <w:rPr>
          <w:rStyle w:val="FootnoteReference"/>
          <w:noProof/>
        </w:rPr>
        <w:footnoteReference w:id="12"/>
      </w:r>
      <w:r w:rsidRPr="00F123D2">
        <w:rPr>
          <w:noProof/>
        </w:rPr>
        <w:t xml:space="preserve"> на Европейския парламент и на Съвета, за изменение на член 8, параграф 2 от него, с оглед на включването на препоръката в правото на ЕС. Очаква се този делегиран регламент да влезе в сила на 14 май 2026 г. Вследствие, държавите членки вече могат да поискат прехвърляне от предходната година към съответната година на максимално 20 %, вместо предишните 5 %, от годишната си квота за червен тон в зоната на Конвенцията ICCAT на изток от 45° з.д. Когато държавите членки отправят такова искане, те трябва да го представят на Комисията в годишния си риболовен план. За 2026 г. Гърция, Испания, Франция, Хърватия, Италия, Кипър, Малта и Португалия поискаха такива прехвърляния от 2025 г. Въз основа на тези искания Комисията представи на секретариата на ICCAT — в съответствие с член 11, параграф 5 от Регламент (ЕС) 2023/2053 — преразгледан годишен план на ЕС. Поради това, се предлага квотите на тези държави членки за червен тон в зоната на Конвенцията ICCAT на изток от 45° з.д. за 2026 г. да бъдат съответно изменени. Службите на Комисията ще актуализират предложението чрез неофициален документ, в който се посочват референтният номер и датата на влизане в сила на делегирания регламент, приет на 4 март 2026 г.</w:t>
      </w:r>
    </w:p>
    <w:bookmarkEnd w:id="2"/>
    <w:p w:rsidR="001C26E5" w:rsidRPr="00F123D2" w:rsidRDefault="001C26E5" w:rsidP="001C26E5">
      <w:pPr>
        <w:pBdr>
          <w:top w:val="nil"/>
          <w:left w:val="nil"/>
          <w:bottom w:val="nil"/>
          <w:right w:val="nil"/>
          <w:between w:val="nil"/>
          <w:bar w:val="nil"/>
        </w:pBdr>
        <w:spacing w:before="240" w:after="240"/>
        <w:rPr>
          <w:noProof/>
        </w:rPr>
      </w:pPr>
      <w:r w:rsidRPr="00F123D2">
        <w:rPr>
          <w:noProof/>
        </w:rPr>
        <w:t>В съответствие с член 17б от Регламент (ЕС) 2017/2107</w:t>
      </w:r>
      <w:r w:rsidRPr="00F123D2">
        <w:rPr>
          <w:rStyle w:val="FootnoteReference"/>
          <w:noProof/>
        </w:rPr>
        <w:footnoteReference w:id="13"/>
      </w:r>
      <w:r w:rsidRPr="00F123D2">
        <w:rPr>
          <w:noProof/>
        </w:rPr>
        <w:t xml:space="preserve"> на Европейския парламент и на Съвета с Регламент (ЕС) 2026/249, както е изменен с Регламент (ЕС) 2026/786, бяха прехвърлени годишни квоти от 2024 г. в 2026 г. за някои държави членки за бял тон (</w:t>
      </w:r>
      <w:r w:rsidRPr="00F123D2">
        <w:rPr>
          <w:i/>
          <w:noProof/>
        </w:rPr>
        <w:t>Thunnus alalunga</w:t>
      </w:r>
      <w:r w:rsidRPr="00F123D2">
        <w:rPr>
          <w:noProof/>
        </w:rPr>
        <w:t>) в зоната на Конвенцията ICCAT на север от 5° с.ш. Квотите на тези държави членки за този запас за 2026 г. бяха съответно изменени с Регламент (ЕС) 2026/786 на Съвета. Въпреки това, квотата на Обединеното кралство за този запас за 2026 г. не беше изменена с цел отразяване на тези прехвърляния, и поради това следва да бъде съответно изменена.</w:t>
      </w:r>
    </w:p>
    <w:p w:rsidR="001C5474" w:rsidRPr="00F123D2" w:rsidRDefault="3DFAB274" w:rsidP="22163002">
      <w:pPr>
        <w:spacing w:before="0" w:after="200"/>
        <w:rPr>
          <w:b/>
          <w:bCs/>
          <w:noProof/>
        </w:rPr>
      </w:pPr>
      <w:r w:rsidRPr="00F123D2">
        <w:rPr>
          <w:b/>
          <w:noProof/>
        </w:rPr>
        <w:t xml:space="preserve">NPFC </w:t>
      </w:r>
    </w:p>
    <w:p w:rsidR="00EE5F6D" w:rsidRPr="00F123D2" w:rsidRDefault="00BC7525" w:rsidP="00BC7525">
      <w:pPr>
        <w:rPr>
          <w:noProof/>
        </w:rPr>
      </w:pPr>
      <w:r w:rsidRPr="00F123D2">
        <w:rPr>
          <w:noProof/>
        </w:rPr>
        <w:t>В Регламент (ЕС) 2026/249, както е изменен с Регламент (ЕС) 2026/786, временно са обозначени с „предстои да бъде определен“ ограниченията на улова за държавите членки, които са договарящи страни в Комисията за риболова в северната част на Тихия океан (NPFC), съответно за траулери и кораби с мрежи гъргър, и допълнителната квота на ЕС за атлантическо-средиземноморска скумрия (</w:t>
      </w:r>
      <w:r w:rsidRPr="00F123D2">
        <w:rPr>
          <w:i/>
          <w:noProof/>
        </w:rPr>
        <w:t>Scomber japonicus</w:t>
      </w:r>
      <w:r w:rsidRPr="00F123D2">
        <w:rPr>
          <w:noProof/>
        </w:rPr>
        <w:t xml:space="preserve">) в зоната на Конвенцията NPFC за периода от 1 юни 2026 г. до 31 май 2027 г., както и свързаните с тях ограничения на усилието. </w:t>
      </w:r>
    </w:p>
    <w:p w:rsidR="00A473F4" w:rsidRPr="00F123D2" w:rsidRDefault="7A5E51A7" w:rsidP="00277572">
      <w:pPr>
        <w:rPr>
          <w:noProof/>
        </w:rPr>
      </w:pPr>
      <w:r w:rsidRPr="00F123D2">
        <w:rPr>
          <w:noProof/>
        </w:rPr>
        <w:lastRenderedPageBreak/>
        <w:t>На годишното си заседание през април 2026 г. NPFC определи тези ограничения на улова за периода от 1 юни 2026 г. до 31 декември 2026 г., като съгласува риболовния период с календарната година. Тя също така добави към тези ограничения на улова синя скумрия (</w:t>
      </w:r>
      <w:r w:rsidRPr="00F123D2">
        <w:rPr>
          <w:i/>
          <w:noProof/>
        </w:rPr>
        <w:t>Scomber australasicus</w:t>
      </w:r>
      <w:r w:rsidRPr="00F123D2">
        <w:rPr>
          <w:noProof/>
        </w:rPr>
        <w:t>), която се лови заедно с атлантическо-средиземноморската скумрия.</w:t>
      </w:r>
    </w:p>
    <w:p w:rsidR="00277572" w:rsidRPr="00F123D2" w:rsidRDefault="00277572" w:rsidP="00277572">
      <w:pPr>
        <w:rPr>
          <w:noProof/>
        </w:rPr>
        <w:sectPr w:rsidR="00277572" w:rsidRPr="00F123D2" w:rsidSect="00A7243D">
          <w:headerReference w:type="even" r:id="rId14"/>
          <w:footerReference w:type="even" r:id="rId15"/>
          <w:footerReference w:type="default" r:id="rId16"/>
          <w:headerReference w:type="first" r:id="rId17"/>
          <w:footerReference w:type="first" r:id="rId18"/>
          <w:footnotePr>
            <w:numRestart w:val="eachSect"/>
          </w:footnotePr>
          <w:pgSz w:w="11907" w:h="16840" w:code="9"/>
          <w:pgMar w:top="1134" w:right="1418" w:bottom="1134" w:left="1418" w:header="709" w:footer="709" w:gutter="0"/>
          <w:cols w:space="708"/>
          <w:docGrid w:linePitch="360"/>
        </w:sectPr>
      </w:pPr>
    </w:p>
    <w:p w:rsidR="00416EB0" w:rsidRDefault="004D351D">
      <w:pPr>
        <w:pStyle w:val="Rfrenceinterinstitutionnelle"/>
        <w:rPr>
          <w:noProof/>
        </w:rPr>
      </w:pPr>
      <w:r>
        <w:rPr>
          <w:noProof/>
        </w:rPr>
        <w:lastRenderedPageBreak/>
        <w:t>2026/0122 (NLE)</w:t>
      </w:r>
    </w:p>
    <w:p w:rsidR="00CA48E0" w:rsidRPr="00F123D2" w:rsidRDefault="00F123D2" w:rsidP="00F123D2">
      <w:pPr>
        <w:pStyle w:val="Statut"/>
        <w:rPr>
          <w:noProof/>
        </w:rPr>
      </w:pPr>
      <w:r w:rsidRPr="00F123D2">
        <w:rPr>
          <w:noProof/>
        </w:rPr>
        <w:t>Предложение за</w:t>
      </w:r>
    </w:p>
    <w:p w:rsidR="00312070" w:rsidRPr="00F123D2" w:rsidRDefault="00F123D2" w:rsidP="00F123D2">
      <w:pPr>
        <w:pStyle w:val="Typedudocument"/>
        <w:rPr>
          <w:noProof/>
        </w:rPr>
      </w:pPr>
      <w:r w:rsidRPr="00F123D2">
        <w:rPr>
          <w:noProof/>
        </w:rPr>
        <w:t>РЕГЛАМЕНТ НА СЪВЕТА</w:t>
      </w:r>
    </w:p>
    <w:p w:rsidR="00312070" w:rsidRPr="00F123D2" w:rsidRDefault="00F123D2" w:rsidP="00F123D2">
      <w:pPr>
        <w:pStyle w:val="Titreobjet"/>
        <w:rPr>
          <w:noProof/>
        </w:rPr>
      </w:pPr>
      <w:r w:rsidRPr="00F123D2">
        <w:rPr>
          <w:noProof/>
        </w:rPr>
        <w:t>за изменение на Регламент (ЕС) 2026/249 на Съвета за определяне на възможностите за риболов за 2026 г., 2027 г. и 2028 г. на определени рибни запаси, приложими във водите на Съюза, както и за риболовните кораби на Съюза в някои води извън Съюза</w:t>
      </w:r>
    </w:p>
    <w:p w:rsidR="00312070" w:rsidRPr="00F123D2" w:rsidRDefault="00312070" w:rsidP="00312070">
      <w:pPr>
        <w:pStyle w:val="Institutionquiagit"/>
        <w:rPr>
          <w:noProof/>
        </w:rPr>
      </w:pPr>
      <w:r w:rsidRPr="00F123D2">
        <w:rPr>
          <w:noProof/>
        </w:rPr>
        <w:t>СЪВЕТЪТ НА ЕВРОПЕЙСКИЯ СЪЮЗ,</w:t>
      </w:r>
    </w:p>
    <w:p w:rsidR="00312070" w:rsidRPr="00F123D2" w:rsidRDefault="00312070" w:rsidP="00312070">
      <w:pPr>
        <w:rPr>
          <w:noProof/>
        </w:rPr>
      </w:pPr>
      <w:r w:rsidRPr="00F123D2">
        <w:rPr>
          <w:noProof/>
        </w:rPr>
        <w:t>като взе предвид Договора за функционирането на Европейския съюз, и по-специално член 43, параграф 3 от него,</w:t>
      </w:r>
    </w:p>
    <w:p w:rsidR="00312070" w:rsidRPr="00F123D2" w:rsidRDefault="00312070" w:rsidP="00312070">
      <w:pPr>
        <w:rPr>
          <w:noProof/>
        </w:rPr>
      </w:pPr>
      <w:r w:rsidRPr="00F123D2">
        <w:rPr>
          <w:noProof/>
        </w:rPr>
        <w:t>като взе предвид предложението на Европейската комисия,</w:t>
      </w:r>
    </w:p>
    <w:p w:rsidR="00312070" w:rsidRPr="00F123D2" w:rsidRDefault="1532F1E1" w:rsidP="00312070">
      <w:pPr>
        <w:rPr>
          <w:noProof/>
        </w:rPr>
      </w:pPr>
      <w:r w:rsidRPr="00F123D2">
        <w:rPr>
          <w:noProof/>
        </w:rPr>
        <w:t>като има предвид, че:</w:t>
      </w:r>
    </w:p>
    <w:p w:rsidR="00312070" w:rsidRPr="00F123D2" w:rsidRDefault="4630B188" w:rsidP="00BA5F06">
      <w:pPr>
        <w:pStyle w:val="ManualConsidrant"/>
        <w:rPr>
          <w:noProof/>
        </w:rPr>
      </w:pPr>
      <w:r>
        <w:rPr>
          <w:noProof/>
        </w:rPr>
        <w:t>(1)</w:t>
      </w:r>
      <w:r>
        <w:rPr>
          <w:noProof/>
        </w:rPr>
        <w:tab/>
      </w:r>
      <w:r w:rsidRPr="00F123D2">
        <w:rPr>
          <w:noProof/>
        </w:rPr>
        <w:t>С Регламент (ЕС) 2026/249</w:t>
      </w:r>
      <w:r w:rsidRPr="00F123D2">
        <w:rPr>
          <w:rStyle w:val="FootnoteReference"/>
          <w:noProof/>
        </w:rPr>
        <w:footnoteReference w:id="14"/>
      </w:r>
      <w:r w:rsidRPr="00F123D2">
        <w:rPr>
          <w:noProof/>
        </w:rPr>
        <w:t xml:space="preserve"> на Съвета се определят възможностите за риболов за 2026 г., 2027 г. и 2028 г. на определени рибни запаси, приложими във водите на Съюза, както и за риболовните кораби на Съюза в някои води извън Съюза. Тези възможности за риболов, включително определени мерки, свързани функционално с тях, следва да бъдат изменени, за да се вземат под внимание публикуваните научни становища, резултатите от консултациите с трети държави и от заседанията на регионалните организации за управление на рибарството, както и други развития.</w:t>
      </w:r>
    </w:p>
    <w:p w:rsidR="00312070" w:rsidRPr="00F123D2" w:rsidRDefault="32973AD2" w:rsidP="005B3B87">
      <w:pPr>
        <w:pStyle w:val="ManualConsidrant"/>
        <w:rPr>
          <w:noProof/>
        </w:rPr>
      </w:pPr>
      <w:r>
        <w:rPr>
          <w:noProof/>
        </w:rPr>
        <w:t>(2)</w:t>
      </w:r>
      <w:r>
        <w:rPr>
          <w:noProof/>
        </w:rPr>
        <w:tab/>
      </w:r>
      <w:r w:rsidRPr="00F123D2">
        <w:rPr>
          <w:i/>
          <w:noProof/>
        </w:rPr>
        <w:t>[Съображението и съответните разпоредби ще бъдат актуализирани след публикуването на становището на ICES или ако се окаже, че такава актуализация не би позволила на Съвета да приеме окончателния ОДУ навреме и впоследствие би довела до временно прекъсване на този риболов, считано от 1 юли 2026 г.] [ИЛИ]</w:t>
      </w:r>
      <w:r w:rsidRPr="00F123D2">
        <w:rPr>
          <w:noProof/>
        </w:rPr>
        <w:t xml:space="preserve"> [На 19 юни 2026 г. Международният съвет за изследване на морето (ICES) публикува научното си становище за хамсията (</w:t>
      </w:r>
      <w:r w:rsidRPr="00F123D2">
        <w:rPr>
          <w:i/>
          <w:noProof/>
        </w:rPr>
        <w:t>Engraulis encrasicolus</w:t>
      </w:r>
      <w:r w:rsidRPr="00F123D2">
        <w:rPr>
          <w:noProof/>
        </w:rPr>
        <w:t>) в западната част на участък 9а на ICES за периода от 1 юли 2026 г. до 30 юни 2027 г. След публикуването от ICES на това становище общият допустим улов (ОДУ) за хамсия в западната част на подзона 9 и в подзона 10 на ICES за периода от 1 юли 2026 г. до 30 юни 2027 г. следва да се установи съгласно препоръката на ICES.]</w:t>
      </w:r>
      <w:bookmarkStart w:id="4" w:name="_Hlk193033427"/>
      <w:r w:rsidRPr="00F123D2">
        <w:rPr>
          <w:noProof/>
        </w:rPr>
        <w:t xml:space="preserve"> </w:t>
      </w:r>
      <w:r w:rsidRPr="00F123D2">
        <w:rPr>
          <w:i/>
          <w:noProof/>
        </w:rPr>
        <w:t>[ИЛИ]</w:t>
      </w:r>
      <w:r w:rsidRPr="00F123D2">
        <w:rPr>
          <w:noProof/>
        </w:rPr>
        <w:t xml:space="preserve"> [С Регламент (ЕС) 2026/249</w:t>
      </w:r>
      <w:bookmarkEnd w:id="4"/>
      <w:r w:rsidRPr="00F123D2">
        <w:rPr>
          <w:noProof/>
        </w:rPr>
        <w:t xml:space="preserve"> временно е определен нулев общ допустим улов (ОДУ) за хамсия (</w:t>
      </w:r>
      <w:r w:rsidRPr="00F123D2">
        <w:rPr>
          <w:i/>
          <w:noProof/>
        </w:rPr>
        <w:t>Engraulis encrasicolus</w:t>
      </w:r>
      <w:r w:rsidRPr="00F123D2">
        <w:rPr>
          <w:noProof/>
        </w:rPr>
        <w:t xml:space="preserve">) в западната част на подзона 9 и в подзона 10 на Международния съвет за изследване на морето (ICES) за периода от 1 юли 2026 г. до 30 юни 2027 г., в очакване на ICES да публикува научното си становище за хамсията в западната част на участък 9а на ICES за същия период. За да се осигури възможност </w:t>
      </w:r>
      <w:r w:rsidRPr="00F123D2">
        <w:rPr>
          <w:noProof/>
        </w:rPr>
        <w:lastRenderedPageBreak/>
        <w:t>риболовът да продължи до определянето на окончателния ОДУ за този запас за съответния период, за периода от 1 юли 2026 г. до 30 септември 2026 г. следва да се определи временен ОДУ на равнище, съответстващо на [X].]</w:t>
      </w:r>
    </w:p>
    <w:p w:rsidR="001C5474" w:rsidRPr="00F123D2" w:rsidRDefault="5BC80EE8" w:rsidP="00887E21">
      <w:pPr>
        <w:pStyle w:val="ManualConsidrant"/>
        <w:rPr>
          <w:noProof/>
          <w:szCs w:val="24"/>
        </w:rPr>
      </w:pPr>
      <w:r>
        <w:rPr>
          <w:noProof/>
        </w:rPr>
        <w:t>(3)</w:t>
      </w:r>
      <w:r>
        <w:rPr>
          <w:noProof/>
        </w:rPr>
        <w:tab/>
      </w:r>
      <w:r w:rsidRPr="00F123D2">
        <w:rPr>
          <w:noProof/>
        </w:rPr>
        <w:t>[</w:t>
      </w:r>
      <w:r w:rsidRPr="00F123D2">
        <w:rPr>
          <w:i/>
          <w:noProof/>
        </w:rPr>
        <w:t>Съображението и съответните разпоредби ще бъдат актуализирани след приключване на консултациите между Съюза и Норвегия.</w:t>
      </w:r>
      <w:r w:rsidRPr="00F123D2">
        <w:rPr>
          <w:noProof/>
        </w:rPr>
        <w:t>] [</w:t>
      </w:r>
      <w:r w:rsidRPr="00F123D2">
        <w:rPr>
          <w:noProof/>
          <w:color w:val="333333"/>
        </w:rPr>
        <w:t>На 23 юни 2025 г. Съюзът и Норвегия завършиха консултациите по: i) равнището на общите възможности за риболов на северна скарида (</w:t>
      </w:r>
      <w:r w:rsidRPr="00F123D2">
        <w:rPr>
          <w:i/>
          <w:noProof/>
          <w:color w:val="333333"/>
        </w:rPr>
        <w:t>Pandalus borealis</w:t>
      </w:r>
      <w:r w:rsidRPr="00F123D2">
        <w:rPr>
          <w:noProof/>
          <w:color w:val="333333"/>
        </w:rPr>
        <w:t>) в участъци 3a и 4a изток на ICES за периода от 1 юли 2025 г. до 30 юни 2026 г.; ii) равнището на ОДУ за северна скарида в участък 3а на ICES; и iii) допълнителните технически мерки за този запас. Участието на Съюза в тези консултации беше въз основа на позицията на Съюза, одобрена от Съвета на</w:t>
      </w:r>
      <w:r w:rsidRPr="00F123D2">
        <w:rPr>
          <w:noProof/>
        </w:rPr>
        <w:t xml:space="preserve"> 12 юни 2025 г</w:t>
      </w:r>
      <w:r w:rsidRPr="00F123D2">
        <w:rPr>
          <w:noProof/>
          <w:color w:val="333333"/>
        </w:rPr>
        <w:t xml:space="preserve">. Резултатите от консултациите бяха документирани в съгласуван протокол, който беше подписан на 23 юни 2025 г. Поради това, ОДУ за северна скарида в участък 3а на ICES следва да бъде определен на равнището, договорено с Норвегия, и следва да бъдат установени допълнителните технически мерки, договорени с Норвегия.  </w:t>
      </w:r>
      <w:r w:rsidRPr="00F123D2">
        <w:rPr>
          <w:noProof/>
        </w:rPr>
        <w:t xml:space="preserve">По време на тези консултации </w:t>
      </w:r>
      <w:r w:rsidRPr="00F123D2">
        <w:rPr>
          <w:noProof/>
          <w:color w:val="333333"/>
        </w:rPr>
        <w:t>Съюзът и Норвегия разгледаха обмена на северна скарида в норвежките води на Северно море на юг от 62</w:t>
      </w:r>
      <w:r w:rsidRPr="00F123D2">
        <w:rPr>
          <w:noProof/>
          <w:color w:val="333333"/>
          <w:vertAlign w:val="superscript"/>
        </w:rPr>
        <w:t>°</w:t>
      </w:r>
      <w:r w:rsidRPr="00F123D2">
        <w:rPr>
          <w:noProof/>
          <w:color w:val="333333"/>
        </w:rPr>
        <w:t xml:space="preserve"> с.ш. от Норвегия към Съюза. </w:t>
      </w:r>
      <w:r w:rsidRPr="00F123D2">
        <w:rPr>
          <w:noProof/>
        </w:rPr>
        <w:t xml:space="preserve">Тъй като обаче не беше постигнато споразумение </w:t>
      </w:r>
      <w:r w:rsidRPr="00F123D2">
        <w:rPr>
          <w:noProof/>
          <w:color w:val="333333"/>
        </w:rPr>
        <w:t>за допълнителни прехвърляния на северна скарида в Северно море, неразпределените възможности за риболов на северна скарида във водите на Гренландия от подзони 5 и 14 на ICES следва да бъдат разпределени на държавите членки. Поради това, квотите на държавите членки за северна скарида във водите на Гренландия от подзони 5 и 14 на ICES следва да бъдат съответно изменени.</w:t>
      </w:r>
      <w:r w:rsidRPr="00F123D2">
        <w:rPr>
          <w:noProof/>
        </w:rPr>
        <w:t>]</w:t>
      </w:r>
    </w:p>
    <w:p w:rsidR="00312070" w:rsidRPr="00F123D2" w:rsidRDefault="32973AD2" w:rsidP="00312070">
      <w:pPr>
        <w:pStyle w:val="ManualConsidrant"/>
        <w:rPr>
          <w:noProof/>
        </w:rPr>
      </w:pPr>
      <w:r>
        <w:rPr>
          <w:noProof/>
        </w:rPr>
        <w:t>(4)</w:t>
      </w:r>
      <w:r>
        <w:rPr>
          <w:noProof/>
        </w:rPr>
        <w:tab/>
      </w:r>
      <w:r w:rsidRPr="00F123D2">
        <w:rPr>
          <w:i/>
          <w:noProof/>
        </w:rPr>
        <w:t xml:space="preserve">[Съображението и съответните разпоредби ще бъдат актуализирани след приключване на консултациите между Съюза, Обединеното кралство и Норвегия.] </w:t>
      </w:r>
      <w:r w:rsidRPr="00F123D2">
        <w:rPr>
          <w:noProof/>
        </w:rPr>
        <w:t>[</w:t>
      </w:r>
      <w:r w:rsidRPr="00F123D2">
        <w:rPr>
          <w:noProof/>
          <w:color w:val="333333"/>
        </w:rPr>
        <w:t>На 21 май 2025 г. Съюзът, Обединеното кралство и Норвегия проведоха консултации по: i) равнището на общите възможности за риболов на цаца (</w:t>
      </w:r>
      <w:r w:rsidRPr="00F123D2">
        <w:rPr>
          <w:i/>
          <w:noProof/>
          <w:color w:val="333333"/>
        </w:rPr>
        <w:t>Sprattus sprattus</w:t>
      </w:r>
      <w:r w:rsidRPr="00F123D2">
        <w:rPr>
          <w:noProof/>
          <w:color w:val="333333"/>
        </w:rPr>
        <w:t>) в подзона 4 и участък 3a на ICES за периода от 1 юли 2025 г. до 30 юни 2026 г.; и ii) равнищата на ОДУ за цаца във водите на Съюза и на Обединеното кралство от подзона 4 и участък 2a на ICES и във водите на Съюза и на Норвегия от участък 3a на ICES за посочения период. Участието на Съюза в тези консултации беше въз основа на позицията на Съюза, одобрена от Съвета на 12 май 2025 г. Резултатите от консултациите бяха документирани в съгласуван протокол, който беше подписан на 21 май 2025 г. Поради това, съответният ОДУ следва да бъде определен на равнището, договорено с Обединеното кралство и Норвегия.</w:t>
      </w:r>
      <w:r w:rsidRPr="00F123D2">
        <w:rPr>
          <w:noProof/>
        </w:rPr>
        <w:t>]</w:t>
      </w:r>
    </w:p>
    <w:p w:rsidR="00312070" w:rsidRPr="00F123D2" w:rsidRDefault="32973AD2" w:rsidP="009272C4">
      <w:pPr>
        <w:pStyle w:val="ManualConsidrant"/>
        <w:rPr>
          <w:rFonts w:eastAsia="Times New Roman"/>
          <w:noProof/>
          <w:color w:val="333333"/>
        </w:rPr>
      </w:pPr>
      <w:r>
        <w:rPr>
          <w:noProof/>
        </w:rPr>
        <w:t>(5)</w:t>
      </w:r>
      <w:r>
        <w:rPr>
          <w:noProof/>
        </w:rPr>
        <w:tab/>
      </w:r>
      <w:r w:rsidRPr="00F123D2">
        <w:rPr>
          <w:i/>
          <w:noProof/>
        </w:rPr>
        <w:t>[Съображението и съответните разпоредби ще бъдат актуализирани след приключване на консултациите между Съюза и Обединеното кралство.]</w:t>
      </w:r>
      <w:r w:rsidRPr="00F123D2">
        <w:rPr>
          <w:noProof/>
        </w:rPr>
        <w:t xml:space="preserve"> </w:t>
      </w:r>
      <w:r w:rsidRPr="00F123D2">
        <w:rPr>
          <w:noProof/>
          <w:color w:val="333333"/>
        </w:rPr>
        <w:t>[На 12 май 2025 г. Съюзът и Обединеното кралство проведоха двустранни консултации в съответствие с член 498, параграфи 2, 4 и 6 от Споразумението за търговия и сътрудничество между Европейския съюз и Европейската общност за атомна енергия, от една страна, и Обединеното кралство Великобритания и Северна Ирландия, от друга страна</w:t>
      </w:r>
      <w:r w:rsidRPr="00F123D2">
        <w:rPr>
          <w:rStyle w:val="FootnoteReference"/>
          <w:noProof/>
        </w:rPr>
        <w:footnoteReference w:id="15"/>
      </w:r>
      <w:r w:rsidRPr="00F123D2">
        <w:rPr>
          <w:noProof/>
          <w:color w:val="333333"/>
        </w:rPr>
        <w:t xml:space="preserve">, относно равнището на ОДУ за цаца в участъци 7d и </w:t>
      </w:r>
      <w:r w:rsidRPr="00F123D2">
        <w:rPr>
          <w:noProof/>
          <w:color w:val="333333"/>
        </w:rPr>
        <w:lastRenderedPageBreak/>
        <w:t>7e на ICES за периода от 1 юли 2025 г. до 30 юни 2026 г. Участието на Съюза в тези консултации беше въз основа на позицията на Съюза, одобрена от Съвета на 8 май 2025 г. Резултатите от консултациите бяха документирани в писмен протокол, който беше подписан на 22 май 2025 г. Поради това, ОДУ за цаца в участъци 7d и 7e на ICES за периода от 1 юли 2025 г. до 30 юни 2026 г. следва да бъде определен на равнището, договорено с Обединеното кралство.]</w:t>
      </w:r>
    </w:p>
    <w:p w:rsidR="000E0298" w:rsidRPr="00F123D2" w:rsidRDefault="004F431B" w:rsidP="000E0298">
      <w:pPr>
        <w:pStyle w:val="ManualConsidrant"/>
        <w:rPr>
          <w:rFonts w:eastAsia="Times New Roman"/>
          <w:noProof/>
          <w:color w:val="333333"/>
        </w:rPr>
      </w:pPr>
      <w:r>
        <w:rPr>
          <w:noProof/>
        </w:rPr>
        <w:t>(6)</w:t>
      </w:r>
      <w:r>
        <w:rPr>
          <w:noProof/>
        </w:rPr>
        <w:tab/>
      </w:r>
      <w:r w:rsidRPr="00F123D2">
        <w:rPr>
          <w:noProof/>
          <w:color w:val="333333"/>
        </w:rPr>
        <w:t>С Регламент (ЕС) 2026/249, както е изменен с Регламент (ЕС) 2026/786 на Съвета</w:t>
      </w:r>
      <w:r w:rsidRPr="00F123D2">
        <w:rPr>
          <w:rStyle w:val="FootnoteReference"/>
          <w:noProof/>
        </w:rPr>
        <w:footnoteReference w:id="16"/>
      </w:r>
      <w:r w:rsidRPr="00F123D2">
        <w:rPr>
          <w:noProof/>
          <w:color w:val="333333"/>
        </w:rPr>
        <w:t>, бяха определени квотите на Съюза и на държавите членки за мойва</w:t>
      </w:r>
      <w:r w:rsidRPr="00F123D2">
        <w:rPr>
          <w:noProof/>
        </w:rPr>
        <w:t xml:space="preserve"> (</w:t>
      </w:r>
      <w:r w:rsidRPr="00F123D2">
        <w:rPr>
          <w:i/>
          <w:noProof/>
        </w:rPr>
        <w:t>Mallotus villosus</w:t>
      </w:r>
      <w:r w:rsidRPr="00F123D2">
        <w:rPr>
          <w:noProof/>
        </w:rPr>
        <w:t xml:space="preserve">) </w:t>
      </w:r>
      <w:r w:rsidRPr="00F123D2">
        <w:rPr>
          <w:noProof/>
          <w:color w:val="333333"/>
        </w:rPr>
        <w:t>във водите на Гренландия от подзони 2, 5, 12 и 14 на ICES за периода от 15 октомври 2025 г. до 15 април 2026 г. на равнището, договорено с Гренландия</w:t>
      </w:r>
      <w:r w:rsidRPr="00F123D2">
        <w:rPr>
          <w:noProof/>
        </w:rPr>
        <w:t>, в съответствие с член 2, параграф 1 от Протокола за прилагане на Споразумението за партньорство в областта на устойчивото рибарство между Европейския съюз, от една страна, и правителството на Гренландия и правителството на Дания, от друга страна</w:t>
      </w:r>
      <w:r w:rsidRPr="00F123D2">
        <w:rPr>
          <w:rStyle w:val="FootnoteReference"/>
          <w:noProof/>
        </w:rPr>
        <w:footnoteReference w:id="17"/>
      </w:r>
      <w:r w:rsidRPr="00F123D2">
        <w:rPr>
          <w:noProof/>
        </w:rPr>
        <w:t xml:space="preserve">. Въпреки това, поради отсъствието на интерес от страна на риболовния отрасъл на Съюза, Съюзът предложи на Гренландия да си възстанови тези възможности за риболов. Поради това, квотите на Съюза и на държавите членки за мойва във водите на Гренландия от подзони 2, 5, 12 и 14 на ICES за периода от 15 октомври 2025 г. до 15 април 2026 г. следва да бъдат съответно намалени до нула. </w:t>
      </w:r>
    </w:p>
    <w:p w:rsidR="008D10E1" w:rsidRPr="00F123D2" w:rsidRDefault="007635A4" w:rsidP="007635A4">
      <w:pPr>
        <w:pStyle w:val="ManualConsidrant"/>
        <w:rPr>
          <w:rFonts w:eastAsia="Times New Roman"/>
          <w:noProof/>
          <w:color w:val="333333"/>
        </w:rPr>
      </w:pPr>
      <w:r>
        <w:rPr>
          <w:noProof/>
        </w:rPr>
        <w:t>(7)</w:t>
      </w:r>
      <w:r>
        <w:rPr>
          <w:noProof/>
        </w:rPr>
        <w:tab/>
      </w:r>
      <w:r w:rsidRPr="00F123D2">
        <w:rPr>
          <w:noProof/>
          <w:color w:val="333333"/>
        </w:rPr>
        <w:t>В съответствие с член 11 от Споразумението за партньорство в областта на устойчивото рибарство между Съюза и Гренландия</w:t>
      </w:r>
      <w:r w:rsidRPr="00F123D2">
        <w:rPr>
          <w:rStyle w:val="FootnoteReference"/>
          <w:noProof/>
        </w:rPr>
        <w:footnoteReference w:id="18"/>
      </w:r>
      <w:r w:rsidRPr="00F123D2">
        <w:rPr>
          <w:noProof/>
          <w:color w:val="333333"/>
        </w:rPr>
        <w:t xml:space="preserve"> и в съответствие с условията, определени в член 6 и глава VI от протокола към същото споразумение, Съюзът и Гренландия се споразумяха да извършват експериментален риболов на атлантическа треска (</w:t>
      </w:r>
      <w:r w:rsidRPr="00F123D2">
        <w:rPr>
          <w:i/>
          <w:noProof/>
          <w:color w:val="333333"/>
        </w:rPr>
        <w:t>Gadus morhua</w:t>
      </w:r>
      <w:r w:rsidRPr="00F123D2">
        <w:rPr>
          <w:noProof/>
          <w:color w:val="333333"/>
        </w:rPr>
        <w:t>) във водите на Гренландия от подзони 5 и 14 на ICES на североизток от 42° з.д. в периода от 12 февруари 2026 г. до 31 декември 2026 г. За този експериментален риболов бяха определени възможности за риболов в размер на 3 000 тона, от които 900 тона бяха разпределени на Съюза. Тази квота на Съюза следва да бъде определена съгласно договореното с Гренландия. До постигането на споразумение между държавите членки относно формулата на разпределение за този запас временно следва да не се разпределя квотата на Съюза, което ще позволи на всички държави членки да извършват риболов по квотата на Съюза, докато тя бъде напълно изчерпана.</w:t>
      </w:r>
    </w:p>
    <w:p w:rsidR="00EE5F6D" w:rsidRPr="00F123D2" w:rsidRDefault="002978F5" w:rsidP="00887E21">
      <w:pPr>
        <w:pStyle w:val="ManualConsidrant"/>
        <w:rPr>
          <w:rFonts w:eastAsia="Times New Roman"/>
          <w:noProof/>
          <w:color w:val="333333"/>
        </w:rPr>
      </w:pPr>
      <w:r>
        <w:rPr>
          <w:noProof/>
        </w:rPr>
        <w:t>(8)</w:t>
      </w:r>
      <w:r>
        <w:rPr>
          <w:noProof/>
        </w:rPr>
        <w:tab/>
      </w:r>
      <w:r w:rsidRPr="00F123D2">
        <w:rPr>
          <w:noProof/>
        </w:rPr>
        <w:t>[</w:t>
      </w:r>
      <w:r w:rsidRPr="00F123D2">
        <w:rPr>
          <w:i/>
          <w:noProof/>
        </w:rPr>
        <w:t>Съображението и съответните разпоредби ще бъдат актуализирани след решението на NAFO</w:t>
      </w:r>
      <w:r w:rsidRPr="00F123D2">
        <w:rPr>
          <w:noProof/>
        </w:rPr>
        <w:t xml:space="preserve">.] [На 18 юни 2025 г. Канада прие ограничение на улова за своите кораби, извършващи риболов на атлантическа треска в участъци 2J, 3K и 3L на Организацията за риболова в северозападната част на Атлантическия </w:t>
      </w:r>
      <w:r w:rsidRPr="00F123D2">
        <w:rPr>
          <w:noProof/>
        </w:rPr>
        <w:lastRenderedPageBreak/>
        <w:t>океан (NAFO), за периода от 1 юли 2025 г. до 30 юни 2026 г. Впоследствие, на 23 юни 2025 г. NAFO прие за този запас и за този период ОДУ и разпределение за другите договарящи страни по NAFO, съответстващо на 5 % от ОДУ, включително квота на Съюза, за риболова в регулаторната зона на NAFO. В допълнение, NAFO запази мерките за възстановяване на този запас за посочения период. Тези мерки следва да бъдат въведени в правото на Съюза.]</w:t>
      </w:r>
    </w:p>
    <w:p w:rsidR="001C5474" w:rsidRPr="00F123D2" w:rsidRDefault="008E3FF3" w:rsidP="00EE5F6D">
      <w:pPr>
        <w:pStyle w:val="ManualConsidrant"/>
        <w:rPr>
          <w:noProof/>
        </w:rPr>
      </w:pPr>
      <w:r>
        <w:rPr>
          <w:noProof/>
        </w:rPr>
        <w:t>(9)</w:t>
      </w:r>
      <w:r>
        <w:rPr>
          <w:noProof/>
        </w:rPr>
        <w:tab/>
      </w:r>
      <w:r w:rsidRPr="00F123D2">
        <w:rPr>
          <w:noProof/>
        </w:rPr>
        <w:t>[Съображението ще бъде актуализирано след влизането в сила на делегирания регламент, посочен в него.]</w:t>
      </w:r>
      <w:r w:rsidRPr="00F123D2">
        <w:rPr>
          <w:i/>
          <w:noProof/>
        </w:rPr>
        <w:t xml:space="preserve"> </w:t>
      </w:r>
      <w:r w:rsidRPr="00F123D2">
        <w:rPr>
          <w:noProof/>
        </w:rPr>
        <w:t>След приемането на 29-ото годишно заседание на Международната комисия за опазване на рибата тон в Атлантическия океан (ICCAT) през ноември 2025 г. на Препоръка 25-04 на ICCAT за установяване на многогодишен план за управление на червения тон в източната част на Атлантическия океан и в Средиземно море</w:t>
      </w:r>
      <w:r w:rsidRPr="00F123D2">
        <w:rPr>
          <w:rStyle w:val="FootnoteReference"/>
          <w:noProof/>
        </w:rPr>
        <w:footnoteReference w:id="19"/>
      </w:r>
      <w:r w:rsidRPr="00F123D2">
        <w:rPr>
          <w:noProof/>
        </w:rPr>
        <w:t>, на 4 март 2026 г. беше приет делегиран регламент на Комисията съгласно член 66, параграф 1, буква а) от Регламент (ЕС) 2023/2053</w:t>
      </w:r>
      <w:r w:rsidRPr="00F123D2">
        <w:rPr>
          <w:rStyle w:val="FootnoteReference"/>
          <w:noProof/>
        </w:rPr>
        <w:footnoteReference w:id="20"/>
      </w:r>
      <w:r w:rsidRPr="00F123D2">
        <w:rPr>
          <w:noProof/>
        </w:rPr>
        <w:t xml:space="preserve"> на Европейския парламент и на Съвета за изменение на член 8, параграф 2 от него, с оглед на включването на тази препоръка в правото на Съюза. Очаква се този делегиран регламент да влезе в сила на 14 май 2026 г. Вследствие, държавите членки вече могат да поискат прехвърляне от предходната година към съответната година на максимално 20 % от годишната си квота за червен тон в зоната на Конвенцията ICCAT на изток от 45° з.д. За 2026 г. Гърция, Испания, Франция, Хърватия, Италия, Кипър, Малта и Португалия поискаха такива прехвърляния от 2025 г. Въз основа на тези искания Комисията представи на секретариата на ICCAT — в съответствие с член 11, параграф 5 от Регламент (ЕС) 2023/2053 — преразгледан годишен план на Съюза. Поради това, следва квотите на тези държави членки за червен тон в зоната на Конвенцията ICCAT на изток от 45° з.д. за 2026 г. да бъдат съответно изменени.</w:t>
      </w:r>
    </w:p>
    <w:p w:rsidR="001C5474" w:rsidRPr="00F123D2" w:rsidRDefault="0013EA6F" w:rsidP="000A732B">
      <w:pPr>
        <w:pStyle w:val="ManualConsidrant"/>
        <w:rPr>
          <w:noProof/>
        </w:rPr>
      </w:pPr>
      <w:r>
        <w:rPr>
          <w:noProof/>
        </w:rPr>
        <w:t>(10)</w:t>
      </w:r>
      <w:r>
        <w:rPr>
          <w:noProof/>
        </w:rPr>
        <w:tab/>
      </w:r>
      <w:r w:rsidRPr="00F123D2">
        <w:rPr>
          <w:noProof/>
        </w:rPr>
        <w:t>На годишното си заседание през април 2026 г. Комисията за риболова в северната част на Тихия океан (NPFC) определи ограничения на улова на атлантическа скумрия (</w:t>
      </w:r>
      <w:r w:rsidRPr="00F123D2">
        <w:rPr>
          <w:i/>
          <w:noProof/>
        </w:rPr>
        <w:t>Scomber japonicus</w:t>
      </w:r>
      <w:r w:rsidRPr="00F123D2">
        <w:rPr>
          <w:noProof/>
        </w:rPr>
        <w:t>) и синя скумрия (</w:t>
      </w:r>
      <w:r w:rsidRPr="00F123D2">
        <w:rPr>
          <w:i/>
          <w:noProof/>
        </w:rPr>
        <w:t>Scomber australasicus</w:t>
      </w:r>
      <w:r w:rsidRPr="00F123D2">
        <w:rPr>
          <w:noProof/>
        </w:rPr>
        <w:t xml:space="preserve">), които се отнасят за всички договарящи страни по NPFC и важат съответно за траулерите и корабите с мрежи гъргър за периода от 1 юни 2026 г. до 31 декември 2026 г. В допълнение, NPFC установи за Съюза допълнително количество от този запас, за същия период. Тя също така установи свързаните с него ограничения на риболовното усилие. Освен това, NPFC установи мерки, които са функционално свързани с тези ограничения на улова и с допълнителното количество, без които: i) нямаше да е възможно установяването на посочените ограничения на улова за всички договарящи страни по NPFC; и ii) щеше да се наложи възможностите за риболов на атлантическо-средиземноморска скумрия и синя скумрия в зоната на Конвенцията NPFC да бъдат намалени, за да се защитят нецелевите видове. Тези възможности за </w:t>
      </w:r>
      <w:r w:rsidRPr="00F123D2">
        <w:rPr>
          <w:noProof/>
        </w:rPr>
        <w:lastRenderedPageBreak/>
        <w:t>риболов и мерките, свързани функционално с тях, следва да бъдат въведени в правото на Съюза.</w:t>
      </w:r>
    </w:p>
    <w:p w:rsidR="00312070" w:rsidRPr="00F123D2" w:rsidRDefault="4630B188" w:rsidP="3B72C7DA">
      <w:pPr>
        <w:pStyle w:val="ManualConsidrant"/>
        <w:rPr>
          <w:noProof/>
        </w:rPr>
      </w:pPr>
      <w:r>
        <w:rPr>
          <w:noProof/>
        </w:rPr>
        <w:t>(11)</w:t>
      </w:r>
      <w:r>
        <w:rPr>
          <w:noProof/>
        </w:rPr>
        <w:tab/>
      </w:r>
      <w:r w:rsidRPr="00F123D2">
        <w:rPr>
          <w:noProof/>
        </w:rPr>
        <w:t>Поради това, Регламент (ЕС) 2026/249 следва да бъде съответно изменен.</w:t>
      </w:r>
    </w:p>
    <w:p w:rsidR="00DB0825" w:rsidRPr="00F123D2" w:rsidRDefault="34452F4E" w:rsidP="00341C79">
      <w:pPr>
        <w:pStyle w:val="ManualConsidrant"/>
        <w:rPr>
          <w:noProof/>
        </w:rPr>
      </w:pPr>
      <w:r>
        <w:rPr>
          <w:noProof/>
        </w:rPr>
        <w:t>(12)</w:t>
      </w:r>
      <w:r>
        <w:rPr>
          <w:noProof/>
        </w:rPr>
        <w:tab/>
      </w:r>
      <w:r w:rsidRPr="00F123D2">
        <w:rPr>
          <w:noProof/>
        </w:rPr>
        <w:t xml:space="preserve">За да се запазят периодите на докладване за изменените с настоящия регламент равнища на ОДУ и като се има предвид, че някои от тези равнища на ОДУ се прилагат от 1 януари 2026 г., изменените равнища на ОДУ следва да се прилагат с обратно действие, считано от същата дата. Такова прилагане с обратно действие не засяга принципите на правната сигурност и на защитата на оправданите правни очаквания, тъй като съответните равнища на ОДУ се запазват или увеличават. </w:t>
      </w:r>
    </w:p>
    <w:p w:rsidR="00312070" w:rsidRPr="00F123D2" w:rsidRDefault="72A480F7" w:rsidP="00887E21">
      <w:pPr>
        <w:pStyle w:val="ManualConsidrant"/>
        <w:rPr>
          <w:noProof/>
        </w:rPr>
      </w:pPr>
      <w:r>
        <w:rPr>
          <w:noProof/>
        </w:rPr>
        <w:t>(13)</w:t>
      </w:r>
      <w:r>
        <w:rPr>
          <w:noProof/>
        </w:rPr>
        <w:tab/>
      </w:r>
      <w:r w:rsidRPr="00F123D2">
        <w:rPr>
          <w:noProof/>
        </w:rPr>
        <w:t xml:space="preserve">Предвид неотложната необходимост да се избегне прекъсване на риболовните дейности, настоящият регламент следва да влезе в сила в деня на публикуването му в </w:t>
      </w:r>
      <w:r w:rsidRPr="00F123D2">
        <w:rPr>
          <w:i/>
          <w:noProof/>
        </w:rPr>
        <w:t>Официален вестник на Европейския съюз</w:t>
      </w:r>
      <w:r w:rsidRPr="00F123D2">
        <w:rPr>
          <w:noProof/>
        </w:rPr>
        <w:t>,</w:t>
      </w:r>
    </w:p>
    <w:p w:rsidR="00312070" w:rsidRPr="00F123D2" w:rsidRDefault="1532F1E1" w:rsidP="00312070">
      <w:pPr>
        <w:pStyle w:val="Formuledadoption"/>
        <w:rPr>
          <w:noProof/>
        </w:rPr>
      </w:pPr>
      <w:r w:rsidRPr="00F123D2">
        <w:rPr>
          <w:noProof/>
        </w:rPr>
        <w:t>ПРИЕ НАСТОЯЩИЯ РЕГЛАМЕНТ:</w:t>
      </w:r>
    </w:p>
    <w:p w:rsidR="00312070" w:rsidRPr="00F123D2" w:rsidRDefault="00312070" w:rsidP="00312070">
      <w:pPr>
        <w:pStyle w:val="Titrearticle"/>
        <w:rPr>
          <w:noProof/>
        </w:rPr>
      </w:pPr>
      <w:r w:rsidRPr="00F123D2">
        <w:rPr>
          <w:noProof/>
        </w:rPr>
        <w:t xml:space="preserve">Член 1 </w:t>
      </w:r>
      <w:r w:rsidRPr="00F123D2">
        <w:rPr>
          <w:noProof/>
        </w:rPr>
        <w:br/>
      </w:r>
      <w:r w:rsidRPr="00F123D2">
        <w:rPr>
          <w:b/>
          <w:i w:val="0"/>
          <w:noProof/>
        </w:rPr>
        <w:t>Изменение на Регламент (EС) 2026/249</w:t>
      </w:r>
    </w:p>
    <w:p w:rsidR="00312070" w:rsidRPr="00F123D2" w:rsidRDefault="1532F1E1" w:rsidP="005A32B6">
      <w:pPr>
        <w:rPr>
          <w:noProof/>
        </w:rPr>
      </w:pPr>
      <w:r w:rsidRPr="00F123D2">
        <w:rPr>
          <w:noProof/>
        </w:rPr>
        <w:t xml:space="preserve">Приложение IA, части А и Б, и приложения IБ, IВ и IГ към Регламент (ЕС) 2026/249 се изменят в съответствие с приложението към настоящия регламент. </w:t>
      </w:r>
    </w:p>
    <w:p w:rsidR="00312070" w:rsidRPr="00F123D2" w:rsidRDefault="1532F1E1" w:rsidP="3B72C7DA">
      <w:pPr>
        <w:pStyle w:val="Titrearticle"/>
        <w:rPr>
          <w:noProof/>
        </w:rPr>
      </w:pPr>
      <w:r w:rsidRPr="00F123D2">
        <w:rPr>
          <w:noProof/>
        </w:rPr>
        <w:t xml:space="preserve">Член 2 </w:t>
      </w:r>
      <w:r w:rsidRPr="00F123D2">
        <w:rPr>
          <w:noProof/>
        </w:rPr>
        <w:br/>
      </w:r>
      <w:r w:rsidRPr="00F123D2">
        <w:rPr>
          <w:b/>
          <w:i w:val="0"/>
          <w:noProof/>
        </w:rPr>
        <w:t>Влизане в сила и прилагане</w:t>
      </w:r>
    </w:p>
    <w:p w:rsidR="00312070" w:rsidRPr="00F123D2" w:rsidRDefault="00312070" w:rsidP="00312070">
      <w:pPr>
        <w:rPr>
          <w:noProof/>
        </w:rPr>
      </w:pPr>
      <w:r w:rsidRPr="00F123D2">
        <w:rPr>
          <w:noProof/>
        </w:rPr>
        <w:t xml:space="preserve">Настоящият регламент влиза в сила в деня на публикуването му в </w:t>
      </w:r>
      <w:r w:rsidRPr="00F123D2">
        <w:rPr>
          <w:i/>
          <w:noProof/>
        </w:rPr>
        <w:t>Официален вестник на Европейския съюз</w:t>
      </w:r>
      <w:r w:rsidRPr="00F123D2">
        <w:rPr>
          <w:noProof/>
        </w:rPr>
        <w:t>.</w:t>
      </w:r>
    </w:p>
    <w:p w:rsidR="00312070" w:rsidRPr="00F123D2" w:rsidRDefault="00312070" w:rsidP="00312070">
      <w:pPr>
        <w:rPr>
          <w:noProof/>
        </w:rPr>
      </w:pPr>
      <w:r w:rsidRPr="00F123D2">
        <w:rPr>
          <w:noProof/>
        </w:rPr>
        <w:t xml:space="preserve">Той се прилага от 1 януари 2026 г. </w:t>
      </w:r>
    </w:p>
    <w:p w:rsidR="00312070" w:rsidRPr="00F123D2" w:rsidRDefault="00312070" w:rsidP="00312070">
      <w:pPr>
        <w:pStyle w:val="Applicationdirecte"/>
        <w:rPr>
          <w:noProof/>
        </w:rPr>
      </w:pPr>
      <w:r w:rsidRPr="00F123D2">
        <w:rPr>
          <w:noProof/>
        </w:rPr>
        <w:t>Настоящият регламент е задължителен в своята цялост и се прилага пряко във всички държави членки.</w:t>
      </w:r>
    </w:p>
    <w:p w:rsidR="00312070" w:rsidRPr="00F123D2" w:rsidRDefault="00F123D2" w:rsidP="001F7BFA">
      <w:pPr>
        <w:pStyle w:val="Fait"/>
        <w:rPr>
          <w:noProof/>
        </w:rPr>
      </w:pPr>
      <w:r>
        <w:rPr>
          <w:noProof/>
        </w:rPr>
        <w:t>Съставено в Брюксел на  година.</w:t>
      </w:r>
    </w:p>
    <w:p w:rsidR="00312070" w:rsidRPr="00F123D2" w:rsidRDefault="00312070" w:rsidP="001F7BFA">
      <w:pPr>
        <w:pStyle w:val="Institutionquisigne"/>
        <w:rPr>
          <w:noProof/>
        </w:rPr>
      </w:pPr>
      <w:r w:rsidRPr="00F123D2">
        <w:rPr>
          <w:noProof/>
        </w:rPr>
        <w:tab/>
        <w:t>За Съвета</w:t>
      </w:r>
    </w:p>
    <w:p w:rsidR="00312070" w:rsidRPr="00F123D2" w:rsidRDefault="00312070" w:rsidP="003D5A38">
      <w:pPr>
        <w:pStyle w:val="Personnequisigne"/>
        <w:rPr>
          <w:noProof/>
        </w:rPr>
      </w:pPr>
      <w:r w:rsidRPr="00F123D2">
        <w:rPr>
          <w:noProof/>
        </w:rPr>
        <w:tab/>
        <w:t>Председател</w:t>
      </w:r>
    </w:p>
    <w:sectPr w:rsidR="00312070" w:rsidRPr="00F123D2" w:rsidSect="00A7243D">
      <w:footnotePr>
        <w:numRestart w:val="eachSect"/>
      </w:footnotePr>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4DB" w:rsidRDefault="009C44DB" w:rsidP="00382895">
      <w:pPr>
        <w:spacing w:before="0" w:after="0"/>
      </w:pPr>
      <w:r>
        <w:separator/>
      </w:r>
    </w:p>
  </w:endnote>
  <w:endnote w:type="continuationSeparator" w:id="0">
    <w:p w:rsidR="009C44DB" w:rsidRDefault="009C44DB" w:rsidP="00382895">
      <w:pPr>
        <w:spacing w:before="0" w:after="0"/>
      </w:pPr>
      <w:r>
        <w:continuationSeparator/>
      </w:r>
    </w:p>
  </w:endnote>
  <w:endnote w:type="continuationNotice" w:id="1">
    <w:p w:rsidR="009C44DB" w:rsidRDefault="009C44D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3D" w:rsidRPr="00A7243D" w:rsidRDefault="00A7243D" w:rsidP="00A7243D">
    <w:pPr>
      <w:pStyle w:val="Footer"/>
      <w:rPr>
        <w:rFonts w:ascii="Arial" w:hAnsi="Arial" w:cs="Arial"/>
        <w:b/>
        <w:sz w:val="48"/>
      </w:rPr>
    </w:pPr>
    <w:r w:rsidRPr="00A7243D">
      <w:rPr>
        <w:rFonts w:ascii="Arial" w:hAnsi="Arial" w:cs="Arial"/>
        <w:b/>
        <w:sz w:val="48"/>
      </w:rPr>
      <w:t>BG</w:t>
    </w:r>
    <w:r w:rsidRPr="00A7243D">
      <w:rPr>
        <w:rFonts w:ascii="Arial" w:hAnsi="Arial" w:cs="Arial"/>
        <w:b/>
        <w:sz w:val="48"/>
      </w:rPr>
      <w:tab/>
    </w:r>
    <w:r w:rsidRPr="00A7243D">
      <w:rPr>
        <w:rFonts w:ascii="Arial" w:hAnsi="Arial" w:cs="Arial"/>
        <w:b/>
        <w:sz w:val="48"/>
      </w:rPr>
      <w:tab/>
    </w:r>
    <w:r w:rsidRPr="00A7243D">
      <w:tab/>
    </w:r>
    <w:r w:rsidRPr="00A7243D">
      <w:rPr>
        <w:rFonts w:ascii="Arial" w:hAnsi="Arial" w:cs="Arial"/>
        <w:b/>
        <w:sz w:val="48"/>
      </w:rPr>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3D" w:rsidRPr="00A7243D" w:rsidRDefault="00A7243D" w:rsidP="00A7243D">
    <w:pPr>
      <w:pStyle w:val="Footer"/>
      <w:rPr>
        <w:rFonts w:ascii="Arial" w:hAnsi="Arial" w:cs="Arial"/>
        <w:b/>
        <w:sz w:val="48"/>
      </w:rPr>
    </w:pPr>
    <w:r w:rsidRPr="00A7243D">
      <w:rPr>
        <w:rFonts w:ascii="Arial" w:hAnsi="Arial" w:cs="Arial"/>
        <w:b/>
        <w:sz w:val="48"/>
      </w:rPr>
      <w:t>BG</w:t>
    </w:r>
    <w:r w:rsidRPr="00A7243D">
      <w:rPr>
        <w:rFonts w:ascii="Arial" w:hAnsi="Arial" w:cs="Arial"/>
        <w:b/>
        <w:sz w:val="48"/>
      </w:rPr>
      <w:tab/>
    </w:r>
    <w:r w:rsidRPr="00A7243D">
      <w:rPr>
        <w:rFonts w:ascii="Arial" w:hAnsi="Arial" w:cs="Arial"/>
        <w:b/>
        <w:sz w:val="48"/>
      </w:rPr>
      <w:tab/>
    </w:r>
    <w:r w:rsidRPr="00A7243D">
      <w:tab/>
    </w:r>
    <w:r w:rsidRPr="00A7243D">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3D" w:rsidRDefault="00A7243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3D" w:rsidRPr="00A7243D" w:rsidRDefault="00A7243D" w:rsidP="00A7243D">
    <w:pPr>
      <w:pStyle w:val="Footer"/>
      <w:rPr>
        <w:rFonts w:ascii="Arial" w:hAnsi="Arial" w:cs="Arial"/>
        <w:b/>
        <w:sz w:val="48"/>
      </w:rPr>
    </w:pPr>
    <w:r w:rsidRPr="00A7243D">
      <w:rPr>
        <w:rFonts w:ascii="Arial" w:hAnsi="Arial" w:cs="Arial"/>
        <w:b/>
        <w:sz w:val="48"/>
      </w:rPr>
      <w:t>BG</w:t>
    </w:r>
    <w:r w:rsidRPr="00A7243D">
      <w:rPr>
        <w:rFonts w:ascii="Arial" w:hAnsi="Arial" w:cs="Arial"/>
        <w:b/>
        <w:sz w:val="48"/>
      </w:rPr>
      <w:tab/>
    </w:r>
    <w:r>
      <w:fldChar w:fldCharType="begin"/>
    </w:r>
    <w:r>
      <w:instrText xml:space="preserve"> PAGE  \* MERGEFORMAT </w:instrText>
    </w:r>
    <w:r>
      <w:fldChar w:fldCharType="separate"/>
    </w:r>
    <w:r w:rsidR="001F7BFA">
      <w:rPr>
        <w:noProof/>
      </w:rPr>
      <w:t>14</w:t>
    </w:r>
    <w:r>
      <w:fldChar w:fldCharType="end"/>
    </w:r>
    <w:r>
      <w:tab/>
    </w:r>
    <w:r w:rsidRPr="00A7243D">
      <w:tab/>
    </w:r>
    <w:r w:rsidRPr="00A7243D">
      <w:rPr>
        <w:rFonts w:ascii="Arial" w:hAnsi="Arial" w:cs="Arial"/>
        <w:b/>
        <w:sz w:val="48"/>
      </w:rPr>
      <w:t>BG</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3D" w:rsidRDefault="00A7243D" w:rsidP="00A72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4DB" w:rsidRDefault="009C44DB" w:rsidP="00382895">
      <w:pPr>
        <w:spacing w:before="0" w:after="0"/>
      </w:pPr>
      <w:r>
        <w:separator/>
      </w:r>
    </w:p>
  </w:footnote>
  <w:footnote w:type="continuationSeparator" w:id="0">
    <w:p w:rsidR="009C44DB" w:rsidRDefault="009C44DB" w:rsidP="00382895">
      <w:pPr>
        <w:spacing w:before="0" w:after="0"/>
      </w:pPr>
      <w:r>
        <w:continuationSeparator/>
      </w:r>
    </w:p>
  </w:footnote>
  <w:footnote w:type="continuationNotice" w:id="1">
    <w:p w:rsidR="009C44DB" w:rsidRDefault="009C44DB">
      <w:pPr>
        <w:spacing w:before="0" w:after="0"/>
      </w:pPr>
    </w:p>
  </w:footnote>
  <w:footnote w:id="2">
    <w:p w:rsidR="004551EC" w:rsidRPr="00A94AF2" w:rsidRDefault="004551EC" w:rsidP="004551EC">
      <w:pPr>
        <w:pStyle w:val="FootnoteText"/>
      </w:pPr>
      <w:r>
        <w:rPr>
          <w:rStyle w:val="FootnoteReference"/>
        </w:rPr>
        <w:footnoteRef/>
      </w:r>
      <w:r>
        <w:tab/>
        <w:t xml:space="preserve">Регламент (ЕС) 2026/249 на Съвета от 26 януари 2026 г. за определяне за 2026 г., 2027 г. и 2028 г. на възможностите за риболов на определени рибни запаси, приложими във водите на Съюза, както и за риболовните кораби на Съюза в някои води извън Съюза, и за изменение на Регламент (ЕС) 2025/202 (ОВ L, 2026/249, 30.1.2026 г., ELI: </w:t>
      </w:r>
      <w:hyperlink r:id="rId1" w:history="1">
        <w:r>
          <w:rPr>
            <w:rStyle w:val="Hyperlink"/>
          </w:rPr>
          <w:t>http://data.europa.eu/eli/reg/2026/249/oj</w:t>
        </w:r>
      </w:hyperlink>
      <w:r>
        <w:t>).</w:t>
      </w:r>
    </w:p>
  </w:footnote>
  <w:footnote w:id="3">
    <w:p w:rsidR="00F5035E" w:rsidRPr="00F5035E" w:rsidRDefault="00F5035E" w:rsidP="00F5035E">
      <w:pPr>
        <w:pStyle w:val="FootnoteText"/>
      </w:pPr>
      <w:r>
        <w:rPr>
          <w:rStyle w:val="FootnoteReference"/>
        </w:rPr>
        <w:footnoteRef/>
      </w:r>
      <w:r>
        <w:tab/>
        <w:t xml:space="preserve">Регламент (ЕС) 2026/786 на Съвета от 30 март 2026 г. за изменение на Регламент (ЕС) 2026/249 за определяне за 2026 г., 2027 г. и 2028 г. на възможностите за риболов на определени рибни запаси, приложими във водите на Съюза, както и за риболовните кораби на Съюза в някои води извън Съюза (ОВ L 2026/786, 31.3.2026 г., ELI: </w:t>
      </w:r>
      <w:hyperlink r:id="rId2" w:history="1">
        <w:r>
          <w:rPr>
            <w:rStyle w:val="Hyperlink"/>
          </w:rPr>
          <w:t>http://data.europa.eu/eli/reg/2026/786/oj</w:t>
        </w:r>
      </w:hyperlink>
      <w:r>
        <w:t>).</w:t>
      </w:r>
    </w:p>
  </w:footnote>
  <w:footnote w:id="4">
    <w:p w:rsidR="008F51B1" w:rsidRPr="00BC1CC5" w:rsidRDefault="008F51B1" w:rsidP="008F51B1">
      <w:pPr>
        <w:pStyle w:val="FootnoteText"/>
      </w:pPr>
      <w:r>
        <w:rPr>
          <w:rStyle w:val="FootnoteReference"/>
        </w:rPr>
        <w:footnoteRef/>
      </w:r>
      <w:r>
        <w:tab/>
        <w:t xml:space="preserve">Регламент (ЕС) № 1380/2013 на Европейския парламент и на Съвета от 11 декември 2013 г. относно общата политика в областта на рибарството, за изменение на регламенти (ЕО) № 1954/2003 и (ЕО) № 1224/2009 на Съвета и за отмяна на регламенти (ЕО) № 2371/2002 и (ЕО) № 639/2004 на Съвета и Решение 2004/585/ЕО на Съвета (ОВ L 354, 28.12.2013 г., стр. 22, ELI: </w:t>
      </w:r>
      <w:hyperlink r:id="rId3" w:history="1">
        <w:r>
          <w:rPr>
            <w:rStyle w:val="Hyperlink"/>
          </w:rPr>
          <w:t>http://data.europa.eu/eli/reg/2013/1380/oj</w:t>
        </w:r>
      </w:hyperlink>
      <w:r>
        <w:t>).</w:t>
      </w:r>
    </w:p>
  </w:footnote>
  <w:footnote w:id="5">
    <w:p w:rsidR="003122F0" w:rsidRPr="00A94AF2" w:rsidRDefault="003122F0" w:rsidP="003122F0">
      <w:pPr>
        <w:pStyle w:val="FootnoteText"/>
      </w:pPr>
      <w:r>
        <w:rPr>
          <w:rStyle w:val="FootnoteReference"/>
        </w:rPr>
        <w:footnoteRef/>
      </w:r>
      <w:r>
        <w:tab/>
        <w:t xml:space="preserve">Директива 2008/56/ЕО на Европейския парламент и на Съвета от 17 юни 2008 г. за създаване на рамка за действие на Общността в областта на политиката за морска среда (Рамкова директива за морска стратегия) (ОВ L 164, 25.6.2008 г., стр. 19, ELI: </w:t>
      </w:r>
      <w:hyperlink r:id="rId4" w:history="1">
        <w:r>
          <w:rPr>
            <w:rStyle w:val="Hyperlink"/>
          </w:rPr>
          <w:t>http://data.europa.eu/eli/dir/2008/56/oj</w:t>
        </w:r>
      </w:hyperlink>
      <w:r>
        <w:t>)</w:t>
      </w:r>
    </w:p>
  </w:footnote>
  <w:footnote w:id="6">
    <w:p w:rsidR="00CB7768" w:rsidRPr="00BC1CC5" w:rsidRDefault="00CB7768" w:rsidP="00CB7768">
      <w:pPr>
        <w:pStyle w:val="FootnoteText"/>
      </w:pPr>
      <w:r>
        <w:rPr>
          <w:rStyle w:val="FootnoteReference"/>
        </w:rPr>
        <w:footnoteRef/>
      </w:r>
      <w:r>
        <w:tab/>
        <w:t xml:space="preserve">Регламент (ЕС) 2025/1350 на Съвета от 8 юли 2025 г. за изменение на Регламент (ЕС) 2025/202 за определяне за 2025 г. и 2026 г. на възможностите за риболов на определени рибни запаси, приложими във водите на Съюза, както и за риболовните кораби на Съюза в някои води извън Съюза (ОВ L 2025/1350, 10.7.2025 г., ELI: </w:t>
      </w:r>
      <w:hyperlink r:id="rId5" w:history="1">
        <w:r>
          <w:rPr>
            <w:rStyle w:val="Hyperlink"/>
          </w:rPr>
          <w:t>http://data.europa.eu/eli/reg/2025/1350/oj</w:t>
        </w:r>
      </w:hyperlink>
      <w:r>
        <w:t xml:space="preserve">). </w:t>
      </w:r>
    </w:p>
  </w:footnote>
  <w:footnote w:id="7">
    <w:p w:rsidR="00FA6E1A" w:rsidRPr="00B075EC" w:rsidRDefault="00FA6E1A" w:rsidP="00FA6E1A">
      <w:pPr>
        <w:pStyle w:val="FootnoteText"/>
      </w:pPr>
      <w:r>
        <w:rPr>
          <w:rStyle w:val="FootnoteReference"/>
        </w:rPr>
        <w:footnoteRef/>
      </w:r>
      <w:r>
        <w:tab/>
        <w:t xml:space="preserve">Споразумение за търговия и сътрудничество между Европейския съюз и Европейската общност за атомна енергия, от една страна, и Обединеното кралство Великобритания и Северна Ирландия, от друга страна (ОВ L 149, 30.4.2021 г., стр. 10, ELI: </w:t>
      </w:r>
      <w:hyperlink r:id="rId6" w:history="1">
        <w:r>
          <w:rPr>
            <w:rStyle w:val="Hyperlink"/>
          </w:rPr>
          <w:t>http://data.europa.eu/eli/agree_internation/2021/689(1)/oj</w:t>
        </w:r>
      </w:hyperlink>
      <w:r>
        <w:t>).</w:t>
      </w:r>
    </w:p>
  </w:footnote>
  <w:footnote w:id="8">
    <w:p w:rsidR="0063244B" w:rsidRPr="006D52FD" w:rsidRDefault="0063244B" w:rsidP="001D4B20">
      <w:pPr>
        <w:pStyle w:val="FootnoteText"/>
      </w:pPr>
      <w:r>
        <w:rPr>
          <w:rStyle w:val="FootnoteReference"/>
          <w:szCs w:val="24"/>
        </w:rPr>
        <w:footnoteRef/>
      </w:r>
      <w:r>
        <w:tab/>
        <w:t xml:space="preserve">Протокол за изпълнение на Споразумението за партньорство в областта на устойчивото рибарство между Европейския съюз, от една страна, и правителството на Гренландия и правителството на Дания, от друга страна (2025 — 2030 г.) (ОВ L, 2024/3203, 30.12.2024 г., ELI: </w:t>
      </w:r>
      <w:hyperlink r:id="rId7" w:history="1">
        <w:r>
          <w:rPr>
            <w:rStyle w:val="Hyperlink"/>
          </w:rPr>
          <w:t>http://data.europa.eu/eli/prot/2024/3203/oj</w:t>
        </w:r>
      </w:hyperlink>
      <w:r>
        <w:t>).</w:t>
      </w:r>
    </w:p>
  </w:footnote>
  <w:footnote w:id="9">
    <w:p w:rsidR="00661BA5" w:rsidRPr="00EB2008" w:rsidRDefault="00661BA5" w:rsidP="00661BA5">
      <w:pPr>
        <w:pStyle w:val="FootnoteText"/>
      </w:pPr>
      <w:r>
        <w:rPr>
          <w:rStyle w:val="FootnoteReference"/>
        </w:rPr>
        <w:footnoteRef/>
      </w:r>
      <w:r>
        <w:tab/>
        <w:t xml:space="preserve">Регламент (ЕС) 2026/786 на Съвета от 30 март 2026 г. за изменение на Регламент (ЕС) 2026/249 за определяне за 2026 г., 2027 г. и 2028 г. на възможностите за риболов на определени рибни запаси, приложими във водите на Съюза, както и за риболовните кораби на Съюза в някои води извън Съюза (ОВ L 2026/786, 31.3.2026 г., ELI: </w:t>
      </w:r>
      <w:hyperlink r:id="rId8" w:history="1">
        <w:r>
          <w:rPr>
            <w:rStyle w:val="Hyperlink"/>
          </w:rPr>
          <w:t>http://data.europa.eu/eli/reg/2026/786/oj</w:t>
        </w:r>
      </w:hyperlink>
      <w:r>
        <w:t xml:space="preserve">),  </w:t>
      </w:r>
    </w:p>
  </w:footnote>
  <w:footnote w:id="10">
    <w:p w:rsidR="00732A07" w:rsidRPr="006D52FD" w:rsidRDefault="00732A07" w:rsidP="007B4832">
      <w:pPr>
        <w:pStyle w:val="FootnoteText"/>
      </w:pPr>
      <w:r>
        <w:rPr>
          <w:rStyle w:val="FootnoteReference"/>
          <w:szCs w:val="24"/>
        </w:rPr>
        <w:footnoteRef/>
      </w:r>
      <w:r>
        <w:tab/>
        <w:t>Споразумение за партньорство в областта на устойчивото рибарство между Европейския съюз, от една страна, и правителството на Гренландия и правителството на Дания, от друга страна (ОВ L 175, 18.5.2021 г., стр. 3, ELI: </w:t>
      </w:r>
      <w:hyperlink r:id="rId9" w:history="1">
        <w:r>
          <w:rPr>
            <w:rStyle w:val="Hyperlink"/>
          </w:rPr>
          <w:t>http://data.europa.eu/eli/agree_internation/2021/793/oj</w:t>
        </w:r>
      </w:hyperlink>
      <w:r>
        <w:t xml:space="preserve">). </w:t>
      </w:r>
    </w:p>
  </w:footnote>
  <w:footnote w:id="11">
    <w:p w:rsidR="00B60A40" w:rsidRPr="00EB2008" w:rsidRDefault="00B60A40" w:rsidP="00B60A40">
      <w:pPr>
        <w:pStyle w:val="FootnoteText"/>
      </w:pPr>
      <w:r>
        <w:rPr>
          <w:rStyle w:val="FootnoteReference"/>
        </w:rPr>
        <w:footnoteRef/>
      </w:r>
      <w:r>
        <w:tab/>
        <w:t xml:space="preserve">Препоръка 25-04 на ICCAT за замяна на Препоръка 24-05 за установяване на многогодишен план за управление на червения тон в източната част на Атлантическия океан и в Средиземно море </w:t>
      </w:r>
      <w:hyperlink r:id="rId10" w:history="1">
        <w:r>
          <w:rPr>
            <w:rStyle w:val="Hyperlink"/>
          </w:rPr>
          <w:t>https://www.iccat.int/Documents/Recs/compendiopdf-e/2025-04-e.pdf</w:t>
        </w:r>
      </w:hyperlink>
      <w:r>
        <w:t>.</w:t>
      </w:r>
    </w:p>
  </w:footnote>
  <w:footnote w:id="12">
    <w:p w:rsidR="007E0D9F" w:rsidRPr="00EB2008" w:rsidRDefault="007E0D9F" w:rsidP="007E0D9F">
      <w:pPr>
        <w:pStyle w:val="FootnoteText"/>
      </w:pPr>
      <w:r>
        <w:rPr>
          <w:rStyle w:val="FootnoteReference"/>
        </w:rPr>
        <w:footnoteRef/>
      </w:r>
      <w:r>
        <w:tab/>
        <w:t xml:space="preserve">Регламент (ЕС) 2023/2053 на Европейския парламент и на Съвета от 13 септември 2023 г. за установяване на многогодишен план за управление на червения тон в източната част на Атлантическия океан и в Средиземно море, за изменение на регламенти (ЕО) № 1936/2001, (ЕС) 2017/2107 и (ЕС) 2019/833 и за отмяна на Регламент (ЕС) 2016/1627 (ОВ L 238, 27.9.2023 г., стр. 1, ELI: </w:t>
      </w:r>
      <w:hyperlink r:id="rId11" w:history="1">
        <w:r>
          <w:rPr>
            <w:rStyle w:val="Hyperlink"/>
          </w:rPr>
          <w:t>http://data.europa.eu/eli/reg/2023/2053/oj</w:t>
        </w:r>
      </w:hyperlink>
      <w:r>
        <w:t xml:space="preserve">). </w:t>
      </w:r>
    </w:p>
  </w:footnote>
  <w:footnote w:id="13">
    <w:p w:rsidR="00D9052B" w:rsidRPr="00EB2008" w:rsidRDefault="00D9052B" w:rsidP="00D9052B">
      <w:pPr>
        <w:pStyle w:val="FootnoteText"/>
      </w:pPr>
      <w:r>
        <w:rPr>
          <w:rStyle w:val="FootnoteReference"/>
        </w:rPr>
        <w:footnoteRef/>
      </w:r>
      <w:r>
        <w:tab/>
        <w:t xml:space="preserve">Регламент (ЕС) 2017/2107 на Европейския парламент и на Съвета от 15 ноември 2017 г. за определяне на мерки за управление, опазване и контрол, приложими в зоната на конвенцията на Международната комисия за опазване на рибата тон в Атлантическия океан (ICCAT), и за изменение на регламенти (ЕО) № 1936/2001, (ЕО) № 1984/2003 и (ЕО) № 520/2007 на Съвета (ОВ L 315, 30.11.2017 г., стр. 1, ELI: </w:t>
      </w:r>
      <w:hyperlink r:id="rId12" w:history="1">
        <w:r>
          <w:rPr>
            <w:rStyle w:val="Hyperlink"/>
          </w:rPr>
          <w:t>http://data.europa.eu/eli/reg/2017/2107/oj</w:t>
        </w:r>
      </w:hyperlink>
      <w:r>
        <w:t xml:space="preserve">). </w:t>
      </w:r>
    </w:p>
  </w:footnote>
  <w:footnote w:id="14">
    <w:p w:rsidR="00312070" w:rsidRPr="00A94AF2" w:rsidRDefault="00312070" w:rsidP="00312070">
      <w:pPr>
        <w:pStyle w:val="FootnoteText"/>
      </w:pPr>
      <w:r>
        <w:rPr>
          <w:rStyle w:val="FootnoteReference"/>
        </w:rPr>
        <w:footnoteRef/>
      </w:r>
      <w:r>
        <w:tab/>
        <w:t xml:space="preserve">Регламент (ЕС) 2026/249 на Съвета от 26 януари 2026 г. за определяне за 2026 г., 2027 г. и 2028 г. на възможностите за риболов на определени рибни запаси, приложими във водите на Съюза, както и за риболовните кораби на Съюза в някои води извън Съюза, и за изменение на Регламент (ЕС) 2025/202 (ОВ L, 2026/249, 30.1.2026 г., ELI: </w:t>
      </w:r>
      <w:hyperlink r:id="rId13" w:history="1">
        <w:r>
          <w:rPr>
            <w:rStyle w:val="Hyperlink"/>
          </w:rPr>
          <w:t>http://data.europa.eu/eli/reg/2026/249/oj</w:t>
        </w:r>
      </w:hyperlink>
      <w:r>
        <w:t>).</w:t>
      </w:r>
    </w:p>
  </w:footnote>
  <w:footnote w:id="15">
    <w:p w:rsidR="002956E8" w:rsidRPr="00B075EC" w:rsidRDefault="002956E8" w:rsidP="002956E8">
      <w:pPr>
        <w:pStyle w:val="FootnoteText"/>
      </w:pPr>
      <w:r>
        <w:rPr>
          <w:rStyle w:val="FootnoteReference"/>
        </w:rPr>
        <w:footnoteRef/>
      </w:r>
      <w:r>
        <w:tab/>
        <w:t xml:space="preserve">Споразумение за търговия и сътрудничество между Европейския съюз и Европейската общност за атомна енергия, от една страна, и Обединеното кралство Великобритания и Северна Ирландия, от друга страна (ОВ L 149, 30.4.2021 г., стр. 10, ELI: </w:t>
      </w:r>
      <w:hyperlink r:id="rId14" w:history="1">
        <w:r>
          <w:rPr>
            <w:rStyle w:val="Hyperlink"/>
          </w:rPr>
          <w:t>http://data.europa.eu/eli/agree_internation/2021/689(1)/oj</w:t>
        </w:r>
      </w:hyperlink>
      <w:r>
        <w:t>).</w:t>
      </w:r>
    </w:p>
  </w:footnote>
  <w:footnote w:id="16">
    <w:p w:rsidR="004F431B" w:rsidRPr="00EB2008" w:rsidRDefault="004F431B" w:rsidP="004F431B">
      <w:pPr>
        <w:pStyle w:val="FootnoteText"/>
      </w:pPr>
      <w:r>
        <w:rPr>
          <w:rStyle w:val="FootnoteReference"/>
        </w:rPr>
        <w:footnoteRef/>
      </w:r>
      <w:r>
        <w:tab/>
        <w:t xml:space="preserve">Регламент (ЕС) 2026/786 на Съвета от 30 март 2026 г. за изменение на Регламент (ЕС) 2026/249 за определяне за 2026 г., 2027 г. и 2028 г. на възможностите за риболов на определени рибни запаси, приложими във водите на Съюза, както и за риболовните кораби на Съюза в някои води извън Съюза (ОВ L 2026/786, 31.3.2026 г., ELI: </w:t>
      </w:r>
      <w:hyperlink r:id="rId15" w:history="1">
        <w:r>
          <w:rPr>
            <w:rStyle w:val="Hyperlink"/>
          </w:rPr>
          <w:t>http://data.europa.eu/eli/reg/2026/786/oj</w:t>
        </w:r>
      </w:hyperlink>
      <w:r>
        <w:t xml:space="preserve">),  </w:t>
      </w:r>
    </w:p>
  </w:footnote>
  <w:footnote w:id="17">
    <w:p w:rsidR="00F83CA1" w:rsidRPr="006D52FD" w:rsidRDefault="00F83CA1" w:rsidP="00F83CA1">
      <w:pPr>
        <w:pStyle w:val="FootnoteText"/>
      </w:pPr>
      <w:r>
        <w:rPr>
          <w:rStyle w:val="FootnoteReference"/>
          <w:szCs w:val="24"/>
        </w:rPr>
        <w:footnoteRef/>
      </w:r>
      <w:r>
        <w:tab/>
        <w:t xml:space="preserve">Протокол за изпълнение на Споразумението за партньорство в областта на устойчивото рибарство между Европейския съюз, от една страна, и правителството на Гренландия и правителството на Дания, от друга страна (2025 — 2030 г.) (ОВ L, 2024/3203, 30.12.2024 г., ELI: </w:t>
      </w:r>
      <w:hyperlink r:id="rId16" w:history="1">
        <w:r>
          <w:rPr>
            <w:rStyle w:val="Hyperlink"/>
          </w:rPr>
          <w:t>http://data.europa.eu/eli/prot/2024/3203/oj</w:t>
        </w:r>
      </w:hyperlink>
      <w:r>
        <w:t>).</w:t>
      </w:r>
    </w:p>
    <w:p w:rsidR="00F83CA1" w:rsidRPr="006D52FD" w:rsidRDefault="00F83CA1" w:rsidP="00F83CA1">
      <w:pPr>
        <w:pStyle w:val="FootnoteText"/>
      </w:pPr>
      <w:r>
        <w:t xml:space="preserve"> </w:t>
      </w:r>
    </w:p>
  </w:footnote>
  <w:footnote w:id="18">
    <w:p w:rsidR="007635A4" w:rsidRPr="006D52FD" w:rsidRDefault="007635A4" w:rsidP="007635A4">
      <w:pPr>
        <w:pStyle w:val="FootnoteText"/>
      </w:pPr>
      <w:r>
        <w:rPr>
          <w:rStyle w:val="FootnoteReference"/>
          <w:szCs w:val="24"/>
        </w:rPr>
        <w:footnoteRef/>
      </w:r>
      <w:r>
        <w:tab/>
        <w:t>Споразумение за партньорство в областта на устойчивото рибарство между Европейския съюз, от една страна, и правителството на Гренландия и правителството на Дания, от друга страна (ОВ L 175, 18.5.2021 г., стр. 3, ELI: </w:t>
      </w:r>
      <w:hyperlink r:id="rId17" w:history="1">
        <w:r>
          <w:rPr>
            <w:rStyle w:val="Hyperlink"/>
          </w:rPr>
          <w:t>http://data.europa.eu/eli/agree_internation/2021/793/oj</w:t>
        </w:r>
      </w:hyperlink>
      <w:r>
        <w:t xml:space="preserve">). </w:t>
      </w:r>
    </w:p>
  </w:footnote>
  <w:footnote w:id="19">
    <w:p w:rsidR="005A3D75" w:rsidRPr="00EB2008" w:rsidRDefault="005A3D75" w:rsidP="005A3D75">
      <w:pPr>
        <w:pStyle w:val="FootnoteText"/>
      </w:pPr>
      <w:r>
        <w:rPr>
          <w:rStyle w:val="FootnoteReference"/>
        </w:rPr>
        <w:footnoteRef/>
      </w:r>
      <w:r>
        <w:tab/>
        <w:t xml:space="preserve">Препоръка 25-04 на ICCAT за замяна на Препоръка 24-05 за установяване на многогодишен план за управление на червения тон в източната част на Атлантическия океан и в Средиземно море </w:t>
      </w:r>
      <w:hyperlink r:id="rId18" w:history="1">
        <w:r>
          <w:rPr>
            <w:rStyle w:val="Hyperlink"/>
          </w:rPr>
          <w:t>https://www.iccat.int/Documents/Recs/compendiopdf-e/2025-04-e.pdf</w:t>
        </w:r>
      </w:hyperlink>
      <w:r>
        <w:t>.</w:t>
      </w:r>
    </w:p>
  </w:footnote>
  <w:footnote w:id="20">
    <w:p w:rsidR="002075CF" w:rsidRPr="00EB2008" w:rsidRDefault="002075CF" w:rsidP="002075CF">
      <w:pPr>
        <w:pStyle w:val="FootnoteText"/>
      </w:pPr>
      <w:r>
        <w:rPr>
          <w:rStyle w:val="FootnoteReference"/>
        </w:rPr>
        <w:footnoteRef/>
      </w:r>
      <w:r>
        <w:tab/>
        <w:t xml:space="preserve">Регламент (ЕС) 2023/2053 на Европейския парламент и на Съвета от 13 септември 2023 г. за установяване на многогодишен план за управление на червения тон в източната част на Атлантическия океан и в Средиземно море, за изменение на регламенти (ЕО) № 1936/2001, (ЕС) 2017/2107 и (ЕС) 2019/833 и за отмяна на Регламент (ЕС) 2016/1627 (ОВ L 238, 27.9.2023 г., стр. 1, ELI: </w:t>
      </w:r>
      <w:hyperlink r:id="rId19" w:history="1">
        <w:r>
          <w:rPr>
            <w:rStyle w:val="Hyperlink"/>
          </w:rPr>
          <w:t>http://data.europa.eu/eli/reg/2023/2053/oj</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3D" w:rsidRDefault="00A724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43D" w:rsidRDefault="00A724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4366EE64"/>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E12CDC3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080E8186"/>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32FC472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000C1D08"/>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D5025E30"/>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99D2ADFE"/>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A454CEF4"/>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9"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10"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15:restartNumberingAfterBreak="0">
    <w:nsid w:val="2D293CE3"/>
    <w:multiLevelType w:val="multilevel"/>
    <w:tmpl w:val="8D7C4D2A"/>
    <w:lvl w:ilvl="0">
      <w:start w:val="1"/>
      <w:numFmt w:val="decimal"/>
      <w:lvlText w:val="%1."/>
      <w:lvlJc w:val="left"/>
      <w:pPr>
        <w:ind w:left="476" w:hanging="476"/>
      </w:pPr>
      <w:rPr>
        <w:rFonts w:hint="default"/>
      </w:rPr>
    </w:lvl>
    <w:lvl w:ilvl="1">
      <w:start w:val="1"/>
      <w:numFmt w:val="lowerLetter"/>
      <w:pStyle w:val="LegalNumPar"/>
      <w:lvlText w:val="%2."/>
      <w:lvlJc w:val="left"/>
      <w:pPr>
        <w:ind w:left="953" w:hanging="477"/>
      </w:pPr>
      <w:rPr>
        <w:rFonts w:hint="default"/>
      </w:rPr>
    </w:lvl>
    <w:lvl w:ilvl="2">
      <w:start w:val="1"/>
      <w:numFmt w:val="lowerRoman"/>
      <w:pStyle w:val="LegalNumPar2"/>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17"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0" w15:restartNumberingAfterBreak="0">
    <w:nsid w:val="42FC077D"/>
    <w:multiLevelType w:val="singleLevel"/>
    <w:tmpl w:val="4128FD03"/>
    <w:name w:val="Tiret 5"/>
    <w:lvl w:ilvl="0">
      <w:start w:val="1"/>
      <w:numFmt w:val="bullet"/>
      <w:lvlRestart w:val="0"/>
      <w:pStyle w:val="LegalNumPar3"/>
      <w:lvlText w:val="–"/>
      <w:lvlJc w:val="left"/>
      <w:pPr>
        <w:tabs>
          <w:tab w:val="num" w:pos="3685"/>
        </w:tabs>
        <w:ind w:left="3685" w:hanging="567"/>
      </w:pPr>
    </w:lvl>
  </w:abstractNum>
  <w:abstractNum w:abstractNumId="2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2"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23"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5"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6"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0"/>
  </w:num>
  <w:num w:numId="10">
    <w:abstractNumId w:val="8"/>
  </w:num>
  <w:num w:numId="11">
    <w:abstractNumId w:val="16"/>
  </w:num>
  <w:num w:numId="12">
    <w:abstractNumId w:val="23"/>
  </w:num>
  <w:num w:numId="13">
    <w:abstractNumId w:val="22"/>
  </w:num>
  <w:num w:numId="14">
    <w:abstractNumId w:val="9"/>
  </w:num>
  <w:num w:numId="15">
    <w:abstractNumId w:val="17"/>
  </w:num>
  <w:num w:numId="16">
    <w:abstractNumId w:val="10"/>
  </w:num>
  <w:num w:numId="17">
    <w:abstractNumId w:val="15"/>
  </w:num>
  <w:num w:numId="18">
    <w:abstractNumId w:val="30"/>
    <w:lvlOverride w:ilvl="0">
      <w:startOverride w:val="1"/>
    </w:lvlOverride>
  </w:num>
  <w:num w:numId="19">
    <w:abstractNumId w:val="27"/>
  </w:num>
  <w:num w:numId="20">
    <w:abstractNumId w:val="18"/>
  </w:num>
  <w:num w:numId="21">
    <w:abstractNumId w:val="29"/>
  </w:num>
  <w:num w:numId="22">
    <w:abstractNumId w:val="14"/>
  </w:num>
  <w:num w:numId="23">
    <w:abstractNumId w:val="19"/>
  </w:num>
  <w:num w:numId="24">
    <w:abstractNumId w:val="12"/>
  </w:num>
  <w:num w:numId="25">
    <w:abstractNumId w:val="28"/>
  </w:num>
  <w:num w:numId="26">
    <w:abstractNumId w:val="11"/>
  </w:num>
  <w:num w:numId="27">
    <w:abstractNumId w:val="21"/>
  </w:num>
  <w:num w:numId="28">
    <w:abstractNumId w:val="25"/>
  </w:num>
  <w:num w:numId="29">
    <w:abstractNumId w:val="26"/>
  </w:num>
  <w:num w:numId="30">
    <w:abstractNumId w:val="13"/>
  </w:num>
  <w:num w:numId="31">
    <w:abstractNumId w:val="24"/>
  </w:num>
  <w:num w:numId="3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QCDateTime" w:val="2026-06-11 17:09:33"/>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92CF511D-7150-4561-98FE-9E8BFAD5893B"/>
    <w:docVar w:name="LW_COVERPAGE_TYPE" w:val="1"/>
    <w:docVar w:name="LW_CROSSREFERENCE" w:val="&lt;UNUSED&gt;"/>
    <w:docVar w:name="LW_DocType" w:val="COM"/>
    <w:docVar w:name="LW_EMISSION" w:val="20.5.2026"/>
    <w:docVar w:name="LW_EMISSION_ISODATE" w:val="2026-05-20"/>
    <w:docVar w:name="LW_EMISSION_LOCATION" w:val="BRX"/>
    <w:docVar w:name="LW_EMISSION_PREFIX" w:val="\u1041?\u1088?\u1102?\u1082?\u1089?\u1077?\u1083?, "/>
    <w:docVar w:name="LW_EMISSION_SUFFIX" w:val=" \u1075?."/>
    <w:docVar w:name="LW_ID_DOCMODEL" w:val="SJ-016"/>
    <w:docVar w:name="LW_ID_DOCSIGNATURE" w:val="SJ-016"/>
    <w:docVar w:name="LW_ID_DOCSTRUCTURE" w:val="COM/PL/ORG"/>
    <w:docVar w:name="LW_ID_DOCTYPE" w:val="SJ-016"/>
    <w:docVar w:name="LW_ID_EXP.MOTIFS.NEW" w:val="EM_PL_"/>
    <w:docVar w:name="LW_ID_STATUT" w:val="SJ-016"/>
    <w:docVar w:name="LW_INTERETEEE.CP" w:val="&lt;UNUSED&gt;"/>
    <w:docVar w:name="LW_LANGUE" w:val="BG"/>
    <w:docVar w:name="LW_LEVEL_OF_SENSITIVITY" w:val="Standard treatment"/>
    <w:docVar w:name="LW_NOM.INST" w:val="\u1045?\u1042?\u1056?\u1054?\u1055?\u1045?\u1049?\u1057?\u1050?\u1040? \u1050?\u1054?\u1052?\u1048?\u1057?\u1048?\u1071?"/>
    <w:docVar w:name="LW_NOM.INST_JOINTDOC" w:val="&lt;EMPTY&gt;"/>
    <w:docVar w:name="LW_PART_NBR" w:val="1"/>
    <w:docVar w:name="LW_PART_NBR_TOTAL" w:val="1"/>
    <w:docVar w:name="LW_REF.II.NEW.CP" w:val="NLE"/>
    <w:docVar w:name="LW_REF.II.NEW.CP_NUMBER" w:val="0122"/>
    <w:docVar w:name="LW_REF.II.NEW.CP_YEAR" w:val="2026"/>
    <w:docVar w:name="LW_REF.INST.NEW" w:val="COM"/>
    <w:docVar w:name="LW_REF.INST.NEW_ADOPTED" w:val="final"/>
    <w:docVar w:name="LW_REF.INST.NEW_TEXT" w:val="(2026) 245"/>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u1055?\u1088?\u1077?\u1076?\u1083?\u1086?\u1078?\u1077?\u1085?\u1080?\u1077? \u1079?\u1072?"/>
    <w:docVar w:name="LW_SUPERTITRE" w:val="&lt;UNUSED&gt;"/>
    <w:docVar w:name="LW_TITRE.OBJ.CP" w:val="\u1079?\u1072? \u1080?\u1079?\u1084?\u1077?\u1085?\u1077?\u1085?\u1080?\u1077? \u1085?\u1072? \u1056?\u1077?\u1075?\u1083?\u1072?\u1084?\u1077?\u1085?\u1090? (\u1045?\u1057?) 2026/249 \u1085?\u1072? \u1057?\u1098?\u1074?\u1077?\u1090?\u1072? \u1079?\u1072? \u1086?\u1087?\u1088?\u1077?\u1076?\u1077?\u1083?\u1103?\u1085?\u1077? \u1085?\u1072? \u1074?\u1098?\u1079?\u1084?\u1086?\u1078?\u1085?\u1086?\u1089?\u1090?\u1080?\u1090?\u1077? \u1079?\u1072? \u1088?\u1080?\u1073?\u1086?\u1083?\u1086?\u1074? \u1079?\u1072? 2026 \u1075?., 2027 \u1075?. \u1080? 2028 \u1075?. \u1085?\u1072? \u1086?\u1087?\u1088?\u1077?\u1076?\u1077?\u1083?\u1077?\u1085?\u1080? \u1088?\u1080?\u1073?\u1085?\u1080? \u1079?\u1072?\u1087?\u1072?\u1089?\u1080?, \u1087?\u1088?\u1080?\u1083?\u1086?\u1078?\u1080?\u1084?\u1080? \u1074?\u1098?\u1074? \u1074?\u1086?\u1076?\u1080?\u1090?\u1077? \u1085?\u1072? \u1057?\u1098?\u1102?\u1079?\u1072?, \u1082?\u1072?\u1082?\u1090?\u1086? \u1080? \u1079?\u1072? \u1088?\u1080?\u1073?\u1086?\u1083?\u1086?\u1074?\u1085?\u1080?\u1090?\u1077? \u1082?\u1086?\u1088?\u1072?\u1073?\u1080? \u1085?\u1072? \u1057?\u1098?\u1102?\u1079?\u1072? \u1074? \u1085?\u1103?\u1082?\u1086?\u1080? \u1074?\u1086?\u1076?\u1080? \u1080?\u1079?\u1074?\u1098?\u1085? \u1057?\u1098?\u1102?\u1079?\u1072?"/>
    <w:docVar w:name="LW_TYPE.DOC.CP" w:val="\u1056?\u1045?\u1043?\u1051?\u1040?\u1052?\u1045?\u1053?\u1058? \u1053?\u1040? \u1057?\u1066?\u1042?\u1045?\u1058?\u1040?"/>
    <w:docVar w:name="LwApiVersions" w:val="LW4CoDe 1.24.5.0; LW 9.2, Build 20251112"/>
  </w:docVars>
  <w:rsids>
    <w:rsidRoot w:val="00382895"/>
    <w:rsid w:val="0000001D"/>
    <w:rsid w:val="000013B5"/>
    <w:rsid w:val="000018FC"/>
    <w:rsid w:val="00001CA1"/>
    <w:rsid w:val="00002057"/>
    <w:rsid w:val="000037C8"/>
    <w:rsid w:val="00003839"/>
    <w:rsid w:val="00003D49"/>
    <w:rsid w:val="00004914"/>
    <w:rsid w:val="00005460"/>
    <w:rsid w:val="00005F36"/>
    <w:rsid w:val="00006576"/>
    <w:rsid w:val="00006C78"/>
    <w:rsid w:val="00007DD3"/>
    <w:rsid w:val="0001069B"/>
    <w:rsid w:val="000108BF"/>
    <w:rsid w:val="00010908"/>
    <w:rsid w:val="0001519C"/>
    <w:rsid w:val="000153EA"/>
    <w:rsid w:val="00015763"/>
    <w:rsid w:val="0001652A"/>
    <w:rsid w:val="00016E8A"/>
    <w:rsid w:val="00017B22"/>
    <w:rsid w:val="00017D02"/>
    <w:rsid w:val="00017EC3"/>
    <w:rsid w:val="00021321"/>
    <w:rsid w:val="00022598"/>
    <w:rsid w:val="00023928"/>
    <w:rsid w:val="00023B43"/>
    <w:rsid w:val="00025E8F"/>
    <w:rsid w:val="000263B2"/>
    <w:rsid w:val="00026537"/>
    <w:rsid w:val="00027457"/>
    <w:rsid w:val="0002766D"/>
    <w:rsid w:val="0003042D"/>
    <w:rsid w:val="000309EA"/>
    <w:rsid w:val="0003107F"/>
    <w:rsid w:val="0003143F"/>
    <w:rsid w:val="0003146C"/>
    <w:rsid w:val="000314A0"/>
    <w:rsid w:val="00031B16"/>
    <w:rsid w:val="00031CD2"/>
    <w:rsid w:val="0003208C"/>
    <w:rsid w:val="00033AB8"/>
    <w:rsid w:val="00033F6A"/>
    <w:rsid w:val="000345D9"/>
    <w:rsid w:val="0003506F"/>
    <w:rsid w:val="0003539F"/>
    <w:rsid w:val="00035EB4"/>
    <w:rsid w:val="00037FAD"/>
    <w:rsid w:val="000406A1"/>
    <w:rsid w:val="00040EBB"/>
    <w:rsid w:val="00041126"/>
    <w:rsid w:val="000414C6"/>
    <w:rsid w:val="00041E2E"/>
    <w:rsid w:val="00042B21"/>
    <w:rsid w:val="00042B4B"/>
    <w:rsid w:val="00043EB8"/>
    <w:rsid w:val="000446A3"/>
    <w:rsid w:val="00044DB8"/>
    <w:rsid w:val="00045F5D"/>
    <w:rsid w:val="00046830"/>
    <w:rsid w:val="0004710B"/>
    <w:rsid w:val="00047633"/>
    <w:rsid w:val="00050000"/>
    <w:rsid w:val="0005028C"/>
    <w:rsid w:val="00050834"/>
    <w:rsid w:val="0005083F"/>
    <w:rsid w:val="00051309"/>
    <w:rsid w:val="000513F1"/>
    <w:rsid w:val="00051662"/>
    <w:rsid w:val="00051B42"/>
    <w:rsid w:val="00051D09"/>
    <w:rsid w:val="00051F50"/>
    <w:rsid w:val="00051F8D"/>
    <w:rsid w:val="000528CF"/>
    <w:rsid w:val="00053530"/>
    <w:rsid w:val="0005373A"/>
    <w:rsid w:val="00053964"/>
    <w:rsid w:val="00053DB4"/>
    <w:rsid w:val="00054CBA"/>
    <w:rsid w:val="00055558"/>
    <w:rsid w:val="00056831"/>
    <w:rsid w:val="00056A85"/>
    <w:rsid w:val="00056BBA"/>
    <w:rsid w:val="00056D32"/>
    <w:rsid w:val="00057CC8"/>
    <w:rsid w:val="000603EE"/>
    <w:rsid w:val="00060861"/>
    <w:rsid w:val="00060A67"/>
    <w:rsid w:val="00061ED5"/>
    <w:rsid w:val="000629CA"/>
    <w:rsid w:val="00063BFE"/>
    <w:rsid w:val="000643CB"/>
    <w:rsid w:val="00064A4B"/>
    <w:rsid w:val="00064B07"/>
    <w:rsid w:val="000652AB"/>
    <w:rsid w:val="00065502"/>
    <w:rsid w:val="00065609"/>
    <w:rsid w:val="000657BD"/>
    <w:rsid w:val="00066357"/>
    <w:rsid w:val="00066383"/>
    <w:rsid w:val="0006643B"/>
    <w:rsid w:val="00066534"/>
    <w:rsid w:val="0006772B"/>
    <w:rsid w:val="000720F3"/>
    <w:rsid w:val="00072327"/>
    <w:rsid w:val="0007270F"/>
    <w:rsid w:val="0007539E"/>
    <w:rsid w:val="00075A4A"/>
    <w:rsid w:val="00076C97"/>
    <w:rsid w:val="00077A60"/>
    <w:rsid w:val="00077CAB"/>
    <w:rsid w:val="00077D94"/>
    <w:rsid w:val="00080EF9"/>
    <w:rsid w:val="00080FCF"/>
    <w:rsid w:val="00081127"/>
    <w:rsid w:val="0008126C"/>
    <w:rsid w:val="0008137D"/>
    <w:rsid w:val="000813CC"/>
    <w:rsid w:val="00081401"/>
    <w:rsid w:val="00082202"/>
    <w:rsid w:val="00082CEC"/>
    <w:rsid w:val="00083B68"/>
    <w:rsid w:val="00084646"/>
    <w:rsid w:val="000857B1"/>
    <w:rsid w:val="00085943"/>
    <w:rsid w:val="000861B7"/>
    <w:rsid w:val="00086568"/>
    <w:rsid w:val="00086AC2"/>
    <w:rsid w:val="00087658"/>
    <w:rsid w:val="000876B4"/>
    <w:rsid w:val="00090265"/>
    <w:rsid w:val="0009156B"/>
    <w:rsid w:val="000925E5"/>
    <w:rsid w:val="00093CF2"/>
    <w:rsid w:val="00093DC5"/>
    <w:rsid w:val="00093F51"/>
    <w:rsid w:val="0009472F"/>
    <w:rsid w:val="00094E2F"/>
    <w:rsid w:val="0009716E"/>
    <w:rsid w:val="00097B94"/>
    <w:rsid w:val="00097E4B"/>
    <w:rsid w:val="000A089F"/>
    <w:rsid w:val="000A0ED2"/>
    <w:rsid w:val="000A1D9E"/>
    <w:rsid w:val="000A2762"/>
    <w:rsid w:val="000A3332"/>
    <w:rsid w:val="000A3C14"/>
    <w:rsid w:val="000A4803"/>
    <w:rsid w:val="000A4926"/>
    <w:rsid w:val="000A4BE9"/>
    <w:rsid w:val="000A5107"/>
    <w:rsid w:val="000A533A"/>
    <w:rsid w:val="000A5751"/>
    <w:rsid w:val="000A6C5D"/>
    <w:rsid w:val="000A732B"/>
    <w:rsid w:val="000A7E19"/>
    <w:rsid w:val="000B0CD7"/>
    <w:rsid w:val="000B1502"/>
    <w:rsid w:val="000B2992"/>
    <w:rsid w:val="000B2BBF"/>
    <w:rsid w:val="000B3662"/>
    <w:rsid w:val="000B3CB0"/>
    <w:rsid w:val="000B3E95"/>
    <w:rsid w:val="000B4925"/>
    <w:rsid w:val="000B4DD4"/>
    <w:rsid w:val="000B5666"/>
    <w:rsid w:val="000B571D"/>
    <w:rsid w:val="000B6D1F"/>
    <w:rsid w:val="000B780C"/>
    <w:rsid w:val="000B7A7D"/>
    <w:rsid w:val="000B7CF7"/>
    <w:rsid w:val="000C0DD9"/>
    <w:rsid w:val="000C329B"/>
    <w:rsid w:val="000C375C"/>
    <w:rsid w:val="000C377A"/>
    <w:rsid w:val="000C60F0"/>
    <w:rsid w:val="000C6438"/>
    <w:rsid w:val="000C6A0F"/>
    <w:rsid w:val="000C7293"/>
    <w:rsid w:val="000D0AD7"/>
    <w:rsid w:val="000D2D39"/>
    <w:rsid w:val="000D2E68"/>
    <w:rsid w:val="000D31B2"/>
    <w:rsid w:val="000D3369"/>
    <w:rsid w:val="000D37F0"/>
    <w:rsid w:val="000D39B7"/>
    <w:rsid w:val="000D4181"/>
    <w:rsid w:val="000D466E"/>
    <w:rsid w:val="000D6DA9"/>
    <w:rsid w:val="000D71CC"/>
    <w:rsid w:val="000E0298"/>
    <w:rsid w:val="000E0B0F"/>
    <w:rsid w:val="000E1698"/>
    <w:rsid w:val="000E1A84"/>
    <w:rsid w:val="000E2D93"/>
    <w:rsid w:val="000E3324"/>
    <w:rsid w:val="000E355B"/>
    <w:rsid w:val="000E36A3"/>
    <w:rsid w:val="000E437B"/>
    <w:rsid w:val="000E44B0"/>
    <w:rsid w:val="000E471A"/>
    <w:rsid w:val="000E4AC7"/>
    <w:rsid w:val="000E5540"/>
    <w:rsid w:val="000E56E9"/>
    <w:rsid w:val="000E5C2F"/>
    <w:rsid w:val="000F04AA"/>
    <w:rsid w:val="000F23DD"/>
    <w:rsid w:val="000F2A65"/>
    <w:rsid w:val="000F2ABE"/>
    <w:rsid w:val="000F31DB"/>
    <w:rsid w:val="000F454F"/>
    <w:rsid w:val="000F6467"/>
    <w:rsid w:val="000F6D23"/>
    <w:rsid w:val="000F749D"/>
    <w:rsid w:val="001003B3"/>
    <w:rsid w:val="0010107B"/>
    <w:rsid w:val="0010153A"/>
    <w:rsid w:val="001017D7"/>
    <w:rsid w:val="001019DC"/>
    <w:rsid w:val="00101CBB"/>
    <w:rsid w:val="00101FFF"/>
    <w:rsid w:val="001024E3"/>
    <w:rsid w:val="001025DF"/>
    <w:rsid w:val="00102C69"/>
    <w:rsid w:val="00102F75"/>
    <w:rsid w:val="001032C0"/>
    <w:rsid w:val="00103737"/>
    <w:rsid w:val="00103EE2"/>
    <w:rsid w:val="00105E22"/>
    <w:rsid w:val="00106DFC"/>
    <w:rsid w:val="0010704D"/>
    <w:rsid w:val="00107E6D"/>
    <w:rsid w:val="001105AF"/>
    <w:rsid w:val="00110FF0"/>
    <w:rsid w:val="00111AA7"/>
    <w:rsid w:val="0011271F"/>
    <w:rsid w:val="00112924"/>
    <w:rsid w:val="00112AB9"/>
    <w:rsid w:val="00113C21"/>
    <w:rsid w:val="001141E5"/>
    <w:rsid w:val="001146D4"/>
    <w:rsid w:val="00114BF2"/>
    <w:rsid w:val="00114DF6"/>
    <w:rsid w:val="00115D2B"/>
    <w:rsid w:val="001160DA"/>
    <w:rsid w:val="001164B4"/>
    <w:rsid w:val="001174C1"/>
    <w:rsid w:val="00120A31"/>
    <w:rsid w:val="00120B5B"/>
    <w:rsid w:val="00120EDB"/>
    <w:rsid w:val="00122C25"/>
    <w:rsid w:val="00122C80"/>
    <w:rsid w:val="00123EFF"/>
    <w:rsid w:val="00125466"/>
    <w:rsid w:val="00125D60"/>
    <w:rsid w:val="0012608B"/>
    <w:rsid w:val="00127293"/>
    <w:rsid w:val="001274CA"/>
    <w:rsid w:val="0012780A"/>
    <w:rsid w:val="00132337"/>
    <w:rsid w:val="00132762"/>
    <w:rsid w:val="001330B6"/>
    <w:rsid w:val="00133A07"/>
    <w:rsid w:val="0013421F"/>
    <w:rsid w:val="001346C4"/>
    <w:rsid w:val="00135188"/>
    <w:rsid w:val="00135C32"/>
    <w:rsid w:val="0013EA6F"/>
    <w:rsid w:val="00140840"/>
    <w:rsid w:val="00141181"/>
    <w:rsid w:val="001411C0"/>
    <w:rsid w:val="0014139C"/>
    <w:rsid w:val="00141C13"/>
    <w:rsid w:val="0014229A"/>
    <w:rsid w:val="001425B7"/>
    <w:rsid w:val="001426B8"/>
    <w:rsid w:val="00143860"/>
    <w:rsid w:val="00143CA2"/>
    <w:rsid w:val="00144867"/>
    <w:rsid w:val="00144A78"/>
    <w:rsid w:val="00144CA5"/>
    <w:rsid w:val="0014631C"/>
    <w:rsid w:val="00147272"/>
    <w:rsid w:val="00147339"/>
    <w:rsid w:val="0014735A"/>
    <w:rsid w:val="00147553"/>
    <w:rsid w:val="00147641"/>
    <w:rsid w:val="00147CF0"/>
    <w:rsid w:val="00147FDE"/>
    <w:rsid w:val="0015064E"/>
    <w:rsid w:val="00150D85"/>
    <w:rsid w:val="00150E9C"/>
    <w:rsid w:val="001510A7"/>
    <w:rsid w:val="0015157B"/>
    <w:rsid w:val="00151724"/>
    <w:rsid w:val="0015249A"/>
    <w:rsid w:val="00152894"/>
    <w:rsid w:val="00153449"/>
    <w:rsid w:val="00153F3E"/>
    <w:rsid w:val="00154208"/>
    <w:rsid w:val="00154627"/>
    <w:rsid w:val="0015529E"/>
    <w:rsid w:val="00156072"/>
    <w:rsid w:val="00157454"/>
    <w:rsid w:val="00157927"/>
    <w:rsid w:val="001579B5"/>
    <w:rsid w:val="00157E51"/>
    <w:rsid w:val="00160293"/>
    <w:rsid w:val="00160BDC"/>
    <w:rsid w:val="001616E8"/>
    <w:rsid w:val="0016220F"/>
    <w:rsid w:val="0016292F"/>
    <w:rsid w:val="00163047"/>
    <w:rsid w:val="001638CC"/>
    <w:rsid w:val="00164862"/>
    <w:rsid w:val="00164892"/>
    <w:rsid w:val="00165353"/>
    <w:rsid w:val="00165E0C"/>
    <w:rsid w:val="00167CC7"/>
    <w:rsid w:val="00170F80"/>
    <w:rsid w:val="0017240D"/>
    <w:rsid w:val="00172D40"/>
    <w:rsid w:val="001731B7"/>
    <w:rsid w:val="001734B6"/>
    <w:rsid w:val="00173B97"/>
    <w:rsid w:val="001749B3"/>
    <w:rsid w:val="00174A64"/>
    <w:rsid w:val="00174E2B"/>
    <w:rsid w:val="00175525"/>
    <w:rsid w:val="00175FE9"/>
    <w:rsid w:val="001760DC"/>
    <w:rsid w:val="001762B8"/>
    <w:rsid w:val="0017675C"/>
    <w:rsid w:val="00176CE4"/>
    <w:rsid w:val="00177566"/>
    <w:rsid w:val="001776CA"/>
    <w:rsid w:val="001800AF"/>
    <w:rsid w:val="001802DB"/>
    <w:rsid w:val="0018089D"/>
    <w:rsid w:val="001808C0"/>
    <w:rsid w:val="00180B6C"/>
    <w:rsid w:val="001813C0"/>
    <w:rsid w:val="0018145D"/>
    <w:rsid w:val="00181D82"/>
    <w:rsid w:val="00182A4C"/>
    <w:rsid w:val="00182B58"/>
    <w:rsid w:val="00183509"/>
    <w:rsid w:val="00183F1D"/>
    <w:rsid w:val="00184488"/>
    <w:rsid w:val="0018491F"/>
    <w:rsid w:val="00184E07"/>
    <w:rsid w:val="0018645F"/>
    <w:rsid w:val="00186931"/>
    <w:rsid w:val="00190A3D"/>
    <w:rsid w:val="00190AF9"/>
    <w:rsid w:val="00190DBB"/>
    <w:rsid w:val="00190ECB"/>
    <w:rsid w:val="00191F88"/>
    <w:rsid w:val="0019424F"/>
    <w:rsid w:val="00194E0E"/>
    <w:rsid w:val="0019518A"/>
    <w:rsid w:val="0019668F"/>
    <w:rsid w:val="00196D85"/>
    <w:rsid w:val="00197928"/>
    <w:rsid w:val="00199520"/>
    <w:rsid w:val="001A00A5"/>
    <w:rsid w:val="001A0EA7"/>
    <w:rsid w:val="001A23F1"/>
    <w:rsid w:val="001A28CB"/>
    <w:rsid w:val="001A4576"/>
    <w:rsid w:val="001A484F"/>
    <w:rsid w:val="001A4E58"/>
    <w:rsid w:val="001A509B"/>
    <w:rsid w:val="001A5488"/>
    <w:rsid w:val="001A5A06"/>
    <w:rsid w:val="001A5C67"/>
    <w:rsid w:val="001A5D80"/>
    <w:rsid w:val="001A61AC"/>
    <w:rsid w:val="001A61BE"/>
    <w:rsid w:val="001A65F0"/>
    <w:rsid w:val="001A66B5"/>
    <w:rsid w:val="001A710F"/>
    <w:rsid w:val="001A77C8"/>
    <w:rsid w:val="001A7F41"/>
    <w:rsid w:val="001B0578"/>
    <w:rsid w:val="001B0B44"/>
    <w:rsid w:val="001B1F62"/>
    <w:rsid w:val="001B1F7A"/>
    <w:rsid w:val="001B26B2"/>
    <w:rsid w:val="001B27D3"/>
    <w:rsid w:val="001B2ECA"/>
    <w:rsid w:val="001B2F84"/>
    <w:rsid w:val="001B34C3"/>
    <w:rsid w:val="001B5367"/>
    <w:rsid w:val="001B60C8"/>
    <w:rsid w:val="001B62AE"/>
    <w:rsid w:val="001B6347"/>
    <w:rsid w:val="001B6433"/>
    <w:rsid w:val="001B6798"/>
    <w:rsid w:val="001B7CE9"/>
    <w:rsid w:val="001C0635"/>
    <w:rsid w:val="001C09C3"/>
    <w:rsid w:val="001C1DFD"/>
    <w:rsid w:val="001C26E5"/>
    <w:rsid w:val="001C3282"/>
    <w:rsid w:val="001C3662"/>
    <w:rsid w:val="001C40A3"/>
    <w:rsid w:val="001C4223"/>
    <w:rsid w:val="001C4939"/>
    <w:rsid w:val="001C4A1F"/>
    <w:rsid w:val="001C4A43"/>
    <w:rsid w:val="001C5474"/>
    <w:rsid w:val="001C5681"/>
    <w:rsid w:val="001C5C27"/>
    <w:rsid w:val="001C5E68"/>
    <w:rsid w:val="001C68C2"/>
    <w:rsid w:val="001C7624"/>
    <w:rsid w:val="001D05F1"/>
    <w:rsid w:val="001D0A28"/>
    <w:rsid w:val="001D1AF4"/>
    <w:rsid w:val="001D1B9D"/>
    <w:rsid w:val="001D22F0"/>
    <w:rsid w:val="001D2E71"/>
    <w:rsid w:val="001D31E5"/>
    <w:rsid w:val="001D36C6"/>
    <w:rsid w:val="001D4B20"/>
    <w:rsid w:val="001D5687"/>
    <w:rsid w:val="001D5EFB"/>
    <w:rsid w:val="001D7D9D"/>
    <w:rsid w:val="001E14B6"/>
    <w:rsid w:val="001E1608"/>
    <w:rsid w:val="001E161D"/>
    <w:rsid w:val="001E179C"/>
    <w:rsid w:val="001E1861"/>
    <w:rsid w:val="001E2AE9"/>
    <w:rsid w:val="001E2B61"/>
    <w:rsid w:val="001E3024"/>
    <w:rsid w:val="001E36E6"/>
    <w:rsid w:val="001E36EE"/>
    <w:rsid w:val="001E4408"/>
    <w:rsid w:val="001E5E6D"/>
    <w:rsid w:val="001E63F0"/>
    <w:rsid w:val="001E6C70"/>
    <w:rsid w:val="001E7845"/>
    <w:rsid w:val="001F0372"/>
    <w:rsid w:val="001F0F1D"/>
    <w:rsid w:val="001F10F0"/>
    <w:rsid w:val="001F1236"/>
    <w:rsid w:val="001F1C1C"/>
    <w:rsid w:val="001F1EBB"/>
    <w:rsid w:val="001F1EE8"/>
    <w:rsid w:val="001F270B"/>
    <w:rsid w:val="001F2CE2"/>
    <w:rsid w:val="001F2F14"/>
    <w:rsid w:val="001F42F2"/>
    <w:rsid w:val="001F6710"/>
    <w:rsid w:val="001F725A"/>
    <w:rsid w:val="001F7BFA"/>
    <w:rsid w:val="0020066D"/>
    <w:rsid w:val="00200C23"/>
    <w:rsid w:val="0020168F"/>
    <w:rsid w:val="002019EE"/>
    <w:rsid w:val="00202822"/>
    <w:rsid w:val="002042F0"/>
    <w:rsid w:val="0020470F"/>
    <w:rsid w:val="00204ACF"/>
    <w:rsid w:val="00205D08"/>
    <w:rsid w:val="00206B9D"/>
    <w:rsid w:val="00206E7A"/>
    <w:rsid w:val="002070F6"/>
    <w:rsid w:val="0020739D"/>
    <w:rsid w:val="002075CF"/>
    <w:rsid w:val="00207D43"/>
    <w:rsid w:val="00210CA9"/>
    <w:rsid w:val="00210E0E"/>
    <w:rsid w:val="002113C8"/>
    <w:rsid w:val="00211733"/>
    <w:rsid w:val="00212724"/>
    <w:rsid w:val="00212923"/>
    <w:rsid w:val="00212E70"/>
    <w:rsid w:val="00212F6A"/>
    <w:rsid w:val="00213F32"/>
    <w:rsid w:val="00213F83"/>
    <w:rsid w:val="00213FAC"/>
    <w:rsid w:val="002144C4"/>
    <w:rsid w:val="00214A8A"/>
    <w:rsid w:val="00214FFE"/>
    <w:rsid w:val="00215130"/>
    <w:rsid w:val="00215C2D"/>
    <w:rsid w:val="002162DB"/>
    <w:rsid w:val="00216671"/>
    <w:rsid w:val="00217599"/>
    <w:rsid w:val="00217778"/>
    <w:rsid w:val="00220A8F"/>
    <w:rsid w:val="00221B4C"/>
    <w:rsid w:val="00222D7A"/>
    <w:rsid w:val="002232E9"/>
    <w:rsid w:val="00223C4E"/>
    <w:rsid w:val="002243A3"/>
    <w:rsid w:val="00224732"/>
    <w:rsid w:val="00224A00"/>
    <w:rsid w:val="002259E4"/>
    <w:rsid w:val="00226130"/>
    <w:rsid w:val="0022613F"/>
    <w:rsid w:val="0022662D"/>
    <w:rsid w:val="00227514"/>
    <w:rsid w:val="00227967"/>
    <w:rsid w:val="00227C31"/>
    <w:rsid w:val="00230414"/>
    <w:rsid w:val="00230936"/>
    <w:rsid w:val="00230F31"/>
    <w:rsid w:val="0023100E"/>
    <w:rsid w:val="002311E6"/>
    <w:rsid w:val="00231F9E"/>
    <w:rsid w:val="00232063"/>
    <w:rsid w:val="0023232D"/>
    <w:rsid w:val="0023239C"/>
    <w:rsid w:val="00232F3F"/>
    <w:rsid w:val="002342F7"/>
    <w:rsid w:val="00234572"/>
    <w:rsid w:val="0023480C"/>
    <w:rsid w:val="00234C18"/>
    <w:rsid w:val="00234EDC"/>
    <w:rsid w:val="002371FC"/>
    <w:rsid w:val="002374D0"/>
    <w:rsid w:val="002378CC"/>
    <w:rsid w:val="00237EC8"/>
    <w:rsid w:val="0024033F"/>
    <w:rsid w:val="00240A6E"/>
    <w:rsid w:val="00241FC7"/>
    <w:rsid w:val="00242810"/>
    <w:rsid w:val="00242D2D"/>
    <w:rsid w:val="00242DDE"/>
    <w:rsid w:val="0024306A"/>
    <w:rsid w:val="00243ADC"/>
    <w:rsid w:val="00244280"/>
    <w:rsid w:val="00244313"/>
    <w:rsid w:val="002450DD"/>
    <w:rsid w:val="00245152"/>
    <w:rsid w:val="00245A2F"/>
    <w:rsid w:val="00246C61"/>
    <w:rsid w:val="00247383"/>
    <w:rsid w:val="00250642"/>
    <w:rsid w:val="00251510"/>
    <w:rsid w:val="002515E1"/>
    <w:rsid w:val="00251724"/>
    <w:rsid w:val="00251C4E"/>
    <w:rsid w:val="00251CED"/>
    <w:rsid w:val="00252503"/>
    <w:rsid w:val="002535E5"/>
    <w:rsid w:val="0025366C"/>
    <w:rsid w:val="00254AFD"/>
    <w:rsid w:val="00255D66"/>
    <w:rsid w:val="002563A2"/>
    <w:rsid w:val="00256A58"/>
    <w:rsid w:val="00257077"/>
    <w:rsid w:val="00257127"/>
    <w:rsid w:val="002572F7"/>
    <w:rsid w:val="0025741C"/>
    <w:rsid w:val="0025763A"/>
    <w:rsid w:val="00257C5E"/>
    <w:rsid w:val="00257F57"/>
    <w:rsid w:val="0026043E"/>
    <w:rsid w:val="0026070E"/>
    <w:rsid w:val="00260CE0"/>
    <w:rsid w:val="0026125A"/>
    <w:rsid w:val="002625AE"/>
    <w:rsid w:val="00262911"/>
    <w:rsid w:val="0026359E"/>
    <w:rsid w:val="002637D8"/>
    <w:rsid w:val="00265776"/>
    <w:rsid w:val="00266064"/>
    <w:rsid w:val="00266997"/>
    <w:rsid w:val="002671BF"/>
    <w:rsid w:val="00267727"/>
    <w:rsid w:val="0026780B"/>
    <w:rsid w:val="00270516"/>
    <w:rsid w:val="00270E3C"/>
    <w:rsid w:val="002716D4"/>
    <w:rsid w:val="00271FDC"/>
    <w:rsid w:val="00272449"/>
    <w:rsid w:val="002732B5"/>
    <w:rsid w:val="00273761"/>
    <w:rsid w:val="00276AC3"/>
    <w:rsid w:val="00277572"/>
    <w:rsid w:val="00277E6F"/>
    <w:rsid w:val="00280774"/>
    <w:rsid w:val="00281D12"/>
    <w:rsid w:val="00281E07"/>
    <w:rsid w:val="002821AD"/>
    <w:rsid w:val="00283DF4"/>
    <w:rsid w:val="00284D58"/>
    <w:rsid w:val="00286975"/>
    <w:rsid w:val="002870BD"/>
    <w:rsid w:val="002879FA"/>
    <w:rsid w:val="00292EBB"/>
    <w:rsid w:val="00295267"/>
    <w:rsid w:val="0029569F"/>
    <w:rsid w:val="002956E8"/>
    <w:rsid w:val="00295FC2"/>
    <w:rsid w:val="002965B1"/>
    <w:rsid w:val="00296BF5"/>
    <w:rsid w:val="002970AD"/>
    <w:rsid w:val="002978F5"/>
    <w:rsid w:val="002A04EE"/>
    <w:rsid w:val="002A45D5"/>
    <w:rsid w:val="002A49D6"/>
    <w:rsid w:val="002A606B"/>
    <w:rsid w:val="002A656A"/>
    <w:rsid w:val="002A6FC7"/>
    <w:rsid w:val="002A79AA"/>
    <w:rsid w:val="002A7BA7"/>
    <w:rsid w:val="002A7C5C"/>
    <w:rsid w:val="002B1468"/>
    <w:rsid w:val="002B1AEE"/>
    <w:rsid w:val="002B2AAD"/>
    <w:rsid w:val="002B2B3A"/>
    <w:rsid w:val="002B4E74"/>
    <w:rsid w:val="002B5B34"/>
    <w:rsid w:val="002B63A1"/>
    <w:rsid w:val="002B6AA0"/>
    <w:rsid w:val="002B714C"/>
    <w:rsid w:val="002B7431"/>
    <w:rsid w:val="002B7452"/>
    <w:rsid w:val="002B7578"/>
    <w:rsid w:val="002B7A09"/>
    <w:rsid w:val="002C060E"/>
    <w:rsid w:val="002C25D6"/>
    <w:rsid w:val="002C2795"/>
    <w:rsid w:val="002C29CE"/>
    <w:rsid w:val="002C32F7"/>
    <w:rsid w:val="002C3A8F"/>
    <w:rsid w:val="002C4B94"/>
    <w:rsid w:val="002C4E76"/>
    <w:rsid w:val="002C5CC6"/>
    <w:rsid w:val="002D0EB9"/>
    <w:rsid w:val="002D0ED9"/>
    <w:rsid w:val="002D22DB"/>
    <w:rsid w:val="002D2701"/>
    <w:rsid w:val="002D36C9"/>
    <w:rsid w:val="002D4525"/>
    <w:rsid w:val="002D5530"/>
    <w:rsid w:val="002D5BD9"/>
    <w:rsid w:val="002D61BB"/>
    <w:rsid w:val="002D6C24"/>
    <w:rsid w:val="002D7BD8"/>
    <w:rsid w:val="002E01E7"/>
    <w:rsid w:val="002E08DC"/>
    <w:rsid w:val="002E1456"/>
    <w:rsid w:val="002E25D3"/>
    <w:rsid w:val="002E2779"/>
    <w:rsid w:val="002E29ED"/>
    <w:rsid w:val="002E2D00"/>
    <w:rsid w:val="002E3D0D"/>
    <w:rsid w:val="002E5422"/>
    <w:rsid w:val="002E55EA"/>
    <w:rsid w:val="002E58E2"/>
    <w:rsid w:val="002E5F9C"/>
    <w:rsid w:val="002E6549"/>
    <w:rsid w:val="002E6E5F"/>
    <w:rsid w:val="002E712F"/>
    <w:rsid w:val="002F16C4"/>
    <w:rsid w:val="002F2117"/>
    <w:rsid w:val="002F218F"/>
    <w:rsid w:val="002F49A3"/>
    <w:rsid w:val="002F5475"/>
    <w:rsid w:val="002F5DEA"/>
    <w:rsid w:val="002F69DE"/>
    <w:rsid w:val="002F6CBF"/>
    <w:rsid w:val="002F6DAB"/>
    <w:rsid w:val="002F7807"/>
    <w:rsid w:val="0030090B"/>
    <w:rsid w:val="00300BC5"/>
    <w:rsid w:val="00302D0A"/>
    <w:rsid w:val="00303330"/>
    <w:rsid w:val="00304044"/>
    <w:rsid w:val="003042D3"/>
    <w:rsid w:val="0030481B"/>
    <w:rsid w:val="00304948"/>
    <w:rsid w:val="0030494D"/>
    <w:rsid w:val="00304CC6"/>
    <w:rsid w:val="00305973"/>
    <w:rsid w:val="00305E28"/>
    <w:rsid w:val="00306004"/>
    <w:rsid w:val="00306569"/>
    <w:rsid w:val="003068C1"/>
    <w:rsid w:val="00306EC9"/>
    <w:rsid w:val="00306EFF"/>
    <w:rsid w:val="00311472"/>
    <w:rsid w:val="00311B2F"/>
    <w:rsid w:val="00312070"/>
    <w:rsid w:val="003122F0"/>
    <w:rsid w:val="003130C1"/>
    <w:rsid w:val="00313C6F"/>
    <w:rsid w:val="00314027"/>
    <w:rsid w:val="0031458B"/>
    <w:rsid w:val="003147A6"/>
    <w:rsid w:val="00315934"/>
    <w:rsid w:val="0031655F"/>
    <w:rsid w:val="00316C87"/>
    <w:rsid w:val="003172D0"/>
    <w:rsid w:val="00317C88"/>
    <w:rsid w:val="00321B45"/>
    <w:rsid w:val="003222D5"/>
    <w:rsid w:val="00323655"/>
    <w:rsid w:val="003237CC"/>
    <w:rsid w:val="00323BB9"/>
    <w:rsid w:val="00323FB4"/>
    <w:rsid w:val="00324A08"/>
    <w:rsid w:val="0032603C"/>
    <w:rsid w:val="003270B0"/>
    <w:rsid w:val="00327727"/>
    <w:rsid w:val="00327C05"/>
    <w:rsid w:val="0033054F"/>
    <w:rsid w:val="00330F7D"/>
    <w:rsid w:val="00330FA0"/>
    <w:rsid w:val="00332A8B"/>
    <w:rsid w:val="00332A9A"/>
    <w:rsid w:val="0033374D"/>
    <w:rsid w:val="003363AB"/>
    <w:rsid w:val="00336EBE"/>
    <w:rsid w:val="003378C2"/>
    <w:rsid w:val="00340440"/>
    <w:rsid w:val="00340590"/>
    <w:rsid w:val="003406B7"/>
    <w:rsid w:val="00340DE1"/>
    <w:rsid w:val="00341C79"/>
    <w:rsid w:val="003426F9"/>
    <w:rsid w:val="00342F2B"/>
    <w:rsid w:val="003436AC"/>
    <w:rsid w:val="0034512F"/>
    <w:rsid w:val="00345EE0"/>
    <w:rsid w:val="00346224"/>
    <w:rsid w:val="003463EC"/>
    <w:rsid w:val="00346658"/>
    <w:rsid w:val="00346B21"/>
    <w:rsid w:val="003472FC"/>
    <w:rsid w:val="00347BF9"/>
    <w:rsid w:val="00347F59"/>
    <w:rsid w:val="003503C1"/>
    <w:rsid w:val="00350B23"/>
    <w:rsid w:val="00350B3E"/>
    <w:rsid w:val="00351624"/>
    <w:rsid w:val="00351776"/>
    <w:rsid w:val="00352B58"/>
    <w:rsid w:val="00354F63"/>
    <w:rsid w:val="0035543B"/>
    <w:rsid w:val="0035591A"/>
    <w:rsid w:val="00355A20"/>
    <w:rsid w:val="003565BA"/>
    <w:rsid w:val="0036014B"/>
    <w:rsid w:val="00361433"/>
    <w:rsid w:val="00362C99"/>
    <w:rsid w:val="003656A2"/>
    <w:rsid w:val="003657AA"/>
    <w:rsid w:val="00365AB1"/>
    <w:rsid w:val="00365E18"/>
    <w:rsid w:val="003663E2"/>
    <w:rsid w:val="00367010"/>
    <w:rsid w:val="003673E0"/>
    <w:rsid w:val="00370388"/>
    <w:rsid w:val="0037062C"/>
    <w:rsid w:val="003706EE"/>
    <w:rsid w:val="003712DE"/>
    <w:rsid w:val="003713B7"/>
    <w:rsid w:val="00371903"/>
    <w:rsid w:val="0037290D"/>
    <w:rsid w:val="00374FB7"/>
    <w:rsid w:val="0037510E"/>
    <w:rsid w:val="0037691B"/>
    <w:rsid w:val="003773CA"/>
    <w:rsid w:val="00377F16"/>
    <w:rsid w:val="0038030F"/>
    <w:rsid w:val="00380F4A"/>
    <w:rsid w:val="00381817"/>
    <w:rsid w:val="00381851"/>
    <w:rsid w:val="00381895"/>
    <w:rsid w:val="00381A3C"/>
    <w:rsid w:val="003826F6"/>
    <w:rsid w:val="00382701"/>
    <w:rsid w:val="00382895"/>
    <w:rsid w:val="003829D7"/>
    <w:rsid w:val="00382C3A"/>
    <w:rsid w:val="00384152"/>
    <w:rsid w:val="00384791"/>
    <w:rsid w:val="00384C49"/>
    <w:rsid w:val="00384E62"/>
    <w:rsid w:val="003870A3"/>
    <w:rsid w:val="003878B4"/>
    <w:rsid w:val="00390597"/>
    <w:rsid w:val="00390D8A"/>
    <w:rsid w:val="00390F84"/>
    <w:rsid w:val="00392400"/>
    <w:rsid w:val="0039280C"/>
    <w:rsid w:val="00392AD6"/>
    <w:rsid w:val="00392F36"/>
    <w:rsid w:val="003934B4"/>
    <w:rsid w:val="003938EC"/>
    <w:rsid w:val="00393DD8"/>
    <w:rsid w:val="00394131"/>
    <w:rsid w:val="0039460A"/>
    <w:rsid w:val="00395431"/>
    <w:rsid w:val="003958E4"/>
    <w:rsid w:val="00395EBE"/>
    <w:rsid w:val="00395F2E"/>
    <w:rsid w:val="003962BD"/>
    <w:rsid w:val="003963D5"/>
    <w:rsid w:val="00396ACD"/>
    <w:rsid w:val="00396DBD"/>
    <w:rsid w:val="00397522"/>
    <w:rsid w:val="00397829"/>
    <w:rsid w:val="003A03C0"/>
    <w:rsid w:val="003A1C8E"/>
    <w:rsid w:val="003A208F"/>
    <w:rsid w:val="003A2144"/>
    <w:rsid w:val="003A2D93"/>
    <w:rsid w:val="003A3495"/>
    <w:rsid w:val="003A4146"/>
    <w:rsid w:val="003A451E"/>
    <w:rsid w:val="003A454C"/>
    <w:rsid w:val="003A4CC5"/>
    <w:rsid w:val="003A5236"/>
    <w:rsid w:val="003A61C0"/>
    <w:rsid w:val="003A62EE"/>
    <w:rsid w:val="003A7D55"/>
    <w:rsid w:val="003B075F"/>
    <w:rsid w:val="003B1067"/>
    <w:rsid w:val="003B12C3"/>
    <w:rsid w:val="003B36E8"/>
    <w:rsid w:val="003B431E"/>
    <w:rsid w:val="003B46D1"/>
    <w:rsid w:val="003B4895"/>
    <w:rsid w:val="003B6D1A"/>
    <w:rsid w:val="003C0319"/>
    <w:rsid w:val="003C0850"/>
    <w:rsid w:val="003C1842"/>
    <w:rsid w:val="003C1EA8"/>
    <w:rsid w:val="003C26A6"/>
    <w:rsid w:val="003C27EE"/>
    <w:rsid w:val="003C29C7"/>
    <w:rsid w:val="003C4171"/>
    <w:rsid w:val="003C5841"/>
    <w:rsid w:val="003C6594"/>
    <w:rsid w:val="003C6648"/>
    <w:rsid w:val="003D017D"/>
    <w:rsid w:val="003D0403"/>
    <w:rsid w:val="003D1457"/>
    <w:rsid w:val="003D1966"/>
    <w:rsid w:val="003D22C9"/>
    <w:rsid w:val="003D2D8B"/>
    <w:rsid w:val="003D3297"/>
    <w:rsid w:val="003D3A96"/>
    <w:rsid w:val="003D57CE"/>
    <w:rsid w:val="003D5A38"/>
    <w:rsid w:val="003D60F7"/>
    <w:rsid w:val="003D62BC"/>
    <w:rsid w:val="003D6ECC"/>
    <w:rsid w:val="003E1371"/>
    <w:rsid w:val="003E1835"/>
    <w:rsid w:val="003E20A8"/>
    <w:rsid w:val="003E32E9"/>
    <w:rsid w:val="003E3B7C"/>
    <w:rsid w:val="003E4AC5"/>
    <w:rsid w:val="003E4EEE"/>
    <w:rsid w:val="003E50CC"/>
    <w:rsid w:val="003E52E9"/>
    <w:rsid w:val="003E5BC9"/>
    <w:rsid w:val="003E700F"/>
    <w:rsid w:val="003E7B08"/>
    <w:rsid w:val="003E7CB1"/>
    <w:rsid w:val="003F0423"/>
    <w:rsid w:val="003F0B22"/>
    <w:rsid w:val="003F0BCF"/>
    <w:rsid w:val="003F0FD8"/>
    <w:rsid w:val="003F1EF5"/>
    <w:rsid w:val="003F2785"/>
    <w:rsid w:val="003F2EDF"/>
    <w:rsid w:val="003F324E"/>
    <w:rsid w:val="003F3F21"/>
    <w:rsid w:val="003F4133"/>
    <w:rsid w:val="003F478D"/>
    <w:rsid w:val="003F5002"/>
    <w:rsid w:val="003F5D34"/>
    <w:rsid w:val="003F61EF"/>
    <w:rsid w:val="003F6C00"/>
    <w:rsid w:val="003F7802"/>
    <w:rsid w:val="00400396"/>
    <w:rsid w:val="004004A4"/>
    <w:rsid w:val="004004D7"/>
    <w:rsid w:val="0040196F"/>
    <w:rsid w:val="00401E14"/>
    <w:rsid w:val="00402583"/>
    <w:rsid w:val="00402590"/>
    <w:rsid w:val="00403015"/>
    <w:rsid w:val="0040415D"/>
    <w:rsid w:val="004051A0"/>
    <w:rsid w:val="00407E14"/>
    <w:rsid w:val="004105E8"/>
    <w:rsid w:val="00410CD3"/>
    <w:rsid w:val="00410CE5"/>
    <w:rsid w:val="00411902"/>
    <w:rsid w:val="00411E9D"/>
    <w:rsid w:val="004123E2"/>
    <w:rsid w:val="00412841"/>
    <w:rsid w:val="00413B9A"/>
    <w:rsid w:val="00414259"/>
    <w:rsid w:val="00414340"/>
    <w:rsid w:val="00415EF0"/>
    <w:rsid w:val="0041647B"/>
    <w:rsid w:val="00416672"/>
    <w:rsid w:val="00416EB0"/>
    <w:rsid w:val="004172BC"/>
    <w:rsid w:val="00417747"/>
    <w:rsid w:val="00417B32"/>
    <w:rsid w:val="00421020"/>
    <w:rsid w:val="00421A60"/>
    <w:rsid w:val="004226D5"/>
    <w:rsid w:val="00422C53"/>
    <w:rsid w:val="00422F78"/>
    <w:rsid w:val="004244C9"/>
    <w:rsid w:val="004246DF"/>
    <w:rsid w:val="00424E09"/>
    <w:rsid w:val="00425131"/>
    <w:rsid w:val="00425B57"/>
    <w:rsid w:val="00426A99"/>
    <w:rsid w:val="00427CEC"/>
    <w:rsid w:val="004300B0"/>
    <w:rsid w:val="004304C7"/>
    <w:rsid w:val="00430A80"/>
    <w:rsid w:val="00430D79"/>
    <w:rsid w:val="00430D8E"/>
    <w:rsid w:val="00432060"/>
    <w:rsid w:val="0043247E"/>
    <w:rsid w:val="0043491C"/>
    <w:rsid w:val="00435CB4"/>
    <w:rsid w:val="00436117"/>
    <w:rsid w:val="00436420"/>
    <w:rsid w:val="0043707D"/>
    <w:rsid w:val="00437AA5"/>
    <w:rsid w:val="00440DA8"/>
    <w:rsid w:val="004412FA"/>
    <w:rsid w:val="0044213A"/>
    <w:rsid w:val="00442B08"/>
    <w:rsid w:val="00442D97"/>
    <w:rsid w:val="00443BCB"/>
    <w:rsid w:val="00444DD7"/>
    <w:rsid w:val="00445E3E"/>
    <w:rsid w:val="00446135"/>
    <w:rsid w:val="004468B2"/>
    <w:rsid w:val="004468E6"/>
    <w:rsid w:val="00446E86"/>
    <w:rsid w:val="00450118"/>
    <w:rsid w:val="004501F4"/>
    <w:rsid w:val="00450317"/>
    <w:rsid w:val="00450D7D"/>
    <w:rsid w:val="004519A7"/>
    <w:rsid w:val="00451C2B"/>
    <w:rsid w:val="00452D12"/>
    <w:rsid w:val="004533DB"/>
    <w:rsid w:val="00453B3C"/>
    <w:rsid w:val="00454E8A"/>
    <w:rsid w:val="004551EC"/>
    <w:rsid w:val="004560B1"/>
    <w:rsid w:val="0045674E"/>
    <w:rsid w:val="00457E1E"/>
    <w:rsid w:val="00457E91"/>
    <w:rsid w:val="004603BA"/>
    <w:rsid w:val="00460C9C"/>
    <w:rsid w:val="00460D7A"/>
    <w:rsid w:val="004613E9"/>
    <w:rsid w:val="00461743"/>
    <w:rsid w:val="00461D05"/>
    <w:rsid w:val="00462744"/>
    <w:rsid w:val="0046357E"/>
    <w:rsid w:val="004637AD"/>
    <w:rsid w:val="004637D6"/>
    <w:rsid w:val="0046522C"/>
    <w:rsid w:val="00466191"/>
    <w:rsid w:val="004667B4"/>
    <w:rsid w:val="004670AA"/>
    <w:rsid w:val="0046756F"/>
    <w:rsid w:val="004675E1"/>
    <w:rsid w:val="00467DBE"/>
    <w:rsid w:val="00469282"/>
    <w:rsid w:val="004703F6"/>
    <w:rsid w:val="00470AC8"/>
    <w:rsid w:val="0047163B"/>
    <w:rsid w:val="0047167C"/>
    <w:rsid w:val="004743DA"/>
    <w:rsid w:val="00474676"/>
    <w:rsid w:val="00475245"/>
    <w:rsid w:val="004756BA"/>
    <w:rsid w:val="004759CF"/>
    <w:rsid w:val="00475B9D"/>
    <w:rsid w:val="00480740"/>
    <w:rsid w:val="004835DF"/>
    <w:rsid w:val="004837CF"/>
    <w:rsid w:val="00483ED1"/>
    <w:rsid w:val="00484F61"/>
    <w:rsid w:val="0048511C"/>
    <w:rsid w:val="00485253"/>
    <w:rsid w:val="00485903"/>
    <w:rsid w:val="00487CAA"/>
    <w:rsid w:val="004902D0"/>
    <w:rsid w:val="004905BB"/>
    <w:rsid w:val="0049098A"/>
    <w:rsid w:val="00491511"/>
    <w:rsid w:val="00491B7D"/>
    <w:rsid w:val="00492396"/>
    <w:rsid w:val="00492913"/>
    <w:rsid w:val="00492D67"/>
    <w:rsid w:val="00493193"/>
    <w:rsid w:val="004949AF"/>
    <w:rsid w:val="0049579F"/>
    <w:rsid w:val="00495C8B"/>
    <w:rsid w:val="00496482"/>
    <w:rsid w:val="00496C72"/>
    <w:rsid w:val="004975EE"/>
    <w:rsid w:val="00497C49"/>
    <w:rsid w:val="004A0BA4"/>
    <w:rsid w:val="004A17E7"/>
    <w:rsid w:val="004A19EC"/>
    <w:rsid w:val="004A1DAA"/>
    <w:rsid w:val="004A1E80"/>
    <w:rsid w:val="004A3A6F"/>
    <w:rsid w:val="004A442E"/>
    <w:rsid w:val="004A4799"/>
    <w:rsid w:val="004A4AD7"/>
    <w:rsid w:val="004A5DF8"/>
    <w:rsid w:val="004A5EA8"/>
    <w:rsid w:val="004B0063"/>
    <w:rsid w:val="004B1614"/>
    <w:rsid w:val="004B1DC8"/>
    <w:rsid w:val="004B248A"/>
    <w:rsid w:val="004B284A"/>
    <w:rsid w:val="004B2ABD"/>
    <w:rsid w:val="004B2D7D"/>
    <w:rsid w:val="004B2FCC"/>
    <w:rsid w:val="004B370C"/>
    <w:rsid w:val="004B4799"/>
    <w:rsid w:val="004B4B54"/>
    <w:rsid w:val="004B72C5"/>
    <w:rsid w:val="004B795D"/>
    <w:rsid w:val="004B7DFC"/>
    <w:rsid w:val="004C0393"/>
    <w:rsid w:val="004C1965"/>
    <w:rsid w:val="004C1DD0"/>
    <w:rsid w:val="004C1FF6"/>
    <w:rsid w:val="004C2279"/>
    <w:rsid w:val="004C361A"/>
    <w:rsid w:val="004C4BDF"/>
    <w:rsid w:val="004C5B13"/>
    <w:rsid w:val="004C7564"/>
    <w:rsid w:val="004C77C5"/>
    <w:rsid w:val="004C788C"/>
    <w:rsid w:val="004C7BB5"/>
    <w:rsid w:val="004D01CA"/>
    <w:rsid w:val="004D0DF1"/>
    <w:rsid w:val="004D1CA1"/>
    <w:rsid w:val="004D41A2"/>
    <w:rsid w:val="004D4AF8"/>
    <w:rsid w:val="004D5B5B"/>
    <w:rsid w:val="004D6105"/>
    <w:rsid w:val="004D63F0"/>
    <w:rsid w:val="004D74CA"/>
    <w:rsid w:val="004E0E9A"/>
    <w:rsid w:val="004E19F9"/>
    <w:rsid w:val="004E1B9D"/>
    <w:rsid w:val="004E35F0"/>
    <w:rsid w:val="004E37CC"/>
    <w:rsid w:val="004E3D97"/>
    <w:rsid w:val="004E3E33"/>
    <w:rsid w:val="004E4806"/>
    <w:rsid w:val="004E49A5"/>
    <w:rsid w:val="004E4D1A"/>
    <w:rsid w:val="004E51A7"/>
    <w:rsid w:val="004E6048"/>
    <w:rsid w:val="004E69EE"/>
    <w:rsid w:val="004E7B68"/>
    <w:rsid w:val="004F0319"/>
    <w:rsid w:val="004F1036"/>
    <w:rsid w:val="004F1188"/>
    <w:rsid w:val="004F1837"/>
    <w:rsid w:val="004F1C18"/>
    <w:rsid w:val="004F401C"/>
    <w:rsid w:val="004F431B"/>
    <w:rsid w:val="004F4F95"/>
    <w:rsid w:val="004F6E1C"/>
    <w:rsid w:val="00500EA9"/>
    <w:rsid w:val="005023E5"/>
    <w:rsid w:val="005024FC"/>
    <w:rsid w:val="00502C68"/>
    <w:rsid w:val="0050313D"/>
    <w:rsid w:val="005035A7"/>
    <w:rsid w:val="005061B3"/>
    <w:rsid w:val="0050651E"/>
    <w:rsid w:val="0050661C"/>
    <w:rsid w:val="00507312"/>
    <w:rsid w:val="00510183"/>
    <w:rsid w:val="00511FBF"/>
    <w:rsid w:val="0051228B"/>
    <w:rsid w:val="00512CE5"/>
    <w:rsid w:val="00514257"/>
    <w:rsid w:val="00514DBC"/>
    <w:rsid w:val="005164AF"/>
    <w:rsid w:val="0051694A"/>
    <w:rsid w:val="005170CE"/>
    <w:rsid w:val="00517205"/>
    <w:rsid w:val="005172ED"/>
    <w:rsid w:val="005178F9"/>
    <w:rsid w:val="00517E54"/>
    <w:rsid w:val="0052075D"/>
    <w:rsid w:val="005208C7"/>
    <w:rsid w:val="00520C33"/>
    <w:rsid w:val="00521577"/>
    <w:rsid w:val="00521C3B"/>
    <w:rsid w:val="00521C6B"/>
    <w:rsid w:val="00523351"/>
    <w:rsid w:val="00523534"/>
    <w:rsid w:val="00523B90"/>
    <w:rsid w:val="00523BD0"/>
    <w:rsid w:val="00524543"/>
    <w:rsid w:val="00524AE8"/>
    <w:rsid w:val="00525351"/>
    <w:rsid w:val="005253DF"/>
    <w:rsid w:val="00525AE1"/>
    <w:rsid w:val="005264EB"/>
    <w:rsid w:val="005266F8"/>
    <w:rsid w:val="00526724"/>
    <w:rsid w:val="00526A17"/>
    <w:rsid w:val="00526D2D"/>
    <w:rsid w:val="00526DA9"/>
    <w:rsid w:val="005277F0"/>
    <w:rsid w:val="0052797F"/>
    <w:rsid w:val="0053044D"/>
    <w:rsid w:val="00531069"/>
    <w:rsid w:val="005313E4"/>
    <w:rsid w:val="005335BF"/>
    <w:rsid w:val="00533C6A"/>
    <w:rsid w:val="005345EA"/>
    <w:rsid w:val="005351E2"/>
    <w:rsid w:val="005355A6"/>
    <w:rsid w:val="00536523"/>
    <w:rsid w:val="0054158B"/>
    <w:rsid w:val="005417E2"/>
    <w:rsid w:val="00542487"/>
    <w:rsid w:val="00542F51"/>
    <w:rsid w:val="005438F8"/>
    <w:rsid w:val="00544722"/>
    <w:rsid w:val="005451D5"/>
    <w:rsid w:val="005451F9"/>
    <w:rsid w:val="00545359"/>
    <w:rsid w:val="0054552A"/>
    <w:rsid w:val="005457A1"/>
    <w:rsid w:val="00545AC3"/>
    <w:rsid w:val="00545BEC"/>
    <w:rsid w:val="00545C12"/>
    <w:rsid w:val="0054670D"/>
    <w:rsid w:val="00547775"/>
    <w:rsid w:val="005477A2"/>
    <w:rsid w:val="0055024B"/>
    <w:rsid w:val="00550F03"/>
    <w:rsid w:val="00550F06"/>
    <w:rsid w:val="0055140B"/>
    <w:rsid w:val="00551721"/>
    <w:rsid w:val="005518AA"/>
    <w:rsid w:val="00552874"/>
    <w:rsid w:val="0055290C"/>
    <w:rsid w:val="00552A47"/>
    <w:rsid w:val="00554ABE"/>
    <w:rsid w:val="00554B5A"/>
    <w:rsid w:val="00554B6D"/>
    <w:rsid w:val="00554BBD"/>
    <w:rsid w:val="005556C3"/>
    <w:rsid w:val="00556614"/>
    <w:rsid w:val="005576DE"/>
    <w:rsid w:val="00557BB6"/>
    <w:rsid w:val="005609C9"/>
    <w:rsid w:val="00560E0B"/>
    <w:rsid w:val="00560FB5"/>
    <w:rsid w:val="0056134D"/>
    <w:rsid w:val="0056428A"/>
    <w:rsid w:val="005646EB"/>
    <w:rsid w:val="0056482C"/>
    <w:rsid w:val="00565563"/>
    <w:rsid w:val="00566213"/>
    <w:rsid w:val="005665CF"/>
    <w:rsid w:val="00567036"/>
    <w:rsid w:val="005678E4"/>
    <w:rsid w:val="00570455"/>
    <w:rsid w:val="00570468"/>
    <w:rsid w:val="00570E26"/>
    <w:rsid w:val="00570EAC"/>
    <w:rsid w:val="005716EF"/>
    <w:rsid w:val="00571926"/>
    <w:rsid w:val="0057198F"/>
    <w:rsid w:val="005723C9"/>
    <w:rsid w:val="00572F9B"/>
    <w:rsid w:val="00573120"/>
    <w:rsid w:val="00573799"/>
    <w:rsid w:val="0057398B"/>
    <w:rsid w:val="00574882"/>
    <w:rsid w:val="0057617C"/>
    <w:rsid w:val="0057652D"/>
    <w:rsid w:val="00576AFB"/>
    <w:rsid w:val="0057B51B"/>
    <w:rsid w:val="0058046F"/>
    <w:rsid w:val="005804F7"/>
    <w:rsid w:val="00580535"/>
    <w:rsid w:val="00580A17"/>
    <w:rsid w:val="00580AFA"/>
    <w:rsid w:val="00581885"/>
    <w:rsid w:val="00582149"/>
    <w:rsid w:val="00582810"/>
    <w:rsid w:val="0058340F"/>
    <w:rsid w:val="00583A47"/>
    <w:rsid w:val="00584D6C"/>
    <w:rsid w:val="00584D9F"/>
    <w:rsid w:val="0058505E"/>
    <w:rsid w:val="005857CF"/>
    <w:rsid w:val="00585A96"/>
    <w:rsid w:val="0058674E"/>
    <w:rsid w:val="005868AE"/>
    <w:rsid w:val="00587490"/>
    <w:rsid w:val="00587545"/>
    <w:rsid w:val="00587FD7"/>
    <w:rsid w:val="005907D8"/>
    <w:rsid w:val="005907F2"/>
    <w:rsid w:val="005916C7"/>
    <w:rsid w:val="00591A39"/>
    <w:rsid w:val="00593617"/>
    <w:rsid w:val="00594171"/>
    <w:rsid w:val="00594589"/>
    <w:rsid w:val="00595540"/>
    <w:rsid w:val="00595624"/>
    <w:rsid w:val="00595760"/>
    <w:rsid w:val="00595C0A"/>
    <w:rsid w:val="00595E49"/>
    <w:rsid w:val="005963C8"/>
    <w:rsid w:val="0059734F"/>
    <w:rsid w:val="00597D4F"/>
    <w:rsid w:val="005A0303"/>
    <w:rsid w:val="005A093B"/>
    <w:rsid w:val="005A0E1D"/>
    <w:rsid w:val="005A1250"/>
    <w:rsid w:val="005A129C"/>
    <w:rsid w:val="005A1D3B"/>
    <w:rsid w:val="005A32B6"/>
    <w:rsid w:val="005A3A39"/>
    <w:rsid w:val="005A3D75"/>
    <w:rsid w:val="005A4C1B"/>
    <w:rsid w:val="005A579A"/>
    <w:rsid w:val="005A61F4"/>
    <w:rsid w:val="005A620B"/>
    <w:rsid w:val="005A67F0"/>
    <w:rsid w:val="005A6961"/>
    <w:rsid w:val="005A69D1"/>
    <w:rsid w:val="005A6FAF"/>
    <w:rsid w:val="005B199B"/>
    <w:rsid w:val="005B2C74"/>
    <w:rsid w:val="005B3211"/>
    <w:rsid w:val="005B3B87"/>
    <w:rsid w:val="005B3C86"/>
    <w:rsid w:val="005B3EB7"/>
    <w:rsid w:val="005B419E"/>
    <w:rsid w:val="005B46A6"/>
    <w:rsid w:val="005B4E37"/>
    <w:rsid w:val="005B4F39"/>
    <w:rsid w:val="005B4FC9"/>
    <w:rsid w:val="005B53BD"/>
    <w:rsid w:val="005B5616"/>
    <w:rsid w:val="005B5749"/>
    <w:rsid w:val="005B5FA6"/>
    <w:rsid w:val="005B77EC"/>
    <w:rsid w:val="005B790B"/>
    <w:rsid w:val="005B7ED9"/>
    <w:rsid w:val="005C0F37"/>
    <w:rsid w:val="005C29C8"/>
    <w:rsid w:val="005C3256"/>
    <w:rsid w:val="005C3AAC"/>
    <w:rsid w:val="005C4CA8"/>
    <w:rsid w:val="005C5369"/>
    <w:rsid w:val="005C5B73"/>
    <w:rsid w:val="005C7490"/>
    <w:rsid w:val="005D0371"/>
    <w:rsid w:val="005D10AE"/>
    <w:rsid w:val="005D1131"/>
    <w:rsid w:val="005D118E"/>
    <w:rsid w:val="005D1589"/>
    <w:rsid w:val="005D1E48"/>
    <w:rsid w:val="005D32DD"/>
    <w:rsid w:val="005D3B9A"/>
    <w:rsid w:val="005D3D73"/>
    <w:rsid w:val="005D3FA6"/>
    <w:rsid w:val="005D541E"/>
    <w:rsid w:val="005D564E"/>
    <w:rsid w:val="005D56A8"/>
    <w:rsid w:val="005D6013"/>
    <w:rsid w:val="005D6AF3"/>
    <w:rsid w:val="005D6CDA"/>
    <w:rsid w:val="005D7F78"/>
    <w:rsid w:val="005E0232"/>
    <w:rsid w:val="005E044B"/>
    <w:rsid w:val="005E07A1"/>
    <w:rsid w:val="005E1DEE"/>
    <w:rsid w:val="005E1E16"/>
    <w:rsid w:val="005E24C3"/>
    <w:rsid w:val="005E2B04"/>
    <w:rsid w:val="005E2B47"/>
    <w:rsid w:val="005E2E2F"/>
    <w:rsid w:val="005E2FC3"/>
    <w:rsid w:val="005E3BD8"/>
    <w:rsid w:val="005E4EA4"/>
    <w:rsid w:val="005E4F5E"/>
    <w:rsid w:val="005E5005"/>
    <w:rsid w:val="005E5716"/>
    <w:rsid w:val="005E57C0"/>
    <w:rsid w:val="005E6429"/>
    <w:rsid w:val="005E64AD"/>
    <w:rsid w:val="005E7485"/>
    <w:rsid w:val="005E791B"/>
    <w:rsid w:val="005E7D43"/>
    <w:rsid w:val="005F0CA0"/>
    <w:rsid w:val="005F3693"/>
    <w:rsid w:val="005F510B"/>
    <w:rsid w:val="005F6856"/>
    <w:rsid w:val="005F69D3"/>
    <w:rsid w:val="005F6C95"/>
    <w:rsid w:val="005F7717"/>
    <w:rsid w:val="006002FD"/>
    <w:rsid w:val="00600C05"/>
    <w:rsid w:val="00600E34"/>
    <w:rsid w:val="00601C61"/>
    <w:rsid w:val="006024C5"/>
    <w:rsid w:val="006026A1"/>
    <w:rsid w:val="006049AC"/>
    <w:rsid w:val="00605BB3"/>
    <w:rsid w:val="00606ECC"/>
    <w:rsid w:val="00606F7B"/>
    <w:rsid w:val="0060741A"/>
    <w:rsid w:val="00610455"/>
    <w:rsid w:val="006108B7"/>
    <w:rsid w:val="00610CEF"/>
    <w:rsid w:val="006111B8"/>
    <w:rsid w:val="006116D2"/>
    <w:rsid w:val="0061271D"/>
    <w:rsid w:val="00613AD3"/>
    <w:rsid w:val="00614322"/>
    <w:rsid w:val="006152A8"/>
    <w:rsid w:val="00615FF9"/>
    <w:rsid w:val="00616190"/>
    <w:rsid w:val="006172B8"/>
    <w:rsid w:val="00617A40"/>
    <w:rsid w:val="00620225"/>
    <w:rsid w:val="00620679"/>
    <w:rsid w:val="00620C7C"/>
    <w:rsid w:val="00621A4E"/>
    <w:rsid w:val="00621EE6"/>
    <w:rsid w:val="00622B06"/>
    <w:rsid w:val="0062308D"/>
    <w:rsid w:val="00623736"/>
    <w:rsid w:val="006243B0"/>
    <w:rsid w:val="006247EC"/>
    <w:rsid w:val="00626105"/>
    <w:rsid w:val="00631B97"/>
    <w:rsid w:val="0063244B"/>
    <w:rsid w:val="00635BA6"/>
    <w:rsid w:val="00636FFD"/>
    <w:rsid w:val="00637300"/>
    <w:rsid w:val="00640D2A"/>
    <w:rsid w:val="00642B41"/>
    <w:rsid w:val="0064329B"/>
    <w:rsid w:val="0064385F"/>
    <w:rsid w:val="006439FC"/>
    <w:rsid w:val="00643A4F"/>
    <w:rsid w:val="00643E63"/>
    <w:rsid w:val="0064441A"/>
    <w:rsid w:val="00644AF6"/>
    <w:rsid w:val="00644B69"/>
    <w:rsid w:val="00644C43"/>
    <w:rsid w:val="00646514"/>
    <w:rsid w:val="00650414"/>
    <w:rsid w:val="00650487"/>
    <w:rsid w:val="00650654"/>
    <w:rsid w:val="006508FE"/>
    <w:rsid w:val="00650E57"/>
    <w:rsid w:val="00651B5E"/>
    <w:rsid w:val="0065239D"/>
    <w:rsid w:val="0065263F"/>
    <w:rsid w:val="00652D09"/>
    <w:rsid w:val="00654CFC"/>
    <w:rsid w:val="00655179"/>
    <w:rsid w:val="00655FFA"/>
    <w:rsid w:val="00656947"/>
    <w:rsid w:val="0065755A"/>
    <w:rsid w:val="00657A1B"/>
    <w:rsid w:val="00657A9B"/>
    <w:rsid w:val="006601C1"/>
    <w:rsid w:val="006608CC"/>
    <w:rsid w:val="006611F0"/>
    <w:rsid w:val="00661BA5"/>
    <w:rsid w:val="006621C4"/>
    <w:rsid w:val="00662D9C"/>
    <w:rsid w:val="00663376"/>
    <w:rsid w:val="006636FE"/>
    <w:rsid w:val="006654AB"/>
    <w:rsid w:val="0066575D"/>
    <w:rsid w:val="00665DB0"/>
    <w:rsid w:val="00665F44"/>
    <w:rsid w:val="00666AE2"/>
    <w:rsid w:val="00670C78"/>
    <w:rsid w:val="0067192A"/>
    <w:rsid w:val="00672B1F"/>
    <w:rsid w:val="00672EBB"/>
    <w:rsid w:val="00672F65"/>
    <w:rsid w:val="00672F81"/>
    <w:rsid w:val="006730E5"/>
    <w:rsid w:val="00673257"/>
    <w:rsid w:val="00673AD1"/>
    <w:rsid w:val="00673D9A"/>
    <w:rsid w:val="006753FA"/>
    <w:rsid w:val="006763EF"/>
    <w:rsid w:val="0068007F"/>
    <w:rsid w:val="00680870"/>
    <w:rsid w:val="006810C8"/>
    <w:rsid w:val="00681372"/>
    <w:rsid w:val="006814D2"/>
    <w:rsid w:val="00681802"/>
    <w:rsid w:val="00681A1D"/>
    <w:rsid w:val="00683139"/>
    <w:rsid w:val="006831C5"/>
    <w:rsid w:val="006845A0"/>
    <w:rsid w:val="0068530D"/>
    <w:rsid w:val="006858C9"/>
    <w:rsid w:val="00685EA1"/>
    <w:rsid w:val="00687318"/>
    <w:rsid w:val="006878A3"/>
    <w:rsid w:val="00690092"/>
    <w:rsid w:val="00690D07"/>
    <w:rsid w:val="0069168E"/>
    <w:rsid w:val="00691CFB"/>
    <w:rsid w:val="006929A3"/>
    <w:rsid w:val="0069341A"/>
    <w:rsid w:val="00693430"/>
    <w:rsid w:val="006936F7"/>
    <w:rsid w:val="00693D90"/>
    <w:rsid w:val="006947CF"/>
    <w:rsid w:val="0069516D"/>
    <w:rsid w:val="00695454"/>
    <w:rsid w:val="00695CFC"/>
    <w:rsid w:val="00696A46"/>
    <w:rsid w:val="00696D86"/>
    <w:rsid w:val="006A1393"/>
    <w:rsid w:val="006A1A23"/>
    <w:rsid w:val="006A2408"/>
    <w:rsid w:val="006A243A"/>
    <w:rsid w:val="006A2E45"/>
    <w:rsid w:val="006A48A6"/>
    <w:rsid w:val="006A4DA9"/>
    <w:rsid w:val="006A6947"/>
    <w:rsid w:val="006A7306"/>
    <w:rsid w:val="006A748C"/>
    <w:rsid w:val="006A76E2"/>
    <w:rsid w:val="006A7D36"/>
    <w:rsid w:val="006A7EC6"/>
    <w:rsid w:val="006B03BC"/>
    <w:rsid w:val="006B2B02"/>
    <w:rsid w:val="006B41DA"/>
    <w:rsid w:val="006B55F4"/>
    <w:rsid w:val="006B6696"/>
    <w:rsid w:val="006B66BC"/>
    <w:rsid w:val="006B6E48"/>
    <w:rsid w:val="006B71B4"/>
    <w:rsid w:val="006B7865"/>
    <w:rsid w:val="006B7D3B"/>
    <w:rsid w:val="006C01AD"/>
    <w:rsid w:val="006C1443"/>
    <w:rsid w:val="006C1716"/>
    <w:rsid w:val="006C1942"/>
    <w:rsid w:val="006C3110"/>
    <w:rsid w:val="006C4388"/>
    <w:rsid w:val="006C476D"/>
    <w:rsid w:val="006C4881"/>
    <w:rsid w:val="006C4A1B"/>
    <w:rsid w:val="006C5D71"/>
    <w:rsid w:val="006C67B7"/>
    <w:rsid w:val="006D0526"/>
    <w:rsid w:val="006D0CCF"/>
    <w:rsid w:val="006D0F5E"/>
    <w:rsid w:val="006D2455"/>
    <w:rsid w:val="006D24D4"/>
    <w:rsid w:val="006D2D55"/>
    <w:rsid w:val="006D4C9D"/>
    <w:rsid w:val="006D5DA2"/>
    <w:rsid w:val="006D6026"/>
    <w:rsid w:val="006D6081"/>
    <w:rsid w:val="006D6CC9"/>
    <w:rsid w:val="006D7238"/>
    <w:rsid w:val="006D7E8B"/>
    <w:rsid w:val="006E0379"/>
    <w:rsid w:val="006E0C6E"/>
    <w:rsid w:val="006E10DC"/>
    <w:rsid w:val="006E13D6"/>
    <w:rsid w:val="006E1C3D"/>
    <w:rsid w:val="006E2A43"/>
    <w:rsid w:val="006E2A69"/>
    <w:rsid w:val="006E2CF1"/>
    <w:rsid w:val="006E2DC0"/>
    <w:rsid w:val="006E2F07"/>
    <w:rsid w:val="006E3BF7"/>
    <w:rsid w:val="006E3C58"/>
    <w:rsid w:val="006E4192"/>
    <w:rsid w:val="006E41EE"/>
    <w:rsid w:val="006E4A75"/>
    <w:rsid w:val="006E5EEA"/>
    <w:rsid w:val="006E68F0"/>
    <w:rsid w:val="006E7B6B"/>
    <w:rsid w:val="006E7FE4"/>
    <w:rsid w:val="006F0673"/>
    <w:rsid w:val="006F0883"/>
    <w:rsid w:val="006F0EE8"/>
    <w:rsid w:val="006F11A1"/>
    <w:rsid w:val="006F1372"/>
    <w:rsid w:val="006F2A48"/>
    <w:rsid w:val="006F2FC8"/>
    <w:rsid w:val="006F38E0"/>
    <w:rsid w:val="006F4F06"/>
    <w:rsid w:val="006F5993"/>
    <w:rsid w:val="006F6084"/>
    <w:rsid w:val="006F60CD"/>
    <w:rsid w:val="006F60D8"/>
    <w:rsid w:val="006F6553"/>
    <w:rsid w:val="006F787D"/>
    <w:rsid w:val="006F7EFE"/>
    <w:rsid w:val="00701843"/>
    <w:rsid w:val="00702037"/>
    <w:rsid w:val="007029FE"/>
    <w:rsid w:val="0070326B"/>
    <w:rsid w:val="00703E7D"/>
    <w:rsid w:val="00703E98"/>
    <w:rsid w:val="0070481B"/>
    <w:rsid w:val="00705AF4"/>
    <w:rsid w:val="00705FF5"/>
    <w:rsid w:val="00706372"/>
    <w:rsid w:val="00707970"/>
    <w:rsid w:val="00710643"/>
    <w:rsid w:val="00711878"/>
    <w:rsid w:val="00712963"/>
    <w:rsid w:val="007129A5"/>
    <w:rsid w:val="00713F8E"/>
    <w:rsid w:val="00714B4A"/>
    <w:rsid w:val="00714F4F"/>
    <w:rsid w:val="0071516F"/>
    <w:rsid w:val="0072054D"/>
    <w:rsid w:val="007214DD"/>
    <w:rsid w:val="00721B16"/>
    <w:rsid w:val="00721BF9"/>
    <w:rsid w:val="00721F38"/>
    <w:rsid w:val="0072242E"/>
    <w:rsid w:val="0072251E"/>
    <w:rsid w:val="00722908"/>
    <w:rsid w:val="00722D9F"/>
    <w:rsid w:val="00723875"/>
    <w:rsid w:val="00723C35"/>
    <w:rsid w:val="00723F0A"/>
    <w:rsid w:val="00724A6E"/>
    <w:rsid w:val="00724A84"/>
    <w:rsid w:val="00725717"/>
    <w:rsid w:val="00725ED5"/>
    <w:rsid w:val="00726CBF"/>
    <w:rsid w:val="007273C7"/>
    <w:rsid w:val="00727AC9"/>
    <w:rsid w:val="00727F43"/>
    <w:rsid w:val="007305F2"/>
    <w:rsid w:val="00730CAF"/>
    <w:rsid w:val="00731066"/>
    <w:rsid w:val="007310F7"/>
    <w:rsid w:val="007317B0"/>
    <w:rsid w:val="00732A07"/>
    <w:rsid w:val="0073360D"/>
    <w:rsid w:val="00733751"/>
    <w:rsid w:val="00734CDB"/>
    <w:rsid w:val="00735596"/>
    <w:rsid w:val="00735E95"/>
    <w:rsid w:val="00736A58"/>
    <w:rsid w:val="00736B3A"/>
    <w:rsid w:val="007376CB"/>
    <w:rsid w:val="00740733"/>
    <w:rsid w:val="0074154C"/>
    <w:rsid w:val="007418E4"/>
    <w:rsid w:val="00742DB4"/>
    <w:rsid w:val="007430E9"/>
    <w:rsid w:val="00743607"/>
    <w:rsid w:val="00744787"/>
    <w:rsid w:val="00745007"/>
    <w:rsid w:val="007455C2"/>
    <w:rsid w:val="00745842"/>
    <w:rsid w:val="00746A97"/>
    <w:rsid w:val="00746D83"/>
    <w:rsid w:val="00747D31"/>
    <w:rsid w:val="00747E21"/>
    <w:rsid w:val="007503E5"/>
    <w:rsid w:val="007509B3"/>
    <w:rsid w:val="0075183E"/>
    <w:rsid w:val="0075186F"/>
    <w:rsid w:val="00751E4A"/>
    <w:rsid w:val="007526E4"/>
    <w:rsid w:val="00752858"/>
    <w:rsid w:val="007532FC"/>
    <w:rsid w:val="00753AA9"/>
    <w:rsid w:val="0075565C"/>
    <w:rsid w:val="007560A6"/>
    <w:rsid w:val="00756B7D"/>
    <w:rsid w:val="00756C1A"/>
    <w:rsid w:val="007571B9"/>
    <w:rsid w:val="00757739"/>
    <w:rsid w:val="00757BB3"/>
    <w:rsid w:val="007609E3"/>
    <w:rsid w:val="00762862"/>
    <w:rsid w:val="007635A4"/>
    <w:rsid w:val="00763FB5"/>
    <w:rsid w:val="00765D9B"/>
    <w:rsid w:val="00765E4C"/>
    <w:rsid w:val="007666CC"/>
    <w:rsid w:val="00766891"/>
    <w:rsid w:val="00766CD1"/>
    <w:rsid w:val="00766DF3"/>
    <w:rsid w:val="00770611"/>
    <w:rsid w:val="00771DD4"/>
    <w:rsid w:val="00771F45"/>
    <w:rsid w:val="00771FC1"/>
    <w:rsid w:val="00772A94"/>
    <w:rsid w:val="00772B47"/>
    <w:rsid w:val="00772D2B"/>
    <w:rsid w:val="00773BB9"/>
    <w:rsid w:val="007745A2"/>
    <w:rsid w:val="00774F56"/>
    <w:rsid w:val="00775B11"/>
    <w:rsid w:val="00776337"/>
    <w:rsid w:val="00776A0C"/>
    <w:rsid w:val="00776D88"/>
    <w:rsid w:val="007773CC"/>
    <w:rsid w:val="00777743"/>
    <w:rsid w:val="00777988"/>
    <w:rsid w:val="00780567"/>
    <w:rsid w:val="007808A2"/>
    <w:rsid w:val="007811C2"/>
    <w:rsid w:val="0078152D"/>
    <w:rsid w:val="007823EA"/>
    <w:rsid w:val="0078290D"/>
    <w:rsid w:val="00782E7A"/>
    <w:rsid w:val="00784721"/>
    <w:rsid w:val="00784DE7"/>
    <w:rsid w:val="0078553E"/>
    <w:rsid w:val="00785A9D"/>
    <w:rsid w:val="00785E02"/>
    <w:rsid w:val="00786040"/>
    <w:rsid w:val="00786089"/>
    <w:rsid w:val="0078719A"/>
    <w:rsid w:val="007901BE"/>
    <w:rsid w:val="0079040F"/>
    <w:rsid w:val="0079055E"/>
    <w:rsid w:val="0079088C"/>
    <w:rsid w:val="00790AA0"/>
    <w:rsid w:val="0079114F"/>
    <w:rsid w:val="00791D95"/>
    <w:rsid w:val="007958D5"/>
    <w:rsid w:val="00796B33"/>
    <w:rsid w:val="007971AD"/>
    <w:rsid w:val="007979E7"/>
    <w:rsid w:val="00797BDF"/>
    <w:rsid w:val="00797EEA"/>
    <w:rsid w:val="00797F53"/>
    <w:rsid w:val="007A0962"/>
    <w:rsid w:val="007A0D2A"/>
    <w:rsid w:val="007A0E13"/>
    <w:rsid w:val="007A2B82"/>
    <w:rsid w:val="007A3E20"/>
    <w:rsid w:val="007A3E42"/>
    <w:rsid w:val="007A3EC0"/>
    <w:rsid w:val="007A4320"/>
    <w:rsid w:val="007A44CD"/>
    <w:rsid w:val="007A59BB"/>
    <w:rsid w:val="007A6171"/>
    <w:rsid w:val="007A64D1"/>
    <w:rsid w:val="007A6FB9"/>
    <w:rsid w:val="007A7324"/>
    <w:rsid w:val="007A7458"/>
    <w:rsid w:val="007A7542"/>
    <w:rsid w:val="007A7614"/>
    <w:rsid w:val="007A770A"/>
    <w:rsid w:val="007A7E84"/>
    <w:rsid w:val="007A7F56"/>
    <w:rsid w:val="007B09BA"/>
    <w:rsid w:val="007B0B60"/>
    <w:rsid w:val="007B0CB6"/>
    <w:rsid w:val="007B12F9"/>
    <w:rsid w:val="007B14B1"/>
    <w:rsid w:val="007B22B4"/>
    <w:rsid w:val="007B23F7"/>
    <w:rsid w:val="007B2B3D"/>
    <w:rsid w:val="007B2F45"/>
    <w:rsid w:val="007B4174"/>
    <w:rsid w:val="007B4645"/>
    <w:rsid w:val="007B4832"/>
    <w:rsid w:val="007B4E44"/>
    <w:rsid w:val="007B55B6"/>
    <w:rsid w:val="007B658A"/>
    <w:rsid w:val="007B71CE"/>
    <w:rsid w:val="007B7D26"/>
    <w:rsid w:val="007C06BA"/>
    <w:rsid w:val="007C0AB9"/>
    <w:rsid w:val="007C0D34"/>
    <w:rsid w:val="007C0F47"/>
    <w:rsid w:val="007C0FDD"/>
    <w:rsid w:val="007C1684"/>
    <w:rsid w:val="007C172F"/>
    <w:rsid w:val="007C245E"/>
    <w:rsid w:val="007C3906"/>
    <w:rsid w:val="007C3908"/>
    <w:rsid w:val="007C51A5"/>
    <w:rsid w:val="007C546F"/>
    <w:rsid w:val="007C5670"/>
    <w:rsid w:val="007C6565"/>
    <w:rsid w:val="007C6717"/>
    <w:rsid w:val="007C687F"/>
    <w:rsid w:val="007C7C71"/>
    <w:rsid w:val="007C7EBE"/>
    <w:rsid w:val="007D0861"/>
    <w:rsid w:val="007D16E5"/>
    <w:rsid w:val="007D1D0E"/>
    <w:rsid w:val="007D3D93"/>
    <w:rsid w:val="007D59BD"/>
    <w:rsid w:val="007D5F26"/>
    <w:rsid w:val="007D6343"/>
    <w:rsid w:val="007D6C67"/>
    <w:rsid w:val="007D6D39"/>
    <w:rsid w:val="007E010B"/>
    <w:rsid w:val="007E050F"/>
    <w:rsid w:val="007E07E2"/>
    <w:rsid w:val="007E0D9F"/>
    <w:rsid w:val="007E1F24"/>
    <w:rsid w:val="007E21BF"/>
    <w:rsid w:val="007E2B1A"/>
    <w:rsid w:val="007E2FC8"/>
    <w:rsid w:val="007E3C65"/>
    <w:rsid w:val="007E4FA6"/>
    <w:rsid w:val="007E5621"/>
    <w:rsid w:val="007E56A1"/>
    <w:rsid w:val="007E62F3"/>
    <w:rsid w:val="007E70E6"/>
    <w:rsid w:val="007E766B"/>
    <w:rsid w:val="007E7D1A"/>
    <w:rsid w:val="007F047B"/>
    <w:rsid w:val="007F13E0"/>
    <w:rsid w:val="007F1ADD"/>
    <w:rsid w:val="007F1B76"/>
    <w:rsid w:val="007F1E2C"/>
    <w:rsid w:val="007F22FA"/>
    <w:rsid w:val="007F2A11"/>
    <w:rsid w:val="007F2D34"/>
    <w:rsid w:val="007F47A3"/>
    <w:rsid w:val="007F5C60"/>
    <w:rsid w:val="007F693D"/>
    <w:rsid w:val="007F6A92"/>
    <w:rsid w:val="007F75CE"/>
    <w:rsid w:val="007F77A8"/>
    <w:rsid w:val="00800740"/>
    <w:rsid w:val="00800BA4"/>
    <w:rsid w:val="008019F6"/>
    <w:rsid w:val="00801F47"/>
    <w:rsid w:val="00802663"/>
    <w:rsid w:val="00802675"/>
    <w:rsid w:val="00802FC2"/>
    <w:rsid w:val="008031B5"/>
    <w:rsid w:val="00803989"/>
    <w:rsid w:val="00803F9F"/>
    <w:rsid w:val="00804154"/>
    <w:rsid w:val="008057A3"/>
    <w:rsid w:val="00805B21"/>
    <w:rsid w:val="0080733B"/>
    <w:rsid w:val="008077D5"/>
    <w:rsid w:val="008110C3"/>
    <w:rsid w:val="008114CA"/>
    <w:rsid w:val="00811F73"/>
    <w:rsid w:val="00812881"/>
    <w:rsid w:val="00812DA9"/>
    <w:rsid w:val="00812DBD"/>
    <w:rsid w:val="00812F4A"/>
    <w:rsid w:val="00813331"/>
    <w:rsid w:val="0081426B"/>
    <w:rsid w:val="00814518"/>
    <w:rsid w:val="00815C60"/>
    <w:rsid w:val="00815CA0"/>
    <w:rsid w:val="00815CA9"/>
    <w:rsid w:val="00815DE8"/>
    <w:rsid w:val="00816024"/>
    <w:rsid w:val="008163CB"/>
    <w:rsid w:val="008204DF"/>
    <w:rsid w:val="00820AD0"/>
    <w:rsid w:val="008218BA"/>
    <w:rsid w:val="0082237B"/>
    <w:rsid w:val="00824264"/>
    <w:rsid w:val="00826056"/>
    <w:rsid w:val="00827075"/>
    <w:rsid w:val="0083008D"/>
    <w:rsid w:val="0083113A"/>
    <w:rsid w:val="00831C9A"/>
    <w:rsid w:val="00832424"/>
    <w:rsid w:val="00832930"/>
    <w:rsid w:val="00832AF7"/>
    <w:rsid w:val="00832CE7"/>
    <w:rsid w:val="00833078"/>
    <w:rsid w:val="0083357F"/>
    <w:rsid w:val="00834B3D"/>
    <w:rsid w:val="00834DC6"/>
    <w:rsid w:val="00836066"/>
    <w:rsid w:val="00836989"/>
    <w:rsid w:val="0083787B"/>
    <w:rsid w:val="00837D1D"/>
    <w:rsid w:val="00837D91"/>
    <w:rsid w:val="0084071E"/>
    <w:rsid w:val="00840983"/>
    <w:rsid w:val="00841AB4"/>
    <w:rsid w:val="00842184"/>
    <w:rsid w:val="0084302C"/>
    <w:rsid w:val="0084443C"/>
    <w:rsid w:val="008447B3"/>
    <w:rsid w:val="00844967"/>
    <w:rsid w:val="00844DA5"/>
    <w:rsid w:val="00844E69"/>
    <w:rsid w:val="00845159"/>
    <w:rsid w:val="0084539B"/>
    <w:rsid w:val="00845CF6"/>
    <w:rsid w:val="00846198"/>
    <w:rsid w:val="00846632"/>
    <w:rsid w:val="00850104"/>
    <w:rsid w:val="00850CCB"/>
    <w:rsid w:val="00850FC5"/>
    <w:rsid w:val="00851429"/>
    <w:rsid w:val="00851AF2"/>
    <w:rsid w:val="00852903"/>
    <w:rsid w:val="00853517"/>
    <w:rsid w:val="008535FB"/>
    <w:rsid w:val="0085398F"/>
    <w:rsid w:val="00853EA2"/>
    <w:rsid w:val="00854345"/>
    <w:rsid w:val="0085570C"/>
    <w:rsid w:val="008566D2"/>
    <w:rsid w:val="00856EA0"/>
    <w:rsid w:val="008572F8"/>
    <w:rsid w:val="008579B0"/>
    <w:rsid w:val="008608A1"/>
    <w:rsid w:val="00860DE1"/>
    <w:rsid w:val="00861197"/>
    <w:rsid w:val="0086236B"/>
    <w:rsid w:val="008624CC"/>
    <w:rsid w:val="00862902"/>
    <w:rsid w:val="00862D1A"/>
    <w:rsid w:val="00863EF7"/>
    <w:rsid w:val="00864852"/>
    <w:rsid w:val="008657AD"/>
    <w:rsid w:val="008657F4"/>
    <w:rsid w:val="00866D90"/>
    <w:rsid w:val="00866DA5"/>
    <w:rsid w:val="008704D7"/>
    <w:rsid w:val="00871909"/>
    <w:rsid w:val="008722B4"/>
    <w:rsid w:val="008744AC"/>
    <w:rsid w:val="00874BE2"/>
    <w:rsid w:val="00875C42"/>
    <w:rsid w:val="008769C2"/>
    <w:rsid w:val="0087731D"/>
    <w:rsid w:val="00877C2F"/>
    <w:rsid w:val="00877D3D"/>
    <w:rsid w:val="00880D96"/>
    <w:rsid w:val="008827D6"/>
    <w:rsid w:val="00883A50"/>
    <w:rsid w:val="00883FA9"/>
    <w:rsid w:val="00884051"/>
    <w:rsid w:val="0088411F"/>
    <w:rsid w:val="008856D0"/>
    <w:rsid w:val="00885DDA"/>
    <w:rsid w:val="00885EA4"/>
    <w:rsid w:val="00885FFB"/>
    <w:rsid w:val="00887E21"/>
    <w:rsid w:val="0088F7F7"/>
    <w:rsid w:val="008903C2"/>
    <w:rsid w:val="0089099B"/>
    <w:rsid w:val="00891A7C"/>
    <w:rsid w:val="0089247F"/>
    <w:rsid w:val="008925AB"/>
    <w:rsid w:val="00892CB6"/>
    <w:rsid w:val="00893B24"/>
    <w:rsid w:val="0089407E"/>
    <w:rsid w:val="00894130"/>
    <w:rsid w:val="00894227"/>
    <w:rsid w:val="0089504A"/>
    <w:rsid w:val="0089602E"/>
    <w:rsid w:val="008A17A9"/>
    <w:rsid w:val="008A2259"/>
    <w:rsid w:val="008A2ACC"/>
    <w:rsid w:val="008A2BE4"/>
    <w:rsid w:val="008A2DF4"/>
    <w:rsid w:val="008A336D"/>
    <w:rsid w:val="008A3ED2"/>
    <w:rsid w:val="008A3FD7"/>
    <w:rsid w:val="008A4301"/>
    <w:rsid w:val="008A467D"/>
    <w:rsid w:val="008A4C7A"/>
    <w:rsid w:val="008A5111"/>
    <w:rsid w:val="008A5570"/>
    <w:rsid w:val="008A6881"/>
    <w:rsid w:val="008B045F"/>
    <w:rsid w:val="008B0D8B"/>
    <w:rsid w:val="008B1573"/>
    <w:rsid w:val="008B2876"/>
    <w:rsid w:val="008B2EC3"/>
    <w:rsid w:val="008B2FBB"/>
    <w:rsid w:val="008B33CA"/>
    <w:rsid w:val="008B3B20"/>
    <w:rsid w:val="008B5770"/>
    <w:rsid w:val="008B5EFF"/>
    <w:rsid w:val="008B6B57"/>
    <w:rsid w:val="008B7AEF"/>
    <w:rsid w:val="008C0CCA"/>
    <w:rsid w:val="008C1030"/>
    <w:rsid w:val="008C170D"/>
    <w:rsid w:val="008C2266"/>
    <w:rsid w:val="008C258D"/>
    <w:rsid w:val="008C3852"/>
    <w:rsid w:val="008C4624"/>
    <w:rsid w:val="008C6E80"/>
    <w:rsid w:val="008C712D"/>
    <w:rsid w:val="008C7170"/>
    <w:rsid w:val="008C748C"/>
    <w:rsid w:val="008C7D51"/>
    <w:rsid w:val="008D018D"/>
    <w:rsid w:val="008D088F"/>
    <w:rsid w:val="008D10E1"/>
    <w:rsid w:val="008D130C"/>
    <w:rsid w:val="008D1C45"/>
    <w:rsid w:val="008D1E0B"/>
    <w:rsid w:val="008D2CBC"/>
    <w:rsid w:val="008D2E1B"/>
    <w:rsid w:val="008D5A30"/>
    <w:rsid w:val="008D5EA5"/>
    <w:rsid w:val="008D6982"/>
    <w:rsid w:val="008D6CAD"/>
    <w:rsid w:val="008D78F1"/>
    <w:rsid w:val="008D7A9A"/>
    <w:rsid w:val="008E1D25"/>
    <w:rsid w:val="008E1F2C"/>
    <w:rsid w:val="008E2694"/>
    <w:rsid w:val="008E3FF3"/>
    <w:rsid w:val="008E4775"/>
    <w:rsid w:val="008E5816"/>
    <w:rsid w:val="008E5B27"/>
    <w:rsid w:val="008E611F"/>
    <w:rsid w:val="008E64C7"/>
    <w:rsid w:val="008E678E"/>
    <w:rsid w:val="008E6D61"/>
    <w:rsid w:val="008E7381"/>
    <w:rsid w:val="008E76E9"/>
    <w:rsid w:val="008E778E"/>
    <w:rsid w:val="008E7CB7"/>
    <w:rsid w:val="008E7D3A"/>
    <w:rsid w:val="008F2994"/>
    <w:rsid w:val="008F2DE8"/>
    <w:rsid w:val="008F30FD"/>
    <w:rsid w:val="008F3AD7"/>
    <w:rsid w:val="008F469E"/>
    <w:rsid w:val="008F4A70"/>
    <w:rsid w:val="008F4D73"/>
    <w:rsid w:val="008F51B1"/>
    <w:rsid w:val="008F6611"/>
    <w:rsid w:val="008F66D1"/>
    <w:rsid w:val="008F6C59"/>
    <w:rsid w:val="008F7C81"/>
    <w:rsid w:val="008FEE10"/>
    <w:rsid w:val="009009F9"/>
    <w:rsid w:val="00900B68"/>
    <w:rsid w:val="0090180E"/>
    <w:rsid w:val="0090191B"/>
    <w:rsid w:val="009022A9"/>
    <w:rsid w:val="00903085"/>
    <w:rsid w:val="00903A6F"/>
    <w:rsid w:val="00904576"/>
    <w:rsid w:val="00906266"/>
    <w:rsid w:val="009067C8"/>
    <w:rsid w:val="00906A2B"/>
    <w:rsid w:val="00907970"/>
    <w:rsid w:val="00907B57"/>
    <w:rsid w:val="00907BEB"/>
    <w:rsid w:val="00907EA1"/>
    <w:rsid w:val="0091178F"/>
    <w:rsid w:val="00911D04"/>
    <w:rsid w:val="00915219"/>
    <w:rsid w:val="009161F9"/>
    <w:rsid w:val="009170B4"/>
    <w:rsid w:val="00917371"/>
    <w:rsid w:val="00917A96"/>
    <w:rsid w:val="009207BC"/>
    <w:rsid w:val="0092114E"/>
    <w:rsid w:val="0092135A"/>
    <w:rsid w:val="00921CB1"/>
    <w:rsid w:val="00922784"/>
    <w:rsid w:val="00922B05"/>
    <w:rsid w:val="00923431"/>
    <w:rsid w:val="00923C7F"/>
    <w:rsid w:val="00924F67"/>
    <w:rsid w:val="009254CF"/>
    <w:rsid w:val="00925B83"/>
    <w:rsid w:val="00925DE4"/>
    <w:rsid w:val="009263FD"/>
    <w:rsid w:val="009272C4"/>
    <w:rsid w:val="00927431"/>
    <w:rsid w:val="0092D9BB"/>
    <w:rsid w:val="00930091"/>
    <w:rsid w:val="009313BF"/>
    <w:rsid w:val="00932463"/>
    <w:rsid w:val="009328FA"/>
    <w:rsid w:val="009333CB"/>
    <w:rsid w:val="00934758"/>
    <w:rsid w:val="00934ACF"/>
    <w:rsid w:val="009351B4"/>
    <w:rsid w:val="0093581E"/>
    <w:rsid w:val="0094066D"/>
    <w:rsid w:val="00940731"/>
    <w:rsid w:val="009418F3"/>
    <w:rsid w:val="00941C45"/>
    <w:rsid w:val="009423C7"/>
    <w:rsid w:val="009425DF"/>
    <w:rsid w:val="009428D0"/>
    <w:rsid w:val="00942BC1"/>
    <w:rsid w:val="009430DF"/>
    <w:rsid w:val="00943749"/>
    <w:rsid w:val="0094464D"/>
    <w:rsid w:val="00944688"/>
    <w:rsid w:val="00944CCC"/>
    <w:rsid w:val="0094591A"/>
    <w:rsid w:val="00945D9D"/>
    <w:rsid w:val="0094618B"/>
    <w:rsid w:val="00946862"/>
    <w:rsid w:val="00947D15"/>
    <w:rsid w:val="009500EE"/>
    <w:rsid w:val="0095096D"/>
    <w:rsid w:val="00950DC2"/>
    <w:rsid w:val="0095155B"/>
    <w:rsid w:val="0095160A"/>
    <w:rsid w:val="0095245A"/>
    <w:rsid w:val="0095247C"/>
    <w:rsid w:val="00952E60"/>
    <w:rsid w:val="009531E1"/>
    <w:rsid w:val="00953E0B"/>
    <w:rsid w:val="0095434D"/>
    <w:rsid w:val="0095479B"/>
    <w:rsid w:val="009558EB"/>
    <w:rsid w:val="00956B70"/>
    <w:rsid w:val="00957BB5"/>
    <w:rsid w:val="00960000"/>
    <w:rsid w:val="00960E45"/>
    <w:rsid w:val="009610C2"/>
    <w:rsid w:val="00961E64"/>
    <w:rsid w:val="009625FE"/>
    <w:rsid w:val="009629EA"/>
    <w:rsid w:val="00963C88"/>
    <w:rsid w:val="009659A7"/>
    <w:rsid w:val="009659E6"/>
    <w:rsid w:val="00965C27"/>
    <w:rsid w:val="00965CDD"/>
    <w:rsid w:val="0096620C"/>
    <w:rsid w:val="009664CB"/>
    <w:rsid w:val="0096650B"/>
    <w:rsid w:val="009666C9"/>
    <w:rsid w:val="009669F4"/>
    <w:rsid w:val="00967014"/>
    <w:rsid w:val="00967398"/>
    <w:rsid w:val="009673B2"/>
    <w:rsid w:val="00967438"/>
    <w:rsid w:val="00967C67"/>
    <w:rsid w:val="009702B7"/>
    <w:rsid w:val="00970BB9"/>
    <w:rsid w:val="00970D4E"/>
    <w:rsid w:val="00970E0A"/>
    <w:rsid w:val="00970E3D"/>
    <w:rsid w:val="00970FDD"/>
    <w:rsid w:val="009716F5"/>
    <w:rsid w:val="00972C1C"/>
    <w:rsid w:val="009733EB"/>
    <w:rsid w:val="00973601"/>
    <w:rsid w:val="00973912"/>
    <w:rsid w:val="009740C3"/>
    <w:rsid w:val="0097449F"/>
    <w:rsid w:val="009747F7"/>
    <w:rsid w:val="00974FA5"/>
    <w:rsid w:val="009753FE"/>
    <w:rsid w:val="00975EAE"/>
    <w:rsid w:val="00976424"/>
    <w:rsid w:val="009770B5"/>
    <w:rsid w:val="009771DA"/>
    <w:rsid w:val="00977C0E"/>
    <w:rsid w:val="00977FB7"/>
    <w:rsid w:val="00980BF3"/>
    <w:rsid w:val="00980CF1"/>
    <w:rsid w:val="00980DD5"/>
    <w:rsid w:val="009810A5"/>
    <w:rsid w:val="0098121F"/>
    <w:rsid w:val="00981379"/>
    <w:rsid w:val="009821C2"/>
    <w:rsid w:val="009827AF"/>
    <w:rsid w:val="009834E1"/>
    <w:rsid w:val="0098351C"/>
    <w:rsid w:val="00983A14"/>
    <w:rsid w:val="00984B12"/>
    <w:rsid w:val="00985017"/>
    <w:rsid w:val="00985327"/>
    <w:rsid w:val="009858C8"/>
    <w:rsid w:val="009863D0"/>
    <w:rsid w:val="0098683F"/>
    <w:rsid w:val="00986EB9"/>
    <w:rsid w:val="00987DD8"/>
    <w:rsid w:val="00990168"/>
    <w:rsid w:val="009907E9"/>
    <w:rsid w:val="009910DE"/>
    <w:rsid w:val="0099139C"/>
    <w:rsid w:val="00991D5C"/>
    <w:rsid w:val="00992509"/>
    <w:rsid w:val="00992BFD"/>
    <w:rsid w:val="00992FA0"/>
    <w:rsid w:val="009939BE"/>
    <w:rsid w:val="009941A8"/>
    <w:rsid w:val="009944D3"/>
    <w:rsid w:val="00994866"/>
    <w:rsid w:val="00994CBF"/>
    <w:rsid w:val="00994CCE"/>
    <w:rsid w:val="009957C5"/>
    <w:rsid w:val="00996347"/>
    <w:rsid w:val="00996B69"/>
    <w:rsid w:val="00996DAF"/>
    <w:rsid w:val="009973AB"/>
    <w:rsid w:val="009977E2"/>
    <w:rsid w:val="00997FBC"/>
    <w:rsid w:val="009A0D00"/>
    <w:rsid w:val="009A1C46"/>
    <w:rsid w:val="009A243C"/>
    <w:rsid w:val="009A2F93"/>
    <w:rsid w:val="009A4CCD"/>
    <w:rsid w:val="009A4FB3"/>
    <w:rsid w:val="009A5CD6"/>
    <w:rsid w:val="009A5F06"/>
    <w:rsid w:val="009A6A91"/>
    <w:rsid w:val="009A6B94"/>
    <w:rsid w:val="009A6DCC"/>
    <w:rsid w:val="009B20B3"/>
    <w:rsid w:val="009B288C"/>
    <w:rsid w:val="009B2FA1"/>
    <w:rsid w:val="009B4275"/>
    <w:rsid w:val="009B48E7"/>
    <w:rsid w:val="009B49F7"/>
    <w:rsid w:val="009B5C5C"/>
    <w:rsid w:val="009B6135"/>
    <w:rsid w:val="009B6AD1"/>
    <w:rsid w:val="009B7CAB"/>
    <w:rsid w:val="009C0A6C"/>
    <w:rsid w:val="009C1970"/>
    <w:rsid w:val="009C2D87"/>
    <w:rsid w:val="009C35CF"/>
    <w:rsid w:val="009C38D5"/>
    <w:rsid w:val="009C3955"/>
    <w:rsid w:val="009C3D23"/>
    <w:rsid w:val="009C3F19"/>
    <w:rsid w:val="009C44DB"/>
    <w:rsid w:val="009C6367"/>
    <w:rsid w:val="009C7E5C"/>
    <w:rsid w:val="009D03FE"/>
    <w:rsid w:val="009D0AE9"/>
    <w:rsid w:val="009D15E3"/>
    <w:rsid w:val="009D2CB5"/>
    <w:rsid w:val="009D3232"/>
    <w:rsid w:val="009D34B0"/>
    <w:rsid w:val="009D47E8"/>
    <w:rsid w:val="009D4953"/>
    <w:rsid w:val="009D4C52"/>
    <w:rsid w:val="009D57D9"/>
    <w:rsid w:val="009D5A46"/>
    <w:rsid w:val="009D60A4"/>
    <w:rsid w:val="009D6D37"/>
    <w:rsid w:val="009D7365"/>
    <w:rsid w:val="009D7AA4"/>
    <w:rsid w:val="009E00C9"/>
    <w:rsid w:val="009E2792"/>
    <w:rsid w:val="009E3075"/>
    <w:rsid w:val="009E3118"/>
    <w:rsid w:val="009E34D8"/>
    <w:rsid w:val="009E49BB"/>
    <w:rsid w:val="009E5BED"/>
    <w:rsid w:val="009E62A5"/>
    <w:rsid w:val="009E6BE3"/>
    <w:rsid w:val="009E7639"/>
    <w:rsid w:val="009E7A64"/>
    <w:rsid w:val="009F09C2"/>
    <w:rsid w:val="009F16A6"/>
    <w:rsid w:val="009F20FF"/>
    <w:rsid w:val="009F259B"/>
    <w:rsid w:val="009F2FF0"/>
    <w:rsid w:val="009F31CA"/>
    <w:rsid w:val="009F3B30"/>
    <w:rsid w:val="009F3E38"/>
    <w:rsid w:val="009F4215"/>
    <w:rsid w:val="009F5E7F"/>
    <w:rsid w:val="009F6214"/>
    <w:rsid w:val="009F6A40"/>
    <w:rsid w:val="00A01048"/>
    <w:rsid w:val="00A012E7"/>
    <w:rsid w:val="00A017AA"/>
    <w:rsid w:val="00A018E1"/>
    <w:rsid w:val="00A01921"/>
    <w:rsid w:val="00A01B69"/>
    <w:rsid w:val="00A01BE9"/>
    <w:rsid w:val="00A02C17"/>
    <w:rsid w:val="00A02CA7"/>
    <w:rsid w:val="00A02E58"/>
    <w:rsid w:val="00A0364F"/>
    <w:rsid w:val="00A038D5"/>
    <w:rsid w:val="00A03FDB"/>
    <w:rsid w:val="00A064E5"/>
    <w:rsid w:val="00A06A08"/>
    <w:rsid w:val="00A06CB6"/>
    <w:rsid w:val="00A07121"/>
    <w:rsid w:val="00A1054B"/>
    <w:rsid w:val="00A11243"/>
    <w:rsid w:val="00A1145D"/>
    <w:rsid w:val="00A119FF"/>
    <w:rsid w:val="00A1219D"/>
    <w:rsid w:val="00A1291F"/>
    <w:rsid w:val="00A13243"/>
    <w:rsid w:val="00A13BDC"/>
    <w:rsid w:val="00A14847"/>
    <w:rsid w:val="00A150B5"/>
    <w:rsid w:val="00A156B8"/>
    <w:rsid w:val="00A15C50"/>
    <w:rsid w:val="00A166EC"/>
    <w:rsid w:val="00A16B51"/>
    <w:rsid w:val="00A1781D"/>
    <w:rsid w:val="00A17848"/>
    <w:rsid w:val="00A17C2A"/>
    <w:rsid w:val="00A200E7"/>
    <w:rsid w:val="00A20B7F"/>
    <w:rsid w:val="00A21035"/>
    <w:rsid w:val="00A21146"/>
    <w:rsid w:val="00A2148E"/>
    <w:rsid w:val="00A215AF"/>
    <w:rsid w:val="00A217F4"/>
    <w:rsid w:val="00A22390"/>
    <w:rsid w:val="00A22B56"/>
    <w:rsid w:val="00A2327C"/>
    <w:rsid w:val="00A2369A"/>
    <w:rsid w:val="00A24E97"/>
    <w:rsid w:val="00A24F03"/>
    <w:rsid w:val="00A2646D"/>
    <w:rsid w:val="00A2647C"/>
    <w:rsid w:val="00A26D48"/>
    <w:rsid w:val="00A273A4"/>
    <w:rsid w:val="00A279E9"/>
    <w:rsid w:val="00A30B2E"/>
    <w:rsid w:val="00A30BFA"/>
    <w:rsid w:val="00A30C58"/>
    <w:rsid w:val="00A31070"/>
    <w:rsid w:val="00A31450"/>
    <w:rsid w:val="00A31A8A"/>
    <w:rsid w:val="00A31F2A"/>
    <w:rsid w:val="00A31F48"/>
    <w:rsid w:val="00A32075"/>
    <w:rsid w:val="00A32A7A"/>
    <w:rsid w:val="00A32AA5"/>
    <w:rsid w:val="00A334AB"/>
    <w:rsid w:val="00A3368D"/>
    <w:rsid w:val="00A339E5"/>
    <w:rsid w:val="00A34CE1"/>
    <w:rsid w:val="00A36D06"/>
    <w:rsid w:val="00A36EC3"/>
    <w:rsid w:val="00A373FA"/>
    <w:rsid w:val="00A37F5E"/>
    <w:rsid w:val="00A40E5F"/>
    <w:rsid w:val="00A41494"/>
    <w:rsid w:val="00A4158E"/>
    <w:rsid w:val="00A42225"/>
    <w:rsid w:val="00A44310"/>
    <w:rsid w:val="00A44ECB"/>
    <w:rsid w:val="00A46DA9"/>
    <w:rsid w:val="00A473F4"/>
    <w:rsid w:val="00A4758E"/>
    <w:rsid w:val="00A476F4"/>
    <w:rsid w:val="00A508A9"/>
    <w:rsid w:val="00A5198D"/>
    <w:rsid w:val="00A521CF"/>
    <w:rsid w:val="00A52AA4"/>
    <w:rsid w:val="00A54EFF"/>
    <w:rsid w:val="00A55688"/>
    <w:rsid w:val="00A55902"/>
    <w:rsid w:val="00A56145"/>
    <w:rsid w:val="00A565C7"/>
    <w:rsid w:val="00A576F5"/>
    <w:rsid w:val="00A57D5A"/>
    <w:rsid w:val="00A60A64"/>
    <w:rsid w:val="00A60D9D"/>
    <w:rsid w:val="00A6174F"/>
    <w:rsid w:val="00A61A16"/>
    <w:rsid w:val="00A61CE7"/>
    <w:rsid w:val="00A623F2"/>
    <w:rsid w:val="00A62A04"/>
    <w:rsid w:val="00A62C3D"/>
    <w:rsid w:val="00A634CA"/>
    <w:rsid w:val="00A639DF"/>
    <w:rsid w:val="00A63C6D"/>
    <w:rsid w:val="00A63F4A"/>
    <w:rsid w:val="00A649A4"/>
    <w:rsid w:val="00A64A6B"/>
    <w:rsid w:val="00A6579F"/>
    <w:rsid w:val="00A65B87"/>
    <w:rsid w:val="00A65F85"/>
    <w:rsid w:val="00A66D75"/>
    <w:rsid w:val="00A67BA2"/>
    <w:rsid w:val="00A7006A"/>
    <w:rsid w:val="00A711C8"/>
    <w:rsid w:val="00A71E86"/>
    <w:rsid w:val="00A7243D"/>
    <w:rsid w:val="00A727C6"/>
    <w:rsid w:val="00A74432"/>
    <w:rsid w:val="00A757E3"/>
    <w:rsid w:val="00A75F18"/>
    <w:rsid w:val="00A77B17"/>
    <w:rsid w:val="00A80465"/>
    <w:rsid w:val="00A80BFE"/>
    <w:rsid w:val="00A810F6"/>
    <w:rsid w:val="00A81246"/>
    <w:rsid w:val="00A82240"/>
    <w:rsid w:val="00A8224E"/>
    <w:rsid w:val="00A82BD2"/>
    <w:rsid w:val="00A83F26"/>
    <w:rsid w:val="00A85027"/>
    <w:rsid w:val="00A85EDC"/>
    <w:rsid w:val="00A85F28"/>
    <w:rsid w:val="00A86D07"/>
    <w:rsid w:val="00A87DDA"/>
    <w:rsid w:val="00A900D4"/>
    <w:rsid w:val="00A90B80"/>
    <w:rsid w:val="00A91044"/>
    <w:rsid w:val="00A91EE3"/>
    <w:rsid w:val="00A92346"/>
    <w:rsid w:val="00A92668"/>
    <w:rsid w:val="00A92932"/>
    <w:rsid w:val="00A930B3"/>
    <w:rsid w:val="00A93334"/>
    <w:rsid w:val="00A93AFF"/>
    <w:rsid w:val="00A941D6"/>
    <w:rsid w:val="00A94609"/>
    <w:rsid w:val="00A94AF2"/>
    <w:rsid w:val="00A94D3B"/>
    <w:rsid w:val="00A9537E"/>
    <w:rsid w:val="00A953AC"/>
    <w:rsid w:val="00A97CFF"/>
    <w:rsid w:val="00AA0DAC"/>
    <w:rsid w:val="00AA1229"/>
    <w:rsid w:val="00AA1CE8"/>
    <w:rsid w:val="00AA32AF"/>
    <w:rsid w:val="00AA3434"/>
    <w:rsid w:val="00AA3BDA"/>
    <w:rsid w:val="00AA3D0C"/>
    <w:rsid w:val="00AA4BB1"/>
    <w:rsid w:val="00AA5491"/>
    <w:rsid w:val="00AA626E"/>
    <w:rsid w:val="00AA6C09"/>
    <w:rsid w:val="00AA7766"/>
    <w:rsid w:val="00AA7CB6"/>
    <w:rsid w:val="00AA7E0A"/>
    <w:rsid w:val="00AB02E0"/>
    <w:rsid w:val="00AB25CB"/>
    <w:rsid w:val="00AB32E3"/>
    <w:rsid w:val="00AB36F1"/>
    <w:rsid w:val="00AB4CCF"/>
    <w:rsid w:val="00AB4D28"/>
    <w:rsid w:val="00AB510F"/>
    <w:rsid w:val="00AB5B71"/>
    <w:rsid w:val="00AB5B92"/>
    <w:rsid w:val="00AB6514"/>
    <w:rsid w:val="00AB683E"/>
    <w:rsid w:val="00AB76C1"/>
    <w:rsid w:val="00AC019D"/>
    <w:rsid w:val="00AC043A"/>
    <w:rsid w:val="00AC12C8"/>
    <w:rsid w:val="00AC13B7"/>
    <w:rsid w:val="00AC1441"/>
    <w:rsid w:val="00AC2440"/>
    <w:rsid w:val="00AC34C6"/>
    <w:rsid w:val="00AC35FB"/>
    <w:rsid w:val="00AC43B9"/>
    <w:rsid w:val="00AC4544"/>
    <w:rsid w:val="00AC471A"/>
    <w:rsid w:val="00AC4C39"/>
    <w:rsid w:val="00AC5A13"/>
    <w:rsid w:val="00AC653D"/>
    <w:rsid w:val="00AC6590"/>
    <w:rsid w:val="00AC7482"/>
    <w:rsid w:val="00AD2B2E"/>
    <w:rsid w:val="00AD2BE3"/>
    <w:rsid w:val="00AD2D04"/>
    <w:rsid w:val="00AD2F1B"/>
    <w:rsid w:val="00AD347F"/>
    <w:rsid w:val="00AD36BC"/>
    <w:rsid w:val="00AD4DD1"/>
    <w:rsid w:val="00AD4F6B"/>
    <w:rsid w:val="00AD5AC8"/>
    <w:rsid w:val="00AD6180"/>
    <w:rsid w:val="00AD6323"/>
    <w:rsid w:val="00AD69CF"/>
    <w:rsid w:val="00AD72C5"/>
    <w:rsid w:val="00AD747A"/>
    <w:rsid w:val="00AD7659"/>
    <w:rsid w:val="00AE004C"/>
    <w:rsid w:val="00AE0203"/>
    <w:rsid w:val="00AE1A2B"/>
    <w:rsid w:val="00AE1FCE"/>
    <w:rsid w:val="00AE201F"/>
    <w:rsid w:val="00AE255A"/>
    <w:rsid w:val="00AE279B"/>
    <w:rsid w:val="00AE36A0"/>
    <w:rsid w:val="00AE3FC1"/>
    <w:rsid w:val="00AE427C"/>
    <w:rsid w:val="00AE4528"/>
    <w:rsid w:val="00AE4795"/>
    <w:rsid w:val="00AE4BAC"/>
    <w:rsid w:val="00AE5856"/>
    <w:rsid w:val="00AE594F"/>
    <w:rsid w:val="00AE68A1"/>
    <w:rsid w:val="00AE6ED2"/>
    <w:rsid w:val="00AF04E9"/>
    <w:rsid w:val="00AF1F92"/>
    <w:rsid w:val="00AF23FE"/>
    <w:rsid w:val="00AF37E4"/>
    <w:rsid w:val="00AF4613"/>
    <w:rsid w:val="00AF4D72"/>
    <w:rsid w:val="00AF5869"/>
    <w:rsid w:val="00AF60DB"/>
    <w:rsid w:val="00B005DF"/>
    <w:rsid w:val="00B00A1D"/>
    <w:rsid w:val="00B00A97"/>
    <w:rsid w:val="00B01465"/>
    <w:rsid w:val="00B01530"/>
    <w:rsid w:val="00B01CFB"/>
    <w:rsid w:val="00B0206B"/>
    <w:rsid w:val="00B02B8C"/>
    <w:rsid w:val="00B04399"/>
    <w:rsid w:val="00B0530D"/>
    <w:rsid w:val="00B0629E"/>
    <w:rsid w:val="00B07513"/>
    <w:rsid w:val="00B077E3"/>
    <w:rsid w:val="00B07AED"/>
    <w:rsid w:val="00B10495"/>
    <w:rsid w:val="00B10A67"/>
    <w:rsid w:val="00B12447"/>
    <w:rsid w:val="00B13FD8"/>
    <w:rsid w:val="00B1428E"/>
    <w:rsid w:val="00B1444D"/>
    <w:rsid w:val="00B14588"/>
    <w:rsid w:val="00B14CAD"/>
    <w:rsid w:val="00B14EF0"/>
    <w:rsid w:val="00B154F0"/>
    <w:rsid w:val="00B155B8"/>
    <w:rsid w:val="00B1632D"/>
    <w:rsid w:val="00B168D8"/>
    <w:rsid w:val="00B17AAB"/>
    <w:rsid w:val="00B20A49"/>
    <w:rsid w:val="00B20D63"/>
    <w:rsid w:val="00B20EF9"/>
    <w:rsid w:val="00B2115E"/>
    <w:rsid w:val="00B2191C"/>
    <w:rsid w:val="00B22CAB"/>
    <w:rsid w:val="00B22DDF"/>
    <w:rsid w:val="00B234CB"/>
    <w:rsid w:val="00B23C68"/>
    <w:rsid w:val="00B23E2B"/>
    <w:rsid w:val="00B24E76"/>
    <w:rsid w:val="00B25136"/>
    <w:rsid w:val="00B251A8"/>
    <w:rsid w:val="00B2599C"/>
    <w:rsid w:val="00B25F34"/>
    <w:rsid w:val="00B26023"/>
    <w:rsid w:val="00B26138"/>
    <w:rsid w:val="00B303E5"/>
    <w:rsid w:val="00B30B39"/>
    <w:rsid w:val="00B3108B"/>
    <w:rsid w:val="00B31A20"/>
    <w:rsid w:val="00B31C7A"/>
    <w:rsid w:val="00B32057"/>
    <w:rsid w:val="00B32AD8"/>
    <w:rsid w:val="00B33274"/>
    <w:rsid w:val="00B33FC2"/>
    <w:rsid w:val="00B343A9"/>
    <w:rsid w:val="00B3529F"/>
    <w:rsid w:val="00B364F8"/>
    <w:rsid w:val="00B3729B"/>
    <w:rsid w:val="00B41101"/>
    <w:rsid w:val="00B4248D"/>
    <w:rsid w:val="00B4380C"/>
    <w:rsid w:val="00B43B26"/>
    <w:rsid w:val="00B44FA3"/>
    <w:rsid w:val="00B469BB"/>
    <w:rsid w:val="00B504B7"/>
    <w:rsid w:val="00B5088D"/>
    <w:rsid w:val="00B50F46"/>
    <w:rsid w:val="00B5139B"/>
    <w:rsid w:val="00B513F8"/>
    <w:rsid w:val="00B51DA6"/>
    <w:rsid w:val="00B5375E"/>
    <w:rsid w:val="00B53DE8"/>
    <w:rsid w:val="00B548D9"/>
    <w:rsid w:val="00B54DE7"/>
    <w:rsid w:val="00B553CF"/>
    <w:rsid w:val="00B55A5D"/>
    <w:rsid w:val="00B55FFA"/>
    <w:rsid w:val="00B56D79"/>
    <w:rsid w:val="00B5727E"/>
    <w:rsid w:val="00B575CC"/>
    <w:rsid w:val="00B576F6"/>
    <w:rsid w:val="00B57BA4"/>
    <w:rsid w:val="00B60A40"/>
    <w:rsid w:val="00B6132B"/>
    <w:rsid w:val="00B63CC4"/>
    <w:rsid w:val="00B645AB"/>
    <w:rsid w:val="00B64FD0"/>
    <w:rsid w:val="00B6636A"/>
    <w:rsid w:val="00B67CB1"/>
    <w:rsid w:val="00B70861"/>
    <w:rsid w:val="00B70C1B"/>
    <w:rsid w:val="00B71215"/>
    <w:rsid w:val="00B71230"/>
    <w:rsid w:val="00B7125B"/>
    <w:rsid w:val="00B71D7A"/>
    <w:rsid w:val="00B71EA9"/>
    <w:rsid w:val="00B71FA2"/>
    <w:rsid w:val="00B72770"/>
    <w:rsid w:val="00B74267"/>
    <w:rsid w:val="00B76378"/>
    <w:rsid w:val="00B763A4"/>
    <w:rsid w:val="00B76634"/>
    <w:rsid w:val="00B76A22"/>
    <w:rsid w:val="00B77004"/>
    <w:rsid w:val="00B77933"/>
    <w:rsid w:val="00B814BE"/>
    <w:rsid w:val="00B81BF0"/>
    <w:rsid w:val="00B8251B"/>
    <w:rsid w:val="00B82988"/>
    <w:rsid w:val="00B82F12"/>
    <w:rsid w:val="00B82FFE"/>
    <w:rsid w:val="00B83292"/>
    <w:rsid w:val="00B83DB8"/>
    <w:rsid w:val="00B83F9C"/>
    <w:rsid w:val="00B85133"/>
    <w:rsid w:val="00B87BA9"/>
    <w:rsid w:val="00B91D19"/>
    <w:rsid w:val="00B91F80"/>
    <w:rsid w:val="00B92D18"/>
    <w:rsid w:val="00B9333C"/>
    <w:rsid w:val="00B946F8"/>
    <w:rsid w:val="00B94B54"/>
    <w:rsid w:val="00B9509F"/>
    <w:rsid w:val="00B95B59"/>
    <w:rsid w:val="00B95D93"/>
    <w:rsid w:val="00B96970"/>
    <w:rsid w:val="00B972BF"/>
    <w:rsid w:val="00B97B2F"/>
    <w:rsid w:val="00B97DF5"/>
    <w:rsid w:val="00BA0735"/>
    <w:rsid w:val="00BA086A"/>
    <w:rsid w:val="00BA1503"/>
    <w:rsid w:val="00BA160D"/>
    <w:rsid w:val="00BA2463"/>
    <w:rsid w:val="00BA2A80"/>
    <w:rsid w:val="00BA4FDA"/>
    <w:rsid w:val="00BA5579"/>
    <w:rsid w:val="00BA5F06"/>
    <w:rsid w:val="00BA60EF"/>
    <w:rsid w:val="00BA6B09"/>
    <w:rsid w:val="00BA6FE7"/>
    <w:rsid w:val="00BA751A"/>
    <w:rsid w:val="00BA752A"/>
    <w:rsid w:val="00BA7771"/>
    <w:rsid w:val="00BA7FA2"/>
    <w:rsid w:val="00BB0893"/>
    <w:rsid w:val="00BB0B8E"/>
    <w:rsid w:val="00BB0C9F"/>
    <w:rsid w:val="00BB1A51"/>
    <w:rsid w:val="00BB268D"/>
    <w:rsid w:val="00BB3520"/>
    <w:rsid w:val="00BB4668"/>
    <w:rsid w:val="00BB563E"/>
    <w:rsid w:val="00BB5FD3"/>
    <w:rsid w:val="00BB6576"/>
    <w:rsid w:val="00BB6F63"/>
    <w:rsid w:val="00BB7A2A"/>
    <w:rsid w:val="00BB7ED9"/>
    <w:rsid w:val="00BC14EB"/>
    <w:rsid w:val="00BC1C72"/>
    <w:rsid w:val="00BC2009"/>
    <w:rsid w:val="00BC2C3A"/>
    <w:rsid w:val="00BC2C57"/>
    <w:rsid w:val="00BC4249"/>
    <w:rsid w:val="00BC4273"/>
    <w:rsid w:val="00BC4948"/>
    <w:rsid w:val="00BC5532"/>
    <w:rsid w:val="00BC590B"/>
    <w:rsid w:val="00BC5F40"/>
    <w:rsid w:val="00BC5FDF"/>
    <w:rsid w:val="00BC612C"/>
    <w:rsid w:val="00BC65DE"/>
    <w:rsid w:val="00BC6881"/>
    <w:rsid w:val="00BC7525"/>
    <w:rsid w:val="00BD336E"/>
    <w:rsid w:val="00BD376E"/>
    <w:rsid w:val="00BD4997"/>
    <w:rsid w:val="00BD5A56"/>
    <w:rsid w:val="00BD5BF0"/>
    <w:rsid w:val="00BD5C0B"/>
    <w:rsid w:val="00BD6727"/>
    <w:rsid w:val="00BD679F"/>
    <w:rsid w:val="00BD6B3A"/>
    <w:rsid w:val="00BD728F"/>
    <w:rsid w:val="00BE04F8"/>
    <w:rsid w:val="00BE091B"/>
    <w:rsid w:val="00BE0BDF"/>
    <w:rsid w:val="00BE17DC"/>
    <w:rsid w:val="00BE570D"/>
    <w:rsid w:val="00BE75CF"/>
    <w:rsid w:val="00BE798E"/>
    <w:rsid w:val="00BE7A0E"/>
    <w:rsid w:val="00BF0444"/>
    <w:rsid w:val="00BF0719"/>
    <w:rsid w:val="00BF0B1C"/>
    <w:rsid w:val="00BF0C8F"/>
    <w:rsid w:val="00BF1479"/>
    <w:rsid w:val="00BF270D"/>
    <w:rsid w:val="00BF2711"/>
    <w:rsid w:val="00BF2E1C"/>
    <w:rsid w:val="00BF3020"/>
    <w:rsid w:val="00BF3049"/>
    <w:rsid w:val="00BF3166"/>
    <w:rsid w:val="00BF341E"/>
    <w:rsid w:val="00BF49A4"/>
    <w:rsid w:val="00BF7376"/>
    <w:rsid w:val="00BF7AEB"/>
    <w:rsid w:val="00C00161"/>
    <w:rsid w:val="00C01D6B"/>
    <w:rsid w:val="00C022EA"/>
    <w:rsid w:val="00C052C3"/>
    <w:rsid w:val="00C05572"/>
    <w:rsid w:val="00C05E2F"/>
    <w:rsid w:val="00C065F7"/>
    <w:rsid w:val="00C06804"/>
    <w:rsid w:val="00C06C15"/>
    <w:rsid w:val="00C07A84"/>
    <w:rsid w:val="00C10436"/>
    <w:rsid w:val="00C10A69"/>
    <w:rsid w:val="00C10B0E"/>
    <w:rsid w:val="00C1232B"/>
    <w:rsid w:val="00C123F4"/>
    <w:rsid w:val="00C12525"/>
    <w:rsid w:val="00C12DDB"/>
    <w:rsid w:val="00C13077"/>
    <w:rsid w:val="00C135B4"/>
    <w:rsid w:val="00C13A59"/>
    <w:rsid w:val="00C140A6"/>
    <w:rsid w:val="00C15E63"/>
    <w:rsid w:val="00C167FF"/>
    <w:rsid w:val="00C17D06"/>
    <w:rsid w:val="00C204D8"/>
    <w:rsid w:val="00C2191C"/>
    <w:rsid w:val="00C2359E"/>
    <w:rsid w:val="00C24964"/>
    <w:rsid w:val="00C258DC"/>
    <w:rsid w:val="00C26AAC"/>
    <w:rsid w:val="00C26D2C"/>
    <w:rsid w:val="00C27316"/>
    <w:rsid w:val="00C30BD7"/>
    <w:rsid w:val="00C31CA4"/>
    <w:rsid w:val="00C333EA"/>
    <w:rsid w:val="00C333F2"/>
    <w:rsid w:val="00C3450E"/>
    <w:rsid w:val="00C34F51"/>
    <w:rsid w:val="00C35890"/>
    <w:rsid w:val="00C35A67"/>
    <w:rsid w:val="00C35E5F"/>
    <w:rsid w:val="00C37222"/>
    <w:rsid w:val="00C3731F"/>
    <w:rsid w:val="00C37DEA"/>
    <w:rsid w:val="00C4022B"/>
    <w:rsid w:val="00C407C6"/>
    <w:rsid w:val="00C41392"/>
    <w:rsid w:val="00C414FA"/>
    <w:rsid w:val="00C41AB1"/>
    <w:rsid w:val="00C45AF5"/>
    <w:rsid w:val="00C46567"/>
    <w:rsid w:val="00C47ACA"/>
    <w:rsid w:val="00C5026D"/>
    <w:rsid w:val="00C50734"/>
    <w:rsid w:val="00C51125"/>
    <w:rsid w:val="00C536E2"/>
    <w:rsid w:val="00C54195"/>
    <w:rsid w:val="00C5427A"/>
    <w:rsid w:val="00C5501A"/>
    <w:rsid w:val="00C55120"/>
    <w:rsid w:val="00C56318"/>
    <w:rsid w:val="00C56DF6"/>
    <w:rsid w:val="00C57E27"/>
    <w:rsid w:val="00C608A2"/>
    <w:rsid w:val="00C61730"/>
    <w:rsid w:val="00C625E7"/>
    <w:rsid w:val="00C62F5B"/>
    <w:rsid w:val="00C6316C"/>
    <w:rsid w:val="00C63317"/>
    <w:rsid w:val="00C634C3"/>
    <w:rsid w:val="00C63952"/>
    <w:rsid w:val="00C63C38"/>
    <w:rsid w:val="00C640DD"/>
    <w:rsid w:val="00C6465F"/>
    <w:rsid w:val="00C64901"/>
    <w:rsid w:val="00C64A59"/>
    <w:rsid w:val="00C64B04"/>
    <w:rsid w:val="00C655D5"/>
    <w:rsid w:val="00C65A37"/>
    <w:rsid w:val="00C65A71"/>
    <w:rsid w:val="00C66497"/>
    <w:rsid w:val="00C66B98"/>
    <w:rsid w:val="00C6705D"/>
    <w:rsid w:val="00C671F9"/>
    <w:rsid w:val="00C674A4"/>
    <w:rsid w:val="00C7158F"/>
    <w:rsid w:val="00C72113"/>
    <w:rsid w:val="00C72EBC"/>
    <w:rsid w:val="00C739E6"/>
    <w:rsid w:val="00C73DAC"/>
    <w:rsid w:val="00C74F03"/>
    <w:rsid w:val="00C75027"/>
    <w:rsid w:val="00C75D30"/>
    <w:rsid w:val="00C762E9"/>
    <w:rsid w:val="00C8120D"/>
    <w:rsid w:val="00C81515"/>
    <w:rsid w:val="00C81BC5"/>
    <w:rsid w:val="00C82221"/>
    <w:rsid w:val="00C82660"/>
    <w:rsid w:val="00C828E6"/>
    <w:rsid w:val="00C82EA6"/>
    <w:rsid w:val="00C838CC"/>
    <w:rsid w:val="00C83920"/>
    <w:rsid w:val="00C83B6A"/>
    <w:rsid w:val="00C83E92"/>
    <w:rsid w:val="00C8437E"/>
    <w:rsid w:val="00C844AB"/>
    <w:rsid w:val="00C84642"/>
    <w:rsid w:val="00C8547E"/>
    <w:rsid w:val="00C85792"/>
    <w:rsid w:val="00C85970"/>
    <w:rsid w:val="00C85C85"/>
    <w:rsid w:val="00C8680D"/>
    <w:rsid w:val="00C86BE9"/>
    <w:rsid w:val="00C87A35"/>
    <w:rsid w:val="00C90910"/>
    <w:rsid w:val="00C90962"/>
    <w:rsid w:val="00C9215D"/>
    <w:rsid w:val="00C927E2"/>
    <w:rsid w:val="00C93305"/>
    <w:rsid w:val="00C934CF"/>
    <w:rsid w:val="00C94C89"/>
    <w:rsid w:val="00C957FB"/>
    <w:rsid w:val="00C967AD"/>
    <w:rsid w:val="00C96AF6"/>
    <w:rsid w:val="00C970E2"/>
    <w:rsid w:val="00C97746"/>
    <w:rsid w:val="00CA001E"/>
    <w:rsid w:val="00CA0237"/>
    <w:rsid w:val="00CA052E"/>
    <w:rsid w:val="00CA09F0"/>
    <w:rsid w:val="00CA0C94"/>
    <w:rsid w:val="00CA1348"/>
    <w:rsid w:val="00CA2BA4"/>
    <w:rsid w:val="00CA35F3"/>
    <w:rsid w:val="00CA4388"/>
    <w:rsid w:val="00CA48E0"/>
    <w:rsid w:val="00CA5604"/>
    <w:rsid w:val="00CA5828"/>
    <w:rsid w:val="00CA61D1"/>
    <w:rsid w:val="00CA65A8"/>
    <w:rsid w:val="00CA7287"/>
    <w:rsid w:val="00CA7E80"/>
    <w:rsid w:val="00CB10DF"/>
    <w:rsid w:val="00CB123E"/>
    <w:rsid w:val="00CB1C0C"/>
    <w:rsid w:val="00CB3599"/>
    <w:rsid w:val="00CB3F5B"/>
    <w:rsid w:val="00CB3FC9"/>
    <w:rsid w:val="00CB4184"/>
    <w:rsid w:val="00CB4269"/>
    <w:rsid w:val="00CB45B1"/>
    <w:rsid w:val="00CB45C1"/>
    <w:rsid w:val="00CB5AE2"/>
    <w:rsid w:val="00CB6EEA"/>
    <w:rsid w:val="00CB7660"/>
    <w:rsid w:val="00CB7768"/>
    <w:rsid w:val="00CC032B"/>
    <w:rsid w:val="00CC0368"/>
    <w:rsid w:val="00CC074A"/>
    <w:rsid w:val="00CC0AAF"/>
    <w:rsid w:val="00CC0B9E"/>
    <w:rsid w:val="00CC10B5"/>
    <w:rsid w:val="00CC14EF"/>
    <w:rsid w:val="00CC16EB"/>
    <w:rsid w:val="00CC1F2E"/>
    <w:rsid w:val="00CC20B1"/>
    <w:rsid w:val="00CC28FB"/>
    <w:rsid w:val="00CC376B"/>
    <w:rsid w:val="00CC393A"/>
    <w:rsid w:val="00CC441C"/>
    <w:rsid w:val="00CC61B5"/>
    <w:rsid w:val="00CC6BDD"/>
    <w:rsid w:val="00CD0E64"/>
    <w:rsid w:val="00CD16AA"/>
    <w:rsid w:val="00CD1B6D"/>
    <w:rsid w:val="00CD1E90"/>
    <w:rsid w:val="00CD2147"/>
    <w:rsid w:val="00CD25A8"/>
    <w:rsid w:val="00CD40AE"/>
    <w:rsid w:val="00CD4711"/>
    <w:rsid w:val="00CD595A"/>
    <w:rsid w:val="00CD5F7F"/>
    <w:rsid w:val="00CD6497"/>
    <w:rsid w:val="00CD6576"/>
    <w:rsid w:val="00CD765A"/>
    <w:rsid w:val="00CE02FC"/>
    <w:rsid w:val="00CE0304"/>
    <w:rsid w:val="00CE184C"/>
    <w:rsid w:val="00CE1AEC"/>
    <w:rsid w:val="00CE20BE"/>
    <w:rsid w:val="00CE2C33"/>
    <w:rsid w:val="00CE33E6"/>
    <w:rsid w:val="00CE4074"/>
    <w:rsid w:val="00CE47AD"/>
    <w:rsid w:val="00CE5E58"/>
    <w:rsid w:val="00CE7141"/>
    <w:rsid w:val="00CE715A"/>
    <w:rsid w:val="00CE7607"/>
    <w:rsid w:val="00CE7BDD"/>
    <w:rsid w:val="00CE7E2E"/>
    <w:rsid w:val="00CF0834"/>
    <w:rsid w:val="00CF3BD0"/>
    <w:rsid w:val="00CF401A"/>
    <w:rsid w:val="00CF653F"/>
    <w:rsid w:val="00CF6C3A"/>
    <w:rsid w:val="00D000BD"/>
    <w:rsid w:val="00D004BA"/>
    <w:rsid w:val="00D019A6"/>
    <w:rsid w:val="00D01BB0"/>
    <w:rsid w:val="00D01BB7"/>
    <w:rsid w:val="00D03765"/>
    <w:rsid w:val="00D046F5"/>
    <w:rsid w:val="00D0478F"/>
    <w:rsid w:val="00D04CE8"/>
    <w:rsid w:val="00D05855"/>
    <w:rsid w:val="00D05BA9"/>
    <w:rsid w:val="00D05EA1"/>
    <w:rsid w:val="00D06CE6"/>
    <w:rsid w:val="00D10720"/>
    <w:rsid w:val="00D10FCF"/>
    <w:rsid w:val="00D11708"/>
    <w:rsid w:val="00D11E2A"/>
    <w:rsid w:val="00D12B5B"/>
    <w:rsid w:val="00D135B3"/>
    <w:rsid w:val="00D136C9"/>
    <w:rsid w:val="00D142EF"/>
    <w:rsid w:val="00D14D76"/>
    <w:rsid w:val="00D163B1"/>
    <w:rsid w:val="00D16F3C"/>
    <w:rsid w:val="00D17123"/>
    <w:rsid w:val="00D174CC"/>
    <w:rsid w:val="00D202E8"/>
    <w:rsid w:val="00D20D67"/>
    <w:rsid w:val="00D2163B"/>
    <w:rsid w:val="00D21655"/>
    <w:rsid w:val="00D23567"/>
    <w:rsid w:val="00D24404"/>
    <w:rsid w:val="00D245E5"/>
    <w:rsid w:val="00D24DEB"/>
    <w:rsid w:val="00D252CD"/>
    <w:rsid w:val="00D258F9"/>
    <w:rsid w:val="00D3075C"/>
    <w:rsid w:val="00D311D3"/>
    <w:rsid w:val="00D31B5C"/>
    <w:rsid w:val="00D31CC4"/>
    <w:rsid w:val="00D32355"/>
    <w:rsid w:val="00D325CB"/>
    <w:rsid w:val="00D329C0"/>
    <w:rsid w:val="00D329F1"/>
    <w:rsid w:val="00D33103"/>
    <w:rsid w:val="00D33214"/>
    <w:rsid w:val="00D333F0"/>
    <w:rsid w:val="00D334DB"/>
    <w:rsid w:val="00D3357C"/>
    <w:rsid w:val="00D33736"/>
    <w:rsid w:val="00D3385D"/>
    <w:rsid w:val="00D33D43"/>
    <w:rsid w:val="00D34953"/>
    <w:rsid w:val="00D350CB"/>
    <w:rsid w:val="00D36BEE"/>
    <w:rsid w:val="00D371C3"/>
    <w:rsid w:val="00D37233"/>
    <w:rsid w:val="00D372C5"/>
    <w:rsid w:val="00D375BC"/>
    <w:rsid w:val="00D37686"/>
    <w:rsid w:val="00D37A08"/>
    <w:rsid w:val="00D4006E"/>
    <w:rsid w:val="00D40967"/>
    <w:rsid w:val="00D421BB"/>
    <w:rsid w:val="00D4443A"/>
    <w:rsid w:val="00D44DA5"/>
    <w:rsid w:val="00D45367"/>
    <w:rsid w:val="00D45B9C"/>
    <w:rsid w:val="00D47048"/>
    <w:rsid w:val="00D5039D"/>
    <w:rsid w:val="00D50420"/>
    <w:rsid w:val="00D52102"/>
    <w:rsid w:val="00D54ACE"/>
    <w:rsid w:val="00D54DCB"/>
    <w:rsid w:val="00D54FBE"/>
    <w:rsid w:val="00D55532"/>
    <w:rsid w:val="00D57234"/>
    <w:rsid w:val="00D57F32"/>
    <w:rsid w:val="00D601CE"/>
    <w:rsid w:val="00D6036D"/>
    <w:rsid w:val="00D605EC"/>
    <w:rsid w:val="00D6175E"/>
    <w:rsid w:val="00D617EC"/>
    <w:rsid w:val="00D61801"/>
    <w:rsid w:val="00D62121"/>
    <w:rsid w:val="00D62226"/>
    <w:rsid w:val="00D63864"/>
    <w:rsid w:val="00D638B3"/>
    <w:rsid w:val="00D64BCC"/>
    <w:rsid w:val="00D65A57"/>
    <w:rsid w:val="00D65DFE"/>
    <w:rsid w:val="00D65FCD"/>
    <w:rsid w:val="00D677EA"/>
    <w:rsid w:val="00D70FE6"/>
    <w:rsid w:val="00D71043"/>
    <w:rsid w:val="00D711E1"/>
    <w:rsid w:val="00D7205A"/>
    <w:rsid w:val="00D72384"/>
    <w:rsid w:val="00D727E4"/>
    <w:rsid w:val="00D72F19"/>
    <w:rsid w:val="00D73245"/>
    <w:rsid w:val="00D74C38"/>
    <w:rsid w:val="00D75579"/>
    <w:rsid w:val="00D7626F"/>
    <w:rsid w:val="00D76BF6"/>
    <w:rsid w:val="00D804AE"/>
    <w:rsid w:val="00D808BA"/>
    <w:rsid w:val="00D80C4B"/>
    <w:rsid w:val="00D81EDE"/>
    <w:rsid w:val="00D83462"/>
    <w:rsid w:val="00D834EE"/>
    <w:rsid w:val="00D8391D"/>
    <w:rsid w:val="00D84884"/>
    <w:rsid w:val="00D85461"/>
    <w:rsid w:val="00D85591"/>
    <w:rsid w:val="00D85F76"/>
    <w:rsid w:val="00D86547"/>
    <w:rsid w:val="00D866BF"/>
    <w:rsid w:val="00D87397"/>
    <w:rsid w:val="00D87409"/>
    <w:rsid w:val="00D8766B"/>
    <w:rsid w:val="00D876E0"/>
    <w:rsid w:val="00D87991"/>
    <w:rsid w:val="00D9052B"/>
    <w:rsid w:val="00D9097A"/>
    <w:rsid w:val="00D90A64"/>
    <w:rsid w:val="00D90C65"/>
    <w:rsid w:val="00D90CA2"/>
    <w:rsid w:val="00D910E5"/>
    <w:rsid w:val="00D93802"/>
    <w:rsid w:val="00D93F50"/>
    <w:rsid w:val="00D93F90"/>
    <w:rsid w:val="00D94543"/>
    <w:rsid w:val="00D94921"/>
    <w:rsid w:val="00D95023"/>
    <w:rsid w:val="00D960D9"/>
    <w:rsid w:val="00D962B0"/>
    <w:rsid w:val="00D97517"/>
    <w:rsid w:val="00D97730"/>
    <w:rsid w:val="00DA06DE"/>
    <w:rsid w:val="00DA0CD7"/>
    <w:rsid w:val="00DA1661"/>
    <w:rsid w:val="00DA1FF5"/>
    <w:rsid w:val="00DA200A"/>
    <w:rsid w:val="00DA259C"/>
    <w:rsid w:val="00DA2736"/>
    <w:rsid w:val="00DA3A9E"/>
    <w:rsid w:val="00DA43CB"/>
    <w:rsid w:val="00DA5AA1"/>
    <w:rsid w:val="00DA5DF0"/>
    <w:rsid w:val="00DA60CF"/>
    <w:rsid w:val="00DA6112"/>
    <w:rsid w:val="00DA66AF"/>
    <w:rsid w:val="00DA6B59"/>
    <w:rsid w:val="00DA6C88"/>
    <w:rsid w:val="00DA6E73"/>
    <w:rsid w:val="00DB0078"/>
    <w:rsid w:val="00DB0825"/>
    <w:rsid w:val="00DB10C4"/>
    <w:rsid w:val="00DB15EB"/>
    <w:rsid w:val="00DB35A0"/>
    <w:rsid w:val="00DB3CA3"/>
    <w:rsid w:val="00DB3ED5"/>
    <w:rsid w:val="00DB4477"/>
    <w:rsid w:val="00DB4B20"/>
    <w:rsid w:val="00DB5336"/>
    <w:rsid w:val="00DB613F"/>
    <w:rsid w:val="00DB656D"/>
    <w:rsid w:val="00DB6BDA"/>
    <w:rsid w:val="00DB6C3B"/>
    <w:rsid w:val="00DC029B"/>
    <w:rsid w:val="00DC047F"/>
    <w:rsid w:val="00DC119D"/>
    <w:rsid w:val="00DC2EDF"/>
    <w:rsid w:val="00DC322F"/>
    <w:rsid w:val="00DC471C"/>
    <w:rsid w:val="00DC4C17"/>
    <w:rsid w:val="00DC5256"/>
    <w:rsid w:val="00DC552F"/>
    <w:rsid w:val="00DC597B"/>
    <w:rsid w:val="00DC5D21"/>
    <w:rsid w:val="00DC78A2"/>
    <w:rsid w:val="00DD02A8"/>
    <w:rsid w:val="00DD0373"/>
    <w:rsid w:val="00DD04B9"/>
    <w:rsid w:val="00DD1196"/>
    <w:rsid w:val="00DD1CDE"/>
    <w:rsid w:val="00DD1F50"/>
    <w:rsid w:val="00DD2953"/>
    <w:rsid w:val="00DD2BAB"/>
    <w:rsid w:val="00DD2E09"/>
    <w:rsid w:val="00DD345D"/>
    <w:rsid w:val="00DD369A"/>
    <w:rsid w:val="00DD389D"/>
    <w:rsid w:val="00DD42CD"/>
    <w:rsid w:val="00DD4485"/>
    <w:rsid w:val="00DD6182"/>
    <w:rsid w:val="00DD6729"/>
    <w:rsid w:val="00DD7521"/>
    <w:rsid w:val="00DD7650"/>
    <w:rsid w:val="00DD775B"/>
    <w:rsid w:val="00DD794F"/>
    <w:rsid w:val="00DD7A2B"/>
    <w:rsid w:val="00DD7C62"/>
    <w:rsid w:val="00DD7C74"/>
    <w:rsid w:val="00DE06CD"/>
    <w:rsid w:val="00DE0920"/>
    <w:rsid w:val="00DE1233"/>
    <w:rsid w:val="00DE222C"/>
    <w:rsid w:val="00DE255F"/>
    <w:rsid w:val="00DE27AC"/>
    <w:rsid w:val="00DE3975"/>
    <w:rsid w:val="00DE4B18"/>
    <w:rsid w:val="00DE6004"/>
    <w:rsid w:val="00DE6664"/>
    <w:rsid w:val="00DE7864"/>
    <w:rsid w:val="00DF05E4"/>
    <w:rsid w:val="00DF1124"/>
    <w:rsid w:val="00DF11F1"/>
    <w:rsid w:val="00DF17E7"/>
    <w:rsid w:val="00DF19C1"/>
    <w:rsid w:val="00DF3385"/>
    <w:rsid w:val="00DF384F"/>
    <w:rsid w:val="00DF40A1"/>
    <w:rsid w:val="00DF41BA"/>
    <w:rsid w:val="00DF5EAC"/>
    <w:rsid w:val="00DF5EC2"/>
    <w:rsid w:val="00DF609F"/>
    <w:rsid w:val="00DF6D46"/>
    <w:rsid w:val="00DF7451"/>
    <w:rsid w:val="00DF7FB8"/>
    <w:rsid w:val="00E002BE"/>
    <w:rsid w:val="00E007A4"/>
    <w:rsid w:val="00E0083F"/>
    <w:rsid w:val="00E00A45"/>
    <w:rsid w:val="00E00B98"/>
    <w:rsid w:val="00E00D19"/>
    <w:rsid w:val="00E01A5A"/>
    <w:rsid w:val="00E01B6E"/>
    <w:rsid w:val="00E01E32"/>
    <w:rsid w:val="00E03115"/>
    <w:rsid w:val="00E033EB"/>
    <w:rsid w:val="00E03742"/>
    <w:rsid w:val="00E037C3"/>
    <w:rsid w:val="00E0413D"/>
    <w:rsid w:val="00E0510E"/>
    <w:rsid w:val="00E05980"/>
    <w:rsid w:val="00E0686D"/>
    <w:rsid w:val="00E07235"/>
    <w:rsid w:val="00E10B0C"/>
    <w:rsid w:val="00E11D3A"/>
    <w:rsid w:val="00E13241"/>
    <w:rsid w:val="00E137BA"/>
    <w:rsid w:val="00E13806"/>
    <w:rsid w:val="00E13F49"/>
    <w:rsid w:val="00E142F8"/>
    <w:rsid w:val="00E143C5"/>
    <w:rsid w:val="00E14484"/>
    <w:rsid w:val="00E1450E"/>
    <w:rsid w:val="00E1474A"/>
    <w:rsid w:val="00E14D73"/>
    <w:rsid w:val="00E14F4F"/>
    <w:rsid w:val="00E174F8"/>
    <w:rsid w:val="00E1787A"/>
    <w:rsid w:val="00E17BA7"/>
    <w:rsid w:val="00E17DAD"/>
    <w:rsid w:val="00E20C63"/>
    <w:rsid w:val="00E20EDD"/>
    <w:rsid w:val="00E2127C"/>
    <w:rsid w:val="00E21655"/>
    <w:rsid w:val="00E22024"/>
    <w:rsid w:val="00E220A8"/>
    <w:rsid w:val="00E22A5C"/>
    <w:rsid w:val="00E23602"/>
    <w:rsid w:val="00E245A0"/>
    <w:rsid w:val="00E247EC"/>
    <w:rsid w:val="00E25532"/>
    <w:rsid w:val="00E25C07"/>
    <w:rsid w:val="00E260C6"/>
    <w:rsid w:val="00E266EC"/>
    <w:rsid w:val="00E273D6"/>
    <w:rsid w:val="00E30398"/>
    <w:rsid w:val="00E30EEA"/>
    <w:rsid w:val="00E3196E"/>
    <w:rsid w:val="00E32B6A"/>
    <w:rsid w:val="00E32B79"/>
    <w:rsid w:val="00E33007"/>
    <w:rsid w:val="00E33376"/>
    <w:rsid w:val="00E33C9F"/>
    <w:rsid w:val="00E34E40"/>
    <w:rsid w:val="00E3552F"/>
    <w:rsid w:val="00E356FA"/>
    <w:rsid w:val="00E3576B"/>
    <w:rsid w:val="00E3582F"/>
    <w:rsid w:val="00E35DEE"/>
    <w:rsid w:val="00E36A7D"/>
    <w:rsid w:val="00E37209"/>
    <w:rsid w:val="00E37862"/>
    <w:rsid w:val="00E37B96"/>
    <w:rsid w:val="00E37EF9"/>
    <w:rsid w:val="00E401D1"/>
    <w:rsid w:val="00E403F3"/>
    <w:rsid w:val="00E408FE"/>
    <w:rsid w:val="00E4169B"/>
    <w:rsid w:val="00E4181C"/>
    <w:rsid w:val="00E4184B"/>
    <w:rsid w:val="00E42912"/>
    <w:rsid w:val="00E42CBE"/>
    <w:rsid w:val="00E4346F"/>
    <w:rsid w:val="00E4360D"/>
    <w:rsid w:val="00E43733"/>
    <w:rsid w:val="00E43A0F"/>
    <w:rsid w:val="00E43E62"/>
    <w:rsid w:val="00E43EC6"/>
    <w:rsid w:val="00E43F44"/>
    <w:rsid w:val="00E449A6"/>
    <w:rsid w:val="00E455BB"/>
    <w:rsid w:val="00E456DB"/>
    <w:rsid w:val="00E4575F"/>
    <w:rsid w:val="00E45AD2"/>
    <w:rsid w:val="00E462CC"/>
    <w:rsid w:val="00E469C6"/>
    <w:rsid w:val="00E472BD"/>
    <w:rsid w:val="00E47734"/>
    <w:rsid w:val="00E47F65"/>
    <w:rsid w:val="00E51280"/>
    <w:rsid w:val="00E51AE5"/>
    <w:rsid w:val="00E5265C"/>
    <w:rsid w:val="00E52716"/>
    <w:rsid w:val="00E53037"/>
    <w:rsid w:val="00E53B92"/>
    <w:rsid w:val="00E54DE6"/>
    <w:rsid w:val="00E55126"/>
    <w:rsid w:val="00E55362"/>
    <w:rsid w:val="00E55BBD"/>
    <w:rsid w:val="00E56AE4"/>
    <w:rsid w:val="00E56E9B"/>
    <w:rsid w:val="00E57420"/>
    <w:rsid w:val="00E6001D"/>
    <w:rsid w:val="00E60376"/>
    <w:rsid w:val="00E607E6"/>
    <w:rsid w:val="00E6139F"/>
    <w:rsid w:val="00E62B1D"/>
    <w:rsid w:val="00E62B74"/>
    <w:rsid w:val="00E6318B"/>
    <w:rsid w:val="00E637FB"/>
    <w:rsid w:val="00E639F2"/>
    <w:rsid w:val="00E63A80"/>
    <w:rsid w:val="00E63CB8"/>
    <w:rsid w:val="00E649C1"/>
    <w:rsid w:val="00E64EEE"/>
    <w:rsid w:val="00E6504B"/>
    <w:rsid w:val="00E65781"/>
    <w:rsid w:val="00E6622D"/>
    <w:rsid w:val="00E668F0"/>
    <w:rsid w:val="00E66907"/>
    <w:rsid w:val="00E669F3"/>
    <w:rsid w:val="00E66CCD"/>
    <w:rsid w:val="00E705BF"/>
    <w:rsid w:val="00E70BF6"/>
    <w:rsid w:val="00E710D3"/>
    <w:rsid w:val="00E72ACC"/>
    <w:rsid w:val="00E72F9B"/>
    <w:rsid w:val="00E7489E"/>
    <w:rsid w:val="00E74A13"/>
    <w:rsid w:val="00E74F08"/>
    <w:rsid w:val="00E74F25"/>
    <w:rsid w:val="00E76D24"/>
    <w:rsid w:val="00E77AA2"/>
    <w:rsid w:val="00E77EB0"/>
    <w:rsid w:val="00E80A35"/>
    <w:rsid w:val="00E814C6"/>
    <w:rsid w:val="00E814C9"/>
    <w:rsid w:val="00E81BEE"/>
    <w:rsid w:val="00E823F9"/>
    <w:rsid w:val="00E840CF"/>
    <w:rsid w:val="00E841FE"/>
    <w:rsid w:val="00E8491F"/>
    <w:rsid w:val="00E849AF"/>
    <w:rsid w:val="00E84C8B"/>
    <w:rsid w:val="00E84FC6"/>
    <w:rsid w:val="00E85B3D"/>
    <w:rsid w:val="00E85EF0"/>
    <w:rsid w:val="00E868F9"/>
    <w:rsid w:val="00E86CDC"/>
    <w:rsid w:val="00E8751D"/>
    <w:rsid w:val="00E878BE"/>
    <w:rsid w:val="00E9009B"/>
    <w:rsid w:val="00E90757"/>
    <w:rsid w:val="00E91733"/>
    <w:rsid w:val="00E92D1F"/>
    <w:rsid w:val="00E93145"/>
    <w:rsid w:val="00E93801"/>
    <w:rsid w:val="00E93E36"/>
    <w:rsid w:val="00E94FEA"/>
    <w:rsid w:val="00E9526E"/>
    <w:rsid w:val="00E955E0"/>
    <w:rsid w:val="00E95C66"/>
    <w:rsid w:val="00E95F96"/>
    <w:rsid w:val="00E97276"/>
    <w:rsid w:val="00E979AB"/>
    <w:rsid w:val="00E9DFDB"/>
    <w:rsid w:val="00EA0B12"/>
    <w:rsid w:val="00EA0D67"/>
    <w:rsid w:val="00EA1C21"/>
    <w:rsid w:val="00EA1E47"/>
    <w:rsid w:val="00EA1EDC"/>
    <w:rsid w:val="00EA2CAA"/>
    <w:rsid w:val="00EA31BD"/>
    <w:rsid w:val="00EA3669"/>
    <w:rsid w:val="00EA43FE"/>
    <w:rsid w:val="00EA4530"/>
    <w:rsid w:val="00EA4B6A"/>
    <w:rsid w:val="00EA5088"/>
    <w:rsid w:val="00EA524B"/>
    <w:rsid w:val="00EA5406"/>
    <w:rsid w:val="00EA57AA"/>
    <w:rsid w:val="00EA60C7"/>
    <w:rsid w:val="00EA6EAE"/>
    <w:rsid w:val="00EA798D"/>
    <w:rsid w:val="00EB0CC9"/>
    <w:rsid w:val="00EB15BA"/>
    <w:rsid w:val="00EB15D1"/>
    <w:rsid w:val="00EB2008"/>
    <w:rsid w:val="00EB21FA"/>
    <w:rsid w:val="00EB2701"/>
    <w:rsid w:val="00EB2D24"/>
    <w:rsid w:val="00EB3630"/>
    <w:rsid w:val="00EB4A86"/>
    <w:rsid w:val="00EB4ED1"/>
    <w:rsid w:val="00EB531F"/>
    <w:rsid w:val="00EB61A3"/>
    <w:rsid w:val="00EB6D39"/>
    <w:rsid w:val="00EB770D"/>
    <w:rsid w:val="00EB78D0"/>
    <w:rsid w:val="00EC007C"/>
    <w:rsid w:val="00EC09A8"/>
    <w:rsid w:val="00EC0B97"/>
    <w:rsid w:val="00EC0C5E"/>
    <w:rsid w:val="00EC157A"/>
    <w:rsid w:val="00EC1B2F"/>
    <w:rsid w:val="00EC1E46"/>
    <w:rsid w:val="00EC2FD3"/>
    <w:rsid w:val="00EC39BC"/>
    <w:rsid w:val="00EC46F9"/>
    <w:rsid w:val="00EC49B1"/>
    <w:rsid w:val="00EC4C8C"/>
    <w:rsid w:val="00EC5111"/>
    <w:rsid w:val="00EC57DF"/>
    <w:rsid w:val="00EC5A97"/>
    <w:rsid w:val="00EC5C2D"/>
    <w:rsid w:val="00EC62A7"/>
    <w:rsid w:val="00EC73D1"/>
    <w:rsid w:val="00EC7999"/>
    <w:rsid w:val="00EC79C5"/>
    <w:rsid w:val="00ED0389"/>
    <w:rsid w:val="00ED134E"/>
    <w:rsid w:val="00ED1A83"/>
    <w:rsid w:val="00ED2138"/>
    <w:rsid w:val="00ED3084"/>
    <w:rsid w:val="00ED3379"/>
    <w:rsid w:val="00ED3A85"/>
    <w:rsid w:val="00ED3F9D"/>
    <w:rsid w:val="00ED5C56"/>
    <w:rsid w:val="00ED5D1C"/>
    <w:rsid w:val="00ED5E73"/>
    <w:rsid w:val="00ED5FEC"/>
    <w:rsid w:val="00ED6852"/>
    <w:rsid w:val="00ED6C57"/>
    <w:rsid w:val="00ED75F0"/>
    <w:rsid w:val="00ED7B56"/>
    <w:rsid w:val="00EE083B"/>
    <w:rsid w:val="00EE140B"/>
    <w:rsid w:val="00EE17FB"/>
    <w:rsid w:val="00EE1A78"/>
    <w:rsid w:val="00EE1FA4"/>
    <w:rsid w:val="00EE3231"/>
    <w:rsid w:val="00EE356A"/>
    <w:rsid w:val="00EE36D0"/>
    <w:rsid w:val="00EE4045"/>
    <w:rsid w:val="00EE478A"/>
    <w:rsid w:val="00EE4DEB"/>
    <w:rsid w:val="00EE5F6D"/>
    <w:rsid w:val="00EE5FAB"/>
    <w:rsid w:val="00EE785B"/>
    <w:rsid w:val="00EE7908"/>
    <w:rsid w:val="00EF03FF"/>
    <w:rsid w:val="00EF1925"/>
    <w:rsid w:val="00EF238B"/>
    <w:rsid w:val="00EF2688"/>
    <w:rsid w:val="00EF2ACC"/>
    <w:rsid w:val="00EF3D1D"/>
    <w:rsid w:val="00EF3F93"/>
    <w:rsid w:val="00EF425B"/>
    <w:rsid w:val="00EF4BDE"/>
    <w:rsid w:val="00EF4C14"/>
    <w:rsid w:val="00EF56F8"/>
    <w:rsid w:val="00EF68A0"/>
    <w:rsid w:val="00EF7F2C"/>
    <w:rsid w:val="00F00B3C"/>
    <w:rsid w:val="00F00CAF"/>
    <w:rsid w:val="00F00E57"/>
    <w:rsid w:val="00F01866"/>
    <w:rsid w:val="00F02419"/>
    <w:rsid w:val="00F025B7"/>
    <w:rsid w:val="00F026B9"/>
    <w:rsid w:val="00F02C80"/>
    <w:rsid w:val="00F0450C"/>
    <w:rsid w:val="00F049D9"/>
    <w:rsid w:val="00F049DC"/>
    <w:rsid w:val="00F05C59"/>
    <w:rsid w:val="00F06794"/>
    <w:rsid w:val="00F06F7C"/>
    <w:rsid w:val="00F07409"/>
    <w:rsid w:val="00F1093F"/>
    <w:rsid w:val="00F109C0"/>
    <w:rsid w:val="00F1216A"/>
    <w:rsid w:val="00F123D2"/>
    <w:rsid w:val="00F12965"/>
    <w:rsid w:val="00F129D8"/>
    <w:rsid w:val="00F12A52"/>
    <w:rsid w:val="00F13273"/>
    <w:rsid w:val="00F1369E"/>
    <w:rsid w:val="00F14067"/>
    <w:rsid w:val="00F14443"/>
    <w:rsid w:val="00F14F48"/>
    <w:rsid w:val="00F1523B"/>
    <w:rsid w:val="00F15787"/>
    <w:rsid w:val="00F1728F"/>
    <w:rsid w:val="00F174E7"/>
    <w:rsid w:val="00F20965"/>
    <w:rsid w:val="00F21B8B"/>
    <w:rsid w:val="00F21E28"/>
    <w:rsid w:val="00F22ADA"/>
    <w:rsid w:val="00F22F19"/>
    <w:rsid w:val="00F23F17"/>
    <w:rsid w:val="00F25197"/>
    <w:rsid w:val="00F255C3"/>
    <w:rsid w:val="00F26220"/>
    <w:rsid w:val="00F26828"/>
    <w:rsid w:val="00F27487"/>
    <w:rsid w:val="00F276E0"/>
    <w:rsid w:val="00F27CF8"/>
    <w:rsid w:val="00F27F0D"/>
    <w:rsid w:val="00F31114"/>
    <w:rsid w:val="00F314AB"/>
    <w:rsid w:val="00F31E2C"/>
    <w:rsid w:val="00F34080"/>
    <w:rsid w:val="00F348C8"/>
    <w:rsid w:val="00F35020"/>
    <w:rsid w:val="00F369E1"/>
    <w:rsid w:val="00F3749A"/>
    <w:rsid w:val="00F407F7"/>
    <w:rsid w:val="00F40C69"/>
    <w:rsid w:val="00F41DD7"/>
    <w:rsid w:val="00F41E71"/>
    <w:rsid w:val="00F4200A"/>
    <w:rsid w:val="00F42C6D"/>
    <w:rsid w:val="00F43B28"/>
    <w:rsid w:val="00F441FC"/>
    <w:rsid w:val="00F444BB"/>
    <w:rsid w:val="00F444D7"/>
    <w:rsid w:val="00F44CC2"/>
    <w:rsid w:val="00F45682"/>
    <w:rsid w:val="00F45D01"/>
    <w:rsid w:val="00F464C2"/>
    <w:rsid w:val="00F474B9"/>
    <w:rsid w:val="00F478CA"/>
    <w:rsid w:val="00F47C40"/>
    <w:rsid w:val="00F5035E"/>
    <w:rsid w:val="00F50782"/>
    <w:rsid w:val="00F50D04"/>
    <w:rsid w:val="00F5149B"/>
    <w:rsid w:val="00F52D5E"/>
    <w:rsid w:val="00F536C4"/>
    <w:rsid w:val="00F5383A"/>
    <w:rsid w:val="00F54527"/>
    <w:rsid w:val="00F5473B"/>
    <w:rsid w:val="00F5714C"/>
    <w:rsid w:val="00F60651"/>
    <w:rsid w:val="00F607BA"/>
    <w:rsid w:val="00F61A13"/>
    <w:rsid w:val="00F6418F"/>
    <w:rsid w:val="00F6442E"/>
    <w:rsid w:val="00F6610D"/>
    <w:rsid w:val="00F663EE"/>
    <w:rsid w:val="00F712AD"/>
    <w:rsid w:val="00F7349B"/>
    <w:rsid w:val="00F73F5D"/>
    <w:rsid w:val="00F74006"/>
    <w:rsid w:val="00F74CAB"/>
    <w:rsid w:val="00F75199"/>
    <w:rsid w:val="00F75449"/>
    <w:rsid w:val="00F77909"/>
    <w:rsid w:val="00F8053F"/>
    <w:rsid w:val="00F8093B"/>
    <w:rsid w:val="00F80CD0"/>
    <w:rsid w:val="00F80FB0"/>
    <w:rsid w:val="00F822A1"/>
    <w:rsid w:val="00F83566"/>
    <w:rsid w:val="00F8372F"/>
    <w:rsid w:val="00F83CA1"/>
    <w:rsid w:val="00F83D32"/>
    <w:rsid w:val="00F84072"/>
    <w:rsid w:val="00F84585"/>
    <w:rsid w:val="00F85465"/>
    <w:rsid w:val="00F8572E"/>
    <w:rsid w:val="00F85BCA"/>
    <w:rsid w:val="00F85D56"/>
    <w:rsid w:val="00F85FFB"/>
    <w:rsid w:val="00F87384"/>
    <w:rsid w:val="00F87B71"/>
    <w:rsid w:val="00F900D4"/>
    <w:rsid w:val="00F9017D"/>
    <w:rsid w:val="00F90D79"/>
    <w:rsid w:val="00F910B1"/>
    <w:rsid w:val="00F91D91"/>
    <w:rsid w:val="00F9308A"/>
    <w:rsid w:val="00F93402"/>
    <w:rsid w:val="00F9342A"/>
    <w:rsid w:val="00F93874"/>
    <w:rsid w:val="00F95F12"/>
    <w:rsid w:val="00F96542"/>
    <w:rsid w:val="00F976F9"/>
    <w:rsid w:val="00F97BBC"/>
    <w:rsid w:val="00FA039C"/>
    <w:rsid w:val="00FA0742"/>
    <w:rsid w:val="00FA1FE4"/>
    <w:rsid w:val="00FA2BBD"/>
    <w:rsid w:val="00FA4FAA"/>
    <w:rsid w:val="00FA5306"/>
    <w:rsid w:val="00FA56D3"/>
    <w:rsid w:val="00FA5A0D"/>
    <w:rsid w:val="00FA5BD6"/>
    <w:rsid w:val="00FA5D60"/>
    <w:rsid w:val="00FA6DE4"/>
    <w:rsid w:val="00FA6E1A"/>
    <w:rsid w:val="00FA7106"/>
    <w:rsid w:val="00FB05B3"/>
    <w:rsid w:val="00FB0F5B"/>
    <w:rsid w:val="00FB1920"/>
    <w:rsid w:val="00FB1FEC"/>
    <w:rsid w:val="00FB286E"/>
    <w:rsid w:val="00FB29E3"/>
    <w:rsid w:val="00FB2AA0"/>
    <w:rsid w:val="00FB2BDF"/>
    <w:rsid w:val="00FB2DAB"/>
    <w:rsid w:val="00FB48FB"/>
    <w:rsid w:val="00FB62C5"/>
    <w:rsid w:val="00FC0310"/>
    <w:rsid w:val="00FC09E8"/>
    <w:rsid w:val="00FC0DB3"/>
    <w:rsid w:val="00FC136E"/>
    <w:rsid w:val="00FC1595"/>
    <w:rsid w:val="00FC2396"/>
    <w:rsid w:val="00FC30E3"/>
    <w:rsid w:val="00FC355A"/>
    <w:rsid w:val="00FC37FA"/>
    <w:rsid w:val="00FC48C9"/>
    <w:rsid w:val="00FC4D10"/>
    <w:rsid w:val="00FC5592"/>
    <w:rsid w:val="00FC5ABE"/>
    <w:rsid w:val="00FC5B2C"/>
    <w:rsid w:val="00FC654B"/>
    <w:rsid w:val="00FC6977"/>
    <w:rsid w:val="00FC74F6"/>
    <w:rsid w:val="00FC7836"/>
    <w:rsid w:val="00FC7A89"/>
    <w:rsid w:val="00FD2185"/>
    <w:rsid w:val="00FD22D7"/>
    <w:rsid w:val="00FD257C"/>
    <w:rsid w:val="00FD26D2"/>
    <w:rsid w:val="00FD34CB"/>
    <w:rsid w:val="00FD4015"/>
    <w:rsid w:val="00FD40B1"/>
    <w:rsid w:val="00FD4200"/>
    <w:rsid w:val="00FD44C1"/>
    <w:rsid w:val="00FD4997"/>
    <w:rsid w:val="00FD59A9"/>
    <w:rsid w:val="00FD62F9"/>
    <w:rsid w:val="00FD6591"/>
    <w:rsid w:val="00FE0149"/>
    <w:rsid w:val="00FE014F"/>
    <w:rsid w:val="00FE0348"/>
    <w:rsid w:val="00FE06B4"/>
    <w:rsid w:val="00FE0769"/>
    <w:rsid w:val="00FE0AB8"/>
    <w:rsid w:val="00FE0BC7"/>
    <w:rsid w:val="00FE11BD"/>
    <w:rsid w:val="00FE16F2"/>
    <w:rsid w:val="00FE1989"/>
    <w:rsid w:val="00FE1E8E"/>
    <w:rsid w:val="00FE235A"/>
    <w:rsid w:val="00FE23F6"/>
    <w:rsid w:val="00FE27FD"/>
    <w:rsid w:val="00FE2C18"/>
    <w:rsid w:val="00FE33C4"/>
    <w:rsid w:val="00FE47EA"/>
    <w:rsid w:val="00FE4B2A"/>
    <w:rsid w:val="00FE513F"/>
    <w:rsid w:val="00FE6223"/>
    <w:rsid w:val="00FE6676"/>
    <w:rsid w:val="00FE6CB2"/>
    <w:rsid w:val="00FE706B"/>
    <w:rsid w:val="00FE75FE"/>
    <w:rsid w:val="00FF06D3"/>
    <w:rsid w:val="00FF1300"/>
    <w:rsid w:val="00FF1B67"/>
    <w:rsid w:val="00FF25F7"/>
    <w:rsid w:val="00FF2B72"/>
    <w:rsid w:val="00FF357A"/>
    <w:rsid w:val="00FF3D08"/>
    <w:rsid w:val="00FF49F3"/>
    <w:rsid w:val="00FF51B8"/>
    <w:rsid w:val="00FF559C"/>
    <w:rsid w:val="00FF5A86"/>
    <w:rsid w:val="00FF6A77"/>
    <w:rsid w:val="00FF71E6"/>
    <w:rsid w:val="00FF7F5E"/>
    <w:rsid w:val="0115C798"/>
    <w:rsid w:val="01415630"/>
    <w:rsid w:val="01650D69"/>
    <w:rsid w:val="017BF55A"/>
    <w:rsid w:val="0185A1E9"/>
    <w:rsid w:val="01A94B11"/>
    <w:rsid w:val="01C45107"/>
    <w:rsid w:val="01CD352D"/>
    <w:rsid w:val="01E96D5F"/>
    <w:rsid w:val="020044B0"/>
    <w:rsid w:val="020E5012"/>
    <w:rsid w:val="021233C4"/>
    <w:rsid w:val="02541EFE"/>
    <w:rsid w:val="02623E08"/>
    <w:rsid w:val="026F36D7"/>
    <w:rsid w:val="026FFDCF"/>
    <w:rsid w:val="0288B47E"/>
    <w:rsid w:val="02E01113"/>
    <w:rsid w:val="0304F420"/>
    <w:rsid w:val="030F5033"/>
    <w:rsid w:val="031FD744"/>
    <w:rsid w:val="032DB7D5"/>
    <w:rsid w:val="0341AF5F"/>
    <w:rsid w:val="034CE1D5"/>
    <w:rsid w:val="03533BAD"/>
    <w:rsid w:val="035B5D8E"/>
    <w:rsid w:val="035D0E59"/>
    <w:rsid w:val="036E16E1"/>
    <w:rsid w:val="03839D98"/>
    <w:rsid w:val="038AB7F5"/>
    <w:rsid w:val="03ABCA63"/>
    <w:rsid w:val="03B61D96"/>
    <w:rsid w:val="03DEA7F2"/>
    <w:rsid w:val="03E76C28"/>
    <w:rsid w:val="03EBAFD0"/>
    <w:rsid w:val="03EE9D55"/>
    <w:rsid w:val="040B1A2B"/>
    <w:rsid w:val="0432034D"/>
    <w:rsid w:val="0462BA1F"/>
    <w:rsid w:val="04695EED"/>
    <w:rsid w:val="047B270F"/>
    <w:rsid w:val="0488DD54"/>
    <w:rsid w:val="049284E8"/>
    <w:rsid w:val="049D8F7F"/>
    <w:rsid w:val="04B9E91C"/>
    <w:rsid w:val="04BEF19B"/>
    <w:rsid w:val="04C6050A"/>
    <w:rsid w:val="04DEC1BD"/>
    <w:rsid w:val="04F36C93"/>
    <w:rsid w:val="052D9A7C"/>
    <w:rsid w:val="053DEEC7"/>
    <w:rsid w:val="05566E93"/>
    <w:rsid w:val="0581E9FB"/>
    <w:rsid w:val="058E4ACC"/>
    <w:rsid w:val="05911260"/>
    <w:rsid w:val="05960337"/>
    <w:rsid w:val="060002BF"/>
    <w:rsid w:val="0605AFF3"/>
    <w:rsid w:val="0606277D"/>
    <w:rsid w:val="062C2359"/>
    <w:rsid w:val="06582B81"/>
    <w:rsid w:val="066224EE"/>
    <w:rsid w:val="067C2991"/>
    <w:rsid w:val="06A751C1"/>
    <w:rsid w:val="06BBE102"/>
    <w:rsid w:val="06BF8735"/>
    <w:rsid w:val="06C09814"/>
    <w:rsid w:val="06C766A0"/>
    <w:rsid w:val="06D65764"/>
    <w:rsid w:val="07111732"/>
    <w:rsid w:val="074C1E7D"/>
    <w:rsid w:val="0751B728"/>
    <w:rsid w:val="0766A118"/>
    <w:rsid w:val="0774FB9D"/>
    <w:rsid w:val="07B9A656"/>
    <w:rsid w:val="07E7E841"/>
    <w:rsid w:val="07F9EB73"/>
    <w:rsid w:val="080E8764"/>
    <w:rsid w:val="084CFD6B"/>
    <w:rsid w:val="084F07EF"/>
    <w:rsid w:val="0861D8E1"/>
    <w:rsid w:val="08694A79"/>
    <w:rsid w:val="086DEC1D"/>
    <w:rsid w:val="08754DF3"/>
    <w:rsid w:val="08A1EC65"/>
    <w:rsid w:val="08AF06E0"/>
    <w:rsid w:val="08CBDA11"/>
    <w:rsid w:val="08CC7975"/>
    <w:rsid w:val="08CD5D95"/>
    <w:rsid w:val="08D0C241"/>
    <w:rsid w:val="08DB35F8"/>
    <w:rsid w:val="08DE5AC4"/>
    <w:rsid w:val="08E982F1"/>
    <w:rsid w:val="08F094C7"/>
    <w:rsid w:val="08F11C9F"/>
    <w:rsid w:val="09166E6F"/>
    <w:rsid w:val="091B495E"/>
    <w:rsid w:val="092697AB"/>
    <w:rsid w:val="09429927"/>
    <w:rsid w:val="0943E41B"/>
    <w:rsid w:val="0947747D"/>
    <w:rsid w:val="0949B296"/>
    <w:rsid w:val="09565BD0"/>
    <w:rsid w:val="099258B4"/>
    <w:rsid w:val="0992606F"/>
    <w:rsid w:val="09ADEA25"/>
    <w:rsid w:val="09AE96BD"/>
    <w:rsid w:val="09B966FE"/>
    <w:rsid w:val="0A2312EF"/>
    <w:rsid w:val="0A55BE03"/>
    <w:rsid w:val="0A6B866C"/>
    <w:rsid w:val="0B111148"/>
    <w:rsid w:val="0B352E10"/>
    <w:rsid w:val="0B3A4320"/>
    <w:rsid w:val="0B557871"/>
    <w:rsid w:val="0B73B4CC"/>
    <w:rsid w:val="0B7F0DAC"/>
    <w:rsid w:val="0B8F2CD4"/>
    <w:rsid w:val="0B97C744"/>
    <w:rsid w:val="0BC406FF"/>
    <w:rsid w:val="0BDA9C85"/>
    <w:rsid w:val="0BDC4696"/>
    <w:rsid w:val="0BDEB6DD"/>
    <w:rsid w:val="0BE08AF3"/>
    <w:rsid w:val="0BE0F79E"/>
    <w:rsid w:val="0C02643C"/>
    <w:rsid w:val="0C33098C"/>
    <w:rsid w:val="0C4D8FC7"/>
    <w:rsid w:val="0C6BBBCB"/>
    <w:rsid w:val="0C920183"/>
    <w:rsid w:val="0C935F8B"/>
    <w:rsid w:val="0CAF5A01"/>
    <w:rsid w:val="0CBAC415"/>
    <w:rsid w:val="0CBEB249"/>
    <w:rsid w:val="0CF10383"/>
    <w:rsid w:val="0D0C55C1"/>
    <w:rsid w:val="0D0FD50A"/>
    <w:rsid w:val="0D13F81B"/>
    <w:rsid w:val="0D140180"/>
    <w:rsid w:val="0D1BD841"/>
    <w:rsid w:val="0D3FBD33"/>
    <w:rsid w:val="0D7A80C3"/>
    <w:rsid w:val="0D7D657E"/>
    <w:rsid w:val="0D900AD7"/>
    <w:rsid w:val="0DC62415"/>
    <w:rsid w:val="0DD33382"/>
    <w:rsid w:val="0DEAF9B9"/>
    <w:rsid w:val="0E058B04"/>
    <w:rsid w:val="0E081A73"/>
    <w:rsid w:val="0E0DF2B9"/>
    <w:rsid w:val="0E25B88A"/>
    <w:rsid w:val="0E2E6973"/>
    <w:rsid w:val="0E497A63"/>
    <w:rsid w:val="0E4D49DA"/>
    <w:rsid w:val="0E580FEE"/>
    <w:rsid w:val="0E704354"/>
    <w:rsid w:val="0E8A9B71"/>
    <w:rsid w:val="0E95E9AA"/>
    <w:rsid w:val="0EA83126"/>
    <w:rsid w:val="0EA8D8EE"/>
    <w:rsid w:val="0EACD742"/>
    <w:rsid w:val="0EBE0964"/>
    <w:rsid w:val="0ECB4C45"/>
    <w:rsid w:val="0F002B30"/>
    <w:rsid w:val="0F157C3C"/>
    <w:rsid w:val="0F1B74A1"/>
    <w:rsid w:val="0F32D9BB"/>
    <w:rsid w:val="0F4EA51E"/>
    <w:rsid w:val="0F596374"/>
    <w:rsid w:val="0F6D9734"/>
    <w:rsid w:val="0F792967"/>
    <w:rsid w:val="0F8F50CC"/>
    <w:rsid w:val="0F946397"/>
    <w:rsid w:val="0FB1C742"/>
    <w:rsid w:val="0FB6F879"/>
    <w:rsid w:val="0FC5DDE5"/>
    <w:rsid w:val="0FEF70BC"/>
    <w:rsid w:val="1003B610"/>
    <w:rsid w:val="1005C57D"/>
    <w:rsid w:val="103A29EB"/>
    <w:rsid w:val="10613B36"/>
    <w:rsid w:val="106F1560"/>
    <w:rsid w:val="106FA74E"/>
    <w:rsid w:val="10BC49A4"/>
    <w:rsid w:val="10F2C796"/>
    <w:rsid w:val="10FC62DE"/>
    <w:rsid w:val="10FD4D74"/>
    <w:rsid w:val="112D9050"/>
    <w:rsid w:val="11679E07"/>
    <w:rsid w:val="1174118B"/>
    <w:rsid w:val="11751570"/>
    <w:rsid w:val="1177CAAE"/>
    <w:rsid w:val="118D9762"/>
    <w:rsid w:val="11BB3178"/>
    <w:rsid w:val="11E56950"/>
    <w:rsid w:val="11E6A367"/>
    <w:rsid w:val="120B77AF"/>
    <w:rsid w:val="121417D2"/>
    <w:rsid w:val="122A3755"/>
    <w:rsid w:val="12384B6D"/>
    <w:rsid w:val="124A5D77"/>
    <w:rsid w:val="126A7724"/>
    <w:rsid w:val="12768437"/>
    <w:rsid w:val="127D06E3"/>
    <w:rsid w:val="127FE496"/>
    <w:rsid w:val="12BEBDD6"/>
    <w:rsid w:val="12C630FE"/>
    <w:rsid w:val="12D20EAC"/>
    <w:rsid w:val="12D837E2"/>
    <w:rsid w:val="131072E9"/>
    <w:rsid w:val="134FD0AB"/>
    <w:rsid w:val="1353F399"/>
    <w:rsid w:val="135E3A17"/>
    <w:rsid w:val="136023CF"/>
    <w:rsid w:val="136BDBC7"/>
    <w:rsid w:val="137CC2E4"/>
    <w:rsid w:val="137DA8EB"/>
    <w:rsid w:val="137F2616"/>
    <w:rsid w:val="13A108ED"/>
    <w:rsid w:val="13A1453C"/>
    <w:rsid w:val="13BDACFA"/>
    <w:rsid w:val="13C33B1E"/>
    <w:rsid w:val="13CF81A1"/>
    <w:rsid w:val="13F9AEC8"/>
    <w:rsid w:val="13FAEA20"/>
    <w:rsid w:val="141690DE"/>
    <w:rsid w:val="141F21E6"/>
    <w:rsid w:val="141F9B89"/>
    <w:rsid w:val="144F2CFB"/>
    <w:rsid w:val="146067FE"/>
    <w:rsid w:val="147D189B"/>
    <w:rsid w:val="14815BA2"/>
    <w:rsid w:val="148EEF44"/>
    <w:rsid w:val="14A2C3C7"/>
    <w:rsid w:val="14B02813"/>
    <w:rsid w:val="14CBC54E"/>
    <w:rsid w:val="14DD8494"/>
    <w:rsid w:val="14E27FF0"/>
    <w:rsid w:val="14E4CD02"/>
    <w:rsid w:val="14E64272"/>
    <w:rsid w:val="14F761B9"/>
    <w:rsid w:val="150D7B4F"/>
    <w:rsid w:val="1532F1E1"/>
    <w:rsid w:val="15598CB7"/>
    <w:rsid w:val="15605E66"/>
    <w:rsid w:val="1580208D"/>
    <w:rsid w:val="158599BF"/>
    <w:rsid w:val="158E8942"/>
    <w:rsid w:val="15A22C1C"/>
    <w:rsid w:val="15AAA7FB"/>
    <w:rsid w:val="15EB0E47"/>
    <w:rsid w:val="15F65E98"/>
    <w:rsid w:val="15F6BA41"/>
    <w:rsid w:val="161CC0B1"/>
    <w:rsid w:val="1629B084"/>
    <w:rsid w:val="165FE892"/>
    <w:rsid w:val="1664B993"/>
    <w:rsid w:val="167C415A"/>
    <w:rsid w:val="16E786CB"/>
    <w:rsid w:val="16F79622"/>
    <w:rsid w:val="177A3FF5"/>
    <w:rsid w:val="1781B046"/>
    <w:rsid w:val="17B9EEE2"/>
    <w:rsid w:val="17E6AD12"/>
    <w:rsid w:val="17F1D00A"/>
    <w:rsid w:val="17F49990"/>
    <w:rsid w:val="183A346F"/>
    <w:rsid w:val="1853A40C"/>
    <w:rsid w:val="186B46FF"/>
    <w:rsid w:val="189321AD"/>
    <w:rsid w:val="18A59E77"/>
    <w:rsid w:val="18A85F7D"/>
    <w:rsid w:val="18B40AB9"/>
    <w:rsid w:val="18B8398E"/>
    <w:rsid w:val="18C48EC0"/>
    <w:rsid w:val="18E4F16D"/>
    <w:rsid w:val="18F12D18"/>
    <w:rsid w:val="18FB5493"/>
    <w:rsid w:val="190A521A"/>
    <w:rsid w:val="190E39E4"/>
    <w:rsid w:val="191640DA"/>
    <w:rsid w:val="1919172E"/>
    <w:rsid w:val="1919A92B"/>
    <w:rsid w:val="191D4B05"/>
    <w:rsid w:val="19381659"/>
    <w:rsid w:val="193DEE92"/>
    <w:rsid w:val="1947C637"/>
    <w:rsid w:val="1952E1F0"/>
    <w:rsid w:val="19594933"/>
    <w:rsid w:val="195CBA82"/>
    <w:rsid w:val="196C9B37"/>
    <w:rsid w:val="19701E79"/>
    <w:rsid w:val="199C1AEA"/>
    <w:rsid w:val="19A4BC0E"/>
    <w:rsid w:val="19B7BE1C"/>
    <w:rsid w:val="19BEE14D"/>
    <w:rsid w:val="19D08485"/>
    <w:rsid w:val="19DB09FE"/>
    <w:rsid w:val="19DE520D"/>
    <w:rsid w:val="19EE8732"/>
    <w:rsid w:val="19F03228"/>
    <w:rsid w:val="1A1C5CF9"/>
    <w:rsid w:val="1A54A2B6"/>
    <w:rsid w:val="1A8358CC"/>
    <w:rsid w:val="1A838201"/>
    <w:rsid w:val="1A97ECC3"/>
    <w:rsid w:val="1AA4ACE7"/>
    <w:rsid w:val="1AB534F3"/>
    <w:rsid w:val="1AB8C002"/>
    <w:rsid w:val="1AC9CFBB"/>
    <w:rsid w:val="1AE0D356"/>
    <w:rsid w:val="1AE8C79B"/>
    <w:rsid w:val="1B0F3B07"/>
    <w:rsid w:val="1B10CB68"/>
    <w:rsid w:val="1B3E1ED8"/>
    <w:rsid w:val="1B69D42F"/>
    <w:rsid w:val="1B715363"/>
    <w:rsid w:val="1B75D2AE"/>
    <w:rsid w:val="1B8D35BE"/>
    <w:rsid w:val="1B9ED79A"/>
    <w:rsid w:val="1BB752DE"/>
    <w:rsid w:val="1BB7C251"/>
    <w:rsid w:val="1BC456DC"/>
    <w:rsid w:val="1BCCCB8A"/>
    <w:rsid w:val="1BCF28D8"/>
    <w:rsid w:val="1BF26255"/>
    <w:rsid w:val="1BF3DE53"/>
    <w:rsid w:val="1BF6B4A4"/>
    <w:rsid w:val="1C02B713"/>
    <w:rsid w:val="1C1AE665"/>
    <w:rsid w:val="1C1DC7D9"/>
    <w:rsid w:val="1C1F0371"/>
    <w:rsid w:val="1C2AFCF6"/>
    <w:rsid w:val="1C329FE3"/>
    <w:rsid w:val="1C5294C4"/>
    <w:rsid w:val="1C64D5D3"/>
    <w:rsid w:val="1C792598"/>
    <w:rsid w:val="1C990B70"/>
    <w:rsid w:val="1CB5449A"/>
    <w:rsid w:val="1CC35D18"/>
    <w:rsid w:val="1CD57F9C"/>
    <w:rsid w:val="1D08C7BF"/>
    <w:rsid w:val="1D0FC4AF"/>
    <w:rsid w:val="1D3B6AC5"/>
    <w:rsid w:val="1D3F105E"/>
    <w:rsid w:val="1D3F6180"/>
    <w:rsid w:val="1D561069"/>
    <w:rsid w:val="1D59A23F"/>
    <w:rsid w:val="1D68BDED"/>
    <w:rsid w:val="1D6D8BF2"/>
    <w:rsid w:val="1D962B71"/>
    <w:rsid w:val="1DA66AF4"/>
    <w:rsid w:val="1DBC2307"/>
    <w:rsid w:val="1DC89556"/>
    <w:rsid w:val="1DC8C820"/>
    <w:rsid w:val="1DDE6DD3"/>
    <w:rsid w:val="1DF0AD4F"/>
    <w:rsid w:val="1DF79A29"/>
    <w:rsid w:val="1E102177"/>
    <w:rsid w:val="1E284D4E"/>
    <w:rsid w:val="1E2E8D49"/>
    <w:rsid w:val="1E3920D5"/>
    <w:rsid w:val="1E424C7D"/>
    <w:rsid w:val="1E5E49EA"/>
    <w:rsid w:val="1E738CDA"/>
    <w:rsid w:val="1EA7A306"/>
    <w:rsid w:val="1F0FDA01"/>
    <w:rsid w:val="1F167801"/>
    <w:rsid w:val="1F182B87"/>
    <w:rsid w:val="1F1BBBFB"/>
    <w:rsid w:val="1F27F293"/>
    <w:rsid w:val="1F280AE7"/>
    <w:rsid w:val="1F3298DF"/>
    <w:rsid w:val="1F340E1E"/>
    <w:rsid w:val="1F4C3C95"/>
    <w:rsid w:val="1F658814"/>
    <w:rsid w:val="1FAD935E"/>
    <w:rsid w:val="1FCA5219"/>
    <w:rsid w:val="1FD3760E"/>
    <w:rsid w:val="1FDC787F"/>
    <w:rsid w:val="1FF4FDFE"/>
    <w:rsid w:val="1FFA4128"/>
    <w:rsid w:val="200F7E4D"/>
    <w:rsid w:val="201A9567"/>
    <w:rsid w:val="201E6943"/>
    <w:rsid w:val="202C6880"/>
    <w:rsid w:val="202E62D4"/>
    <w:rsid w:val="20579605"/>
    <w:rsid w:val="207D44A9"/>
    <w:rsid w:val="2092FD51"/>
    <w:rsid w:val="209950E6"/>
    <w:rsid w:val="20BD2F80"/>
    <w:rsid w:val="20C13692"/>
    <w:rsid w:val="20C25123"/>
    <w:rsid w:val="20E3C175"/>
    <w:rsid w:val="20E5B2B5"/>
    <w:rsid w:val="21091C0B"/>
    <w:rsid w:val="21362260"/>
    <w:rsid w:val="2158DA48"/>
    <w:rsid w:val="2164308B"/>
    <w:rsid w:val="217B55EA"/>
    <w:rsid w:val="21833836"/>
    <w:rsid w:val="21C06176"/>
    <w:rsid w:val="21C2588C"/>
    <w:rsid w:val="21E46D56"/>
    <w:rsid w:val="21F52AD1"/>
    <w:rsid w:val="220D0C7C"/>
    <w:rsid w:val="22163002"/>
    <w:rsid w:val="222AC71C"/>
    <w:rsid w:val="223D8A87"/>
    <w:rsid w:val="22403A34"/>
    <w:rsid w:val="225E24F0"/>
    <w:rsid w:val="2286BC59"/>
    <w:rsid w:val="2288AC6F"/>
    <w:rsid w:val="228E6E50"/>
    <w:rsid w:val="22A8DAB2"/>
    <w:rsid w:val="22BCFF4C"/>
    <w:rsid w:val="22C49F8D"/>
    <w:rsid w:val="22CA32B1"/>
    <w:rsid w:val="22CA3610"/>
    <w:rsid w:val="22CE501A"/>
    <w:rsid w:val="22FF8142"/>
    <w:rsid w:val="23008D9F"/>
    <w:rsid w:val="2301CF1A"/>
    <w:rsid w:val="23052AE6"/>
    <w:rsid w:val="230564DC"/>
    <w:rsid w:val="23121241"/>
    <w:rsid w:val="2314D631"/>
    <w:rsid w:val="232131D3"/>
    <w:rsid w:val="2324100D"/>
    <w:rsid w:val="2347E92D"/>
    <w:rsid w:val="238A13BA"/>
    <w:rsid w:val="239980AF"/>
    <w:rsid w:val="23AF7C36"/>
    <w:rsid w:val="23B9BD0D"/>
    <w:rsid w:val="23BBDFDC"/>
    <w:rsid w:val="23C2DAB8"/>
    <w:rsid w:val="23D7888D"/>
    <w:rsid w:val="23E0BBCC"/>
    <w:rsid w:val="23E1410D"/>
    <w:rsid w:val="23ED6537"/>
    <w:rsid w:val="240F93A7"/>
    <w:rsid w:val="241B5948"/>
    <w:rsid w:val="2440AEC0"/>
    <w:rsid w:val="244F305F"/>
    <w:rsid w:val="246FA27A"/>
    <w:rsid w:val="247A8748"/>
    <w:rsid w:val="249D5272"/>
    <w:rsid w:val="24AEF590"/>
    <w:rsid w:val="24B142D3"/>
    <w:rsid w:val="24BED89F"/>
    <w:rsid w:val="24C8BEE0"/>
    <w:rsid w:val="24DA77DB"/>
    <w:rsid w:val="2522BB16"/>
    <w:rsid w:val="2548E11C"/>
    <w:rsid w:val="258E276D"/>
    <w:rsid w:val="258F565F"/>
    <w:rsid w:val="259D9D86"/>
    <w:rsid w:val="259F4F55"/>
    <w:rsid w:val="25AFC024"/>
    <w:rsid w:val="25B266CE"/>
    <w:rsid w:val="25B76D9B"/>
    <w:rsid w:val="25E03101"/>
    <w:rsid w:val="25E12989"/>
    <w:rsid w:val="260FE3DE"/>
    <w:rsid w:val="261C9225"/>
    <w:rsid w:val="26205C87"/>
    <w:rsid w:val="26222F2C"/>
    <w:rsid w:val="262378FB"/>
    <w:rsid w:val="2659092B"/>
    <w:rsid w:val="2667249D"/>
    <w:rsid w:val="26710DC0"/>
    <w:rsid w:val="26738B71"/>
    <w:rsid w:val="268C4FB9"/>
    <w:rsid w:val="2698A4FB"/>
    <w:rsid w:val="26992992"/>
    <w:rsid w:val="269CC81A"/>
    <w:rsid w:val="26AFF21E"/>
    <w:rsid w:val="26BA2025"/>
    <w:rsid w:val="26C10BE2"/>
    <w:rsid w:val="26CD1A3B"/>
    <w:rsid w:val="26CF5F8E"/>
    <w:rsid w:val="26D2B4FC"/>
    <w:rsid w:val="26F5AF29"/>
    <w:rsid w:val="2712FDDE"/>
    <w:rsid w:val="2730BE46"/>
    <w:rsid w:val="2737BD46"/>
    <w:rsid w:val="27381B3E"/>
    <w:rsid w:val="273C0424"/>
    <w:rsid w:val="276757E3"/>
    <w:rsid w:val="2767CD00"/>
    <w:rsid w:val="277277FD"/>
    <w:rsid w:val="277BD1E5"/>
    <w:rsid w:val="27800B45"/>
    <w:rsid w:val="278CEF16"/>
    <w:rsid w:val="2793DC24"/>
    <w:rsid w:val="279B962A"/>
    <w:rsid w:val="27E86303"/>
    <w:rsid w:val="27EA2096"/>
    <w:rsid w:val="284028C7"/>
    <w:rsid w:val="28431BE7"/>
    <w:rsid w:val="284D45E9"/>
    <w:rsid w:val="285513B8"/>
    <w:rsid w:val="285A6599"/>
    <w:rsid w:val="285E4189"/>
    <w:rsid w:val="288A6EAD"/>
    <w:rsid w:val="28C84D4F"/>
    <w:rsid w:val="28E13C59"/>
    <w:rsid w:val="29052605"/>
    <w:rsid w:val="29069687"/>
    <w:rsid w:val="29594D98"/>
    <w:rsid w:val="298B700C"/>
    <w:rsid w:val="29B429FC"/>
    <w:rsid w:val="29BC824F"/>
    <w:rsid w:val="29C349BE"/>
    <w:rsid w:val="29D382EF"/>
    <w:rsid w:val="29EA6A2A"/>
    <w:rsid w:val="2A215AE0"/>
    <w:rsid w:val="2A2F8E28"/>
    <w:rsid w:val="2A3A4448"/>
    <w:rsid w:val="2A51F9C0"/>
    <w:rsid w:val="2A53FB9B"/>
    <w:rsid w:val="2A56956E"/>
    <w:rsid w:val="2A5D2235"/>
    <w:rsid w:val="2A5F632E"/>
    <w:rsid w:val="2A61C6EC"/>
    <w:rsid w:val="2A62D0D8"/>
    <w:rsid w:val="2A67C5A1"/>
    <w:rsid w:val="2A854D8B"/>
    <w:rsid w:val="2AFDD44A"/>
    <w:rsid w:val="2B010422"/>
    <w:rsid w:val="2B07B668"/>
    <w:rsid w:val="2B146FC1"/>
    <w:rsid w:val="2B1DB75A"/>
    <w:rsid w:val="2B1FBE4F"/>
    <w:rsid w:val="2B212022"/>
    <w:rsid w:val="2B4BD246"/>
    <w:rsid w:val="2B4D2F80"/>
    <w:rsid w:val="2B73AF6E"/>
    <w:rsid w:val="2B92BD2A"/>
    <w:rsid w:val="2BC4BC83"/>
    <w:rsid w:val="2BCBAD1F"/>
    <w:rsid w:val="2BECD740"/>
    <w:rsid w:val="2BF06C9F"/>
    <w:rsid w:val="2C08AD96"/>
    <w:rsid w:val="2C3EA665"/>
    <w:rsid w:val="2C5B1815"/>
    <w:rsid w:val="2C782D5B"/>
    <w:rsid w:val="2C7D5AC9"/>
    <w:rsid w:val="2C8DDEAC"/>
    <w:rsid w:val="2CBD5899"/>
    <w:rsid w:val="2CC60E83"/>
    <w:rsid w:val="2CC88137"/>
    <w:rsid w:val="2CCAF118"/>
    <w:rsid w:val="2CD38194"/>
    <w:rsid w:val="2CEE0540"/>
    <w:rsid w:val="2D069F90"/>
    <w:rsid w:val="2D0E2057"/>
    <w:rsid w:val="2D10EC23"/>
    <w:rsid w:val="2D2ADB73"/>
    <w:rsid w:val="2D367BDA"/>
    <w:rsid w:val="2D4A05AF"/>
    <w:rsid w:val="2D56B884"/>
    <w:rsid w:val="2D6B175E"/>
    <w:rsid w:val="2D78D63C"/>
    <w:rsid w:val="2D7B3111"/>
    <w:rsid w:val="2D7B5B98"/>
    <w:rsid w:val="2D88AE00"/>
    <w:rsid w:val="2D9AB0FD"/>
    <w:rsid w:val="2DF1631A"/>
    <w:rsid w:val="2E179163"/>
    <w:rsid w:val="2E28B66F"/>
    <w:rsid w:val="2E482512"/>
    <w:rsid w:val="2E49BB23"/>
    <w:rsid w:val="2E91446F"/>
    <w:rsid w:val="2EC5797C"/>
    <w:rsid w:val="2EDD2EA4"/>
    <w:rsid w:val="2EE848A1"/>
    <w:rsid w:val="2EEFB709"/>
    <w:rsid w:val="2F0A9121"/>
    <w:rsid w:val="2F20F98C"/>
    <w:rsid w:val="2F297188"/>
    <w:rsid w:val="2F454AB2"/>
    <w:rsid w:val="2F481F10"/>
    <w:rsid w:val="2F735D0F"/>
    <w:rsid w:val="2FBB0449"/>
    <w:rsid w:val="2FD93C5B"/>
    <w:rsid w:val="2FEBDAA1"/>
    <w:rsid w:val="2FECD422"/>
    <w:rsid w:val="2FFBF095"/>
    <w:rsid w:val="302CD07B"/>
    <w:rsid w:val="3032A357"/>
    <w:rsid w:val="30596416"/>
    <w:rsid w:val="305E4B19"/>
    <w:rsid w:val="307FE0A2"/>
    <w:rsid w:val="3091E1BB"/>
    <w:rsid w:val="30B90ACC"/>
    <w:rsid w:val="30BB6185"/>
    <w:rsid w:val="30DDC800"/>
    <w:rsid w:val="31639E3B"/>
    <w:rsid w:val="316419C8"/>
    <w:rsid w:val="31861EE5"/>
    <w:rsid w:val="318DE24B"/>
    <w:rsid w:val="31AD384D"/>
    <w:rsid w:val="31D464CB"/>
    <w:rsid w:val="31EAA4AA"/>
    <w:rsid w:val="31EBD84F"/>
    <w:rsid w:val="31F5F6F5"/>
    <w:rsid w:val="3201CAF6"/>
    <w:rsid w:val="320C9F04"/>
    <w:rsid w:val="3226AFCE"/>
    <w:rsid w:val="3229CF9F"/>
    <w:rsid w:val="3231FFB4"/>
    <w:rsid w:val="3235665E"/>
    <w:rsid w:val="323B5DCB"/>
    <w:rsid w:val="324DA0EB"/>
    <w:rsid w:val="327006FB"/>
    <w:rsid w:val="32960571"/>
    <w:rsid w:val="32973AD2"/>
    <w:rsid w:val="32A2CB61"/>
    <w:rsid w:val="32A9B5B1"/>
    <w:rsid w:val="32C84083"/>
    <w:rsid w:val="32C94BE0"/>
    <w:rsid w:val="32CC3510"/>
    <w:rsid w:val="32E2134C"/>
    <w:rsid w:val="32EBC9DB"/>
    <w:rsid w:val="32F228A7"/>
    <w:rsid w:val="32F3412A"/>
    <w:rsid w:val="32FCFB38"/>
    <w:rsid w:val="3307DA4D"/>
    <w:rsid w:val="33092C09"/>
    <w:rsid w:val="331272C6"/>
    <w:rsid w:val="331ED252"/>
    <w:rsid w:val="33425BAE"/>
    <w:rsid w:val="3354E0C8"/>
    <w:rsid w:val="335BC2D6"/>
    <w:rsid w:val="33814029"/>
    <w:rsid w:val="338F7070"/>
    <w:rsid w:val="33910125"/>
    <w:rsid w:val="33AF074E"/>
    <w:rsid w:val="33D92440"/>
    <w:rsid w:val="33DDD01C"/>
    <w:rsid w:val="33F1FBC4"/>
    <w:rsid w:val="34005302"/>
    <w:rsid w:val="3407423B"/>
    <w:rsid w:val="341832D3"/>
    <w:rsid w:val="3438D224"/>
    <w:rsid w:val="34452F4E"/>
    <w:rsid w:val="34482950"/>
    <w:rsid w:val="346D5D4B"/>
    <w:rsid w:val="34787E44"/>
    <w:rsid w:val="347D16EC"/>
    <w:rsid w:val="347D58E2"/>
    <w:rsid w:val="34A095CE"/>
    <w:rsid w:val="34B962F3"/>
    <w:rsid w:val="351107B0"/>
    <w:rsid w:val="351E67C3"/>
    <w:rsid w:val="356469C0"/>
    <w:rsid w:val="357BBAF2"/>
    <w:rsid w:val="35C428EE"/>
    <w:rsid w:val="35F212F9"/>
    <w:rsid w:val="35FED127"/>
    <w:rsid w:val="3616A44B"/>
    <w:rsid w:val="36199FDF"/>
    <w:rsid w:val="362776DA"/>
    <w:rsid w:val="366C422D"/>
    <w:rsid w:val="36801520"/>
    <w:rsid w:val="368D9DA6"/>
    <w:rsid w:val="3693CD82"/>
    <w:rsid w:val="36B0E796"/>
    <w:rsid w:val="36C65815"/>
    <w:rsid w:val="36C9832F"/>
    <w:rsid w:val="36DE7D55"/>
    <w:rsid w:val="36DF6BBA"/>
    <w:rsid w:val="37194E4E"/>
    <w:rsid w:val="3733B4D3"/>
    <w:rsid w:val="373ED20B"/>
    <w:rsid w:val="37524E7D"/>
    <w:rsid w:val="377D9873"/>
    <w:rsid w:val="3790D16B"/>
    <w:rsid w:val="3794B109"/>
    <w:rsid w:val="379A35B9"/>
    <w:rsid w:val="37B97ECE"/>
    <w:rsid w:val="37CDECF9"/>
    <w:rsid w:val="37D1FFBC"/>
    <w:rsid w:val="37D41C7C"/>
    <w:rsid w:val="37EA73E6"/>
    <w:rsid w:val="37EB8E00"/>
    <w:rsid w:val="3813AA7C"/>
    <w:rsid w:val="381E01DD"/>
    <w:rsid w:val="3825B4FC"/>
    <w:rsid w:val="383ADEED"/>
    <w:rsid w:val="3857CF15"/>
    <w:rsid w:val="389276B4"/>
    <w:rsid w:val="38998178"/>
    <w:rsid w:val="38B65CA9"/>
    <w:rsid w:val="38C6BEC0"/>
    <w:rsid w:val="38EB54E4"/>
    <w:rsid w:val="38EE1B24"/>
    <w:rsid w:val="3932AC28"/>
    <w:rsid w:val="3934F24A"/>
    <w:rsid w:val="3942866F"/>
    <w:rsid w:val="3942C78B"/>
    <w:rsid w:val="395429EB"/>
    <w:rsid w:val="3963A243"/>
    <w:rsid w:val="39676A0C"/>
    <w:rsid w:val="397FE233"/>
    <w:rsid w:val="39841983"/>
    <w:rsid w:val="3989C284"/>
    <w:rsid w:val="399BA5B9"/>
    <w:rsid w:val="39E80224"/>
    <w:rsid w:val="3A0DE1B1"/>
    <w:rsid w:val="3A0EF125"/>
    <w:rsid w:val="3A189BC4"/>
    <w:rsid w:val="3A3A9C46"/>
    <w:rsid w:val="3A4BB8D6"/>
    <w:rsid w:val="3A725EC9"/>
    <w:rsid w:val="3A8B91A6"/>
    <w:rsid w:val="3AA80A36"/>
    <w:rsid w:val="3AB350C0"/>
    <w:rsid w:val="3AB611E7"/>
    <w:rsid w:val="3AD23AEC"/>
    <w:rsid w:val="3AE84B47"/>
    <w:rsid w:val="3AEDC4DE"/>
    <w:rsid w:val="3AF7E7D8"/>
    <w:rsid w:val="3B2685EE"/>
    <w:rsid w:val="3B306554"/>
    <w:rsid w:val="3B328918"/>
    <w:rsid w:val="3B6B6C38"/>
    <w:rsid w:val="3B72AD0B"/>
    <w:rsid w:val="3B72C7DA"/>
    <w:rsid w:val="3B85A2A5"/>
    <w:rsid w:val="3B897584"/>
    <w:rsid w:val="3B9EEE07"/>
    <w:rsid w:val="3BDDD532"/>
    <w:rsid w:val="3BF31EFB"/>
    <w:rsid w:val="3BF89900"/>
    <w:rsid w:val="3C0278B6"/>
    <w:rsid w:val="3C0EA0DF"/>
    <w:rsid w:val="3C3FDBF6"/>
    <w:rsid w:val="3C81579E"/>
    <w:rsid w:val="3CA8815D"/>
    <w:rsid w:val="3CC0E369"/>
    <w:rsid w:val="3CFECAC0"/>
    <w:rsid w:val="3D20291A"/>
    <w:rsid w:val="3D618E97"/>
    <w:rsid w:val="3D784C75"/>
    <w:rsid w:val="3D7B1B89"/>
    <w:rsid w:val="3D808DD9"/>
    <w:rsid w:val="3D808FD9"/>
    <w:rsid w:val="3D87533C"/>
    <w:rsid w:val="3DC0B826"/>
    <w:rsid w:val="3DCA65A8"/>
    <w:rsid w:val="3DD0BC0E"/>
    <w:rsid w:val="3DD3FADE"/>
    <w:rsid w:val="3DD41C54"/>
    <w:rsid w:val="3DD878D7"/>
    <w:rsid w:val="3DE17EBD"/>
    <w:rsid w:val="3DFAB274"/>
    <w:rsid w:val="3E1EC9C6"/>
    <w:rsid w:val="3E55CA22"/>
    <w:rsid w:val="3E5D18C4"/>
    <w:rsid w:val="3E60DDA7"/>
    <w:rsid w:val="3E914CF2"/>
    <w:rsid w:val="3EAE9401"/>
    <w:rsid w:val="3EDE9636"/>
    <w:rsid w:val="3EF85684"/>
    <w:rsid w:val="3F0C0A19"/>
    <w:rsid w:val="3F15CF27"/>
    <w:rsid w:val="3F205AE2"/>
    <w:rsid w:val="3F57C013"/>
    <w:rsid w:val="3F6609D5"/>
    <w:rsid w:val="3F6CFB7F"/>
    <w:rsid w:val="3F6DBC02"/>
    <w:rsid w:val="3FDB12CA"/>
    <w:rsid w:val="400D3E15"/>
    <w:rsid w:val="400E959D"/>
    <w:rsid w:val="400FFB41"/>
    <w:rsid w:val="40200730"/>
    <w:rsid w:val="40BDAA13"/>
    <w:rsid w:val="40DF4EE9"/>
    <w:rsid w:val="4126B6A9"/>
    <w:rsid w:val="415275E1"/>
    <w:rsid w:val="4156CB5D"/>
    <w:rsid w:val="41797BF5"/>
    <w:rsid w:val="417EBD9E"/>
    <w:rsid w:val="41CD00A0"/>
    <w:rsid w:val="41D2D70E"/>
    <w:rsid w:val="41DE7690"/>
    <w:rsid w:val="41DF5DB4"/>
    <w:rsid w:val="421177B6"/>
    <w:rsid w:val="423FD498"/>
    <w:rsid w:val="4242E93D"/>
    <w:rsid w:val="42546FF7"/>
    <w:rsid w:val="425A58D2"/>
    <w:rsid w:val="425D9EEF"/>
    <w:rsid w:val="4278E44D"/>
    <w:rsid w:val="429C2ECE"/>
    <w:rsid w:val="42C4C524"/>
    <w:rsid w:val="42D9E932"/>
    <w:rsid w:val="42E75D30"/>
    <w:rsid w:val="42EEC16D"/>
    <w:rsid w:val="42FEE41E"/>
    <w:rsid w:val="43019E9A"/>
    <w:rsid w:val="4304EE3A"/>
    <w:rsid w:val="43143727"/>
    <w:rsid w:val="432F640B"/>
    <w:rsid w:val="434B7DAC"/>
    <w:rsid w:val="436ED558"/>
    <w:rsid w:val="4380BC20"/>
    <w:rsid w:val="4387C5C2"/>
    <w:rsid w:val="43AFF1F6"/>
    <w:rsid w:val="43AFFE53"/>
    <w:rsid w:val="43B44F32"/>
    <w:rsid w:val="441E060D"/>
    <w:rsid w:val="441ED96F"/>
    <w:rsid w:val="44310228"/>
    <w:rsid w:val="443ACB43"/>
    <w:rsid w:val="44440EAC"/>
    <w:rsid w:val="44513AEA"/>
    <w:rsid w:val="4454B7ED"/>
    <w:rsid w:val="4464F647"/>
    <w:rsid w:val="447391E3"/>
    <w:rsid w:val="449361D2"/>
    <w:rsid w:val="449C3E0D"/>
    <w:rsid w:val="44C68AAC"/>
    <w:rsid w:val="44CFB823"/>
    <w:rsid w:val="44D0A970"/>
    <w:rsid w:val="44E3337C"/>
    <w:rsid w:val="450137D3"/>
    <w:rsid w:val="450DEFE3"/>
    <w:rsid w:val="452110A4"/>
    <w:rsid w:val="4525A6F7"/>
    <w:rsid w:val="4537310E"/>
    <w:rsid w:val="45427ACC"/>
    <w:rsid w:val="454388A0"/>
    <w:rsid w:val="4581C7A1"/>
    <w:rsid w:val="458784C9"/>
    <w:rsid w:val="45C242E5"/>
    <w:rsid w:val="45CF1E8C"/>
    <w:rsid w:val="45DF09CC"/>
    <w:rsid w:val="45F801A7"/>
    <w:rsid w:val="45FA9B2D"/>
    <w:rsid w:val="4606AD51"/>
    <w:rsid w:val="460BB386"/>
    <w:rsid w:val="46308BE9"/>
    <w:rsid w:val="4630B188"/>
    <w:rsid w:val="4632FAFE"/>
    <w:rsid w:val="463EC560"/>
    <w:rsid w:val="46511332"/>
    <w:rsid w:val="46522EC1"/>
    <w:rsid w:val="4671F6A9"/>
    <w:rsid w:val="46989CDF"/>
    <w:rsid w:val="469EAD6E"/>
    <w:rsid w:val="46B7E4BC"/>
    <w:rsid w:val="46BA3B60"/>
    <w:rsid w:val="46E8E048"/>
    <w:rsid w:val="46F1CE27"/>
    <w:rsid w:val="46FA1F7C"/>
    <w:rsid w:val="4709531C"/>
    <w:rsid w:val="470C1D50"/>
    <w:rsid w:val="470E6F8F"/>
    <w:rsid w:val="4713A2CB"/>
    <w:rsid w:val="472A753D"/>
    <w:rsid w:val="4747B124"/>
    <w:rsid w:val="47506CB7"/>
    <w:rsid w:val="47589F67"/>
    <w:rsid w:val="4759EC09"/>
    <w:rsid w:val="47671CE6"/>
    <w:rsid w:val="4767CDE6"/>
    <w:rsid w:val="478AFF57"/>
    <w:rsid w:val="4792CA57"/>
    <w:rsid w:val="47D2CF9F"/>
    <w:rsid w:val="47DFEAF4"/>
    <w:rsid w:val="47EB35BE"/>
    <w:rsid w:val="48262B09"/>
    <w:rsid w:val="48267216"/>
    <w:rsid w:val="482A104B"/>
    <w:rsid w:val="484B06C2"/>
    <w:rsid w:val="4895A472"/>
    <w:rsid w:val="48A1E762"/>
    <w:rsid w:val="48C1E923"/>
    <w:rsid w:val="48F4F4E3"/>
    <w:rsid w:val="490BCEF0"/>
    <w:rsid w:val="4923F86E"/>
    <w:rsid w:val="49309FC9"/>
    <w:rsid w:val="4930D09E"/>
    <w:rsid w:val="493218BB"/>
    <w:rsid w:val="495323E4"/>
    <w:rsid w:val="49B58A7F"/>
    <w:rsid w:val="49BF5583"/>
    <w:rsid w:val="49D78FC4"/>
    <w:rsid w:val="49DE9DAE"/>
    <w:rsid w:val="49DF8A74"/>
    <w:rsid w:val="49E533E9"/>
    <w:rsid w:val="4A23D13F"/>
    <w:rsid w:val="4A307B16"/>
    <w:rsid w:val="4A44C5D1"/>
    <w:rsid w:val="4A55514B"/>
    <w:rsid w:val="4AA8F73C"/>
    <w:rsid w:val="4AD946B8"/>
    <w:rsid w:val="4AEB69DA"/>
    <w:rsid w:val="4AF4D8C8"/>
    <w:rsid w:val="4AF9D7E0"/>
    <w:rsid w:val="4B099896"/>
    <w:rsid w:val="4B28D6B6"/>
    <w:rsid w:val="4B3A6005"/>
    <w:rsid w:val="4B5C3B81"/>
    <w:rsid w:val="4B618BD4"/>
    <w:rsid w:val="4B63E172"/>
    <w:rsid w:val="4B734D4B"/>
    <w:rsid w:val="4B7E8AC6"/>
    <w:rsid w:val="4B881A9F"/>
    <w:rsid w:val="4B9666FF"/>
    <w:rsid w:val="4BA667E4"/>
    <w:rsid w:val="4BB42301"/>
    <w:rsid w:val="4C085FFF"/>
    <w:rsid w:val="4C09826E"/>
    <w:rsid w:val="4C464983"/>
    <w:rsid w:val="4C5FF839"/>
    <w:rsid w:val="4C814569"/>
    <w:rsid w:val="4C8BE6E2"/>
    <w:rsid w:val="4CB5D5E4"/>
    <w:rsid w:val="4CB879AA"/>
    <w:rsid w:val="4CBEF40A"/>
    <w:rsid w:val="4CD4FC33"/>
    <w:rsid w:val="4D0B990D"/>
    <w:rsid w:val="4D1C830C"/>
    <w:rsid w:val="4D54C9BA"/>
    <w:rsid w:val="4D866759"/>
    <w:rsid w:val="4DD9F425"/>
    <w:rsid w:val="4DFDDB35"/>
    <w:rsid w:val="4E0CDC47"/>
    <w:rsid w:val="4E44E2C4"/>
    <w:rsid w:val="4E48D0A7"/>
    <w:rsid w:val="4E50B1BB"/>
    <w:rsid w:val="4E81D354"/>
    <w:rsid w:val="4E91A48F"/>
    <w:rsid w:val="4E948551"/>
    <w:rsid w:val="4EF188D8"/>
    <w:rsid w:val="4EF551A0"/>
    <w:rsid w:val="4F00A6F9"/>
    <w:rsid w:val="4F028B9C"/>
    <w:rsid w:val="4F0FE827"/>
    <w:rsid w:val="4F19E330"/>
    <w:rsid w:val="4F1C2D07"/>
    <w:rsid w:val="4F2A0F7B"/>
    <w:rsid w:val="4F4465A3"/>
    <w:rsid w:val="4F7D4EEE"/>
    <w:rsid w:val="4F925C47"/>
    <w:rsid w:val="4FA2251A"/>
    <w:rsid w:val="4FA3D9E3"/>
    <w:rsid w:val="4FC9A175"/>
    <w:rsid w:val="4FDA2139"/>
    <w:rsid w:val="4FFA0777"/>
    <w:rsid w:val="4FFD14F3"/>
    <w:rsid w:val="500D8DC7"/>
    <w:rsid w:val="500F5B1E"/>
    <w:rsid w:val="5017FFC2"/>
    <w:rsid w:val="501DA8A5"/>
    <w:rsid w:val="505C8F3C"/>
    <w:rsid w:val="505CFF7B"/>
    <w:rsid w:val="506DF43C"/>
    <w:rsid w:val="50763457"/>
    <w:rsid w:val="5079542C"/>
    <w:rsid w:val="508A4C51"/>
    <w:rsid w:val="50BA2753"/>
    <w:rsid w:val="50CECC1F"/>
    <w:rsid w:val="50CF2521"/>
    <w:rsid w:val="510274B8"/>
    <w:rsid w:val="51246993"/>
    <w:rsid w:val="512F76EC"/>
    <w:rsid w:val="513B54AD"/>
    <w:rsid w:val="5141AB46"/>
    <w:rsid w:val="5148408C"/>
    <w:rsid w:val="516A15C2"/>
    <w:rsid w:val="516B05DE"/>
    <w:rsid w:val="51AC64FD"/>
    <w:rsid w:val="51BE1271"/>
    <w:rsid w:val="51C2249B"/>
    <w:rsid w:val="51DC0D27"/>
    <w:rsid w:val="5219B9F2"/>
    <w:rsid w:val="5222755E"/>
    <w:rsid w:val="52253B9E"/>
    <w:rsid w:val="52441597"/>
    <w:rsid w:val="52482D5B"/>
    <w:rsid w:val="525450CB"/>
    <w:rsid w:val="5261A6E9"/>
    <w:rsid w:val="52717078"/>
    <w:rsid w:val="52750A0D"/>
    <w:rsid w:val="527C9ACD"/>
    <w:rsid w:val="52828CFC"/>
    <w:rsid w:val="5284EBC1"/>
    <w:rsid w:val="52888C6A"/>
    <w:rsid w:val="528B7A36"/>
    <w:rsid w:val="529BC3DD"/>
    <w:rsid w:val="52A43C64"/>
    <w:rsid w:val="52C6780D"/>
    <w:rsid w:val="52C9503C"/>
    <w:rsid w:val="52CD772C"/>
    <w:rsid w:val="52EA2752"/>
    <w:rsid w:val="52F5DFB3"/>
    <w:rsid w:val="52F785BE"/>
    <w:rsid w:val="5321954E"/>
    <w:rsid w:val="5321DA0C"/>
    <w:rsid w:val="5340789A"/>
    <w:rsid w:val="535E9BE1"/>
    <w:rsid w:val="536A654F"/>
    <w:rsid w:val="53735405"/>
    <w:rsid w:val="53789B5D"/>
    <w:rsid w:val="537DB569"/>
    <w:rsid w:val="5388D41B"/>
    <w:rsid w:val="5395B588"/>
    <w:rsid w:val="53A09E9B"/>
    <w:rsid w:val="53B37E63"/>
    <w:rsid w:val="53CAD64A"/>
    <w:rsid w:val="53F2AFA4"/>
    <w:rsid w:val="53F48328"/>
    <w:rsid w:val="541591D7"/>
    <w:rsid w:val="544A95E8"/>
    <w:rsid w:val="544D248A"/>
    <w:rsid w:val="545C70D9"/>
    <w:rsid w:val="54655BCD"/>
    <w:rsid w:val="547B3D52"/>
    <w:rsid w:val="549B94AA"/>
    <w:rsid w:val="54E221AE"/>
    <w:rsid w:val="54E2FDA6"/>
    <w:rsid w:val="5515F10E"/>
    <w:rsid w:val="5523F9A4"/>
    <w:rsid w:val="552E097D"/>
    <w:rsid w:val="5533864E"/>
    <w:rsid w:val="553B2BDE"/>
    <w:rsid w:val="555B5382"/>
    <w:rsid w:val="556CF146"/>
    <w:rsid w:val="55706AC6"/>
    <w:rsid w:val="55815C4F"/>
    <w:rsid w:val="558D3F65"/>
    <w:rsid w:val="55BD15AD"/>
    <w:rsid w:val="55E51E1D"/>
    <w:rsid w:val="5619402B"/>
    <w:rsid w:val="5622A309"/>
    <w:rsid w:val="563BEC81"/>
    <w:rsid w:val="5659E55B"/>
    <w:rsid w:val="5678D421"/>
    <w:rsid w:val="5683B1B0"/>
    <w:rsid w:val="568D4E84"/>
    <w:rsid w:val="56A9A9D7"/>
    <w:rsid w:val="56B6D327"/>
    <w:rsid w:val="56BE59CB"/>
    <w:rsid w:val="56C5F729"/>
    <w:rsid w:val="570FBC52"/>
    <w:rsid w:val="5734495B"/>
    <w:rsid w:val="575619AD"/>
    <w:rsid w:val="578A391C"/>
    <w:rsid w:val="5797ABFB"/>
    <w:rsid w:val="57B8B6BB"/>
    <w:rsid w:val="57C9D6EA"/>
    <w:rsid w:val="57FB500B"/>
    <w:rsid w:val="582181D6"/>
    <w:rsid w:val="5826076E"/>
    <w:rsid w:val="5839FCE9"/>
    <w:rsid w:val="585CD57F"/>
    <w:rsid w:val="5867F6A3"/>
    <w:rsid w:val="58740F0B"/>
    <w:rsid w:val="5883EF28"/>
    <w:rsid w:val="58888835"/>
    <w:rsid w:val="58A7AA80"/>
    <w:rsid w:val="58BCA0D0"/>
    <w:rsid w:val="590FDE64"/>
    <w:rsid w:val="591C3FDB"/>
    <w:rsid w:val="59328D1C"/>
    <w:rsid w:val="59373745"/>
    <w:rsid w:val="5942270C"/>
    <w:rsid w:val="59477464"/>
    <w:rsid w:val="595485AA"/>
    <w:rsid w:val="595C1D3B"/>
    <w:rsid w:val="596B1182"/>
    <w:rsid w:val="59708FDA"/>
    <w:rsid w:val="597C8723"/>
    <w:rsid w:val="59A32DDA"/>
    <w:rsid w:val="59A82DE2"/>
    <w:rsid w:val="59ACD56A"/>
    <w:rsid w:val="59CA7F88"/>
    <w:rsid w:val="59D36002"/>
    <w:rsid w:val="5A28F258"/>
    <w:rsid w:val="5A31990D"/>
    <w:rsid w:val="5A3E149C"/>
    <w:rsid w:val="5A414A5F"/>
    <w:rsid w:val="5A59A274"/>
    <w:rsid w:val="5A730AAE"/>
    <w:rsid w:val="5A914390"/>
    <w:rsid w:val="5AB81C01"/>
    <w:rsid w:val="5AD224C2"/>
    <w:rsid w:val="5B02F5C4"/>
    <w:rsid w:val="5B05289F"/>
    <w:rsid w:val="5B1376B5"/>
    <w:rsid w:val="5B1442A5"/>
    <w:rsid w:val="5B277B52"/>
    <w:rsid w:val="5B28AE18"/>
    <w:rsid w:val="5B4938CD"/>
    <w:rsid w:val="5B5D99F4"/>
    <w:rsid w:val="5B60E709"/>
    <w:rsid w:val="5B69C377"/>
    <w:rsid w:val="5B6D61C5"/>
    <w:rsid w:val="5B9665E9"/>
    <w:rsid w:val="5B9FBBA9"/>
    <w:rsid w:val="5BB0F02C"/>
    <w:rsid w:val="5BB8F817"/>
    <w:rsid w:val="5BC5E59D"/>
    <w:rsid w:val="5BC80EE8"/>
    <w:rsid w:val="5BCD16B4"/>
    <w:rsid w:val="5BD9B86E"/>
    <w:rsid w:val="5BE7F2B3"/>
    <w:rsid w:val="5BF03B52"/>
    <w:rsid w:val="5C04883A"/>
    <w:rsid w:val="5C20DC02"/>
    <w:rsid w:val="5C5472A7"/>
    <w:rsid w:val="5C5EC89E"/>
    <w:rsid w:val="5C738E66"/>
    <w:rsid w:val="5C77C63F"/>
    <w:rsid w:val="5C90D2DC"/>
    <w:rsid w:val="5CA1B5A5"/>
    <w:rsid w:val="5CB7A95A"/>
    <w:rsid w:val="5CBD2E06"/>
    <w:rsid w:val="5D023B6D"/>
    <w:rsid w:val="5D0283B9"/>
    <w:rsid w:val="5D04E4CA"/>
    <w:rsid w:val="5D08C379"/>
    <w:rsid w:val="5D0D44F4"/>
    <w:rsid w:val="5D106E9B"/>
    <w:rsid w:val="5D1B6ED5"/>
    <w:rsid w:val="5D4B7328"/>
    <w:rsid w:val="5D89E98B"/>
    <w:rsid w:val="5D91D72A"/>
    <w:rsid w:val="5D969282"/>
    <w:rsid w:val="5DAD17FE"/>
    <w:rsid w:val="5DB1C97A"/>
    <w:rsid w:val="5DB31DF5"/>
    <w:rsid w:val="5E01D3A9"/>
    <w:rsid w:val="5E07189E"/>
    <w:rsid w:val="5E15CB56"/>
    <w:rsid w:val="5E37DC31"/>
    <w:rsid w:val="5E3BEF63"/>
    <w:rsid w:val="5E4F9F4B"/>
    <w:rsid w:val="5E533724"/>
    <w:rsid w:val="5E5E463B"/>
    <w:rsid w:val="5E6769C1"/>
    <w:rsid w:val="5E72787E"/>
    <w:rsid w:val="5E7954FB"/>
    <w:rsid w:val="5E7B51F6"/>
    <w:rsid w:val="5E8610A7"/>
    <w:rsid w:val="5EA35ADC"/>
    <w:rsid w:val="5EB06C9B"/>
    <w:rsid w:val="5EB61A91"/>
    <w:rsid w:val="5EC1D93A"/>
    <w:rsid w:val="5EDE954E"/>
    <w:rsid w:val="5EDF1F89"/>
    <w:rsid w:val="5EF57AE7"/>
    <w:rsid w:val="5F05F388"/>
    <w:rsid w:val="5F1E711D"/>
    <w:rsid w:val="5F27E6B7"/>
    <w:rsid w:val="5F53B2B0"/>
    <w:rsid w:val="5F661BC3"/>
    <w:rsid w:val="5F66335E"/>
    <w:rsid w:val="5FC99B70"/>
    <w:rsid w:val="5FE1133D"/>
    <w:rsid w:val="600A8868"/>
    <w:rsid w:val="600F0693"/>
    <w:rsid w:val="60406936"/>
    <w:rsid w:val="604E73E9"/>
    <w:rsid w:val="6060A092"/>
    <w:rsid w:val="607CECA0"/>
    <w:rsid w:val="6085C1C7"/>
    <w:rsid w:val="608732B3"/>
    <w:rsid w:val="60A75B62"/>
    <w:rsid w:val="60D3592C"/>
    <w:rsid w:val="6106326A"/>
    <w:rsid w:val="612BC637"/>
    <w:rsid w:val="61468ECE"/>
    <w:rsid w:val="616657FF"/>
    <w:rsid w:val="6189F34C"/>
    <w:rsid w:val="6192ABD9"/>
    <w:rsid w:val="61A8908E"/>
    <w:rsid w:val="61C27506"/>
    <w:rsid w:val="61D129BE"/>
    <w:rsid w:val="61D1FD4C"/>
    <w:rsid w:val="61D5F2D9"/>
    <w:rsid w:val="61ECC042"/>
    <w:rsid w:val="621BE9AB"/>
    <w:rsid w:val="622FB9EE"/>
    <w:rsid w:val="622FFC25"/>
    <w:rsid w:val="62310BF8"/>
    <w:rsid w:val="623C8DF4"/>
    <w:rsid w:val="62994609"/>
    <w:rsid w:val="62BD7DEF"/>
    <w:rsid w:val="62C1948C"/>
    <w:rsid w:val="62CC4430"/>
    <w:rsid w:val="62E99846"/>
    <w:rsid w:val="62F1A60E"/>
    <w:rsid w:val="6329A1E6"/>
    <w:rsid w:val="633EDBC6"/>
    <w:rsid w:val="6345C70D"/>
    <w:rsid w:val="6359777C"/>
    <w:rsid w:val="636137C2"/>
    <w:rsid w:val="63793C63"/>
    <w:rsid w:val="6392B554"/>
    <w:rsid w:val="6393E251"/>
    <w:rsid w:val="639507B5"/>
    <w:rsid w:val="63D1E1A8"/>
    <w:rsid w:val="63E938C6"/>
    <w:rsid w:val="63FB2229"/>
    <w:rsid w:val="64071B66"/>
    <w:rsid w:val="641DAE9C"/>
    <w:rsid w:val="64324EF4"/>
    <w:rsid w:val="6432F88F"/>
    <w:rsid w:val="643F0C8C"/>
    <w:rsid w:val="645CEA9E"/>
    <w:rsid w:val="6466C6D7"/>
    <w:rsid w:val="6474AF9F"/>
    <w:rsid w:val="64A155ED"/>
    <w:rsid w:val="64BC282A"/>
    <w:rsid w:val="64E5A8DA"/>
    <w:rsid w:val="64F18937"/>
    <w:rsid w:val="64F2536B"/>
    <w:rsid w:val="6539FF18"/>
    <w:rsid w:val="655CD63E"/>
    <w:rsid w:val="6584948B"/>
    <w:rsid w:val="658EDE69"/>
    <w:rsid w:val="65F710FE"/>
    <w:rsid w:val="660A5C44"/>
    <w:rsid w:val="660C7C80"/>
    <w:rsid w:val="6615E690"/>
    <w:rsid w:val="661B0826"/>
    <w:rsid w:val="66223EA0"/>
    <w:rsid w:val="665B2C35"/>
    <w:rsid w:val="66682609"/>
    <w:rsid w:val="66859992"/>
    <w:rsid w:val="668D2E3F"/>
    <w:rsid w:val="66975081"/>
    <w:rsid w:val="66A6929F"/>
    <w:rsid w:val="66AA2BA2"/>
    <w:rsid w:val="66D66F62"/>
    <w:rsid w:val="66FDBD1F"/>
    <w:rsid w:val="670EAD48"/>
    <w:rsid w:val="671E4D97"/>
    <w:rsid w:val="676639EE"/>
    <w:rsid w:val="677B7E01"/>
    <w:rsid w:val="679489C4"/>
    <w:rsid w:val="67A49260"/>
    <w:rsid w:val="67A6ED82"/>
    <w:rsid w:val="67BB3CB7"/>
    <w:rsid w:val="67D6E220"/>
    <w:rsid w:val="67E0A333"/>
    <w:rsid w:val="67E273D2"/>
    <w:rsid w:val="67E43E5F"/>
    <w:rsid w:val="67F446A0"/>
    <w:rsid w:val="67F5A91F"/>
    <w:rsid w:val="68020552"/>
    <w:rsid w:val="68030E19"/>
    <w:rsid w:val="680607C1"/>
    <w:rsid w:val="681B39AF"/>
    <w:rsid w:val="682534EC"/>
    <w:rsid w:val="68314A8B"/>
    <w:rsid w:val="6834C13B"/>
    <w:rsid w:val="684EB4FC"/>
    <w:rsid w:val="68A0268C"/>
    <w:rsid w:val="68A7E43B"/>
    <w:rsid w:val="68BC7E6D"/>
    <w:rsid w:val="68BF722E"/>
    <w:rsid w:val="68E1FCD3"/>
    <w:rsid w:val="6907C074"/>
    <w:rsid w:val="6923D888"/>
    <w:rsid w:val="6929C3B9"/>
    <w:rsid w:val="6954741B"/>
    <w:rsid w:val="695833F5"/>
    <w:rsid w:val="696DF37D"/>
    <w:rsid w:val="699A21C5"/>
    <w:rsid w:val="69AC4D15"/>
    <w:rsid w:val="69B6C26C"/>
    <w:rsid w:val="69F835BC"/>
    <w:rsid w:val="6A1643BC"/>
    <w:rsid w:val="6A19C496"/>
    <w:rsid w:val="6A1AFB90"/>
    <w:rsid w:val="6A25FDB8"/>
    <w:rsid w:val="6A3E28C3"/>
    <w:rsid w:val="6A722F4D"/>
    <w:rsid w:val="6A7C2D08"/>
    <w:rsid w:val="6A86A119"/>
    <w:rsid w:val="6AD24AA2"/>
    <w:rsid w:val="6AF31613"/>
    <w:rsid w:val="6AFFB813"/>
    <w:rsid w:val="6B0C57D3"/>
    <w:rsid w:val="6B18CC2D"/>
    <w:rsid w:val="6B44A4B5"/>
    <w:rsid w:val="6B9F8DC0"/>
    <w:rsid w:val="6BA5460B"/>
    <w:rsid w:val="6BB1344E"/>
    <w:rsid w:val="6BB28791"/>
    <w:rsid w:val="6BC124B4"/>
    <w:rsid w:val="6BC28485"/>
    <w:rsid w:val="6BEA04DC"/>
    <w:rsid w:val="6C357F6C"/>
    <w:rsid w:val="6C687085"/>
    <w:rsid w:val="6C8A8495"/>
    <w:rsid w:val="6C8D9AA5"/>
    <w:rsid w:val="6C9436D8"/>
    <w:rsid w:val="6C974CD8"/>
    <w:rsid w:val="6CA3A6A5"/>
    <w:rsid w:val="6CB9CDA0"/>
    <w:rsid w:val="6CD1FF98"/>
    <w:rsid w:val="6CE2653B"/>
    <w:rsid w:val="6D0470FC"/>
    <w:rsid w:val="6D285CF9"/>
    <w:rsid w:val="6D2F2325"/>
    <w:rsid w:val="6D3A392F"/>
    <w:rsid w:val="6D3B3EF8"/>
    <w:rsid w:val="6D3DC1E7"/>
    <w:rsid w:val="6D4E8CF2"/>
    <w:rsid w:val="6D7B7DD1"/>
    <w:rsid w:val="6D9D0614"/>
    <w:rsid w:val="6DAEDD45"/>
    <w:rsid w:val="6DE348B0"/>
    <w:rsid w:val="6DE44BFA"/>
    <w:rsid w:val="6DEDE15D"/>
    <w:rsid w:val="6DF2C71A"/>
    <w:rsid w:val="6E05F80C"/>
    <w:rsid w:val="6E0E7039"/>
    <w:rsid w:val="6E25EF08"/>
    <w:rsid w:val="6E2A1233"/>
    <w:rsid w:val="6E4D5490"/>
    <w:rsid w:val="6E528D32"/>
    <w:rsid w:val="6E6458DC"/>
    <w:rsid w:val="6E67EF5F"/>
    <w:rsid w:val="6E80B011"/>
    <w:rsid w:val="6E8A8841"/>
    <w:rsid w:val="6E8B4B1C"/>
    <w:rsid w:val="6E917489"/>
    <w:rsid w:val="6E95EDE1"/>
    <w:rsid w:val="6EC1F584"/>
    <w:rsid w:val="6EC446AC"/>
    <w:rsid w:val="6ECA3301"/>
    <w:rsid w:val="6EDEA255"/>
    <w:rsid w:val="6EE0AA46"/>
    <w:rsid w:val="6EF00474"/>
    <w:rsid w:val="6EF2698C"/>
    <w:rsid w:val="6F0294E6"/>
    <w:rsid w:val="6F047139"/>
    <w:rsid w:val="6F04FAEB"/>
    <w:rsid w:val="6F06EFED"/>
    <w:rsid w:val="6F1BCDB5"/>
    <w:rsid w:val="6F3A0EF2"/>
    <w:rsid w:val="6F3B40ED"/>
    <w:rsid w:val="6F483BB9"/>
    <w:rsid w:val="6F64FBC8"/>
    <w:rsid w:val="6F69A252"/>
    <w:rsid w:val="6F6C93A7"/>
    <w:rsid w:val="6F87FD67"/>
    <w:rsid w:val="6F96C02E"/>
    <w:rsid w:val="6FAEEB2C"/>
    <w:rsid w:val="6FB96E0D"/>
    <w:rsid w:val="6FBD2948"/>
    <w:rsid w:val="6FDA552B"/>
    <w:rsid w:val="6FDA6F5C"/>
    <w:rsid w:val="6FE8AA50"/>
    <w:rsid w:val="6FE92C45"/>
    <w:rsid w:val="6FEDDD3C"/>
    <w:rsid w:val="700D9876"/>
    <w:rsid w:val="7015C001"/>
    <w:rsid w:val="701BCD0F"/>
    <w:rsid w:val="70217F87"/>
    <w:rsid w:val="7024B4F4"/>
    <w:rsid w:val="70331AE5"/>
    <w:rsid w:val="705BE0F8"/>
    <w:rsid w:val="707AF13E"/>
    <w:rsid w:val="707DEF78"/>
    <w:rsid w:val="70B32631"/>
    <w:rsid w:val="70B400C0"/>
    <w:rsid w:val="70D0ECC0"/>
    <w:rsid w:val="70D2F59D"/>
    <w:rsid w:val="70EB7DE9"/>
    <w:rsid w:val="70FC1133"/>
    <w:rsid w:val="710DEDB5"/>
    <w:rsid w:val="711530DE"/>
    <w:rsid w:val="712702EB"/>
    <w:rsid w:val="71304029"/>
    <w:rsid w:val="71363BBD"/>
    <w:rsid w:val="714E5507"/>
    <w:rsid w:val="71A53AAE"/>
    <w:rsid w:val="71ACA78E"/>
    <w:rsid w:val="71BF2D2D"/>
    <w:rsid w:val="71D4489A"/>
    <w:rsid w:val="71E3B81F"/>
    <w:rsid w:val="721C507C"/>
    <w:rsid w:val="7233DF02"/>
    <w:rsid w:val="7234EFDE"/>
    <w:rsid w:val="723950AC"/>
    <w:rsid w:val="725A65CD"/>
    <w:rsid w:val="7288B058"/>
    <w:rsid w:val="728C8B72"/>
    <w:rsid w:val="72A2D08F"/>
    <w:rsid w:val="72A480F7"/>
    <w:rsid w:val="72CF8CC2"/>
    <w:rsid w:val="72D2EAED"/>
    <w:rsid w:val="72D5EC54"/>
    <w:rsid w:val="72EB3294"/>
    <w:rsid w:val="72EFF434"/>
    <w:rsid w:val="72FCC803"/>
    <w:rsid w:val="73066194"/>
    <w:rsid w:val="7309D518"/>
    <w:rsid w:val="731C19DF"/>
    <w:rsid w:val="73209382"/>
    <w:rsid w:val="733BD9E4"/>
    <w:rsid w:val="73565B7B"/>
    <w:rsid w:val="7366D97C"/>
    <w:rsid w:val="73720C54"/>
    <w:rsid w:val="737F3A1B"/>
    <w:rsid w:val="73AC5C3F"/>
    <w:rsid w:val="73AEEAF8"/>
    <w:rsid w:val="73B59687"/>
    <w:rsid w:val="73B91DDE"/>
    <w:rsid w:val="73E6BF3F"/>
    <w:rsid w:val="73E6EFC8"/>
    <w:rsid w:val="73EF6680"/>
    <w:rsid w:val="74026A1F"/>
    <w:rsid w:val="7409E4E9"/>
    <w:rsid w:val="7412A6B6"/>
    <w:rsid w:val="7416D437"/>
    <w:rsid w:val="74564231"/>
    <w:rsid w:val="74607503"/>
    <w:rsid w:val="74762D05"/>
    <w:rsid w:val="747737AD"/>
    <w:rsid w:val="748B5183"/>
    <w:rsid w:val="74929825"/>
    <w:rsid w:val="74A38305"/>
    <w:rsid w:val="74A53A51"/>
    <w:rsid w:val="74D488A2"/>
    <w:rsid w:val="74D7F1F8"/>
    <w:rsid w:val="74EB93D6"/>
    <w:rsid w:val="74EE1C71"/>
    <w:rsid w:val="7509739F"/>
    <w:rsid w:val="751225BC"/>
    <w:rsid w:val="75127F13"/>
    <w:rsid w:val="7518ECC6"/>
    <w:rsid w:val="753386B0"/>
    <w:rsid w:val="753AD976"/>
    <w:rsid w:val="75572C51"/>
    <w:rsid w:val="7561A7C1"/>
    <w:rsid w:val="756EDF1E"/>
    <w:rsid w:val="7596FA68"/>
    <w:rsid w:val="759F804A"/>
    <w:rsid w:val="75C8ACA7"/>
    <w:rsid w:val="75CCA480"/>
    <w:rsid w:val="75D04DCC"/>
    <w:rsid w:val="75D891FA"/>
    <w:rsid w:val="75F46B4E"/>
    <w:rsid w:val="76546078"/>
    <w:rsid w:val="7658C075"/>
    <w:rsid w:val="765DB1D1"/>
    <w:rsid w:val="76763047"/>
    <w:rsid w:val="768625EB"/>
    <w:rsid w:val="768D91D5"/>
    <w:rsid w:val="769200AE"/>
    <w:rsid w:val="7694325E"/>
    <w:rsid w:val="76A2692D"/>
    <w:rsid w:val="76C76EC9"/>
    <w:rsid w:val="76E54674"/>
    <w:rsid w:val="76FDFC9C"/>
    <w:rsid w:val="7700F0D8"/>
    <w:rsid w:val="771AC21F"/>
    <w:rsid w:val="77302200"/>
    <w:rsid w:val="775DF9DE"/>
    <w:rsid w:val="77607721"/>
    <w:rsid w:val="7778DFF3"/>
    <w:rsid w:val="77D5E78D"/>
    <w:rsid w:val="77E427D2"/>
    <w:rsid w:val="77E4BF99"/>
    <w:rsid w:val="780261DF"/>
    <w:rsid w:val="7847D8F8"/>
    <w:rsid w:val="78725079"/>
    <w:rsid w:val="78769ADA"/>
    <w:rsid w:val="78896E9F"/>
    <w:rsid w:val="78A6BBFA"/>
    <w:rsid w:val="78AC6E9D"/>
    <w:rsid w:val="78CF51EA"/>
    <w:rsid w:val="78DA0A47"/>
    <w:rsid w:val="79181B8C"/>
    <w:rsid w:val="792D5B5F"/>
    <w:rsid w:val="796CEBD3"/>
    <w:rsid w:val="799BAE0F"/>
    <w:rsid w:val="799F73DA"/>
    <w:rsid w:val="79A24B10"/>
    <w:rsid w:val="79A333AE"/>
    <w:rsid w:val="79D39986"/>
    <w:rsid w:val="79DD6787"/>
    <w:rsid w:val="79E1CAA9"/>
    <w:rsid w:val="7A0EBC3C"/>
    <w:rsid w:val="7A215F8C"/>
    <w:rsid w:val="7A2D676A"/>
    <w:rsid w:val="7A53AB9C"/>
    <w:rsid w:val="7A5A5A19"/>
    <w:rsid w:val="7A5E51A7"/>
    <w:rsid w:val="7A75DAA8"/>
    <w:rsid w:val="7A7CA63A"/>
    <w:rsid w:val="7AAE46AC"/>
    <w:rsid w:val="7ABC4E8C"/>
    <w:rsid w:val="7AE7A8B1"/>
    <w:rsid w:val="7AFC3C42"/>
    <w:rsid w:val="7B14E1E7"/>
    <w:rsid w:val="7B20BAA4"/>
    <w:rsid w:val="7B3CF8A8"/>
    <w:rsid w:val="7B41253A"/>
    <w:rsid w:val="7B446392"/>
    <w:rsid w:val="7B4EDB38"/>
    <w:rsid w:val="7B522A26"/>
    <w:rsid w:val="7B63CFA6"/>
    <w:rsid w:val="7B656CB0"/>
    <w:rsid w:val="7B6CFB9A"/>
    <w:rsid w:val="7B815F10"/>
    <w:rsid w:val="7B9AD572"/>
    <w:rsid w:val="7BB2DCD9"/>
    <w:rsid w:val="7BC5C28E"/>
    <w:rsid w:val="7BCEDBDC"/>
    <w:rsid w:val="7BD7101D"/>
    <w:rsid w:val="7BFCFCEC"/>
    <w:rsid w:val="7C139DF7"/>
    <w:rsid w:val="7C1E647B"/>
    <w:rsid w:val="7C213D9D"/>
    <w:rsid w:val="7C25A96D"/>
    <w:rsid w:val="7C67F4DF"/>
    <w:rsid w:val="7C716208"/>
    <w:rsid w:val="7C79D5BE"/>
    <w:rsid w:val="7C93FCE4"/>
    <w:rsid w:val="7CA4F688"/>
    <w:rsid w:val="7CB9EEAF"/>
    <w:rsid w:val="7CD4FDD1"/>
    <w:rsid w:val="7CDB03F1"/>
    <w:rsid w:val="7D31C353"/>
    <w:rsid w:val="7D32AE08"/>
    <w:rsid w:val="7D385450"/>
    <w:rsid w:val="7D3E6D3F"/>
    <w:rsid w:val="7D40B281"/>
    <w:rsid w:val="7D497FC2"/>
    <w:rsid w:val="7D4D3CEF"/>
    <w:rsid w:val="7D5B06DA"/>
    <w:rsid w:val="7D821E50"/>
    <w:rsid w:val="7D85B4EF"/>
    <w:rsid w:val="7D9C117C"/>
    <w:rsid w:val="7D9D47DD"/>
    <w:rsid w:val="7DA3F6DB"/>
    <w:rsid w:val="7DB8E3B0"/>
    <w:rsid w:val="7DC30DFB"/>
    <w:rsid w:val="7DECF4AF"/>
    <w:rsid w:val="7DF3E472"/>
    <w:rsid w:val="7E120F71"/>
    <w:rsid w:val="7E498D1B"/>
    <w:rsid w:val="7E4C2CC2"/>
    <w:rsid w:val="7E6610D3"/>
    <w:rsid w:val="7E9AA656"/>
    <w:rsid w:val="7EA90363"/>
    <w:rsid w:val="7EAA960D"/>
    <w:rsid w:val="7EBA50DD"/>
    <w:rsid w:val="7EC9A7FF"/>
    <w:rsid w:val="7ED024AB"/>
    <w:rsid w:val="7EDAD122"/>
    <w:rsid w:val="7EF3871B"/>
    <w:rsid w:val="7F3A414D"/>
    <w:rsid w:val="7F3BA9A9"/>
    <w:rsid w:val="7F3DFBD0"/>
    <w:rsid w:val="7F3E0A40"/>
    <w:rsid w:val="7F3E5C28"/>
    <w:rsid w:val="7F4966FC"/>
    <w:rsid w:val="7F55DDD5"/>
    <w:rsid w:val="7F5C19E0"/>
    <w:rsid w:val="7F655EA5"/>
    <w:rsid w:val="7F72206E"/>
    <w:rsid w:val="7F8C0687"/>
    <w:rsid w:val="7FA7D6BB"/>
    <w:rsid w:val="7FAC0FCC"/>
    <w:rsid w:val="7FB0E7DB"/>
    <w:rsid w:val="7FDEEBA2"/>
    <w:rsid w:val="7FF66E6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E2AA8DDC-0126-4461-9069-1D1809E5E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2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5"/>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5"/>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5"/>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5"/>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390F84"/>
    <w:rPr>
      <w:sz w:val="16"/>
      <w:szCs w:val="16"/>
    </w:rPr>
  </w:style>
  <w:style w:type="paragraph" w:styleId="CommentText">
    <w:name w:val="annotation text"/>
    <w:basedOn w:val="Normal"/>
    <w:link w:val="CommentTextChar"/>
    <w:unhideWhenUsed/>
    <w:rsid w:val="00390F84"/>
    <w:rPr>
      <w:sz w:val="20"/>
      <w:szCs w:val="20"/>
    </w:rPr>
  </w:style>
  <w:style w:type="character" w:customStyle="1" w:styleId="CommentTextChar">
    <w:name w:val="Comment Text Char"/>
    <w:basedOn w:val="DefaultParagraphFont"/>
    <w:link w:val="CommentText"/>
    <w:rsid w:val="00390F84"/>
    <w:rPr>
      <w:rFonts w:ascii="Times New Roman" w:hAnsi="Times New Roman" w:cs="Times New Roman"/>
      <w:sz w:val="20"/>
      <w:szCs w:val="20"/>
      <w:lang w:val="bg-BG"/>
    </w:rPr>
  </w:style>
  <w:style w:type="paragraph" w:styleId="BalloonText">
    <w:name w:val="Balloon Text"/>
    <w:basedOn w:val="Normal"/>
    <w:link w:val="BalloonTextChar"/>
    <w:unhideWhenUsed/>
    <w:rsid w:val="00390F84"/>
    <w:pPr>
      <w:spacing w:before="0" w:after="0"/>
    </w:pPr>
    <w:rPr>
      <w:rFonts w:ascii="Segoe UI" w:hAnsi="Segoe UI" w:cs="Segoe UI"/>
      <w:sz w:val="18"/>
      <w:szCs w:val="18"/>
    </w:rPr>
  </w:style>
  <w:style w:type="character" w:customStyle="1" w:styleId="BalloonTextChar">
    <w:name w:val="Balloon Text Char"/>
    <w:basedOn w:val="DefaultParagraphFont"/>
    <w:link w:val="BalloonText"/>
    <w:rsid w:val="00390F84"/>
    <w:rPr>
      <w:rFonts w:ascii="Segoe UI" w:hAnsi="Segoe UI" w:cs="Segoe UI"/>
      <w:sz w:val="18"/>
      <w:szCs w:val="18"/>
      <w:lang w:val="bg-BG"/>
    </w:rPr>
  </w:style>
  <w:style w:type="paragraph" w:styleId="CommentSubject">
    <w:name w:val="annotation subject"/>
    <w:basedOn w:val="CommentText"/>
    <w:next w:val="CommentText"/>
    <w:link w:val="CommentSubjectChar"/>
    <w:unhideWhenUsed/>
    <w:rsid w:val="00C86BE9"/>
    <w:rPr>
      <w:b/>
      <w:bCs/>
    </w:rPr>
  </w:style>
  <w:style w:type="character" w:customStyle="1" w:styleId="CommentSubjectChar">
    <w:name w:val="Comment Subject Char"/>
    <w:basedOn w:val="CommentTextChar"/>
    <w:link w:val="CommentSubject"/>
    <w:rsid w:val="00C86BE9"/>
    <w:rPr>
      <w:rFonts w:ascii="Times New Roman" w:hAnsi="Times New Roman" w:cs="Times New Roman"/>
      <w:b/>
      <w:bCs/>
      <w:sz w:val="20"/>
      <w:szCs w:val="20"/>
      <w:lang w:val="bg-BG"/>
    </w:rPr>
  </w:style>
  <w:style w:type="paragraph" w:styleId="ListBullet">
    <w:name w:val="List Bullet"/>
    <w:basedOn w:val="Normal"/>
    <w:unhideWhenUsed/>
    <w:rsid w:val="00C934CF"/>
    <w:pPr>
      <w:numPr>
        <w:numId w:val="1"/>
      </w:numPr>
      <w:contextualSpacing/>
    </w:pPr>
  </w:style>
  <w:style w:type="paragraph" w:styleId="ListBullet2">
    <w:name w:val="List Bullet 2"/>
    <w:basedOn w:val="Normal"/>
    <w:unhideWhenUsed/>
    <w:rsid w:val="00C934CF"/>
    <w:pPr>
      <w:numPr>
        <w:numId w:val="2"/>
      </w:numPr>
      <w:contextualSpacing/>
    </w:pPr>
  </w:style>
  <w:style w:type="paragraph" w:styleId="ListBullet3">
    <w:name w:val="List Bullet 3"/>
    <w:basedOn w:val="Normal"/>
    <w:unhideWhenUsed/>
    <w:rsid w:val="00C934CF"/>
    <w:pPr>
      <w:numPr>
        <w:numId w:val="3"/>
      </w:numPr>
      <w:contextualSpacing/>
    </w:pPr>
  </w:style>
  <w:style w:type="paragraph" w:styleId="ListBullet4">
    <w:name w:val="List Bullet 4"/>
    <w:basedOn w:val="Normal"/>
    <w:unhideWhenUsed/>
    <w:rsid w:val="00C934CF"/>
    <w:pPr>
      <w:numPr>
        <w:numId w:val="4"/>
      </w:numPr>
      <w:contextualSpacing/>
    </w:pPr>
  </w:style>
  <w:style w:type="paragraph" w:styleId="Caption">
    <w:name w:val="caption"/>
    <w:basedOn w:val="Normal"/>
    <w:next w:val="Normal"/>
    <w:unhideWhenUsed/>
    <w:qFormat/>
    <w:rsid w:val="000E1A84"/>
    <w:pPr>
      <w:spacing w:before="0" w:after="200"/>
    </w:pPr>
    <w:rPr>
      <w:i/>
      <w:iCs/>
      <w:color w:val="1F497D" w:themeColor="text2"/>
      <w:sz w:val="18"/>
      <w:szCs w:val="18"/>
    </w:rPr>
  </w:style>
  <w:style w:type="paragraph" w:styleId="TableofFigures">
    <w:name w:val="table of figures"/>
    <w:basedOn w:val="Normal"/>
    <w:next w:val="Normal"/>
    <w:unhideWhenUsed/>
    <w:rsid w:val="000E1A84"/>
    <w:pPr>
      <w:spacing w:after="0"/>
    </w:pPr>
  </w:style>
  <w:style w:type="paragraph" w:styleId="ListNumber">
    <w:name w:val="List Number"/>
    <w:basedOn w:val="Normal"/>
    <w:unhideWhenUsed/>
    <w:rsid w:val="000E1A84"/>
    <w:pPr>
      <w:numPr>
        <w:numId w:val="5"/>
      </w:numPr>
      <w:contextualSpacing/>
    </w:pPr>
  </w:style>
  <w:style w:type="paragraph" w:styleId="ListNumber2">
    <w:name w:val="List Number 2"/>
    <w:basedOn w:val="Normal"/>
    <w:unhideWhenUsed/>
    <w:rsid w:val="000E1A84"/>
    <w:pPr>
      <w:numPr>
        <w:numId w:val="6"/>
      </w:numPr>
      <w:contextualSpacing/>
    </w:pPr>
  </w:style>
  <w:style w:type="paragraph" w:styleId="ListNumber3">
    <w:name w:val="List Number 3"/>
    <w:basedOn w:val="Normal"/>
    <w:unhideWhenUsed/>
    <w:rsid w:val="000E1A84"/>
    <w:pPr>
      <w:numPr>
        <w:numId w:val="7"/>
      </w:numPr>
      <w:contextualSpacing/>
    </w:pPr>
  </w:style>
  <w:style w:type="paragraph" w:styleId="ListNumber4">
    <w:name w:val="List Number 4"/>
    <w:basedOn w:val="Normal"/>
    <w:unhideWhenUsed/>
    <w:rsid w:val="000E1A84"/>
    <w:pPr>
      <w:numPr>
        <w:numId w:val="8"/>
      </w:numPr>
      <w:contextualSpacing/>
    </w:pPr>
  </w:style>
  <w:style w:type="character" w:styleId="Hyperlink">
    <w:name w:val="Hyperlink"/>
    <w:basedOn w:val="DefaultParagraphFont"/>
    <w:uiPriority w:val="99"/>
    <w:unhideWhenUsed/>
    <w:rsid w:val="00FC74F6"/>
    <w:rPr>
      <w:color w:val="0000FF" w:themeColor="hyperlink"/>
      <w:u w:val="single"/>
    </w:rPr>
  </w:style>
  <w:style w:type="paragraph" w:styleId="Revision">
    <w:name w:val="Revision"/>
    <w:hidden/>
    <w:uiPriority w:val="99"/>
    <w:semiHidden/>
    <w:rsid w:val="00A900D4"/>
    <w:pPr>
      <w:spacing w:after="0" w:line="240" w:lineRule="auto"/>
    </w:pPr>
    <w:rPr>
      <w:rFonts w:ascii="Times New Roman" w:hAnsi="Times New Roman" w:cs="Times New Roman"/>
      <w:sz w:val="24"/>
    </w:rPr>
  </w:style>
  <w:style w:type="character" w:styleId="FollowedHyperlink">
    <w:name w:val="FollowedHyperlink"/>
    <w:basedOn w:val="DefaultParagraphFont"/>
    <w:unhideWhenUsed/>
    <w:rsid w:val="006116D2"/>
    <w:rPr>
      <w:color w:val="800080" w:themeColor="followedHyperlink"/>
      <w:u w:val="single"/>
    </w:rPr>
  </w:style>
  <w:style w:type="paragraph" w:styleId="ListParagraph">
    <w:name w:val="List Paragraph"/>
    <w:aliases w:val="F5 List Paragraph,Dot pt,List Paragraph1,No Spacing1,List Paragraph Char Char Char,Indicator Text,Numbered Para 1,Colorful List - Accent 11,Bullet Points,List Paragraph2,MAIN CONTENT,Normal numbered,List Paragraph12,Recommendatio"/>
    <w:basedOn w:val="Normal"/>
    <w:link w:val="ListParagraphChar"/>
    <w:uiPriority w:val="34"/>
    <w:qFormat/>
    <w:rsid w:val="00A90B80"/>
    <w:pPr>
      <w:ind w:left="720"/>
      <w:contextualSpacing/>
    </w:pPr>
  </w:style>
  <w:style w:type="character" w:customStyle="1" w:styleId="Mention1">
    <w:name w:val="Mention1"/>
    <w:basedOn w:val="DefaultParagraphFont"/>
    <w:uiPriority w:val="99"/>
    <w:unhideWhenUsed/>
    <w:rPr>
      <w:color w:val="2B579A"/>
      <w:shd w:val="clear" w:color="auto" w:fill="E6E6E6"/>
    </w:rPr>
  </w:style>
  <w:style w:type="character" w:customStyle="1" w:styleId="ListParagraphChar">
    <w:name w:val="List Paragraph Char"/>
    <w:aliases w:val="F5 List Paragraph Char,Dot pt Char,List Paragraph1 Char,No Spacing1 Char,List Paragraph Char Char Char Char,Indicator Text Char,Numbered Para 1 Char,Colorful List - Accent 11 Char,Bullet Points Char,List Paragraph2 Char"/>
    <w:basedOn w:val="DefaultParagraphFont"/>
    <w:link w:val="ListParagraph"/>
    <w:uiPriority w:val="34"/>
    <w:qFormat/>
    <w:locked/>
    <w:rsid w:val="00A91044"/>
    <w:rPr>
      <w:rFonts w:ascii="Times New Roman" w:hAnsi="Times New Roman" w:cs="Times New Roman"/>
      <w:sz w:val="24"/>
      <w:lang w:val="bg-BG"/>
    </w:rPr>
  </w:style>
  <w:style w:type="paragraph" w:customStyle="1" w:styleId="oj-normal">
    <w:name w:val="oj-normal"/>
    <w:basedOn w:val="Normal"/>
    <w:rsid w:val="00A74432"/>
    <w:pPr>
      <w:spacing w:before="100" w:beforeAutospacing="1" w:after="100" w:afterAutospacing="1"/>
      <w:jc w:val="left"/>
    </w:pPr>
    <w:rPr>
      <w:rFonts w:eastAsia="Times New Roman"/>
      <w:szCs w:val="24"/>
      <w:lang w:eastAsia="en-IE"/>
    </w:rPr>
  </w:style>
  <w:style w:type="character" w:customStyle="1" w:styleId="UnresolvedMention1">
    <w:name w:val="Unresolved Mention1"/>
    <w:basedOn w:val="DefaultParagraphFont"/>
    <w:uiPriority w:val="99"/>
    <w:semiHidden/>
    <w:unhideWhenUsed/>
    <w:rsid w:val="00E607E6"/>
    <w:rPr>
      <w:color w:val="605E5C"/>
      <w:shd w:val="clear" w:color="auto" w:fill="E1DFDD"/>
    </w:rPr>
  </w:style>
  <w:style w:type="character" w:customStyle="1" w:styleId="UnresolvedMention">
    <w:name w:val="Unresolved Mention"/>
    <w:basedOn w:val="DefaultParagraphFont"/>
    <w:uiPriority w:val="99"/>
    <w:semiHidden/>
    <w:unhideWhenUsed/>
    <w:rsid w:val="007C6565"/>
    <w:rPr>
      <w:color w:val="605E5C"/>
      <w:shd w:val="clear" w:color="auto" w:fill="E1DFDD"/>
    </w:rPr>
  </w:style>
  <w:style w:type="character" w:customStyle="1" w:styleId="Mention">
    <w:name w:val="Mention"/>
    <w:basedOn w:val="DefaultParagraphFont"/>
    <w:uiPriority w:val="99"/>
    <w:unhideWhenUsed/>
    <w:rsid w:val="002F7807"/>
    <w:rPr>
      <w:color w:val="2B579A"/>
      <w:shd w:val="clear" w:color="auto" w:fill="E1DFDD"/>
    </w:rPr>
  </w:style>
  <w:style w:type="character" w:styleId="Emphasis">
    <w:name w:val="Emphasis"/>
    <w:basedOn w:val="DefaultParagraphFont"/>
    <w:qFormat/>
    <w:rsid w:val="008F51B1"/>
    <w:rPr>
      <w:i/>
      <w:iCs/>
    </w:rPr>
  </w:style>
  <w:style w:type="paragraph" w:customStyle="1" w:styleId="ManualNumPar110">
    <w:name w:val="Manual NumPar 110"/>
    <w:basedOn w:val="Normal"/>
    <w:next w:val="Text1"/>
    <w:rsid w:val="00F7349B"/>
    <w:pPr>
      <w:ind w:left="850" w:hanging="850"/>
    </w:pPr>
  </w:style>
  <w:style w:type="paragraph" w:customStyle="1" w:styleId="ListBullet1">
    <w:name w:val="List Bullet 1"/>
    <w:basedOn w:val="Normal"/>
    <w:rsid w:val="007F047B"/>
    <w:pPr>
      <w:numPr>
        <w:numId w:val="10"/>
      </w:numPr>
    </w:pPr>
    <w:rPr>
      <w:rFonts w:eastAsia="Times New Roman"/>
      <w:lang w:eastAsia="de-DE"/>
    </w:rPr>
  </w:style>
  <w:style w:type="paragraph" w:customStyle="1" w:styleId="ListDash">
    <w:name w:val="List Dash"/>
    <w:basedOn w:val="Normal"/>
    <w:rsid w:val="007F047B"/>
    <w:pPr>
      <w:numPr>
        <w:numId w:val="11"/>
      </w:numPr>
    </w:pPr>
    <w:rPr>
      <w:rFonts w:eastAsia="Times New Roman"/>
      <w:lang w:eastAsia="de-DE"/>
    </w:rPr>
  </w:style>
  <w:style w:type="paragraph" w:customStyle="1" w:styleId="ListDash1">
    <w:name w:val="List Dash 1"/>
    <w:basedOn w:val="Normal"/>
    <w:rsid w:val="007F047B"/>
    <w:pPr>
      <w:numPr>
        <w:numId w:val="12"/>
      </w:numPr>
    </w:pPr>
    <w:rPr>
      <w:rFonts w:eastAsia="Times New Roman"/>
      <w:lang w:eastAsia="de-DE"/>
    </w:rPr>
  </w:style>
  <w:style w:type="paragraph" w:customStyle="1" w:styleId="ListDash2">
    <w:name w:val="List Dash 2"/>
    <w:basedOn w:val="Normal"/>
    <w:rsid w:val="007F047B"/>
    <w:pPr>
      <w:numPr>
        <w:numId w:val="13"/>
      </w:numPr>
    </w:pPr>
    <w:rPr>
      <w:rFonts w:eastAsia="Times New Roman"/>
      <w:lang w:eastAsia="de-DE"/>
    </w:rPr>
  </w:style>
  <w:style w:type="paragraph" w:customStyle="1" w:styleId="ListNumberLevel2">
    <w:name w:val="List Number (Level 2)"/>
    <w:basedOn w:val="Normal"/>
    <w:rsid w:val="007F047B"/>
    <w:pPr>
      <w:tabs>
        <w:tab w:val="num" w:pos="1417"/>
      </w:tabs>
      <w:ind w:left="1417" w:hanging="708"/>
    </w:pPr>
    <w:rPr>
      <w:rFonts w:eastAsia="Times New Roman"/>
      <w:lang w:eastAsia="de-DE"/>
    </w:rPr>
  </w:style>
  <w:style w:type="paragraph" w:customStyle="1" w:styleId="ListNumberLevel3">
    <w:name w:val="List Number (Level 3)"/>
    <w:basedOn w:val="Normal"/>
    <w:rsid w:val="007F047B"/>
    <w:pPr>
      <w:tabs>
        <w:tab w:val="num" w:pos="2126"/>
      </w:tabs>
      <w:ind w:left="2126" w:hanging="709"/>
    </w:pPr>
    <w:rPr>
      <w:rFonts w:eastAsia="Times New Roman"/>
      <w:lang w:eastAsia="de-DE"/>
    </w:rPr>
  </w:style>
  <w:style w:type="paragraph" w:customStyle="1" w:styleId="ListNumberLevel4">
    <w:name w:val="List Number (Level 4)"/>
    <w:basedOn w:val="Normal"/>
    <w:rsid w:val="007F047B"/>
    <w:pPr>
      <w:tabs>
        <w:tab w:val="num" w:pos="2835"/>
      </w:tabs>
      <w:ind w:left="2835" w:hanging="709"/>
    </w:pPr>
    <w:rPr>
      <w:rFonts w:eastAsia="Times New Roman"/>
      <w:lang w:eastAsia="de-DE"/>
    </w:rPr>
  </w:style>
  <w:style w:type="table" w:styleId="TableGrid">
    <w:name w:val="Table Grid"/>
    <w:basedOn w:val="TableNormal"/>
    <w:uiPriority w:val="39"/>
    <w:rsid w:val="007F047B"/>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Dash3">
    <w:name w:val="List Dash 3"/>
    <w:basedOn w:val="Normal"/>
    <w:rsid w:val="007F047B"/>
    <w:pPr>
      <w:numPr>
        <w:numId w:val="14"/>
      </w:numPr>
    </w:pPr>
    <w:rPr>
      <w:rFonts w:eastAsia="Times New Roman"/>
      <w:lang w:eastAsia="en-GB"/>
    </w:rPr>
  </w:style>
  <w:style w:type="paragraph" w:customStyle="1" w:styleId="ListDash4">
    <w:name w:val="List Dash 4"/>
    <w:basedOn w:val="Normal"/>
    <w:rsid w:val="007F047B"/>
    <w:pPr>
      <w:numPr>
        <w:numId w:val="15"/>
      </w:numPr>
    </w:pPr>
    <w:rPr>
      <w:rFonts w:eastAsia="Times New Roman"/>
      <w:lang w:eastAsia="en-GB"/>
    </w:rPr>
  </w:style>
  <w:style w:type="paragraph" w:customStyle="1" w:styleId="ListNumber1">
    <w:name w:val="List Number 1"/>
    <w:basedOn w:val="Text1"/>
    <w:rsid w:val="007F047B"/>
    <w:pPr>
      <w:numPr>
        <w:numId w:val="16"/>
      </w:numPr>
    </w:pPr>
    <w:rPr>
      <w:rFonts w:eastAsia="Times New Roman"/>
      <w:lang w:eastAsia="en-GB"/>
    </w:rPr>
  </w:style>
  <w:style w:type="paragraph" w:customStyle="1" w:styleId="ListNumber1Level2">
    <w:name w:val="List Number 1 (Level 2)"/>
    <w:basedOn w:val="Text1"/>
    <w:rsid w:val="007F047B"/>
    <w:pPr>
      <w:numPr>
        <w:ilvl w:val="1"/>
        <w:numId w:val="16"/>
      </w:numPr>
    </w:pPr>
    <w:rPr>
      <w:rFonts w:eastAsia="Times New Roman"/>
      <w:lang w:eastAsia="en-GB"/>
    </w:rPr>
  </w:style>
  <w:style w:type="paragraph" w:customStyle="1" w:styleId="ListNumber2Level2">
    <w:name w:val="List Number 2 (Level 2)"/>
    <w:basedOn w:val="Text2"/>
    <w:rsid w:val="007F047B"/>
    <w:pPr>
      <w:tabs>
        <w:tab w:val="num" w:pos="2268"/>
      </w:tabs>
      <w:ind w:left="2268" w:hanging="708"/>
    </w:pPr>
    <w:rPr>
      <w:rFonts w:eastAsia="Times New Roman"/>
      <w:lang w:eastAsia="en-GB"/>
    </w:rPr>
  </w:style>
  <w:style w:type="paragraph" w:customStyle="1" w:styleId="ListNumber3Level2">
    <w:name w:val="List Number 3 (Level 2)"/>
    <w:basedOn w:val="Text3"/>
    <w:rsid w:val="007F047B"/>
    <w:pPr>
      <w:tabs>
        <w:tab w:val="num" w:pos="2268"/>
      </w:tabs>
      <w:ind w:left="2268" w:hanging="708"/>
    </w:pPr>
    <w:rPr>
      <w:rFonts w:eastAsia="Times New Roman"/>
      <w:lang w:eastAsia="en-GB"/>
    </w:rPr>
  </w:style>
  <w:style w:type="paragraph" w:customStyle="1" w:styleId="ListNumber4Level2">
    <w:name w:val="List Number 4 (Level 2)"/>
    <w:basedOn w:val="Text4"/>
    <w:rsid w:val="007F047B"/>
    <w:pPr>
      <w:tabs>
        <w:tab w:val="num" w:pos="2268"/>
      </w:tabs>
      <w:ind w:left="2268" w:hanging="708"/>
    </w:pPr>
    <w:rPr>
      <w:rFonts w:eastAsia="Times New Roman"/>
      <w:lang w:eastAsia="en-GB"/>
    </w:rPr>
  </w:style>
  <w:style w:type="paragraph" w:customStyle="1" w:styleId="ListNumber1Level3">
    <w:name w:val="List Number 1 (Level 3)"/>
    <w:basedOn w:val="Text1"/>
    <w:rsid w:val="007F047B"/>
    <w:pPr>
      <w:numPr>
        <w:ilvl w:val="2"/>
        <w:numId w:val="16"/>
      </w:numPr>
    </w:pPr>
    <w:rPr>
      <w:rFonts w:eastAsia="Times New Roman"/>
      <w:lang w:eastAsia="en-GB"/>
    </w:rPr>
  </w:style>
  <w:style w:type="paragraph" w:customStyle="1" w:styleId="ListNumber2Level3">
    <w:name w:val="List Number 2 (Level 3)"/>
    <w:basedOn w:val="Text2"/>
    <w:rsid w:val="007F047B"/>
    <w:pPr>
      <w:tabs>
        <w:tab w:val="num" w:pos="2977"/>
      </w:tabs>
      <w:ind w:left="2977" w:hanging="709"/>
    </w:pPr>
    <w:rPr>
      <w:rFonts w:eastAsia="Times New Roman"/>
      <w:lang w:eastAsia="en-GB"/>
    </w:rPr>
  </w:style>
  <w:style w:type="paragraph" w:customStyle="1" w:styleId="ListNumber3Level3">
    <w:name w:val="List Number 3 (Level 3)"/>
    <w:basedOn w:val="Text3"/>
    <w:rsid w:val="007F047B"/>
    <w:pPr>
      <w:tabs>
        <w:tab w:val="num" w:pos="2977"/>
      </w:tabs>
      <w:ind w:left="2977" w:hanging="709"/>
    </w:pPr>
    <w:rPr>
      <w:rFonts w:eastAsia="Times New Roman"/>
      <w:lang w:eastAsia="en-GB"/>
    </w:rPr>
  </w:style>
  <w:style w:type="paragraph" w:customStyle="1" w:styleId="ListNumber4Level3">
    <w:name w:val="List Number 4 (Level 3)"/>
    <w:basedOn w:val="Text4"/>
    <w:rsid w:val="007F047B"/>
    <w:pPr>
      <w:tabs>
        <w:tab w:val="num" w:pos="2977"/>
      </w:tabs>
      <w:ind w:left="2977" w:hanging="709"/>
    </w:pPr>
    <w:rPr>
      <w:rFonts w:eastAsia="Times New Roman"/>
      <w:lang w:eastAsia="en-GB"/>
    </w:rPr>
  </w:style>
  <w:style w:type="paragraph" w:customStyle="1" w:styleId="ListNumber1Level4">
    <w:name w:val="List Number 1 (Level 4)"/>
    <w:basedOn w:val="Text1"/>
    <w:rsid w:val="007F047B"/>
    <w:pPr>
      <w:numPr>
        <w:ilvl w:val="3"/>
        <w:numId w:val="16"/>
      </w:numPr>
    </w:pPr>
    <w:rPr>
      <w:rFonts w:eastAsia="Times New Roman"/>
      <w:lang w:eastAsia="en-GB"/>
    </w:rPr>
  </w:style>
  <w:style w:type="paragraph" w:customStyle="1" w:styleId="ListNumber2Level4">
    <w:name w:val="List Number 2 (Level 4)"/>
    <w:basedOn w:val="Text2"/>
    <w:rsid w:val="007F047B"/>
    <w:pPr>
      <w:tabs>
        <w:tab w:val="num" w:pos="3686"/>
      </w:tabs>
      <w:ind w:left="3686" w:hanging="709"/>
    </w:pPr>
    <w:rPr>
      <w:rFonts w:eastAsia="Times New Roman"/>
      <w:lang w:eastAsia="en-GB"/>
    </w:rPr>
  </w:style>
  <w:style w:type="paragraph" w:customStyle="1" w:styleId="ListNumber3Level4">
    <w:name w:val="List Number 3 (Level 4)"/>
    <w:basedOn w:val="Text3"/>
    <w:rsid w:val="007F047B"/>
    <w:pPr>
      <w:tabs>
        <w:tab w:val="num" w:pos="3686"/>
      </w:tabs>
      <w:ind w:left="3686" w:hanging="709"/>
    </w:pPr>
    <w:rPr>
      <w:rFonts w:eastAsia="Times New Roman"/>
      <w:lang w:eastAsia="en-GB"/>
    </w:rPr>
  </w:style>
  <w:style w:type="paragraph" w:customStyle="1" w:styleId="ListNumber4Level4">
    <w:name w:val="List Number 4 (Level 4)"/>
    <w:basedOn w:val="Text4"/>
    <w:rsid w:val="007F047B"/>
    <w:pPr>
      <w:tabs>
        <w:tab w:val="num" w:pos="3686"/>
      </w:tabs>
      <w:ind w:left="3686" w:hanging="709"/>
    </w:pPr>
    <w:rPr>
      <w:rFonts w:eastAsia="Times New Roman"/>
      <w:lang w:eastAsia="en-GB"/>
    </w:rPr>
  </w:style>
  <w:style w:type="paragraph" w:customStyle="1" w:styleId="Annexetitreacte">
    <w:name w:val="Annexe titre (acte)"/>
    <w:basedOn w:val="Normal"/>
    <w:next w:val="Normal"/>
    <w:rsid w:val="007F047B"/>
    <w:pPr>
      <w:jc w:val="center"/>
    </w:pPr>
    <w:rPr>
      <w:rFonts w:eastAsia="Times New Roman"/>
      <w:b/>
      <w:u w:val="single"/>
      <w:lang w:eastAsia="en-GB"/>
    </w:rPr>
  </w:style>
  <w:style w:type="paragraph" w:customStyle="1" w:styleId="Annexetitreexposglobal">
    <w:name w:val="Annexe titre (exposé global)"/>
    <w:basedOn w:val="Normal"/>
    <w:next w:val="Normal"/>
    <w:rsid w:val="007F047B"/>
    <w:pPr>
      <w:jc w:val="center"/>
    </w:pPr>
    <w:rPr>
      <w:rFonts w:eastAsia="Times New Roman"/>
      <w:b/>
      <w:u w:val="single"/>
      <w:lang w:eastAsia="en-GB"/>
    </w:rPr>
  </w:style>
  <w:style w:type="paragraph" w:customStyle="1" w:styleId="Annexetitrefichefinacte">
    <w:name w:val="Annexe titre (fiche fin. acte)"/>
    <w:basedOn w:val="Normal"/>
    <w:next w:val="Normal"/>
    <w:rsid w:val="007F047B"/>
    <w:pPr>
      <w:jc w:val="center"/>
    </w:pPr>
    <w:rPr>
      <w:rFonts w:eastAsia="Times New Roman"/>
      <w:b/>
      <w:u w:val="single"/>
      <w:lang w:eastAsia="en-GB"/>
    </w:rPr>
  </w:style>
  <w:style w:type="paragraph" w:customStyle="1" w:styleId="Annexetitrefichefinglobale">
    <w:name w:val="Annexe titre (fiche fin. globale)"/>
    <w:basedOn w:val="Normal"/>
    <w:next w:val="Normal"/>
    <w:rsid w:val="007F047B"/>
    <w:pPr>
      <w:jc w:val="center"/>
    </w:pPr>
    <w:rPr>
      <w:rFonts w:eastAsia="Times New Roman"/>
      <w:b/>
      <w:u w:val="single"/>
      <w:lang w:eastAsia="en-GB"/>
    </w:rPr>
  </w:style>
  <w:style w:type="paragraph" w:customStyle="1" w:styleId="Annexetitreglobale">
    <w:name w:val="Annexe titre (globale)"/>
    <w:basedOn w:val="Normal"/>
    <w:next w:val="Normal"/>
    <w:rsid w:val="007F047B"/>
    <w:pPr>
      <w:jc w:val="center"/>
    </w:pPr>
    <w:rPr>
      <w:rFonts w:eastAsia="Times New Roman"/>
      <w:b/>
      <w:u w:val="single"/>
      <w:lang w:eastAsia="en-GB"/>
    </w:rPr>
  </w:style>
  <w:style w:type="paragraph" w:customStyle="1" w:styleId="Exposdesmotifstitreglobal">
    <w:name w:val="Exposé des motifs titre (global)"/>
    <w:basedOn w:val="Normal"/>
    <w:next w:val="Normal"/>
    <w:rsid w:val="007F047B"/>
    <w:pPr>
      <w:jc w:val="center"/>
    </w:pPr>
    <w:rPr>
      <w:rFonts w:eastAsia="Times New Roman"/>
      <w:b/>
      <w:u w:val="single"/>
      <w:lang w:eastAsia="en-GB"/>
    </w:rPr>
  </w:style>
  <w:style w:type="paragraph" w:customStyle="1" w:styleId="Langueoriginale">
    <w:name w:val="Langue originale"/>
    <w:basedOn w:val="Normal"/>
    <w:rsid w:val="007F047B"/>
    <w:pPr>
      <w:spacing w:before="360"/>
      <w:jc w:val="center"/>
    </w:pPr>
    <w:rPr>
      <w:rFonts w:eastAsia="Times New Roman"/>
      <w:caps/>
      <w:lang w:eastAsia="en-GB"/>
    </w:rPr>
  </w:style>
  <w:style w:type="paragraph" w:customStyle="1" w:styleId="Phrasefinale">
    <w:name w:val="Phrase finale"/>
    <w:basedOn w:val="Normal"/>
    <w:next w:val="Normal"/>
    <w:rsid w:val="007F047B"/>
    <w:pPr>
      <w:spacing w:before="360" w:after="0"/>
      <w:jc w:val="center"/>
    </w:pPr>
    <w:rPr>
      <w:rFonts w:eastAsia="Times New Roman"/>
      <w:lang w:eastAsia="en-GB"/>
    </w:rPr>
  </w:style>
  <w:style w:type="paragraph" w:customStyle="1" w:styleId="Prliminairetitre">
    <w:name w:val="Préliminaire titre"/>
    <w:basedOn w:val="Normal"/>
    <w:next w:val="Normal"/>
    <w:rsid w:val="007F047B"/>
    <w:pPr>
      <w:spacing w:before="360" w:after="360"/>
      <w:jc w:val="center"/>
    </w:pPr>
    <w:rPr>
      <w:rFonts w:eastAsia="Times New Roman"/>
      <w:b/>
      <w:lang w:eastAsia="en-GB"/>
    </w:rPr>
  </w:style>
  <w:style w:type="paragraph" w:customStyle="1" w:styleId="Prliminairetype">
    <w:name w:val="Préliminaire type"/>
    <w:basedOn w:val="Normal"/>
    <w:next w:val="Normal"/>
    <w:rsid w:val="007F047B"/>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7F047B"/>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7F047B"/>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7F047B"/>
    <w:pPr>
      <w:spacing w:before="0" w:after="0"/>
      <w:ind w:left="5103"/>
      <w:jc w:val="left"/>
    </w:pPr>
    <w:rPr>
      <w:rFonts w:eastAsia="Times New Roman"/>
      <w:lang w:eastAsia="en-GB"/>
    </w:rPr>
  </w:style>
  <w:style w:type="paragraph" w:customStyle="1" w:styleId="Sous-titreobjetprliminaire">
    <w:name w:val="Sous-titre objet (préliminaire)"/>
    <w:basedOn w:val="Normal"/>
    <w:rsid w:val="007F047B"/>
    <w:pPr>
      <w:spacing w:before="0" w:after="0"/>
      <w:jc w:val="center"/>
    </w:pPr>
    <w:rPr>
      <w:rFonts w:eastAsia="Times New Roman"/>
      <w:b/>
      <w:lang w:eastAsia="en-GB"/>
    </w:rPr>
  </w:style>
  <w:style w:type="paragraph" w:customStyle="1" w:styleId="Statutprliminaire">
    <w:name w:val="Statut (préliminaire)"/>
    <w:basedOn w:val="Normal"/>
    <w:next w:val="Normal"/>
    <w:rsid w:val="007F047B"/>
    <w:pPr>
      <w:spacing w:before="360" w:after="0"/>
      <w:jc w:val="center"/>
    </w:pPr>
    <w:rPr>
      <w:rFonts w:eastAsia="Times New Roman"/>
      <w:lang w:eastAsia="en-GB"/>
    </w:rPr>
  </w:style>
  <w:style w:type="paragraph" w:customStyle="1" w:styleId="Titreobjetprliminaire">
    <w:name w:val="Titre objet (préliminaire)"/>
    <w:basedOn w:val="Normal"/>
    <w:next w:val="Normal"/>
    <w:rsid w:val="007F047B"/>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7F047B"/>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7F047B"/>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7F047B"/>
    <w:pPr>
      <w:jc w:val="center"/>
    </w:pPr>
    <w:rPr>
      <w:rFonts w:eastAsia="Times New Roman"/>
      <w:b/>
      <w:u w:val="single"/>
      <w:lang w:eastAsia="en-GB"/>
    </w:rPr>
  </w:style>
  <w:style w:type="paragraph" w:customStyle="1" w:styleId="Fichefinanciretravailtitre">
    <w:name w:val="Fiche financière (travail) titre"/>
    <w:basedOn w:val="Normal"/>
    <w:next w:val="Normal"/>
    <w:rsid w:val="007F047B"/>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7F047B"/>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7F047B"/>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7F047B"/>
    <w:pPr>
      <w:jc w:val="center"/>
    </w:pPr>
    <w:rPr>
      <w:rFonts w:eastAsia="Times New Roman"/>
      <w:b/>
      <w:u w:val="single"/>
      <w:lang w:eastAsia="en-GB"/>
    </w:rPr>
  </w:style>
  <w:style w:type="character" w:styleId="PageNumber">
    <w:name w:val="page number"/>
    <w:rsid w:val="007F047B"/>
  </w:style>
  <w:style w:type="character" w:customStyle="1" w:styleId="tw4winMark">
    <w:name w:val="tw4winMark"/>
    <w:rsid w:val="007F047B"/>
    <w:rPr>
      <w:vanish/>
      <w:color w:val="800080"/>
      <w:vertAlign w:val="subscript"/>
    </w:rPr>
  </w:style>
  <w:style w:type="paragraph" w:customStyle="1" w:styleId="Sous-titreobjet">
    <w:name w:val="Sous-titre objet"/>
    <w:basedOn w:val="Normal"/>
    <w:rsid w:val="007F047B"/>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7F047B"/>
  </w:style>
  <w:style w:type="paragraph" w:customStyle="1" w:styleId="FooterCoverPage">
    <w:name w:val="Footer Cover Page"/>
    <w:basedOn w:val="Normal"/>
    <w:link w:val="FooterCoverPageChar"/>
    <w:rsid w:val="007F047B"/>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7F047B"/>
    <w:rPr>
      <w:rFonts w:ascii="Times New Roman" w:hAnsi="Times New Roman" w:cs="Times New Roman"/>
      <w:b/>
      <w:sz w:val="28"/>
      <w:lang w:val="bg-BG"/>
    </w:rPr>
  </w:style>
  <w:style w:type="character" w:customStyle="1" w:styleId="FooterCoverPageChar">
    <w:name w:val="Footer Cover Page Char"/>
    <w:link w:val="FooterCoverPage"/>
    <w:rsid w:val="007F047B"/>
    <w:rPr>
      <w:rFonts w:ascii="Times New Roman" w:eastAsia="Calibri" w:hAnsi="Times New Roman" w:cs="Times New Roman"/>
      <w:sz w:val="24"/>
      <w:lang w:val="bg-BG" w:eastAsia="en-GB"/>
    </w:rPr>
  </w:style>
  <w:style w:type="paragraph" w:customStyle="1" w:styleId="HeaderCoverPage">
    <w:name w:val="Header Cover Page"/>
    <w:basedOn w:val="Normal"/>
    <w:link w:val="HeaderCoverPageChar"/>
    <w:rsid w:val="007F047B"/>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7F047B"/>
    <w:rPr>
      <w:rFonts w:ascii="Times New Roman" w:eastAsia="Calibri" w:hAnsi="Times New Roman" w:cs="Times New Roman"/>
      <w:sz w:val="24"/>
      <w:lang w:val="bg-BG" w:eastAsia="en-GB"/>
    </w:rPr>
  </w:style>
  <w:style w:type="character" w:customStyle="1" w:styleId="FooterSensitivityChar">
    <w:name w:val="Footer Sensitivity Char"/>
    <w:rsid w:val="007F047B"/>
    <w:rPr>
      <w:rFonts w:ascii="Times New Roman" w:hAnsi="Times New Roman" w:cs="Times New Roman"/>
      <w:b/>
      <w:sz w:val="32"/>
      <w:lang w:val="bg-BG"/>
    </w:rPr>
  </w:style>
  <w:style w:type="character" w:customStyle="1" w:styleId="HeaderSensitivityChar">
    <w:name w:val="Header Sensitivity Char"/>
    <w:rsid w:val="007F047B"/>
    <w:rPr>
      <w:rFonts w:ascii="Times New Roman" w:hAnsi="Times New Roman" w:cs="Times New Roman"/>
      <w:b/>
      <w:sz w:val="32"/>
      <w:lang w:val="bg-BG"/>
    </w:rPr>
  </w:style>
  <w:style w:type="character" w:customStyle="1" w:styleId="HeaderSensitivityRightChar">
    <w:name w:val="Header Sensitivity Right Char"/>
    <w:rsid w:val="007F047B"/>
    <w:rPr>
      <w:rFonts w:ascii="Times New Roman" w:hAnsi="Times New Roman" w:cs="Times New Roman"/>
      <w:sz w:val="28"/>
      <w:lang w:val="bg-BG"/>
    </w:rPr>
  </w:style>
  <w:style w:type="paragraph" w:customStyle="1" w:styleId="LegalNumPar">
    <w:name w:val="LegalNumPar"/>
    <w:basedOn w:val="Normal"/>
    <w:rsid w:val="007F047B"/>
    <w:pPr>
      <w:numPr>
        <w:ilvl w:val="1"/>
        <w:numId w:val="17"/>
      </w:numPr>
      <w:spacing w:line="360" w:lineRule="auto"/>
      <w:ind w:left="476" w:hanging="476"/>
    </w:pPr>
    <w:rPr>
      <w:rFonts w:eastAsia="Times New Roman"/>
      <w:lang w:eastAsia="en-GB"/>
    </w:rPr>
  </w:style>
  <w:style w:type="paragraph" w:customStyle="1" w:styleId="LegalNumPar2">
    <w:name w:val="LegalNumPar2"/>
    <w:basedOn w:val="Normal"/>
    <w:rsid w:val="007F047B"/>
    <w:pPr>
      <w:numPr>
        <w:ilvl w:val="2"/>
        <w:numId w:val="17"/>
      </w:numPr>
      <w:spacing w:line="360" w:lineRule="auto"/>
      <w:ind w:left="953" w:hanging="477"/>
    </w:pPr>
    <w:rPr>
      <w:rFonts w:eastAsia="Times New Roman"/>
      <w:lang w:eastAsia="en-GB"/>
    </w:rPr>
  </w:style>
  <w:style w:type="paragraph" w:customStyle="1" w:styleId="LegalNumPar3">
    <w:name w:val="LegalNumPar3"/>
    <w:basedOn w:val="Normal"/>
    <w:rsid w:val="007F047B"/>
    <w:pPr>
      <w:numPr>
        <w:ilvl w:val="2"/>
        <w:numId w:val="9"/>
      </w:numPr>
      <w:spacing w:line="360" w:lineRule="auto"/>
    </w:pPr>
    <w:rPr>
      <w:rFonts w:eastAsia="Times New Roman"/>
      <w:lang w:eastAsia="en-GB"/>
    </w:rPr>
  </w:style>
  <w:style w:type="character" w:styleId="Strong">
    <w:name w:val="Strong"/>
    <w:basedOn w:val="DefaultParagraphFont"/>
    <w:qFormat/>
    <w:rsid w:val="007F047B"/>
    <w:rPr>
      <w:b/>
      <w:bCs/>
    </w:rPr>
  </w:style>
  <w:style w:type="character" w:customStyle="1" w:styleId="normaltextrun">
    <w:name w:val="normaltextrun"/>
    <w:basedOn w:val="DefaultParagraphFont"/>
    <w:rsid w:val="007F047B"/>
  </w:style>
  <w:style w:type="character" w:customStyle="1" w:styleId="eop">
    <w:name w:val="eop"/>
    <w:basedOn w:val="DefaultParagraphFont"/>
    <w:rsid w:val="007F047B"/>
  </w:style>
  <w:style w:type="character" w:customStyle="1" w:styleId="cf01">
    <w:name w:val="cf01"/>
    <w:basedOn w:val="DefaultParagraphFont"/>
    <w:rsid w:val="00242DDE"/>
    <w:rPr>
      <w:rFonts w:ascii="Segoe UI" w:hAnsi="Segoe UI" w:cs="Segoe UI" w:hint="default"/>
      <w:sz w:val="18"/>
      <w:szCs w:val="18"/>
    </w:rPr>
  </w:style>
  <w:style w:type="character" w:customStyle="1" w:styleId="HeaderChar">
    <w:name w:val="Header Char"/>
    <w:basedOn w:val="DefaultParagraphFont"/>
    <w:link w:val="Header"/>
    <w:uiPriority w:val="99"/>
    <w:rsid w:val="00A7243D"/>
    <w:rPr>
      <w:rFonts w:ascii="Times New Roman" w:hAnsi="Times New Roman" w:cs="Times New Roman"/>
      <w:sz w:val="24"/>
      <w:lang w:val="bg-BG"/>
    </w:rPr>
  </w:style>
  <w:style w:type="character" w:customStyle="1" w:styleId="FooterChar">
    <w:name w:val="Footer Char"/>
    <w:basedOn w:val="DefaultParagraphFont"/>
    <w:link w:val="Footer"/>
    <w:uiPriority w:val="99"/>
    <w:rsid w:val="00A7243D"/>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bg-BG"/>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bg-BG"/>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bg-BG"/>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bg-BG"/>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bg-BG"/>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bg-BG"/>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bg-BG"/>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A7243D"/>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A7243D"/>
    <w:pPr>
      <w:spacing w:before="0"/>
      <w:jc w:val="right"/>
    </w:pPr>
    <w:rPr>
      <w:sz w:val="28"/>
    </w:rPr>
  </w:style>
  <w:style w:type="paragraph" w:customStyle="1" w:styleId="FooterSensitivity">
    <w:name w:val="Footer Sensitivity"/>
    <w:basedOn w:val="Normal"/>
    <w:rsid w:val="00A7243D"/>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9"/>
      </w:numPr>
    </w:pPr>
  </w:style>
  <w:style w:type="paragraph" w:customStyle="1" w:styleId="Tiret1">
    <w:name w:val="Tiret 1"/>
    <w:basedOn w:val="Point1"/>
    <w:pPr>
      <w:numPr>
        <w:numId w:val="20"/>
      </w:numPr>
    </w:pPr>
  </w:style>
  <w:style w:type="paragraph" w:customStyle="1" w:styleId="Tiret2">
    <w:name w:val="Tiret 2"/>
    <w:basedOn w:val="Point2"/>
    <w:pPr>
      <w:numPr>
        <w:numId w:val="21"/>
      </w:numPr>
    </w:pPr>
  </w:style>
  <w:style w:type="paragraph" w:customStyle="1" w:styleId="Tiret3">
    <w:name w:val="Tiret 3"/>
    <w:basedOn w:val="Point3"/>
    <w:pPr>
      <w:numPr>
        <w:numId w:val="22"/>
      </w:numPr>
    </w:pPr>
  </w:style>
  <w:style w:type="paragraph" w:customStyle="1" w:styleId="Tiret4">
    <w:name w:val="Tiret 4"/>
    <w:basedOn w:val="Point4"/>
    <w:pPr>
      <w:numPr>
        <w:numId w:val="23"/>
      </w:numPr>
    </w:pPr>
  </w:style>
  <w:style w:type="paragraph" w:customStyle="1" w:styleId="Tiret5">
    <w:name w:val="Tiret 5"/>
    <w:basedOn w:val="Point5"/>
    <w:pPr>
      <w:tabs>
        <w:tab w:val="num" w:pos="3685"/>
      </w:tabs>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4"/>
      </w:numPr>
    </w:pPr>
  </w:style>
  <w:style w:type="paragraph" w:customStyle="1" w:styleId="NumPar2">
    <w:name w:val="NumPar 2"/>
    <w:basedOn w:val="Normal"/>
    <w:next w:val="Text1"/>
    <w:pPr>
      <w:numPr>
        <w:ilvl w:val="1"/>
        <w:numId w:val="24"/>
      </w:numPr>
    </w:pPr>
  </w:style>
  <w:style w:type="paragraph" w:customStyle="1" w:styleId="NumPar3">
    <w:name w:val="NumPar 3"/>
    <w:basedOn w:val="Normal"/>
    <w:next w:val="Text1"/>
    <w:pPr>
      <w:numPr>
        <w:ilvl w:val="2"/>
        <w:numId w:val="24"/>
      </w:numPr>
    </w:pPr>
  </w:style>
  <w:style w:type="paragraph" w:customStyle="1" w:styleId="NumPar4">
    <w:name w:val="NumPar 4"/>
    <w:basedOn w:val="Normal"/>
    <w:next w:val="Text1"/>
    <w:pPr>
      <w:numPr>
        <w:ilvl w:val="3"/>
        <w:numId w:val="24"/>
      </w:numPr>
    </w:pPr>
  </w:style>
  <w:style w:type="paragraph" w:customStyle="1" w:styleId="NumPar5">
    <w:name w:val="NumPar 5"/>
    <w:basedOn w:val="Normal"/>
    <w:next w:val="Text2"/>
    <w:pPr>
      <w:numPr>
        <w:ilvl w:val="4"/>
        <w:numId w:val="24"/>
      </w:numPr>
    </w:pPr>
  </w:style>
  <w:style w:type="paragraph" w:customStyle="1" w:styleId="NumPar6">
    <w:name w:val="NumPar 6"/>
    <w:basedOn w:val="Normal"/>
    <w:next w:val="Text2"/>
    <w:pPr>
      <w:numPr>
        <w:ilvl w:val="5"/>
        <w:numId w:val="24"/>
      </w:numPr>
    </w:pPr>
  </w:style>
  <w:style w:type="paragraph" w:customStyle="1" w:styleId="NumPar7">
    <w:name w:val="NumPar 7"/>
    <w:basedOn w:val="Normal"/>
    <w:next w:val="Text2"/>
    <w:pPr>
      <w:numPr>
        <w:ilvl w:val="6"/>
        <w:numId w:val="2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6"/>
      </w:numPr>
    </w:pPr>
  </w:style>
  <w:style w:type="paragraph" w:customStyle="1" w:styleId="Point1number">
    <w:name w:val="Point 1 (number)"/>
    <w:basedOn w:val="Normal"/>
    <w:pPr>
      <w:numPr>
        <w:ilvl w:val="2"/>
        <w:numId w:val="26"/>
      </w:numPr>
    </w:pPr>
  </w:style>
  <w:style w:type="paragraph" w:customStyle="1" w:styleId="Point2number">
    <w:name w:val="Point 2 (number)"/>
    <w:basedOn w:val="Normal"/>
    <w:pPr>
      <w:numPr>
        <w:ilvl w:val="4"/>
        <w:numId w:val="26"/>
      </w:numPr>
    </w:pPr>
  </w:style>
  <w:style w:type="paragraph" w:customStyle="1" w:styleId="Point3number">
    <w:name w:val="Point 3 (number)"/>
    <w:basedOn w:val="Normal"/>
    <w:pPr>
      <w:numPr>
        <w:ilvl w:val="6"/>
        <w:numId w:val="26"/>
      </w:numPr>
    </w:pPr>
  </w:style>
  <w:style w:type="paragraph" w:customStyle="1" w:styleId="Point0letter">
    <w:name w:val="Point 0 (letter)"/>
    <w:basedOn w:val="Normal"/>
    <w:pPr>
      <w:numPr>
        <w:ilvl w:val="1"/>
        <w:numId w:val="26"/>
      </w:numPr>
    </w:pPr>
  </w:style>
  <w:style w:type="paragraph" w:customStyle="1" w:styleId="Point1letter">
    <w:name w:val="Point 1 (letter)"/>
    <w:basedOn w:val="Normal"/>
    <w:pPr>
      <w:numPr>
        <w:ilvl w:val="3"/>
        <w:numId w:val="26"/>
      </w:numPr>
    </w:pPr>
  </w:style>
  <w:style w:type="paragraph" w:customStyle="1" w:styleId="Point2letter">
    <w:name w:val="Point 2 (letter)"/>
    <w:basedOn w:val="Normal"/>
    <w:pPr>
      <w:numPr>
        <w:ilvl w:val="5"/>
        <w:numId w:val="26"/>
      </w:numPr>
    </w:pPr>
  </w:style>
  <w:style w:type="paragraph" w:customStyle="1" w:styleId="Point3letter">
    <w:name w:val="Point 3 (letter)"/>
    <w:basedOn w:val="Normal"/>
    <w:pPr>
      <w:numPr>
        <w:ilvl w:val="7"/>
        <w:numId w:val="26"/>
      </w:numPr>
    </w:pPr>
  </w:style>
  <w:style w:type="paragraph" w:customStyle="1" w:styleId="Point4letter">
    <w:name w:val="Point 4 (letter)"/>
    <w:basedOn w:val="Normal"/>
    <w:pPr>
      <w:numPr>
        <w:ilvl w:val="8"/>
        <w:numId w:val="26"/>
      </w:numPr>
    </w:pPr>
  </w:style>
  <w:style w:type="paragraph" w:customStyle="1" w:styleId="Bullet0">
    <w:name w:val="Bullet 0"/>
    <w:basedOn w:val="Normal"/>
    <w:pPr>
      <w:numPr>
        <w:numId w:val="27"/>
      </w:numPr>
    </w:pPr>
  </w:style>
  <w:style w:type="paragraph" w:customStyle="1" w:styleId="Bullet1">
    <w:name w:val="Bullet 1"/>
    <w:basedOn w:val="Normal"/>
    <w:pPr>
      <w:numPr>
        <w:numId w:val="28"/>
      </w:numPr>
    </w:pPr>
  </w:style>
  <w:style w:type="paragraph" w:customStyle="1" w:styleId="Bullet2">
    <w:name w:val="Bullet 2"/>
    <w:basedOn w:val="Normal"/>
    <w:pPr>
      <w:numPr>
        <w:numId w:val="29"/>
      </w:numPr>
    </w:pPr>
  </w:style>
  <w:style w:type="paragraph" w:customStyle="1" w:styleId="Bullet3">
    <w:name w:val="Bullet 3"/>
    <w:basedOn w:val="Normal"/>
    <w:pPr>
      <w:numPr>
        <w:numId w:val="30"/>
      </w:numPr>
    </w:pPr>
  </w:style>
  <w:style w:type="paragraph" w:customStyle="1" w:styleId="Bullet4">
    <w:name w:val="Bullet 4"/>
    <w:basedOn w:val="Normal"/>
    <w:pPr>
      <w:numPr>
        <w:numId w:val="3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E664ED"/>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664ED"/>
    <w:pPr>
      <w:spacing w:after="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664ED"/>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664ED"/>
    <w:pPr>
      <w:spacing w:before="360" w:after="240"/>
      <w:jc w:val="center"/>
    </w:pPr>
  </w:style>
  <w:style w:type="paragraph" w:styleId="Header">
    <w:name w:val="header"/>
    <w:basedOn w:val="Normal"/>
    <w:link w:val="HeaderChar"/>
    <w:uiPriority w:val="99"/>
    <w:unhideWhenUsed/>
    <w:rsid w:val="00A7243D"/>
    <w:pPr>
      <w:tabs>
        <w:tab w:val="center" w:pos="4535"/>
        <w:tab w:val="right" w:pos="9071"/>
      </w:tabs>
      <w:spacing w:before="0"/>
    </w:pPr>
  </w:style>
  <w:style w:type="paragraph" w:customStyle="1" w:styleId="HeaderLandscape">
    <w:name w:val="HeaderLandscape"/>
    <w:basedOn w:val="Normal"/>
    <w:rsid w:val="00A7243D"/>
    <w:pPr>
      <w:tabs>
        <w:tab w:val="center" w:pos="7285"/>
        <w:tab w:val="right" w:pos="14003"/>
      </w:tabs>
      <w:spacing w:before="0"/>
    </w:pPr>
  </w:style>
  <w:style w:type="paragraph" w:styleId="Footer">
    <w:name w:val="footer"/>
    <w:basedOn w:val="Normal"/>
    <w:link w:val="FooterChar"/>
    <w:uiPriority w:val="99"/>
    <w:unhideWhenUsed/>
    <w:rsid w:val="00A7243D"/>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A7243D"/>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934857">
      <w:bodyDiv w:val="1"/>
      <w:marLeft w:val="0"/>
      <w:marRight w:val="0"/>
      <w:marTop w:val="0"/>
      <w:marBottom w:val="0"/>
      <w:divBdr>
        <w:top w:val="none" w:sz="0" w:space="0" w:color="auto"/>
        <w:left w:val="none" w:sz="0" w:space="0" w:color="auto"/>
        <w:bottom w:val="none" w:sz="0" w:space="0" w:color="auto"/>
        <w:right w:val="none" w:sz="0" w:space="0" w:color="auto"/>
      </w:divBdr>
    </w:div>
    <w:div w:id="787432149">
      <w:bodyDiv w:val="1"/>
      <w:marLeft w:val="0"/>
      <w:marRight w:val="0"/>
      <w:marTop w:val="0"/>
      <w:marBottom w:val="0"/>
      <w:divBdr>
        <w:top w:val="none" w:sz="0" w:space="0" w:color="auto"/>
        <w:left w:val="none" w:sz="0" w:space="0" w:color="auto"/>
        <w:bottom w:val="none" w:sz="0" w:space="0" w:color="auto"/>
        <w:right w:val="none" w:sz="0" w:space="0" w:color="auto"/>
      </w:divBdr>
    </w:div>
    <w:div w:id="1439906643">
      <w:bodyDiv w:val="1"/>
      <w:marLeft w:val="0"/>
      <w:marRight w:val="0"/>
      <w:marTop w:val="0"/>
      <w:marBottom w:val="0"/>
      <w:divBdr>
        <w:top w:val="none" w:sz="0" w:space="0" w:color="auto"/>
        <w:left w:val="none" w:sz="0" w:space="0" w:color="auto"/>
        <w:bottom w:val="none" w:sz="0" w:space="0" w:color="auto"/>
        <w:right w:val="none" w:sz="0" w:space="0" w:color="auto"/>
      </w:divBdr>
    </w:div>
    <w:div w:id="1562986687">
      <w:bodyDiv w:val="1"/>
      <w:marLeft w:val="0"/>
      <w:marRight w:val="0"/>
      <w:marTop w:val="0"/>
      <w:marBottom w:val="0"/>
      <w:divBdr>
        <w:top w:val="none" w:sz="0" w:space="0" w:color="auto"/>
        <w:left w:val="none" w:sz="0" w:space="0" w:color="auto"/>
        <w:bottom w:val="none" w:sz="0" w:space="0" w:color="auto"/>
        <w:right w:val="none" w:sz="0" w:space="0" w:color="auto"/>
      </w:divBdr>
    </w:div>
    <w:div w:id="1762096412">
      <w:bodyDiv w:val="1"/>
      <w:marLeft w:val="0"/>
      <w:marRight w:val="0"/>
      <w:marTop w:val="0"/>
      <w:marBottom w:val="0"/>
      <w:divBdr>
        <w:top w:val="none" w:sz="0" w:space="0" w:color="auto"/>
        <w:left w:val="none" w:sz="0" w:space="0" w:color="auto"/>
        <w:bottom w:val="none" w:sz="0" w:space="0" w:color="auto"/>
        <w:right w:val="none" w:sz="0" w:space="0" w:color="auto"/>
      </w:divBdr>
    </w:div>
    <w:div w:id="1985114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reg/2026/786/oj" TargetMode="External"/><Relationship Id="rId13" Type="http://schemas.openxmlformats.org/officeDocument/2006/relationships/hyperlink" Target="http://data.europa.eu/eli/reg/2026/249/oj" TargetMode="External"/><Relationship Id="rId18" Type="http://schemas.openxmlformats.org/officeDocument/2006/relationships/hyperlink" Target="https://www.iccat.int/Documents/Recs/compendiopdf-e/2025-04-e.pdf" TargetMode="External"/><Relationship Id="rId3" Type="http://schemas.openxmlformats.org/officeDocument/2006/relationships/hyperlink" Target="http://data.europa.eu/eli/reg/2013/1380/oj" TargetMode="External"/><Relationship Id="rId7" Type="http://schemas.openxmlformats.org/officeDocument/2006/relationships/hyperlink" Target="http://data.europa.eu/eli/prot/2024/3203/oj" TargetMode="External"/><Relationship Id="rId12" Type="http://schemas.openxmlformats.org/officeDocument/2006/relationships/hyperlink" Target="http://data.europa.eu/eli/reg/2017/2107/oj" TargetMode="External"/><Relationship Id="rId17" Type="http://schemas.openxmlformats.org/officeDocument/2006/relationships/hyperlink" Target="http://data.europa.eu/eli/agree_internation/2021/793/oj" TargetMode="External"/><Relationship Id="rId2" Type="http://schemas.openxmlformats.org/officeDocument/2006/relationships/hyperlink" Target="http://data.europa.eu/eli/reg/2026/786/oj" TargetMode="External"/><Relationship Id="rId16" Type="http://schemas.openxmlformats.org/officeDocument/2006/relationships/hyperlink" Target="http://data.europa.eu/eli/prot/2024/3203/oj" TargetMode="External"/><Relationship Id="rId1" Type="http://schemas.openxmlformats.org/officeDocument/2006/relationships/hyperlink" Target="http://data.europa.eu/eli/reg/2026/249/oj" TargetMode="External"/><Relationship Id="rId6" Type="http://schemas.openxmlformats.org/officeDocument/2006/relationships/hyperlink" Target="http://data.europa.eu/eli/agree_internation/2021/689(1)/oj" TargetMode="External"/><Relationship Id="rId11" Type="http://schemas.openxmlformats.org/officeDocument/2006/relationships/hyperlink" Target="http://data.europa.eu/eli/reg/2023/2053/oj" TargetMode="External"/><Relationship Id="rId5" Type="http://schemas.openxmlformats.org/officeDocument/2006/relationships/hyperlink" Target="http://data.europa.eu/eli/reg/2025/1350/oj" TargetMode="External"/><Relationship Id="rId15" Type="http://schemas.openxmlformats.org/officeDocument/2006/relationships/hyperlink" Target="http://data.europa.eu/eli/reg/2026/786/oj" TargetMode="External"/><Relationship Id="rId10" Type="http://schemas.openxmlformats.org/officeDocument/2006/relationships/hyperlink" Target="https://www.iccat.int/Documents/Recs/compendiopdf-e/2025-04-e.pdf" TargetMode="External"/><Relationship Id="rId19" Type="http://schemas.openxmlformats.org/officeDocument/2006/relationships/hyperlink" Target="http://data.europa.eu/eli/reg/2023/2053/oj" TargetMode="External"/><Relationship Id="rId4" Type="http://schemas.openxmlformats.org/officeDocument/2006/relationships/hyperlink" Target="http://data.europa.eu/eli/dir/2008/56/oj" TargetMode="External"/><Relationship Id="rId9" Type="http://schemas.openxmlformats.org/officeDocument/2006/relationships/hyperlink" Target="http://data.europa.eu/eli/agree_internation/2021/793/oj" TargetMode="External"/><Relationship Id="rId14" Type="http://schemas.openxmlformats.org/officeDocument/2006/relationships/hyperlink" Target="http://data.europa.eu/eli/agree_internation/2021/689(1)/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20D94BF79903409A44EFD8C6ED4DE5" ma:contentTypeVersion="12" ma:contentTypeDescription="Create a new document." ma:contentTypeScope="" ma:versionID="6973fa26ba263b0db3cd80e7d18e342f">
  <xsd:schema xmlns:xsd="http://www.w3.org/2001/XMLSchema" xmlns:xs="http://www.w3.org/2001/XMLSchema" xmlns:p="http://schemas.microsoft.com/office/2006/metadata/properties" xmlns:ns2="fb6c068c-bc2d-4620-b517-6a4d82a7e161" xmlns:ns3="604b4288-15a6-4b36-801c-a9875e40b072" targetNamespace="http://schemas.microsoft.com/office/2006/metadata/properties" ma:root="true" ma:fieldsID="c15c5e15204f5160eb269c1690946df4" ns2:_="" ns3:_="">
    <xsd:import namespace="fb6c068c-bc2d-4620-b517-6a4d82a7e161"/>
    <xsd:import namespace="604b4288-15a6-4b36-801c-a9875e40b0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c068c-bc2d-4620-b517-6a4d82a7e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4b4288-15a6-4b36-801c-a9875e40b0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E7F0C5A-E94C-445D-90F3-FF4069D28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c068c-bc2d-4620-b517-6a4d82a7e161"/>
    <ds:schemaRef ds:uri="604b4288-15a6-4b36-801c-a9875e40b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FEF8E6-6D22-4A69-B51D-B96C2B73A0AB}">
  <ds:schemaRefs>
    <ds:schemaRef ds:uri="http://schemas.microsoft.com/sharepoint/v3/contenttype/forms"/>
  </ds:schemaRefs>
</ds:datastoreItem>
</file>

<file path=customXml/itemProps3.xml><?xml version="1.0" encoding="utf-8"?>
<ds:datastoreItem xmlns:ds="http://schemas.openxmlformats.org/officeDocument/2006/customXml" ds:itemID="{954FB236-A787-4BCA-8EB5-0DA2A7110A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230544-0B80-48E7-B897-08DE1210D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145</TotalTime>
  <Pages>11</Pages>
  <Words>5021</Words>
  <Characters>28625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33579</CharactersWithSpaces>
  <SharedDoc>false</SharedDoc>
  <HLinks>
    <vt:vector size="204" baseType="variant">
      <vt:variant>
        <vt:i4>4522004</vt:i4>
      </vt:variant>
      <vt:variant>
        <vt:i4>84</vt:i4>
      </vt:variant>
      <vt:variant>
        <vt:i4>0</vt:i4>
      </vt:variant>
      <vt:variant>
        <vt:i4>5</vt:i4>
      </vt:variant>
      <vt:variant>
        <vt:lpwstr>http://data.europa.eu/eli/reg/2026/786/oj</vt:lpwstr>
      </vt:variant>
      <vt:variant>
        <vt:lpwstr/>
      </vt:variant>
      <vt:variant>
        <vt:i4>7143529</vt:i4>
      </vt:variant>
      <vt:variant>
        <vt:i4>81</vt:i4>
      </vt:variant>
      <vt:variant>
        <vt:i4>0</vt:i4>
      </vt:variant>
      <vt:variant>
        <vt:i4>5</vt:i4>
      </vt:variant>
      <vt:variant>
        <vt:lpwstr>http://data.europa.eu/eli/reg/2017/2107/oj</vt:lpwstr>
      </vt:variant>
      <vt:variant>
        <vt:lpwstr/>
      </vt:variant>
      <vt:variant>
        <vt:i4>7077999</vt:i4>
      </vt:variant>
      <vt:variant>
        <vt:i4>78</vt:i4>
      </vt:variant>
      <vt:variant>
        <vt:i4>0</vt:i4>
      </vt:variant>
      <vt:variant>
        <vt:i4>5</vt:i4>
      </vt:variant>
      <vt:variant>
        <vt:lpwstr>http://data.europa.eu/eli/reg/2023/2053/oj</vt:lpwstr>
      </vt:variant>
      <vt:variant>
        <vt:lpwstr/>
      </vt:variant>
      <vt:variant>
        <vt:i4>4390925</vt:i4>
      </vt:variant>
      <vt:variant>
        <vt:i4>75</vt:i4>
      </vt:variant>
      <vt:variant>
        <vt:i4>0</vt:i4>
      </vt:variant>
      <vt:variant>
        <vt:i4>5</vt:i4>
      </vt:variant>
      <vt:variant>
        <vt:lpwstr>https://www.iccat.int/Documents/Recs/compendiopdf-e/2025-04-e.pdf</vt:lpwstr>
      </vt:variant>
      <vt:variant>
        <vt:lpwstr/>
      </vt:variant>
      <vt:variant>
        <vt:i4>7077999</vt:i4>
      </vt:variant>
      <vt:variant>
        <vt:i4>72</vt:i4>
      </vt:variant>
      <vt:variant>
        <vt:i4>0</vt:i4>
      </vt:variant>
      <vt:variant>
        <vt:i4>5</vt:i4>
      </vt:variant>
      <vt:variant>
        <vt:lpwstr>http://data.europa.eu/eli/reg/2023/2053/oj</vt:lpwstr>
      </vt:variant>
      <vt:variant>
        <vt:lpwstr/>
      </vt:variant>
      <vt:variant>
        <vt:i4>4390925</vt:i4>
      </vt:variant>
      <vt:variant>
        <vt:i4>69</vt:i4>
      </vt:variant>
      <vt:variant>
        <vt:i4>0</vt:i4>
      </vt:variant>
      <vt:variant>
        <vt:i4>5</vt:i4>
      </vt:variant>
      <vt:variant>
        <vt:lpwstr>https://www.iccat.int/Documents/Recs/compendiopdf-e/2025-04-e.pdf</vt:lpwstr>
      </vt:variant>
      <vt:variant>
        <vt:lpwstr/>
      </vt:variant>
      <vt:variant>
        <vt:i4>65663</vt:i4>
      </vt:variant>
      <vt:variant>
        <vt:i4>63</vt:i4>
      </vt:variant>
      <vt:variant>
        <vt:i4>0</vt:i4>
      </vt:variant>
      <vt:variant>
        <vt:i4>5</vt:i4>
      </vt:variant>
      <vt:variant>
        <vt:lpwstr>http://data.europa.eu/eli/agree_internation/2021/793/oj</vt:lpwstr>
      </vt:variant>
      <vt:variant>
        <vt:lpwstr/>
      </vt:variant>
      <vt:variant>
        <vt:i4>65663</vt:i4>
      </vt:variant>
      <vt:variant>
        <vt:i4>60</vt:i4>
      </vt:variant>
      <vt:variant>
        <vt:i4>0</vt:i4>
      </vt:variant>
      <vt:variant>
        <vt:i4>5</vt:i4>
      </vt:variant>
      <vt:variant>
        <vt:lpwstr>http://data.europa.eu/eli/agree_internation/2021/793/oj</vt:lpwstr>
      </vt:variant>
      <vt:variant>
        <vt:lpwstr/>
      </vt:variant>
      <vt:variant>
        <vt:i4>2097185</vt:i4>
      </vt:variant>
      <vt:variant>
        <vt:i4>57</vt:i4>
      </vt:variant>
      <vt:variant>
        <vt:i4>0</vt:i4>
      </vt:variant>
      <vt:variant>
        <vt:i4>5</vt:i4>
      </vt:variant>
      <vt:variant>
        <vt:lpwstr>http://data.europa.eu/eli/prot/2024/3203/oj</vt:lpwstr>
      </vt:variant>
      <vt:variant>
        <vt:lpwstr/>
      </vt:variant>
      <vt:variant>
        <vt:i4>4522004</vt:i4>
      </vt:variant>
      <vt:variant>
        <vt:i4>54</vt:i4>
      </vt:variant>
      <vt:variant>
        <vt:i4>0</vt:i4>
      </vt:variant>
      <vt:variant>
        <vt:i4>5</vt:i4>
      </vt:variant>
      <vt:variant>
        <vt:lpwstr>http://data.europa.eu/eli/reg/2026/786/oj</vt:lpwstr>
      </vt:variant>
      <vt:variant>
        <vt:lpwstr/>
      </vt:variant>
      <vt:variant>
        <vt:i4>5177368</vt:i4>
      </vt:variant>
      <vt:variant>
        <vt:i4>51</vt:i4>
      </vt:variant>
      <vt:variant>
        <vt:i4>0</vt:i4>
      </vt:variant>
      <vt:variant>
        <vt:i4>5</vt:i4>
      </vt:variant>
      <vt:variant>
        <vt:lpwstr>http://data.europa.eu/eli/reg/2026/249/oj</vt:lpwstr>
      </vt:variant>
      <vt:variant>
        <vt:lpwstr/>
      </vt:variant>
      <vt:variant>
        <vt:i4>4522004</vt:i4>
      </vt:variant>
      <vt:variant>
        <vt:i4>45</vt:i4>
      </vt:variant>
      <vt:variant>
        <vt:i4>0</vt:i4>
      </vt:variant>
      <vt:variant>
        <vt:i4>5</vt:i4>
      </vt:variant>
      <vt:variant>
        <vt:lpwstr>http://data.europa.eu/eli/reg/2026/786/oj</vt:lpwstr>
      </vt:variant>
      <vt:variant>
        <vt:lpwstr/>
      </vt:variant>
      <vt:variant>
        <vt:i4>7143529</vt:i4>
      </vt:variant>
      <vt:variant>
        <vt:i4>42</vt:i4>
      </vt:variant>
      <vt:variant>
        <vt:i4>0</vt:i4>
      </vt:variant>
      <vt:variant>
        <vt:i4>5</vt:i4>
      </vt:variant>
      <vt:variant>
        <vt:lpwstr>http://data.europa.eu/eli/reg/2017/2107/oj</vt:lpwstr>
      </vt:variant>
      <vt:variant>
        <vt:lpwstr/>
      </vt:variant>
      <vt:variant>
        <vt:i4>7077999</vt:i4>
      </vt:variant>
      <vt:variant>
        <vt:i4>39</vt:i4>
      </vt:variant>
      <vt:variant>
        <vt:i4>0</vt:i4>
      </vt:variant>
      <vt:variant>
        <vt:i4>5</vt:i4>
      </vt:variant>
      <vt:variant>
        <vt:lpwstr>http://data.europa.eu/eli/reg/2023/2053/oj</vt:lpwstr>
      </vt:variant>
      <vt:variant>
        <vt:lpwstr/>
      </vt:variant>
      <vt:variant>
        <vt:i4>4390925</vt:i4>
      </vt:variant>
      <vt:variant>
        <vt:i4>36</vt:i4>
      </vt:variant>
      <vt:variant>
        <vt:i4>0</vt:i4>
      </vt:variant>
      <vt:variant>
        <vt:i4>5</vt:i4>
      </vt:variant>
      <vt:variant>
        <vt:lpwstr>https://www.iccat.int/Documents/Recs/compendiopdf-e/2025-04-e.pdf</vt:lpwstr>
      </vt:variant>
      <vt:variant>
        <vt:lpwstr/>
      </vt:variant>
      <vt:variant>
        <vt:i4>65663</vt:i4>
      </vt:variant>
      <vt:variant>
        <vt:i4>33</vt:i4>
      </vt:variant>
      <vt:variant>
        <vt:i4>0</vt:i4>
      </vt:variant>
      <vt:variant>
        <vt:i4>5</vt:i4>
      </vt:variant>
      <vt:variant>
        <vt:lpwstr>http://data.europa.eu/eli/agree_internation/2021/793/oj</vt:lpwstr>
      </vt:variant>
      <vt:variant>
        <vt:lpwstr/>
      </vt:variant>
      <vt:variant>
        <vt:i4>4522004</vt:i4>
      </vt:variant>
      <vt:variant>
        <vt:i4>30</vt:i4>
      </vt:variant>
      <vt:variant>
        <vt:i4>0</vt:i4>
      </vt:variant>
      <vt:variant>
        <vt:i4>5</vt:i4>
      </vt:variant>
      <vt:variant>
        <vt:lpwstr>http://data.europa.eu/eli/reg/2026/786/oj</vt:lpwstr>
      </vt:variant>
      <vt:variant>
        <vt:lpwstr/>
      </vt:variant>
      <vt:variant>
        <vt:i4>65663</vt:i4>
      </vt:variant>
      <vt:variant>
        <vt:i4>27</vt:i4>
      </vt:variant>
      <vt:variant>
        <vt:i4>0</vt:i4>
      </vt:variant>
      <vt:variant>
        <vt:i4>5</vt:i4>
      </vt:variant>
      <vt:variant>
        <vt:lpwstr>http://data.europa.eu/eli/agree_internation/2021/793/oj</vt:lpwstr>
      </vt:variant>
      <vt:variant>
        <vt:lpwstr/>
      </vt:variant>
      <vt:variant>
        <vt:i4>2097185</vt:i4>
      </vt:variant>
      <vt:variant>
        <vt:i4>24</vt:i4>
      </vt:variant>
      <vt:variant>
        <vt:i4>0</vt:i4>
      </vt:variant>
      <vt:variant>
        <vt:i4>5</vt:i4>
      </vt:variant>
      <vt:variant>
        <vt:lpwstr>http://data.europa.eu/eli/prot/2024/3203/oj</vt:lpwstr>
      </vt:variant>
      <vt:variant>
        <vt:lpwstr/>
      </vt:variant>
      <vt:variant>
        <vt:i4>1114175</vt:i4>
      </vt:variant>
      <vt:variant>
        <vt:i4>21</vt:i4>
      </vt:variant>
      <vt:variant>
        <vt:i4>0</vt:i4>
      </vt:variant>
      <vt:variant>
        <vt:i4>5</vt:i4>
      </vt:variant>
      <vt:variant>
        <vt:lpwstr>http://data.europa.eu/eli/agree_internation/2021/689(1)/oj</vt:lpwstr>
      </vt:variant>
      <vt:variant>
        <vt:lpwstr/>
      </vt:variant>
      <vt:variant>
        <vt:i4>6881391</vt:i4>
      </vt:variant>
      <vt:variant>
        <vt:i4>18</vt:i4>
      </vt:variant>
      <vt:variant>
        <vt:i4>0</vt:i4>
      </vt:variant>
      <vt:variant>
        <vt:i4>5</vt:i4>
      </vt:variant>
      <vt:variant>
        <vt:lpwstr>http://data.europa.eu/eli/reg/2025/1350/oj</vt:lpwstr>
      </vt:variant>
      <vt:variant>
        <vt:lpwstr/>
      </vt:variant>
      <vt:variant>
        <vt:i4>5832795</vt:i4>
      </vt:variant>
      <vt:variant>
        <vt:i4>15</vt:i4>
      </vt:variant>
      <vt:variant>
        <vt:i4>0</vt:i4>
      </vt:variant>
      <vt:variant>
        <vt:i4>5</vt:i4>
      </vt:variant>
      <vt:variant>
        <vt:lpwstr>http://data.europa.eu/eli/dir/2008/56/oj</vt:lpwstr>
      </vt:variant>
      <vt:variant>
        <vt:lpwstr/>
      </vt:variant>
      <vt:variant>
        <vt:i4>6422636</vt:i4>
      </vt:variant>
      <vt:variant>
        <vt:i4>12</vt:i4>
      </vt:variant>
      <vt:variant>
        <vt:i4>0</vt:i4>
      </vt:variant>
      <vt:variant>
        <vt:i4>5</vt:i4>
      </vt:variant>
      <vt:variant>
        <vt:lpwstr>http://data.europa.eu/eli/reg/2013/1380/oj</vt:lpwstr>
      </vt:variant>
      <vt:variant>
        <vt:lpwstr/>
      </vt:variant>
      <vt:variant>
        <vt:i4>4522004</vt:i4>
      </vt:variant>
      <vt:variant>
        <vt:i4>9</vt:i4>
      </vt:variant>
      <vt:variant>
        <vt:i4>0</vt:i4>
      </vt:variant>
      <vt:variant>
        <vt:i4>5</vt:i4>
      </vt:variant>
      <vt:variant>
        <vt:lpwstr>http://data.europa.eu/eli/reg/2026/786/oj</vt:lpwstr>
      </vt:variant>
      <vt:variant>
        <vt:lpwstr/>
      </vt:variant>
      <vt:variant>
        <vt:i4>5177368</vt:i4>
      </vt:variant>
      <vt:variant>
        <vt:i4>3</vt:i4>
      </vt:variant>
      <vt:variant>
        <vt:i4>0</vt:i4>
      </vt:variant>
      <vt:variant>
        <vt:i4>5</vt:i4>
      </vt:variant>
      <vt:variant>
        <vt:lpwstr>http://data.europa.eu/eli/reg/2026/249/oj</vt:lpwstr>
      </vt:variant>
      <vt:variant>
        <vt:lpwstr/>
      </vt:variant>
      <vt:variant>
        <vt:i4>1310774</vt:i4>
      </vt:variant>
      <vt:variant>
        <vt:i4>24</vt:i4>
      </vt:variant>
      <vt:variant>
        <vt:i4>0</vt:i4>
      </vt:variant>
      <vt:variant>
        <vt:i4>5</vt:i4>
      </vt:variant>
      <vt:variant>
        <vt:lpwstr>mailto:Seamus.HOWARD@ec.europa.eu</vt:lpwstr>
      </vt:variant>
      <vt:variant>
        <vt:lpwstr/>
      </vt:variant>
      <vt:variant>
        <vt:i4>131131</vt:i4>
      </vt:variant>
      <vt:variant>
        <vt:i4>21</vt:i4>
      </vt:variant>
      <vt:variant>
        <vt:i4>0</vt:i4>
      </vt:variant>
      <vt:variant>
        <vt:i4>5</vt:i4>
      </vt:variant>
      <vt:variant>
        <vt:lpwstr>mailto:Anais.DEMAILLE@ec.europa.eu</vt:lpwstr>
      </vt:variant>
      <vt:variant>
        <vt:lpwstr/>
      </vt:variant>
      <vt:variant>
        <vt:i4>1310774</vt:i4>
      </vt:variant>
      <vt:variant>
        <vt:i4>18</vt:i4>
      </vt:variant>
      <vt:variant>
        <vt:i4>0</vt:i4>
      </vt:variant>
      <vt:variant>
        <vt:i4>5</vt:i4>
      </vt:variant>
      <vt:variant>
        <vt:lpwstr>mailto:Seamus.HOWARD@ec.europa.eu</vt:lpwstr>
      </vt:variant>
      <vt:variant>
        <vt:lpwstr/>
      </vt:variant>
      <vt:variant>
        <vt:i4>131131</vt:i4>
      </vt:variant>
      <vt:variant>
        <vt:i4>15</vt:i4>
      </vt:variant>
      <vt:variant>
        <vt:i4>0</vt:i4>
      </vt:variant>
      <vt:variant>
        <vt:i4>5</vt:i4>
      </vt:variant>
      <vt:variant>
        <vt:lpwstr>mailto:Anais.DEMAILLE@ec.europa.eu</vt:lpwstr>
      </vt:variant>
      <vt:variant>
        <vt:lpwstr/>
      </vt:variant>
      <vt:variant>
        <vt:i4>3932188</vt:i4>
      </vt:variant>
      <vt:variant>
        <vt:i4>12</vt:i4>
      </vt:variant>
      <vt:variant>
        <vt:i4>0</vt:i4>
      </vt:variant>
      <vt:variant>
        <vt:i4>5</vt:i4>
      </vt:variant>
      <vt:variant>
        <vt:lpwstr>mailto:Bernard.BLAZKIEWICZ@ec.europa.eu</vt:lpwstr>
      </vt:variant>
      <vt:variant>
        <vt:lpwstr/>
      </vt:variant>
      <vt:variant>
        <vt:i4>1310774</vt:i4>
      </vt:variant>
      <vt:variant>
        <vt:i4>9</vt:i4>
      </vt:variant>
      <vt:variant>
        <vt:i4>0</vt:i4>
      </vt:variant>
      <vt:variant>
        <vt:i4>5</vt:i4>
      </vt:variant>
      <vt:variant>
        <vt:lpwstr>mailto:Seamus.HOWARD@ec.europa.eu</vt:lpwstr>
      </vt:variant>
      <vt:variant>
        <vt:lpwstr/>
      </vt:variant>
      <vt:variant>
        <vt:i4>131131</vt:i4>
      </vt:variant>
      <vt:variant>
        <vt:i4>6</vt:i4>
      </vt:variant>
      <vt:variant>
        <vt:i4>0</vt:i4>
      </vt:variant>
      <vt:variant>
        <vt:i4>5</vt:i4>
      </vt:variant>
      <vt:variant>
        <vt:lpwstr>mailto:Anais.DEMAILLE@ec.europa.eu</vt:lpwstr>
      </vt:variant>
      <vt:variant>
        <vt:lpwstr/>
      </vt:variant>
      <vt:variant>
        <vt:i4>1310774</vt:i4>
      </vt:variant>
      <vt:variant>
        <vt:i4>3</vt:i4>
      </vt:variant>
      <vt:variant>
        <vt:i4>0</vt:i4>
      </vt:variant>
      <vt:variant>
        <vt:i4>5</vt:i4>
      </vt:variant>
      <vt:variant>
        <vt:lpwstr>mailto:Seamus.HOWARD@ec.europa.eu</vt:lpwstr>
      </vt:variant>
      <vt:variant>
        <vt:lpwstr/>
      </vt:variant>
      <vt:variant>
        <vt:i4>131131</vt:i4>
      </vt:variant>
      <vt:variant>
        <vt:i4>0</vt:i4>
      </vt:variant>
      <vt:variant>
        <vt:i4>0</vt:i4>
      </vt:variant>
      <vt:variant>
        <vt:i4>5</vt:i4>
      </vt:variant>
      <vt:variant>
        <vt:lpwstr>mailto:Anais.DEMAILLE@ec.europa.eu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c:subject>
  <dc:creator/>
  <cp:keywords/>
  <dc:description/>
  <cp:lastModifiedBy/>
  <cp:revision>44</cp:revision>
  <cp:lastPrinted>2026-04-17T12:15:00Z</cp:lastPrinted>
  <dcterms:created xsi:type="dcterms:W3CDTF">2026-05-06T13:09:00Z</dcterms:created>
  <dcterms:modified xsi:type="dcterms:W3CDTF">2026-06-11T15:09:00Z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9.2, Build 20250828</vt:lpwstr>
  </property>
  <property fmtid="{D5CDD505-2E9C-101B-9397-08002B2CF9AE}" pid="5" name="Created using">
    <vt:lpwstr>LW 8.0, Build 20220128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SJ-016</vt:lpwstr>
  </property>
  <property fmtid="{D5CDD505-2E9C-101B-9397-08002B2CF9AE}" pid="10" name="ContentTypeId">
    <vt:lpwstr>0x010100D920D94BF79903409A44EFD8C6ED4DE5</vt:lpwstr>
  </property>
  <property fmtid="{D5CDD505-2E9C-101B-9397-08002B2CF9AE}" pid="11" name="_CopySource">
    <vt:lpwstr>COM proposal for 1st amendment to Atlantic FOs 2023 regulation Main text.docx</vt:lpwstr>
  </property>
  <property fmtid="{D5CDD505-2E9C-101B-9397-08002B2CF9AE}" pid="12" name="MSIP_Label_6bd9ddd1-4d20-43f6-abfa-fc3c07406f94_Enabled">
    <vt:lpwstr>true</vt:lpwstr>
  </property>
  <property fmtid="{D5CDD505-2E9C-101B-9397-08002B2CF9AE}" pid="13" name="MSIP_Label_6bd9ddd1-4d20-43f6-abfa-fc3c07406f94_SetDate">
    <vt:lpwstr>2023-02-10T16:03:48Z</vt:lpwstr>
  </property>
  <property fmtid="{D5CDD505-2E9C-101B-9397-08002B2CF9AE}" pid="14" name="MSIP_Label_6bd9ddd1-4d20-43f6-abfa-fc3c07406f94_Method">
    <vt:lpwstr>Privileged</vt:lpwstr>
  </property>
  <property fmtid="{D5CDD505-2E9C-101B-9397-08002B2CF9AE}" pid="15" name="MSIP_Label_6bd9ddd1-4d20-43f6-abfa-fc3c07406f94_Name">
    <vt:lpwstr>Commission Use</vt:lpwstr>
  </property>
  <property fmtid="{D5CDD505-2E9C-101B-9397-08002B2CF9AE}" pid="16" name="MSIP_Label_6bd9ddd1-4d20-43f6-abfa-fc3c07406f94_SiteId">
    <vt:lpwstr>b24c8b06-522c-46fe-9080-70926f8dddb1</vt:lpwstr>
  </property>
  <property fmtid="{D5CDD505-2E9C-101B-9397-08002B2CF9AE}" pid="17" name="MSIP_Label_6bd9ddd1-4d20-43f6-abfa-fc3c07406f94_ActionId">
    <vt:lpwstr>314e5bd8-c561-4bcd-977c-67a948bc7790</vt:lpwstr>
  </property>
  <property fmtid="{D5CDD505-2E9C-101B-9397-08002B2CF9AE}" pid="18" name="MSIP_Label_6bd9ddd1-4d20-43f6-abfa-fc3c07406f94_ContentBits">
    <vt:lpwstr>0</vt:lpwstr>
  </property>
  <property fmtid="{D5CDD505-2E9C-101B-9397-08002B2CF9AE}" pid="19" name="MediaServiceImageTags">
    <vt:lpwstr/>
  </property>
  <property fmtid="{D5CDD505-2E9C-101B-9397-08002B2CF9AE}" pid="20" name="DQCStatus">
    <vt:lpwstr>Green (DQC version 03)</vt:lpwstr>
  </property>
  <property name="OP_sanitized" fmtid="{D5CDD505-2E9C-101B-9397-08002B2CF9AE}" pid="21">
    <vt:lpwstr>True</vt:lpwstr>
  </property>
</Properties>
</file>