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2895" w:rsidRPr="001563D8" w:rsidRDefault="00CD5301" w:rsidP="00CD5301">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B1FBB5F1-DB91-4CBC-B839-F4056A8BBE6C" style="width:455.25pt;height:371.25pt">
            <v:imagedata r:id="rId11" o:title=""/>
          </v:shape>
        </w:pict>
      </w:r>
    </w:p>
    <w:p w:rsidR="00382895" w:rsidRPr="001563D8" w:rsidRDefault="00382895" w:rsidP="00440DA8">
      <w:pPr>
        <w:rPr>
          <w:noProof/>
        </w:rPr>
        <w:sectPr w:rsidR="00382895" w:rsidRPr="001563D8" w:rsidSect="00CD5301">
          <w:footerReference w:type="even" r:id="rId12"/>
          <w:footerReference w:type="default" r:id="rId13"/>
          <w:footnotePr>
            <w:numRestart w:val="eachSect"/>
          </w:footnotePr>
          <w:pgSz w:w="11907" w:h="16839"/>
          <w:pgMar w:top="1134" w:right="1417" w:bottom="1134" w:left="1417" w:header="709" w:footer="709" w:gutter="0"/>
          <w:pgNumType w:start="0"/>
          <w:cols w:space="720"/>
          <w:docGrid w:linePitch="360"/>
        </w:sectPr>
      </w:pPr>
    </w:p>
    <w:p w:rsidR="00382895" w:rsidRPr="001563D8" w:rsidRDefault="239980AF" w:rsidP="00440DA8">
      <w:pPr>
        <w:pStyle w:val="Exposdesmotifstitre"/>
        <w:rPr>
          <w:noProof/>
        </w:rPr>
      </w:pPr>
      <w:bookmarkStart w:id="0" w:name="_GoBack"/>
      <w:bookmarkEnd w:id="0"/>
      <w:r w:rsidRPr="001563D8">
        <w:rPr>
          <w:noProof/>
        </w:rPr>
        <w:lastRenderedPageBreak/>
        <w:t>MEABHRÁN MÍNIÚCHÁIN</w:t>
      </w:r>
    </w:p>
    <w:p w:rsidR="00382895" w:rsidRPr="001563D8" w:rsidRDefault="00382895" w:rsidP="00440DA8">
      <w:pPr>
        <w:pStyle w:val="ManualHeading1"/>
        <w:rPr>
          <w:noProof/>
        </w:rPr>
      </w:pPr>
      <w:r w:rsidRPr="001563D8">
        <w:rPr>
          <w:noProof/>
        </w:rPr>
        <w:t>1.</w:t>
      </w:r>
      <w:r w:rsidRPr="001563D8">
        <w:rPr>
          <w:noProof/>
        </w:rPr>
        <w:tab/>
        <w:t>COMHTHÉACS AN TOGRA</w:t>
      </w:r>
    </w:p>
    <w:p w:rsidR="00382895" w:rsidRPr="001563D8" w:rsidRDefault="00382895" w:rsidP="00440DA8">
      <w:pPr>
        <w:pStyle w:val="ManualHeading2"/>
        <w:rPr>
          <w:rFonts w:eastAsia="Arial Unicode MS"/>
          <w:noProof/>
        </w:rPr>
      </w:pPr>
      <w:r w:rsidRPr="001563D8">
        <w:rPr>
          <w:noProof/>
          <w:color w:val="000000"/>
          <w:u w:color="000000"/>
          <w:bdr w:val="nil"/>
        </w:rPr>
        <w:t>•</w:t>
      </w:r>
      <w:r w:rsidRPr="001563D8">
        <w:rPr>
          <w:noProof/>
        </w:rPr>
        <w:tab/>
        <w:t>Forais agus cuspóirí an togra</w:t>
      </w:r>
    </w:p>
    <w:p w:rsidR="00063BFE" w:rsidRPr="001563D8" w:rsidRDefault="43143727" w:rsidP="6F483BB9">
      <w:pPr>
        <w:pBdr>
          <w:top w:val="nil"/>
          <w:left w:val="nil"/>
          <w:bottom w:val="nil"/>
          <w:right w:val="nil"/>
          <w:between w:val="nil"/>
          <w:bar w:val="nil"/>
        </w:pBdr>
        <w:spacing w:before="0" w:after="240"/>
        <w:rPr>
          <w:noProof/>
        </w:rPr>
      </w:pPr>
      <w:r w:rsidRPr="001563D8">
        <w:rPr>
          <w:noProof/>
        </w:rPr>
        <w:t>Le Rialachán (AE)</w:t>
      </w:r>
      <w:r w:rsidR="00681CCE" w:rsidRPr="001563D8">
        <w:rPr>
          <w:noProof/>
        </w:rPr>
        <w:t xml:space="preserve"> </w:t>
      </w:r>
      <w:r w:rsidRPr="001563D8">
        <w:rPr>
          <w:noProof/>
        </w:rPr>
        <w:t>2026/249 ón gComhairle</w:t>
      </w:r>
      <w:r w:rsidRPr="001563D8">
        <w:rPr>
          <w:rStyle w:val="FootnoteReference"/>
          <w:noProof/>
        </w:rPr>
        <w:footnoteReference w:id="2"/>
      </w:r>
      <w:r w:rsidRPr="001563D8">
        <w:rPr>
          <w:noProof/>
        </w:rPr>
        <w:t>, socraítear le haghaidh 2026, 2027 agus 2028 na deiseanna iascaireachta le haghaidh stoic éisc áirithe, is infheidhme in uiscí an Aontais agus, i gcás soithí iascaireachta de chuid an Aontais, in uiscí áirithe nach uiscí de chuid an Aontais iad. Leasaítear na deiseanna iascaireachta sin leis an togra chun foilsiú na comhairle eolaíche, torthaí na gcomhairliúchán le tríú tíortha agus torthaí chruinnithe na</w:t>
      </w:r>
      <w:r w:rsidR="00672FA8" w:rsidRPr="001563D8">
        <w:rPr>
          <w:noProof/>
        </w:rPr>
        <w:t xml:space="preserve"> n</w:t>
      </w:r>
      <w:r w:rsidR="00672FA8" w:rsidRPr="001563D8">
        <w:rPr>
          <w:noProof/>
        </w:rPr>
        <w:noBreakHyphen/>
      </w:r>
      <w:r w:rsidRPr="001563D8">
        <w:rPr>
          <w:noProof/>
        </w:rPr>
        <w:t>eagraíochtaí réigiúnacha bainistithe iascaigh (ERBInna), agus forbairtí eile, a chur san áireamh. Leasaíodh Rialachán (AE) 2026/249 uair amháin cheana chun na críche céanna</w:t>
      </w:r>
      <w:r w:rsidRPr="001563D8">
        <w:rPr>
          <w:rStyle w:val="FootnoteReference"/>
          <w:noProof/>
        </w:rPr>
        <w:footnoteReference w:id="3"/>
      </w:r>
      <w:r w:rsidRPr="001563D8">
        <w:rPr>
          <w:noProof/>
        </w:rPr>
        <w:t>.</w:t>
      </w:r>
    </w:p>
    <w:p w:rsidR="00382895" w:rsidRPr="001563D8" w:rsidRDefault="00382895" w:rsidP="00440DA8">
      <w:pPr>
        <w:pStyle w:val="ManualHeading2"/>
        <w:rPr>
          <w:rFonts w:eastAsia="Arial Unicode MS"/>
          <w:noProof/>
          <w:color w:val="000000"/>
          <w:u w:color="000000"/>
          <w:bdr w:val="nil"/>
        </w:rPr>
      </w:pPr>
      <w:r w:rsidRPr="001563D8">
        <w:rPr>
          <w:noProof/>
          <w:color w:val="000000"/>
          <w:u w:color="000000"/>
          <w:bdr w:val="nil"/>
        </w:rPr>
        <w:t>•</w:t>
      </w:r>
      <w:r w:rsidRPr="001563D8">
        <w:rPr>
          <w:noProof/>
        </w:rPr>
        <w:tab/>
        <w:t>Comhsheasmhacht le forálacha beartais atá sa réimse beartais cheana</w:t>
      </w:r>
    </w:p>
    <w:p w:rsidR="00382895" w:rsidRPr="001563D8" w:rsidRDefault="239980AF" w:rsidP="00440DA8">
      <w:pPr>
        <w:rPr>
          <w:noProof/>
        </w:rPr>
      </w:pPr>
      <w:r w:rsidRPr="001563D8">
        <w:rPr>
          <w:noProof/>
        </w:rPr>
        <w:t>Tá na bearta atá beartaithe comhsheasmhach leis na cuspóirí agus na rialacha a leagtar amach i Rialachán (AE) Uimh. 1380/2013</w:t>
      </w:r>
      <w:r w:rsidRPr="001563D8">
        <w:rPr>
          <w:rStyle w:val="FootnoteReference"/>
          <w:noProof/>
        </w:rPr>
        <w:footnoteReference w:id="4"/>
      </w:r>
      <w:r w:rsidRPr="001563D8">
        <w:rPr>
          <w:noProof/>
        </w:rPr>
        <w:t xml:space="preserve"> ó Pharlaimint na hEorpa agus ón gComhairle maidir leis an gComhbheartas Iascaigh (CBI) (</w:t>
      </w:r>
      <w:r w:rsidR="00672FA8" w:rsidRPr="001563D8">
        <w:rPr>
          <w:noProof/>
        </w:rPr>
        <w:t>‘</w:t>
      </w:r>
      <w:r w:rsidRPr="001563D8">
        <w:rPr>
          <w:noProof/>
        </w:rPr>
        <w:t>an Bunrialachán</w:t>
      </w:r>
      <w:r w:rsidR="00672FA8" w:rsidRPr="001563D8">
        <w:rPr>
          <w:noProof/>
        </w:rPr>
        <w:t>’</w:t>
      </w:r>
      <w:r w:rsidRPr="001563D8">
        <w:rPr>
          <w:noProof/>
        </w:rPr>
        <w:t>), ar cuspóirí iad atá le cur i bhfeidhm, i measc cuspóirí eile, agus deiseanna iascaireachta á mbunú, i.e. teorainneacha gabhála agus teorainneacha iarrachta iascaireachta. Ceann de chuspóirí CBI is ea stoic a athbhunú go dtí leibhéil lena bhféadfar an uastáirgeacht inbhuanaithe (UTI) a sholáthar, agus iad a choinneáil ar na leibhéil sin. Tá sé d</w:t>
      </w:r>
      <w:r w:rsidR="00672FA8" w:rsidRPr="001563D8">
        <w:rPr>
          <w:noProof/>
        </w:rPr>
        <w:t>’</w:t>
      </w:r>
      <w:r w:rsidRPr="001563D8">
        <w:rPr>
          <w:noProof/>
        </w:rPr>
        <w:t>aidhm aige a áirithiú go mbeidh iascaigh an Aontais inbhuanaithe ó thaobh na héiceolaíochta de chomh maith le bheith inbhuanaithe ó thaobh an gheilleagair agus na sochaí de.</w:t>
      </w:r>
    </w:p>
    <w:p w:rsidR="00382895" w:rsidRPr="001563D8" w:rsidRDefault="00382895" w:rsidP="00440DA8">
      <w:pPr>
        <w:pStyle w:val="ManualHeading2"/>
        <w:rPr>
          <w:rFonts w:eastAsia="Arial Unicode MS"/>
          <w:noProof/>
        </w:rPr>
      </w:pPr>
      <w:r w:rsidRPr="001563D8">
        <w:rPr>
          <w:noProof/>
          <w:color w:val="000000"/>
          <w:u w:color="000000"/>
          <w:bdr w:val="nil"/>
        </w:rPr>
        <w:t>•</w:t>
      </w:r>
      <w:r w:rsidRPr="001563D8">
        <w:rPr>
          <w:noProof/>
        </w:rPr>
        <w:tab/>
        <w:t>Comhsheasmhacht le beartais eile de chuid an Aontais</w:t>
      </w:r>
    </w:p>
    <w:p w:rsidR="00D20D67" w:rsidRPr="001563D8" w:rsidRDefault="008769C2" w:rsidP="00D20D67">
      <w:pPr>
        <w:spacing w:before="0" w:after="240"/>
        <w:rPr>
          <w:noProof/>
        </w:rPr>
      </w:pPr>
      <w:r w:rsidRPr="001563D8">
        <w:rPr>
          <w:noProof/>
        </w:rPr>
        <w:t>Tá na bearta atá beartaithe comhsheasmhach le beartais eile de chuid an Aontais, go háirithe Treoir 2008/56/CE</w:t>
      </w:r>
      <w:r w:rsidRPr="001563D8">
        <w:rPr>
          <w:rStyle w:val="FootnoteReference"/>
          <w:noProof/>
        </w:rPr>
        <w:footnoteReference w:id="5"/>
      </w:r>
      <w:r w:rsidRPr="001563D8">
        <w:rPr>
          <w:noProof/>
        </w:rPr>
        <w:t xml:space="preserve"> ó Pharlaimint na hEorpa agus ón gComhairle (</w:t>
      </w:r>
      <w:r w:rsidR="00672FA8" w:rsidRPr="001563D8">
        <w:rPr>
          <w:noProof/>
        </w:rPr>
        <w:t>‘</w:t>
      </w:r>
      <w:r w:rsidRPr="001563D8">
        <w:rPr>
          <w:noProof/>
        </w:rPr>
        <w:t>an Treoir Réime um Straitéis Mhuirí</w:t>
      </w:r>
      <w:r w:rsidR="00672FA8" w:rsidRPr="001563D8">
        <w:rPr>
          <w:noProof/>
        </w:rPr>
        <w:t>’</w:t>
      </w:r>
      <w:r w:rsidRPr="001563D8">
        <w:rPr>
          <w:noProof/>
        </w:rPr>
        <w:t>), agus is é is aidhm dóibh rannchuidiú le dea-stádas comhshaoil a bhaint amach, go háirithe maidir le tuairisceoir 3, agus is ceanglas dá gcuid é, maidir leis na héisc agus na sliogéisc uile a ndéantar saothrú tráchtála orthu, gur laistigh de theorainneacha bitheolaíocha sábháilte a dhéanfar an saothrú sin.</w:t>
      </w:r>
    </w:p>
    <w:p w:rsidR="00382895" w:rsidRPr="001563D8" w:rsidRDefault="00382895" w:rsidP="00440DA8">
      <w:pPr>
        <w:pStyle w:val="ManualHeading1"/>
        <w:rPr>
          <w:noProof/>
        </w:rPr>
      </w:pPr>
      <w:r w:rsidRPr="001563D8">
        <w:rPr>
          <w:noProof/>
        </w:rPr>
        <w:lastRenderedPageBreak/>
        <w:t>2.</w:t>
      </w:r>
      <w:r w:rsidRPr="001563D8">
        <w:rPr>
          <w:noProof/>
        </w:rPr>
        <w:tab/>
        <w:t>BUNÚS DLÍ, COIMHDEACHT AGUS COMHRÉIREACHT</w:t>
      </w:r>
    </w:p>
    <w:p w:rsidR="00382895" w:rsidRPr="001563D8" w:rsidRDefault="00382895" w:rsidP="00440DA8">
      <w:pPr>
        <w:pStyle w:val="ManualHeading2"/>
        <w:rPr>
          <w:rFonts w:eastAsia="Arial Unicode MS"/>
          <w:noProof/>
          <w:u w:color="000000"/>
          <w:bdr w:val="nil"/>
        </w:rPr>
      </w:pPr>
      <w:r w:rsidRPr="001563D8">
        <w:rPr>
          <w:noProof/>
          <w:u w:color="000000"/>
          <w:bdr w:val="nil"/>
        </w:rPr>
        <w:t>•</w:t>
      </w:r>
      <w:r w:rsidRPr="001563D8">
        <w:rPr>
          <w:noProof/>
        </w:rPr>
        <w:tab/>
      </w:r>
      <w:r w:rsidRPr="001563D8">
        <w:rPr>
          <w:noProof/>
          <w:u w:color="000000"/>
          <w:bdr w:val="nil"/>
        </w:rPr>
        <w:t>Bunús dlí</w:t>
      </w:r>
    </w:p>
    <w:p w:rsidR="00382895" w:rsidRPr="001563D8" w:rsidRDefault="00382895" w:rsidP="00440DA8">
      <w:pPr>
        <w:rPr>
          <w:noProof/>
        </w:rPr>
      </w:pPr>
      <w:r w:rsidRPr="001563D8">
        <w:rPr>
          <w:noProof/>
        </w:rPr>
        <w:t xml:space="preserve">Is é Airteagal 43(3) den Chonradh ar Fheidhmiú an Aontais Eorpaigh (CFAE) an bunús dlí atá leis an togra. </w:t>
      </w:r>
    </w:p>
    <w:p w:rsidR="00382895" w:rsidRPr="001563D8" w:rsidRDefault="00382895" w:rsidP="00440DA8">
      <w:pPr>
        <w:pStyle w:val="ManualHeading2"/>
        <w:rPr>
          <w:rFonts w:eastAsia="Arial Unicode MS"/>
          <w:noProof/>
          <w:u w:color="000000"/>
          <w:bdr w:val="nil"/>
        </w:rPr>
      </w:pPr>
      <w:r w:rsidRPr="001563D8">
        <w:rPr>
          <w:noProof/>
          <w:u w:color="000000"/>
          <w:bdr w:val="nil"/>
        </w:rPr>
        <w:t>•</w:t>
      </w:r>
      <w:r w:rsidRPr="001563D8">
        <w:rPr>
          <w:noProof/>
        </w:rPr>
        <w:tab/>
      </w:r>
      <w:r w:rsidRPr="001563D8">
        <w:rPr>
          <w:noProof/>
          <w:u w:color="000000"/>
          <w:bdr w:val="nil"/>
        </w:rPr>
        <w:t xml:space="preserve">Coimhdeacht </w:t>
      </w:r>
    </w:p>
    <w:p w:rsidR="00382895" w:rsidRPr="001563D8" w:rsidRDefault="00A94AF2" w:rsidP="00440DA8">
      <w:pPr>
        <w:rPr>
          <w:rFonts w:eastAsia="Arial Unicode MS"/>
          <w:noProof/>
        </w:rPr>
      </w:pPr>
      <w:r w:rsidRPr="001563D8">
        <w:rPr>
          <w:noProof/>
        </w:rPr>
        <w:t>Tagann an togra faoi inniúlacht eisiach an Aontais dá dtagraítear in Airteagal 3(1)(d) CFAE. Dá bhrí sin, níl feidhm ag prionsabal na coimhdeachta.</w:t>
      </w:r>
    </w:p>
    <w:p w:rsidR="00382895" w:rsidRPr="001563D8" w:rsidRDefault="00382895" w:rsidP="00440DA8">
      <w:pPr>
        <w:pStyle w:val="ManualHeading2"/>
        <w:rPr>
          <w:rFonts w:eastAsia="Arial Unicode MS"/>
          <w:noProof/>
          <w:u w:color="000000"/>
          <w:bdr w:val="nil"/>
        </w:rPr>
      </w:pPr>
      <w:r w:rsidRPr="001563D8">
        <w:rPr>
          <w:noProof/>
          <w:u w:color="000000"/>
          <w:bdr w:val="nil"/>
        </w:rPr>
        <w:t>•</w:t>
      </w:r>
      <w:r w:rsidRPr="001563D8">
        <w:rPr>
          <w:noProof/>
        </w:rPr>
        <w:tab/>
      </w:r>
      <w:r w:rsidRPr="001563D8">
        <w:rPr>
          <w:noProof/>
          <w:u w:color="000000"/>
          <w:bdr w:val="nil"/>
        </w:rPr>
        <w:t>Comhréireacht</w:t>
      </w:r>
    </w:p>
    <w:p w:rsidR="00D20D67" w:rsidRPr="001563D8" w:rsidRDefault="00D20D67" w:rsidP="00D20D67">
      <w:pPr>
        <w:spacing w:before="0" w:after="240"/>
        <w:rPr>
          <w:noProof/>
        </w:rPr>
      </w:pPr>
      <w:r w:rsidRPr="001563D8">
        <w:rPr>
          <w:noProof/>
        </w:rPr>
        <w:t>Leis an togra, déantar deiseanna iascaireachta a chionroinnt ar na Ballstáit i gcomhréir leis na cuspóirí agus na rialacha a leagtar amach sa Bhunrialachán agus i gcomhréir le toradh na gcomhairliúchán iltaobhach nó déthaobhach le tíortha nach Ballstáit den Aontas iad, lena</w:t>
      </w:r>
      <w:r w:rsidR="00672FA8" w:rsidRPr="001563D8">
        <w:rPr>
          <w:noProof/>
        </w:rPr>
        <w:t xml:space="preserve"> n</w:t>
      </w:r>
      <w:r w:rsidR="00672FA8" w:rsidRPr="001563D8">
        <w:rPr>
          <w:noProof/>
        </w:rPr>
        <w:noBreakHyphen/>
      </w:r>
      <w:r w:rsidRPr="001563D8">
        <w:rPr>
          <w:noProof/>
        </w:rPr>
        <w:t>áirítear é sin a dhéanamh i gcomhthéacs ERBInna. Mar thoradh air sin, ba cheart na deiseanna iascaireachta a shocrú ar bhonn na comhairle eolaíche is fearr dá bhfuil ar fáil, agus cúinsí bitheolaíocha agus socheacnamaíocha á gcur san áireamh in iascach measctha i gcás inar féidir.</w:t>
      </w:r>
    </w:p>
    <w:p w:rsidR="00D20D67" w:rsidRPr="001563D8" w:rsidRDefault="00D20D67" w:rsidP="00A156B8">
      <w:pPr>
        <w:spacing w:before="0" w:after="240"/>
        <w:rPr>
          <w:noProof/>
        </w:rPr>
      </w:pPr>
      <w:r w:rsidRPr="001563D8">
        <w:rPr>
          <w:noProof/>
        </w:rPr>
        <w:t>De bhun Airteagal 16(6) agus (7) agus Airteagal 17 den Bhunrialachán, tá na Ballstáit le cinneadh a dhéanamh maidir leis an gcaoi a bhféadfar na deiseanna iascaireachta a chuirtear ar fáil dóibh a chionroinnt ar shoithí iascaireachta atá faoina mbratach i gcomhréir le critéir áirithe a leagtar amach sna hAirteagail sin. Dá bhrí sin, bíonn an corrlach lánroghnach is gá ag na Ballstáit agus na cuótaí cionroinnte á ndáileadh acu, i gcomhréir leis an tsamhail shóisialta/eacnamaíoch is fearr leo chun na deiseanna iascaireachta atá ar fáil dóibh a úsáid.</w:t>
      </w:r>
    </w:p>
    <w:p w:rsidR="00382895" w:rsidRPr="001563D8" w:rsidRDefault="00382895" w:rsidP="00440DA8">
      <w:pPr>
        <w:pStyle w:val="ManualHeading2"/>
        <w:rPr>
          <w:rFonts w:eastAsia="Arial Unicode MS"/>
          <w:noProof/>
          <w:u w:color="000000"/>
          <w:bdr w:val="nil"/>
        </w:rPr>
      </w:pPr>
      <w:r w:rsidRPr="001563D8">
        <w:rPr>
          <w:noProof/>
          <w:u w:color="000000"/>
          <w:bdr w:val="nil"/>
        </w:rPr>
        <w:t>•</w:t>
      </w:r>
      <w:r w:rsidRPr="001563D8">
        <w:rPr>
          <w:noProof/>
        </w:rPr>
        <w:tab/>
      </w:r>
      <w:r w:rsidRPr="001563D8">
        <w:rPr>
          <w:noProof/>
          <w:u w:color="000000"/>
          <w:bdr w:val="nil"/>
        </w:rPr>
        <w:t>An rogha ionstraime</w:t>
      </w:r>
    </w:p>
    <w:p w:rsidR="00382895" w:rsidRPr="001563D8" w:rsidRDefault="00302D0A" w:rsidP="00440DA8">
      <w:pPr>
        <w:rPr>
          <w:rFonts w:eastAsia="Arial Unicode MS"/>
          <w:noProof/>
        </w:rPr>
      </w:pPr>
      <w:r w:rsidRPr="001563D8">
        <w:rPr>
          <w:noProof/>
        </w:rPr>
        <w:t>Ós rud é go leasaítear rialachán atá ann cheana leis an togra, rialachán is fearr a oireann mar ionstraim dhlíthiúil.</w:t>
      </w:r>
    </w:p>
    <w:p w:rsidR="00382895" w:rsidRPr="001563D8" w:rsidRDefault="00382895" w:rsidP="00440DA8">
      <w:pPr>
        <w:pStyle w:val="ManualHeading1"/>
        <w:rPr>
          <w:noProof/>
        </w:rPr>
      </w:pPr>
      <w:r w:rsidRPr="001563D8">
        <w:rPr>
          <w:noProof/>
        </w:rPr>
        <w:t>3.</w:t>
      </w:r>
      <w:r w:rsidRPr="001563D8">
        <w:rPr>
          <w:noProof/>
        </w:rPr>
        <w:tab/>
        <w:t xml:space="preserve">TORTHAÍ AR MHEASTÓIREACHTAÍ </w:t>
      </w:r>
      <w:r w:rsidRPr="001563D8">
        <w:rPr>
          <w:i/>
          <w:iCs/>
          <w:noProof/>
        </w:rPr>
        <w:t>EX POST</w:t>
      </w:r>
      <w:r w:rsidRPr="001563D8">
        <w:rPr>
          <w:noProof/>
        </w:rPr>
        <w:t>, AR CHOMHAIRLIÚCHÁIN LEIS NA PÁIRTITHE LEASMHARA AGUS AR MHEASÚNUITHE TIONCHAIR</w:t>
      </w:r>
    </w:p>
    <w:p w:rsidR="00382895" w:rsidRPr="001563D8" w:rsidRDefault="00382895" w:rsidP="00440DA8">
      <w:pPr>
        <w:pStyle w:val="ManualHeading2"/>
        <w:rPr>
          <w:rFonts w:eastAsia="Arial Unicode MS"/>
          <w:noProof/>
          <w:u w:color="000000"/>
          <w:bdr w:val="nil"/>
        </w:rPr>
      </w:pPr>
      <w:r w:rsidRPr="001563D8">
        <w:rPr>
          <w:noProof/>
          <w:u w:color="000000"/>
          <w:bdr w:val="nil"/>
        </w:rPr>
        <w:t>•</w:t>
      </w:r>
      <w:r w:rsidRPr="001563D8">
        <w:rPr>
          <w:noProof/>
        </w:rPr>
        <w:tab/>
      </w:r>
      <w:r w:rsidRPr="001563D8">
        <w:rPr>
          <w:noProof/>
          <w:u w:color="000000"/>
          <w:bdr w:val="nil"/>
        </w:rPr>
        <w:t>Meastóireachtaí ex post/seiceálacha oiriúnachta ar an reachtaíocht atá ann cheana</w:t>
      </w:r>
    </w:p>
    <w:p w:rsidR="00382895" w:rsidRPr="001563D8" w:rsidRDefault="00382895" w:rsidP="00440DA8">
      <w:pPr>
        <w:pBdr>
          <w:top w:val="nil"/>
          <w:left w:val="nil"/>
          <w:bottom w:val="nil"/>
          <w:right w:val="nil"/>
          <w:between w:val="nil"/>
          <w:bar w:val="nil"/>
        </w:pBdr>
        <w:spacing w:before="0" w:after="240"/>
        <w:rPr>
          <w:rFonts w:eastAsia="Arial Unicode MS"/>
          <w:noProof/>
        </w:rPr>
      </w:pPr>
      <w:r w:rsidRPr="001563D8">
        <w:rPr>
          <w:noProof/>
        </w:rPr>
        <w:t>Ní bhaineann le hábhar.</w:t>
      </w:r>
    </w:p>
    <w:p w:rsidR="00382895" w:rsidRPr="001563D8" w:rsidRDefault="00382895" w:rsidP="00440DA8">
      <w:pPr>
        <w:pStyle w:val="ManualHeading2"/>
        <w:rPr>
          <w:rFonts w:eastAsia="Arial Unicode MS"/>
          <w:noProof/>
          <w:u w:color="000000"/>
          <w:bdr w:val="nil"/>
        </w:rPr>
      </w:pPr>
      <w:r w:rsidRPr="001563D8">
        <w:rPr>
          <w:noProof/>
          <w:u w:color="000000"/>
          <w:bdr w:val="nil"/>
        </w:rPr>
        <w:t>•</w:t>
      </w:r>
      <w:r w:rsidRPr="001563D8">
        <w:rPr>
          <w:noProof/>
        </w:rPr>
        <w:tab/>
      </w:r>
      <w:r w:rsidRPr="001563D8">
        <w:rPr>
          <w:noProof/>
          <w:u w:color="000000"/>
          <w:bdr w:val="nil"/>
        </w:rPr>
        <w:t>Comhairliúcháin leis na páirtithe leasmhara</w:t>
      </w:r>
    </w:p>
    <w:p w:rsidR="00D45B9C" w:rsidRPr="001563D8" w:rsidRDefault="00790AA0" w:rsidP="00440DA8">
      <w:pPr>
        <w:rPr>
          <w:noProof/>
        </w:rPr>
      </w:pPr>
      <w:r w:rsidRPr="001563D8">
        <w:rPr>
          <w:noProof/>
        </w:rPr>
        <w:t xml:space="preserve">Chuaigh an Coimisiún i gcomhairle le páirtithe leasmhara, go háirithe trí na comhairlí comhairleacha, ar bhonn na teachtaireachta bliantúla uaidh dar teideal </w:t>
      </w:r>
      <w:r w:rsidR="00672FA8" w:rsidRPr="001563D8">
        <w:rPr>
          <w:noProof/>
        </w:rPr>
        <w:t>‘</w:t>
      </w:r>
      <w:r w:rsidRPr="001563D8">
        <w:rPr>
          <w:i/>
          <w:iCs/>
          <w:noProof/>
        </w:rPr>
        <w:t>Iascaireacht inbhuanaithe san Aontas Eorpach:</w:t>
      </w:r>
      <w:r w:rsidRPr="001563D8">
        <w:rPr>
          <w:i/>
          <w:noProof/>
        </w:rPr>
        <w:t xml:space="preserve"> </w:t>
      </w:r>
      <w:r w:rsidRPr="001563D8">
        <w:rPr>
          <w:i/>
          <w:iCs/>
          <w:noProof/>
        </w:rPr>
        <w:t>staid na himeartha agus treoshuíomhanna le haghaidh 2026</w:t>
      </w:r>
      <w:r w:rsidR="00672FA8" w:rsidRPr="001563D8">
        <w:rPr>
          <w:noProof/>
        </w:rPr>
        <w:t>’</w:t>
      </w:r>
      <w:r w:rsidRPr="001563D8">
        <w:rPr>
          <w:noProof/>
        </w:rPr>
        <w:t xml:space="preserve"> (COM(2025) 296 final).</w:t>
      </w:r>
    </w:p>
    <w:p w:rsidR="00AD72C5" w:rsidRPr="001563D8" w:rsidRDefault="008769C2" w:rsidP="00440DA8">
      <w:pPr>
        <w:rPr>
          <w:noProof/>
        </w:rPr>
      </w:pPr>
      <w:r w:rsidRPr="001563D8">
        <w:rPr>
          <w:noProof/>
        </w:rPr>
        <w:t>I bhfreagairtí na bpáirtithe leasmhara ar an teachtaireacht bhliantúil sin, leagadh amach na tuairimí a bhí acu maidir le meastóireacht an Choimisiúin ar stádas na</w:t>
      </w:r>
      <w:r w:rsidR="00672FA8" w:rsidRPr="001563D8">
        <w:rPr>
          <w:noProof/>
        </w:rPr>
        <w:t xml:space="preserve"> n</w:t>
      </w:r>
      <w:r w:rsidR="00672FA8" w:rsidRPr="001563D8">
        <w:rPr>
          <w:noProof/>
        </w:rPr>
        <w:noBreakHyphen/>
      </w:r>
      <w:r w:rsidRPr="001563D8">
        <w:rPr>
          <w:noProof/>
        </w:rPr>
        <w:t>acmhainní agus maidir leis an bhfreagairt iomchuí bhainistíochta. Chuir an Coimisiún na freagairtí sin san áireamh agus an togra á cheapadh aige.</w:t>
      </w:r>
    </w:p>
    <w:p w:rsidR="00382895" w:rsidRPr="001563D8" w:rsidRDefault="00382895" w:rsidP="00440DA8">
      <w:pPr>
        <w:pStyle w:val="ManualHeading2"/>
        <w:rPr>
          <w:rFonts w:eastAsia="Arial Unicode MS"/>
          <w:noProof/>
          <w:u w:color="000000"/>
          <w:bdr w:val="nil"/>
        </w:rPr>
      </w:pPr>
      <w:r w:rsidRPr="001563D8">
        <w:rPr>
          <w:noProof/>
          <w:u w:color="000000"/>
          <w:bdr w:val="nil"/>
        </w:rPr>
        <w:lastRenderedPageBreak/>
        <w:t>•</w:t>
      </w:r>
      <w:r w:rsidRPr="001563D8">
        <w:rPr>
          <w:noProof/>
        </w:rPr>
        <w:tab/>
      </w:r>
      <w:r w:rsidRPr="001563D8">
        <w:rPr>
          <w:noProof/>
          <w:u w:color="000000"/>
          <w:bdr w:val="nil"/>
        </w:rPr>
        <w:t>Bailiú agus úsáid saineolais</w:t>
      </w:r>
    </w:p>
    <w:p w:rsidR="00390F84" w:rsidRPr="001563D8" w:rsidRDefault="008769C2" w:rsidP="00440DA8">
      <w:pPr>
        <w:rPr>
          <w:noProof/>
        </w:rPr>
      </w:pPr>
      <w:r w:rsidRPr="001563D8">
        <w:rPr>
          <w:noProof/>
        </w:rPr>
        <w:t>Tá creat forbartha ag grúpaí saineolaithe agus comhlachtaí cinnteoireachta na Comhairle Idirnáisiúnta um Thaiscéalaíocht na Mara (ICES) le haghaidh comhairle eolaíoch ó ICES. Tá an creat sin bunaithe ar an eolaíocht is fearr dá bhfuil ar fáil agus déanann saineolaithe neamhspleácha athbhreithniú piaraí air. Eisítear comhairle eolaíoch ó ICES ar bhonn an chreata sin agus d</w:t>
      </w:r>
      <w:r w:rsidR="00672FA8" w:rsidRPr="001563D8">
        <w:rPr>
          <w:noProof/>
        </w:rPr>
        <w:t>’</w:t>
      </w:r>
      <w:r w:rsidRPr="001563D8">
        <w:rPr>
          <w:noProof/>
        </w:rPr>
        <w:t>fhonn is go mbeifear in ann cuspóirí agus rialacha an Bhunrialacháin a chur chun feidhme, mar a d</w:t>
      </w:r>
      <w:r w:rsidR="00672FA8" w:rsidRPr="001563D8">
        <w:rPr>
          <w:noProof/>
        </w:rPr>
        <w:t>’</w:t>
      </w:r>
      <w:r w:rsidRPr="001563D8">
        <w:rPr>
          <w:noProof/>
        </w:rPr>
        <w:t>iarr an Coimisiún.</w:t>
      </w:r>
    </w:p>
    <w:p w:rsidR="00382895" w:rsidRPr="001563D8" w:rsidRDefault="00382895" w:rsidP="00440DA8">
      <w:pPr>
        <w:pStyle w:val="ManualHeading2"/>
        <w:rPr>
          <w:rFonts w:eastAsia="Arial Unicode MS"/>
          <w:noProof/>
          <w:u w:color="000000"/>
          <w:bdr w:val="nil"/>
        </w:rPr>
      </w:pPr>
      <w:r w:rsidRPr="001563D8">
        <w:rPr>
          <w:noProof/>
          <w:u w:color="000000"/>
          <w:bdr w:val="nil"/>
        </w:rPr>
        <w:t>•</w:t>
      </w:r>
      <w:r w:rsidRPr="001563D8">
        <w:rPr>
          <w:noProof/>
        </w:rPr>
        <w:tab/>
      </w:r>
      <w:r w:rsidRPr="001563D8">
        <w:rPr>
          <w:noProof/>
          <w:u w:color="000000"/>
          <w:bdr w:val="nil"/>
        </w:rPr>
        <w:t>Measúnú tionchair</w:t>
      </w:r>
    </w:p>
    <w:p w:rsidR="0075565C" w:rsidRPr="001563D8" w:rsidRDefault="68A0268C" w:rsidP="00440DA8">
      <w:pPr>
        <w:rPr>
          <w:noProof/>
        </w:rPr>
      </w:pPr>
      <w:r w:rsidRPr="001563D8">
        <w:rPr>
          <w:noProof/>
        </w:rPr>
        <w:t>Le hAirteagal 43(3) CFAE cuirtear teorainn le raon feidhme an togra.</w:t>
      </w:r>
    </w:p>
    <w:p w:rsidR="00A156B8" w:rsidRPr="001563D8" w:rsidRDefault="00A156B8" w:rsidP="00A156B8">
      <w:pPr>
        <w:spacing w:before="0" w:after="240"/>
        <w:rPr>
          <w:noProof/>
        </w:rPr>
      </w:pPr>
      <w:r w:rsidRPr="001563D8">
        <w:rPr>
          <w:noProof/>
        </w:rPr>
        <w:t>Leis an togra seo féachtar le cur chuige gearrthéarmach a sheachaint ar mhaithe leis an inbhuanaitheacht fhadtéarmach. Cuirtear san áireamh ann tionscnaimh ó na páirtithe leasmhara agus ó na comhairlí comhairleacha más rud é go ndearna ICES athbhreithniú dearfach orthu. Bhí an togra ón gCoimisiún maidir le CBI a athchóiriú bunaithe ar mheasúnú tionchair (SEC(2011) 891) inar measadh, cé gur choinníoll riachtanach é an cuspóir maidir leis an uastáirgeacht inbhuanaithe a bhaint amach chun inbhuanaitheacht comhshaoil, eacnamaíoch agus shóisialta a áirithiú, nach féidir na trí chuspóir sin a bhaint amach astu féin.</w:t>
      </w:r>
    </w:p>
    <w:p w:rsidR="00A156B8" w:rsidRPr="001563D8" w:rsidRDefault="00A156B8" w:rsidP="00A156B8">
      <w:pPr>
        <w:pBdr>
          <w:top w:val="nil"/>
          <w:left w:val="nil"/>
          <w:bottom w:val="nil"/>
          <w:right w:val="nil"/>
          <w:between w:val="nil"/>
          <w:bar w:val="nil"/>
        </w:pBdr>
        <w:spacing w:before="0" w:after="240"/>
        <w:rPr>
          <w:noProof/>
        </w:rPr>
      </w:pPr>
      <w:r w:rsidRPr="001563D8">
        <w:rPr>
          <w:noProof/>
        </w:rPr>
        <w:t>A mhéid a bhaineann le deiseanna iascaireachta le haghaidh stoic ERBInna agus stoic a ndéantar bainistíocht chomhpháirteach orthu le tíortha nach Ballstáit den Aontas iad, is éard a dhéantar go bunúsach leis an togra seo bearta a comhaontaíodh go hidirnáisiúnta a chur chun feidhme. Le linn ullmhú na caibidlíochta idirnáisiúnta ar faoina cuimsiú a dhéantar deiseanna iascaireachta an Aontais a chomhaontú le tíortha nach Ballstáit den Aontas iad agus le linn na caibidlíochta féin, déileáiltear le haon ghné atá ábhartha maidir le measúnú a dhéanamh ar na tionchair a d</w:t>
      </w:r>
      <w:r w:rsidR="00672FA8" w:rsidRPr="001563D8">
        <w:rPr>
          <w:noProof/>
        </w:rPr>
        <w:t>’</w:t>
      </w:r>
      <w:r w:rsidRPr="001563D8">
        <w:rPr>
          <w:noProof/>
        </w:rPr>
        <w:t>fhéadfadh a bheith ag na deiseanna iascaireachta.</w:t>
      </w:r>
    </w:p>
    <w:p w:rsidR="00382895" w:rsidRPr="001563D8" w:rsidRDefault="00382895" w:rsidP="00440DA8">
      <w:pPr>
        <w:pStyle w:val="ManualHeading2"/>
        <w:rPr>
          <w:rFonts w:eastAsia="Arial Unicode MS"/>
          <w:noProof/>
          <w:u w:color="000000"/>
          <w:bdr w:val="nil"/>
        </w:rPr>
      </w:pPr>
      <w:r w:rsidRPr="001563D8">
        <w:rPr>
          <w:noProof/>
          <w:u w:color="000000"/>
          <w:bdr w:val="nil"/>
        </w:rPr>
        <w:t>•</w:t>
      </w:r>
      <w:r w:rsidRPr="001563D8">
        <w:rPr>
          <w:noProof/>
        </w:rPr>
        <w:tab/>
      </w:r>
      <w:r w:rsidRPr="001563D8">
        <w:rPr>
          <w:noProof/>
          <w:u w:color="000000"/>
          <w:bdr w:val="nil"/>
        </w:rPr>
        <w:t>Oiriúnacht rialála agus simpliú</w:t>
      </w:r>
    </w:p>
    <w:p w:rsidR="00382895" w:rsidRPr="001563D8" w:rsidRDefault="00FB2BDF" w:rsidP="00440DA8">
      <w:pPr>
        <w:rPr>
          <w:rFonts w:eastAsia="Arial Unicode MS"/>
          <w:noProof/>
        </w:rPr>
      </w:pPr>
      <w:r w:rsidRPr="001563D8">
        <w:rPr>
          <w:noProof/>
        </w:rPr>
        <w:t>Ní bhaineann le hábhar.</w:t>
      </w:r>
    </w:p>
    <w:p w:rsidR="00382895" w:rsidRPr="001563D8" w:rsidRDefault="00382895" w:rsidP="00440DA8">
      <w:pPr>
        <w:pStyle w:val="ManualHeading2"/>
        <w:rPr>
          <w:rFonts w:eastAsia="Arial Unicode MS"/>
          <w:noProof/>
          <w:u w:color="000000"/>
          <w:bdr w:val="nil"/>
        </w:rPr>
      </w:pPr>
      <w:r w:rsidRPr="001563D8">
        <w:rPr>
          <w:noProof/>
          <w:u w:color="000000"/>
          <w:bdr w:val="nil"/>
        </w:rPr>
        <w:t>•</w:t>
      </w:r>
      <w:r w:rsidRPr="001563D8">
        <w:rPr>
          <w:noProof/>
        </w:rPr>
        <w:tab/>
      </w:r>
      <w:r w:rsidRPr="001563D8">
        <w:rPr>
          <w:noProof/>
          <w:u w:color="000000"/>
          <w:bdr w:val="nil"/>
        </w:rPr>
        <w:t>Cearta bunúsacha</w:t>
      </w:r>
    </w:p>
    <w:p w:rsidR="00382895" w:rsidRPr="001563D8" w:rsidRDefault="00A156B8" w:rsidP="00440DA8">
      <w:pPr>
        <w:pBdr>
          <w:top w:val="nil"/>
          <w:left w:val="nil"/>
          <w:bottom w:val="nil"/>
          <w:right w:val="nil"/>
          <w:between w:val="nil"/>
          <w:bar w:val="nil"/>
        </w:pBdr>
        <w:spacing w:before="0" w:after="240"/>
        <w:rPr>
          <w:rFonts w:eastAsia="Arial Unicode MS"/>
          <w:noProof/>
        </w:rPr>
      </w:pPr>
      <w:r w:rsidRPr="001563D8">
        <w:rPr>
          <w:noProof/>
        </w:rPr>
        <w:t>Comhlíonann an togra cearta bunúsacha, agus go háirithe na cearta sin a aithnítear i gCairt um Chearta Bunúsacha an Aontais Eorpaigh.</w:t>
      </w:r>
    </w:p>
    <w:p w:rsidR="00382895" w:rsidRPr="001563D8" w:rsidRDefault="00382895" w:rsidP="00440DA8">
      <w:pPr>
        <w:pStyle w:val="ManualHeading1"/>
        <w:rPr>
          <w:noProof/>
        </w:rPr>
      </w:pPr>
      <w:r w:rsidRPr="001563D8">
        <w:rPr>
          <w:noProof/>
        </w:rPr>
        <w:t>4.</w:t>
      </w:r>
      <w:r w:rsidRPr="001563D8">
        <w:rPr>
          <w:noProof/>
        </w:rPr>
        <w:tab/>
        <w:t>IMPLEACHTAÍ BUISÉADACHA</w:t>
      </w:r>
    </w:p>
    <w:p w:rsidR="00382895" w:rsidRPr="001563D8" w:rsidRDefault="00382895" w:rsidP="00440DA8">
      <w:pPr>
        <w:rPr>
          <w:rFonts w:eastAsia="Arial Unicode MS"/>
          <w:noProof/>
        </w:rPr>
      </w:pPr>
      <w:r w:rsidRPr="001563D8">
        <w:rPr>
          <w:noProof/>
        </w:rPr>
        <w:t>Ní bheidh impleachtaí buiséadacha ag na bearta atá beartaithe.</w:t>
      </w:r>
    </w:p>
    <w:p w:rsidR="00312070" w:rsidRPr="001563D8" w:rsidRDefault="00312070" w:rsidP="00312070">
      <w:pPr>
        <w:pStyle w:val="ManualHeading1"/>
        <w:rPr>
          <w:noProof/>
        </w:rPr>
      </w:pPr>
      <w:r w:rsidRPr="001563D8">
        <w:rPr>
          <w:noProof/>
        </w:rPr>
        <w:t>EILIMINTÍ EILE</w:t>
      </w:r>
    </w:p>
    <w:p w:rsidR="00312070" w:rsidRPr="001563D8" w:rsidRDefault="1532F1E1" w:rsidP="00312070">
      <w:pPr>
        <w:pStyle w:val="Text1"/>
        <w:ind w:left="0"/>
        <w:rPr>
          <w:rFonts w:eastAsia="Arial Unicode MS"/>
          <w:b/>
          <w:noProof/>
          <w:u w:color="000000"/>
          <w:bdr w:val="nil"/>
        </w:rPr>
      </w:pPr>
      <w:r w:rsidRPr="001563D8">
        <w:rPr>
          <w:b/>
          <w:noProof/>
          <w:bdr w:val="nil"/>
        </w:rPr>
        <w:t>•</w:t>
      </w:r>
      <w:r w:rsidRPr="001563D8">
        <w:rPr>
          <w:noProof/>
        </w:rPr>
        <w:tab/>
      </w:r>
      <w:r w:rsidRPr="001563D8">
        <w:rPr>
          <w:b/>
          <w:noProof/>
          <w:bdr w:val="nil"/>
        </w:rPr>
        <w:t xml:space="preserve">Míniúchán mionsonraithe ar fhorálacha sonracha an togra </w:t>
      </w:r>
    </w:p>
    <w:p w:rsidR="00312070" w:rsidRPr="001563D8" w:rsidRDefault="003122F0" w:rsidP="00312070">
      <w:pPr>
        <w:pStyle w:val="Text1"/>
        <w:ind w:left="0"/>
        <w:rPr>
          <w:rFonts w:eastAsia="Arial Unicode MS"/>
          <w:noProof/>
          <w:bdr w:val="nil"/>
        </w:rPr>
      </w:pPr>
      <w:r w:rsidRPr="001563D8">
        <w:rPr>
          <w:noProof/>
        </w:rPr>
        <w:t>Leis an togra, féachtar le Rialachán (AE) 2026/249 a leasú mar a thuairiscítear thíos.</w:t>
      </w:r>
      <w:r w:rsidRPr="001563D8">
        <w:rPr>
          <w:noProof/>
          <w:bdr w:val="nil"/>
        </w:rPr>
        <w:t xml:space="preserve"> </w:t>
      </w:r>
    </w:p>
    <w:p w:rsidR="00312070" w:rsidRPr="001563D8" w:rsidRDefault="00312070" w:rsidP="22163002">
      <w:pPr>
        <w:pBdr>
          <w:top w:val="nil"/>
          <w:left w:val="nil"/>
          <w:bottom w:val="nil"/>
          <w:right w:val="nil"/>
          <w:between w:val="nil"/>
          <w:bar w:val="nil"/>
        </w:pBdr>
        <w:spacing w:before="240" w:after="240"/>
        <w:rPr>
          <w:b/>
          <w:bCs/>
          <w:noProof/>
        </w:rPr>
      </w:pPr>
      <w:r w:rsidRPr="001563D8">
        <w:rPr>
          <w:b/>
          <w:noProof/>
        </w:rPr>
        <w:t>An</w:t>
      </w:r>
      <w:r w:rsidR="00672FA8" w:rsidRPr="001563D8">
        <w:rPr>
          <w:b/>
          <w:noProof/>
        </w:rPr>
        <w:t xml:space="preserve"> t</w:t>
      </w:r>
      <w:r w:rsidR="00672FA8" w:rsidRPr="001563D8">
        <w:rPr>
          <w:b/>
          <w:noProof/>
        </w:rPr>
        <w:noBreakHyphen/>
      </w:r>
      <w:r w:rsidRPr="001563D8">
        <w:rPr>
          <w:b/>
          <w:noProof/>
        </w:rPr>
        <w:t>ainseabhaí in uiscí Ibéaracha an Atlantaigh thiar</w:t>
      </w:r>
    </w:p>
    <w:p w:rsidR="00312070" w:rsidRPr="001563D8" w:rsidRDefault="6E80B011" w:rsidP="72CF8CC2">
      <w:pPr>
        <w:rPr>
          <w:i/>
          <w:iCs/>
          <w:noProof/>
        </w:rPr>
      </w:pPr>
      <w:r w:rsidRPr="001563D8">
        <w:rPr>
          <w:noProof/>
        </w:rPr>
        <w:t>Le Rialachán (AE) 2026/249 socraítear go sealadach ag nialas an TAC le haghaidh ainseabhaithe (</w:t>
      </w:r>
      <w:r w:rsidRPr="001563D8">
        <w:rPr>
          <w:i/>
          <w:iCs/>
          <w:noProof/>
        </w:rPr>
        <w:t>Engraulis encrasicolus</w:t>
      </w:r>
      <w:r w:rsidRPr="001563D8">
        <w:rPr>
          <w:noProof/>
        </w:rPr>
        <w:t>) sa chuid thiar d</w:t>
      </w:r>
      <w:r w:rsidR="00672FA8" w:rsidRPr="001563D8">
        <w:rPr>
          <w:noProof/>
        </w:rPr>
        <w:t>’</w:t>
      </w:r>
      <w:r w:rsidRPr="001563D8">
        <w:rPr>
          <w:noProof/>
        </w:rPr>
        <w:t>fholimistéar 9 den Chomhairle Idirnáisiúnta um Thaiscéalaíocht na Mara (ICES) agus i bhfolimistéar 10 (an chuid thiar d</w:t>
      </w:r>
      <w:r w:rsidR="00672FA8" w:rsidRPr="001563D8">
        <w:rPr>
          <w:noProof/>
        </w:rPr>
        <w:t>’</w:t>
      </w:r>
      <w:r w:rsidRPr="001563D8">
        <w:rPr>
          <w:noProof/>
        </w:rPr>
        <w:t xml:space="preserve">uiscí Ibéaracha an Atlantaigh agus uiscí na nAsór) le haghaidh na tréimhse ón 1 Iúil 2026 go dtí an 30 Meitheamh 2027, go dtí go bhfoilseoidh ICES a chomhairle eolaíoch maidir leis </w:t>
      </w:r>
      <w:r w:rsidRPr="001563D8">
        <w:rPr>
          <w:noProof/>
        </w:rPr>
        <w:lastRenderedPageBreak/>
        <w:t>an ainseabhaí sa chuid thiar de roinn 9a ICES (uiscí Ibéaracha an Atlantaigh thiar) le haghaidh na tréimhse sin.</w:t>
      </w:r>
    </w:p>
    <w:p w:rsidR="00312070" w:rsidRPr="001563D8" w:rsidRDefault="6E80B011" w:rsidP="72CF8CC2">
      <w:pPr>
        <w:rPr>
          <w:noProof/>
        </w:rPr>
      </w:pPr>
      <w:r w:rsidRPr="001563D8">
        <w:rPr>
          <w:noProof/>
        </w:rPr>
        <w:t xml:space="preserve">Meastar go bhfoilseoidh ICES an chomhairle sin an 19 Meitheamh 2026. </w:t>
      </w:r>
      <w:bookmarkStart w:id="1" w:name="_Hlk192950561"/>
      <w:r w:rsidRPr="001563D8">
        <w:rPr>
          <w:noProof/>
        </w:rPr>
        <w:t xml:space="preserve">Go dtí go bhfoilseofar an chomhairle ó ICES, áirítear an aithris ábhartha idir lúibíní cearnacha sa togra seo, agus is le </w:t>
      </w:r>
      <w:r w:rsidR="00672FA8" w:rsidRPr="001563D8">
        <w:rPr>
          <w:noProof/>
        </w:rPr>
        <w:t>‘</w:t>
      </w:r>
      <w:r w:rsidRPr="001563D8">
        <w:rPr>
          <w:noProof/>
        </w:rPr>
        <w:t>pm</w:t>
      </w:r>
      <w:r w:rsidR="00672FA8" w:rsidRPr="001563D8">
        <w:rPr>
          <w:noProof/>
        </w:rPr>
        <w:t>’</w:t>
      </w:r>
      <w:r w:rsidRPr="001563D8">
        <w:rPr>
          <w:noProof/>
        </w:rPr>
        <w:t xml:space="preserve"> (</w:t>
      </w:r>
      <w:r w:rsidRPr="001563D8">
        <w:rPr>
          <w:i/>
          <w:iCs/>
          <w:noProof/>
        </w:rPr>
        <w:t>pro memoria</w:t>
      </w:r>
      <w:r w:rsidRPr="001563D8">
        <w:rPr>
          <w:noProof/>
        </w:rPr>
        <w:t>) a mharcáiltear an TAC le haghaidh ainseabhaithe sa chuid thiar d</w:t>
      </w:r>
      <w:r w:rsidR="00672FA8" w:rsidRPr="001563D8">
        <w:rPr>
          <w:noProof/>
        </w:rPr>
        <w:t>’</w:t>
      </w:r>
      <w:r w:rsidRPr="001563D8">
        <w:rPr>
          <w:noProof/>
        </w:rPr>
        <w:t>fholimistéar 9 ICES agus i bhfolimistéar 10 le haghaidh na tréimhse ón 1 Iúil 2026 go dtí an 30 Meitheamh 2027.</w:t>
      </w:r>
      <w:bookmarkEnd w:id="1"/>
      <w:r w:rsidRPr="001563D8">
        <w:rPr>
          <w:noProof/>
        </w:rPr>
        <w:t xml:space="preserve"> A luaithe a bheidh an chomhairle ó ICES ar fáil, déanfaidh seirbhísí an Choimisiúin an togra a thabhairt cothrom le dáta trí bhíthin páipéar leathoifigiúil ina molfar TAC cinntitheach le haghaidh an stoic sin agus na tréimhse sin ar bhonn na comhairle sin. Mar sin féin, más cosúil nach gceadófaí don Chomhairle an TAC cinntitheach a ghlacadh in am dá ndéanfaí amhlaidh agus, dá bhrí sin, go mbeadh briseadh sealadach san iascach sin ón 1 Iúil 2026 ar aghaidh, molfaidh seirbhísí an Choimisiúin TAC sealadach ina ionad sin le haghaidh na tréimhse ón 1 Iúil go dtí an 30 Meán Fómhair 2026.</w:t>
      </w:r>
    </w:p>
    <w:p w:rsidR="001C5474" w:rsidRPr="001563D8" w:rsidRDefault="147D189B" w:rsidP="72CF8CC2">
      <w:pPr>
        <w:pBdr>
          <w:top w:val="nil"/>
          <w:left w:val="nil"/>
          <w:bottom w:val="nil"/>
          <w:right w:val="nil"/>
          <w:between w:val="nil"/>
          <w:bar w:val="nil"/>
        </w:pBdr>
        <w:spacing w:before="240" w:after="240"/>
        <w:rPr>
          <w:b/>
          <w:bCs/>
          <w:noProof/>
        </w:rPr>
      </w:pPr>
      <w:r w:rsidRPr="001563D8">
        <w:rPr>
          <w:b/>
          <w:noProof/>
        </w:rPr>
        <w:t xml:space="preserve">An séacla Artach in Skagerrak-Kattegat agus sa Mhuir Thuaidh </w:t>
      </w:r>
    </w:p>
    <w:p w:rsidR="001C5474" w:rsidRPr="001563D8" w:rsidRDefault="29052605" w:rsidP="72CF8CC2">
      <w:pPr>
        <w:pBdr>
          <w:top w:val="nil"/>
          <w:left w:val="nil"/>
          <w:bottom w:val="nil"/>
          <w:right w:val="nil"/>
          <w:between w:val="nil"/>
          <w:bar w:val="nil"/>
        </w:pBdr>
        <w:spacing w:before="240" w:after="240"/>
        <w:rPr>
          <w:noProof/>
        </w:rPr>
      </w:pPr>
      <w:r w:rsidRPr="001563D8">
        <w:rPr>
          <w:noProof/>
        </w:rPr>
        <w:t>Le Rialachán (AE) 2026/249 socraítear go sealadach ag nialas an TAC le haghaidh séaclaí Artacha (</w:t>
      </w:r>
      <w:r w:rsidRPr="001563D8">
        <w:rPr>
          <w:i/>
          <w:iCs/>
          <w:noProof/>
        </w:rPr>
        <w:t>Pandalus borealis</w:t>
      </w:r>
      <w:r w:rsidRPr="001563D8">
        <w:rPr>
          <w:noProof/>
        </w:rPr>
        <w:t xml:space="preserve">) in uiscí an Aontais agus uiscí na hIorua i roinn 3a ICES (Skagerrak-Kattegat) le haghaidh na tréimhse ón 1 Iúil 2026 go dtí an 30 Meitheamh 2027, go dtí go bhfoilseoidh ICES a chomhairle eolaíoch maidir leis an séacla Artach i ranna 3a agus 4a thoir ICES (Skagerrak-Kattegat agus tuaisceart na Mara Thuaidh i dTrinse na hIorua). </w:t>
      </w:r>
    </w:p>
    <w:p w:rsidR="001C5474" w:rsidRPr="001563D8" w:rsidRDefault="29052605" w:rsidP="72CF8CC2">
      <w:pPr>
        <w:pBdr>
          <w:top w:val="nil"/>
          <w:left w:val="nil"/>
          <w:bottom w:val="nil"/>
          <w:right w:val="nil"/>
          <w:between w:val="nil"/>
          <w:bar w:val="nil"/>
        </w:pBdr>
        <w:spacing w:before="240" w:after="240"/>
        <w:rPr>
          <w:noProof/>
        </w:rPr>
      </w:pPr>
      <w:r w:rsidRPr="001563D8">
        <w:rPr>
          <w:noProof/>
        </w:rPr>
        <w:t xml:space="preserve">Ina theannta sin, socraíodh leis an Rialachán sin cuóta an Aontais le haghaidh séaclaí Artacha in uiscí na hIorua sa Mhuir Thuaidh laisteas de 62ºT le haghaidh 2026 ar an leibhéal a comhaontaíodh leis an Iorua, ar leibhéal 148 dtona. </w:t>
      </w:r>
    </w:p>
    <w:p w:rsidR="00122C80" w:rsidRPr="001563D8" w:rsidRDefault="5BC80EE8" w:rsidP="00887E21">
      <w:pPr>
        <w:pBdr>
          <w:top w:val="nil"/>
          <w:left w:val="nil"/>
          <w:bottom w:val="nil"/>
          <w:right w:val="nil"/>
          <w:between w:val="nil"/>
          <w:bar w:val="nil"/>
        </w:pBdr>
        <w:spacing w:before="240" w:after="240"/>
        <w:rPr>
          <w:noProof/>
        </w:rPr>
      </w:pPr>
      <w:r w:rsidRPr="001563D8">
        <w:rPr>
          <w:noProof/>
        </w:rPr>
        <w:t xml:space="preserve">Meastar go bhfoilseoidh ICES a chomhairle maidir le séaclaí Artacha i ranna 3a agus 4a thoir ICES an 8 Meitheamh 2026. Tar éis fhoilsiú na comhairle sin, reáchtálfaidh an tAontas comhairliúcháin dhéthaobhacha leis an Iorua maidir leis na nithe seo a leanas: (i) leibhéal na ndeiseanna foriomlána iascaireachta le haghaidh séaclaí Artacha i ranna 3a agus 4a thoir ICES le haghaidh na tréimhse ón 1 Iúil 2026 go dtí an 30 Meitheamh 2027; (ii) leibhéal an TAC le haghaidh séaclaí Artacha i roinn 3a ICES le haghaidh na tréimhse sin; agus (iii) malartú breise ón Iorua chuig an Aontas maidir le deiseanna iascaireachta le haghaidh séaclaí Artacha in uiscí na hIorua sa Mhuir Thuaidh laisteas de 62ºT le haghaidh 2026, malartú a chomhaontaigh an tAontas agus an Iorua a mheas le linn comhairliúcháin dhéthaobhacha maidir le malartú cuótaí agus socruithe rochtana le haghaidh 2026. Dá gcomhaontófaí aistriú breise den sórt sin ón Iorua chuig an Aontas, chúiteofaí é trí dheiseanna iascaireachta breise le haghaidh séaclaí Artacha in uiscí na Graonlainne i bhfolimistéir 2, 5, 12 agus 14 ICES a aistriú ón Aontas chuig an Iorua in 2026. </w:t>
      </w:r>
    </w:p>
    <w:p w:rsidR="001C5474" w:rsidRPr="001563D8" w:rsidRDefault="29052605" w:rsidP="72CF8CC2">
      <w:pPr>
        <w:pBdr>
          <w:top w:val="nil"/>
          <w:left w:val="nil"/>
          <w:bottom w:val="nil"/>
          <w:right w:val="nil"/>
          <w:between w:val="nil"/>
          <w:bar w:val="nil"/>
        </w:pBdr>
        <w:spacing w:before="240" w:after="240"/>
        <w:rPr>
          <w:noProof/>
        </w:rPr>
      </w:pPr>
      <w:r w:rsidRPr="001563D8">
        <w:rPr>
          <w:noProof/>
        </w:rPr>
        <w:t>Go dtí go bhfaighfear toradh foirmiúil na gcomhairliúchán déthaobhach sin, sa togra seo tá téacs na haithrise ábhartha de Rialachán (AE) 2025/1350 ón gComhairle</w:t>
      </w:r>
      <w:r w:rsidRPr="001563D8">
        <w:rPr>
          <w:rStyle w:val="FootnoteReference"/>
          <w:noProof/>
        </w:rPr>
        <w:footnoteReference w:id="6"/>
      </w:r>
      <w:r w:rsidRPr="001563D8">
        <w:rPr>
          <w:noProof/>
        </w:rPr>
        <w:t xml:space="preserve"> san áireamh go sealadach idir lúibíní cearnacha, agus na TACanna le haghaidh séaclaí Artacha: (i) in uiscí an Aontais agus uiscí na hIorua i roinn 3a ICES le haghaidh na tréimhse ón 1 Iúil 2026 go dtí an 30 Meitheamh 2027; (ii) in uiscí na hIorua sa Mhuir Thuaidh laisteas de 62ºT le haghaidh </w:t>
      </w:r>
      <w:r w:rsidRPr="001563D8">
        <w:rPr>
          <w:noProof/>
        </w:rPr>
        <w:lastRenderedPageBreak/>
        <w:t xml:space="preserve">2026; agus (iii) in uiscí na Graonlainne i bhfolimistéir 2, 5, 12 agus 14 ICES, is le </w:t>
      </w:r>
      <w:r w:rsidR="00672FA8" w:rsidRPr="001563D8">
        <w:rPr>
          <w:noProof/>
        </w:rPr>
        <w:t>‘</w:t>
      </w:r>
      <w:r w:rsidRPr="001563D8">
        <w:rPr>
          <w:noProof/>
        </w:rPr>
        <w:t>pm</w:t>
      </w:r>
      <w:r w:rsidR="00672FA8" w:rsidRPr="001563D8">
        <w:rPr>
          <w:noProof/>
        </w:rPr>
        <w:t>’</w:t>
      </w:r>
      <w:r w:rsidRPr="001563D8">
        <w:rPr>
          <w:noProof/>
        </w:rPr>
        <w:t xml:space="preserve"> a mharcáiltear iad. A luaithe a gheofar toradh na gcomhairliúchán déthaobhach sin, déanfaidh seirbhísí an Choimisiúin an togra a thabhairt cothrom le dáta trí bhíthin páipéar leathoifigiúil ina molfar na TACanna sin le haghaidh na dtréimhsí sin agus ar na leibhéil a comhaontaíodh leis an Iorua.</w:t>
      </w:r>
    </w:p>
    <w:p w:rsidR="00312070" w:rsidRPr="001563D8" w:rsidRDefault="00312070" w:rsidP="33AF074E">
      <w:pPr>
        <w:pBdr>
          <w:top w:val="nil"/>
          <w:left w:val="nil"/>
          <w:bottom w:val="nil"/>
          <w:right w:val="nil"/>
          <w:between w:val="nil"/>
          <w:bar w:val="nil"/>
        </w:pBdr>
        <w:spacing w:before="240" w:after="240"/>
        <w:rPr>
          <w:b/>
          <w:bCs/>
          <w:noProof/>
        </w:rPr>
      </w:pPr>
      <w:r w:rsidRPr="001563D8">
        <w:rPr>
          <w:b/>
          <w:noProof/>
        </w:rPr>
        <w:t>An salán sa Mhuir Thuaidh agus in Skagerrak-Kattegat</w:t>
      </w:r>
    </w:p>
    <w:p w:rsidR="00312070" w:rsidRPr="001563D8" w:rsidRDefault="00312070" w:rsidP="33AF074E">
      <w:pPr>
        <w:rPr>
          <w:noProof/>
        </w:rPr>
      </w:pPr>
      <w:r w:rsidRPr="001563D8">
        <w:rPr>
          <w:noProof/>
        </w:rPr>
        <w:t>Le Rialachán (AE) 2026/249, socraítear go sealadach ag nialas na TACanna le haghaidh salán (</w:t>
      </w:r>
      <w:r w:rsidRPr="001563D8">
        <w:rPr>
          <w:i/>
          <w:iCs/>
          <w:noProof/>
        </w:rPr>
        <w:t>Sprattus sprattus</w:t>
      </w:r>
      <w:r w:rsidRPr="001563D8">
        <w:rPr>
          <w:noProof/>
        </w:rPr>
        <w:t>) agus foghabhálacha gaolmhara le haghaidh na tréimhse ón 1 Iúil 2026 go dtí an 30 Meitheamh 2027 sna huiscí seo a leanas: (i) uiscí an Aontais agus uiscí na Ríochta Aontaithe i bhfolimistéar 4 agus roinn 2a ICES (an Mhuir Thuaidh); agus (ii) uiscí an Aontais agus uiscí na hIorua i roinn 3a ICES (Skagerrak-Kattegat), go dtí go bhfoilseoidh ICES a chomhairle eolaíoch maidir leis an salán i bhfolimistéar 4 agus roinn 3a ICES le haghaidh na tréimhse ón 1 Iúil 2026 go dtí an 30 Meitheamh 2027.</w:t>
      </w:r>
    </w:p>
    <w:p w:rsidR="006E3C58" w:rsidRPr="001563D8" w:rsidRDefault="00312070" w:rsidP="33AF074E">
      <w:pPr>
        <w:rPr>
          <w:noProof/>
        </w:rPr>
      </w:pPr>
      <w:r w:rsidRPr="001563D8">
        <w:rPr>
          <w:noProof/>
        </w:rPr>
        <w:t>D</w:t>
      </w:r>
      <w:r w:rsidR="00672FA8" w:rsidRPr="001563D8">
        <w:rPr>
          <w:noProof/>
        </w:rPr>
        <w:t>’</w:t>
      </w:r>
      <w:r w:rsidRPr="001563D8">
        <w:rPr>
          <w:noProof/>
        </w:rPr>
        <w:t xml:space="preserve">fhoilsigh ICES an chomhairle sin an 30 Aibreán 2026. Tar éis fhoilsiú na comhairle sin ó ICES, reáchtálfaidh an tAontas comhairliúcháin thríthaobhacha leis an Ríocht Aontaithe agus an Iorua maidir leis na nithe seo a leanas: (i) leibhéal na ndeiseanna foriomlána iascaireachta le haghaidh an stoic sin le haghaidh na tréimhse ón 1 Iúil 2026 go dtí an 30 Meitheamh 2027; agus (ii) leibhéal na TACanna le haghaidh salán i bhfolimistéar 4 agus roinn 2a ICES agus i roinn 3a ICES faoi seach le haghaidh na tréimhse sin. </w:t>
      </w:r>
    </w:p>
    <w:p w:rsidR="00312070" w:rsidRPr="001563D8" w:rsidRDefault="00312070" w:rsidP="33AF074E">
      <w:pPr>
        <w:rPr>
          <w:noProof/>
        </w:rPr>
      </w:pPr>
      <w:r w:rsidRPr="001563D8">
        <w:rPr>
          <w:noProof/>
        </w:rPr>
        <w:t xml:space="preserve">Go dtí go bhfaighfear toradh na gcomhairliúchán tríthaobhach sin, sa togra seo tá téacs na haithrise ábhartha de Rialachán (AE) 2025/1350 san áireamh go sealadach idir lúibíní cearnacha, agus na TACanna le haghaidh salán agus foghabhálacha gaolmhara le haghaidh na tréimhse ón 1 Iúil 2026 go dtí an 30 Meitheamh 2027 sna huiscí seo a leanas: (i) uiscí an Aontais agus uiscí na Ríochta Aontaithe i bhfolimistéar 4 agus roinn 2a ICES; agus (ii) uiscí an Aontais agus uiscí na hIorua i roinn 3a ICES, arb uiscí iad a mharcáiltear le </w:t>
      </w:r>
      <w:r w:rsidR="00672FA8" w:rsidRPr="001563D8">
        <w:rPr>
          <w:noProof/>
        </w:rPr>
        <w:t>‘</w:t>
      </w:r>
      <w:r w:rsidRPr="001563D8">
        <w:rPr>
          <w:noProof/>
        </w:rPr>
        <w:t>pm</w:t>
      </w:r>
      <w:r w:rsidR="00672FA8" w:rsidRPr="001563D8">
        <w:rPr>
          <w:noProof/>
        </w:rPr>
        <w:t>’</w:t>
      </w:r>
      <w:r w:rsidRPr="001563D8">
        <w:rPr>
          <w:noProof/>
        </w:rPr>
        <w:t>. A luaithe a gheofar toradh na gcomhairliúchán tríthaobhach sin, déanfaidh seirbhísí an Choimisiúin an togra a thabhairt cothrom le dáta trí bhíthin páipéar leathoifigiúil ina molfar na TACanna sin le haghaidh na tréimhse sin ar na leibhéil a comhaontaíodh leis an Ríocht Aontaithe agus an Iorua.</w:t>
      </w:r>
    </w:p>
    <w:p w:rsidR="00312070" w:rsidRPr="001563D8" w:rsidRDefault="6E80B011" w:rsidP="0288B47E">
      <w:pPr>
        <w:pBdr>
          <w:top w:val="nil"/>
          <w:left w:val="nil"/>
          <w:bottom w:val="nil"/>
          <w:right w:val="nil"/>
          <w:between w:val="nil"/>
          <w:bar w:val="nil"/>
        </w:pBdr>
        <w:spacing w:before="240" w:after="240"/>
        <w:rPr>
          <w:b/>
          <w:bCs/>
          <w:noProof/>
        </w:rPr>
      </w:pPr>
      <w:r w:rsidRPr="001563D8">
        <w:rPr>
          <w:b/>
          <w:noProof/>
        </w:rPr>
        <w:t>An salán i Muir nIocht</w:t>
      </w:r>
    </w:p>
    <w:p w:rsidR="00312070" w:rsidRPr="001563D8" w:rsidRDefault="6E80B011" w:rsidP="0288B47E">
      <w:pPr>
        <w:rPr>
          <w:noProof/>
        </w:rPr>
      </w:pPr>
      <w:r w:rsidRPr="001563D8">
        <w:rPr>
          <w:noProof/>
        </w:rPr>
        <w:t xml:space="preserve">Le Rialachán (AE) 2026/249 socraítear go sealadach ag nialas an TAC le haghaidh salán in uiscí an Aontais agus uiscí na Ríochta Aontaithe i ranna 7d agus 7e ICES (Muir nIocht) le haghaidh na tréimhse ón 1 Iúil 2026 go dtí an 30 Meitheamh 2027, go dtí go bhfoilseoidh ICES a chomhairle eolaíoch maidir leis an salán sa limistéar sin le haghaidh na tréimhse sin. </w:t>
      </w:r>
    </w:p>
    <w:p w:rsidR="002625AE" w:rsidRPr="001563D8" w:rsidRDefault="232131D3" w:rsidP="72CF8CC2">
      <w:pPr>
        <w:rPr>
          <w:noProof/>
        </w:rPr>
      </w:pPr>
      <w:r w:rsidRPr="001563D8">
        <w:rPr>
          <w:noProof/>
        </w:rPr>
        <w:t>D</w:t>
      </w:r>
      <w:r w:rsidR="00672FA8" w:rsidRPr="001563D8">
        <w:rPr>
          <w:noProof/>
        </w:rPr>
        <w:t>’</w:t>
      </w:r>
      <w:r w:rsidRPr="001563D8">
        <w:rPr>
          <w:noProof/>
        </w:rPr>
        <w:t>fhoilsigh ICES an chomhairle sin an 30 Aibreán 2026. Tar éis fhoilsiú na comhairle sin ó ICES, reáchtálfaidh an tAontas comhairliúcháin dhéthaobhacha leis an Ríocht Aontaithe maidir le leibhéal an TAC i gcás an stoic sin le haghaidh na tréimhse ón 1 Iúil 2026 go dtí an 30 Meitheamh 2027, de bhun Airteagal 498(2), (4) agus (6) den Chomhaontú Trádála agus Comhair idir an tAontas Eorpach agus an Comhphobal Eorpach do Fhuinneamh Adamhach, de pháirt, agus Ríocht Aontaithe na Breataine Móire agus Thuaisceart Éireann, den pháirt eile</w:t>
      </w:r>
      <w:r w:rsidRPr="001563D8">
        <w:rPr>
          <w:rStyle w:val="FootnoteReference"/>
          <w:noProof/>
        </w:rPr>
        <w:footnoteReference w:id="7"/>
      </w:r>
      <w:r w:rsidRPr="001563D8">
        <w:rPr>
          <w:noProof/>
        </w:rPr>
        <w:t xml:space="preserve"> (</w:t>
      </w:r>
      <w:r w:rsidR="00672FA8" w:rsidRPr="001563D8">
        <w:rPr>
          <w:noProof/>
        </w:rPr>
        <w:t>‘</w:t>
      </w:r>
      <w:r w:rsidRPr="001563D8">
        <w:rPr>
          <w:noProof/>
        </w:rPr>
        <w:t>an Comhaontú Trádála agus Comhair</w:t>
      </w:r>
      <w:r w:rsidR="00672FA8" w:rsidRPr="001563D8">
        <w:rPr>
          <w:noProof/>
        </w:rPr>
        <w:t>’</w:t>
      </w:r>
      <w:r w:rsidRPr="001563D8">
        <w:rPr>
          <w:noProof/>
        </w:rPr>
        <w:t xml:space="preserve">). </w:t>
      </w:r>
    </w:p>
    <w:p w:rsidR="00312070" w:rsidRPr="001563D8" w:rsidRDefault="232131D3" w:rsidP="72CF8CC2">
      <w:pPr>
        <w:rPr>
          <w:noProof/>
        </w:rPr>
      </w:pPr>
      <w:r w:rsidRPr="001563D8">
        <w:rPr>
          <w:noProof/>
        </w:rPr>
        <w:lastRenderedPageBreak/>
        <w:t xml:space="preserve">Go dtí go bhfaighfear toradh na gcomhairliúchán déthaobhach sin, sa togra seo tá téacs na haithrise ábhartha de Rialachán (AE) 2025/1350 san áireamh go sealadach idir lúibíní cearnacha, agus is le </w:t>
      </w:r>
      <w:r w:rsidR="00672FA8" w:rsidRPr="001563D8">
        <w:rPr>
          <w:noProof/>
        </w:rPr>
        <w:t>‘</w:t>
      </w:r>
      <w:r w:rsidRPr="001563D8">
        <w:rPr>
          <w:noProof/>
        </w:rPr>
        <w:t>pm</w:t>
      </w:r>
      <w:r w:rsidR="00672FA8" w:rsidRPr="001563D8">
        <w:rPr>
          <w:noProof/>
        </w:rPr>
        <w:t>’</w:t>
      </w:r>
      <w:r w:rsidRPr="001563D8">
        <w:rPr>
          <w:noProof/>
        </w:rPr>
        <w:t xml:space="preserve"> a mharcáiltear an TAC le haghaidh salán i ranna 7d agus 7e ICES le haghaidh na tréimhse ón 1 Iúil 2026 go dtí an 30 Meitheamh 2027. A luaithe a gheofar toradh na gcomhairliúchán déthaobhach sin, déanfaidh seirbhísí an Choimisiúin an togra a thabhairt cothrom le dáta trí bhíthin páipéar leathoifigiúil ina molfar an TAC sin le haghaidh na tréimhse sin ar an leibhéal a comhaontaíodh leis an Ríocht Aontaithe.</w:t>
      </w:r>
    </w:p>
    <w:p w:rsidR="00C167FF" w:rsidRPr="001563D8" w:rsidRDefault="00C167FF" w:rsidP="00C167FF">
      <w:pPr>
        <w:pBdr>
          <w:top w:val="nil"/>
          <w:left w:val="nil"/>
          <w:bottom w:val="nil"/>
          <w:right w:val="nil"/>
          <w:between w:val="nil"/>
          <w:bar w:val="nil"/>
        </w:pBdr>
        <w:spacing w:before="240" w:after="240"/>
        <w:rPr>
          <w:b/>
          <w:bCs/>
          <w:noProof/>
        </w:rPr>
      </w:pPr>
      <w:r w:rsidRPr="001563D8">
        <w:rPr>
          <w:b/>
          <w:noProof/>
        </w:rPr>
        <w:t>An caibeallán in uiscí na Graonlainne</w:t>
      </w:r>
    </w:p>
    <w:p w:rsidR="004D5B5B" w:rsidRPr="001563D8" w:rsidRDefault="09429927" w:rsidP="00B83F9C">
      <w:pPr>
        <w:rPr>
          <w:noProof/>
        </w:rPr>
      </w:pPr>
      <w:r w:rsidRPr="001563D8">
        <w:rPr>
          <w:noProof/>
        </w:rPr>
        <w:t>Tar éis fhoilsiú na comhairle eolaíche is déanaí maidir leis an gcaibeallán (</w:t>
      </w:r>
      <w:r w:rsidRPr="001563D8">
        <w:rPr>
          <w:i/>
          <w:iCs/>
          <w:noProof/>
        </w:rPr>
        <w:t>Mallotus villosus</w:t>
      </w:r>
      <w:r w:rsidRPr="001563D8">
        <w:rPr>
          <w:noProof/>
        </w:rPr>
        <w:t>) i limistéar na hÍoslainne-na Graonlainne Thoir-Jan Mayen i mí Eanáir 2026, shocraigh an Ghraonlainn agus an Íoslainn TAC agus a gcuótaí ar leith i gcás an stoic sin le haghaidh na tréimhse ón 15 Deireadh Fómhair 2025 go dtí an 15 Aibreán 2026. I gcomhréir le hAirteagal</w:t>
      </w:r>
      <w:r w:rsidR="007D6FAB" w:rsidRPr="001563D8">
        <w:rPr>
          <w:noProof/>
        </w:rPr>
        <w:t> </w:t>
      </w:r>
      <w:r w:rsidRPr="001563D8">
        <w:rPr>
          <w:noProof/>
        </w:rPr>
        <w:t>2(1) den Phrótacal maidir le cur chun feidhme an Chomhaontaithe Comhpháirtíochta maidir le hIascaigh Inbhuanaithe idir an tAontas Eorpach, de pháirt, agus Rialtas na Graonlainne agus Rialtas na Danmhairge, den pháirt eile</w:t>
      </w:r>
      <w:r w:rsidRPr="001563D8">
        <w:rPr>
          <w:rStyle w:val="FootnoteReference"/>
          <w:noProof/>
        </w:rPr>
        <w:footnoteReference w:id="8"/>
      </w:r>
      <w:r w:rsidRPr="001563D8">
        <w:rPr>
          <w:noProof/>
        </w:rPr>
        <w:t>, thairg an Ghraonlainn deiseanna iascaireachta 5 545 thona le haghaidh an stoic sin agus na tréimhse sin, rud lenar ghlac an tAontas an 5 Feabhra 2026. Dá bhrí sin, le Rialachán (AE) 2026/249, arna leasú le Rialachán (AE) 2026/786 ón gComhairle</w:t>
      </w:r>
      <w:r w:rsidRPr="001563D8">
        <w:rPr>
          <w:rStyle w:val="FootnoteReference"/>
          <w:noProof/>
        </w:rPr>
        <w:footnoteReference w:id="9"/>
      </w:r>
      <w:r w:rsidRPr="001563D8">
        <w:rPr>
          <w:noProof/>
        </w:rPr>
        <w:t xml:space="preserve">, socraíodh cuótaí an Aontais agus na mBallstát le haghaidh caibeallán in uiscí na Graonlainne i bhfolimistéir 2, 5, 12 agus 14 ICES le haghaidh na tréimhse ón 15 Deireadh Fómhair 2025 go dtí an 15 Aibreán 2026 ar an leibhéal a comhaontaíodh leis an nGraonlainn. </w:t>
      </w:r>
    </w:p>
    <w:p w:rsidR="0063244B" w:rsidRPr="001563D8" w:rsidRDefault="34482950" w:rsidP="7B446392">
      <w:pPr>
        <w:rPr>
          <w:noProof/>
        </w:rPr>
      </w:pPr>
      <w:r w:rsidRPr="001563D8">
        <w:rPr>
          <w:noProof/>
        </w:rPr>
        <w:t>Mar sin féin, d</w:t>
      </w:r>
      <w:r w:rsidR="00672FA8" w:rsidRPr="001563D8">
        <w:rPr>
          <w:noProof/>
        </w:rPr>
        <w:t>’</w:t>
      </w:r>
      <w:r w:rsidRPr="001563D8">
        <w:rPr>
          <w:noProof/>
        </w:rPr>
        <w:t>iarr an Ghraonlainn deimhniú ón Aontas ina dhiaidh sin go raibh sé ar intinn aige na deiseanna iascaireachta sin a úsáid, mar mura raibh sé i gceist aige é sin a dhéanamh d</w:t>
      </w:r>
      <w:r w:rsidR="00672FA8" w:rsidRPr="001563D8">
        <w:rPr>
          <w:noProof/>
        </w:rPr>
        <w:t>’</w:t>
      </w:r>
      <w:r w:rsidRPr="001563D8">
        <w:rPr>
          <w:noProof/>
        </w:rPr>
        <w:t xml:space="preserve">fhéadfadh cabhlach na Graonlainne iad a úsáid lena áirithiú go mbainfí an úsáid is fearr as an gcuóta. Ar bhonn na heaspa spéise atá ar thionscal iascaireachta an Aontais, thairg an tAontas aisghabháil na ndeiseanna iascaireachta sin don Ghraonlainn. Dá bhrí sin, ba cheart cuótaí an Aontais agus na mBallstát le haghaidh caibeallán in uiscí na Graonlainne i bhfolimistéir 2, 5, 12 agus 14 ICES le haghaidh na tréimhse ón 15 Deireadh Fómhair 2025 go dtí an 15 Aibreán 2026 a laghdú go nialas dá réir sin. </w:t>
      </w:r>
    </w:p>
    <w:p w:rsidR="0085398F" w:rsidRPr="001563D8" w:rsidRDefault="0085398F" w:rsidP="00B83F9C">
      <w:pPr>
        <w:rPr>
          <w:noProof/>
        </w:rPr>
      </w:pPr>
    </w:p>
    <w:p w:rsidR="00811F73" w:rsidRPr="001563D8" w:rsidRDefault="00811F73" w:rsidP="00384E62">
      <w:pPr>
        <w:rPr>
          <w:b/>
          <w:bCs/>
          <w:noProof/>
        </w:rPr>
      </w:pPr>
      <w:r w:rsidRPr="001563D8">
        <w:rPr>
          <w:b/>
          <w:noProof/>
        </w:rPr>
        <w:t>An trosc in uiscí na Graonlainne</w:t>
      </w:r>
    </w:p>
    <w:p w:rsidR="00FB48FB" w:rsidRPr="001563D8" w:rsidRDefault="4632FAFE" w:rsidP="00384E62">
      <w:pPr>
        <w:rPr>
          <w:noProof/>
        </w:rPr>
      </w:pPr>
      <w:r w:rsidRPr="001563D8">
        <w:rPr>
          <w:noProof/>
        </w:rPr>
        <w:t>I gcomhréir le hAirteagal 11 den Chomhaontú Comhpháirtíochta sin maidir le hIascaigh Inbhuanaithe idir an tAontas agus an Ghraonlainn</w:t>
      </w:r>
      <w:r w:rsidRPr="001563D8">
        <w:rPr>
          <w:rStyle w:val="FootnoteReference"/>
          <w:noProof/>
        </w:rPr>
        <w:footnoteReference w:id="10"/>
      </w:r>
      <w:r w:rsidRPr="001563D8">
        <w:rPr>
          <w:noProof/>
        </w:rPr>
        <w:t xml:space="preserve">, agus i gcomhréir leis na coinníollacha a </w:t>
      </w:r>
      <w:r w:rsidRPr="001563D8">
        <w:rPr>
          <w:noProof/>
        </w:rPr>
        <w:lastRenderedPageBreak/>
        <w:t>leagtar amach in Airteagal 6 agus i gCaibidil VI den Phrótacal a ghabhann leis an gComhaontú sin, chomhaontaigh an tAontas agus an Ghraonlainn iascach taiscéalaíoch le haghaidh trosc (</w:t>
      </w:r>
      <w:r w:rsidRPr="001563D8">
        <w:rPr>
          <w:i/>
          <w:iCs/>
          <w:noProof/>
        </w:rPr>
        <w:t>Gadus morhua</w:t>
      </w:r>
      <w:r w:rsidRPr="001563D8">
        <w:rPr>
          <w:noProof/>
        </w:rPr>
        <w:t>) a dhéanamh in uiscí na Graonlainne i bhfolimistéir 5 agus 14 ICES, soir ó thuaidh ó 42°I le haghaidh na tréimhse ón 12 Feabhra 2026 go dtí an 31</w:t>
      </w:r>
      <w:r w:rsidR="00E71C14" w:rsidRPr="001563D8">
        <w:rPr>
          <w:noProof/>
        </w:rPr>
        <w:t> </w:t>
      </w:r>
      <w:r w:rsidRPr="001563D8">
        <w:rPr>
          <w:noProof/>
        </w:rPr>
        <w:t>Nollaig</w:t>
      </w:r>
      <w:r w:rsidR="00E71C14" w:rsidRPr="001563D8">
        <w:rPr>
          <w:noProof/>
        </w:rPr>
        <w:t> </w:t>
      </w:r>
      <w:r w:rsidRPr="001563D8">
        <w:rPr>
          <w:noProof/>
        </w:rPr>
        <w:t xml:space="preserve"> 2026. Is é is aidhm don iascach taiscéalaíoch a chinneadh an ann do throisc sa limistéar sin agus a ndáileadh féideartha. Socraíodh deiseanna iascaireachta 3 000 tona le haghaidh an iascaigh thaiscéalaíoch sin, as ar cionroinneadh 900 tona ar an Aontas. Ní fhéadfaidh ach soithí atá ag saothrú faoi chuimsiú an iascaigh thaiscéalaíoch sin agus a dhéanann sampláil eolaíoch na deiseanna iascaireachta sin a iascach. Ní mór an tsampláil eolaíoch sin a dhéanamh faoi choinníollacha atá le cinneadh ag Institiúid Acmhainní Nádúrtha na Graonlainne. Tá sé beartaithe an cuóta sin de chuid an Aontais a shocrú mar a comhaontaíodh leis an nGraonlainn é. </w:t>
      </w:r>
    </w:p>
    <w:p w:rsidR="0085398F" w:rsidRPr="001563D8" w:rsidRDefault="00384E62" w:rsidP="72CF8CC2">
      <w:pPr>
        <w:rPr>
          <w:noProof/>
        </w:rPr>
      </w:pPr>
      <w:r w:rsidRPr="001563D8">
        <w:rPr>
          <w:noProof/>
        </w:rPr>
        <w:t>Go dtí go dtiocfar ar chomhaontú idir na Ballstáit maidir leis an scála cionroinnte le haghaidh an stoic sin, tá sé beartaithe gan cuóta an Aontais a chionroinnt go sealadach ar na Ballstáit agus ligean do na Ballstáit uile iascaireacht a dhéanamh de réir chuóta an Aontais go dtí go mbainfear leas iomlán as.</w:t>
      </w:r>
    </w:p>
    <w:p w:rsidR="001C5474" w:rsidRPr="001563D8" w:rsidRDefault="001C5474" w:rsidP="00312070">
      <w:pPr>
        <w:rPr>
          <w:b/>
          <w:bCs/>
          <w:noProof/>
        </w:rPr>
      </w:pPr>
      <w:r w:rsidRPr="001563D8">
        <w:rPr>
          <w:b/>
          <w:noProof/>
        </w:rPr>
        <w:t xml:space="preserve">Trosc cróch NAFO </w:t>
      </w:r>
    </w:p>
    <w:p w:rsidR="00A11243" w:rsidRPr="001563D8" w:rsidRDefault="32A2CB61" w:rsidP="3B72C7DA">
      <w:pPr>
        <w:rPr>
          <w:noProof/>
        </w:rPr>
      </w:pPr>
      <w:r w:rsidRPr="001563D8">
        <w:rPr>
          <w:noProof/>
        </w:rPr>
        <w:t>Le Rialachán (AE) 2026/249 socraítear go sealadach ag nialas an TAC agus cuóta an Aontais le haghaidh trosc (</w:t>
      </w:r>
      <w:r w:rsidRPr="001563D8">
        <w:rPr>
          <w:i/>
          <w:iCs/>
          <w:noProof/>
        </w:rPr>
        <w:t>Gadus morhua</w:t>
      </w:r>
      <w:r w:rsidRPr="001563D8">
        <w:rPr>
          <w:noProof/>
        </w:rPr>
        <w:t xml:space="preserve">) i ranna 2J, 3K agus 3L de chuid Eagraíocht Iascaigh an Atlantaigh Thiar Thuaidh (NAFO) (troisc i ranna </w:t>
      </w:r>
      <w:r w:rsidR="00672FA8" w:rsidRPr="001563D8">
        <w:rPr>
          <w:noProof/>
        </w:rPr>
        <w:t>‘</w:t>
      </w:r>
      <w:r w:rsidRPr="001563D8">
        <w:rPr>
          <w:noProof/>
        </w:rPr>
        <w:t>2J3KL</w:t>
      </w:r>
      <w:r w:rsidR="00672FA8" w:rsidRPr="001563D8">
        <w:rPr>
          <w:noProof/>
        </w:rPr>
        <w:t>’</w:t>
      </w:r>
      <w:r w:rsidRPr="001563D8">
        <w:rPr>
          <w:noProof/>
        </w:rPr>
        <w:t xml:space="preserve">, </w:t>
      </w:r>
      <w:r w:rsidR="00672FA8" w:rsidRPr="001563D8">
        <w:rPr>
          <w:noProof/>
        </w:rPr>
        <w:t>‘</w:t>
      </w:r>
      <w:r w:rsidRPr="001563D8">
        <w:rPr>
          <w:noProof/>
        </w:rPr>
        <w:t>trosc cróch NAFO</w:t>
      </w:r>
      <w:r w:rsidR="00672FA8" w:rsidRPr="001563D8">
        <w:rPr>
          <w:noProof/>
        </w:rPr>
        <w:t>’</w:t>
      </w:r>
      <w:r w:rsidRPr="001563D8">
        <w:rPr>
          <w:noProof/>
        </w:rPr>
        <w:t xml:space="preserve">) le haghaidh na tréimhse ón 1 Iúil 2026 go dtí an 30 Meitheamh 2027, go dtí go ndéanfaidh NAFO cinneadh an TAC sin a bhunú. </w:t>
      </w:r>
    </w:p>
    <w:p w:rsidR="00A11243" w:rsidRPr="001563D8" w:rsidRDefault="147D189B" w:rsidP="3B72C7DA">
      <w:pPr>
        <w:rPr>
          <w:noProof/>
        </w:rPr>
      </w:pPr>
      <w:r w:rsidRPr="001563D8">
        <w:rPr>
          <w:noProof/>
        </w:rPr>
        <w:t>I mí an Mheithimh 2026 meastar go bhfoilseoidh Ceanada a chomhairle eolaíoch le haghaidh trosc i ranna 2J3KL le haghaidh na tréimhse ón 1 Iúil 2026 go dtí an 30 Meitheamh 2027. Tar éis fhoilsiú na comhairle sin, meastar go mbunóidh Ceanada teorainn ghabhála le haghaidh trosc i ranna 2J3KL NAFO dá shoithí iascaireachta le haghaidh na tréimhse ón 1 Iúil 2026 go dtí an 30 Meitheamh 2027. I gcomhréir lena chuid rialacha, tá NAFO le TAC a bhunú ansin le haghaidh an stoic sin agus le haghaidh na tréimhse sin, mar aon le cionroinnt ar Pháirtithe Conarthacha eile de chuid NAFO, lena</w:t>
      </w:r>
      <w:r w:rsidR="00672FA8" w:rsidRPr="001563D8">
        <w:rPr>
          <w:noProof/>
        </w:rPr>
        <w:t xml:space="preserve"> n</w:t>
      </w:r>
      <w:r w:rsidR="00672FA8" w:rsidRPr="001563D8">
        <w:rPr>
          <w:noProof/>
        </w:rPr>
        <w:noBreakHyphen/>
      </w:r>
      <w:r w:rsidRPr="001563D8">
        <w:rPr>
          <w:noProof/>
        </w:rPr>
        <w:t xml:space="preserve">áirítear cuóta de chuid an Aontais, atá le hiascach i Limistéar Rialála NAFO. Tá an TAC sin agus an chionroinnt sin le bunú ar leibhéal ar do 95 % den TAC a chomhfhreagróidh an teorainn ghabhála arna bunú ag Ceanada agus ar do 5 % den TAC a chomhfhreagróidh an chionroinnt ar Pháirtithe Conarthacha eile de chuid NAFO. </w:t>
      </w:r>
    </w:p>
    <w:p w:rsidR="001C5474" w:rsidRPr="001563D8" w:rsidRDefault="147D189B" w:rsidP="3B72C7DA">
      <w:pPr>
        <w:rPr>
          <w:noProof/>
        </w:rPr>
      </w:pPr>
      <w:r w:rsidRPr="001563D8">
        <w:rPr>
          <w:noProof/>
        </w:rPr>
        <w:t xml:space="preserve">Go dtí go ndéanfaidh NAFO cinneadh TAC den sórt sin, cionroinnt ar Pháirtithe Conarthacha eile de chuid NAFO agus aon bheart téarnaimh le haghaidh an stoic sin a bhunú, sa togra seo tá an aithris ábhartha de Rialachán (AE) 2025/1350 san áireamh go sealadach idir lúibíní cearnacha agus is le </w:t>
      </w:r>
      <w:r w:rsidR="00672FA8" w:rsidRPr="001563D8">
        <w:rPr>
          <w:noProof/>
        </w:rPr>
        <w:t>‘</w:t>
      </w:r>
      <w:r w:rsidRPr="001563D8">
        <w:rPr>
          <w:noProof/>
        </w:rPr>
        <w:t>pm</w:t>
      </w:r>
      <w:r w:rsidR="00672FA8" w:rsidRPr="001563D8">
        <w:rPr>
          <w:noProof/>
        </w:rPr>
        <w:t>’</w:t>
      </w:r>
      <w:r w:rsidRPr="001563D8">
        <w:rPr>
          <w:noProof/>
        </w:rPr>
        <w:t xml:space="preserve"> a mharcáiltear an TAC le haghaidh trosc i roinn 2J3KL NAFO le haghaidh na tréimhse ón 1 Iúil 2026 go dtí an 30 Meitheamh 2027. A luaithe a gheofar an cinneadh ó NAFO, tabharfaidh seirbhísí an Choimisiúin an togra cothrom le dáta trí bhíthin páipéar leathoifigiúil ina molfar an TAC agus bearta téarnaimh féideartha le haghaidh na tréimhse sin i gcomhréir leis an gcinneadh sin ó NAFO.</w:t>
      </w:r>
    </w:p>
    <w:p w:rsidR="008E5816" w:rsidRPr="001563D8" w:rsidRDefault="00D85591" w:rsidP="728C8B72">
      <w:pPr>
        <w:pBdr>
          <w:top w:val="nil"/>
          <w:left w:val="nil"/>
          <w:bottom w:val="nil"/>
          <w:right w:val="nil"/>
          <w:between w:val="nil"/>
          <w:bar w:val="nil"/>
        </w:pBdr>
        <w:spacing w:before="240" w:after="240"/>
        <w:rPr>
          <w:b/>
          <w:bCs/>
          <w:noProof/>
        </w:rPr>
      </w:pPr>
      <w:r w:rsidRPr="001563D8">
        <w:rPr>
          <w:b/>
          <w:noProof/>
        </w:rPr>
        <w:t>CICTA</w:t>
      </w:r>
    </w:p>
    <w:p w:rsidR="007811C2" w:rsidRPr="001563D8" w:rsidRDefault="19DB09FE" w:rsidP="5261A6E9">
      <w:pPr>
        <w:pBdr>
          <w:top w:val="nil"/>
          <w:left w:val="nil"/>
          <w:bottom w:val="nil"/>
          <w:right w:val="nil"/>
          <w:between w:val="nil"/>
          <w:bar w:val="nil"/>
        </w:pBdr>
        <w:spacing w:before="240" w:after="240"/>
        <w:rPr>
          <w:noProof/>
        </w:rPr>
      </w:pPr>
      <w:bookmarkStart w:id="2" w:name="_Hlk228798244"/>
      <w:r w:rsidRPr="001563D8">
        <w:rPr>
          <w:noProof/>
        </w:rPr>
        <w:lastRenderedPageBreak/>
        <w:t>Tar éis ghlacadh Mholadh 25-04 ó ICCAT lena mbunaítear plean bainistíochta ilbhliantúil um an tuinnín gorm san Atlantach Thoir agus sa Mheánmhuir</w:t>
      </w:r>
      <w:r w:rsidRPr="001563D8">
        <w:rPr>
          <w:rStyle w:val="FootnoteReference"/>
          <w:noProof/>
        </w:rPr>
        <w:footnoteReference w:id="11"/>
      </w:r>
      <w:r w:rsidRPr="001563D8">
        <w:rPr>
          <w:noProof/>
        </w:rPr>
        <w:t xml:space="preserve"> ag an 29ú cruinniú bliantúil den Choimisiún Idirnáisiúnta um Thuinníní Atlantacha a Chaomhnú (ICCAT) i mí na Samhna 2025, glacadh </w:t>
      </w:r>
      <w:bookmarkStart w:id="3" w:name="_Hlk227340434"/>
      <w:r w:rsidRPr="001563D8">
        <w:rPr>
          <w:noProof/>
        </w:rPr>
        <w:t>Rialachán Tarmligthe ón gCoimisiún</w:t>
      </w:r>
      <w:bookmarkEnd w:id="3"/>
      <w:r w:rsidRPr="001563D8">
        <w:rPr>
          <w:noProof/>
        </w:rPr>
        <w:t xml:space="preserve"> an 4 Márta 2026 de bhun Airteagal</w:t>
      </w:r>
      <w:r w:rsidR="00E71C14" w:rsidRPr="001563D8">
        <w:rPr>
          <w:noProof/>
        </w:rPr>
        <w:t> </w:t>
      </w:r>
      <w:r w:rsidRPr="001563D8">
        <w:rPr>
          <w:noProof/>
        </w:rPr>
        <w:t>66(1)(a) de Rialachán (AE) 2023/2053</w:t>
      </w:r>
      <w:r w:rsidRPr="001563D8">
        <w:rPr>
          <w:rStyle w:val="FootnoteReference"/>
          <w:noProof/>
        </w:rPr>
        <w:footnoteReference w:id="12"/>
      </w:r>
      <w:r w:rsidRPr="001563D8">
        <w:rPr>
          <w:noProof/>
        </w:rPr>
        <w:t xml:space="preserve"> ó Pharlaimint na hEorpa agus ón gComhairle, lena leasaítear Airteagal 8(2) de d</w:t>
      </w:r>
      <w:r w:rsidR="00672FA8" w:rsidRPr="001563D8">
        <w:rPr>
          <w:noProof/>
        </w:rPr>
        <w:t>’</w:t>
      </w:r>
      <w:r w:rsidRPr="001563D8">
        <w:rPr>
          <w:noProof/>
        </w:rPr>
        <w:t>fhonn an moladh a ionchorprú i ndlí an Aontais. Meastar go dtiocfaidh an rialachán tarmligthe sin i bhfeidhm an 14 Bealtaine 2026. Dá bhrí sin, féadfaidh na Ballstáit a iarraidh anois 20 % ar a mhéad, seachas 5 % roimhe sin, dá gcuóta bliantúil le haghaidh tuinníní gorma i limistéar Choinbhinsiún ICCAT lastoir de 45°I a aistriú ón mbliain roimhe sin go bliain ar leith. I gcás ina ndéanann na Ballstáit iarraidh den sórt sin, ceanglaítear orthu an iarraidh sin a chur faoi bhráid an Choimisiúin ina bplean iascaireachta bliantúil. D</w:t>
      </w:r>
      <w:r w:rsidR="00672FA8" w:rsidRPr="001563D8">
        <w:rPr>
          <w:noProof/>
        </w:rPr>
        <w:t>’</w:t>
      </w:r>
      <w:r w:rsidRPr="001563D8">
        <w:rPr>
          <w:noProof/>
        </w:rPr>
        <w:t>iarr an Ghréig, an Spáinn, an Fhrainc, an Chróit, an Iodáil, an Chipir, Málta agus an Phortaingéil aistrithe den sórt sin ó 2025 le haghaidh 2026. Ar bhonn na</w:t>
      </w:r>
      <w:r w:rsidR="00672FA8" w:rsidRPr="001563D8">
        <w:rPr>
          <w:noProof/>
        </w:rPr>
        <w:t xml:space="preserve"> n</w:t>
      </w:r>
      <w:r w:rsidR="00672FA8" w:rsidRPr="001563D8">
        <w:rPr>
          <w:noProof/>
        </w:rPr>
        <w:noBreakHyphen/>
      </w:r>
      <w:r w:rsidRPr="001563D8">
        <w:rPr>
          <w:noProof/>
        </w:rPr>
        <w:t>iarrataí sin, chuir an Coimisiún plean bliantúil athbhreithnithe de chuid an Aontais faoi bhráid Rúnaíocht CICTA, de bhun Airteagal 11(5) de Rialachán (AE) 2023/2053. Dá bhrí sin, tá sé beartaithe cuótaí na mBallstát sin le haghaidh tuinníní gorma i limistéar Choinbhinsiún CICTA lastoir de 45°I le haghaidh 2026 a leasú dá réir. Tabharfaidh seirbhísí an Choimisiúin an togra cothrom le dáta trí bhíthin páipéar leathoifigiúil ina sonrófar tagairt agus dáta theacht i bhfeidhm an rialacháin tharmligthe a glacadh an 4 Márta 2026.</w:t>
      </w:r>
    </w:p>
    <w:bookmarkEnd w:id="2"/>
    <w:p w:rsidR="001C26E5" w:rsidRPr="001563D8" w:rsidRDefault="001C26E5" w:rsidP="001C26E5">
      <w:pPr>
        <w:pBdr>
          <w:top w:val="nil"/>
          <w:left w:val="nil"/>
          <w:bottom w:val="nil"/>
          <w:right w:val="nil"/>
          <w:between w:val="nil"/>
          <w:bar w:val="nil"/>
        </w:pBdr>
        <w:spacing w:before="240" w:after="240"/>
        <w:rPr>
          <w:noProof/>
        </w:rPr>
      </w:pPr>
      <w:r w:rsidRPr="001563D8">
        <w:rPr>
          <w:noProof/>
        </w:rPr>
        <w:t>I gcomhréir le hAirteagal 17b de Rialachán (AE) 2017/2107</w:t>
      </w:r>
      <w:r w:rsidRPr="001563D8">
        <w:rPr>
          <w:rStyle w:val="FootnoteReference"/>
          <w:noProof/>
        </w:rPr>
        <w:footnoteReference w:id="13"/>
      </w:r>
      <w:r w:rsidRPr="001563D8">
        <w:rPr>
          <w:noProof/>
        </w:rPr>
        <w:t xml:space="preserve"> ó Pharlaimint na hEorpa agus ón gComhairle, le Rialachán (AE) 2026/249, arna leasú le Rialachán (AE) 2026/786, aistrítear cuótaí bliantúla le haghaidh tuinníní colgacha (</w:t>
      </w:r>
      <w:r w:rsidRPr="001563D8">
        <w:rPr>
          <w:i/>
          <w:iCs/>
          <w:noProof/>
        </w:rPr>
        <w:t>Thunnus alalunga</w:t>
      </w:r>
      <w:r w:rsidRPr="001563D8">
        <w:rPr>
          <w:noProof/>
        </w:rPr>
        <w:t>) i limistéar Choinbhinsiún ICCAT lastuaidh de 5°T ó 2024 go 2026 le haghaidh Ballstáit áirithe. Leasaíodh cuótaí na mBallstát sin le haghaidh an stoic sin i gcás 2026 dá réir sin le Rialachán (AE) 2026/786 ón gComhairle. Mar sin féin, níor leasaíodh cuóta na Ríochta Aontaithe le haghaidh an stoic sin i gcás 2026 chun aistrithe den sórt sin a chur san áireamh agus ba cheart, dá bhrí sin, é a leasú dá réir sin.</w:t>
      </w:r>
    </w:p>
    <w:p w:rsidR="001C5474" w:rsidRPr="001563D8" w:rsidRDefault="3DFAB274" w:rsidP="22163002">
      <w:pPr>
        <w:spacing w:before="0" w:after="200"/>
        <w:rPr>
          <w:b/>
          <w:bCs/>
          <w:noProof/>
        </w:rPr>
      </w:pPr>
      <w:r w:rsidRPr="001563D8">
        <w:rPr>
          <w:b/>
          <w:noProof/>
        </w:rPr>
        <w:t xml:space="preserve">NPFC </w:t>
      </w:r>
    </w:p>
    <w:p w:rsidR="00EE5F6D" w:rsidRPr="001563D8" w:rsidRDefault="00BC7525" w:rsidP="00BC7525">
      <w:pPr>
        <w:rPr>
          <w:noProof/>
        </w:rPr>
      </w:pPr>
      <w:r w:rsidRPr="001563D8">
        <w:rPr>
          <w:noProof/>
        </w:rPr>
        <w:t xml:space="preserve">Le Rialachán (AE) 2026/249, arna leasú le Rialachán (AE) 2026/786, marcáladh go sealadach le </w:t>
      </w:r>
      <w:r w:rsidR="00672FA8" w:rsidRPr="001563D8">
        <w:rPr>
          <w:noProof/>
        </w:rPr>
        <w:t>‘</w:t>
      </w:r>
      <w:r w:rsidRPr="001563D8">
        <w:rPr>
          <w:noProof/>
        </w:rPr>
        <w:t>le bunú</w:t>
      </w:r>
      <w:r w:rsidR="00672FA8" w:rsidRPr="001563D8">
        <w:rPr>
          <w:noProof/>
        </w:rPr>
        <w:t>’</w:t>
      </w:r>
      <w:r w:rsidRPr="001563D8">
        <w:rPr>
          <w:noProof/>
        </w:rPr>
        <w:t xml:space="preserve"> na teorainneacha gabhála atá ar fáil do na Ballstáit ar Páirtithe Conarthacha iad i gCoimisiún Iascaigh an Aigéin Chiúin Thuaidh (NPFC) le haghaidh trálaer agus soithí peas-saighne faoi seach agus cuóta breise an Aontais le haghaidh ronnaigh sheapánacha (</w:t>
      </w:r>
      <w:r w:rsidRPr="001563D8">
        <w:rPr>
          <w:i/>
          <w:iCs/>
          <w:noProof/>
        </w:rPr>
        <w:t>Scomber japonicus</w:t>
      </w:r>
      <w:r w:rsidRPr="001563D8">
        <w:rPr>
          <w:noProof/>
        </w:rPr>
        <w:t xml:space="preserve">) i limistéar Choinbhinsiún NPFC le haghaidh na tréimhse ón 1 Meitheamh 2026 go dtí an 31 Bealtaine 2027, chomh maith leis na teorainneacha iarrachta gaolmhara. </w:t>
      </w:r>
    </w:p>
    <w:p w:rsidR="00A473F4" w:rsidRPr="001563D8" w:rsidRDefault="7A5E51A7" w:rsidP="00277572">
      <w:pPr>
        <w:rPr>
          <w:noProof/>
        </w:rPr>
      </w:pPr>
      <w:r w:rsidRPr="001563D8">
        <w:rPr>
          <w:noProof/>
        </w:rPr>
        <w:lastRenderedPageBreak/>
        <w:t>Ag an gcruinniú bliantúil a bhí aige i mí Aibreáin 2026, bhunaigh NPFC na teorainneacha gabhála sin le haghaidh na tréimhse ón 1 Meitheamh 2026 go dtí an 31 Nollaig 2026, agus an tréimhse iascaireachta á hailíniú leis an mbliain féilire. Chuir sé an ronnach gorm (</w:t>
      </w:r>
      <w:r w:rsidRPr="001563D8">
        <w:rPr>
          <w:i/>
          <w:iCs/>
          <w:noProof/>
        </w:rPr>
        <w:t>Scomber australasicus</w:t>
      </w:r>
      <w:r w:rsidRPr="001563D8">
        <w:rPr>
          <w:noProof/>
        </w:rPr>
        <w:t>), a ghabhtar in éineacht leis an ronnach seapánach, leis na teorainneacha gabhála sin freisin.</w:t>
      </w:r>
    </w:p>
    <w:p w:rsidR="00277572" w:rsidRPr="001563D8" w:rsidRDefault="00277572" w:rsidP="00277572">
      <w:pPr>
        <w:rPr>
          <w:noProof/>
        </w:rPr>
        <w:sectPr w:rsidR="00277572" w:rsidRPr="001563D8" w:rsidSect="00CD5301">
          <w:headerReference w:type="even" r:id="rId14"/>
          <w:footerReference w:type="even" r:id="rId15"/>
          <w:footerReference w:type="default" r:id="rId16"/>
          <w:headerReference w:type="first" r:id="rId17"/>
          <w:footerReference w:type="first" r:id="rId18"/>
          <w:footnotePr>
            <w:numRestart w:val="eachSect"/>
          </w:footnotePr>
          <w:pgSz w:w="11907" w:h="16840" w:code="9"/>
          <w:pgMar w:top="1134" w:right="1418" w:bottom="1134" w:left="1418" w:header="709" w:footer="709" w:gutter="0"/>
          <w:cols w:space="708"/>
          <w:docGrid w:linePitch="360"/>
        </w:sectPr>
      </w:pPr>
    </w:p>
    <w:p w:rsidR="005B4C05" w:rsidRDefault="00A3019C">
      <w:pPr>
        <w:pStyle w:val="Rfrenceinterinstitutionnelle"/>
        <w:rPr>
          <w:noProof/>
        </w:rPr>
      </w:pPr>
      <w:r>
        <w:rPr>
          <w:noProof/>
        </w:rPr>
        <w:lastRenderedPageBreak/>
        <w:t>2026/0122 (NLE)</w:t>
      </w:r>
    </w:p>
    <w:p w:rsidR="00CA48E0" w:rsidRPr="001563D8" w:rsidRDefault="00672FA8" w:rsidP="00672FA8">
      <w:pPr>
        <w:pStyle w:val="Statut"/>
        <w:rPr>
          <w:noProof/>
        </w:rPr>
      </w:pPr>
      <w:r w:rsidRPr="001563D8">
        <w:rPr>
          <w:noProof/>
        </w:rPr>
        <w:t>Togra le haghaidh</w:t>
      </w:r>
    </w:p>
    <w:p w:rsidR="00312070" w:rsidRPr="001563D8" w:rsidRDefault="00672FA8" w:rsidP="00672FA8">
      <w:pPr>
        <w:pStyle w:val="Typedudocument"/>
        <w:rPr>
          <w:noProof/>
        </w:rPr>
      </w:pPr>
      <w:r w:rsidRPr="001563D8">
        <w:rPr>
          <w:noProof/>
        </w:rPr>
        <w:t>RIALACHÁN ÓN gCOMHAIRLE</w:t>
      </w:r>
    </w:p>
    <w:p w:rsidR="00312070" w:rsidRPr="001563D8" w:rsidRDefault="00672FA8" w:rsidP="00672FA8">
      <w:pPr>
        <w:pStyle w:val="Titreobjet"/>
        <w:rPr>
          <w:noProof/>
        </w:rPr>
      </w:pPr>
      <w:r w:rsidRPr="001563D8">
        <w:rPr>
          <w:noProof/>
        </w:rPr>
        <w:t>lena leasaítear Rialachán (AE) 2026/249 ón gComhairle lena socraítear le haghaidh 2026, 2027 agus 2028 na deiseanna iascaireachta le haghaidh stoic éisc áirithe, is infheidhme in uiscí an Aontais agus, i gcás soithí iascaireachta de chuid an Aontais, in uiscí áirithe nach uiscí de chuid an Aontais iad</w:t>
      </w:r>
    </w:p>
    <w:p w:rsidR="00312070" w:rsidRPr="001563D8" w:rsidRDefault="00312070" w:rsidP="00312070">
      <w:pPr>
        <w:pStyle w:val="Institutionquiagit"/>
        <w:rPr>
          <w:noProof/>
        </w:rPr>
      </w:pPr>
      <w:r w:rsidRPr="001563D8">
        <w:rPr>
          <w:noProof/>
        </w:rPr>
        <w:t>TÁ COMHAIRLE AN AONTAIS EORPAIGH,</w:t>
      </w:r>
    </w:p>
    <w:p w:rsidR="00312070" w:rsidRPr="001563D8" w:rsidRDefault="00312070" w:rsidP="00312070">
      <w:pPr>
        <w:rPr>
          <w:noProof/>
        </w:rPr>
      </w:pPr>
      <w:r w:rsidRPr="001563D8">
        <w:rPr>
          <w:noProof/>
        </w:rPr>
        <w:t>Ag féachaint don Chonradh ar Fheidhmiú an Aontais Eorpaigh, agus go háirithe Airteagal 43(3) de,</w:t>
      </w:r>
    </w:p>
    <w:p w:rsidR="00312070" w:rsidRPr="001563D8" w:rsidRDefault="00312070" w:rsidP="00312070">
      <w:pPr>
        <w:rPr>
          <w:noProof/>
        </w:rPr>
      </w:pPr>
      <w:r w:rsidRPr="001563D8">
        <w:rPr>
          <w:noProof/>
        </w:rPr>
        <w:t>Ag féachaint don togra ón gCoimisiún Eorpach,</w:t>
      </w:r>
    </w:p>
    <w:p w:rsidR="00312070" w:rsidRPr="001563D8" w:rsidRDefault="1532F1E1" w:rsidP="00312070">
      <w:pPr>
        <w:rPr>
          <w:noProof/>
        </w:rPr>
      </w:pPr>
      <w:r w:rsidRPr="001563D8">
        <w:rPr>
          <w:noProof/>
        </w:rPr>
        <w:t>De bharr an mhéid seo a leanas:</w:t>
      </w:r>
    </w:p>
    <w:p w:rsidR="00312070" w:rsidRPr="001563D8" w:rsidRDefault="4630B188" w:rsidP="00BA5F06">
      <w:pPr>
        <w:pStyle w:val="ManualConsidrant"/>
        <w:rPr>
          <w:noProof/>
        </w:rPr>
      </w:pPr>
      <w:r>
        <w:rPr>
          <w:noProof/>
        </w:rPr>
        <w:t>(1)</w:t>
      </w:r>
      <w:r>
        <w:rPr>
          <w:noProof/>
        </w:rPr>
        <w:tab/>
      </w:r>
      <w:r w:rsidRPr="001563D8">
        <w:rPr>
          <w:noProof/>
        </w:rPr>
        <w:t>Le Rialachán (AE) 2026/249 ón gComhairle</w:t>
      </w:r>
      <w:r w:rsidRPr="001563D8">
        <w:rPr>
          <w:rStyle w:val="FootnoteReference"/>
          <w:noProof/>
        </w:rPr>
        <w:footnoteReference w:id="14"/>
      </w:r>
      <w:r w:rsidRPr="001563D8">
        <w:rPr>
          <w:noProof/>
        </w:rPr>
        <w:t>, socraítear le haghaidh 2026, 2027 agus 2028 na deiseanna iascaireachta le haghaidh stoic éisc áirithe, is infheidhme in uiscí an Aontais agus, i</w:t>
      </w:r>
      <w:r w:rsidR="00D21B34" w:rsidRPr="001563D8">
        <w:rPr>
          <w:noProof/>
        </w:rPr>
        <w:t xml:space="preserve"> </w:t>
      </w:r>
      <w:r w:rsidRPr="001563D8">
        <w:rPr>
          <w:noProof/>
        </w:rPr>
        <w:t>gcás soithí iascaireachta de chuid an Aontais, in uiscí áirithe nach uiscí de chuid an</w:t>
      </w:r>
      <w:r w:rsidR="00D21B34" w:rsidRPr="001563D8">
        <w:rPr>
          <w:noProof/>
        </w:rPr>
        <w:t xml:space="preserve"> </w:t>
      </w:r>
      <w:r w:rsidRPr="001563D8">
        <w:rPr>
          <w:noProof/>
        </w:rPr>
        <w:t>Aontais iad. Ba cheart na deiseanna iascaireachta sin, lena</w:t>
      </w:r>
      <w:r w:rsidR="00672FA8" w:rsidRPr="001563D8">
        <w:rPr>
          <w:noProof/>
        </w:rPr>
        <w:t xml:space="preserve"> n</w:t>
      </w:r>
      <w:r w:rsidR="00672FA8" w:rsidRPr="001563D8">
        <w:rPr>
          <w:noProof/>
        </w:rPr>
        <w:noBreakHyphen/>
      </w:r>
      <w:r w:rsidRPr="001563D8">
        <w:rPr>
          <w:noProof/>
        </w:rPr>
        <w:t>áirítear bearta áirithe atá nasctha go feidhmiúil leo, a leasú chun foilsiú na comhairle eolaíche, torthaí na gcomhairliúchán le tríú tíortha, torthaí chruinnithe na</w:t>
      </w:r>
      <w:r w:rsidR="00672FA8" w:rsidRPr="001563D8">
        <w:rPr>
          <w:noProof/>
        </w:rPr>
        <w:t xml:space="preserve"> n</w:t>
      </w:r>
      <w:r w:rsidR="00672FA8" w:rsidRPr="001563D8">
        <w:rPr>
          <w:noProof/>
        </w:rPr>
        <w:noBreakHyphen/>
      </w:r>
      <w:r w:rsidRPr="001563D8">
        <w:rPr>
          <w:noProof/>
        </w:rPr>
        <w:t>eagraíochtaí réigiúnacha bainistithe iascaigh (ERBInna) agus forbairtí eile a chur san áireamh.</w:t>
      </w:r>
    </w:p>
    <w:p w:rsidR="00312070" w:rsidRPr="001563D8" w:rsidRDefault="32973AD2" w:rsidP="005B3B87">
      <w:pPr>
        <w:pStyle w:val="ManualConsidrant"/>
        <w:rPr>
          <w:noProof/>
        </w:rPr>
      </w:pPr>
      <w:r>
        <w:rPr>
          <w:noProof/>
        </w:rPr>
        <w:t>(2)</w:t>
      </w:r>
      <w:r>
        <w:rPr>
          <w:noProof/>
        </w:rPr>
        <w:tab/>
      </w:r>
      <w:r w:rsidRPr="001563D8">
        <w:rPr>
          <w:i/>
          <w:noProof/>
        </w:rPr>
        <w:t xml:space="preserve">[Déanfar an aithris agus na forálacha ábhartha a thabhairt cothrom le dáta tar éis fhoilsiú na comhairle ó ICES, nó más cosúil nach gcuirfeadh nuashonrú den sórt sin ar a cumas don Chomhairle an TAC cinntitheach a ghlacadh in am agus, dá bhrí sin, go mbeadh briseadh sealadach san iascach sin ón 1 Iúil 2026 ar aghaidh.] </w:t>
      </w:r>
      <w:r w:rsidRPr="001563D8">
        <w:rPr>
          <w:i/>
          <w:iCs/>
          <w:noProof/>
        </w:rPr>
        <w:t>[É SEO]</w:t>
      </w:r>
      <w:r w:rsidRPr="001563D8">
        <w:rPr>
          <w:noProof/>
        </w:rPr>
        <w:t xml:space="preserve"> [An 19 Meitheamh 2026 d</w:t>
      </w:r>
      <w:r w:rsidR="00672FA8" w:rsidRPr="001563D8">
        <w:rPr>
          <w:noProof/>
        </w:rPr>
        <w:t>’</w:t>
      </w:r>
      <w:r w:rsidRPr="001563D8">
        <w:rPr>
          <w:noProof/>
        </w:rPr>
        <w:t>fhoilsigh an Chomhairle Idirnáisiúnta um Thaiscéalaíocht na Mara (ICES) a comhairle eolaíoch le haghaidh ainseabhaithe (</w:t>
      </w:r>
      <w:r w:rsidRPr="001563D8">
        <w:rPr>
          <w:i/>
          <w:noProof/>
        </w:rPr>
        <w:t>Engraulis encrasicolus</w:t>
      </w:r>
      <w:r w:rsidRPr="001563D8">
        <w:rPr>
          <w:noProof/>
        </w:rPr>
        <w:t>) sa chuid thiar de roinn 9a ICES le haghaidh na tréimhse ón 1 Iúil 2026 go dtí an 30 Meitheamh 2027. Tar éis fhoilsiú na comhairle sin do ICES, na gabhálacha iomlána incheadaithe (TAC) le haghaidh ainseabhaithe sa chuid thiar d</w:t>
      </w:r>
      <w:r w:rsidR="00672FA8" w:rsidRPr="001563D8">
        <w:rPr>
          <w:noProof/>
        </w:rPr>
        <w:t>’</w:t>
      </w:r>
      <w:r w:rsidRPr="001563D8">
        <w:rPr>
          <w:noProof/>
        </w:rPr>
        <w:t>fholimistéar 9 ICES agus i bhfolimistéar 10 le haghaidh na tréimhse ón 1 Iúil 2026 go dtí an 30 Meitheamh 2027, ba cheart iad a shocrú ar an leibhéal a mhol ICES.]</w:t>
      </w:r>
      <w:bookmarkStart w:id="4" w:name="_Hlk193033427"/>
      <w:r w:rsidRPr="001563D8">
        <w:rPr>
          <w:noProof/>
        </w:rPr>
        <w:t xml:space="preserve"> </w:t>
      </w:r>
      <w:r w:rsidRPr="001563D8">
        <w:rPr>
          <w:i/>
          <w:noProof/>
        </w:rPr>
        <w:t>[NÓ É SEO]</w:t>
      </w:r>
      <w:r w:rsidRPr="001563D8">
        <w:rPr>
          <w:noProof/>
        </w:rPr>
        <w:t xml:space="preserve"> [Le Rialachán (AE) 2026/</w:t>
      </w:r>
      <w:bookmarkEnd w:id="4"/>
      <w:r w:rsidRPr="001563D8">
        <w:rPr>
          <w:noProof/>
        </w:rPr>
        <w:t>249 socraítear go sealadach ag nialas na gabhálacha iomlána incheadaithe (TAC) le haghaidh ainseabhaithe (</w:t>
      </w:r>
      <w:r w:rsidRPr="001563D8">
        <w:rPr>
          <w:i/>
          <w:iCs/>
          <w:noProof/>
        </w:rPr>
        <w:t>Engraulis encrasicolus</w:t>
      </w:r>
      <w:r w:rsidRPr="001563D8">
        <w:rPr>
          <w:noProof/>
        </w:rPr>
        <w:t>) sa chuid thiar d</w:t>
      </w:r>
      <w:r w:rsidR="00672FA8" w:rsidRPr="001563D8">
        <w:rPr>
          <w:noProof/>
        </w:rPr>
        <w:t>’</w:t>
      </w:r>
      <w:r w:rsidRPr="001563D8">
        <w:rPr>
          <w:noProof/>
        </w:rPr>
        <w:t>fholimistéar 9 den Chomhairle Idirnáisiúnta um Thaiscéalaíocht na Mara (ICES) agus i bhfolimistéar 10 le haghaidh na tréimhse ón 1 Iúil 2026 go dtí an 30</w:t>
      </w:r>
      <w:r w:rsidR="00D21B34" w:rsidRPr="001563D8">
        <w:rPr>
          <w:noProof/>
        </w:rPr>
        <w:t> </w:t>
      </w:r>
      <w:r w:rsidRPr="001563D8">
        <w:rPr>
          <w:noProof/>
        </w:rPr>
        <w:t>Meitheamh</w:t>
      </w:r>
      <w:r w:rsidR="00D21B34" w:rsidRPr="001563D8">
        <w:rPr>
          <w:noProof/>
        </w:rPr>
        <w:t> </w:t>
      </w:r>
      <w:r w:rsidRPr="001563D8">
        <w:rPr>
          <w:noProof/>
        </w:rPr>
        <w:t xml:space="preserve">2027, go dtí go bhfoilseoidh ICES a chomhairle eolaíoch maidir le hainseabhaithe sa chuid thiar de roinn 9a ICES le haghaidh na tréimhse sin. Chun go </w:t>
      </w:r>
      <w:r w:rsidRPr="001563D8">
        <w:rPr>
          <w:noProof/>
        </w:rPr>
        <w:lastRenderedPageBreak/>
        <w:t>bhféadfar leanúint den iascaireacht go dtí go socrófar an TAC cinntitheach le haghaidh an stoic sin i gcás na tréimhse ábhartha, ba cheart TAC sealadach a shocrú le haghaidh na tréimhse ón 1 Iúil 2026 go dtí an 30 Meán Fómhair 2026 ar leibhéal a chomhfhreagraíonn do [X].]</w:t>
      </w:r>
    </w:p>
    <w:p w:rsidR="001C5474" w:rsidRPr="001563D8" w:rsidRDefault="5BC80EE8" w:rsidP="00887E21">
      <w:pPr>
        <w:pStyle w:val="ManualConsidrant"/>
        <w:rPr>
          <w:noProof/>
          <w:szCs w:val="24"/>
        </w:rPr>
      </w:pPr>
      <w:r>
        <w:rPr>
          <w:noProof/>
        </w:rPr>
        <w:t>(3)</w:t>
      </w:r>
      <w:r>
        <w:rPr>
          <w:noProof/>
        </w:rPr>
        <w:tab/>
      </w:r>
      <w:r w:rsidRPr="001563D8">
        <w:rPr>
          <w:noProof/>
        </w:rPr>
        <w:t>[</w:t>
      </w:r>
      <w:r w:rsidRPr="001563D8">
        <w:rPr>
          <w:i/>
          <w:iCs/>
          <w:noProof/>
        </w:rPr>
        <w:t>Déanfar an aithris agus na forálacha ábhartha a thabhairt cothrom le dáta tar éis na comhairliúcháin idir an tAontas agus an Iorua a thabhairt i gcrích</w:t>
      </w:r>
      <w:r w:rsidRPr="001563D8">
        <w:rPr>
          <w:noProof/>
        </w:rPr>
        <w:t>.] [An 23 Meitheamh 2025 thug an tAontas agus an Iorua comhairliúcháin i gcrích maidir leis an méid seo a leanas:</w:t>
      </w:r>
      <w:r w:rsidRPr="001563D8">
        <w:rPr>
          <w:noProof/>
          <w:color w:val="333333"/>
        </w:rPr>
        <w:t xml:space="preserve"> (i) leibhéal na ndeiseanna foriomlána iascaireachta le haghaidh séaclaí Artacha (</w:t>
      </w:r>
      <w:r w:rsidRPr="001563D8">
        <w:rPr>
          <w:i/>
          <w:iCs/>
          <w:noProof/>
          <w:color w:val="333333"/>
        </w:rPr>
        <w:t>Pandalus borealis</w:t>
      </w:r>
      <w:r w:rsidRPr="001563D8">
        <w:rPr>
          <w:noProof/>
          <w:color w:val="333333"/>
        </w:rPr>
        <w:t xml:space="preserve">) i ranna 3a agus 4a thoir ICES le haghaidh na tréimhse ón 1 Iúil 2025 go dtí an 30 Meitheamh 2026; (ii) leibhéal an TAC le haghaidh séaclaí Artacha i roinn 3a ICES; agus (iii) bearta teicniúla breise le haghaidh an stoic sin. </w:t>
      </w:r>
      <w:r w:rsidRPr="001563D8">
        <w:rPr>
          <w:noProof/>
        </w:rPr>
        <w:t>Ghlac an tAontas páirt sna comhairliúcháin sin ar bhonn sheasamh an Aontais a d</w:t>
      </w:r>
      <w:r w:rsidR="00672FA8" w:rsidRPr="001563D8">
        <w:rPr>
          <w:noProof/>
        </w:rPr>
        <w:t>’</w:t>
      </w:r>
      <w:r w:rsidRPr="001563D8">
        <w:rPr>
          <w:noProof/>
        </w:rPr>
        <w:t>fhormhuinigh an Chomhairle an 12</w:t>
      </w:r>
      <w:r w:rsidR="00D21B34" w:rsidRPr="001563D8">
        <w:rPr>
          <w:noProof/>
        </w:rPr>
        <w:t xml:space="preserve"> </w:t>
      </w:r>
      <w:r w:rsidRPr="001563D8">
        <w:rPr>
          <w:noProof/>
        </w:rPr>
        <w:t>Meitheamh</w:t>
      </w:r>
      <w:r w:rsidR="00D21B34" w:rsidRPr="001563D8">
        <w:rPr>
          <w:noProof/>
        </w:rPr>
        <w:t xml:space="preserve"> </w:t>
      </w:r>
      <w:r w:rsidRPr="001563D8">
        <w:rPr>
          <w:noProof/>
        </w:rPr>
        <w:t>2025.</w:t>
      </w:r>
      <w:r w:rsidRPr="001563D8">
        <w:rPr>
          <w:noProof/>
          <w:color w:val="333333"/>
        </w:rPr>
        <w:t xml:space="preserve"> Rinneadh toradh na gcomhairliúchán sin a</w:t>
      </w:r>
      <w:r w:rsidR="00D21B34" w:rsidRPr="001563D8">
        <w:rPr>
          <w:noProof/>
          <w:color w:val="333333"/>
        </w:rPr>
        <w:t xml:space="preserve"> </w:t>
      </w:r>
      <w:r w:rsidRPr="001563D8">
        <w:rPr>
          <w:noProof/>
          <w:color w:val="333333"/>
        </w:rPr>
        <w:t>dhoiciméadú i</w:t>
      </w:r>
      <w:r w:rsidR="00D21B34" w:rsidRPr="001563D8">
        <w:rPr>
          <w:noProof/>
          <w:color w:val="333333"/>
        </w:rPr>
        <w:t xml:space="preserve"> </w:t>
      </w:r>
      <w:r w:rsidRPr="001563D8">
        <w:rPr>
          <w:noProof/>
          <w:color w:val="333333"/>
        </w:rPr>
        <w:t>dTaifead Comhaontaithe a</w:t>
      </w:r>
      <w:r w:rsidR="00D21B34" w:rsidRPr="001563D8">
        <w:rPr>
          <w:noProof/>
          <w:color w:val="333333"/>
        </w:rPr>
        <w:t xml:space="preserve"> </w:t>
      </w:r>
      <w:r w:rsidRPr="001563D8">
        <w:rPr>
          <w:noProof/>
          <w:color w:val="333333"/>
        </w:rPr>
        <w:t>síníodh an 23 Meitheamh 2025. Dá bhrí sin, ba cheart an TAC le haghaidh séaclaí Artacha i roinn 3a ICES a</w:t>
      </w:r>
      <w:r w:rsidR="00D21B34" w:rsidRPr="001563D8">
        <w:rPr>
          <w:noProof/>
          <w:color w:val="333333"/>
        </w:rPr>
        <w:t xml:space="preserve"> </w:t>
      </w:r>
      <w:r w:rsidRPr="001563D8">
        <w:rPr>
          <w:noProof/>
          <w:color w:val="333333"/>
        </w:rPr>
        <w:t>shocrú ar an leibhéal a</w:t>
      </w:r>
      <w:r w:rsidR="00D21B34" w:rsidRPr="001563D8">
        <w:rPr>
          <w:noProof/>
          <w:color w:val="333333"/>
        </w:rPr>
        <w:t xml:space="preserve"> </w:t>
      </w:r>
      <w:r w:rsidRPr="001563D8">
        <w:rPr>
          <w:noProof/>
          <w:color w:val="333333"/>
        </w:rPr>
        <w:t>comhaontaíodh leis an Iorua, agus ba cheart na bearta teicniúla breise a comhaontaíodh leis an Iorua a</w:t>
      </w:r>
      <w:r w:rsidR="00D21B34" w:rsidRPr="001563D8">
        <w:rPr>
          <w:noProof/>
          <w:color w:val="333333"/>
        </w:rPr>
        <w:t xml:space="preserve"> </w:t>
      </w:r>
      <w:r w:rsidRPr="001563D8">
        <w:rPr>
          <w:noProof/>
          <w:color w:val="333333"/>
        </w:rPr>
        <w:t xml:space="preserve">bhunú. </w:t>
      </w:r>
      <w:r w:rsidRPr="001563D8">
        <w:rPr>
          <w:noProof/>
        </w:rPr>
        <w:t>Le linn na gcomhairliúchán sin, rinne an tAontas agus an Iorua breithniú ar mhalartuithe séaclaí Artacha in uiscí na hIorua sa Mhuir Thuaidh laisteas de 62</w:t>
      </w:r>
      <w:r w:rsidRPr="001563D8">
        <w:rPr>
          <w:noProof/>
          <w:vertAlign w:val="superscript"/>
        </w:rPr>
        <w:t>o</w:t>
      </w:r>
      <w:r w:rsidRPr="001563D8">
        <w:rPr>
          <w:noProof/>
        </w:rPr>
        <w:t> T ón Iorua chuig an Aontas.</w:t>
      </w:r>
      <w:r w:rsidRPr="001563D8">
        <w:rPr>
          <w:noProof/>
          <w:color w:val="333333"/>
        </w:rPr>
        <w:t xml:space="preserve"> </w:t>
      </w:r>
      <w:r w:rsidRPr="001563D8">
        <w:rPr>
          <w:noProof/>
        </w:rPr>
        <w:t>Mar sin féin, ós rud é nárbh fhéidir teacht ar chomhaontú maidir le haistrithe breise séaclaí Artacha sa Mhuir Thuaidh, ba cheart na deiseanna iascaireachta neamh-chionroinnte le haghaidh séaclaí Artacha in uiscí na Graonlainne i bhfolimistéir 5 agus 14 ICES a chionroinnt ar na Ballstáit.</w:t>
      </w:r>
      <w:r w:rsidRPr="001563D8">
        <w:rPr>
          <w:noProof/>
          <w:color w:val="333333"/>
        </w:rPr>
        <w:t xml:space="preserve"> </w:t>
      </w:r>
      <w:r w:rsidRPr="001563D8">
        <w:rPr>
          <w:noProof/>
        </w:rPr>
        <w:t>Dá bhrí sin, ba cheart cuótaí na mBallstát le haghaidh séaclaí Artacha in uiscí na Graonlainne i bhfolimistéir 5 agus 14 ICES a leasú dá réir sin.]</w:t>
      </w:r>
    </w:p>
    <w:p w:rsidR="00312070" w:rsidRPr="001563D8" w:rsidRDefault="32973AD2" w:rsidP="00312070">
      <w:pPr>
        <w:pStyle w:val="ManualConsidrant"/>
        <w:rPr>
          <w:noProof/>
        </w:rPr>
      </w:pPr>
      <w:r>
        <w:rPr>
          <w:noProof/>
        </w:rPr>
        <w:t>(4)</w:t>
      </w:r>
      <w:r>
        <w:rPr>
          <w:noProof/>
        </w:rPr>
        <w:tab/>
      </w:r>
      <w:r w:rsidRPr="001563D8">
        <w:rPr>
          <w:i/>
          <w:noProof/>
        </w:rPr>
        <w:t xml:space="preserve">[Déanfar an aithris agus na forálacha ábhartha a thabhairt cothrom le dáta tar éis na comhairliúcháin idir an tAontas, an Ríocht Aontaithe agus an Iorua a thabhairt i gcrích.] </w:t>
      </w:r>
      <w:r w:rsidRPr="001563D8">
        <w:rPr>
          <w:noProof/>
        </w:rPr>
        <w:t>[An 21 Bealtaine 2025 reáchtáil an tAontas, an Ríocht Aontaithe agus an Iorua comhairliúcháin maidir leis an méid seo a leanas:</w:t>
      </w:r>
      <w:r w:rsidRPr="001563D8">
        <w:rPr>
          <w:noProof/>
          <w:color w:val="333333"/>
        </w:rPr>
        <w:t xml:space="preserve"> (i) leibhéal na ndeiseanna foriomlána iascaireachta le haghaidh salán (</w:t>
      </w:r>
      <w:r w:rsidRPr="001563D8">
        <w:rPr>
          <w:i/>
          <w:iCs/>
          <w:noProof/>
          <w:color w:val="333333"/>
        </w:rPr>
        <w:t>Sprattus sprattus</w:t>
      </w:r>
      <w:r w:rsidRPr="001563D8">
        <w:rPr>
          <w:noProof/>
          <w:color w:val="333333"/>
        </w:rPr>
        <w:t>) i bhfolimistéar 4 agus roinn 3a ICES le haghaidh na tréimhse ón 1 Iúil 2025 go dtí an 30 Meitheamh 2026; agus (ii) leibhéil na TACanna le haghaidh salán in uiscí an Aontais agus uiscí na Ríochta Aontaithe i bhfolimistéar 4 agus roinn 2a ICES agus in uiscí an Aontais agus uiscí na hIorua i roinn 3a ICES le haghaidh na tréimhse sin. Ghlac an tAontas páirt sna comhairliúcháin sin ar bhonn sheasamh an Aontais a</w:t>
      </w:r>
      <w:r w:rsidR="00D21B34" w:rsidRPr="001563D8">
        <w:rPr>
          <w:noProof/>
          <w:color w:val="333333"/>
        </w:rPr>
        <w:t xml:space="preserve"> </w:t>
      </w:r>
      <w:r w:rsidRPr="001563D8">
        <w:rPr>
          <w:noProof/>
          <w:color w:val="333333"/>
        </w:rPr>
        <w:t>d</w:t>
      </w:r>
      <w:r w:rsidR="00672FA8" w:rsidRPr="001563D8">
        <w:rPr>
          <w:noProof/>
          <w:color w:val="333333"/>
        </w:rPr>
        <w:t>’</w:t>
      </w:r>
      <w:r w:rsidRPr="001563D8">
        <w:rPr>
          <w:noProof/>
          <w:color w:val="333333"/>
        </w:rPr>
        <w:t>fhormhuinigh an Chomhairle an 12</w:t>
      </w:r>
      <w:r w:rsidR="00D21B34" w:rsidRPr="001563D8">
        <w:rPr>
          <w:noProof/>
          <w:color w:val="333333"/>
        </w:rPr>
        <w:t xml:space="preserve"> </w:t>
      </w:r>
      <w:r w:rsidRPr="001563D8">
        <w:rPr>
          <w:noProof/>
          <w:color w:val="333333"/>
        </w:rPr>
        <w:t>Bealtaine 2025. Rinneadh toradh na gcomhairliúchán sin a</w:t>
      </w:r>
      <w:r w:rsidR="00D21B34" w:rsidRPr="001563D8">
        <w:rPr>
          <w:noProof/>
          <w:color w:val="333333"/>
        </w:rPr>
        <w:t xml:space="preserve"> </w:t>
      </w:r>
      <w:r w:rsidRPr="001563D8">
        <w:rPr>
          <w:noProof/>
          <w:color w:val="333333"/>
        </w:rPr>
        <w:t>dhoiciméadú i</w:t>
      </w:r>
      <w:r w:rsidR="00D21B34" w:rsidRPr="001563D8">
        <w:rPr>
          <w:noProof/>
          <w:color w:val="333333"/>
        </w:rPr>
        <w:t xml:space="preserve"> </w:t>
      </w:r>
      <w:r w:rsidRPr="001563D8">
        <w:rPr>
          <w:noProof/>
          <w:color w:val="333333"/>
        </w:rPr>
        <w:t>dTaifead Comhaontaithe a</w:t>
      </w:r>
      <w:r w:rsidR="00D21B34" w:rsidRPr="001563D8">
        <w:rPr>
          <w:noProof/>
          <w:color w:val="333333"/>
        </w:rPr>
        <w:t xml:space="preserve"> </w:t>
      </w:r>
      <w:r w:rsidRPr="001563D8">
        <w:rPr>
          <w:noProof/>
          <w:color w:val="333333"/>
        </w:rPr>
        <w:t xml:space="preserve">síníodh an 21 Bealtaine 2025. </w:t>
      </w:r>
      <w:r w:rsidRPr="001563D8">
        <w:rPr>
          <w:noProof/>
        </w:rPr>
        <w:t>Ba cheart, dá bhrí sin, na TACanna ábhartha a shocrú ar na leibhéil a comhaontaíodh leis an Ríocht Aontaithe agus an Iorua.]</w:t>
      </w:r>
    </w:p>
    <w:p w:rsidR="00312070" w:rsidRPr="001563D8" w:rsidRDefault="32973AD2" w:rsidP="009272C4">
      <w:pPr>
        <w:pStyle w:val="ManualConsidrant"/>
        <w:rPr>
          <w:rFonts w:eastAsia="Times New Roman"/>
          <w:noProof/>
          <w:color w:val="333333"/>
        </w:rPr>
      </w:pPr>
      <w:r>
        <w:rPr>
          <w:noProof/>
        </w:rPr>
        <w:t>(5)</w:t>
      </w:r>
      <w:r>
        <w:rPr>
          <w:noProof/>
        </w:rPr>
        <w:tab/>
      </w:r>
      <w:r w:rsidRPr="001563D8">
        <w:rPr>
          <w:i/>
          <w:noProof/>
        </w:rPr>
        <w:t>[Déanfar an aithris agus na forálacha ábhartha a thabhairt cothrom le dáta tar éis na comhairliúcháin idir an tAontas agus an Ríocht Aontaithe a thabhairt i gcrích.]</w:t>
      </w:r>
      <w:r w:rsidRPr="001563D8">
        <w:rPr>
          <w:noProof/>
        </w:rPr>
        <w:t xml:space="preserve"> </w:t>
      </w:r>
      <w:r w:rsidRPr="001563D8">
        <w:rPr>
          <w:noProof/>
          <w:color w:val="333333"/>
        </w:rPr>
        <w:t>[An 12</w:t>
      </w:r>
      <w:r w:rsidR="00D21B34" w:rsidRPr="001563D8">
        <w:rPr>
          <w:noProof/>
          <w:color w:val="333333"/>
        </w:rPr>
        <w:t xml:space="preserve"> </w:t>
      </w:r>
      <w:r w:rsidRPr="001563D8">
        <w:rPr>
          <w:noProof/>
          <w:color w:val="333333"/>
        </w:rPr>
        <w:t>Bealtaine 2025 rinne an tAontas agus an Ríocht Aontaithe comhairliúcháin dhéthaobhacha de bhun Airteagal 498(2), (4) agus (6) den Chomhaontú Trádála agus Comhair idir an tAontas Eorpach agus an Comhphobal Eorpach do Fhuinneamh Adamhach, de pháirt, agus Ríocht Aontaithe na Breataine Móire agus Thuaisceart Éireann, den pháirt eile</w:t>
      </w:r>
      <w:r w:rsidRPr="001563D8">
        <w:rPr>
          <w:rStyle w:val="FootnoteReference"/>
          <w:noProof/>
        </w:rPr>
        <w:footnoteReference w:id="15"/>
      </w:r>
      <w:r w:rsidRPr="001563D8">
        <w:rPr>
          <w:noProof/>
          <w:color w:val="333333"/>
        </w:rPr>
        <w:t>, maidir le leibhéal an TAC le haghaidh salán i</w:t>
      </w:r>
      <w:r w:rsidR="00D21B34" w:rsidRPr="001563D8">
        <w:rPr>
          <w:noProof/>
          <w:color w:val="333333"/>
        </w:rPr>
        <w:t xml:space="preserve"> </w:t>
      </w:r>
      <w:r w:rsidRPr="001563D8">
        <w:rPr>
          <w:noProof/>
          <w:color w:val="333333"/>
        </w:rPr>
        <w:t xml:space="preserve">ranna 7d agus </w:t>
      </w:r>
      <w:r w:rsidRPr="001563D8">
        <w:rPr>
          <w:noProof/>
          <w:color w:val="333333"/>
        </w:rPr>
        <w:lastRenderedPageBreak/>
        <w:t>7e ICES le haghaidh na tréimhse ón 1 Iúil 2025 go dtí an 30</w:t>
      </w:r>
      <w:r w:rsidR="00D21B34" w:rsidRPr="001563D8">
        <w:rPr>
          <w:noProof/>
          <w:color w:val="333333"/>
        </w:rPr>
        <w:t xml:space="preserve"> </w:t>
      </w:r>
      <w:r w:rsidRPr="001563D8">
        <w:rPr>
          <w:noProof/>
          <w:color w:val="333333"/>
        </w:rPr>
        <w:t>Meitheamh 2026. Ghlac an tAontas páirt sna comhairliúcháin sin ar bhonn sheasamh an Aontais a</w:t>
      </w:r>
      <w:r w:rsidR="00D21B34" w:rsidRPr="001563D8">
        <w:rPr>
          <w:noProof/>
          <w:color w:val="333333"/>
        </w:rPr>
        <w:t xml:space="preserve"> </w:t>
      </w:r>
      <w:r w:rsidRPr="001563D8">
        <w:rPr>
          <w:noProof/>
          <w:color w:val="333333"/>
        </w:rPr>
        <w:t>d</w:t>
      </w:r>
      <w:r w:rsidR="00672FA8" w:rsidRPr="001563D8">
        <w:rPr>
          <w:noProof/>
          <w:color w:val="333333"/>
        </w:rPr>
        <w:t>’</w:t>
      </w:r>
      <w:r w:rsidRPr="001563D8">
        <w:rPr>
          <w:noProof/>
          <w:color w:val="333333"/>
        </w:rPr>
        <w:t>fhormhuinigh an Chomhairle an 8</w:t>
      </w:r>
      <w:r w:rsidR="00D21B34" w:rsidRPr="001563D8">
        <w:rPr>
          <w:noProof/>
          <w:color w:val="333333"/>
        </w:rPr>
        <w:t xml:space="preserve"> </w:t>
      </w:r>
      <w:r w:rsidRPr="001563D8">
        <w:rPr>
          <w:noProof/>
          <w:color w:val="333333"/>
        </w:rPr>
        <w:t>Bealtaine</w:t>
      </w:r>
      <w:r w:rsidR="00D21B34" w:rsidRPr="001563D8">
        <w:rPr>
          <w:noProof/>
          <w:color w:val="333333"/>
        </w:rPr>
        <w:t xml:space="preserve"> </w:t>
      </w:r>
      <w:r w:rsidRPr="001563D8">
        <w:rPr>
          <w:noProof/>
          <w:color w:val="333333"/>
        </w:rPr>
        <w:t>2025. Rinneadh toradh na gcomhairliúchán sin a</w:t>
      </w:r>
      <w:r w:rsidR="00D21B34" w:rsidRPr="001563D8">
        <w:rPr>
          <w:noProof/>
          <w:color w:val="333333"/>
        </w:rPr>
        <w:t xml:space="preserve"> </w:t>
      </w:r>
      <w:r w:rsidRPr="001563D8">
        <w:rPr>
          <w:noProof/>
          <w:color w:val="333333"/>
        </w:rPr>
        <w:t>dhoiciméadú i</w:t>
      </w:r>
      <w:r w:rsidR="00D21B34" w:rsidRPr="001563D8">
        <w:rPr>
          <w:noProof/>
          <w:color w:val="333333"/>
        </w:rPr>
        <w:t xml:space="preserve"> </w:t>
      </w:r>
      <w:r w:rsidRPr="001563D8">
        <w:rPr>
          <w:noProof/>
          <w:color w:val="333333"/>
        </w:rPr>
        <w:t>dTaifead i</w:t>
      </w:r>
      <w:r w:rsidR="00D21B34" w:rsidRPr="001563D8">
        <w:rPr>
          <w:noProof/>
          <w:color w:val="333333"/>
        </w:rPr>
        <w:t xml:space="preserve"> </w:t>
      </w:r>
      <w:r w:rsidRPr="001563D8">
        <w:rPr>
          <w:noProof/>
          <w:color w:val="333333"/>
        </w:rPr>
        <w:t>Scríbhinn a</w:t>
      </w:r>
      <w:r w:rsidR="00D21B34" w:rsidRPr="001563D8">
        <w:rPr>
          <w:noProof/>
          <w:color w:val="333333"/>
        </w:rPr>
        <w:t xml:space="preserve"> </w:t>
      </w:r>
      <w:r w:rsidRPr="001563D8">
        <w:rPr>
          <w:noProof/>
          <w:color w:val="333333"/>
        </w:rPr>
        <w:t>síníodh an 22</w:t>
      </w:r>
      <w:r w:rsidR="00D21B34" w:rsidRPr="001563D8">
        <w:rPr>
          <w:noProof/>
          <w:color w:val="333333"/>
        </w:rPr>
        <w:t> </w:t>
      </w:r>
      <w:r w:rsidRPr="001563D8">
        <w:rPr>
          <w:noProof/>
          <w:color w:val="333333"/>
        </w:rPr>
        <w:t>Bealtaine</w:t>
      </w:r>
      <w:r w:rsidR="00D21B34" w:rsidRPr="001563D8">
        <w:rPr>
          <w:noProof/>
          <w:color w:val="333333"/>
        </w:rPr>
        <w:t> </w:t>
      </w:r>
      <w:r w:rsidRPr="001563D8">
        <w:rPr>
          <w:noProof/>
          <w:color w:val="333333"/>
        </w:rPr>
        <w:t>2025. Ba cheart, dá bhrí sin, an TAC le haghaidh salán i</w:t>
      </w:r>
      <w:r w:rsidR="00D21B34" w:rsidRPr="001563D8">
        <w:rPr>
          <w:noProof/>
          <w:color w:val="333333"/>
        </w:rPr>
        <w:t xml:space="preserve"> </w:t>
      </w:r>
      <w:r w:rsidRPr="001563D8">
        <w:rPr>
          <w:noProof/>
          <w:color w:val="333333"/>
        </w:rPr>
        <w:t>ranna 7d agus 7e ICES le haghaidh na tréimhse ón 1 Iúil 2025 go dtí an 30</w:t>
      </w:r>
      <w:r w:rsidR="00D21B34" w:rsidRPr="001563D8">
        <w:rPr>
          <w:noProof/>
          <w:color w:val="333333"/>
        </w:rPr>
        <w:t xml:space="preserve"> </w:t>
      </w:r>
      <w:r w:rsidRPr="001563D8">
        <w:rPr>
          <w:noProof/>
          <w:color w:val="333333"/>
        </w:rPr>
        <w:t>Meitheamh 2026 a</w:t>
      </w:r>
      <w:r w:rsidR="00D21B34" w:rsidRPr="001563D8">
        <w:rPr>
          <w:noProof/>
          <w:color w:val="333333"/>
        </w:rPr>
        <w:t xml:space="preserve"> </w:t>
      </w:r>
      <w:r w:rsidRPr="001563D8">
        <w:rPr>
          <w:noProof/>
          <w:color w:val="333333"/>
        </w:rPr>
        <w:t>shocrú ar an leibhéal a</w:t>
      </w:r>
      <w:r w:rsidR="00D21B34" w:rsidRPr="001563D8">
        <w:rPr>
          <w:noProof/>
          <w:color w:val="333333"/>
        </w:rPr>
        <w:t xml:space="preserve"> </w:t>
      </w:r>
      <w:r w:rsidRPr="001563D8">
        <w:rPr>
          <w:noProof/>
          <w:color w:val="333333"/>
        </w:rPr>
        <w:t>comhaontaíodh leis an Ríocht Aontaithe]</w:t>
      </w:r>
    </w:p>
    <w:p w:rsidR="000E0298" w:rsidRPr="001563D8" w:rsidRDefault="004F431B" w:rsidP="000E0298">
      <w:pPr>
        <w:pStyle w:val="ManualConsidrant"/>
        <w:rPr>
          <w:rFonts w:eastAsia="Times New Roman"/>
          <w:noProof/>
          <w:color w:val="333333"/>
        </w:rPr>
      </w:pPr>
      <w:r>
        <w:rPr>
          <w:noProof/>
        </w:rPr>
        <w:t>(6)</w:t>
      </w:r>
      <w:r>
        <w:rPr>
          <w:noProof/>
        </w:rPr>
        <w:tab/>
      </w:r>
      <w:r w:rsidRPr="001563D8">
        <w:rPr>
          <w:noProof/>
        </w:rPr>
        <w:t>Le Rialachán (AE) 2026/249, arna leasú le Rialachán (AE) 2026/786 ón gComhairle</w:t>
      </w:r>
      <w:r w:rsidRPr="001563D8">
        <w:rPr>
          <w:rStyle w:val="FootnoteReference"/>
          <w:noProof/>
        </w:rPr>
        <w:footnoteReference w:id="16"/>
      </w:r>
      <w:r w:rsidRPr="001563D8">
        <w:rPr>
          <w:noProof/>
        </w:rPr>
        <w:t>, socraítear cuótaí an Aontais agus na mBallstát le haghaidh caibeallán (</w:t>
      </w:r>
      <w:r w:rsidRPr="001563D8">
        <w:rPr>
          <w:i/>
          <w:iCs/>
          <w:noProof/>
        </w:rPr>
        <w:t>Mallotus villosus</w:t>
      </w:r>
      <w:r w:rsidRPr="001563D8">
        <w:rPr>
          <w:noProof/>
        </w:rPr>
        <w:t>) in uiscí na Graonlainne i bhfolimistéir 2, 5, 12 agus 14 ICES le haghaidh na tréimhse ón 15 Deireadh Fómhair 2025 go dtí an 15 Aibreán 2026 ar an leibhéal a comhaontaíodh leis an nGraonlainn, i gcomhréir le hAirteagal 2(1) den Phrótacal maidir le cur chun feidhme an Chomhaontaithe Comhpháirtíochta maidir le hIascaigh Inbhuanaithe idir an tAontas Eorpach, de pháirt, agus Rialtas na Graonlainne agus Rialtas na Danmhairge, den pháirt eile</w:t>
      </w:r>
      <w:r w:rsidRPr="001563D8">
        <w:rPr>
          <w:rStyle w:val="FootnoteReference"/>
          <w:noProof/>
        </w:rPr>
        <w:footnoteReference w:id="17"/>
      </w:r>
      <w:r w:rsidRPr="001563D8">
        <w:rPr>
          <w:noProof/>
        </w:rPr>
        <w:t>. Mar sin féin, ar bhonn na heaspa spéise atá ar thionscal iascaireachta an Aontais ina dhiaidh sin, thairg an tAontas aisghabháil na ndeiseanna iascaireachta sin don Ghraonlainn. Dá bhrí sin, ba cheart cuótaí an Aontais agus na mBallstát le haghaidh caibeallán in uiscí na Graonlainne i bhfolimistéir 2,</w:t>
      </w:r>
      <w:r w:rsidR="00D21B34" w:rsidRPr="001563D8">
        <w:rPr>
          <w:noProof/>
        </w:rPr>
        <w:t> </w:t>
      </w:r>
      <w:r w:rsidRPr="001563D8">
        <w:rPr>
          <w:noProof/>
        </w:rPr>
        <w:t>5,</w:t>
      </w:r>
      <w:r w:rsidR="00D21B34" w:rsidRPr="001563D8">
        <w:rPr>
          <w:noProof/>
        </w:rPr>
        <w:t> </w:t>
      </w:r>
      <w:r w:rsidRPr="001563D8">
        <w:rPr>
          <w:noProof/>
        </w:rPr>
        <w:t>12</w:t>
      </w:r>
      <w:r w:rsidR="00D21B34" w:rsidRPr="001563D8">
        <w:rPr>
          <w:noProof/>
        </w:rPr>
        <w:t> </w:t>
      </w:r>
      <w:r w:rsidRPr="001563D8">
        <w:rPr>
          <w:noProof/>
        </w:rPr>
        <w:t>agus</w:t>
      </w:r>
      <w:r w:rsidR="00D21B34" w:rsidRPr="001563D8">
        <w:rPr>
          <w:noProof/>
        </w:rPr>
        <w:t> </w:t>
      </w:r>
      <w:r w:rsidRPr="001563D8">
        <w:rPr>
          <w:noProof/>
        </w:rPr>
        <w:t xml:space="preserve">14 ICES le haghaidh na tréimhse ón 15 Deireadh Fómhair 2025 go dtí an 15 Aibreán 2026 a laghdú go nialas dá réir sin. </w:t>
      </w:r>
    </w:p>
    <w:p w:rsidR="008D10E1" w:rsidRPr="001563D8" w:rsidRDefault="007635A4" w:rsidP="007635A4">
      <w:pPr>
        <w:pStyle w:val="ManualConsidrant"/>
        <w:rPr>
          <w:rFonts w:eastAsia="Times New Roman"/>
          <w:noProof/>
          <w:color w:val="333333"/>
        </w:rPr>
      </w:pPr>
      <w:r>
        <w:rPr>
          <w:noProof/>
        </w:rPr>
        <w:t>(7)</w:t>
      </w:r>
      <w:r>
        <w:rPr>
          <w:noProof/>
        </w:rPr>
        <w:tab/>
      </w:r>
      <w:r w:rsidRPr="001563D8">
        <w:rPr>
          <w:noProof/>
          <w:color w:val="333333"/>
        </w:rPr>
        <w:t>I gcomhréir le hAirteagal 11 den Chomhaontú Comhpháirtíochta maidir le hIascaigh Inbhuanaithe idir an tAontas agus an Ghraonlainn</w:t>
      </w:r>
      <w:r w:rsidRPr="001563D8">
        <w:rPr>
          <w:rStyle w:val="FootnoteReference"/>
          <w:noProof/>
        </w:rPr>
        <w:footnoteReference w:id="18"/>
      </w:r>
      <w:r w:rsidRPr="001563D8">
        <w:rPr>
          <w:noProof/>
          <w:color w:val="333333"/>
        </w:rPr>
        <w:t>, agus i gcomhréir leis na coinníollacha a leagtar amach in Airteagal 6 agus i gCaibidil VI den Phrótacal a ghabhann leis an gComhaontú sin, chomhaontaigh an tAontas agus an Ghraonlainn iascach taiscéalaíoch le haghaidh trosc (</w:t>
      </w:r>
      <w:r w:rsidRPr="001563D8">
        <w:rPr>
          <w:i/>
          <w:iCs/>
          <w:noProof/>
          <w:color w:val="333333"/>
        </w:rPr>
        <w:t>Gadus morhua</w:t>
      </w:r>
      <w:r w:rsidRPr="001563D8">
        <w:rPr>
          <w:noProof/>
          <w:color w:val="333333"/>
        </w:rPr>
        <w:t>) a dhéanamh in uiscí na Graonlainne i bhfolimistéir 5 agus 14 ICES, soir ó thuaidh ó 42°I le haghaidh na tréimhse ón 12 Feabhra 2026 go dtí an 31 Nollaig 2026. Socraíodh deiseanna iascaireachta 3 000 tona le haghaidh an iascaigh thaiscéalaíoch sin, as ar cionroinneadh 900 tona ar an Aontas. Ba cheart an cuóta sin de chuid an Aontais a shocrú mar a comhaontaíodh leis an nGraonlainn é. Go dtí go dtiocfar ar chomhaontú idir na Ballstáit maidir leis an scála cionroinnte le haghaidh an stoic sin, níor cheart cuóta an Aontais a chionroinnt go sealadach, rud a ligfeadh do na Ballstáit uile iascaireacht a dhéanamh de réir chuóta an Aontais go dtí go mbainfear leas iomlán as.</w:t>
      </w:r>
    </w:p>
    <w:p w:rsidR="00EE5F6D" w:rsidRPr="001563D8" w:rsidRDefault="002978F5" w:rsidP="00887E21">
      <w:pPr>
        <w:pStyle w:val="ManualConsidrant"/>
        <w:rPr>
          <w:rFonts w:eastAsia="Times New Roman"/>
          <w:noProof/>
          <w:color w:val="333333"/>
        </w:rPr>
      </w:pPr>
      <w:r>
        <w:rPr>
          <w:noProof/>
        </w:rPr>
        <w:t>(8)</w:t>
      </w:r>
      <w:r>
        <w:rPr>
          <w:noProof/>
        </w:rPr>
        <w:tab/>
      </w:r>
      <w:r w:rsidRPr="001563D8">
        <w:rPr>
          <w:noProof/>
        </w:rPr>
        <w:t>[</w:t>
      </w:r>
      <w:r w:rsidRPr="001563D8">
        <w:rPr>
          <w:i/>
          <w:iCs/>
          <w:noProof/>
        </w:rPr>
        <w:t>Déanfar an aithris agus na forálacha ábhartha a thabhairt cothrom le dáta tar éis an chinnidh ó NAFO</w:t>
      </w:r>
      <w:r w:rsidRPr="001563D8">
        <w:rPr>
          <w:noProof/>
        </w:rPr>
        <w:t xml:space="preserve">.] [An 18 Meitheamh 2025 ghlac Ceanada teorainn ghabhála le </w:t>
      </w:r>
      <w:r w:rsidRPr="001563D8">
        <w:rPr>
          <w:noProof/>
        </w:rPr>
        <w:lastRenderedPageBreak/>
        <w:t>haghaidh a shoithí a dhéanann iascaireacht ar throisc i ranna 2J, 3K agus 3L d</w:t>
      </w:r>
      <w:r w:rsidR="00672FA8" w:rsidRPr="001563D8">
        <w:rPr>
          <w:noProof/>
        </w:rPr>
        <w:t>’</w:t>
      </w:r>
      <w:r w:rsidRPr="001563D8">
        <w:rPr>
          <w:noProof/>
        </w:rPr>
        <w:t>Eagraíocht Iascaigh an Atlantaigh Thiar Thuaidh (NAFO) le haghaidh na tréimhse ón 1 Iúil 2025 go dtí an 30</w:t>
      </w:r>
      <w:r w:rsidR="005447C7" w:rsidRPr="001563D8">
        <w:rPr>
          <w:noProof/>
        </w:rPr>
        <w:t xml:space="preserve"> </w:t>
      </w:r>
      <w:r w:rsidRPr="001563D8">
        <w:rPr>
          <w:noProof/>
        </w:rPr>
        <w:t>Meitheamh 2026. Ina dhiaidh sin, an 23</w:t>
      </w:r>
      <w:r w:rsidR="005447C7" w:rsidRPr="001563D8">
        <w:rPr>
          <w:noProof/>
        </w:rPr>
        <w:t xml:space="preserve"> </w:t>
      </w:r>
      <w:r w:rsidRPr="001563D8">
        <w:rPr>
          <w:noProof/>
        </w:rPr>
        <w:t>Meitheamh 2025, ghlac NAFO TAC le haghaidh an stoic sin agus na tréimhse sin, agus cionroinnt ar Pháirtithe Conarthacha eile de chuid NAFO, a chomhfhreagraíonn do 5 % den TAC, lena</w:t>
      </w:r>
      <w:r w:rsidR="00672FA8" w:rsidRPr="001563D8">
        <w:rPr>
          <w:noProof/>
        </w:rPr>
        <w:t xml:space="preserve"> n</w:t>
      </w:r>
      <w:r w:rsidR="00672FA8" w:rsidRPr="001563D8">
        <w:rPr>
          <w:noProof/>
        </w:rPr>
        <w:noBreakHyphen/>
      </w:r>
      <w:r w:rsidRPr="001563D8">
        <w:rPr>
          <w:noProof/>
        </w:rPr>
        <w:t>áirítear cuóta de chuid an Aontais, atá le hiascach i Limistéar Rialála NAFO. Ina theannta sin, choinnigh NAFO na bearta téarnaimh le haghaidh an stoic sin ar bun le haghaidh na tréimhse sin. Ba cheart na bearta sin a chur chun feidhme i ndlí an Aontais.]</w:t>
      </w:r>
    </w:p>
    <w:p w:rsidR="001C5474" w:rsidRPr="001563D8" w:rsidRDefault="008E3FF3" w:rsidP="00EE5F6D">
      <w:pPr>
        <w:pStyle w:val="ManualConsidrant"/>
        <w:rPr>
          <w:noProof/>
        </w:rPr>
      </w:pPr>
      <w:r>
        <w:rPr>
          <w:noProof/>
        </w:rPr>
        <w:t>(9)</w:t>
      </w:r>
      <w:r>
        <w:rPr>
          <w:noProof/>
        </w:rPr>
        <w:tab/>
      </w:r>
      <w:r w:rsidRPr="001563D8">
        <w:rPr>
          <w:i/>
          <w:noProof/>
        </w:rPr>
        <w:t>[Déanfar an aithris a thabhairt cothrom le dáta tar éis theacht i bhfeidhm an rialacháin tharmligthe dá dtagraítear inti.</w:t>
      </w:r>
      <w:r w:rsidRPr="001563D8">
        <w:rPr>
          <w:noProof/>
        </w:rPr>
        <w:t>]</w:t>
      </w:r>
      <w:r w:rsidRPr="001563D8">
        <w:rPr>
          <w:i/>
          <w:noProof/>
        </w:rPr>
        <w:t xml:space="preserve"> </w:t>
      </w:r>
      <w:r w:rsidRPr="001563D8">
        <w:rPr>
          <w:noProof/>
        </w:rPr>
        <w:t>Tar éis ghlacadh Mholadh 25-04 ó ICCAT lena mbunaítear plean bainistíochta ilbhliantúil um an tuinnín gorm san Atlantach Thoir agus sa Mheánmhuir</w:t>
      </w:r>
      <w:r w:rsidRPr="001563D8">
        <w:rPr>
          <w:rStyle w:val="FootnoteReference"/>
          <w:noProof/>
        </w:rPr>
        <w:footnoteReference w:id="19"/>
      </w:r>
      <w:r w:rsidRPr="001563D8">
        <w:rPr>
          <w:noProof/>
        </w:rPr>
        <w:t xml:space="preserve"> ag an 29ú cruinniú bliantúil den Choimisiún Idirnáisiúnta um Thuinníní Atlantacha a Chaomhnú (ICCAT) i mí na Samhna 2025, glacadh Rialachán Tarmligthe ón gCoimisiún an 4 Márta 2026 de bhun Airteagal 66(1)(a) de Rialachán (AE) 2023/2053</w:t>
      </w:r>
      <w:r w:rsidRPr="001563D8">
        <w:rPr>
          <w:rStyle w:val="FootnoteReference"/>
          <w:noProof/>
        </w:rPr>
        <w:footnoteReference w:id="20"/>
      </w:r>
      <w:r w:rsidRPr="001563D8">
        <w:rPr>
          <w:noProof/>
        </w:rPr>
        <w:t xml:space="preserve"> ó Pharlaimint na hEorpa agus ón gComhairle, lena leasaítear Airteagal 8(2) de d</w:t>
      </w:r>
      <w:r w:rsidR="00672FA8" w:rsidRPr="001563D8">
        <w:rPr>
          <w:noProof/>
        </w:rPr>
        <w:t>’</w:t>
      </w:r>
      <w:r w:rsidRPr="001563D8">
        <w:rPr>
          <w:noProof/>
        </w:rPr>
        <w:t>fhonn an moladh sin a ionchorprú i ndlí an Aontais. Meastar go dtiocfaidh an rialachán tarmligthe sin i bhfeidhm an 14 Bealtaine 2026. Mar thoradh air sin, féadfaidh na Ballstáit a iarraidh anois 20 % ar a mhéad dá gcuóta bliantúil le haghaidh tuinníní gorma i limistéar Choinbhinsiún ICCAT lastoir de 45°I a aistriú ón mbliain roimhe sin go bliain ar leith. D</w:t>
      </w:r>
      <w:r w:rsidR="00672FA8" w:rsidRPr="001563D8">
        <w:rPr>
          <w:noProof/>
        </w:rPr>
        <w:t>’</w:t>
      </w:r>
      <w:r w:rsidRPr="001563D8">
        <w:rPr>
          <w:noProof/>
        </w:rPr>
        <w:t>iarr an Ghréig, an Spáinn, an Fhrainc, an Chróit, an Iodáil, an Chipir, Málta agus an Phortaingéil aistrithe den sórt sin ó 2025 le haghaidh 2026. Ar bhonn na</w:t>
      </w:r>
      <w:r w:rsidR="00672FA8" w:rsidRPr="001563D8">
        <w:rPr>
          <w:noProof/>
        </w:rPr>
        <w:t xml:space="preserve"> n</w:t>
      </w:r>
      <w:r w:rsidR="00672FA8" w:rsidRPr="001563D8">
        <w:rPr>
          <w:noProof/>
        </w:rPr>
        <w:noBreakHyphen/>
      </w:r>
      <w:r w:rsidRPr="001563D8">
        <w:rPr>
          <w:noProof/>
        </w:rPr>
        <w:t>iarrataí sin, chuir an Coimisiún plean bliantúil athbhreithnithe de chuid an Aontais faoi bhráid Rúnaíocht CICTA, de bhun Airteagal 11(5) de Rialachán (AE) 2023/2053. Dá bhrí sin, ba cheart cuótaí na mBallstát sin le haghaidh tuinníní gorma i limistéar Choinbhinsiún CICTA lastoir de 45°I le haghaidh 2026 a leasú dá réir sin.</w:t>
      </w:r>
    </w:p>
    <w:p w:rsidR="001C5474" w:rsidRPr="001563D8" w:rsidRDefault="0013EA6F" w:rsidP="000A732B">
      <w:pPr>
        <w:pStyle w:val="ManualConsidrant"/>
        <w:rPr>
          <w:noProof/>
        </w:rPr>
      </w:pPr>
      <w:r>
        <w:rPr>
          <w:noProof/>
        </w:rPr>
        <w:t>(10)</w:t>
      </w:r>
      <w:r>
        <w:rPr>
          <w:noProof/>
        </w:rPr>
        <w:tab/>
      </w:r>
      <w:r w:rsidRPr="001563D8">
        <w:rPr>
          <w:noProof/>
        </w:rPr>
        <w:t>Ag an gcruinniú bliantúil a</w:t>
      </w:r>
      <w:r w:rsidR="001563D8" w:rsidRPr="001563D8">
        <w:rPr>
          <w:noProof/>
        </w:rPr>
        <w:t xml:space="preserve"> </w:t>
      </w:r>
      <w:r w:rsidRPr="001563D8">
        <w:rPr>
          <w:noProof/>
        </w:rPr>
        <w:t>bhí aige i mí Aibreáin 2026, bhunaigh Coimisiún Iascaigh an Aigéin Chiúin Thuaidh (NPFC) teorainneacha gabhála le haghaidh ronnaigh sheapánacha (</w:t>
      </w:r>
      <w:r w:rsidRPr="001563D8">
        <w:rPr>
          <w:i/>
          <w:iCs/>
          <w:noProof/>
        </w:rPr>
        <w:t>Scomber japonicus</w:t>
      </w:r>
      <w:r w:rsidRPr="001563D8">
        <w:rPr>
          <w:noProof/>
        </w:rPr>
        <w:t>) agus ronnaigh ghorma (</w:t>
      </w:r>
      <w:r w:rsidRPr="001563D8">
        <w:rPr>
          <w:i/>
          <w:noProof/>
        </w:rPr>
        <w:t>Scomber australasicus</w:t>
      </w:r>
      <w:r w:rsidRPr="001563D8">
        <w:rPr>
          <w:noProof/>
        </w:rPr>
        <w:t>) a bheidh ar fáil do Pháirtithe Conarthacha uile NPFC le haghaidh trálaer agus soithí peas-saighne faoi seach le haghaidh na tréimhse ón 1 Meitheamh 2026 go dtí an 31</w:t>
      </w:r>
      <w:r w:rsidR="001563D8" w:rsidRPr="001563D8">
        <w:rPr>
          <w:noProof/>
        </w:rPr>
        <w:t> </w:t>
      </w:r>
      <w:r w:rsidRPr="001563D8">
        <w:rPr>
          <w:noProof/>
        </w:rPr>
        <w:t>Nollaig</w:t>
      </w:r>
      <w:r w:rsidR="001563D8" w:rsidRPr="001563D8">
        <w:rPr>
          <w:noProof/>
        </w:rPr>
        <w:t> </w:t>
      </w:r>
      <w:r w:rsidRPr="001563D8">
        <w:rPr>
          <w:noProof/>
        </w:rPr>
        <w:t>2026. Ina theannta sin, bhunaigh NPFC méid breise de na stoic sin don Aontas le haghaidh na tréimhse céanna sin. Bhunaigh sé teorainneacha iarrachta gaolmhara freisin. Thairis sin, bhunaigh NPFC bearta atá nasctha go feidhmiúil leis na teorainneacha gabhála sin agus leis an méid breise sin, agus gan na bearta sin: (i) ní fhéadfaí na teorainneacha gabhála sin a bhunú le haghaidh Pháirtithe Conarthacha uile NPFC; ná (ii) níor mhór na deiseanna iascaireachta le haghaidh ronnaigh sheapánacha agus ronnaigh ghorma i limistéar Choinbhinsiún NPFC a laghdú chun na speicis nach spriocspeicis iad a chosaint. Ba cheart na deiseanna iascaireachta sin agus na bearta sin atá nasctha go feidhmiúil leo a chur chun feidhme i</w:t>
      </w:r>
      <w:r w:rsidR="001563D8" w:rsidRPr="001563D8">
        <w:rPr>
          <w:noProof/>
        </w:rPr>
        <w:t xml:space="preserve"> </w:t>
      </w:r>
      <w:r w:rsidRPr="001563D8">
        <w:rPr>
          <w:noProof/>
        </w:rPr>
        <w:t>ndlí an Aontais.</w:t>
      </w:r>
    </w:p>
    <w:p w:rsidR="00312070" w:rsidRPr="001563D8" w:rsidRDefault="4630B188" w:rsidP="3B72C7DA">
      <w:pPr>
        <w:pStyle w:val="ManualConsidrant"/>
        <w:rPr>
          <w:noProof/>
        </w:rPr>
      </w:pPr>
      <w:r>
        <w:rPr>
          <w:noProof/>
        </w:rPr>
        <w:lastRenderedPageBreak/>
        <w:t>(11)</w:t>
      </w:r>
      <w:r>
        <w:rPr>
          <w:noProof/>
        </w:rPr>
        <w:tab/>
      </w:r>
      <w:r w:rsidRPr="001563D8">
        <w:rPr>
          <w:noProof/>
        </w:rPr>
        <w:t>Ba cheart, dá bhrí sin, Rialachán (AE) 2026/249 a leasú dá réir sin.</w:t>
      </w:r>
    </w:p>
    <w:p w:rsidR="00DB0825" w:rsidRPr="001563D8" w:rsidRDefault="34452F4E" w:rsidP="00341C79">
      <w:pPr>
        <w:pStyle w:val="ManualConsidrant"/>
        <w:rPr>
          <w:noProof/>
        </w:rPr>
      </w:pPr>
      <w:r>
        <w:rPr>
          <w:noProof/>
        </w:rPr>
        <w:t>(12)</w:t>
      </w:r>
      <w:r>
        <w:rPr>
          <w:noProof/>
        </w:rPr>
        <w:tab/>
      </w:r>
      <w:r w:rsidRPr="001563D8">
        <w:rPr>
          <w:noProof/>
        </w:rPr>
        <w:t>Chun na tréimhsí tuairiscithe le haghaidh na TACanna arna leasú leis an Rialachán seo a choinneáil ar bun, agus toisc go bhfuil feidhm ag cuid de na TACanna sin ón 1 Eanáir 2026, ba cheart feidhm chúlghabhálach a bheith ag na TACanna leasaithe ón dáta sin. Ní dhéanann an cur i bhfeidhm cúlghabhálach sin difear do phrionsabail na deimhneachta dlíthiúla ná na</w:t>
      </w:r>
      <w:r w:rsidR="00672FA8" w:rsidRPr="001563D8">
        <w:rPr>
          <w:noProof/>
        </w:rPr>
        <w:t xml:space="preserve"> n</w:t>
      </w:r>
      <w:r w:rsidR="00672FA8" w:rsidRPr="001563D8">
        <w:rPr>
          <w:noProof/>
        </w:rPr>
        <w:noBreakHyphen/>
      </w:r>
      <w:r w:rsidRPr="001563D8">
        <w:rPr>
          <w:noProof/>
        </w:rPr>
        <w:t xml:space="preserve">ionchas dlisteanach toisc go gcoinnítear na TACanna lena mbaineann ar bun nó go dtagann méadú orthu. </w:t>
      </w:r>
    </w:p>
    <w:p w:rsidR="00312070" w:rsidRPr="001563D8" w:rsidRDefault="72A480F7" w:rsidP="00887E21">
      <w:pPr>
        <w:pStyle w:val="ManualConsidrant"/>
        <w:rPr>
          <w:noProof/>
        </w:rPr>
      </w:pPr>
      <w:r>
        <w:rPr>
          <w:noProof/>
        </w:rPr>
        <w:t>(13)</w:t>
      </w:r>
      <w:r>
        <w:rPr>
          <w:noProof/>
        </w:rPr>
        <w:tab/>
      </w:r>
      <w:r w:rsidRPr="001563D8">
        <w:rPr>
          <w:noProof/>
        </w:rPr>
        <w:t xml:space="preserve">I bhfianaise na práinne a bhaineann le briseadh i ngníomhaíochtaí iascaireachta a sheachaint, ba cheart an Rialachán seo teacht i bhfeidhm lá a fhoilsithe in </w:t>
      </w:r>
      <w:r w:rsidRPr="001563D8">
        <w:rPr>
          <w:i/>
          <w:iCs/>
          <w:noProof/>
        </w:rPr>
        <w:t>Iris Oifigiúil an Aontais Eorpaigh</w:t>
      </w:r>
      <w:r w:rsidRPr="001563D8">
        <w:rPr>
          <w:noProof/>
        </w:rPr>
        <w:t>,</w:t>
      </w:r>
    </w:p>
    <w:p w:rsidR="00312070" w:rsidRPr="001563D8" w:rsidRDefault="1532F1E1" w:rsidP="00312070">
      <w:pPr>
        <w:pStyle w:val="Formuledadoption"/>
        <w:rPr>
          <w:noProof/>
        </w:rPr>
      </w:pPr>
      <w:r w:rsidRPr="001563D8">
        <w:rPr>
          <w:noProof/>
        </w:rPr>
        <w:t>TAR ÉIS AN RIALACHÁN SEO A GHLACADH:</w:t>
      </w:r>
    </w:p>
    <w:p w:rsidR="00312070" w:rsidRPr="001563D8" w:rsidRDefault="00312070" w:rsidP="00312070">
      <w:pPr>
        <w:pStyle w:val="Titrearticle"/>
        <w:rPr>
          <w:noProof/>
        </w:rPr>
      </w:pPr>
      <w:r w:rsidRPr="001563D8">
        <w:rPr>
          <w:noProof/>
        </w:rPr>
        <w:t xml:space="preserve">Airteagal 1 </w:t>
      </w:r>
      <w:r w:rsidRPr="001563D8">
        <w:rPr>
          <w:noProof/>
        </w:rPr>
        <w:br/>
      </w:r>
      <w:r w:rsidRPr="001563D8">
        <w:rPr>
          <w:b/>
          <w:i w:val="0"/>
          <w:noProof/>
        </w:rPr>
        <w:t>Leasú ar Rialachán (AE) 2026/249</w:t>
      </w:r>
    </w:p>
    <w:p w:rsidR="00312070" w:rsidRPr="001563D8" w:rsidRDefault="1532F1E1" w:rsidP="005A32B6">
      <w:pPr>
        <w:rPr>
          <w:noProof/>
        </w:rPr>
      </w:pPr>
      <w:r w:rsidRPr="001563D8">
        <w:rPr>
          <w:noProof/>
        </w:rPr>
        <w:t xml:space="preserve">Leasaítear Iarscríbhinn IA, Codanna A agus B, agus Iarscríbhinní IB, IC, ID agus IM a ghabhann le Rialachán (AE) 2026/249 i gcomhréir leis an Iarscríbhinn a ghabhann leis an Rialachán seo. </w:t>
      </w:r>
    </w:p>
    <w:p w:rsidR="00312070" w:rsidRPr="001563D8" w:rsidRDefault="1532F1E1" w:rsidP="3B72C7DA">
      <w:pPr>
        <w:pStyle w:val="Titrearticle"/>
        <w:rPr>
          <w:noProof/>
        </w:rPr>
      </w:pPr>
      <w:r w:rsidRPr="001563D8">
        <w:rPr>
          <w:noProof/>
        </w:rPr>
        <w:t xml:space="preserve">Airteagal 2 </w:t>
      </w:r>
      <w:r w:rsidRPr="001563D8">
        <w:rPr>
          <w:noProof/>
        </w:rPr>
        <w:br/>
      </w:r>
      <w:r w:rsidRPr="001563D8">
        <w:rPr>
          <w:b/>
          <w:i w:val="0"/>
          <w:noProof/>
        </w:rPr>
        <w:t>Teacht i bhfeidhm agus cur i bhfeidhm</w:t>
      </w:r>
    </w:p>
    <w:p w:rsidR="00312070" w:rsidRPr="001563D8" w:rsidRDefault="00312070" w:rsidP="00312070">
      <w:pPr>
        <w:rPr>
          <w:noProof/>
        </w:rPr>
      </w:pPr>
      <w:r w:rsidRPr="001563D8">
        <w:rPr>
          <w:noProof/>
        </w:rPr>
        <w:t xml:space="preserve">Tiocfaidh an Rialachán seo i bhfeidhm lá a fhoilsithe in </w:t>
      </w:r>
      <w:r w:rsidRPr="001563D8">
        <w:rPr>
          <w:i/>
          <w:iCs/>
          <w:noProof/>
        </w:rPr>
        <w:t>Iris Oifigiúil an Aontais Eorpaigh</w:t>
      </w:r>
      <w:r w:rsidRPr="001563D8">
        <w:rPr>
          <w:noProof/>
        </w:rPr>
        <w:t>.</w:t>
      </w:r>
    </w:p>
    <w:p w:rsidR="00312070" w:rsidRPr="001563D8" w:rsidRDefault="00312070" w:rsidP="00312070">
      <w:pPr>
        <w:rPr>
          <w:noProof/>
        </w:rPr>
      </w:pPr>
      <w:r w:rsidRPr="001563D8">
        <w:rPr>
          <w:noProof/>
        </w:rPr>
        <w:t xml:space="preserve">Beidh feidhm aige ón 1 Eanáir 2026. </w:t>
      </w:r>
    </w:p>
    <w:p w:rsidR="00312070" w:rsidRPr="001563D8" w:rsidRDefault="00312070" w:rsidP="00312070">
      <w:pPr>
        <w:pStyle w:val="Applicationdirecte"/>
        <w:rPr>
          <w:noProof/>
        </w:rPr>
      </w:pPr>
      <w:r w:rsidRPr="001563D8">
        <w:rPr>
          <w:noProof/>
        </w:rPr>
        <w:t>Beidh an Rialachán seo ina cheangal go huile agus go hiomlán agus beidh sé infheidhme go díreach i ngach Ballstát.</w:t>
      </w:r>
    </w:p>
    <w:p w:rsidR="00312070" w:rsidRPr="001563D8" w:rsidRDefault="00672FA8" w:rsidP="00C02342">
      <w:pPr>
        <w:pStyle w:val="Fait"/>
        <w:rPr>
          <w:noProof/>
        </w:rPr>
      </w:pPr>
      <w:r>
        <w:rPr>
          <w:noProof/>
        </w:rPr>
        <w:t>Arna dhéanamh sa Bhruiséil,</w:t>
      </w:r>
    </w:p>
    <w:p w:rsidR="00312070" w:rsidRPr="001563D8" w:rsidRDefault="00312070" w:rsidP="00C02342">
      <w:pPr>
        <w:pStyle w:val="Institutionquisigne"/>
        <w:rPr>
          <w:noProof/>
        </w:rPr>
      </w:pPr>
      <w:r w:rsidRPr="001563D8">
        <w:rPr>
          <w:noProof/>
        </w:rPr>
        <w:tab/>
        <w:t>Thar ceann na Comhairle</w:t>
      </w:r>
    </w:p>
    <w:p w:rsidR="00312070" w:rsidRPr="00672FA8" w:rsidRDefault="00312070" w:rsidP="003D5A38">
      <w:pPr>
        <w:pStyle w:val="Personnequisigne"/>
        <w:rPr>
          <w:noProof/>
        </w:rPr>
      </w:pPr>
      <w:r w:rsidRPr="001563D8">
        <w:rPr>
          <w:noProof/>
        </w:rPr>
        <w:tab/>
        <w:t>An tUachtarán</w:t>
      </w:r>
    </w:p>
    <w:sectPr w:rsidR="00312070" w:rsidRPr="00672FA8" w:rsidSect="00CD5301">
      <w:footnotePr>
        <w:numRestart w:val="eachSect"/>
      </w:footnotePr>
      <w:pgSz w:w="11907" w:h="16840" w:code="9"/>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4DB" w:rsidRDefault="009C44DB" w:rsidP="00382895">
      <w:pPr>
        <w:spacing w:before="0" w:after="0"/>
      </w:pPr>
      <w:r>
        <w:separator/>
      </w:r>
    </w:p>
  </w:endnote>
  <w:endnote w:type="continuationSeparator" w:id="0">
    <w:p w:rsidR="009C44DB" w:rsidRDefault="009C44DB" w:rsidP="00382895">
      <w:pPr>
        <w:spacing w:before="0" w:after="0"/>
      </w:pPr>
      <w:r>
        <w:continuationSeparator/>
      </w:r>
    </w:p>
  </w:endnote>
  <w:endnote w:type="continuationNotice" w:id="1">
    <w:p w:rsidR="009C44DB" w:rsidRDefault="009C44D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301" w:rsidRPr="00CD5301" w:rsidRDefault="00CD5301" w:rsidP="00CD5301">
    <w:pPr>
      <w:pStyle w:val="Footer"/>
      <w:rPr>
        <w:rFonts w:ascii="Arial" w:hAnsi="Arial" w:cs="Arial"/>
        <w:b/>
        <w:sz w:val="48"/>
      </w:rPr>
    </w:pPr>
    <w:r w:rsidRPr="00CD5301">
      <w:rPr>
        <w:rFonts w:ascii="Arial" w:hAnsi="Arial" w:cs="Arial"/>
        <w:b/>
        <w:sz w:val="48"/>
      </w:rPr>
      <w:t>GA</w:t>
    </w:r>
    <w:r w:rsidRPr="00CD5301">
      <w:rPr>
        <w:rFonts w:ascii="Arial" w:hAnsi="Arial" w:cs="Arial"/>
        <w:b/>
        <w:sz w:val="48"/>
      </w:rPr>
      <w:tab/>
    </w:r>
    <w:r w:rsidRPr="00CD5301">
      <w:rPr>
        <w:rFonts w:ascii="Arial" w:hAnsi="Arial" w:cs="Arial"/>
        <w:b/>
        <w:sz w:val="48"/>
      </w:rPr>
      <w:tab/>
    </w:r>
    <w:r w:rsidRPr="00CD5301">
      <w:tab/>
    </w:r>
    <w:r w:rsidRPr="00CD5301">
      <w:rPr>
        <w:rFonts w:ascii="Arial" w:hAnsi="Arial" w:cs="Arial"/>
        <w:b/>
        <w:sz w:val="48"/>
      </w:rPr>
      <w:t>GA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301" w:rsidRPr="00CD5301" w:rsidRDefault="00CD5301" w:rsidP="00CD5301">
    <w:pPr>
      <w:pStyle w:val="Footer"/>
      <w:rPr>
        <w:rFonts w:ascii="Arial" w:hAnsi="Arial" w:cs="Arial"/>
        <w:b/>
        <w:sz w:val="48"/>
      </w:rPr>
    </w:pPr>
    <w:r w:rsidRPr="00CD5301">
      <w:rPr>
        <w:rFonts w:ascii="Arial" w:hAnsi="Arial" w:cs="Arial"/>
        <w:b/>
        <w:sz w:val="48"/>
      </w:rPr>
      <w:t>GA</w:t>
    </w:r>
    <w:r w:rsidRPr="00CD5301">
      <w:rPr>
        <w:rFonts w:ascii="Arial" w:hAnsi="Arial" w:cs="Arial"/>
        <w:b/>
        <w:sz w:val="48"/>
      </w:rPr>
      <w:tab/>
    </w:r>
    <w:r w:rsidRPr="00CD5301">
      <w:rPr>
        <w:rFonts w:ascii="Arial" w:hAnsi="Arial" w:cs="Arial"/>
        <w:b/>
        <w:sz w:val="48"/>
      </w:rPr>
      <w:tab/>
    </w:r>
    <w:r w:rsidRPr="00CD5301">
      <w:tab/>
    </w:r>
    <w:r w:rsidRPr="00CD5301">
      <w:rPr>
        <w:rFonts w:ascii="Arial" w:hAnsi="Arial" w:cs="Arial"/>
        <w:b/>
        <w:sz w:val="48"/>
      </w:rPr>
      <w:t>GA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301" w:rsidRDefault="00CD530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301" w:rsidRPr="00CD5301" w:rsidRDefault="00CD5301" w:rsidP="00CD5301">
    <w:pPr>
      <w:pStyle w:val="Footer"/>
      <w:rPr>
        <w:rFonts w:ascii="Arial" w:hAnsi="Arial" w:cs="Arial"/>
        <w:b/>
        <w:sz w:val="48"/>
      </w:rPr>
    </w:pPr>
    <w:r w:rsidRPr="00CD5301">
      <w:rPr>
        <w:rFonts w:ascii="Arial" w:hAnsi="Arial" w:cs="Arial"/>
        <w:b/>
        <w:sz w:val="48"/>
      </w:rPr>
      <w:t>GA</w:t>
    </w:r>
    <w:r w:rsidRPr="00CD5301">
      <w:rPr>
        <w:rFonts w:ascii="Arial" w:hAnsi="Arial" w:cs="Arial"/>
        <w:b/>
        <w:sz w:val="48"/>
      </w:rPr>
      <w:tab/>
    </w:r>
    <w:r>
      <w:fldChar w:fldCharType="begin"/>
    </w:r>
    <w:r>
      <w:instrText xml:space="preserve"> PAGE  \* MERGEFORMAT </w:instrText>
    </w:r>
    <w:r>
      <w:fldChar w:fldCharType="separate"/>
    </w:r>
    <w:r w:rsidR="00C02342">
      <w:rPr>
        <w:noProof/>
      </w:rPr>
      <w:t>14</w:t>
    </w:r>
    <w:r>
      <w:fldChar w:fldCharType="end"/>
    </w:r>
    <w:r>
      <w:tab/>
    </w:r>
    <w:r w:rsidRPr="00CD5301">
      <w:tab/>
    </w:r>
    <w:r w:rsidRPr="00CD5301">
      <w:rPr>
        <w:rFonts w:ascii="Arial" w:hAnsi="Arial" w:cs="Arial"/>
        <w:b/>
        <w:sz w:val="48"/>
      </w:rPr>
      <w:t>GA</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301" w:rsidRDefault="00CD5301" w:rsidP="00CD53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4DB" w:rsidRDefault="009C44DB" w:rsidP="00382895">
      <w:pPr>
        <w:spacing w:before="0" w:after="0"/>
      </w:pPr>
      <w:r>
        <w:separator/>
      </w:r>
    </w:p>
  </w:footnote>
  <w:footnote w:type="continuationSeparator" w:id="0">
    <w:p w:rsidR="009C44DB" w:rsidRDefault="009C44DB" w:rsidP="00382895">
      <w:pPr>
        <w:spacing w:before="0" w:after="0"/>
      </w:pPr>
      <w:r>
        <w:continuationSeparator/>
      </w:r>
    </w:p>
  </w:footnote>
  <w:footnote w:type="continuationNotice" w:id="1">
    <w:p w:rsidR="009C44DB" w:rsidRDefault="009C44DB">
      <w:pPr>
        <w:spacing w:before="0" w:after="0"/>
      </w:pPr>
    </w:p>
  </w:footnote>
  <w:footnote w:id="2">
    <w:p w:rsidR="004551EC" w:rsidRPr="00A94AF2" w:rsidRDefault="004551EC" w:rsidP="004551EC">
      <w:pPr>
        <w:pStyle w:val="FootnoteText"/>
      </w:pPr>
      <w:r>
        <w:rPr>
          <w:rStyle w:val="FootnoteReference"/>
        </w:rPr>
        <w:footnoteRef/>
      </w:r>
      <w:r>
        <w:tab/>
        <w:t>Rialachán (AE)</w:t>
      </w:r>
      <w:r w:rsidR="00681CCE">
        <w:t xml:space="preserve"> </w:t>
      </w:r>
      <w:r w:rsidRPr="001563D8">
        <w:t>2026</w:t>
      </w:r>
      <w:r>
        <w:t>/</w:t>
      </w:r>
      <w:r w:rsidRPr="001563D8">
        <w:t>249</w:t>
      </w:r>
      <w:r>
        <w:t xml:space="preserve"> ón gComhairle an </w:t>
      </w:r>
      <w:r w:rsidRPr="001563D8">
        <w:t>26</w:t>
      </w:r>
      <w:r w:rsidR="00681CCE">
        <w:t xml:space="preserve"> </w:t>
      </w:r>
      <w:r>
        <w:t xml:space="preserve">Eanáir </w:t>
      </w:r>
      <w:r w:rsidRPr="001563D8">
        <w:t>2026</w:t>
      </w:r>
      <w:r>
        <w:t xml:space="preserve"> lena socraítear le haghaidh </w:t>
      </w:r>
      <w:r w:rsidRPr="001563D8">
        <w:t>2026</w:t>
      </w:r>
      <w:r>
        <w:t>,</w:t>
      </w:r>
      <w:r w:rsidR="00681CCE">
        <w:t xml:space="preserve"> </w:t>
      </w:r>
      <w:r w:rsidRPr="001563D8">
        <w:t>2027</w:t>
      </w:r>
      <w:r>
        <w:t xml:space="preserve"> agus </w:t>
      </w:r>
      <w:r w:rsidRPr="001563D8">
        <w:t>2028</w:t>
      </w:r>
      <w:r>
        <w:t xml:space="preserve"> na deiseanna iascaireachta le haghaidh stoic éisc áirithe, is</w:t>
      </w:r>
      <w:r w:rsidR="00681CCE">
        <w:t xml:space="preserve"> </w:t>
      </w:r>
      <w:r>
        <w:t>infheidhme in</w:t>
      </w:r>
      <w:r w:rsidR="00681CCE">
        <w:t xml:space="preserve"> </w:t>
      </w:r>
      <w:r>
        <w:t>uiscí an</w:t>
      </w:r>
      <w:r w:rsidR="00681CCE">
        <w:t xml:space="preserve"> </w:t>
      </w:r>
      <w:r>
        <w:t>Aontais agus,</w:t>
      </w:r>
      <w:r w:rsidR="00681CCE">
        <w:t xml:space="preserve"> </w:t>
      </w:r>
      <w:r>
        <w:t>i</w:t>
      </w:r>
      <w:r w:rsidR="00681CCE">
        <w:t xml:space="preserve"> </w:t>
      </w:r>
      <w:r>
        <w:t>gcás soithí iascaireachta de chuid an Aontais, in</w:t>
      </w:r>
      <w:r w:rsidR="00681CCE">
        <w:t xml:space="preserve"> </w:t>
      </w:r>
      <w:r>
        <w:t>uiscí áirithe nach uiscí de</w:t>
      </w:r>
      <w:r w:rsidR="00681CCE">
        <w:t xml:space="preserve"> </w:t>
      </w:r>
      <w:r>
        <w:t>chuid an</w:t>
      </w:r>
      <w:r w:rsidR="00681CCE">
        <w:t xml:space="preserve"> </w:t>
      </w:r>
      <w:r>
        <w:t xml:space="preserve">Aontais iad, agus lena leasaítear Rialachán (AE) </w:t>
      </w:r>
      <w:r w:rsidRPr="001563D8">
        <w:t>2025</w:t>
      </w:r>
      <w:r>
        <w:t>/</w:t>
      </w:r>
      <w:r w:rsidRPr="001563D8">
        <w:t>202</w:t>
      </w:r>
      <w:r>
        <w:t xml:space="preserve"> (IO L, </w:t>
      </w:r>
      <w:r w:rsidRPr="001563D8">
        <w:t>2026</w:t>
      </w:r>
      <w:r>
        <w:t>/</w:t>
      </w:r>
      <w:r w:rsidRPr="001563D8">
        <w:t>249</w:t>
      </w:r>
      <w:r>
        <w:t xml:space="preserve">, </w:t>
      </w:r>
      <w:r w:rsidRPr="001563D8">
        <w:t>30</w:t>
      </w:r>
      <w:r>
        <w:t>.</w:t>
      </w:r>
      <w:r w:rsidRPr="001563D8">
        <w:t>1</w:t>
      </w:r>
      <w:r>
        <w:t>.</w:t>
      </w:r>
      <w:r w:rsidRPr="001563D8">
        <w:t>2026</w:t>
      </w:r>
      <w:r>
        <w:t xml:space="preserve">, ELI: </w:t>
      </w:r>
      <w:hyperlink r:id="rId1" w:history="1">
        <w:r>
          <w:rPr>
            <w:rStyle w:val="Hyperlink"/>
          </w:rPr>
          <w:t>http://data.europa.eu/eli/reg/</w:t>
        </w:r>
        <w:r w:rsidRPr="001563D8">
          <w:rPr>
            <w:rStyle w:val="Hyperlink"/>
          </w:rPr>
          <w:t>2026</w:t>
        </w:r>
        <w:r>
          <w:rPr>
            <w:rStyle w:val="Hyperlink"/>
          </w:rPr>
          <w:t>/</w:t>
        </w:r>
        <w:r w:rsidRPr="001563D8">
          <w:rPr>
            <w:rStyle w:val="Hyperlink"/>
          </w:rPr>
          <w:t>249</w:t>
        </w:r>
        <w:r>
          <w:rPr>
            <w:rStyle w:val="Hyperlink"/>
          </w:rPr>
          <w:t>/oj</w:t>
        </w:r>
      </w:hyperlink>
      <w:r>
        <w:t>).</w:t>
      </w:r>
    </w:p>
  </w:footnote>
  <w:footnote w:id="3">
    <w:p w:rsidR="00F5035E" w:rsidRPr="00F5035E" w:rsidRDefault="00F5035E" w:rsidP="00F5035E">
      <w:pPr>
        <w:pStyle w:val="FootnoteText"/>
      </w:pPr>
      <w:r>
        <w:rPr>
          <w:rStyle w:val="FootnoteReference"/>
        </w:rPr>
        <w:footnoteRef/>
      </w:r>
      <w:r>
        <w:tab/>
        <w:t>Rialachán (AE)</w:t>
      </w:r>
      <w:r w:rsidR="00681CCE">
        <w:t xml:space="preserve"> </w:t>
      </w:r>
      <w:r w:rsidRPr="001563D8">
        <w:t>2026</w:t>
      </w:r>
      <w:r>
        <w:t>/</w:t>
      </w:r>
      <w:r w:rsidRPr="001563D8">
        <w:t>786</w:t>
      </w:r>
      <w:r>
        <w:t xml:space="preserve"> ón gComhairle an</w:t>
      </w:r>
      <w:r w:rsidR="00681CCE">
        <w:t xml:space="preserve"> </w:t>
      </w:r>
      <w:r w:rsidRPr="001563D8">
        <w:t>30</w:t>
      </w:r>
      <w:r>
        <w:t xml:space="preserve"> Márta </w:t>
      </w:r>
      <w:r w:rsidRPr="001563D8">
        <w:t>2026</w:t>
      </w:r>
      <w:r>
        <w:t xml:space="preserve"> lena leasaítear Rialachán (AE) </w:t>
      </w:r>
      <w:r w:rsidRPr="001563D8">
        <w:t>2026</w:t>
      </w:r>
      <w:r>
        <w:t>/</w:t>
      </w:r>
      <w:r w:rsidRPr="001563D8">
        <w:t>249</w:t>
      </w:r>
      <w:r>
        <w:t xml:space="preserve"> lena socraítear le haghaidh </w:t>
      </w:r>
      <w:r w:rsidRPr="001563D8">
        <w:t>2026</w:t>
      </w:r>
      <w:r>
        <w:t xml:space="preserve">, </w:t>
      </w:r>
      <w:r w:rsidRPr="001563D8">
        <w:t>2027</w:t>
      </w:r>
      <w:r>
        <w:t xml:space="preserve"> agus </w:t>
      </w:r>
      <w:r w:rsidRPr="001563D8">
        <w:t>2028</w:t>
      </w:r>
      <w:r>
        <w:t xml:space="preserve"> na deiseanna iascaireachta le haghaidh stoic éisc áirithe, is infheidhme in uiscí an Aontais agus, i gcás soithí iascaireachta de chuid an Aontais, in uiscí áirithe nach uiscí de chuid an Aontais iad (IO L, </w:t>
      </w:r>
      <w:r w:rsidRPr="001563D8">
        <w:t>2026</w:t>
      </w:r>
      <w:r>
        <w:t>/</w:t>
      </w:r>
      <w:r w:rsidRPr="001563D8">
        <w:t>786</w:t>
      </w:r>
      <w:r>
        <w:t>, </w:t>
      </w:r>
      <w:r w:rsidRPr="001563D8">
        <w:t>31</w:t>
      </w:r>
      <w:r>
        <w:t>.</w:t>
      </w:r>
      <w:r w:rsidRPr="001563D8">
        <w:t>3</w:t>
      </w:r>
      <w:r>
        <w:t>.</w:t>
      </w:r>
      <w:r w:rsidRPr="001563D8">
        <w:t>2026</w:t>
      </w:r>
      <w:r>
        <w:t xml:space="preserve">, ELI: </w:t>
      </w:r>
      <w:hyperlink r:id="rId2" w:history="1">
        <w:r>
          <w:rPr>
            <w:rStyle w:val="Hyperlink"/>
          </w:rPr>
          <w:t>http://data.europa.eu/eli/reg/</w:t>
        </w:r>
        <w:r w:rsidRPr="001563D8">
          <w:rPr>
            <w:rStyle w:val="Hyperlink"/>
          </w:rPr>
          <w:t>2026</w:t>
        </w:r>
        <w:r>
          <w:rPr>
            <w:rStyle w:val="Hyperlink"/>
          </w:rPr>
          <w:t>/</w:t>
        </w:r>
        <w:r w:rsidRPr="001563D8">
          <w:rPr>
            <w:rStyle w:val="Hyperlink"/>
          </w:rPr>
          <w:t>786</w:t>
        </w:r>
        <w:r>
          <w:rPr>
            <w:rStyle w:val="Hyperlink"/>
          </w:rPr>
          <w:t>/oj</w:t>
        </w:r>
      </w:hyperlink>
      <w:r>
        <w:t>).</w:t>
      </w:r>
    </w:p>
  </w:footnote>
  <w:footnote w:id="4">
    <w:p w:rsidR="008F51B1" w:rsidRPr="00BC1CC5" w:rsidRDefault="008F51B1" w:rsidP="008F51B1">
      <w:pPr>
        <w:pStyle w:val="FootnoteText"/>
      </w:pPr>
      <w:r>
        <w:rPr>
          <w:rStyle w:val="FootnoteReference"/>
        </w:rPr>
        <w:footnoteRef/>
      </w:r>
      <w:r>
        <w:tab/>
        <w:t>Rialachán (AE) Uimh. </w:t>
      </w:r>
      <w:r w:rsidRPr="001563D8">
        <w:t>1380</w:t>
      </w:r>
      <w:r>
        <w:t>/</w:t>
      </w:r>
      <w:r w:rsidRPr="001563D8">
        <w:t>2013</w:t>
      </w:r>
      <w:r>
        <w:t xml:space="preserve"> ó Pharlaimint na hEorpa agus ón gComhairle an </w:t>
      </w:r>
      <w:r w:rsidRPr="001563D8">
        <w:t>11</w:t>
      </w:r>
      <w:r>
        <w:t xml:space="preserve"> Nollaig </w:t>
      </w:r>
      <w:r w:rsidRPr="001563D8">
        <w:t>2013</w:t>
      </w:r>
      <w:r>
        <w:t xml:space="preserve"> maidir leis an gComhbheartas Iascaigh, lena leasaítear Rialachán (CE) Uimh. </w:t>
      </w:r>
      <w:r w:rsidRPr="001563D8">
        <w:t>1954</w:t>
      </w:r>
      <w:r>
        <w:t>/</w:t>
      </w:r>
      <w:r w:rsidRPr="001563D8">
        <w:t>2003</w:t>
      </w:r>
      <w:r>
        <w:t xml:space="preserve"> ón gComhairle agus Rialachán (CE) Uimh. </w:t>
      </w:r>
      <w:r w:rsidRPr="001563D8">
        <w:t>1224</w:t>
      </w:r>
      <w:r>
        <w:t>/</w:t>
      </w:r>
      <w:r w:rsidRPr="001563D8">
        <w:t>2009</w:t>
      </w:r>
      <w:r>
        <w:t xml:space="preserve"> ón gComhairle agus lena</w:t>
      </w:r>
      <w:r w:rsidR="00672FA8">
        <w:t xml:space="preserve"> n</w:t>
      </w:r>
      <w:r w:rsidR="00672FA8">
        <w:noBreakHyphen/>
      </w:r>
      <w:r>
        <w:t>aisghairtear Rialachán</w:t>
      </w:r>
      <w:r w:rsidR="00681CCE">
        <w:t> </w:t>
      </w:r>
      <w:r>
        <w:t>(CE)</w:t>
      </w:r>
      <w:r w:rsidR="00681CCE">
        <w:t> </w:t>
      </w:r>
      <w:r>
        <w:t>Uimh. </w:t>
      </w:r>
      <w:r w:rsidRPr="001563D8">
        <w:t>2371</w:t>
      </w:r>
      <w:r>
        <w:t>/</w:t>
      </w:r>
      <w:r w:rsidRPr="001563D8">
        <w:t>2002</w:t>
      </w:r>
      <w:r>
        <w:t xml:space="preserve"> ón gComhairle, Rialachán (CE) Uimh. </w:t>
      </w:r>
      <w:r w:rsidRPr="001563D8">
        <w:t>639</w:t>
      </w:r>
      <w:r>
        <w:t>/</w:t>
      </w:r>
      <w:r w:rsidRPr="001563D8">
        <w:t>2004</w:t>
      </w:r>
      <w:r>
        <w:t xml:space="preserve"> ón gComhairle agus Cinneadh</w:t>
      </w:r>
      <w:r w:rsidR="00681CCE">
        <w:t> </w:t>
      </w:r>
      <w:r w:rsidRPr="001563D8">
        <w:t>2004</w:t>
      </w:r>
      <w:r>
        <w:t>/</w:t>
      </w:r>
      <w:r w:rsidRPr="001563D8">
        <w:t>585</w:t>
      </w:r>
      <w:r>
        <w:t>/CE ón gComhairle (IO L </w:t>
      </w:r>
      <w:r w:rsidRPr="001563D8">
        <w:t>354</w:t>
      </w:r>
      <w:r>
        <w:t xml:space="preserve">, </w:t>
      </w:r>
      <w:r w:rsidRPr="001563D8">
        <w:t>28</w:t>
      </w:r>
      <w:r>
        <w:t>.</w:t>
      </w:r>
      <w:r w:rsidRPr="001563D8">
        <w:t>12</w:t>
      </w:r>
      <w:r>
        <w:t>.</w:t>
      </w:r>
      <w:r w:rsidRPr="001563D8">
        <w:t>2013</w:t>
      </w:r>
      <w:r>
        <w:t>, lch. </w:t>
      </w:r>
      <w:r w:rsidRPr="001563D8">
        <w:t>22</w:t>
      </w:r>
      <w:r>
        <w:t xml:space="preserve">, ELI: </w:t>
      </w:r>
      <w:hyperlink r:id="rId3" w:history="1">
        <w:r>
          <w:rPr>
            <w:rStyle w:val="Hyperlink"/>
          </w:rPr>
          <w:t>http://data.europa.eu/eli/reg/</w:t>
        </w:r>
        <w:r w:rsidRPr="001563D8">
          <w:rPr>
            <w:rStyle w:val="Hyperlink"/>
          </w:rPr>
          <w:t>2013</w:t>
        </w:r>
        <w:r>
          <w:rPr>
            <w:rStyle w:val="Hyperlink"/>
          </w:rPr>
          <w:t>/</w:t>
        </w:r>
        <w:r w:rsidRPr="001563D8">
          <w:rPr>
            <w:rStyle w:val="Hyperlink"/>
          </w:rPr>
          <w:t>1380</w:t>
        </w:r>
        <w:r>
          <w:rPr>
            <w:rStyle w:val="Hyperlink"/>
          </w:rPr>
          <w:t>/oj</w:t>
        </w:r>
      </w:hyperlink>
      <w:r>
        <w:t>).</w:t>
      </w:r>
    </w:p>
  </w:footnote>
  <w:footnote w:id="5">
    <w:p w:rsidR="003122F0" w:rsidRPr="00A94AF2" w:rsidRDefault="003122F0" w:rsidP="003122F0">
      <w:pPr>
        <w:pStyle w:val="FootnoteText"/>
      </w:pPr>
      <w:r>
        <w:rPr>
          <w:rStyle w:val="FootnoteReference"/>
        </w:rPr>
        <w:footnoteRef/>
      </w:r>
      <w:r>
        <w:tab/>
        <w:t>Treoir </w:t>
      </w:r>
      <w:r w:rsidRPr="001563D8">
        <w:t>2008</w:t>
      </w:r>
      <w:r>
        <w:t>/</w:t>
      </w:r>
      <w:r w:rsidRPr="001563D8">
        <w:t>56</w:t>
      </w:r>
      <w:r>
        <w:t xml:space="preserve">/CE ó Pharlaimint na hEorpa agus ón gComhairle an </w:t>
      </w:r>
      <w:r w:rsidRPr="001563D8">
        <w:t>17</w:t>
      </w:r>
      <w:r>
        <w:t xml:space="preserve"> Meitheamh </w:t>
      </w:r>
      <w:r w:rsidRPr="001563D8">
        <w:t>2008</w:t>
      </w:r>
      <w:r>
        <w:t xml:space="preserve"> lena mbunaítear creat do ghníomhaíocht chomhphobail i réimse an bheartais comhshaoil mhuirí (An Treoir Réime um Straitéis Mhuirí) (IO L </w:t>
      </w:r>
      <w:r w:rsidRPr="001563D8">
        <w:t>164</w:t>
      </w:r>
      <w:r>
        <w:t xml:space="preserve">, </w:t>
      </w:r>
      <w:r w:rsidRPr="001563D8">
        <w:t>25</w:t>
      </w:r>
      <w:r>
        <w:t>.</w:t>
      </w:r>
      <w:r w:rsidRPr="001563D8">
        <w:t>6</w:t>
      </w:r>
      <w:r>
        <w:t>.</w:t>
      </w:r>
      <w:r w:rsidRPr="001563D8">
        <w:t>2008</w:t>
      </w:r>
      <w:r>
        <w:t>, lch. </w:t>
      </w:r>
      <w:r w:rsidRPr="001563D8">
        <w:t>19</w:t>
      </w:r>
      <w:r>
        <w:t xml:space="preserve">, ELI: </w:t>
      </w:r>
      <w:hyperlink r:id="rId4" w:history="1">
        <w:r>
          <w:rPr>
            <w:rStyle w:val="Hyperlink"/>
          </w:rPr>
          <w:t>http://data.europa.eu/eli/dir/</w:t>
        </w:r>
        <w:r w:rsidRPr="001563D8">
          <w:rPr>
            <w:rStyle w:val="Hyperlink"/>
          </w:rPr>
          <w:t>2008</w:t>
        </w:r>
        <w:r>
          <w:rPr>
            <w:rStyle w:val="Hyperlink"/>
          </w:rPr>
          <w:t>/</w:t>
        </w:r>
        <w:r w:rsidRPr="001563D8">
          <w:rPr>
            <w:rStyle w:val="Hyperlink"/>
          </w:rPr>
          <w:t>56</w:t>
        </w:r>
        <w:r>
          <w:rPr>
            <w:rStyle w:val="Hyperlink"/>
          </w:rPr>
          <w:t>/oj</w:t>
        </w:r>
      </w:hyperlink>
      <w:r>
        <w:t>).</w:t>
      </w:r>
    </w:p>
  </w:footnote>
  <w:footnote w:id="6">
    <w:p w:rsidR="00CB7768" w:rsidRPr="00BC1CC5" w:rsidRDefault="00CB7768" w:rsidP="00CB7768">
      <w:pPr>
        <w:pStyle w:val="FootnoteText"/>
      </w:pPr>
      <w:r>
        <w:rPr>
          <w:rStyle w:val="FootnoteReference"/>
        </w:rPr>
        <w:footnoteRef/>
      </w:r>
      <w:r>
        <w:tab/>
        <w:t>Rialachán (AE)</w:t>
      </w:r>
      <w:r w:rsidR="007D6FAB">
        <w:t xml:space="preserve"> </w:t>
      </w:r>
      <w:r w:rsidRPr="001563D8">
        <w:t>2025</w:t>
      </w:r>
      <w:r>
        <w:t>/</w:t>
      </w:r>
      <w:r w:rsidRPr="001563D8">
        <w:t>1350</w:t>
      </w:r>
      <w:r>
        <w:t xml:space="preserve"> ón gComhairle an </w:t>
      </w:r>
      <w:r w:rsidRPr="001563D8">
        <w:t>8</w:t>
      </w:r>
      <w:r>
        <w:t xml:space="preserve"> Iúil </w:t>
      </w:r>
      <w:r w:rsidRPr="001563D8">
        <w:t>2025</w:t>
      </w:r>
      <w:r>
        <w:t xml:space="preserve"> lena leasaítear Rialachán (AE) </w:t>
      </w:r>
      <w:r w:rsidRPr="001563D8">
        <w:t>2025</w:t>
      </w:r>
      <w:r>
        <w:t>/</w:t>
      </w:r>
      <w:r w:rsidRPr="001563D8">
        <w:t>202</w:t>
      </w:r>
      <w:r>
        <w:t xml:space="preserve"> lena socraítear le haghaidh </w:t>
      </w:r>
      <w:r w:rsidRPr="001563D8">
        <w:t>2025</w:t>
      </w:r>
      <w:r>
        <w:t xml:space="preserve"> agus </w:t>
      </w:r>
      <w:r w:rsidRPr="001563D8">
        <w:t>2026</w:t>
      </w:r>
      <w:r>
        <w:t xml:space="preserve"> na deiseanna iascaireachta le haghaidh stoic éisc áirithe, is infheidhme in uiscí an Aontais agus, i gcás soithí iascaireachta de chuid an Aontais, in uiscí áirithe nach uiscí de chuid an Aontais iad (IO L, </w:t>
      </w:r>
      <w:r w:rsidRPr="001563D8">
        <w:t>2025</w:t>
      </w:r>
      <w:r>
        <w:t>/</w:t>
      </w:r>
      <w:r w:rsidRPr="001563D8">
        <w:t>1350</w:t>
      </w:r>
      <w:r>
        <w:t xml:space="preserve">, </w:t>
      </w:r>
      <w:r w:rsidRPr="001563D8">
        <w:t>10</w:t>
      </w:r>
      <w:r>
        <w:t>.</w:t>
      </w:r>
      <w:r w:rsidRPr="001563D8">
        <w:t>7</w:t>
      </w:r>
      <w:r>
        <w:t>.</w:t>
      </w:r>
      <w:r w:rsidRPr="001563D8">
        <w:t>2025</w:t>
      </w:r>
      <w:r>
        <w:t xml:space="preserve">, ELI: </w:t>
      </w:r>
      <w:hyperlink r:id="rId5" w:history="1">
        <w:r>
          <w:rPr>
            <w:rStyle w:val="Hyperlink"/>
          </w:rPr>
          <w:t>http://data.europa.eu/eli/reg/</w:t>
        </w:r>
        <w:r w:rsidRPr="001563D8">
          <w:rPr>
            <w:rStyle w:val="Hyperlink"/>
          </w:rPr>
          <w:t>2025</w:t>
        </w:r>
        <w:r>
          <w:rPr>
            <w:rStyle w:val="Hyperlink"/>
          </w:rPr>
          <w:t>/</w:t>
        </w:r>
        <w:r w:rsidRPr="001563D8">
          <w:rPr>
            <w:rStyle w:val="Hyperlink"/>
          </w:rPr>
          <w:t>1350</w:t>
        </w:r>
        <w:r>
          <w:rPr>
            <w:rStyle w:val="Hyperlink"/>
          </w:rPr>
          <w:t>/oj</w:t>
        </w:r>
      </w:hyperlink>
      <w:r>
        <w:t xml:space="preserve">). </w:t>
      </w:r>
    </w:p>
  </w:footnote>
  <w:footnote w:id="7">
    <w:p w:rsidR="00FA6E1A" w:rsidRPr="00B075EC" w:rsidRDefault="00FA6E1A" w:rsidP="00FA6E1A">
      <w:pPr>
        <w:pStyle w:val="FootnoteText"/>
      </w:pPr>
      <w:r>
        <w:rPr>
          <w:rStyle w:val="FootnoteReference"/>
        </w:rPr>
        <w:footnoteRef/>
      </w:r>
      <w:r>
        <w:tab/>
        <w:t>An Comhaontú Trádála agus Comhair idir an tAontas Eorpach agus an Comhphobal Eorpach do Fhuinneamh Adamhach, de pháirt, agus Ríocht Aontaithe na Breataine Móire agus Thuaisceart Éireann, den pháirt eile (IO L </w:t>
      </w:r>
      <w:r w:rsidRPr="001563D8">
        <w:t>149</w:t>
      </w:r>
      <w:r>
        <w:t xml:space="preserve">, </w:t>
      </w:r>
      <w:r w:rsidRPr="001563D8">
        <w:t>30</w:t>
      </w:r>
      <w:r>
        <w:t>.</w:t>
      </w:r>
      <w:r w:rsidRPr="001563D8">
        <w:t>4</w:t>
      </w:r>
      <w:r>
        <w:t>.</w:t>
      </w:r>
      <w:r w:rsidRPr="001563D8">
        <w:t>2021</w:t>
      </w:r>
      <w:r>
        <w:t>, lch. </w:t>
      </w:r>
      <w:r w:rsidRPr="001563D8">
        <w:t>10</w:t>
      </w:r>
      <w:r>
        <w:t xml:space="preserve">, ELI: </w:t>
      </w:r>
      <w:hyperlink r:id="rId6" w:history="1">
        <w:r>
          <w:rPr>
            <w:rStyle w:val="Hyperlink"/>
          </w:rPr>
          <w:t>http://data.europa.eu/eli/agree_internation/</w:t>
        </w:r>
        <w:r w:rsidRPr="001563D8">
          <w:rPr>
            <w:rStyle w:val="Hyperlink"/>
          </w:rPr>
          <w:t>2021</w:t>
        </w:r>
        <w:r>
          <w:rPr>
            <w:rStyle w:val="Hyperlink"/>
          </w:rPr>
          <w:t>/</w:t>
        </w:r>
        <w:r w:rsidRPr="001563D8">
          <w:rPr>
            <w:rStyle w:val="Hyperlink"/>
          </w:rPr>
          <w:t>689</w:t>
        </w:r>
        <w:r>
          <w:rPr>
            <w:rStyle w:val="Hyperlink"/>
          </w:rPr>
          <w:t>(</w:t>
        </w:r>
        <w:r w:rsidRPr="001563D8">
          <w:rPr>
            <w:rStyle w:val="Hyperlink"/>
          </w:rPr>
          <w:t>1</w:t>
        </w:r>
        <w:r>
          <w:rPr>
            <w:rStyle w:val="Hyperlink"/>
          </w:rPr>
          <w:t>)/oj</w:t>
        </w:r>
      </w:hyperlink>
      <w:r>
        <w:t>).</w:t>
      </w:r>
    </w:p>
  </w:footnote>
  <w:footnote w:id="8">
    <w:p w:rsidR="0063244B" w:rsidRPr="006D52FD" w:rsidRDefault="0063244B" w:rsidP="001D4B20">
      <w:pPr>
        <w:pStyle w:val="FootnoteText"/>
      </w:pPr>
      <w:r>
        <w:rPr>
          <w:rStyle w:val="FootnoteReference"/>
          <w:szCs w:val="24"/>
        </w:rPr>
        <w:footnoteRef/>
      </w:r>
      <w:r>
        <w:tab/>
        <w:t>Prótacal maidir le cur chun feidhme an Comhaontaithe Comhpháirtíochta maidir le hIascaigh Inbhuanaithe idir an</w:t>
      </w:r>
      <w:r w:rsidR="007D6FAB">
        <w:t xml:space="preserve"> </w:t>
      </w:r>
      <w:r>
        <w:t>tAontas</w:t>
      </w:r>
      <w:r w:rsidR="007D6FAB">
        <w:t xml:space="preserve"> </w:t>
      </w:r>
      <w:r>
        <w:t>Eorpach, de pháirt, agus Rialtas na Graonlainne agus Rialtas na Danmhairge, den pháirt eile (</w:t>
      </w:r>
      <w:r w:rsidRPr="001563D8">
        <w:t>2025</w:t>
      </w:r>
      <w:r>
        <w:t>–</w:t>
      </w:r>
      <w:r w:rsidRPr="001563D8">
        <w:t>2030</w:t>
      </w:r>
      <w:r>
        <w:t xml:space="preserve">) IO L, </w:t>
      </w:r>
      <w:r w:rsidRPr="001563D8">
        <w:t>2024</w:t>
      </w:r>
      <w:r>
        <w:t>/</w:t>
      </w:r>
      <w:r w:rsidRPr="001563D8">
        <w:t>3203</w:t>
      </w:r>
      <w:r>
        <w:t xml:space="preserve">, </w:t>
      </w:r>
      <w:r w:rsidRPr="001563D8">
        <w:t>30</w:t>
      </w:r>
      <w:r>
        <w:t>.</w:t>
      </w:r>
      <w:r w:rsidRPr="001563D8">
        <w:t>12</w:t>
      </w:r>
      <w:r>
        <w:t>.</w:t>
      </w:r>
      <w:r w:rsidRPr="001563D8">
        <w:t>2024</w:t>
      </w:r>
      <w:r>
        <w:t xml:space="preserve">, ELI: </w:t>
      </w:r>
      <w:hyperlink r:id="rId7" w:history="1">
        <w:r>
          <w:rPr>
            <w:rStyle w:val="Hyperlink"/>
          </w:rPr>
          <w:t>http://data.europa.eu/eli/prot/</w:t>
        </w:r>
        <w:r w:rsidRPr="001563D8">
          <w:rPr>
            <w:rStyle w:val="Hyperlink"/>
          </w:rPr>
          <w:t>2024</w:t>
        </w:r>
        <w:r>
          <w:rPr>
            <w:rStyle w:val="Hyperlink"/>
          </w:rPr>
          <w:t>/</w:t>
        </w:r>
        <w:r w:rsidRPr="001563D8">
          <w:rPr>
            <w:rStyle w:val="Hyperlink"/>
          </w:rPr>
          <w:t>3203</w:t>
        </w:r>
        <w:r>
          <w:rPr>
            <w:rStyle w:val="Hyperlink"/>
          </w:rPr>
          <w:t>/oj</w:t>
        </w:r>
      </w:hyperlink>
      <w:r>
        <w:t>).</w:t>
      </w:r>
    </w:p>
  </w:footnote>
  <w:footnote w:id="9">
    <w:p w:rsidR="00661BA5" w:rsidRPr="00EB2008" w:rsidRDefault="00661BA5" w:rsidP="00661BA5">
      <w:pPr>
        <w:pStyle w:val="FootnoteText"/>
      </w:pPr>
      <w:r>
        <w:rPr>
          <w:rStyle w:val="FootnoteReference"/>
        </w:rPr>
        <w:footnoteRef/>
      </w:r>
      <w:r>
        <w:tab/>
        <w:t>Rialachán (AE)</w:t>
      </w:r>
      <w:r w:rsidR="00E71C14">
        <w:t xml:space="preserve"> </w:t>
      </w:r>
      <w:r w:rsidRPr="001563D8">
        <w:t>2026</w:t>
      </w:r>
      <w:r>
        <w:t>/</w:t>
      </w:r>
      <w:r w:rsidRPr="001563D8">
        <w:t>786</w:t>
      </w:r>
      <w:r>
        <w:t xml:space="preserve"> ón gComhairle an</w:t>
      </w:r>
      <w:r w:rsidR="00E71C14">
        <w:t xml:space="preserve"> </w:t>
      </w:r>
      <w:r w:rsidRPr="001563D8">
        <w:t>30</w:t>
      </w:r>
      <w:r>
        <w:t xml:space="preserve"> Márta </w:t>
      </w:r>
      <w:r w:rsidRPr="001563D8">
        <w:t>2026</w:t>
      </w:r>
      <w:r>
        <w:t xml:space="preserve"> lena leasaítear Rialachán (AE) </w:t>
      </w:r>
      <w:r w:rsidRPr="001563D8">
        <w:t>2026</w:t>
      </w:r>
      <w:r>
        <w:t>/</w:t>
      </w:r>
      <w:r w:rsidRPr="001563D8">
        <w:t>249</w:t>
      </w:r>
      <w:r>
        <w:t xml:space="preserve"> lena socraítear le haghaidh </w:t>
      </w:r>
      <w:r w:rsidRPr="001563D8">
        <w:t>2026</w:t>
      </w:r>
      <w:r>
        <w:t xml:space="preserve">, </w:t>
      </w:r>
      <w:r w:rsidRPr="001563D8">
        <w:t>2027</w:t>
      </w:r>
      <w:r>
        <w:t xml:space="preserve"> agus </w:t>
      </w:r>
      <w:r w:rsidRPr="001563D8">
        <w:t>2028</w:t>
      </w:r>
      <w:r>
        <w:t xml:space="preserve"> na deiseanna iascaireachta le haghaidh stoic éisc áirithe, is infheidhme in uiscí an Aontais agus, i gcás soithí iascaireachta de chuid an Aontais, in uiscí áirithe nach uiscí de chuid an Aontais iad (IO L, </w:t>
      </w:r>
      <w:r w:rsidRPr="001563D8">
        <w:t>2026</w:t>
      </w:r>
      <w:r>
        <w:t>/</w:t>
      </w:r>
      <w:r w:rsidRPr="001563D8">
        <w:t>786</w:t>
      </w:r>
      <w:r>
        <w:t>, </w:t>
      </w:r>
      <w:r w:rsidRPr="001563D8">
        <w:t>31</w:t>
      </w:r>
      <w:r>
        <w:t>.</w:t>
      </w:r>
      <w:r w:rsidRPr="001563D8">
        <w:t>3</w:t>
      </w:r>
      <w:r>
        <w:t>.</w:t>
      </w:r>
      <w:r w:rsidRPr="001563D8">
        <w:t>2026</w:t>
      </w:r>
      <w:r>
        <w:t xml:space="preserve">, ELI: </w:t>
      </w:r>
      <w:hyperlink r:id="rId8" w:history="1">
        <w:r>
          <w:rPr>
            <w:rStyle w:val="Hyperlink"/>
          </w:rPr>
          <w:t>http://data.europa.eu/eli/reg/</w:t>
        </w:r>
        <w:r w:rsidRPr="001563D8">
          <w:rPr>
            <w:rStyle w:val="Hyperlink"/>
          </w:rPr>
          <w:t>2026</w:t>
        </w:r>
        <w:r>
          <w:rPr>
            <w:rStyle w:val="Hyperlink"/>
          </w:rPr>
          <w:t>/</w:t>
        </w:r>
        <w:r w:rsidRPr="001563D8">
          <w:rPr>
            <w:rStyle w:val="Hyperlink"/>
          </w:rPr>
          <w:t>786</w:t>
        </w:r>
        <w:r>
          <w:rPr>
            <w:rStyle w:val="Hyperlink"/>
          </w:rPr>
          <w:t>/oj</w:t>
        </w:r>
      </w:hyperlink>
      <w:r>
        <w:t>)</w:t>
      </w:r>
      <w:r w:rsidR="00E71C14">
        <w:t>.</w:t>
      </w:r>
    </w:p>
  </w:footnote>
  <w:footnote w:id="10">
    <w:p w:rsidR="00732A07" w:rsidRPr="006D52FD" w:rsidRDefault="00732A07" w:rsidP="007B4832">
      <w:pPr>
        <w:pStyle w:val="FootnoteText"/>
      </w:pPr>
      <w:r>
        <w:rPr>
          <w:rStyle w:val="FootnoteReference"/>
          <w:szCs w:val="24"/>
        </w:rPr>
        <w:footnoteRef/>
      </w:r>
      <w:r>
        <w:tab/>
        <w:t>Comhaontú Comhpháirtíochta maidir le hIascaigh Inbhuanaithe idir an tAontas Eorpach, de pháirt, agus Rialtas na Graonlainne agus Rialtas na Danmhairge, den pháirt eile (IO L </w:t>
      </w:r>
      <w:r w:rsidRPr="001563D8">
        <w:t>175</w:t>
      </w:r>
      <w:r>
        <w:t xml:space="preserve">, </w:t>
      </w:r>
      <w:r w:rsidRPr="001563D8">
        <w:t>18</w:t>
      </w:r>
      <w:r>
        <w:t>.</w:t>
      </w:r>
      <w:r w:rsidRPr="001563D8">
        <w:t>5</w:t>
      </w:r>
      <w:r>
        <w:t>.</w:t>
      </w:r>
      <w:r w:rsidRPr="001563D8">
        <w:t>2021</w:t>
      </w:r>
      <w:r>
        <w:t>, lch. </w:t>
      </w:r>
      <w:r w:rsidRPr="001563D8">
        <w:t>3</w:t>
      </w:r>
      <w:r>
        <w:t>, ELI: </w:t>
      </w:r>
      <w:hyperlink r:id="rId9" w:history="1">
        <w:r>
          <w:rPr>
            <w:rStyle w:val="Hyperlink"/>
          </w:rPr>
          <w:t>http://data.europa.eu/eli/agree_internation/</w:t>
        </w:r>
        <w:r w:rsidRPr="001563D8">
          <w:rPr>
            <w:rStyle w:val="Hyperlink"/>
          </w:rPr>
          <w:t>2021</w:t>
        </w:r>
        <w:r>
          <w:rPr>
            <w:rStyle w:val="Hyperlink"/>
          </w:rPr>
          <w:t>/</w:t>
        </w:r>
        <w:r w:rsidRPr="001563D8">
          <w:rPr>
            <w:rStyle w:val="Hyperlink"/>
          </w:rPr>
          <w:t>793</w:t>
        </w:r>
        <w:r>
          <w:rPr>
            <w:rStyle w:val="Hyperlink"/>
          </w:rPr>
          <w:t>/oj</w:t>
        </w:r>
      </w:hyperlink>
      <w:r>
        <w:t xml:space="preserve">). </w:t>
      </w:r>
    </w:p>
  </w:footnote>
  <w:footnote w:id="11">
    <w:p w:rsidR="00B60A40" w:rsidRPr="00EB2008" w:rsidRDefault="00B60A40" w:rsidP="00B60A40">
      <w:pPr>
        <w:pStyle w:val="FootnoteText"/>
      </w:pPr>
      <w:r>
        <w:rPr>
          <w:rStyle w:val="FootnoteReference"/>
        </w:rPr>
        <w:footnoteRef/>
      </w:r>
      <w:r>
        <w:tab/>
        <w:t xml:space="preserve">Moladh </w:t>
      </w:r>
      <w:r w:rsidRPr="001563D8">
        <w:t>25</w:t>
      </w:r>
      <w:r>
        <w:t>-</w:t>
      </w:r>
      <w:r w:rsidRPr="001563D8">
        <w:t>04</w:t>
      </w:r>
      <w:r>
        <w:t xml:space="preserve"> ó ICCAT lena</w:t>
      </w:r>
      <w:r w:rsidR="00672FA8">
        <w:t xml:space="preserve"> n</w:t>
      </w:r>
      <w:r w:rsidR="00672FA8">
        <w:noBreakHyphen/>
      </w:r>
      <w:r>
        <w:t xml:space="preserve">ionadaítear Moladh </w:t>
      </w:r>
      <w:r w:rsidRPr="001563D8">
        <w:t>24</w:t>
      </w:r>
      <w:r>
        <w:t>-</w:t>
      </w:r>
      <w:r w:rsidRPr="001563D8">
        <w:t>05</w:t>
      </w:r>
      <w:r>
        <w:t xml:space="preserve"> lena mbunaítear plean bainistíochta ilbhliantúil um an tuinnín gorm san Atlantach Thoir agus sa Mheánmhuir, </w:t>
      </w:r>
      <w:hyperlink r:id="rId10" w:history="1">
        <w:r>
          <w:rPr>
            <w:rStyle w:val="Hyperlink"/>
          </w:rPr>
          <w:t>https://www.iccat.int/Documents/Recs/compendiopdf-e/</w:t>
        </w:r>
        <w:r w:rsidRPr="001563D8">
          <w:rPr>
            <w:rStyle w:val="Hyperlink"/>
          </w:rPr>
          <w:t>2025</w:t>
        </w:r>
        <w:r>
          <w:rPr>
            <w:rStyle w:val="Hyperlink"/>
          </w:rPr>
          <w:t>-</w:t>
        </w:r>
        <w:r w:rsidRPr="001563D8">
          <w:rPr>
            <w:rStyle w:val="Hyperlink"/>
          </w:rPr>
          <w:t>04</w:t>
        </w:r>
        <w:r>
          <w:rPr>
            <w:rStyle w:val="Hyperlink"/>
          </w:rPr>
          <w:t>-e.pdf</w:t>
        </w:r>
      </w:hyperlink>
      <w:r>
        <w:t>.</w:t>
      </w:r>
    </w:p>
  </w:footnote>
  <w:footnote w:id="12">
    <w:p w:rsidR="007E0D9F" w:rsidRPr="00EB2008" w:rsidRDefault="007E0D9F" w:rsidP="007E0D9F">
      <w:pPr>
        <w:pStyle w:val="FootnoteText"/>
      </w:pPr>
      <w:r>
        <w:rPr>
          <w:rStyle w:val="FootnoteReference"/>
        </w:rPr>
        <w:footnoteRef/>
      </w:r>
      <w:r>
        <w:tab/>
        <w:t xml:space="preserve">Rialachán (AE) </w:t>
      </w:r>
      <w:r w:rsidRPr="001563D8">
        <w:t>2023</w:t>
      </w:r>
      <w:r>
        <w:t>/</w:t>
      </w:r>
      <w:r w:rsidRPr="001563D8">
        <w:t>2053</w:t>
      </w:r>
      <w:r>
        <w:t xml:space="preserve"> ó Pharlaimint na hEorpa agus ón gComhairle an </w:t>
      </w:r>
      <w:r w:rsidRPr="001563D8">
        <w:t>13</w:t>
      </w:r>
      <w:r>
        <w:t xml:space="preserve"> Meán Fómhair </w:t>
      </w:r>
      <w:r w:rsidRPr="001563D8">
        <w:t>2023</w:t>
      </w:r>
      <w:r>
        <w:t xml:space="preserve"> lena mbunaítear plean bainistíochta ilbhliantúil don tuinnín gorm san Atlantach thoir agus sa Mheánmhuir, lena leasaítear Rialacháin (CE) Uimh. </w:t>
      </w:r>
      <w:r w:rsidRPr="001563D8">
        <w:t>1936</w:t>
      </w:r>
      <w:r>
        <w:t>/</w:t>
      </w:r>
      <w:r w:rsidRPr="001563D8">
        <w:t>2001</w:t>
      </w:r>
      <w:r>
        <w:t xml:space="preserve">, (AE) </w:t>
      </w:r>
      <w:r w:rsidRPr="001563D8">
        <w:t>2017</w:t>
      </w:r>
      <w:r>
        <w:t>/</w:t>
      </w:r>
      <w:r w:rsidRPr="001563D8">
        <w:t>2107</w:t>
      </w:r>
      <w:r>
        <w:t xml:space="preserve"> agus (AE) </w:t>
      </w:r>
      <w:r w:rsidRPr="001563D8">
        <w:t>2019</w:t>
      </w:r>
      <w:r>
        <w:t>/</w:t>
      </w:r>
      <w:r w:rsidRPr="001563D8">
        <w:t>833</w:t>
      </w:r>
      <w:r>
        <w:t>, agus lena</w:t>
      </w:r>
      <w:r w:rsidR="00672FA8">
        <w:t xml:space="preserve"> n</w:t>
      </w:r>
      <w:r w:rsidR="00672FA8">
        <w:noBreakHyphen/>
      </w:r>
      <w:r>
        <w:t xml:space="preserve">aisghairtear Rialachán (AE) </w:t>
      </w:r>
      <w:r w:rsidRPr="001563D8">
        <w:t>2016</w:t>
      </w:r>
      <w:r>
        <w:t>/</w:t>
      </w:r>
      <w:r w:rsidRPr="001563D8">
        <w:t>1627</w:t>
      </w:r>
      <w:r>
        <w:t xml:space="preserve"> (IO L </w:t>
      </w:r>
      <w:r w:rsidRPr="001563D8">
        <w:t>238</w:t>
      </w:r>
      <w:r>
        <w:t xml:space="preserve">, </w:t>
      </w:r>
      <w:r w:rsidRPr="001563D8">
        <w:t>27</w:t>
      </w:r>
      <w:r>
        <w:t>.</w:t>
      </w:r>
      <w:r w:rsidRPr="001563D8">
        <w:t>9</w:t>
      </w:r>
      <w:r>
        <w:t>.</w:t>
      </w:r>
      <w:r w:rsidRPr="001563D8">
        <w:t>2023</w:t>
      </w:r>
      <w:r>
        <w:t>, lch. </w:t>
      </w:r>
      <w:r w:rsidRPr="001563D8">
        <w:t>1</w:t>
      </w:r>
      <w:r>
        <w:t xml:space="preserve">, ELI: </w:t>
      </w:r>
      <w:hyperlink r:id="rId11" w:history="1">
        <w:r>
          <w:rPr>
            <w:rStyle w:val="Hyperlink"/>
          </w:rPr>
          <w:t>http://data.europa.eu/eli/reg/</w:t>
        </w:r>
        <w:r w:rsidRPr="001563D8">
          <w:rPr>
            <w:rStyle w:val="Hyperlink"/>
          </w:rPr>
          <w:t>2023</w:t>
        </w:r>
        <w:r>
          <w:rPr>
            <w:rStyle w:val="Hyperlink"/>
          </w:rPr>
          <w:t>/</w:t>
        </w:r>
        <w:r w:rsidRPr="001563D8">
          <w:rPr>
            <w:rStyle w:val="Hyperlink"/>
          </w:rPr>
          <w:t>2053</w:t>
        </w:r>
        <w:r>
          <w:rPr>
            <w:rStyle w:val="Hyperlink"/>
          </w:rPr>
          <w:t>/oj</w:t>
        </w:r>
      </w:hyperlink>
      <w:r>
        <w:t xml:space="preserve">). </w:t>
      </w:r>
    </w:p>
  </w:footnote>
  <w:footnote w:id="13">
    <w:p w:rsidR="00D9052B" w:rsidRPr="00EB2008" w:rsidRDefault="00D9052B" w:rsidP="00D9052B">
      <w:pPr>
        <w:pStyle w:val="FootnoteText"/>
      </w:pPr>
      <w:r>
        <w:rPr>
          <w:rStyle w:val="FootnoteReference"/>
        </w:rPr>
        <w:footnoteRef/>
      </w:r>
      <w:r>
        <w:tab/>
        <w:t xml:space="preserve">Rialachán (AE) </w:t>
      </w:r>
      <w:r w:rsidRPr="001563D8">
        <w:t>2017</w:t>
      </w:r>
      <w:r>
        <w:t>/</w:t>
      </w:r>
      <w:r w:rsidRPr="001563D8">
        <w:t>2107</w:t>
      </w:r>
      <w:r>
        <w:t xml:space="preserve"> ó Pharlaimint na hEorpa agus ón gComhairle an </w:t>
      </w:r>
      <w:r w:rsidRPr="001563D8">
        <w:t>15</w:t>
      </w:r>
      <w:r>
        <w:t xml:space="preserve"> Samhain </w:t>
      </w:r>
      <w:r w:rsidRPr="001563D8">
        <w:t>2017</w:t>
      </w:r>
      <w:r>
        <w:t xml:space="preserve"> lena leagtar síos bearta bainistíochta, caomhnaithe agus rialaithe is infheidhme i limistéar an Choinbhinsiúin Idirnáisiúnta um Chaomhnú Thuinníní an Atlantaigh (ICCAT), agus lena leasaítear Rialachán (CE) Uimh. </w:t>
      </w:r>
      <w:r w:rsidRPr="001563D8">
        <w:t>1936</w:t>
      </w:r>
      <w:r>
        <w:t>/</w:t>
      </w:r>
      <w:r w:rsidRPr="001563D8">
        <w:t>2001</w:t>
      </w:r>
      <w:r>
        <w:t>, Rialachán (CE) Uimh. </w:t>
      </w:r>
      <w:r w:rsidRPr="001563D8">
        <w:t>1984</w:t>
      </w:r>
      <w:r>
        <w:t>/</w:t>
      </w:r>
      <w:r w:rsidRPr="001563D8">
        <w:t>2003</w:t>
      </w:r>
      <w:r>
        <w:t xml:space="preserve"> agus Rialachán (CE) Uimh. </w:t>
      </w:r>
      <w:r w:rsidRPr="001563D8">
        <w:t>520</w:t>
      </w:r>
      <w:r>
        <w:t>/</w:t>
      </w:r>
      <w:r w:rsidRPr="001563D8">
        <w:t>2007</w:t>
      </w:r>
      <w:r>
        <w:t xml:space="preserve"> ón gComhairle (IO L </w:t>
      </w:r>
      <w:r w:rsidRPr="001563D8">
        <w:t>315</w:t>
      </w:r>
      <w:r>
        <w:t xml:space="preserve">, </w:t>
      </w:r>
      <w:r w:rsidRPr="001563D8">
        <w:t>30</w:t>
      </w:r>
      <w:r>
        <w:t>.</w:t>
      </w:r>
      <w:r w:rsidRPr="001563D8">
        <w:t>11</w:t>
      </w:r>
      <w:r>
        <w:t>.</w:t>
      </w:r>
      <w:r w:rsidRPr="001563D8">
        <w:t>2017</w:t>
      </w:r>
      <w:r>
        <w:t>, lch. </w:t>
      </w:r>
      <w:r w:rsidRPr="001563D8">
        <w:t>1</w:t>
      </w:r>
      <w:r>
        <w:t xml:space="preserve">, ELI: </w:t>
      </w:r>
      <w:hyperlink r:id="rId12" w:history="1">
        <w:r>
          <w:rPr>
            <w:rStyle w:val="Hyperlink"/>
          </w:rPr>
          <w:t>http://data.europa.eu/eli/reg/</w:t>
        </w:r>
        <w:r w:rsidRPr="001563D8">
          <w:rPr>
            <w:rStyle w:val="Hyperlink"/>
          </w:rPr>
          <w:t>2017</w:t>
        </w:r>
        <w:r>
          <w:rPr>
            <w:rStyle w:val="Hyperlink"/>
          </w:rPr>
          <w:t>/</w:t>
        </w:r>
        <w:r w:rsidRPr="001563D8">
          <w:rPr>
            <w:rStyle w:val="Hyperlink"/>
          </w:rPr>
          <w:t>2107</w:t>
        </w:r>
        <w:r>
          <w:rPr>
            <w:rStyle w:val="Hyperlink"/>
          </w:rPr>
          <w:t>/oj</w:t>
        </w:r>
      </w:hyperlink>
      <w:r>
        <w:t xml:space="preserve">). </w:t>
      </w:r>
    </w:p>
  </w:footnote>
  <w:footnote w:id="14">
    <w:p w:rsidR="00312070" w:rsidRPr="00A94AF2" w:rsidRDefault="00312070" w:rsidP="00312070">
      <w:pPr>
        <w:pStyle w:val="FootnoteText"/>
      </w:pPr>
      <w:r>
        <w:rPr>
          <w:rStyle w:val="FootnoteReference"/>
        </w:rPr>
        <w:footnoteRef/>
      </w:r>
      <w:r>
        <w:tab/>
        <w:t>Rialachán (AE)</w:t>
      </w:r>
      <w:r w:rsidR="00D21B34">
        <w:t xml:space="preserve"> </w:t>
      </w:r>
      <w:r w:rsidRPr="001563D8">
        <w:t>2026</w:t>
      </w:r>
      <w:r>
        <w:t>/</w:t>
      </w:r>
      <w:r w:rsidRPr="001563D8">
        <w:t>249</w:t>
      </w:r>
      <w:r>
        <w:t xml:space="preserve"> ón gComhairle an </w:t>
      </w:r>
      <w:r w:rsidRPr="001563D8">
        <w:t>26</w:t>
      </w:r>
      <w:r w:rsidR="00D21B34">
        <w:t xml:space="preserve"> </w:t>
      </w:r>
      <w:r>
        <w:t xml:space="preserve">Eanáir </w:t>
      </w:r>
      <w:r w:rsidRPr="001563D8">
        <w:t>2026</w:t>
      </w:r>
      <w:r>
        <w:t xml:space="preserve"> lena socraítear le haghaidh </w:t>
      </w:r>
      <w:r w:rsidRPr="001563D8">
        <w:t>2026</w:t>
      </w:r>
      <w:r>
        <w:t>,</w:t>
      </w:r>
      <w:r w:rsidR="00D21B34">
        <w:t xml:space="preserve"> </w:t>
      </w:r>
      <w:r w:rsidRPr="001563D8">
        <w:t>2027</w:t>
      </w:r>
      <w:r>
        <w:t xml:space="preserve"> agus </w:t>
      </w:r>
      <w:r w:rsidRPr="001563D8">
        <w:t>2028</w:t>
      </w:r>
      <w:r>
        <w:t xml:space="preserve"> na deiseanna iascaireachta le haghaidh stoic éisc áirithe, is</w:t>
      </w:r>
      <w:r w:rsidR="00D21B34">
        <w:t xml:space="preserve"> </w:t>
      </w:r>
      <w:r>
        <w:t>infheidhme in</w:t>
      </w:r>
      <w:r w:rsidR="00D21B34">
        <w:t xml:space="preserve"> </w:t>
      </w:r>
      <w:r>
        <w:t>uiscí an</w:t>
      </w:r>
      <w:r w:rsidR="00D21B34">
        <w:t xml:space="preserve"> </w:t>
      </w:r>
      <w:r>
        <w:t>Aontais agus,</w:t>
      </w:r>
      <w:r w:rsidR="00D21B34">
        <w:t xml:space="preserve"> </w:t>
      </w:r>
      <w:r>
        <w:t>i</w:t>
      </w:r>
      <w:r w:rsidR="00D21B34">
        <w:t xml:space="preserve"> </w:t>
      </w:r>
      <w:r>
        <w:t>gcás soithí iascaireachta de chuid an Aontais, in</w:t>
      </w:r>
      <w:r w:rsidR="00D21B34">
        <w:t xml:space="preserve"> </w:t>
      </w:r>
      <w:r>
        <w:t>uiscí áirithe nach uiscí de</w:t>
      </w:r>
      <w:r w:rsidR="00D21B34">
        <w:t xml:space="preserve"> </w:t>
      </w:r>
      <w:r>
        <w:t>chuid an</w:t>
      </w:r>
      <w:r w:rsidR="00D21B34">
        <w:t xml:space="preserve"> </w:t>
      </w:r>
      <w:r>
        <w:t xml:space="preserve">Aontais iad, agus lena leasaítear Rialachán (AE) </w:t>
      </w:r>
      <w:r w:rsidRPr="001563D8">
        <w:t>2025</w:t>
      </w:r>
      <w:r>
        <w:t>/</w:t>
      </w:r>
      <w:r w:rsidRPr="001563D8">
        <w:t>202</w:t>
      </w:r>
      <w:r>
        <w:t xml:space="preserve"> (IO L, </w:t>
      </w:r>
      <w:r w:rsidRPr="001563D8">
        <w:t>2026</w:t>
      </w:r>
      <w:r>
        <w:t>/</w:t>
      </w:r>
      <w:r w:rsidRPr="001563D8">
        <w:t>249</w:t>
      </w:r>
      <w:r>
        <w:t xml:space="preserve">, </w:t>
      </w:r>
      <w:r w:rsidRPr="001563D8">
        <w:t>30</w:t>
      </w:r>
      <w:r>
        <w:t>.</w:t>
      </w:r>
      <w:r w:rsidRPr="001563D8">
        <w:t>1</w:t>
      </w:r>
      <w:r>
        <w:t>.</w:t>
      </w:r>
      <w:r w:rsidRPr="001563D8">
        <w:t>2026</w:t>
      </w:r>
      <w:r>
        <w:t xml:space="preserve">, ELI: </w:t>
      </w:r>
      <w:hyperlink r:id="rId13" w:history="1">
        <w:r>
          <w:rPr>
            <w:rStyle w:val="Hyperlink"/>
          </w:rPr>
          <w:t>http://data.europa.eu/eli/reg/</w:t>
        </w:r>
        <w:r w:rsidRPr="001563D8">
          <w:rPr>
            <w:rStyle w:val="Hyperlink"/>
          </w:rPr>
          <w:t>2026</w:t>
        </w:r>
        <w:r>
          <w:rPr>
            <w:rStyle w:val="Hyperlink"/>
          </w:rPr>
          <w:t>/</w:t>
        </w:r>
        <w:r w:rsidRPr="001563D8">
          <w:rPr>
            <w:rStyle w:val="Hyperlink"/>
          </w:rPr>
          <w:t>249</w:t>
        </w:r>
        <w:r>
          <w:rPr>
            <w:rStyle w:val="Hyperlink"/>
          </w:rPr>
          <w:t>/oj</w:t>
        </w:r>
      </w:hyperlink>
      <w:r>
        <w:t>).</w:t>
      </w:r>
    </w:p>
  </w:footnote>
  <w:footnote w:id="15">
    <w:p w:rsidR="002956E8" w:rsidRPr="00B075EC" w:rsidRDefault="002956E8" w:rsidP="002956E8">
      <w:pPr>
        <w:pStyle w:val="FootnoteText"/>
      </w:pPr>
      <w:r>
        <w:rPr>
          <w:rStyle w:val="FootnoteReference"/>
        </w:rPr>
        <w:footnoteRef/>
      </w:r>
      <w:r>
        <w:tab/>
        <w:t>An Comhaontú Trádála agus Comhair idir an tAontas Eorpach agus an Comhphobal Eorpach do Fhuinneamh Adamhach, de pháirt, agus Ríocht Aontaithe na Breataine Móire agus Thuaisceart Éireann, den pháirt eile (IO L </w:t>
      </w:r>
      <w:r w:rsidRPr="001563D8">
        <w:t>149</w:t>
      </w:r>
      <w:r>
        <w:t xml:space="preserve">, </w:t>
      </w:r>
      <w:r w:rsidRPr="001563D8">
        <w:t>30</w:t>
      </w:r>
      <w:r>
        <w:t>.</w:t>
      </w:r>
      <w:r w:rsidRPr="001563D8">
        <w:t>4</w:t>
      </w:r>
      <w:r>
        <w:t>.</w:t>
      </w:r>
      <w:r w:rsidRPr="001563D8">
        <w:t>2021</w:t>
      </w:r>
      <w:r>
        <w:t>, lch. </w:t>
      </w:r>
      <w:r w:rsidRPr="001563D8">
        <w:t>10</w:t>
      </w:r>
      <w:r>
        <w:t xml:space="preserve">, ELI: </w:t>
      </w:r>
      <w:hyperlink r:id="rId14" w:history="1">
        <w:r>
          <w:rPr>
            <w:rStyle w:val="Hyperlink"/>
          </w:rPr>
          <w:t>http://data.europa.eu/eli/agree_internation/</w:t>
        </w:r>
        <w:r w:rsidRPr="001563D8">
          <w:rPr>
            <w:rStyle w:val="Hyperlink"/>
          </w:rPr>
          <w:t>2021</w:t>
        </w:r>
        <w:r>
          <w:rPr>
            <w:rStyle w:val="Hyperlink"/>
          </w:rPr>
          <w:t>/</w:t>
        </w:r>
        <w:r w:rsidRPr="001563D8">
          <w:rPr>
            <w:rStyle w:val="Hyperlink"/>
          </w:rPr>
          <w:t>689</w:t>
        </w:r>
        <w:r>
          <w:rPr>
            <w:rStyle w:val="Hyperlink"/>
          </w:rPr>
          <w:t>(</w:t>
        </w:r>
        <w:r w:rsidRPr="001563D8">
          <w:rPr>
            <w:rStyle w:val="Hyperlink"/>
          </w:rPr>
          <w:t>1</w:t>
        </w:r>
        <w:r>
          <w:rPr>
            <w:rStyle w:val="Hyperlink"/>
          </w:rPr>
          <w:t>)/oj</w:t>
        </w:r>
      </w:hyperlink>
      <w:r>
        <w:t>).</w:t>
      </w:r>
    </w:p>
  </w:footnote>
  <w:footnote w:id="16">
    <w:p w:rsidR="004F431B" w:rsidRPr="00EB2008" w:rsidRDefault="004F431B" w:rsidP="004F431B">
      <w:pPr>
        <w:pStyle w:val="FootnoteText"/>
      </w:pPr>
      <w:r>
        <w:rPr>
          <w:rStyle w:val="FootnoteReference"/>
        </w:rPr>
        <w:footnoteRef/>
      </w:r>
      <w:r>
        <w:tab/>
        <w:t>Rialachán (AE)</w:t>
      </w:r>
      <w:r w:rsidR="001563D8">
        <w:t xml:space="preserve"> </w:t>
      </w:r>
      <w:r w:rsidRPr="001563D8">
        <w:t>2026</w:t>
      </w:r>
      <w:r>
        <w:t>/</w:t>
      </w:r>
      <w:r w:rsidRPr="001563D8">
        <w:t>786</w:t>
      </w:r>
      <w:r>
        <w:t xml:space="preserve"> ón gComhairle an</w:t>
      </w:r>
      <w:r w:rsidR="005447C7">
        <w:t xml:space="preserve"> </w:t>
      </w:r>
      <w:r w:rsidRPr="001563D8">
        <w:t>30</w:t>
      </w:r>
      <w:r>
        <w:t xml:space="preserve"> Márta </w:t>
      </w:r>
      <w:r w:rsidRPr="001563D8">
        <w:t>2026</w:t>
      </w:r>
      <w:r>
        <w:t xml:space="preserve"> lena leasaítear Rialachán (AE) </w:t>
      </w:r>
      <w:r w:rsidRPr="001563D8">
        <w:t>2026</w:t>
      </w:r>
      <w:r>
        <w:t>/</w:t>
      </w:r>
      <w:r w:rsidRPr="001563D8">
        <w:t>249</w:t>
      </w:r>
      <w:r>
        <w:t xml:space="preserve"> lena socraítear le haghaidh </w:t>
      </w:r>
      <w:r w:rsidRPr="001563D8">
        <w:t>2026</w:t>
      </w:r>
      <w:r>
        <w:t xml:space="preserve">, </w:t>
      </w:r>
      <w:r w:rsidRPr="001563D8">
        <w:t>2027</w:t>
      </w:r>
      <w:r>
        <w:t xml:space="preserve"> agus </w:t>
      </w:r>
      <w:r w:rsidRPr="001563D8">
        <w:t>2028</w:t>
      </w:r>
      <w:r>
        <w:t xml:space="preserve"> na deiseanna iascaireachta le haghaidh stoic éisc áirithe, is infheidhme in uiscí an Aontais agus, i gcás soithí iascaireachta de chuid an Aontais, in uiscí áirithe nach uiscí de chuid an Aontais iad (IO L, </w:t>
      </w:r>
      <w:r w:rsidRPr="001563D8">
        <w:t>2026</w:t>
      </w:r>
      <w:r>
        <w:t>/</w:t>
      </w:r>
      <w:r w:rsidRPr="001563D8">
        <w:t>786</w:t>
      </w:r>
      <w:r>
        <w:t>, </w:t>
      </w:r>
      <w:r w:rsidRPr="001563D8">
        <w:t>31</w:t>
      </w:r>
      <w:r>
        <w:t>.</w:t>
      </w:r>
      <w:r w:rsidRPr="001563D8">
        <w:t>3</w:t>
      </w:r>
      <w:r>
        <w:t>.</w:t>
      </w:r>
      <w:r w:rsidRPr="001563D8">
        <w:t>2026</w:t>
      </w:r>
      <w:r>
        <w:t xml:space="preserve">, ELI: </w:t>
      </w:r>
      <w:hyperlink r:id="rId15" w:history="1">
        <w:r>
          <w:rPr>
            <w:rStyle w:val="Hyperlink"/>
          </w:rPr>
          <w:t>http://data.europa.eu/eli/reg/</w:t>
        </w:r>
        <w:r w:rsidRPr="001563D8">
          <w:rPr>
            <w:rStyle w:val="Hyperlink"/>
          </w:rPr>
          <w:t>2026</w:t>
        </w:r>
        <w:r>
          <w:rPr>
            <w:rStyle w:val="Hyperlink"/>
          </w:rPr>
          <w:t>/</w:t>
        </w:r>
        <w:r w:rsidRPr="001563D8">
          <w:rPr>
            <w:rStyle w:val="Hyperlink"/>
          </w:rPr>
          <w:t>786</w:t>
        </w:r>
        <w:r>
          <w:rPr>
            <w:rStyle w:val="Hyperlink"/>
          </w:rPr>
          <w:t>/oj</w:t>
        </w:r>
      </w:hyperlink>
      <w:r>
        <w:t>)</w:t>
      </w:r>
      <w:r w:rsidR="001563D8">
        <w:t>.</w:t>
      </w:r>
    </w:p>
  </w:footnote>
  <w:footnote w:id="17">
    <w:p w:rsidR="00F83CA1" w:rsidRPr="006D52FD" w:rsidRDefault="00F83CA1" w:rsidP="00F83CA1">
      <w:pPr>
        <w:pStyle w:val="FootnoteText"/>
      </w:pPr>
      <w:r>
        <w:rPr>
          <w:rStyle w:val="FootnoteReference"/>
          <w:szCs w:val="24"/>
        </w:rPr>
        <w:footnoteRef/>
      </w:r>
      <w:r>
        <w:tab/>
        <w:t>Prótacal maidir le cur chun feidhme an Comhaontaithe Comhpháirtíochta maidir le hIascaigh Inbhuanaithe idir an</w:t>
      </w:r>
      <w:r w:rsidR="001563D8">
        <w:t xml:space="preserve"> </w:t>
      </w:r>
      <w:r>
        <w:t>tAontas</w:t>
      </w:r>
      <w:r w:rsidR="001563D8">
        <w:t xml:space="preserve"> </w:t>
      </w:r>
      <w:r>
        <w:t>Eorpach, de pháirt, agus Rialtas na Graonlainne agus Rialtas na Danmhairge, den pháirt eile (</w:t>
      </w:r>
      <w:r w:rsidRPr="001563D8">
        <w:t>2025</w:t>
      </w:r>
      <w:r>
        <w:t>–</w:t>
      </w:r>
      <w:r w:rsidRPr="001563D8">
        <w:t>2030</w:t>
      </w:r>
      <w:r>
        <w:t xml:space="preserve">) IO L, </w:t>
      </w:r>
      <w:r w:rsidRPr="001563D8">
        <w:t>2024</w:t>
      </w:r>
      <w:r>
        <w:t>/</w:t>
      </w:r>
      <w:r w:rsidRPr="001563D8">
        <w:t>3203</w:t>
      </w:r>
      <w:r>
        <w:t xml:space="preserve">, </w:t>
      </w:r>
      <w:r w:rsidRPr="001563D8">
        <w:t>30</w:t>
      </w:r>
      <w:r>
        <w:t>.</w:t>
      </w:r>
      <w:r w:rsidRPr="001563D8">
        <w:t>12</w:t>
      </w:r>
      <w:r>
        <w:t>.</w:t>
      </w:r>
      <w:r w:rsidRPr="001563D8">
        <w:t>2024</w:t>
      </w:r>
      <w:r>
        <w:t xml:space="preserve">, ELI: </w:t>
      </w:r>
      <w:hyperlink r:id="rId16" w:history="1">
        <w:r>
          <w:rPr>
            <w:rStyle w:val="Hyperlink"/>
          </w:rPr>
          <w:t>http://data.europa.eu/eli/prot/</w:t>
        </w:r>
        <w:r w:rsidRPr="001563D8">
          <w:rPr>
            <w:rStyle w:val="Hyperlink"/>
          </w:rPr>
          <w:t>2024</w:t>
        </w:r>
        <w:r>
          <w:rPr>
            <w:rStyle w:val="Hyperlink"/>
          </w:rPr>
          <w:t>/</w:t>
        </w:r>
        <w:r w:rsidRPr="001563D8">
          <w:rPr>
            <w:rStyle w:val="Hyperlink"/>
          </w:rPr>
          <w:t>3203</w:t>
        </w:r>
        <w:r>
          <w:rPr>
            <w:rStyle w:val="Hyperlink"/>
          </w:rPr>
          <w:t>/oj</w:t>
        </w:r>
      </w:hyperlink>
      <w:r w:rsidR="001563D8">
        <w:t>.</w:t>
      </w:r>
    </w:p>
    <w:p w:rsidR="00F83CA1" w:rsidRPr="006D52FD" w:rsidRDefault="00F83CA1" w:rsidP="00F83CA1">
      <w:pPr>
        <w:pStyle w:val="FootnoteText"/>
      </w:pPr>
      <w:r>
        <w:t xml:space="preserve"> </w:t>
      </w:r>
    </w:p>
  </w:footnote>
  <w:footnote w:id="18">
    <w:p w:rsidR="007635A4" w:rsidRPr="006D52FD" w:rsidRDefault="007635A4" w:rsidP="007635A4">
      <w:pPr>
        <w:pStyle w:val="FootnoteText"/>
      </w:pPr>
      <w:r>
        <w:rPr>
          <w:rStyle w:val="FootnoteReference"/>
          <w:szCs w:val="24"/>
        </w:rPr>
        <w:footnoteRef/>
      </w:r>
      <w:r>
        <w:tab/>
        <w:t>Comhaontú Comhpháirtíochta maidir le hIascaigh Inbhuanaithe idir an tAontas Eorpach, de pháirt, agus Rialtas na Graonlainne agus Rialtas na Danmhairge, den pháirt eile (IO L </w:t>
      </w:r>
      <w:r w:rsidRPr="001563D8">
        <w:t>175</w:t>
      </w:r>
      <w:r>
        <w:t xml:space="preserve">, </w:t>
      </w:r>
      <w:r w:rsidRPr="001563D8">
        <w:t>18</w:t>
      </w:r>
      <w:r>
        <w:t>.</w:t>
      </w:r>
      <w:r w:rsidRPr="001563D8">
        <w:t>5</w:t>
      </w:r>
      <w:r>
        <w:t>.</w:t>
      </w:r>
      <w:r w:rsidRPr="001563D8">
        <w:t>2021</w:t>
      </w:r>
      <w:r>
        <w:t>, lch. </w:t>
      </w:r>
      <w:r w:rsidRPr="001563D8">
        <w:t>3</w:t>
      </w:r>
      <w:r>
        <w:t>, ELI: </w:t>
      </w:r>
      <w:hyperlink r:id="rId17" w:history="1">
        <w:r>
          <w:rPr>
            <w:rStyle w:val="Hyperlink"/>
          </w:rPr>
          <w:t>http://data.europa.eu/eli/agree_internation/</w:t>
        </w:r>
        <w:r w:rsidRPr="001563D8">
          <w:rPr>
            <w:rStyle w:val="Hyperlink"/>
          </w:rPr>
          <w:t>2021</w:t>
        </w:r>
        <w:r>
          <w:rPr>
            <w:rStyle w:val="Hyperlink"/>
          </w:rPr>
          <w:t>/</w:t>
        </w:r>
        <w:r w:rsidRPr="001563D8">
          <w:rPr>
            <w:rStyle w:val="Hyperlink"/>
          </w:rPr>
          <w:t>793</w:t>
        </w:r>
        <w:r>
          <w:rPr>
            <w:rStyle w:val="Hyperlink"/>
          </w:rPr>
          <w:t>/oj</w:t>
        </w:r>
      </w:hyperlink>
      <w:r>
        <w:t xml:space="preserve">). </w:t>
      </w:r>
    </w:p>
  </w:footnote>
  <w:footnote w:id="19">
    <w:p w:rsidR="005A3D75" w:rsidRPr="00EB2008" w:rsidRDefault="005A3D75" w:rsidP="005A3D75">
      <w:pPr>
        <w:pStyle w:val="FootnoteText"/>
      </w:pPr>
      <w:r>
        <w:rPr>
          <w:rStyle w:val="FootnoteReference"/>
        </w:rPr>
        <w:footnoteRef/>
      </w:r>
      <w:r>
        <w:tab/>
        <w:t xml:space="preserve">Moladh </w:t>
      </w:r>
      <w:r w:rsidRPr="001563D8">
        <w:t>25</w:t>
      </w:r>
      <w:r>
        <w:t>-</w:t>
      </w:r>
      <w:r w:rsidRPr="001563D8">
        <w:t>04</w:t>
      </w:r>
      <w:r>
        <w:t xml:space="preserve"> ó ICCAT lena</w:t>
      </w:r>
      <w:r w:rsidR="00672FA8">
        <w:t xml:space="preserve"> n</w:t>
      </w:r>
      <w:r w:rsidR="00672FA8">
        <w:noBreakHyphen/>
      </w:r>
      <w:r>
        <w:t xml:space="preserve">ionadaítear Moladh </w:t>
      </w:r>
      <w:r w:rsidRPr="001563D8">
        <w:t>24</w:t>
      </w:r>
      <w:r>
        <w:t>-</w:t>
      </w:r>
      <w:r w:rsidRPr="001563D8">
        <w:t>05</w:t>
      </w:r>
      <w:r>
        <w:t xml:space="preserve"> lena mbunaítear plean bainistíochta ilbhliantúil um an tuinnín gorm san Atlantach Thoir agus sa Mheánmhuir, </w:t>
      </w:r>
      <w:hyperlink r:id="rId18" w:history="1">
        <w:r>
          <w:rPr>
            <w:rStyle w:val="Hyperlink"/>
          </w:rPr>
          <w:t>https://www.iccat.int/Documents/Recs/compendiopdf-e/</w:t>
        </w:r>
        <w:r w:rsidRPr="001563D8">
          <w:rPr>
            <w:rStyle w:val="Hyperlink"/>
          </w:rPr>
          <w:t>2025</w:t>
        </w:r>
        <w:r>
          <w:rPr>
            <w:rStyle w:val="Hyperlink"/>
          </w:rPr>
          <w:t>-</w:t>
        </w:r>
        <w:r w:rsidRPr="001563D8">
          <w:rPr>
            <w:rStyle w:val="Hyperlink"/>
          </w:rPr>
          <w:t>04</w:t>
        </w:r>
        <w:r>
          <w:rPr>
            <w:rStyle w:val="Hyperlink"/>
          </w:rPr>
          <w:t>-e.pdf</w:t>
        </w:r>
      </w:hyperlink>
      <w:r>
        <w:t>.</w:t>
      </w:r>
    </w:p>
  </w:footnote>
  <w:footnote w:id="20">
    <w:p w:rsidR="002075CF" w:rsidRPr="00EB2008" w:rsidRDefault="002075CF" w:rsidP="002075CF">
      <w:pPr>
        <w:pStyle w:val="FootnoteText"/>
      </w:pPr>
      <w:r>
        <w:rPr>
          <w:rStyle w:val="FootnoteReference"/>
        </w:rPr>
        <w:footnoteRef/>
      </w:r>
      <w:r>
        <w:tab/>
        <w:t xml:space="preserve">Rialachán (AE) </w:t>
      </w:r>
      <w:r w:rsidRPr="001563D8">
        <w:t>2023</w:t>
      </w:r>
      <w:r>
        <w:t>/</w:t>
      </w:r>
      <w:r w:rsidRPr="001563D8">
        <w:t>2053</w:t>
      </w:r>
      <w:r>
        <w:t xml:space="preserve"> ó Pharlaimint na hEorpa agus ón gComhairle an </w:t>
      </w:r>
      <w:r w:rsidRPr="001563D8">
        <w:t>13</w:t>
      </w:r>
      <w:r>
        <w:t xml:space="preserve"> Meán Fómhair </w:t>
      </w:r>
      <w:r w:rsidRPr="001563D8">
        <w:t>2023</w:t>
      </w:r>
      <w:r>
        <w:t xml:space="preserve"> lena mbunaítear plean bainistíochta ilbhliantúil don tuinnín gorm san Atlantach thoir agus sa Mheánmhuir, lena leasaítear Rialacháin (CE) Uimh. </w:t>
      </w:r>
      <w:r w:rsidRPr="001563D8">
        <w:t>1936</w:t>
      </w:r>
      <w:r>
        <w:t>/</w:t>
      </w:r>
      <w:r w:rsidRPr="001563D8">
        <w:t>2001</w:t>
      </w:r>
      <w:r>
        <w:t xml:space="preserve">, (AE) </w:t>
      </w:r>
      <w:r w:rsidRPr="001563D8">
        <w:t>2017</w:t>
      </w:r>
      <w:r>
        <w:t>/</w:t>
      </w:r>
      <w:r w:rsidRPr="001563D8">
        <w:t>2107</w:t>
      </w:r>
      <w:r>
        <w:t xml:space="preserve"> agus (AE) </w:t>
      </w:r>
      <w:r w:rsidRPr="001563D8">
        <w:t>2019</w:t>
      </w:r>
      <w:r>
        <w:t>/</w:t>
      </w:r>
      <w:r w:rsidRPr="001563D8">
        <w:t>833</w:t>
      </w:r>
      <w:r>
        <w:t>, agus lena</w:t>
      </w:r>
      <w:r w:rsidR="00672FA8">
        <w:t xml:space="preserve"> n</w:t>
      </w:r>
      <w:r w:rsidR="00672FA8">
        <w:noBreakHyphen/>
      </w:r>
      <w:r>
        <w:t xml:space="preserve">aisghairtear Rialachán (AE) </w:t>
      </w:r>
      <w:r w:rsidRPr="001563D8">
        <w:t>2016</w:t>
      </w:r>
      <w:r>
        <w:t>/</w:t>
      </w:r>
      <w:r w:rsidRPr="001563D8">
        <w:t>1627</w:t>
      </w:r>
      <w:r>
        <w:t xml:space="preserve"> (IO L </w:t>
      </w:r>
      <w:r w:rsidRPr="001563D8">
        <w:t>238</w:t>
      </w:r>
      <w:r>
        <w:t xml:space="preserve">, </w:t>
      </w:r>
      <w:r w:rsidRPr="001563D8">
        <w:t>27</w:t>
      </w:r>
      <w:r>
        <w:t>.</w:t>
      </w:r>
      <w:r w:rsidRPr="001563D8">
        <w:t>9</w:t>
      </w:r>
      <w:r>
        <w:t>.</w:t>
      </w:r>
      <w:r w:rsidRPr="001563D8">
        <w:t>2023</w:t>
      </w:r>
      <w:r>
        <w:t>, lch. </w:t>
      </w:r>
      <w:r w:rsidRPr="001563D8">
        <w:t>1</w:t>
      </w:r>
      <w:r>
        <w:t xml:space="preserve">, ELI: </w:t>
      </w:r>
      <w:hyperlink r:id="rId19" w:history="1">
        <w:r>
          <w:rPr>
            <w:rStyle w:val="Hyperlink"/>
          </w:rPr>
          <w:t>http://data.europa.eu/eli/reg/</w:t>
        </w:r>
        <w:r w:rsidRPr="001563D8">
          <w:rPr>
            <w:rStyle w:val="Hyperlink"/>
          </w:rPr>
          <w:t>2023</w:t>
        </w:r>
        <w:r>
          <w:rPr>
            <w:rStyle w:val="Hyperlink"/>
          </w:rPr>
          <w:t>/</w:t>
        </w:r>
        <w:r w:rsidRPr="001563D8">
          <w:rPr>
            <w:rStyle w:val="Hyperlink"/>
          </w:rPr>
          <w:t>2053</w:t>
        </w:r>
        <w:r>
          <w:rPr>
            <w:rStyle w:val="Hyperlink"/>
          </w:rPr>
          <w:t>/oj</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301" w:rsidRDefault="00CD53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301" w:rsidRDefault="00CD53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4366EE64"/>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E12CDC32"/>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080E8186"/>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32FC472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000C1D08"/>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D5025E30"/>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99D2ADFE"/>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A454CEF4"/>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9" w15:restartNumberingAfterBreak="0">
    <w:nsid w:val="128364B0"/>
    <w:multiLevelType w:val="singleLevel"/>
    <w:tmpl w:val="D084FB54"/>
    <w:lvl w:ilvl="0">
      <w:start w:val="1"/>
      <w:numFmt w:val="bullet"/>
      <w:pStyle w:val="ListDash3"/>
      <w:lvlText w:val="–"/>
      <w:lvlJc w:val="left"/>
      <w:pPr>
        <w:tabs>
          <w:tab w:val="num" w:pos="1134"/>
        </w:tabs>
        <w:ind w:left="1134" w:hanging="283"/>
      </w:pPr>
      <w:rPr>
        <w:rFonts w:ascii="Times New Roman" w:hAnsi="Times New Roman"/>
      </w:rPr>
    </w:lvl>
  </w:abstractNum>
  <w:abstractNum w:abstractNumId="10" w15:restartNumberingAfterBreak="0">
    <w:nsid w:val="13E4330B"/>
    <w:multiLevelType w:val="multilevel"/>
    <w:tmpl w:val="875C4416"/>
    <w:name w:val="List Dash 3"/>
    <w:lvl w:ilvl="0">
      <w:start w:val="1"/>
      <w:numFmt w:val="decimal"/>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2"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4"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5" w15:restartNumberingAfterBreak="0">
    <w:nsid w:val="2D293CE3"/>
    <w:multiLevelType w:val="multilevel"/>
    <w:tmpl w:val="8D7C4D2A"/>
    <w:lvl w:ilvl="0">
      <w:start w:val="1"/>
      <w:numFmt w:val="decimal"/>
      <w:lvlText w:val="%1."/>
      <w:lvlJc w:val="left"/>
      <w:pPr>
        <w:ind w:left="476" w:hanging="476"/>
      </w:pPr>
      <w:rPr>
        <w:rFonts w:hint="default"/>
      </w:rPr>
    </w:lvl>
    <w:lvl w:ilvl="1">
      <w:start w:val="1"/>
      <w:numFmt w:val="lowerLetter"/>
      <w:pStyle w:val="LegalNumPar"/>
      <w:lvlText w:val="%2."/>
      <w:lvlJc w:val="left"/>
      <w:pPr>
        <w:ind w:left="953" w:hanging="477"/>
      </w:pPr>
      <w:rPr>
        <w:rFonts w:hint="default"/>
      </w:rPr>
    </w:lvl>
    <w:lvl w:ilvl="2">
      <w:start w:val="1"/>
      <w:numFmt w:val="lowerRoman"/>
      <w:pStyle w:val="LegalNumPar2"/>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2D820C1F"/>
    <w:multiLevelType w:val="singleLevel"/>
    <w:tmpl w:val="7896AADE"/>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17" w15:restartNumberingAfterBreak="0">
    <w:nsid w:val="31CD398A"/>
    <w:multiLevelType w:val="singleLevel"/>
    <w:tmpl w:val="0276BF00"/>
    <w:lvl w:ilvl="0">
      <w:start w:val="1"/>
      <w:numFmt w:val="bullet"/>
      <w:pStyle w:val="ListDash4"/>
      <w:lvlText w:val="–"/>
      <w:lvlJc w:val="left"/>
      <w:pPr>
        <w:tabs>
          <w:tab w:val="num" w:pos="1134"/>
        </w:tabs>
        <w:ind w:left="1134" w:hanging="283"/>
      </w:pPr>
      <w:rPr>
        <w:rFonts w:ascii="Times New Roman" w:hAnsi="Times New Roman"/>
      </w:r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20" w15:restartNumberingAfterBreak="0">
    <w:nsid w:val="42FC077D"/>
    <w:multiLevelType w:val="singleLevel"/>
    <w:tmpl w:val="4128FD03"/>
    <w:name w:val="Tiret 5"/>
    <w:lvl w:ilvl="0">
      <w:start w:val="1"/>
      <w:numFmt w:val="bullet"/>
      <w:lvlRestart w:val="0"/>
      <w:pStyle w:val="LegalNumPar3"/>
      <w:lvlText w:val="–"/>
      <w:lvlJc w:val="left"/>
      <w:pPr>
        <w:tabs>
          <w:tab w:val="num" w:pos="3685"/>
        </w:tabs>
        <w:ind w:left="3685" w:hanging="567"/>
      </w:pPr>
    </w:lvl>
  </w:abstractNum>
  <w:abstractNum w:abstractNumId="2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2" w15:restartNumberingAfterBreak="0">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23" w15:restartNumberingAfterBreak="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24"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5"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6"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30"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20"/>
  </w:num>
  <w:num w:numId="10">
    <w:abstractNumId w:val="8"/>
  </w:num>
  <w:num w:numId="11">
    <w:abstractNumId w:val="16"/>
  </w:num>
  <w:num w:numId="12">
    <w:abstractNumId w:val="23"/>
  </w:num>
  <w:num w:numId="13">
    <w:abstractNumId w:val="22"/>
  </w:num>
  <w:num w:numId="14">
    <w:abstractNumId w:val="9"/>
  </w:num>
  <w:num w:numId="15">
    <w:abstractNumId w:val="17"/>
  </w:num>
  <w:num w:numId="16">
    <w:abstractNumId w:val="10"/>
  </w:num>
  <w:num w:numId="17">
    <w:abstractNumId w:val="15"/>
  </w:num>
  <w:num w:numId="18">
    <w:abstractNumId w:val="30"/>
    <w:lvlOverride w:ilvl="0">
      <w:startOverride w:val="1"/>
    </w:lvlOverride>
  </w:num>
  <w:num w:numId="19">
    <w:abstractNumId w:val="27"/>
  </w:num>
  <w:num w:numId="20">
    <w:abstractNumId w:val="18"/>
  </w:num>
  <w:num w:numId="21">
    <w:abstractNumId w:val="29"/>
  </w:num>
  <w:num w:numId="22">
    <w:abstractNumId w:val="14"/>
  </w:num>
  <w:num w:numId="23">
    <w:abstractNumId w:val="19"/>
  </w:num>
  <w:num w:numId="24">
    <w:abstractNumId w:val="12"/>
  </w:num>
  <w:num w:numId="25">
    <w:abstractNumId w:val="28"/>
  </w:num>
  <w:num w:numId="26">
    <w:abstractNumId w:val="11"/>
  </w:num>
  <w:num w:numId="27">
    <w:abstractNumId w:val="21"/>
  </w:num>
  <w:num w:numId="28">
    <w:abstractNumId w:val="25"/>
  </w:num>
  <w:num w:numId="29">
    <w:abstractNumId w:val="26"/>
  </w:num>
  <w:num w:numId="30">
    <w:abstractNumId w:val="13"/>
  </w:num>
  <w:num w:numId="31">
    <w:abstractNumId w:val="24"/>
  </w:num>
  <w:num w:numId="32">
    <w:abstractNumId w:val="30"/>
  </w:num>
  <w:num w:numId="33">
    <w:abstractNumId w:val="27"/>
  </w:num>
  <w:num w:numId="34">
    <w:abstractNumId w:val="18"/>
  </w:num>
  <w:num w:numId="35">
    <w:abstractNumId w:val="29"/>
  </w:num>
  <w:num w:numId="36">
    <w:abstractNumId w:val="14"/>
  </w:num>
  <w:num w:numId="37">
    <w:abstractNumId w:val="19"/>
  </w:num>
  <w:num w:numId="38">
    <w:abstractNumId w:val="20"/>
  </w:num>
  <w:num w:numId="39">
    <w:abstractNumId w:val="12"/>
  </w:num>
  <w:num w:numId="40">
    <w:abstractNumId w:val="28"/>
  </w:num>
  <w:num w:numId="41">
    <w:abstractNumId w:val="11"/>
  </w:num>
  <w:num w:numId="42">
    <w:abstractNumId w:val="21"/>
  </w:num>
  <w:num w:numId="43">
    <w:abstractNumId w:val="25"/>
  </w:num>
  <w:num w:numId="44">
    <w:abstractNumId w:val="26"/>
  </w:num>
  <w:num w:numId="45">
    <w:abstractNumId w:val="13"/>
  </w:num>
  <w:num w:numId="46">
    <w:abstractNumId w:val="24"/>
  </w:num>
  <w:num w:numId="47">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QCDateTime" w:val="2026-06-11 17:09:18"/>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B1FBB5F1-DB91-4CBC-B839-F4056A8BBE6C"/>
    <w:docVar w:name="LW_COVERPAGE_TYPE" w:val="1"/>
    <w:docVar w:name="LW_CROSSREFERENCE" w:val="&lt;UNUSED&gt;"/>
    <w:docVar w:name="LW_DocType" w:val="COM"/>
    <w:docVar w:name="LW_EMISSION" w:val="20.5.2026"/>
    <w:docVar w:name="LW_EMISSION_ISODATE" w:val="2026-05-20"/>
    <w:docVar w:name="LW_EMISSION_LOCATION" w:val="BRX"/>
    <w:docVar w:name="LW_EMISSION_PREFIX" w:val="An Bhruiséil,"/>
    <w:docVar w:name="LW_EMISSION_SUFFIX" w:val=" "/>
    <w:docVar w:name="LW_ID_DOCMODEL" w:val="SJ-016"/>
    <w:docVar w:name="LW_ID_DOCSIGNATURE" w:val="SJ-016"/>
    <w:docVar w:name="LW_ID_DOCSTRUCTURE" w:val="COM/PL/ORG"/>
    <w:docVar w:name="LW_ID_DOCTYPE" w:val="SJ-016"/>
    <w:docVar w:name="LW_ID_EXP.MOTIFS.NEW" w:val="EM_PL_"/>
    <w:docVar w:name="LW_ID_STATUT" w:val="SJ-016"/>
    <w:docVar w:name="LW_INTERETEEE.CP" w:val="&lt;UNUSED&gt;"/>
    <w:docVar w:name="LW_LANGUE" w:val="GA"/>
    <w:docVar w:name="LW_LEVEL_OF_SENSITIVITY" w:val="Standard treatment"/>
    <w:docVar w:name="LW_NOM.INST" w:val="AN COIMISIÚN EORPACH"/>
    <w:docVar w:name="LW_NOM.INST_JOINTDOC" w:val="&lt;EMPTY&gt;"/>
    <w:docVar w:name="LW_PART_NBR" w:val="1"/>
    <w:docVar w:name="LW_PART_NBR_TOTAL" w:val="1"/>
    <w:docVar w:name="LW_REF.II.NEW.CP" w:val="NLE"/>
    <w:docVar w:name="LW_REF.II.NEW.CP_NUMBER" w:val="0122"/>
    <w:docVar w:name="LW_REF.II.NEW.CP_YEAR" w:val="2026"/>
    <w:docVar w:name="LW_REF.INST.NEW" w:val="COM"/>
    <w:docVar w:name="LW_REF.INST.NEW_ADOPTED" w:val="final"/>
    <w:docVar w:name="LW_REF.INST.NEW_TEXT" w:val="(2026) 245"/>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Togra le haghaidh"/>
    <w:docVar w:name="LW_SUPERTITRE" w:val="&lt;UNUSED&gt;"/>
    <w:docVar w:name="LW_TITRE.OBJ.CP" w:val="lena leasaítear Rialachán (AE) 2026/249 ón gComhairle lena socraítear le haghaidh 2026, 2027 agus 2028 na deiseanna iascaireachta le haghaidh stoic éisc áirithe, is infheidhme in uiscí an Aontais agus, i gcás soithí iascaireachta de chuid an Aontais, in uiscí áirithe nach uiscí de chuid an Aontais iad"/>
    <w:docVar w:name="LW_TYPE.DOC.CP" w:val="RIALACHÁN ÓN gCOMHAIRLE"/>
    <w:docVar w:name="LwApiVersions" w:val="LW4CoDe 1.24.5.0; LW 9.2, Build 20251112"/>
  </w:docVars>
  <w:rsids>
    <w:rsidRoot w:val="00382895"/>
    <w:rsid w:val="0000001D"/>
    <w:rsid w:val="000013B5"/>
    <w:rsid w:val="000018FC"/>
    <w:rsid w:val="00001CA1"/>
    <w:rsid w:val="00002057"/>
    <w:rsid w:val="000037C8"/>
    <w:rsid w:val="00003839"/>
    <w:rsid w:val="00003D49"/>
    <w:rsid w:val="00004914"/>
    <w:rsid w:val="00005460"/>
    <w:rsid w:val="00005F36"/>
    <w:rsid w:val="00006576"/>
    <w:rsid w:val="00006C78"/>
    <w:rsid w:val="00007DD3"/>
    <w:rsid w:val="0001069B"/>
    <w:rsid w:val="000108BF"/>
    <w:rsid w:val="00010908"/>
    <w:rsid w:val="0001519C"/>
    <w:rsid w:val="000153EA"/>
    <w:rsid w:val="00015763"/>
    <w:rsid w:val="0001652A"/>
    <w:rsid w:val="00016E8A"/>
    <w:rsid w:val="00017B22"/>
    <w:rsid w:val="00017D02"/>
    <w:rsid w:val="00017EC3"/>
    <w:rsid w:val="00021321"/>
    <w:rsid w:val="00022598"/>
    <w:rsid w:val="00023928"/>
    <w:rsid w:val="00023B43"/>
    <w:rsid w:val="00025E8F"/>
    <w:rsid w:val="000263B2"/>
    <w:rsid w:val="00026537"/>
    <w:rsid w:val="00027457"/>
    <w:rsid w:val="0002766D"/>
    <w:rsid w:val="0003042D"/>
    <w:rsid w:val="000309EA"/>
    <w:rsid w:val="0003107F"/>
    <w:rsid w:val="0003143F"/>
    <w:rsid w:val="0003146C"/>
    <w:rsid w:val="000314A0"/>
    <w:rsid w:val="00031B16"/>
    <w:rsid w:val="00031CD2"/>
    <w:rsid w:val="0003208C"/>
    <w:rsid w:val="00033AB8"/>
    <w:rsid w:val="00033F6A"/>
    <w:rsid w:val="000345D9"/>
    <w:rsid w:val="0003506F"/>
    <w:rsid w:val="0003539F"/>
    <w:rsid w:val="00035EB4"/>
    <w:rsid w:val="00037FAD"/>
    <w:rsid w:val="000406A1"/>
    <w:rsid w:val="00040EBB"/>
    <w:rsid w:val="00041126"/>
    <w:rsid w:val="000414C6"/>
    <w:rsid w:val="00041E2E"/>
    <w:rsid w:val="00042B21"/>
    <w:rsid w:val="00042B4B"/>
    <w:rsid w:val="00043EB8"/>
    <w:rsid w:val="000446A3"/>
    <w:rsid w:val="00044DB8"/>
    <w:rsid w:val="00045F5D"/>
    <w:rsid w:val="00046830"/>
    <w:rsid w:val="0004710B"/>
    <w:rsid w:val="00047633"/>
    <w:rsid w:val="00050000"/>
    <w:rsid w:val="0005028C"/>
    <w:rsid w:val="00050834"/>
    <w:rsid w:val="0005083F"/>
    <w:rsid w:val="00051309"/>
    <w:rsid w:val="000513F1"/>
    <w:rsid w:val="00051662"/>
    <w:rsid w:val="00051B42"/>
    <w:rsid w:val="00051D09"/>
    <w:rsid w:val="00051F50"/>
    <w:rsid w:val="00051F8D"/>
    <w:rsid w:val="000528CF"/>
    <w:rsid w:val="00053530"/>
    <w:rsid w:val="0005373A"/>
    <w:rsid w:val="00053964"/>
    <w:rsid w:val="00053DB4"/>
    <w:rsid w:val="00054CBA"/>
    <w:rsid w:val="00055558"/>
    <w:rsid w:val="00056831"/>
    <w:rsid w:val="00056A85"/>
    <w:rsid w:val="00056BBA"/>
    <w:rsid w:val="00056D32"/>
    <w:rsid w:val="00057CC8"/>
    <w:rsid w:val="000603EE"/>
    <w:rsid w:val="00060861"/>
    <w:rsid w:val="00060A67"/>
    <w:rsid w:val="00061ED5"/>
    <w:rsid w:val="000629CA"/>
    <w:rsid w:val="00063BFE"/>
    <w:rsid w:val="000643CB"/>
    <w:rsid w:val="00064A4B"/>
    <w:rsid w:val="00064B07"/>
    <w:rsid w:val="000652AB"/>
    <w:rsid w:val="00065502"/>
    <w:rsid w:val="00065609"/>
    <w:rsid w:val="000657BD"/>
    <w:rsid w:val="00066357"/>
    <w:rsid w:val="00066383"/>
    <w:rsid w:val="0006643B"/>
    <w:rsid w:val="00066534"/>
    <w:rsid w:val="0006772B"/>
    <w:rsid w:val="000720F3"/>
    <w:rsid w:val="00072327"/>
    <w:rsid w:val="0007270F"/>
    <w:rsid w:val="0007539E"/>
    <w:rsid w:val="00075A4A"/>
    <w:rsid w:val="00076C97"/>
    <w:rsid w:val="00077A60"/>
    <w:rsid w:val="00077CAB"/>
    <w:rsid w:val="00077D94"/>
    <w:rsid w:val="00080EF9"/>
    <w:rsid w:val="00080FCF"/>
    <w:rsid w:val="00081127"/>
    <w:rsid w:val="0008126C"/>
    <w:rsid w:val="0008137D"/>
    <w:rsid w:val="000813CC"/>
    <w:rsid w:val="00081401"/>
    <w:rsid w:val="00082202"/>
    <w:rsid w:val="00082CEC"/>
    <w:rsid w:val="00083B68"/>
    <w:rsid w:val="00084646"/>
    <w:rsid w:val="000857B1"/>
    <w:rsid w:val="00085943"/>
    <w:rsid w:val="000861B7"/>
    <w:rsid w:val="00086568"/>
    <w:rsid w:val="00086AC2"/>
    <w:rsid w:val="00087658"/>
    <w:rsid w:val="000876B4"/>
    <w:rsid w:val="00090265"/>
    <w:rsid w:val="0009156B"/>
    <w:rsid w:val="000925E5"/>
    <w:rsid w:val="00093CF2"/>
    <w:rsid w:val="00093DC5"/>
    <w:rsid w:val="00093F51"/>
    <w:rsid w:val="0009472F"/>
    <w:rsid w:val="00094E2F"/>
    <w:rsid w:val="0009716E"/>
    <w:rsid w:val="00097B94"/>
    <w:rsid w:val="00097E4B"/>
    <w:rsid w:val="000A089F"/>
    <w:rsid w:val="000A0ED2"/>
    <w:rsid w:val="000A1D9E"/>
    <w:rsid w:val="000A2762"/>
    <w:rsid w:val="000A3332"/>
    <w:rsid w:val="000A3C14"/>
    <w:rsid w:val="000A4803"/>
    <w:rsid w:val="000A4926"/>
    <w:rsid w:val="000A4BE9"/>
    <w:rsid w:val="000A5107"/>
    <w:rsid w:val="000A533A"/>
    <w:rsid w:val="000A5751"/>
    <w:rsid w:val="000A6C5D"/>
    <w:rsid w:val="000A732B"/>
    <w:rsid w:val="000A7E19"/>
    <w:rsid w:val="000B0CD7"/>
    <w:rsid w:val="000B1502"/>
    <w:rsid w:val="000B2992"/>
    <w:rsid w:val="000B2BBF"/>
    <w:rsid w:val="000B3662"/>
    <w:rsid w:val="000B3CB0"/>
    <w:rsid w:val="000B3E95"/>
    <w:rsid w:val="000B4925"/>
    <w:rsid w:val="000B4DD4"/>
    <w:rsid w:val="000B5666"/>
    <w:rsid w:val="000B571D"/>
    <w:rsid w:val="000B6D1F"/>
    <w:rsid w:val="000B780C"/>
    <w:rsid w:val="000B7A7D"/>
    <w:rsid w:val="000B7CF7"/>
    <w:rsid w:val="000C0DD9"/>
    <w:rsid w:val="000C329B"/>
    <w:rsid w:val="000C375C"/>
    <w:rsid w:val="000C377A"/>
    <w:rsid w:val="000C60F0"/>
    <w:rsid w:val="000C6438"/>
    <w:rsid w:val="000C6A0F"/>
    <w:rsid w:val="000C7293"/>
    <w:rsid w:val="000D0AD7"/>
    <w:rsid w:val="000D2D39"/>
    <w:rsid w:val="000D2E68"/>
    <w:rsid w:val="000D3369"/>
    <w:rsid w:val="000D37F0"/>
    <w:rsid w:val="000D39B7"/>
    <w:rsid w:val="000D4181"/>
    <w:rsid w:val="000D466E"/>
    <w:rsid w:val="000D6DA9"/>
    <w:rsid w:val="000E0298"/>
    <w:rsid w:val="000E0B0F"/>
    <w:rsid w:val="000E1698"/>
    <w:rsid w:val="000E1A84"/>
    <w:rsid w:val="000E2D93"/>
    <w:rsid w:val="000E3324"/>
    <w:rsid w:val="000E355B"/>
    <w:rsid w:val="000E36A3"/>
    <w:rsid w:val="000E437B"/>
    <w:rsid w:val="000E44B0"/>
    <w:rsid w:val="000E471A"/>
    <w:rsid w:val="000E4AC7"/>
    <w:rsid w:val="000E5540"/>
    <w:rsid w:val="000E56E9"/>
    <w:rsid w:val="000E5C2F"/>
    <w:rsid w:val="000F04AA"/>
    <w:rsid w:val="000F23DD"/>
    <w:rsid w:val="000F2A65"/>
    <w:rsid w:val="000F2ABE"/>
    <w:rsid w:val="000F31DB"/>
    <w:rsid w:val="000F454F"/>
    <w:rsid w:val="000F6467"/>
    <w:rsid w:val="000F6D23"/>
    <w:rsid w:val="000F749D"/>
    <w:rsid w:val="001003B3"/>
    <w:rsid w:val="0010107B"/>
    <w:rsid w:val="0010153A"/>
    <w:rsid w:val="001017D7"/>
    <w:rsid w:val="001019DC"/>
    <w:rsid w:val="00101CBB"/>
    <w:rsid w:val="00101FFF"/>
    <w:rsid w:val="001024E3"/>
    <w:rsid w:val="001025DF"/>
    <w:rsid w:val="00102C69"/>
    <w:rsid w:val="00102F75"/>
    <w:rsid w:val="001032C0"/>
    <w:rsid w:val="00103737"/>
    <w:rsid w:val="00103EE2"/>
    <w:rsid w:val="00105E22"/>
    <w:rsid w:val="00106DFC"/>
    <w:rsid w:val="0010704D"/>
    <w:rsid w:val="00107E6D"/>
    <w:rsid w:val="001105AF"/>
    <w:rsid w:val="00110FF0"/>
    <w:rsid w:val="00111AA7"/>
    <w:rsid w:val="0011271F"/>
    <w:rsid w:val="00112924"/>
    <w:rsid w:val="00112AB9"/>
    <w:rsid w:val="00113C21"/>
    <w:rsid w:val="001141E5"/>
    <w:rsid w:val="001146D4"/>
    <w:rsid w:val="00114BF2"/>
    <w:rsid w:val="00114DF6"/>
    <w:rsid w:val="00115D2B"/>
    <w:rsid w:val="001160DA"/>
    <w:rsid w:val="001164B4"/>
    <w:rsid w:val="001174C1"/>
    <w:rsid w:val="00120A31"/>
    <w:rsid w:val="00120B5B"/>
    <w:rsid w:val="00120EDB"/>
    <w:rsid w:val="00122C25"/>
    <w:rsid w:val="00122C80"/>
    <w:rsid w:val="00123EFF"/>
    <w:rsid w:val="00125466"/>
    <w:rsid w:val="00125D60"/>
    <w:rsid w:val="0012608B"/>
    <w:rsid w:val="00127293"/>
    <w:rsid w:val="001274CA"/>
    <w:rsid w:val="0012780A"/>
    <w:rsid w:val="00132337"/>
    <w:rsid w:val="00132762"/>
    <w:rsid w:val="001330B6"/>
    <w:rsid w:val="00133A07"/>
    <w:rsid w:val="0013421F"/>
    <w:rsid w:val="001346C4"/>
    <w:rsid w:val="00135188"/>
    <w:rsid w:val="00135C32"/>
    <w:rsid w:val="0013EA6F"/>
    <w:rsid w:val="00140840"/>
    <w:rsid w:val="00141181"/>
    <w:rsid w:val="001411C0"/>
    <w:rsid w:val="0014139C"/>
    <w:rsid w:val="00141C13"/>
    <w:rsid w:val="0014229A"/>
    <w:rsid w:val="001425B7"/>
    <w:rsid w:val="001426B8"/>
    <w:rsid w:val="00143860"/>
    <w:rsid w:val="00143CA2"/>
    <w:rsid w:val="00144867"/>
    <w:rsid w:val="00144A78"/>
    <w:rsid w:val="00144CA5"/>
    <w:rsid w:val="0014631C"/>
    <w:rsid w:val="00147272"/>
    <w:rsid w:val="00147339"/>
    <w:rsid w:val="0014735A"/>
    <w:rsid w:val="00147553"/>
    <w:rsid w:val="00147641"/>
    <w:rsid w:val="00147CF0"/>
    <w:rsid w:val="00147FDE"/>
    <w:rsid w:val="0015064E"/>
    <w:rsid w:val="00150D85"/>
    <w:rsid w:val="00150E9C"/>
    <w:rsid w:val="001510A7"/>
    <w:rsid w:val="0015157B"/>
    <w:rsid w:val="00151724"/>
    <w:rsid w:val="0015249A"/>
    <w:rsid w:val="00152894"/>
    <w:rsid w:val="00153449"/>
    <w:rsid w:val="00153F3E"/>
    <w:rsid w:val="00154208"/>
    <w:rsid w:val="00154627"/>
    <w:rsid w:val="0015529E"/>
    <w:rsid w:val="00156072"/>
    <w:rsid w:val="001563D8"/>
    <w:rsid w:val="00157454"/>
    <w:rsid w:val="00157927"/>
    <w:rsid w:val="001579B5"/>
    <w:rsid w:val="00157E51"/>
    <w:rsid w:val="00160293"/>
    <w:rsid w:val="00160BDC"/>
    <w:rsid w:val="001616E8"/>
    <w:rsid w:val="0016220F"/>
    <w:rsid w:val="0016292F"/>
    <w:rsid w:val="00163047"/>
    <w:rsid w:val="001638CC"/>
    <w:rsid w:val="00164862"/>
    <w:rsid w:val="00164892"/>
    <w:rsid w:val="00165353"/>
    <w:rsid w:val="00165E0C"/>
    <w:rsid w:val="00167CC7"/>
    <w:rsid w:val="00170F80"/>
    <w:rsid w:val="0017240D"/>
    <w:rsid w:val="00172D40"/>
    <w:rsid w:val="001731B7"/>
    <w:rsid w:val="001734B6"/>
    <w:rsid w:val="00173B97"/>
    <w:rsid w:val="001749B3"/>
    <w:rsid w:val="00174A64"/>
    <w:rsid w:val="00174E2B"/>
    <w:rsid w:val="00175525"/>
    <w:rsid w:val="00175FE9"/>
    <w:rsid w:val="001760DC"/>
    <w:rsid w:val="001762B8"/>
    <w:rsid w:val="0017675C"/>
    <w:rsid w:val="00176CE4"/>
    <w:rsid w:val="00177566"/>
    <w:rsid w:val="001776CA"/>
    <w:rsid w:val="001800AF"/>
    <w:rsid w:val="001802DB"/>
    <w:rsid w:val="0018089D"/>
    <w:rsid w:val="001808C0"/>
    <w:rsid w:val="00180B6C"/>
    <w:rsid w:val="001813C0"/>
    <w:rsid w:val="0018145D"/>
    <w:rsid w:val="00181D82"/>
    <w:rsid w:val="00182A4C"/>
    <w:rsid w:val="00182B58"/>
    <w:rsid w:val="00183509"/>
    <w:rsid w:val="00183F1D"/>
    <w:rsid w:val="00184488"/>
    <w:rsid w:val="0018491F"/>
    <w:rsid w:val="00184E07"/>
    <w:rsid w:val="0018645F"/>
    <w:rsid w:val="00186931"/>
    <w:rsid w:val="00190A3D"/>
    <w:rsid w:val="00190AF9"/>
    <w:rsid w:val="00190DBB"/>
    <w:rsid w:val="00190ECB"/>
    <w:rsid w:val="00191F88"/>
    <w:rsid w:val="0019424F"/>
    <w:rsid w:val="00194E0E"/>
    <w:rsid w:val="0019518A"/>
    <w:rsid w:val="0019668F"/>
    <w:rsid w:val="00196D85"/>
    <w:rsid w:val="00197928"/>
    <w:rsid w:val="00199520"/>
    <w:rsid w:val="001A00A5"/>
    <w:rsid w:val="001A0EA7"/>
    <w:rsid w:val="001A23F1"/>
    <w:rsid w:val="001A28CB"/>
    <w:rsid w:val="001A4576"/>
    <w:rsid w:val="001A484F"/>
    <w:rsid w:val="001A4E58"/>
    <w:rsid w:val="001A509B"/>
    <w:rsid w:val="001A5488"/>
    <w:rsid w:val="001A5A06"/>
    <w:rsid w:val="001A5C67"/>
    <w:rsid w:val="001A5D80"/>
    <w:rsid w:val="001A61AC"/>
    <w:rsid w:val="001A61BE"/>
    <w:rsid w:val="001A65F0"/>
    <w:rsid w:val="001A66B5"/>
    <w:rsid w:val="001A710F"/>
    <w:rsid w:val="001A77C8"/>
    <w:rsid w:val="001A7F41"/>
    <w:rsid w:val="001B0578"/>
    <w:rsid w:val="001B0B44"/>
    <w:rsid w:val="001B1F62"/>
    <w:rsid w:val="001B1F7A"/>
    <w:rsid w:val="001B26B2"/>
    <w:rsid w:val="001B27D3"/>
    <w:rsid w:val="001B2ECA"/>
    <w:rsid w:val="001B2F84"/>
    <w:rsid w:val="001B34C3"/>
    <w:rsid w:val="001B5367"/>
    <w:rsid w:val="001B60C8"/>
    <w:rsid w:val="001B62AE"/>
    <w:rsid w:val="001B6347"/>
    <w:rsid w:val="001B6433"/>
    <w:rsid w:val="001B6798"/>
    <w:rsid w:val="001B7CE9"/>
    <w:rsid w:val="001C0635"/>
    <w:rsid w:val="001C09C3"/>
    <w:rsid w:val="001C1DFD"/>
    <w:rsid w:val="001C26E5"/>
    <w:rsid w:val="001C3282"/>
    <w:rsid w:val="001C3662"/>
    <w:rsid w:val="001C40A3"/>
    <w:rsid w:val="001C4223"/>
    <w:rsid w:val="001C4939"/>
    <w:rsid w:val="001C4A1F"/>
    <w:rsid w:val="001C4A43"/>
    <w:rsid w:val="001C5474"/>
    <w:rsid w:val="001C5681"/>
    <w:rsid w:val="001C5C27"/>
    <w:rsid w:val="001C5E68"/>
    <w:rsid w:val="001C68C2"/>
    <w:rsid w:val="001C7624"/>
    <w:rsid w:val="001D05F1"/>
    <w:rsid w:val="001D0A28"/>
    <w:rsid w:val="001D1AF4"/>
    <w:rsid w:val="001D1B9D"/>
    <w:rsid w:val="001D22F0"/>
    <w:rsid w:val="001D2E71"/>
    <w:rsid w:val="001D31E5"/>
    <w:rsid w:val="001D36C6"/>
    <w:rsid w:val="001D4B20"/>
    <w:rsid w:val="001D5687"/>
    <w:rsid w:val="001D5EFB"/>
    <w:rsid w:val="001D7D9D"/>
    <w:rsid w:val="001E14B6"/>
    <w:rsid w:val="001E1608"/>
    <w:rsid w:val="001E161D"/>
    <w:rsid w:val="001E179C"/>
    <w:rsid w:val="001E1861"/>
    <w:rsid w:val="001E26F0"/>
    <w:rsid w:val="001E2AE9"/>
    <w:rsid w:val="001E2B61"/>
    <w:rsid w:val="001E3024"/>
    <w:rsid w:val="001E36E6"/>
    <w:rsid w:val="001E36EE"/>
    <w:rsid w:val="001E4408"/>
    <w:rsid w:val="001E5E6D"/>
    <w:rsid w:val="001E63F0"/>
    <w:rsid w:val="001E6C70"/>
    <w:rsid w:val="001E7845"/>
    <w:rsid w:val="001F0372"/>
    <w:rsid w:val="001F0F1D"/>
    <w:rsid w:val="001F10F0"/>
    <w:rsid w:val="001F1236"/>
    <w:rsid w:val="001F1C1C"/>
    <w:rsid w:val="001F1EBB"/>
    <w:rsid w:val="001F1EE8"/>
    <w:rsid w:val="001F270B"/>
    <w:rsid w:val="001F2CE2"/>
    <w:rsid w:val="001F2F14"/>
    <w:rsid w:val="001F42F2"/>
    <w:rsid w:val="001F6710"/>
    <w:rsid w:val="001F725A"/>
    <w:rsid w:val="0020066D"/>
    <w:rsid w:val="00200C23"/>
    <w:rsid w:val="0020168F"/>
    <w:rsid w:val="002019EE"/>
    <w:rsid w:val="00202822"/>
    <w:rsid w:val="002042F0"/>
    <w:rsid w:val="0020470F"/>
    <w:rsid w:val="00204ACF"/>
    <w:rsid w:val="00205D08"/>
    <w:rsid w:val="00206B9D"/>
    <w:rsid w:val="00206E7A"/>
    <w:rsid w:val="002070F6"/>
    <w:rsid w:val="0020739D"/>
    <w:rsid w:val="002075CF"/>
    <w:rsid w:val="00207D43"/>
    <w:rsid w:val="00210CA9"/>
    <w:rsid w:val="00210E0E"/>
    <w:rsid w:val="002113C8"/>
    <w:rsid w:val="00211733"/>
    <w:rsid w:val="00212724"/>
    <w:rsid w:val="00212923"/>
    <w:rsid w:val="00212E70"/>
    <w:rsid w:val="00212F6A"/>
    <w:rsid w:val="00213F32"/>
    <w:rsid w:val="00213F83"/>
    <w:rsid w:val="00213FAC"/>
    <w:rsid w:val="002144C4"/>
    <w:rsid w:val="00214A8A"/>
    <w:rsid w:val="00214FFE"/>
    <w:rsid w:val="00215130"/>
    <w:rsid w:val="00215C2D"/>
    <w:rsid w:val="002162DB"/>
    <w:rsid w:val="00216671"/>
    <w:rsid w:val="00217599"/>
    <w:rsid w:val="00217778"/>
    <w:rsid w:val="00220A8F"/>
    <w:rsid w:val="00221B4C"/>
    <w:rsid w:val="00222D7A"/>
    <w:rsid w:val="002232E9"/>
    <w:rsid w:val="00223C4E"/>
    <w:rsid w:val="002243A3"/>
    <w:rsid w:val="00224732"/>
    <w:rsid w:val="00224A00"/>
    <w:rsid w:val="002259E4"/>
    <w:rsid w:val="00226130"/>
    <w:rsid w:val="0022613F"/>
    <w:rsid w:val="0022662D"/>
    <w:rsid w:val="00227514"/>
    <w:rsid w:val="00227967"/>
    <w:rsid w:val="00227C31"/>
    <w:rsid w:val="00230414"/>
    <w:rsid w:val="00230936"/>
    <w:rsid w:val="00230F31"/>
    <w:rsid w:val="0023100E"/>
    <w:rsid w:val="002311E6"/>
    <w:rsid w:val="00231F9E"/>
    <w:rsid w:val="00232063"/>
    <w:rsid w:val="0023232D"/>
    <w:rsid w:val="0023239C"/>
    <w:rsid w:val="00232F3F"/>
    <w:rsid w:val="002342F7"/>
    <w:rsid w:val="00234572"/>
    <w:rsid w:val="0023480C"/>
    <w:rsid w:val="00234C18"/>
    <w:rsid w:val="00234EDC"/>
    <w:rsid w:val="002371FC"/>
    <w:rsid w:val="002374D0"/>
    <w:rsid w:val="002378CC"/>
    <w:rsid w:val="00237EC8"/>
    <w:rsid w:val="00240A6E"/>
    <w:rsid w:val="00241FC7"/>
    <w:rsid w:val="00242810"/>
    <w:rsid w:val="00242D2D"/>
    <w:rsid w:val="00242DDE"/>
    <w:rsid w:val="0024306A"/>
    <w:rsid w:val="00243ADC"/>
    <w:rsid w:val="00244280"/>
    <w:rsid w:val="00244313"/>
    <w:rsid w:val="002450DD"/>
    <w:rsid w:val="00245152"/>
    <w:rsid w:val="00245A2F"/>
    <w:rsid w:val="00246C61"/>
    <w:rsid w:val="00247383"/>
    <w:rsid w:val="00250642"/>
    <w:rsid w:val="00251510"/>
    <w:rsid w:val="002515E1"/>
    <w:rsid w:val="00251724"/>
    <w:rsid w:val="00251C4E"/>
    <w:rsid w:val="00251CED"/>
    <w:rsid w:val="00252503"/>
    <w:rsid w:val="002535E5"/>
    <w:rsid w:val="0025366C"/>
    <w:rsid w:val="00254AFD"/>
    <w:rsid w:val="00255D66"/>
    <w:rsid w:val="002563A2"/>
    <w:rsid w:val="00256A58"/>
    <w:rsid w:val="00257077"/>
    <w:rsid w:val="00257127"/>
    <w:rsid w:val="002572F7"/>
    <w:rsid w:val="0025741C"/>
    <w:rsid w:val="0025763A"/>
    <w:rsid w:val="00257C5E"/>
    <w:rsid w:val="00257F57"/>
    <w:rsid w:val="0026043E"/>
    <w:rsid w:val="0026070E"/>
    <w:rsid w:val="00260CE0"/>
    <w:rsid w:val="0026125A"/>
    <w:rsid w:val="002625AE"/>
    <w:rsid w:val="00262911"/>
    <w:rsid w:val="0026359E"/>
    <w:rsid w:val="002637D8"/>
    <w:rsid w:val="00265776"/>
    <w:rsid w:val="00266064"/>
    <w:rsid w:val="00266997"/>
    <w:rsid w:val="002671BF"/>
    <w:rsid w:val="00267727"/>
    <w:rsid w:val="0026780B"/>
    <w:rsid w:val="00270516"/>
    <w:rsid w:val="00270E3C"/>
    <w:rsid w:val="002716D4"/>
    <w:rsid w:val="00271FDC"/>
    <w:rsid w:val="00272449"/>
    <w:rsid w:val="002732B5"/>
    <w:rsid w:val="00273761"/>
    <w:rsid w:val="00276AC3"/>
    <w:rsid w:val="00277572"/>
    <w:rsid w:val="00277E6F"/>
    <w:rsid w:val="00280774"/>
    <w:rsid w:val="00281D12"/>
    <w:rsid w:val="00281E07"/>
    <w:rsid w:val="002821AD"/>
    <w:rsid w:val="00283DF4"/>
    <w:rsid w:val="00284D58"/>
    <w:rsid w:val="00284F3C"/>
    <w:rsid w:val="002852D5"/>
    <w:rsid w:val="00286975"/>
    <w:rsid w:val="002870BD"/>
    <w:rsid w:val="002879FA"/>
    <w:rsid w:val="00292EBB"/>
    <w:rsid w:val="00295267"/>
    <w:rsid w:val="0029569F"/>
    <w:rsid w:val="002956E8"/>
    <w:rsid w:val="00295FC2"/>
    <w:rsid w:val="002965B1"/>
    <w:rsid w:val="00296BF5"/>
    <w:rsid w:val="002970AD"/>
    <w:rsid w:val="002978F5"/>
    <w:rsid w:val="002A04EE"/>
    <w:rsid w:val="002A45D5"/>
    <w:rsid w:val="002A49D6"/>
    <w:rsid w:val="002A606B"/>
    <w:rsid w:val="002A656A"/>
    <w:rsid w:val="002A6FC7"/>
    <w:rsid w:val="002A79AA"/>
    <w:rsid w:val="002A7BA7"/>
    <w:rsid w:val="002A7C5C"/>
    <w:rsid w:val="002B1468"/>
    <w:rsid w:val="002B1AEE"/>
    <w:rsid w:val="002B2AAD"/>
    <w:rsid w:val="002B2B3A"/>
    <w:rsid w:val="002B4E74"/>
    <w:rsid w:val="002B4FE1"/>
    <w:rsid w:val="002B5B34"/>
    <w:rsid w:val="002B63A1"/>
    <w:rsid w:val="002B6AA0"/>
    <w:rsid w:val="002B714C"/>
    <w:rsid w:val="002B7431"/>
    <w:rsid w:val="002B7452"/>
    <w:rsid w:val="002B7578"/>
    <w:rsid w:val="002B7A09"/>
    <w:rsid w:val="002C060E"/>
    <w:rsid w:val="002C25D6"/>
    <w:rsid w:val="002C2795"/>
    <w:rsid w:val="002C29CE"/>
    <w:rsid w:val="002C32F7"/>
    <w:rsid w:val="002C3A8F"/>
    <w:rsid w:val="002C4B94"/>
    <w:rsid w:val="002C4E76"/>
    <w:rsid w:val="002C5CC6"/>
    <w:rsid w:val="002D0EB9"/>
    <w:rsid w:val="002D0ED9"/>
    <w:rsid w:val="002D22DB"/>
    <w:rsid w:val="002D2701"/>
    <w:rsid w:val="002D36C9"/>
    <w:rsid w:val="002D4525"/>
    <w:rsid w:val="002D5530"/>
    <w:rsid w:val="002D5BD9"/>
    <w:rsid w:val="002D61BB"/>
    <w:rsid w:val="002D6C24"/>
    <w:rsid w:val="002D7BD8"/>
    <w:rsid w:val="002E01E7"/>
    <w:rsid w:val="002E08DC"/>
    <w:rsid w:val="002E1456"/>
    <w:rsid w:val="002E25D3"/>
    <w:rsid w:val="002E2779"/>
    <w:rsid w:val="002E29ED"/>
    <w:rsid w:val="002E2D00"/>
    <w:rsid w:val="002E3D0D"/>
    <w:rsid w:val="002E5422"/>
    <w:rsid w:val="002E55EA"/>
    <w:rsid w:val="002E58E2"/>
    <w:rsid w:val="002E5C28"/>
    <w:rsid w:val="002E5F9C"/>
    <w:rsid w:val="002E6549"/>
    <w:rsid w:val="002E6E5F"/>
    <w:rsid w:val="002E712F"/>
    <w:rsid w:val="002F16C4"/>
    <w:rsid w:val="002F2117"/>
    <w:rsid w:val="002F218F"/>
    <w:rsid w:val="002F49A3"/>
    <w:rsid w:val="002F5475"/>
    <w:rsid w:val="002F5DEA"/>
    <w:rsid w:val="002F69DE"/>
    <w:rsid w:val="002F6CBF"/>
    <w:rsid w:val="002F6DAB"/>
    <w:rsid w:val="002F7807"/>
    <w:rsid w:val="0030090B"/>
    <w:rsid w:val="00300BC5"/>
    <w:rsid w:val="00302D0A"/>
    <w:rsid w:val="00303330"/>
    <w:rsid w:val="00304044"/>
    <w:rsid w:val="003042D3"/>
    <w:rsid w:val="0030481B"/>
    <w:rsid w:val="00304948"/>
    <w:rsid w:val="0030494D"/>
    <w:rsid w:val="00304CC6"/>
    <w:rsid w:val="00305973"/>
    <w:rsid w:val="00305E28"/>
    <w:rsid w:val="00306004"/>
    <w:rsid w:val="00306569"/>
    <w:rsid w:val="003068C1"/>
    <w:rsid w:val="00306EC9"/>
    <w:rsid w:val="00306EFF"/>
    <w:rsid w:val="00311472"/>
    <w:rsid w:val="00311B2F"/>
    <w:rsid w:val="00312070"/>
    <w:rsid w:val="003122F0"/>
    <w:rsid w:val="003130C1"/>
    <w:rsid w:val="00313C6F"/>
    <w:rsid w:val="00314027"/>
    <w:rsid w:val="0031458B"/>
    <w:rsid w:val="003147A6"/>
    <w:rsid w:val="00315934"/>
    <w:rsid w:val="0031655F"/>
    <w:rsid w:val="00316C87"/>
    <w:rsid w:val="003172D0"/>
    <w:rsid w:val="00317C88"/>
    <w:rsid w:val="00320E05"/>
    <w:rsid w:val="00321B45"/>
    <w:rsid w:val="003222D5"/>
    <w:rsid w:val="00323655"/>
    <w:rsid w:val="003237CC"/>
    <w:rsid w:val="00323BB9"/>
    <w:rsid w:val="00323FB4"/>
    <w:rsid w:val="00324A08"/>
    <w:rsid w:val="0032603C"/>
    <w:rsid w:val="003270B0"/>
    <w:rsid w:val="00327727"/>
    <w:rsid w:val="00327C05"/>
    <w:rsid w:val="0033054F"/>
    <w:rsid w:val="00330F7D"/>
    <w:rsid w:val="00330FA0"/>
    <w:rsid w:val="00332A8B"/>
    <w:rsid w:val="00332A9A"/>
    <w:rsid w:val="0033374D"/>
    <w:rsid w:val="003363AB"/>
    <w:rsid w:val="00336EBE"/>
    <w:rsid w:val="003378C2"/>
    <w:rsid w:val="00340440"/>
    <w:rsid w:val="00340590"/>
    <w:rsid w:val="003406B7"/>
    <w:rsid w:val="00340DE1"/>
    <w:rsid w:val="00341C79"/>
    <w:rsid w:val="003426F9"/>
    <w:rsid w:val="00342F2B"/>
    <w:rsid w:val="003436AC"/>
    <w:rsid w:val="0034512F"/>
    <w:rsid w:val="00345EE0"/>
    <w:rsid w:val="00346224"/>
    <w:rsid w:val="003463EC"/>
    <w:rsid w:val="00346658"/>
    <w:rsid w:val="00346B21"/>
    <w:rsid w:val="003472FC"/>
    <w:rsid w:val="00347BF9"/>
    <w:rsid w:val="00347F59"/>
    <w:rsid w:val="003503C1"/>
    <w:rsid w:val="00350B23"/>
    <w:rsid w:val="00350B3E"/>
    <w:rsid w:val="00351624"/>
    <w:rsid w:val="00351776"/>
    <w:rsid w:val="00352B58"/>
    <w:rsid w:val="00354F63"/>
    <w:rsid w:val="0035543B"/>
    <w:rsid w:val="0035591A"/>
    <w:rsid w:val="00355A20"/>
    <w:rsid w:val="003565BA"/>
    <w:rsid w:val="0036014B"/>
    <w:rsid w:val="00361433"/>
    <w:rsid w:val="00362C99"/>
    <w:rsid w:val="003656A2"/>
    <w:rsid w:val="003657AA"/>
    <w:rsid w:val="00365AB1"/>
    <w:rsid w:val="00365E18"/>
    <w:rsid w:val="003663E2"/>
    <w:rsid w:val="00367010"/>
    <w:rsid w:val="003673E0"/>
    <w:rsid w:val="00370388"/>
    <w:rsid w:val="0037062C"/>
    <w:rsid w:val="003706EE"/>
    <w:rsid w:val="003712DE"/>
    <w:rsid w:val="003713B7"/>
    <w:rsid w:val="00371903"/>
    <w:rsid w:val="0037290D"/>
    <w:rsid w:val="00373727"/>
    <w:rsid w:val="00374FB7"/>
    <w:rsid w:val="0037510E"/>
    <w:rsid w:val="0037691B"/>
    <w:rsid w:val="003773CA"/>
    <w:rsid w:val="00377F16"/>
    <w:rsid w:val="0038030F"/>
    <w:rsid w:val="00380F4A"/>
    <w:rsid w:val="00381817"/>
    <w:rsid w:val="00381851"/>
    <w:rsid w:val="00381895"/>
    <w:rsid w:val="00381A3C"/>
    <w:rsid w:val="003826F6"/>
    <w:rsid w:val="00382701"/>
    <w:rsid w:val="00382895"/>
    <w:rsid w:val="003829D7"/>
    <w:rsid w:val="00382C3A"/>
    <w:rsid w:val="00384152"/>
    <w:rsid w:val="00384791"/>
    <w:rsid w:val="00384C49"/>
    <w:rsid w:val="00384E62"/>
    <w:rsid w:val="003870A3"/>
    <w:rsid w:val="003878B4"/>
    <w:rsid w:val="00390597"/>
    <w:rsid w:val="00390D8A"/>
    <w:rsid w:val="00390F84"/>
    <w:rsid w:val="00392400"/>
    <w:rsid w:val="0039280C"/>
    <w:rsid w:val="00392AD6"/>
    <w:rsid w:val="00392F36"/>
    <w:rsid w:val="003934B4"/>
    <w:rsid w:val="003938EC"/>
    <w:rsid w:val="00393DD8"/>
    <w:rsid w:val="00394131"/>
    <w:rsid w:val="0039460A"/>
    <w:rsid w:val="00395431"/>
    <w:rsid w:val="003958E4"/>
    <w:rsid w:val="00395EBE"/>
    <w:rsid w:val="00395F2E"/>
    <w:rsid w:val="003962BD"/>
    <w:rsid w:val="003963D5"/>
    <w:rsid w:val="00396ACD"/>
    <w:rsid w:val="00396DBD"/>
    <w:rsid w:val="00397522"/>
    <w:rsid w:val="00397829"/>
    <w:rsid w:val="003A03C0"/>
    <w:rsid w:val="003A1C8E"/>
    <w:rsid w:val="003A208F"/>
    <w:rsid w:val="003A2144"/>
    <w:rsid w:val="003A2D93"/>
    <w:rsid w:val="003A3495"/>
    <w:rsid w:val="003A4146"/>
    <w:rsid w:val="003A451E"/>
    <w:rsid w:val="003A454C"/>
    <w:rsid w:val="003A4CC5"/>
    <w:rsid w:val="003A5236"/>
    <w:rsid w:val="003A61C0"/>
    <w:rsid w:val="003A62EE"/>
    <w:rsid w:val="003A7D55"/>
    <w:rsid w:val="003B075F"/>
    <w:rsid w:val="003B1067"/>
    <w:rsid w:val="003B12C3"/>
    <w:rsid w:val="003B36E8"/>
    <w:rsid w:val="003B431E"/>
    <w:rsid w:val="003B46D1"/>
    <w:rsid w:val="003B4895"/>
    <w:rsid w:val="003B6D1A"/>
    <w:rsid w:val="003C0319"/>
    <w:rsid w:val="003C0850"/>
    <w:rsid w:val="003C1842"/>
    <w:rsid w:val="003C1EA8"/>
    <w:rsid w:val="003C26A6"/>
    <w:rsid w:val="003C27EE"/>
    <w:rsid w:val="003C29C7"/>
    <w:rsid w:val="003C4171"/>
    <w:rsid w:val="003C5841"/>
    <w:rsid w:val="003C6594"/>
    <w:rsid w:val="003C6648"/>
    <w:rsid w:val="003D017D"/>
    <w:rsid w:val="003D0403"/>
    <w:rsid w:val="003D1457"/>
    <w:rsid w:val="003D1966"/>
    <w:rsid w:val="003D22C9"/>
    <w:rsid w:val="003D2D8B"/>
    <w:rsid w:val="003D3297"/>
    <w:rsid w:val="003D3A96"/>
    <w:rsid w:val="003D57CE"/>
    <w:rsid w:val="003D5A38"/>
    <w:rsid w:val="003D60F7"/>
    <w:rsid w:val="003D62BC"/>
    <w:rsid w:val="003D6ECC"/>
    <w:rsid w:val="003E1371"/>
    <w:rsid w:val="003E1835"/>
    <w:rsid w:val="003E20A8"/>
    <w:rsid w:val="003E32E9"/>
    <w:rsid w:val="003E3B7C"/>
    <w:rsid w:val="003E4AC5"/>
    <w:rsid w:val="003E4EEE"/>
    <w:rsid w:val="003E50CC"/>
    <w:rsid w:val="003E52E9"/>
    <w:rsid w:val="003E5BC9"/>
    <w:rsid w:val="003E700F"/>
    <w:rsid w:val="003E7B08"/>
    <w:rsid w:val="003E7CB1"/>
    <w:rsid w:val="003F0423"/>
    <w:rsid w:val="003F0B22"/>
    <w:rsid w:val="003F0BCF"/>
    <w:rsid w:val="003F0FD8"/>
    <w:rsid w:val="003F1EF5"/>
    <w:rsid w:val="003F2785"/>
    <w:rsid w:val="003F2EDF"/>
    <w:rsid w:val="003F324E"/>
    <w:rsid w:val="003F3F21"/>
    <w:rsid w:val="003F4133"/>
    <w:rsid w:val="003F478D"/>
    <w:rsid w:val="003F5002"/>
    <w:rsid w:val="003F5D34"/>
    <w:rsid w:val="003F61EF"/>
    <w:rsid w:val="003F6C00"/>
    <w:rsid w:val="003F7802"/>
    <w:rsid w:val="00400396"/>
    <w:rsid w:val="004004A4"/>
    <w:rsid w:val="004004D7"/>
    <w:rsid w:val="0040196F"/>
    <w:rsid w:val="00401E14"/>
    <w:rsid w:val="00402583"/>
    <w:rsid w:val="00402590"/>
    <w:rsid w:val="00403015"/>
    <w:rsid w:val="0040415D"/>
    <w:rsid w:val="004051A0"/>
    <w:rsid w:val="00407E14"/>
    <w:rsid w:val="004105E8"/>
    <w:rsid w:val="00410CD3"/>
    <w:rsid w:val="00410CE5"/>
    <w:rsid w:val="00411902"/>
    <w:rsid w:val="00411E9D"/>
    <w:rsid w:val="004123E2"/>
    <w:rsid w:val="00412841"/>
    <w:rsid w:val="00413B9A"/>
    <w:rsid w:val="00414259"/>
    <w:rsid w:val="00414340"/>
    <w:rsid w:val="00415EF0"/>
    <w:rsid w:val="0041647B"/>
    <w:rsid w:val="00416672"/>
    <w:rsid w:val="004172BC"/>
    <w:rsid w:val="00417747"/>
    <w:rsid w:val="00417B32"/>
    <w:rsid w:val="00421020"/>
    <w:rsid w:val="00421A60"/>
    <w:rsid w:val="004226D5"/>
    <w:rsid w:val="00422C53"/>
    <w:rsid w:val="00422F78"/>
    <w:rsid w:val="004244C9"/>
    <w:rsid w:val="004246DF"/>
    <w:rsid w:val="00424E09"/>
    <w:rsid w:val="00425131"/>
    <w:rsid w:val="00425B57"/>
    <w:rsid w:val="00426A99"/>
    <w:rsid w:val="00427CEC"/>
    <w:rsid w:val="004300B0"/>
    <w:rsid w:val="004304C7"/>
    <w:rsid w:val="00430A80"/>
    <w:rsid w:val="00430D79"/>
    <w:rsid w:val="00430D8E"/>
    <w:rsid w:val="00432060"/>
    <w:rsid w:val="0043247E"/>
    <w:rsid w:val="0043491C"/>
    <w:rsid w:val="00435CB4"/>
    <w:rsid w:val="00436117"/>
    <w:rsid w:val="00436420"/>
    <w:rsid w:val="0043707D"/>
    <w:rsid w:val="00437AA5"/>
    <w:rsid w:val="00440DA8"/>
    <w:rsid w:val="004412FA"/>
    <w:rsid w:val="0044213A"/>
    <w:rsid w:val="00442B08"/>
    <w:rsid w:val="00442D97"/>
    <w:rsid w:val="00443BCB"/>
    <w:rsid w:val="00444DD7"/>
    <w:rsid w:val="00445E3E"/>
    <w:rsid w:val="00446135"/>
    <w:rsid w:val="004468B2"/>
    <w:rsid w:val="004468E6"/>
    <w:rsid w:val="00446E86"/>
    <w:rsid w:val="00450118"/>
    <w:rsid w:val="004501F4"/>
    <w:rsid w:val="00450317"/>
    <w:rsid w:val="00450D7D"/>
    <w:rsid w:val="004519A7"/>
    <w:rsid w:val="00451C2B"/>
    <w:rsid w:val="00452D12"/>
    <w:rsid w:val="004533DB"/>
    <w:rsid w:val="00453B3C"/>
    <w:rsid w:val="00454E8A"/>
    <w:rsid w:val="004551EC"/>
    <w:rsid w:val="004560B1"/>
    <w:rsid w:val="0045674E"/>
    <w:rsid w:val="00457E1E"/>
    <w:rsid w:val="00457E91"/>
    <w:rsid w:val="004603BA"/>
    <w:rsid w:val="00460C9C"/>
    <w:rsid w:val="00460D7A"/>
    <w:rsid w:val="004613E9"/>
    <w:rsid w:val="00461743"/>
    <w:rsid w:val="00461D05"/>
    <w:rsid w:val="00462744"/>
    <w:rsid w:val="0046357E"/>
    <w:rsid w:val="004637AD"/>
    <w:rsid w:val="004637D6"/>
    <w:rsid w:val="0046522C"/>
    <w:rsid w:val="00466191"/>
    <w:rsid w:val="004667B4"/>
    <w:rsid w:val="004670AA"/>
    <w:rsid w:val="0046756F"/>
    <w:rsid w:val="004675E1"/>
    <w:rsid w:val="00467DBE"/>
    <w:rsid w:val="00469282"/>
    <w:rsid w:val="004703F6"/>
    <w:rsid w:val="00470AC8"/>
    <w:rsid w:val="0047163B"/>
    <w:rsid w:val="0047167C"/>
    <w:rsid w:val="004743DA"/>
    <w:rsid w:val="00474676"/>
    <w:rsid w:val="00475245"/>
    <w:rsid w:val="004756BA"/>
    <w:rsid w:val="004759CF"/>
    <w:rsid w:val="00475B9D"/>
    <w:rsid w:val="00480740"/>
    <w:rsid w:val="004835DF"/>
    <w:rsid w:val="004837CF"/>
    <w:rsid w:val="00483ED1"/>
    <w:rsid w:val="00484F61"/>
    <w:rsid w:val="0048511C"/>
    <w:rsid w:val="00485253"/>
    <w:rsid w:val="00485903"/>
    <w:rsid w:val="00487CAA"/>
    <w:rsid w:val="004902D0"/>
    <w:rsid w:val="004905BB"/>
    <w:rsid w:val="0049098A"/>
    <w:rsid w:val="00491511"/>
    <w:rsid w:val="00491B7D"/>
    <w:rsid w:val="00492396"/>
    <w:rsid w:val="00492913"/>
    <w:rsid w:val="00492D67"/>
    <w:rsid w:val="00493193"/>
    <w:rsid w:val="004949AF"/>
    <w:rsid w:val="0049579F"/>
    <w:rsid w:val="00495C8B"/>
    <w:rsid w:val="00496482"/>
    <w:rsid w:val="00496C72"/>
    <w:rsid w:val="004975EE"/>
    <w:rsid w:val="00497C49"/>
    <w:rsid w:val="004A0BA4"/>
    <w:rsid w:val="004A17E7"/>
    <w:rsid w:val="004A19EC"/>
    <w:rsid w:val="004A1DAA"/>
    <w:rsid w:val="004A1E80"/>
    <w:rsid w:val="004A3A6F"/>
    <w:rsid w:val="004A442E"/>
    <w:rsid w:val="004A4799"/>
    <w:rsid w:val="004A4AD7"/>
    <w:rsid w:val="004A5DF8"/>
    <w:rsid w:val="004A5EA8"/>
    <w:rsid w:val="004B0063"/>
    <w:rsid w:val="004B1614"/>
    <w:rsid w:val="004B1DC8"/>
    <w:rsid w:val="004B248A"/>
    <w:rsid w:val="004B284A"/>
    <w:rsid w:val="004B2ABD"/>
    <w:rsid w:val="004B2D7D"/>
    <w:rsid w:val="004B2FCC"/>
    <w:rsid w:val="004B370C"/>
    <w:rsid w:val="004B4799"/>
    <w:rsid w:val="004B4B54"/>
    <w:rsid w:val="004B5988"/>
    <w:rsid w:val="004B72C5"/>
    <w:rsid w:val="004B795D"/>
    <w:rsid w:val="004B7DFC"/>
    <w:rsid w:val="004C0393"/>
    <w:rsid w:val="004C1965"/>
    <w:rsid w:val="004C1DD0"/>
    <w:rsid w:val="004C1FF6"/>
    <w:rsid w:val="004C2279"/>
    <w:rsid w:val="004C361A"/>
    <w:rsid w:val="004C4BDF"/>
    <w:rsid w:val="004C5B13"/>
    <w:rsid w:val="004C7564"/>
    <w:rsid w:val="004C77C5"/>
    <w:rsid w:val="004C788C"/>
    <w:rsid w:val="004C7BB5"/>
    <w:rsid w:val="004D01CA"/>
    <w:rsid w:val="004D0DF1"/>
    <w:rsid w:val="004D1CA1"/>
    <w:rsid w:val="004D41A2"/>
    <w:rsid w:val="004D4AF8"/>
    <w:rsid w:val="004D5B5B"/>
    <w:rsid w:val="004D6105"/>
    <w:rsid w:val="004D63F0"/>
    <w:rsid w:val="004D74CA"/>
    <w:rsid w:val="004E0E9A"/>
    <w:rsid w:val="004E19F9"/>
    <w:rsid w:val="004E1B9D"/>
    <w:rsid w:val="004E35F0"/>
    <w:rsid w:val="004E37CC"/>
    <w:rsid w:val="004E3D97"/>
    <w:rsid w:val="004E3E33"/>
    <w:rsid w:val="004E4806"/>
    <w:rsid w:val="004E49A5"/>
    <w:rsid w:val="004E4D1A"/>
    <w:rsid w:val="004E51A7"/>
    <w:rsid w:val="004E6048"/>
    <w:rsid w:val="004E69EE"/>
    <w:rsid w:val="004E7B68"/>
    <w:rsid w:val="004F0319"/>
    <w:rsid w:val="004F1036"/>
    <w:rsid w:val="004F1188"/>
    <w:rsid w:val="004F1837"/>
    <w:rsid w:val="004F1C18"/>
    <w:rsid w:val="004F401C"/>
    <w:rsid w:val="004F431B"/>
    <w:rsid w:val="004F4F95"/>
    <w:rsid w:val="004F6E1C"/>
    <w:rsid w:val="00500EA9"/>
    <w:rsid w:val="005023E5"/>
    <w:rsid w:val="005024FC"/>
    <w:rsid w:val="00502C68"/>
    <w:rsid w:val="0050313D"/>
    <w:rsid w:val="005035A7"/>
    <w:rsid w:val="005061B3"/>
    <w:rsid w:val="0050651E"/>
    <w:rsid w:val="0050661C"/>
    <w:rsid w:val="00507312"/>
    <w:rsid w:val="00510183"/>
    <w:rsid w:val="00511FBF"/>
    <w:rsid w:val="0051228B"/>
    <w:rsid w:val="00512CE5"/>
    <w:rsid w:val="00514257"/>
    <w:rsid w:val="00514DBC"/>
    <w:rsid w:val="005164AF"/>
    <w:rsid w:val="0051694A"/>
    <w:rsid w:val="00517048"/>
    <w:rsid w:val="005170CE"/>
    <w:rsid w:val="00517205"/>
    <w:rsid w:val="005172ED"/>
    <w:rsid w:val="005178F9"/>
    <w:rsid w:val="00517E54"/>
    <w:rsid w:val="0052075D"/>
    <w:rsid w:val="005208C7"/>
    <w:rsid w:val="00520C33"/>
    <w:rsid w:val="00521577"/>
    <w:rsid w:val="00521C3B"/>
    <w:rsid w:val="00521C6B"/>
    <w:rsid w:val="00523351"/>
    <w:rsid w:val="00523534"/>
    <w:rsid w:val="00523B90"/>
    <w:rsid w:val="00523BD0"/>
    <w:rsid w:val="00524543"/>
    <w:rsid w:val="00524AE8"/>
    <w:rsid w:val="00525351"/>
    <w:rsid w:val="005253DF"/>
    <w:rsid w:val="00525AE1"/>
    <w:rsid w:val="005264EB"/>
    <w:rsid w:val="005266F8"/>
    <w:rsid w:val="00526724"/>
    <w:rsid w:val="00526A17"/>
    <w:rsid w:val="00526D2D"/>
    <w:rsid w:val="00526DA9"/>
    <w:rsid w:val="005277F0"/>
    <w:rsid w:val="0052797F"/>
    <w:rsid w:val="0053044D"/>
    <w:rsid w:val="00531069"/>
    <w:rsid w:val="005313E4"/>
    <w:rsid w:val="005335BF"/>
    <w:rsid w:val="00533C6A"/>
    <w:rsid w:val="005345EA"/>
    <w:rsid w:val="005351E2"/>
    <w:rsid w:val="005355A6"/>
    <w:rsid w:val="00536523"/>
    <w:rsid w:val="0054158B"/>
    <w:rsid w:val="005417E2"/>
    <w:rsid w:val="00542487"/>
    <w:rsid w:val="00542F51"/>
    <w:rsid w:val="005438F8"/>
    <w:rsid w:val="00544722"/>
    <w:rsid w:val="005447C7"/>
    <w:rsid w:val="005451D5"/>
    <w:rsid w:val="005451F9"/>
    <w:rsid w:val="00545359"/>
    <w:rsid w:val="0054552A"/>
    <w:rsid w:val="005457A1"/>
    <w:rsid w:val="00545AC3"/>
    <w:rsid w:val="00545BEC"/>
    <w:rsid w:val="00545C12"/>
    <w:rsid w:val="0054670D"/>
    <w:rsid w:val="00547775"/>
    <w:rsid w:val="005477A2"/>
    <w:rsid w:val="0055024B"/>
    <w:rsid w:val="00550F03"/>
    <w:rsid w:val="00550F06"/>
    <w:rsid w:val="0055140B"/>
    <w:rsid w:val="00551721"/>
    <w:rsid w:val="005518AA"/>
    <w:rsid w:val="00552874"/>
    <w:rsid w:val="0055290C"/>
    <w:rsid w:val="00552A47"/>
    <w:rsid w:val="00554ABE"/>
    <w:rsid w:val="00554B5A"/>
    <w:rsid w:val="00554B6D"/>
    <w:rsid w:val="00554BBD"/>
    <w:rsid w:val="005556C3"/>
    <w:rsid w:val="00556614"/>
    <w:rsid w:val="005576DE"/>
    <w:rsid w:val="00557BB6"/>
    <w:rsid w:val="005609C9"/>
    <w:rsid w:val="00560E0B"/>
    <w:rsid w:val="00560FB5"/>
    <w:rsid w:val="0056134D"/>
    <w:rsid w:val="0056428A"/>
    <w:rsid w:val="005646EB"/>
    <w:rsid w:val="0056482C"/>
    <w:rsid w:val="00565563"/>
    <w:rsid w:val="00566213"/>
    <w:rsid w:val="005665CF"/>
    <w:rsid w:val="00567036"/>
    <w:rsid w:val="005678E4"/>
    <w:rsid w:val="00570455"/>
    <w:rsid w:val="00570468"/>
    <w:rsid w:val="00570E26"/>
    <w:rsid w:val="00570EAC"/>
    <w:rsid w:val="005716EF"/>
    <w:rsid w:val="00571926"/>
    <w:rsid w:val="0057198F"/>
    <w:rsid w:val="005723C9"/>
    <w:rsid w:val="00572F9B"/>
    <w:rsid w:val="00573120"/>
    <w:rsid w:val="00573799"/>
    <w:rsid w:val="0057398B"/>
    <w:rsid w:val="00574882"/>
    <w:rsid w:val="0057617C"/>
    <w:rsid w:val="0057652D"/>
    <w:rsid w:val="00576AFB"/>
    <w:rsid w:val="0057B51B"/>
    <w:rsid w:val="0058046F"/>
    <w:rsid w:val="005804F7"/>
    <w:rsid w:val="00580535"/>
    <w:rsid w:val="00580A17"/>
    <w:rsid w:val="00580AFA"/>
    <w:rsid w:val="00581885"/>
    <w:rsid w:val="00582149"/>
    <w:rsid w:val="00582810"/>
    <w:rsid w:val="0058340F"/>
    <w:rsid w:val="00583A47"/>
    <w:rsid w:val="00584D6C"/>
    <w:rsid w:val="00584D9F"/>
    <w:rsid w:val="0058505E"/>
    <w:rsid w:val="005857CF"/>
    <w:rsid w:val="00585A96"/>
    <w:rsid w:val="0058674E"/>
    <w:rsid w:val="005868AE"/>
    <w:rsid w:val="00587490"/>
    <w:rsid w:val="00587545"/>
    <w:rsid w:val="00587FD7"/>
    <w:rsid w:val="005907D8"/>
    <w:rsid w:val="005907F2"/>
    <w:rsid w:val="005916C7"/>
    <w:rsid w:val="00591A39"/>
    <w:rsid w:val="00593617"/>
    <w:rsid w:val="00594171"/>
    <w:rsid w:val="00594589"/>
    <w:rsid w:val="00595540"/>
    <w:rsid w:val="00595624"/>
    <w:rsid w:val="00595760"/>
    <w:rsid w:val="00595C0A"/>
    <w:rsid w:val="00595E49"/>
    <w:rsid w:val="005963C8"/>
    <w:rsid w:val="0059734F"/>
    <w:rsid w:val="00597D4F"/>
    <w:rsid w:val="005A0303"/>
    <w:rsid w:val="005A093B"/>
    <w:rsid w:val="005A0E1D"/>
    <w:rsid w:val="005A1250"/>
    <w:rsid w:val="005A129C"/>
    <w:rsid w:val="005A1D3B"/>
    <w:rsid w:val="005A32B6"/>
    <w:rsid w:val="005A3D75"/>
    <w:rsid w:val="005A4C1B"/>
    <w:rsid w:val="005A579A"/>
    <w:rsid w:val="005A61F4"/>
    <w:rsid w:val="005A620B"/>
    <w:rsid w:val="005A67F0"/>
    <w:rsid w:val="005A6961"/>
    <w:rsid w:val="005A69D1"/>
    <w:rsid w:val="005A6C9E"/>
    <w:rsid w:val="005A6FAF"/>
    <w:rsid w:val="005B199B"/>
    <w:rsid w:val="005B2C74"/>
    <w:rsid w:val="005B3211"/>
    <w:rsid w:val="005B3B87"/>
    <w:rsid w:val="005B3C86"/>
    <w:rsid w:val="005B3EB7"/>
    <w:rsid w:val="005B419E"/>
    <w:rsid w:val="005B46A6"/>
    <w:rsid w:val="005B4C05"/>
    <w:rsid w:val="005B4E37"/>
    <w:rsid w:val="005B4F39"/>
    <w:rsid w:val="005B4FC9"/>
    <w:rsid w:val="005B53BD"/>
    <w:rsid w:val="005B5616"/>
    <w:rsid w:val="005B5749"/>
    <w:rsid w:val="005B5FA6"/>
    <w:rsid w:val="005B77EC"/>
    <w:rsid w:val="005B790B"/>
    <w:rsid w:val="005B7ED9"/>
    <w:rsid w:val="005C0F37"/>
    <w:rsid w:val="005C29C8"/>
    <w:rsid w:val="005C3256"/>
    <w:rsid w:val="005C3AAC"/>
    <w:rsid w:val="005C4CA8"/>
    <w:rsid w:val="005C5369"/>
    <w:rsid w:val="005C5B73"/>
    <w:rsid w:val="005C7490"/>
    <w:rsid w:val="005D0371"/>
    <w:rsid w:val="005D10AE"/>
    <w:rsid w:val="005D1131"/>
    <w:rsid w:val="005D118E"/>
    <w:rsid w:val="005D1589"/>
    <w:rsid w:val="005D1E48"/>
    <w:rsid w:val="005D32DD"/>
    <w:rsid w:val="005D3B9A"/>
    <w:rsid w:val="005D3D73"/>
    <w:rsid w:val="005D3FA6"/>
    <w:rsid w:val="005D541E"/>
    <w:rsid w:val="005D564E"/>
    <w:rsid w:val="005D56A8"/>
    <w:rsid w:val="005D6013"/>
    <w:rsid w:val="005D6AF3"/>
    <w:rsid w:val="005D6CDA"/>
    <w:rsid w:val="005D7F78"/>
    <w:rsid w:val="005E0232"/>
    <w:rsid w:val="005E044B"/>
    <w:rsid w:val="005E07A1"/>
    <w:rsid w:val="005E1DEE"/>
    <w:rsid w:val="005E1E16"/>
    <w:rsid w:val="005E24C3"/>
    <w:rsid w:val="005E2B04"/>
    <w:rsid w:val="005E2B47"/>
    <w:rsid w:val="005E2E2F"/>
    <w:rsid w:val="005E2FC3"/>
    <w:rsid w:val="005E3BD8"/>
    <w:rsid w:val="005E4EA4"/>
    <w:rsid w:val="005E4F5E"/>
    <w:rsid w:val="005E5005"/>
    <w:rsid w:val="005E5716"/>
    <w:rsid w:val="005E57C0"/>
    <w:rsid w:val="005E6429"/>
    <w:rsid w:val="005E64AD"/>
    <w:rsid w:val="005E7485"/>
    <w:rsid w:val="005E791B"/>
    <w:rsid w:val="005E7D43"/>
    <w:rsid w:val="005F0CA0"/>
    <w:rsid w:val="005F3693"/>
    <w:rsid w:val="005F510B"/>
    <w:rsid w:val="005F6856"/>
    <w:rsid w:val="005F69D3"/>
    <w:rsid w:val="005F6C95"/>
    <w:rsid w:val="005F7717"/>
    <w:rsid w:val="006002FD"/>
    <w:rsid w:val="00600C05"/>
    <w:rsid w:val="00600E34"/>
    <w:rsid w:val="00601C61"/>
    <w:rsid w:val="006024C5"/>
    <w:rsid w:val="006026A1"/>
    <w:rsid w:val="006049AC"/>
    <w:rsid w:val="00605BB3"/>
    <w:rsid w:val="00606ECC"/>
    <w:rsid w:val="00606F7B"/>
    <w:rsid w:val="0060741A"/>
    <w:rsid w:val="00610455"/>
    <w:rsid w:val="006108B7"/>
    <w:rsid w:val="00610CEF"/>
    <w:rsid w:val="006111B8"/>
    <w:rsid w:val="006116D2"/>
    <w:rsid w:val="0061271D"/>
    <w:rsid w:val="00613AD3"/>
    <w:rsid w:val="00614322"/>
    <w:rsid w:val="006152A8"/>
    <w:rsid w:val="00615FF9"/>
    <w:rsid w:val="00616190"/>
    <w:rsid w:val="006172B8"/>
    <w:rsid w:val="00617A40"/>
    <w:rsid w:val="00620225"/>
    <w:rsid w:val="00620679"/>
    <w:rsid w:val="00620C7C"/>
    <w:rsid w:val="00621A4E"/>
    <w:rsid w:val="00621EE6"/>
    <w:rsid w:val="00622B06"/>
    <w:rsid w:val="0062308D"/>
    <w:rsid w:val="00623736"/>
    <w:rsid w:val="006243B0"/>
    <w:rsid w:val="006247EC"/>
    <w:rsid w:val="00626105"/>
    <w:rsid w:val="00631B97"/>
    <w:rsid w:val="0063244B"/>
    <w:rsid w:val="00635BA6"/>
    <w:rsid w:val="00636FFD"/>
    <w:rsid w:val="00637300"/>
    <w:rsid w:val="00640D2A"/>
    <w:rsid w:val="00642B41"/>
    <w:rsid w:val="0064329B"/>
    <w:rsid w:val="0064385F"/>
    <w:rsid w:val="006439FC"/>
    <w:rsid w:val="00643A4F"/>
    <w:rsid w:val="00643E63"/>
    <w:rsid w:val="0064441A"/>
    <w:rsid w:val="00644AF6"/>
    <w:rsid w:val="00644B69"/>
    <w:rsid w:val="00644C43"/>
    <w:rsid w:val="00646514"/>
    <w:rsid w:val="00650414"/>
    <w:rsid w:val="00650487"/>
    <w:rsid w:val="00650654"/>
    <w:rsid w:val="006508FE"/>
    <w:rsid w:val="00650E57"/>
    <w:rsid w:val="00651B5E"/>
    <w:rsid w:val="0065239D"/>
    <w:rsid w:val="0065263F"/>
    <w:rsid w:val="00652D09"/>
    <w:rsid w:val="00654CFC"/>
    <w:rsid w:val="00655179"/>
    <w:rsid w:val="00655FFA"/>
    <w:rsid w:val="00656947"/>
    <w:rsid w:val="0065755A"/>
    <w:rsid w:val="00657A1B"/>
    <w:rsid w:val="00657A9B"/>
    <w:rsid w:val="006601C1"/>
    <w:rsid w:val="006608CC"/>
    <w:rsid w:val="006611F0"/>
    <w:rsid w:val="00661BA5"/>
    <w:rsid w:val="006621C4"/>
    <w:rsid w:val="00662D9C"/>
    <w:rsid w:val="00663376"/>
    <w:rsid w:val="006636FE"/>
    <w:rsid w:val="006654AB"/>
    <w:rsid w:val="0066575D"/>
    <w:rsid w:val="00665DB0"/>
    <w:rsid w:val="00665F44"/>
    <w:rsid w:val="00666AE2"/>
    <w:rsid w:val="00670C78"/>
    <w:rsid w:val="0067192A"/>
    <w:rsid w:val="00672B1F"/>
    <w:rsid w:val="00672EBB"/>
    <w:rsid w:val="00672F65"/>
    <w:rsid w:val="00672F81"/>
    <w:rsid w:val="00672FA8"/>
    <w:rsid w:val="006730E5"/>
    <w:rsid w:val="00673257"/>
    <w:rsid w:val="00673AD1"/>
    <w:rsid w:val="00673D9A"/>
    <w:rsid w:val="006753FA"/>
    <w:rsid w:val="006763EF"/>
    <w:rsid w:val="0068007F"/>
    <w:rsid w:val="00680870"/>
    <w:rsid w:val="006810C8"/>
    <w:rsid w:val="00681372"/>
    <w:rsid w:val="006814D2"/>
    <w:rsid w:val="00681802"/>
    <w:rsid w:val="00681A1D"/>
    <w:rsid w:val="00681CCE"/>
    <w:rsid w:val="00683139"/>
    <w:rsid w:val="006831C5"/>
    <w:rsid w:val="006845A0"/>
    <w:rsid w:val="0068530D"/>
    <w:rsid w:val="006858C9"/>
    <w:rsid w:val="00685EA1"/>
    <w:rsid w:val="00687318"/>
    <w:rsid w:val="006878A3"/>
    <w:rsid w:val="00690092"/>
    <w:rsid w:val="00690D07"/>
    <w:rsid w:val="0069168E"/>
    <w:rsid w:val="00691CFB"/>
    <w:rsid w:val="006929A3"/>
    <w:rsid w:val="0069341A"/>
    <w:rsid w:val="00693430"/>
    <w:rsid w:val="006936F7"/>
    <w:rsid w:val="00693D90"/>
    <w:rsid w:val="006947CF"/>
    <w:rsid w:val="0069516D"/>
    <w:rsid w:val="00695454"/>
    <w:rsid w:val="00695CFC"/>
    <w:rsid w:val="00696A46"/>
    <w:rsid w:val="00696D86"/>
    <w:rsid w:val="006A1393"/>
    <w:rsid w:val="006A1A23"/>
    <w:rsid w:val="006A2408"/>
    <w:rsid w:val="006A243A"/>
    <w:rsid w:val="006A2E45"/>
    <w:rsid w:val="006A48A6"/>
    <w:rsid w:val="006A4DA9"/>
    <w:rsid w:val="006A6947"/>
    <w:rsid w:val="006A7306"/>
    <w:rsid w:val="006A748C"/>
    <w:rsid w:val="006A76E2"/>
    <w:rsid w:val="006A7D36"/>
    <w:rsid w:val="006A7EC6"/>
    <w:rsid w:val="006B03BC"/>
    <w:rsid w:val="006B2B02"/>
    <w:rsid w:val="006B41DA"/>
    <w:rsid w:val="006B55F4"/>
    <w:rsid w:val="006B6696"/>
    <w:rsid w:val="006B66BC"/>
    <w:rsid w:val="006B6E48"/>
    <w:rsid w:val="006B71B4"/>
    <w:rsid w:val="006B7865"/>
    <w:rsid w:val="006B7D3B"/>
    <w:rsid w:val="006C01AD"/>
    <w:rsid w:val="006C1443"/>
    <w:rsid w:val="006C1716"/>
    <w:rsid w:val="006C1942"/>
    <w:rsid w:val="006C3110"/>
    <w:rsid w:val="006C4388"/>
    <w:rsid w:val="006C476D"/>
    <w:rsid w:val="006C4881"/>
    <w:rsid w:val="006C4A1B"/>
    <w:rsid w:val="006C5D71"/>
    <w:rsid w:val="006C67B7"/>
    <w:rsid w:val="006D0526"/>
    <w:rsid w:val="006D0CCF"/>
    <w:rsid w:val="006D0F5E"/>
    <w:rsid w:val="006D2455"/>
    <w:rsid w:val="006D24D4"/>
    <w:rsid w:val="006D2D55"/>
    <w:rsid w:val="006D4C9D"/>
    <w:rsid w:val="006D5DA2"/>
    <w:rsid w:val="006D6026"/>
    <w:rsid w:val="006D6081"/>
    <w:rsid w:val="006D6CC9"/>
    <w:rsid w:val="006D7238"/>
    <w:rsid w:val="006D7E8B"/>
    <w:rsid w:val="006E0379"/>
    <w:rsid w:val="006E0C6E"/>
    <w:rsid w:val="006E10DC"/>
    <w:rsid w:val="006E13D6"/>
    <w:rsid w:val="006E1C3D"/>
    <w:rsid w:val="006E2A43"/>
    <w:rsid w:val="006E2A69"/>
    <w:rsid w:val="006E2CF1"/>
    <w:rsid w:val="006E2DC0"/>
    <w:rsid w:val="006E2F07"/>
    <w:rsid w:val="006E3BF7"/>
    <w:rsid w:val="006E3C58"/>
    <w:rsid w:val="006E4192"/>
    <w:rsid w:val="006E41EE"/>
    <w:rsid w:val="006E4A75"/>
    <w:rsid w:val="006E5EEA"/>
    <w:rsid w:val="006E68F0"/>
    <w:rsid w:val="006E7B6B"/>
    <w:rsid w:val="006E7FE4"/>
    <w:rsid w:val="006F0883"/>
    <w:rsid w:val="006F0EE8"/>
    <w:rsid w:val="006F11A1"/>
    <w:rsid w:val="006F1372"/>
    <w:rsid w:val="006F2A48"/>
    <w:rsid w:val="006F2FC8"/>
    <w:rsid w:val="006F38E0"/>
    <w:rsid w:val="006F4F06"/>
    <w:rsid w:val="006F5993"/>
    <w:rsid w:val="006F6084"/>
    <w:rsid w:val="006F60CD"/>
    <w:rsid w:val="006F60D8"/>
    <w:rsid w:val="006F6553"/>
    <w:rsid w:val="006F787D"/>
    <w:rsid w:val="006F7EFE"/>
    <w:rsid w:val="00701843"/>
    <w:rsid w:val="00702037"/>
    <w:rsid w:val="007029FE"/>
    <w:rsid w:val="0070326B"/>
    <w:rsid w:val="00703E7D"/>
    <w:rsid w:val="00703E98"/>
    <w:rsid w:val="0070481B"/>
    <w:rsid w:val="00705AF4"/>
    <w:rsid w:val="00705FF5"/>
    <w:rsid w:val="00706372"/>
    <w:rsid w:val="00707970"/>
    <w:rsid w:val="00710643"/>
    <w:rsid w:val="00711878"/>
    <w:rsid w:val="00712963"/>
    <w:rsid w:val="007129A5"/>
    <w:rsid w:val="00713F8E"/>
    <w:rsid w:val="00714B4A"/>
    <w:rsid w:val="00714F4F"/>
    <w:rsid w:val="0071516F"/>
    <w:rsid w:val="0072054D"/>
    <w:rsid w:val="007214DD"/>
    <w:rsid w:val="00721B16"/>
    <w:rsid w:val="00721BF9"/>
    <w:rsid w:val="00721F38"/>
    <w:rsid w:val="0072242E"/>
    <w:rsid w:val="0072251E"/>
    <w:rsid w:val="00722908"/>
    <w:rsid w:val="00722D9F"/>
    <w:rsid w:val="00723875"/>
    <w:rsid w:val="00723C35"/>
    <w:rsid w:val="00723F0A"/>
    <w:rsid w:val="00724A6E"/>
    <w:rsid w:val="00724A84"/>
    <w:rsid w:val="00725717"/>
    <w:rsid w:val="00725ED5"/>
    <w:rsid w:val="00726CBF"/>
    <w:rsid w:val="007273C7"/>
    <w:rsid w:val="00727AC9"/>
    <w:rsid w:val="00727F43"/>
    <w:rsid w:val="007305F2"/>
    <w:rsid w:val="00730CAF"/>
    <w:rsid w:val="00731066"/>
    <w:rsid w:val="007310F7"/>
    <w:rsid w:val="007317B0"/>
    <w:rsid w:val="00732A07"/>
    <w:rsid w:val="0073360D"/>
    <w:rsid w:val="00733751"/>
    <w:rsid w:val="00734CDB"/>
    <w:rsid w:val="00735596"/>
    <w:rsid w:val="00735E95"/>
    <w:rsid w:val="00736A58"/>
    <w:rsid w:val="00736B3A"/>
    <w:rsid w:val="007376CB"/>
    <w:rsid w:val="00740733"/>
    <w:rsid w:val="0074154C"/>
    <w:rsid w:val="007418E4"/>
    <w:rsid w:val="00742DB4"/>
    <w:rsid w:val="007430E9"/>
    <w:rsid w:val="00743607"/>
    <w:rsid w:val="00744787"/>
    <w:rsid w:val="00745007"/>
    <w:rsid w:val="007455C2"/>
    <w:rsid w:val="00745842"/>
    <w:rsid w:val="00746A97"/>
    <w:rsid w:val="00746D83"/>
    <w:rsid w:val="00747D31"/>
    <w:rsid w:val="00747E21"/>
    <w:rsid w:val="007503E5"/>
    <w:rsid w:val="007509B3"/>
    <w:rsid w:val="0075183E"/>
    <w:rsid w:val="0075186F"/>
    <w:rsid w:val="00751E4A"/>
    <w:rsid w:val="007526E4"/>
    <w:rsid w:val="00752858"/>
    <w:rsid w:val="007532FC"/>
    <w:rsid w:val="00753AA9"/>
    <w:rsid w:val="0075565C"/>
    <w:rsid w:val="007560A6"/>
    <w:rsid w:val="00756B7D"/>
    <w:rsid w:val="00756C1A"/>
    <w:rsid w:val="007571B9"/>
    <w:rsid w:val="00757739"/>
    <w:rsid w:val="00757BB3"/>
    <w:rsid w:val="007609E3"/>
    <w:rsid w:val="00762862"/>
    <w:rsid w:val="007635A4"/>
    <w:rsid w:val="00763FB5"/>
    <w:rsid w:val="00765D9B"/>
    <w:rsid w:val="00765E4C"/>
    <w:rsid w:val="007666CC"/>
    <w:rsid w:val="00766891"/>
    <w:rsid w:val="00766CD1"/>
    <w:rsid w:val="00766DF3"/>
    <w:rsid w:val="00770611"/>
    <w:rsid w:val="00771DD4"/>
    <w:rsid w:val="00771F45"/>
    <w:rsid w:val="00771FC1"/>
    <w:rsid w:val="00772A94"/>
    <w:rsid w:val="00772B47"/>
    <w:rsid w:val="00772D2B"/>
    <w:rsid w:val="00773BB9"/>
    <w:rsid w:val="007745A2"/>
    <w:rsid w:val="00774F56"/>
    <w:rsid w:val="00775B11"/>
    <w:rsid w:val="00776337"/>
    <w:rsid w:val="00776A0C"/>
    <w:rsid w:val="00776D88"/>
    <w:rsid w:val="007773CC"/>
    <w:rsid w:val="00777743"/>
    <w:rsid w:val="00777988"/>
    <w:rsid w:val="00780567"/>
    <w:rsid w:val="007808A2"/>
    <w:rsid w:val="007811C2"/>
    <w:rsid w:val="0078152D"/>
    <w:rsid w:val="007823EA"/>
    <w:rsid w:val="0078290D"/>
    <w:rsid w:val="00782E7A"/>
    <w:rsid w:val="00784721"/>
    <w:rsid w:val="00784DE7"/>
    <w:rsid w:val="0078553E"/>
    <w:rsid w:val="00785A9D"/>
    <w:rsid w:val="00785E02"/>
    <w:rsid w:val="00786040"/>
    <w:rsid w:val="00786089"/>
    <w:rsid w:val="0078719A"/>
    <w:rsid w:val="007901BE"/>
    <w:rsid w:val="0079040F"/>
    <w:rsid w:val="0079055E"/>
    <w:rsid w:val="0079088C"/>
    <w:rsid w:val="00790AA0"/>
    <w:rsid w:val="0079114F"/>
    <w:rsid w:val="00791D95"/>
    <w:rsid w:val="007958D5"/>
    <w:rsid w:val="00796B33"/>
    <w:rsid w:val="007971AD"/>
    <w:rsid w:val="007979E7"/>
    <w:rsid w:val="00797BDF"/>
    <w:rsid w:val="00797EEA"/>
    <w:rsid w:val="00797F53"/>
    <w:rsid w:val="007A0962"/>
    <w:rsid w:val="007A0D2A"/>
    <w:rsid w:val="007A0E13"/>
    <w:rsid w:val="007A2B82"/>
    <w:rsid w:val="007A3E20"/>
    <w:rsid w:val="007A3E42"/>
    <w:rsid w:val="007A3EC0"/>
    <w:rsid w:val="007A4320"/>
    <w:rsid w:val="007A44CD"/>
    <w:rsid w:val="007A59BB"/>
    <w:rsid w:val="007A6171"/>
    <w:rsid w:val="007A64D1"/>
    <w:rsid w:val="007A6FB9"/>
    <w:rsid w:val="007A7324"/>
    <w:rsid w:val="007A7458"/>
    <w:rsid w:val="007A7542"/>
    <w:rsid w:val="007A7614"/>
    <w:rsid w:val="007A770A"/>
    <w:rsid w:val="007A7E84"/>
    <w:rsid w:val="007A7F56"/>
    <w:rsid w:val="007B09BA"/>
    <w:rsid w:val="007B0B60"/>
    <w:rsid w:val="007B0CB6"/>
    <w:rsid w:val="007B12F9"/>
    <w:rsid w:val="007B14B1"/>
    <w:rsid w:val="007B22B4"/>
    <w:rsid w:val="007B23F7"/>
    <w:rsid w:val="007B2B3D"/>
    <w:rsid w:val="007B2F45"/>
    <w:rsid w:val="007B4174"/>
    <w:rsid w:val="007B4645"/>
    <w:rsid w:val="007B4832"/>
    <w:rsid w:val="007B4E44"/>
    <w:rsid w:val="007B55B6"/>
    <w:rsid w:val="007B658A"/>
    <w:rsid w:val="007B71CE"/>
    <w:rsid w:val="007B7D26"/>
    <w:rsid w:val="007C06BA"/>
    <w:rsid w:val="007C0AB9"/>
    <w:rsid w:val="007C0D34"/>
    <w:rsid w:val="007C0F47"/>
    <w:rsid w:val="007C0FDD"/>
    <w:rsid w:val="007C1684"/>
    <w:rsid w:val="007C172F"/>
    <w:rsid w:val="007C245E"/>
    <w:rsid w:val="007C3906"/>
    <w:rsid w:val="007C3908"/>
    <w:rsid w:val="007C51A5"/>
    <w:rsid w:val="007C546F"/>
    <w:rsid w:val="007C5670"/>
    <w:rsid w:val="007C6565"/>
    <w:rsid w:val="007C6717"/>
    <w:rsid w:val="007C687F"/>
    <w:rsid w:val="007C7C71"/>
    <w:rsid w:val="007C7EBE"/>
    <w:rsid w:val="007D0861"/>
    <w:rsid w:val="007D16E5"/>
    <w:rsid w:val="007D1D0E"/>
    <w:rsid w:val="007D3D93"/>
    <w:rsid w:val="007D59BD"/>
    <w:rsid w:val="007D5F26"/>
    <w:rsid w:val="007D6343"/>
    <w:rsid w:val="007D6C67"/>
    <w:rsid w:val="007D6D39"/>
    <w:rsid w:val="007D6FAB"/>
    <w:rsid w:val="007E010B"/>
    <w:rsid w:val="007E050F"/>
    <w:rsid w:val="007E07E2"/>
    <w:rsid w:val="007E0D9F"/>
    <w:rsid w:val="007E1F24"/>
    <w:rsid w:val="007E21BF"/>
    <w:rsid w:val="007E2B1A"/>
    <w:rsid w:val="007E2FC8"/>
    <w:rsid w:val="007E3C65"/>
    <w:rsid w:val="007E4FA6"/>
    <w:rsid w:val="007E5621"/>
    <w:rsid w:val="007E56A1"/>
    <w:rsid w:val="007E62F3"/>
    <w:rsid w:val="007E70E6"/>
    <w:rsid w:val="007E766B"/>
    <w:rsid w:val="007E7D1A"/>
    <w:rsid w:val="007F047B"/>
    <w:rsid w:val="007F13E0"/>
    <w:rsid w:val="007F1ADD"/>
    <w:rsid w:val="007F1B76"/>
    <w:rsid w:val="007F1E2C"/>
    <w:rsid w:val="007F22FA"/>
    <w:rsid w:val="007F2A11"/>
    <w:rsid w:val="007F2D34"/>
    <w:rsid w:val="007F47A3"/>
    <w:rsid w:val="007F5C60"/>
    <w:rsid w:val="007F693D"/>
    <w:rsid w:val="007F6A92"/>
    <w:rsid w:val="007F75CE"/>
    <w:rsid w:val="007F77A8"/>
    <w:rsid w:val="00800740"/>
    <w:rsid w:val="00800AB4"/>
    <w:rsid w:val="00800BA4"/>
    <w:rsid w:val="008019F6"/>
    <w:rsid w:val="00801F47"/>
    <w:rsid w:val="00802663"/>
    <w:rsid w:val="00802675"/>
    <w:rsid w:val="00802FC2"/>
    <w:rsid w:val="008031B5"/>
    <w:rsid w:val="00803989"/>
    <w:rsid w:val="00803F9F"/>
    <w:rsid w:val="00804154"/>
    <w:rsid w:val="008057A3"/>
    <w:rsid w:val="00805B21"/>
    <w:rsid w:val="0080733B"/>
    <w:rsid w:val="008077D5"/>
    <w:rsid w:val="008110C3"/>
    <w:rsid w:val="008114CA"/>
    <w:rsid w:val="00811F73"/>
    <w:rsid w:val="00812881"/>
    <w:rsid w:val="00812DA9"/>
    <w:rsid w:val="00812DBD"/>
    <w:rsid w:val="00812F4A"/>
    <w:rsid w:val="00813331"/>
    <w:rsid w:val="0081426B"/>
    <w:rsid w:val="00814518"/>
    <w:rsid w:val="00815C60"/>
    <w:rsid w:val="00815CA0"/>
    <w:rsid w:val="00815CA9"/>
    <w:rsid w:val="00815DE8"/>
    <w:rsid w:val="00816024"/>
    <w:rsid w:val="008163CB"/>
    <w:rsid w:val="008204DF"/>
    <w:rsid w:val="00820AD0"/>
    <w:rsid w:val="008218BA"/>
    <w:rsid w:val="0082237B"/>
    <w:rsid w:val="00824264"/>
    <w:rsid w:val="00826056"/>
    <w:rsid w:val="00827075"/>
    <w:rsid w:val="0083008D"/>
    <w:rsid w:val="0083113A"/>
    <w:rsid w:val="00831C9A"/>
    <w:rsid w:val="00832424"/>
    <w:rsid w:val="00832930"/>
    <w:rsid w:val="00832AF7"/>
    <w:rsid w:val="00832CE7"/>
    <w:rsid w:val="00833078"/>
    <w:rsid w:val="0083357F"/>
    <w:rsid w:val="00834B3D"/>
    <w:rsid w:val="00834DC6"/>
    <w:rsid w:val="00836066"/>
    <w:rsid w:val="00836989"/>
    <w:rsid w:val="0083787B"/>
    <w:rsid w:val="00837D1D"/>
    <w:rsid w:val="00837D91"/>
    <w:rsid w:val="0084071E"/>
    <w:rsid w:val="00840983"/>
    <w:rsid w:val="00841AB4"/>
    <w:rsid w:val="00842184"/>
    <w:rsid w:val="0084302C"/>
    <w:rsid w:val="0084443C"/>
    <w:rsid w:val="008447B3"/>
    <w:rsid w:val="00844967"/>
    <w:rsid w:val="00844DA5"/>
    <w:rsid w:val="00844E69"/>
    <w:rsid w:val="00845159"/>
    <w:rsid w:val="0084539B"/>
    <w:rsid w:val="00845CF6"/>
    <w:rsid w:val="00846198"/>
    <w:rsid w:val="00846632"/>
    <w:rsid w:val="00850CCB"/>
    <w:rsid w:val="00850FC5"/>
    <w:rsid w:val="00851429"/>
    <w:rsid w:val="00851AF2"/>
    <w:rsid w:val="00852903"/>
    <w:rsid w:val="00853517"/>
    <w:rsid w:val="008535FB"/>
    <w:rsid w:val="0085398F"/>
    <w:rsid w:val="00853EA2"/>
    <w:rsid w:val="00854345"/>
    <w:rsid w:val="0085570C"/>
    <w:rsid w:val="008566D2"/>
    <w:rsid w:val="00856EA0"/>
    <w:rsid w:val="008572F8"/>
    <w:rsid w:val="008579B0"/>
    <w:rsid w:val="008608A1"/>
    <w:rsid w:val="00860DE1"/>
    <w:rsid w:val="00861197"/>
    <w:rsid w:val="0086236B"/>
    <w:rsid w:val="008624CC"/>
    <w:rsid w:val="00862902"/>
    <w:rsid w:val="00862D1A"/>
    <w:rsid w:val="00863EF7"/>
    <w:rsid w:val="00864852"/>
    <w:rsid w:val="008657AD"/>
    <w:rsid w:val="008657F4"/>
    <w:rsid w:val="00866D90"/>
    <w:rsid w:val="00866DA5"/>
    <w:rsid w:val="008704D7"/>
    <w:rsid w:val="00871909"/>
    <w:rsid w:val="008722B4"/>
    <w:rsid w:val="008744AC"/>
    <w:rsid w:val="00874BE2"/>
    <w:rsid w:val="00875C42"/>
    <w:rsid w:val="008769C2"/>
    <w:rsid w:val="0087731D"/>
    <w:rsid w:val="00877C2F"/>
    <w:rsid w:val="00877D3D"/>
    <w:rsid w:val="00880D96"/>
    <w:rsid w:val="008827D6"/>
    <w:rsid w:val="00883A50"/>
    <w:rsid w:val="00883FA9"/>
    <w:rsid w:val="00884051"/>
    <w:rsid w:val="0088411F"/>
    <w:rsid w:val="008856D0"/>
    <w:rsid w:val="00885DDA"/>
    <w:rsid w:val="00885EA4"/>
    <w:rsid w:val="00885FFB"/>
    <w:rsid w:val="00887E21"/>
    <w:rsid w:val="0088F7F7"/>
    <w:rsid w:val="008903C2"/>
    <w:rsid w:val="0089099B"/>
    <w:rsid w:val="00891A7C"/>
    <w:rsid w:val="0089247F"/>
    <w:rsid w:val="008925AB"/>
    <w:rsid w:val="00893B24"/>
    <w:rsid w:val="0089407E"/>
    <w:rsid w:val="00894130"/>
    <w:rsid w:val="00894227"/>
    <w:rsid w:val="0089504A"/>
    <w:rsid w:val="0089602E"/>
    <w:rsid w:val="008A17A9"/>
    <w:rsid w:val="008A2259"/>
    <w:rsid w:val="008A2ACC"/>
    <w:rsid w:val="008A2BE4"/>
    <w:rsid w:val="008A2DF4"/>
    <w:rsid w:val="008A336D"/>
    <w:rsid w:val="008A3ED2"/>
    <w:rsid w:val="008A3FD7"/>
    <w:rsid w:val="008A4301"/>
    <w:rsid w:val="008A467D"/>
    <w:rsid w:val="008A4C7A"/>
    <w:rsid w:val="008A5111"/>
    <w:rsid w:val="008A5570"/>
    <w:rsid w:val="008A6881"/>
    <w:rsid w:val="008B045F"/>
    <w:rsid w:val="008B0D8B"/>
    <w:rsid w:val="008B1573"/>
    <w:rsid w:val="008B2876"/>
    <w:rsid w:val="008B2EC3"/>
    <w:rsid w:val="008B2FBB"/>
    <w:rsid w:val="008B33CA"/>
    <w:rsid w:val="008B3B20"/>
    <w:rsid w:val="008B5770"/>
    <w:rsid w:val="008B5EFF"/>
    <w:rsid w:val="008B6B57"/>
    <w:rsid w:val="008B7AEF"/>
    <w:rsid w:val="008C0CCA"/>
    <w:rsid w:val="008C1030"/>
    <w:rsid w:val="008C170D"/>
    <w:rsid w:val="008C2266"/>
    <w:rsid w:val="008C258D"/>
    <w:rsid w:val="008C3852"/>
    <w:rsid w:val="008C4624"/>
    <w:rsid w:val="008C6E80"/>
    <w:rsid w:val="008C712D"/>
    <w:rsid w:val="008C7170"/>
    <w:rsid w:val="008C748C"/>
    <w:rsid w:val="008C7D51"/>
    <w:rsid w:val="008D018D"/>
    <w:rsid w:val="008D088F"/>
    <w:rsid w:val="008D10E1"/>
    <w:rsid w:val="008D130C"/>
    <w:rsid w:val="008D1C45"/>
    <w:rsid w:val="008D1E0B"/>
    <w:rsid w:val="008D2CBC"/>
    <w:rsid w:val="008D2E1B"/>
    <w:rsid w:val="008D5A30"/>
    <w:rsid w:val="008D5EA5"/>
    <w:rsid w:val="008D6982"/>
    <w:rsid w:val="008D6CAD"/>
    <w:rsid w:val="008D78F1"/>
    <w:rsid w:val="008D7A9A"/>
    <w:rsid w:val="008E1D25"/>
    <w:rsid w:val="008E1F2C"/>
    <w:rsid w:val="008E2694"/>
    <w:rsid w:val="008E3FF3"/>
    <w:rsid w:val="008E4775"/>
    <w:rsid w:val="008E5816"/>
    <w:rsid w:val="008E5B27"/>
    <w:rsid w:val="008E611F"/>
    <w:rsid w:val="008E64C7"/>
    <w:rsid w:val="008E678E"/>
    <w:rsid w:val="008E6D61"/>
    <w:rsid w:val="008E7381"/>
    <w:rsid w:val="008E76E9"/>
    <w:rsid w:val="008E778E"/>
    <w:rsid w:val="008E7CB7"/>
    <w:rsid w:val="008E7D3A"/>
    <w:rsid w:val="008F2994"/>
    <w:rsid w:val="008F2DE8"/>
    <w:rsid w:val="008F30FD"/>
    <w:rsid w:val="008F3AD7"/>
    <w:rsid w:val="008F469E"/>
    <w:rsid w:val="008F4A70"/>
    <w:rsid w:val="008F4D73"/>
    <w:rsid w:val="008F51B1"/>
    <w:rsid w:val="008F6611"/>
    <w:rsid w:val="008F66D1"/>
    <w:rsid w:val="008F6C59"/>
    <w:rsid w:val="008F7C81"/>
    <w:rsid w:val="008FEE10"/>
    <w:rsid w:val="009009F9"/>
    <w:rsid w:val="00900B68"/>
    <w:rsid w:val="0090180E"/>
    <w:rsid w:val="0090191B"/>
    <w:rsid w:val="009022A9"/>
    <w:rsid w:val="00903085"/>
    <w:rsid w:val="00903A6F"/>
    <w:rsid w:val="00904576"/>
    <w:rsid w:val="00906266"/>
    <w:rsid w:val="009067C8"/>
    <w:rsid w:val="00906A2B"/>
    <w:rsid w:val="00907970"/>
    <w:rsid w:val="00907B57"/>
    <w:rsid w:val="00907BEB"/>
    <w:rsid w:val="00907EA1"/>
    <w:rsid w:val="0091178F"/>
    <w:rsid w:val="00911D04"/>
    <w:rsid w:val="00915219"/>
    <w:rsid w:val="009161F9"/>
    <w:rsid w:val="009170B4"/>
    <w:rsid w:val="00917371"/>
    <w:rsid w:val="00917A96"/>
    <w:rsid w:val="009207BC"/>
    <w:rsid w:val="0092114E"/>
    <w:rsid w:val="0092135A"/>
    <w:rsid w:val="00921CB1"/>
    <w:rsid w:val="00922784"/>
    <w:rsid w:val="00922B05"/>
    <w:rsid w:val="00923431"/>
    <w:rsid w:val="00923C7F"/>
    <w:rsid w:val="00924F67"/>
    <w:rsid w:val="009254CF"/>
    <w:rsid w:val="00925B83"/>
    <w:rsid w:val="00925DE4"/>
    <w:rsid w:val="009263FD"/>
    <w:rsid w:val="009272C4"/>
    <w:rsid w:val="00927431"/>
    <w:rsid w:val="0092D9BB"/>
    <w:rsid w:val="00930091"/>
    <w:rsid w:val="009313BF"/>
    <w:rsid w:val="00932463"/>
    <w:rsid w:val="009328FA"/>
    <w:rsid w:val="009333CB"/>
    <w:rsid w:val="00934758"/>
    <w:rsid w:val="00934ACF"/>
    <w:rsid w:val="009351B4"/>
    <w:rsid w:val="0093581E"/>
    <w:rsid w:val="0094066D"/>
    <w:rsid w:val="00940731"/>
    <w:rsid w:val="009418F3"/>
    <w:rsid w:val="00941C45"/>
    <w:rsid w:val="009423C7"/>
    <w:rsid w:val="009425DF"/>
    <w:rsid w:val="009428D0"/>
    <w:rsid w:val="00942BC1"/>
    <w:rsid w:val="009430DF"/>
    <w:rsid w:val="00943749"/>
    <w:rsid w:val="0094464D"/>
    <w:rsid w:val="00944688"/>
    <w:rsid w:val="00944CCC"/>
    <w:rsid w:val="0094591A"/>
    <w:rsid w:val="00945D9D"/>
    <w:rsid w:val="0094618B"/>
    <w:rsid w:val="00946862"/>
    <w:rsid w:val="00947D15"/>
    <w:rsid w:val="009500EE"/>
    <w:rsid w:val="0095096D"/>
    <w:rsid w:val="00950DC2"/>
    <w:rsid w:val="0095155B"/>
    <w:rsid w:val="0095160A"/>
    <w:rsid w:val="0095245A"/>
    <w:rsid w:val="0095247C"/>
    <w:rsid w:val="00952E60"/>
    <w:rsid w:val="009531E1"/>
    <w:rsid w:val="00953E0B"/>
    <w:rsid w:val="0095434D"/>
    <w:rsid w:val="0095479B"/>
    <w:rsid w:val="009558EB"/>
    <w:rsid w:val="00956B70"/>
    <w:rsid w:val="00957BB5"/>
    <w:rsid w:val="00960000"/>
    <w:rsid w:val="00960E45"/>
    <w:rsid w:val="009610C2"/>
    <w:rsid w:val="00961E64"/>
    <w:rsid w:val="009625FE"/>
    <w:rsid w:val="009629EA"/>
    <w:rsid w:val="00963C88"/>
    <w:rsid w:val="009659A7"/>
    <w:rsid w:val="009659E6"/>
    <w:rsid w:val="00965C27"/>
    <w:rsid w:val="00965CDD"/>
    <w:rsid w:val="0096620C"/>
    <w:rsid w:val="009664CB"/>
    <w:rsid w:val="0096650B"/>
    <w:rsid w:val="009666C9"/>
    <w:rsid w:val="009669F4"/>
    <w:rsid w:val="00967014"/>
    <w:rsid w:val="00967398"/>
    <w:rsid w:val="009673B2"/>
    <w:rsid w:val="00967438"/>
    <w:rsid w:val="00967C67"/>
    <w:rsid w:val="009702B7"/>
    <w:rsid w:val="00970BB9"/>
    <w:rsid w:val="00970D4E"/>
    <w:rsid w:val="00970E0A"/>
    <w:rsid w:val="00970E3D"/>
    <w:rsid w:val="00970FDD"/>
    <w:rsid w:val="009716F5"/>
    <w:rsid w:val="00972C1C"/>
    <w:rsid w:val="009733EB"/>
    <w:rsid w:val="00973601"/>
    <w:rsid w:val="00973912"/>
    <w:rsid w:val="009740C3"/>
    <w:rsid w:val="0097449F"/>
    <w:rsid w:val="009747F7"/>
    <w:rsid w:val="00974FA5"/>
    <w:rsid w:val="009753FE"/>
    <w:rsid w:val="00975EAE"/>
    <w:rsid w:val="00976424"/>
    <w:rsid w:val="009770B5"/>
    <w:rsid w:val="009771DA"/>
    <w:rsid w:val="00977C0E"/>
    <w:rsid w:val="00977FB7"/>
    <w:rsid w:val="00980BF3"/>
    <w:rsid w:val="00980CF1"/>
    <w:rsid w:val="00980DD5"/>
    <w:rsid w:val="009810A5"/>
    <w:rsid w:val="0098121F"/>
    <w:rsid w:val="00981379"/>
    <w:rsid w:val="009821C2"/>
    <w:rsid w:val="009827AF"/>
    <w:rsid w:val="009834E1"/>
    <w:rsid w:val="0098351C"/>
    <w:rsid w:val="00983A14"/>
    <w:rsid w:val="00984B12"/>
    <w:rsid w:val="00985017"/>
    <w:rsid w:val="00985327"/>
    <w:rsid w:val="009858C8"/>
    <w:rsid w:val="009863D0"/>
    <w:rsid w:val="0098683F"/>
    <w:rsid w:val="00986EB9"/>
    <w:rsid w:val="00987DD8"/>
    <w:rsid w:val="00990168"/>
    <w:rsid w:val="009907E9"/>
    <w:rsid w:val="009910DE"/>
    <w:rsid w:val="0099139C"/>
    <w:rsid w:val="00991D5C"/>
    <w:rsid w:val="00992509"/>
    <w:rsid w:val="00992BFD"/>
    <w:rsid w:val="00992FA0"/>
    <w:rsid w:val="009939BE"/>
    <w:rsid w:val="009941A8"/>
    <w:rsid w:val="009944D3"/>
    <w:rsid w:val="00994866"/>
    <w:rsid w:val="00994CBF"/>
    <w:rsid w:val="00994CCE"/>
    <w:rsid w:val="009957C5"/>
    <w:rsid w:val="00996347"/>
    <w:rsid w:val="00996B69"/>
    <w:rsid w:val="00996DAF"/>
    <w:rsid w:val="009973AB"/>
    <w:rsid w:val="009977E2"/>
    <w:rsid w:val="00997FBC"/>
    <w:rsid w:val="009A0D00"/>
    <w:rsid w:val="009A1C46"/>
    <w:rsid w:val="009A243C"/>
    <w:rsid w:val="009A2F93"/>
    <w:rsid w:val="009A4CCD"/>
    <w:rsid w:val="009A4FB3"/>
    <w:rsid w:val="009A5CD6"/>
    <w:rsid w:val="009A5F06"/>
    <w:rsid w:val="009A6A91"/>
    <w:rsid w:val="009A6B94"/>
    <w:rsid w:val="009A6DCC"/>
    <w:rsid w:val="009B20B3"/>
    <w:rsid w:val="009B288C"/>
    <w:rsid w:val="009B2FA1"/>
    <w:rsid w:val="009B4275"/>
    <w:rsid w:val="009B48E7"/>
    <w:rsid w:val="009B49F7"/>
    <w:rsid w:val="009B5C5C"/>
    <w:rsid w:val="009B6135"/>
    <w:rsid w:val="009B6AD1"/>
    <w:rsid w:val="009B7CAB"/>
    <w:rsid w:val="009C0A6C"/>
    <w:rsid w:val="009C1970"/>
    <w:rsid w:val="009C2D87"/>
    <w:rsid w:val="009C35CF"/>
    <w:rsid w:val="009C38D5"/>
    <w:rsid w:val="009C3955"/>
    <w:rsid w:val="009C3D23"/>
    <w:rsid w:val="009C3F19"/>
    <w:rsid w:val="009C44DB"/>
    <w:rsid w:val="009C6367"/>
    <w:rsid w:val="009C7E5C"/>
    <w:rsid w:val="009D03FE"/>
    <w:rsid w:val="009D0AE9"/>
    <w:rsid w:val="009D15E3"/>
    <w:rsid w:val="009D2CB5"/>
    <w:rsid w:val="009D3232"/>
    <w:rsid w:val="009D34B0"/>
    <w:rsid w:val="009D47E8"/>
    <w:rsid w:val="009D4953"/>
    <w:rsid w:val="009D4C52"/>
    <w:rsid w:val="009D57D9"/>
    <w:rsid w:val="009D5A46"/>
    <w:rsid w:val="009D60A4"/>
    <w:rsid w:val="009D6D37"/>
    <w:rsid w:val="009D7365"/>
    <w:rsid w:val="009D7AA4"/>
    <w:rsid w:val="009E00C9"/>
    <w:rsid w:val="009E2792"/>
    <w:rsid w:val="009E3075"/>
    <w:rsid w:val="009E3118"/>
    <w:rsid w:val="009E34D8"/>
    <w:rsid w:val="009E49BB"/>
    <w:rsid w:val="009E5BED"/>
    <w:rsid w:val="009E62A5"/>
    <w:rsid w:val="009E6BE3"/>
    <w:rsid w:val="009E7639"/>
    <w:rsid w:val="009E7A64"/>
    <w:rsid w:val="009F09C2"/>
    <w:rsid w:val="009F16A6"/>
    <w:rsid w:val="009F20FF"/>
    <w:rsid w:val="009F259B"/>
    <w:rsid w:val="009F2FF0"/>
    <w:rsid w:val="009F31CA"/>
    <w:rsid w:val="009F3B30"/>
    <w:rsid w:val="009F3E38"/>
    <w:rsid w:val="009F4215"/>
    <w:rsid w:val="009F5E7F"/>
    <w:rsid w:val="009F6214"/>
    <w:rsid w:val="009F6A40"/>
    <w:rsid w:val="00A01048"/>
    <w:rsid w:val="00A012E7"/>
    <w:rsid w:val="00A017AA"/>
    <w:rsid w:val="00A018E1"/>
    <w:rsid w:val="00A01921"/>
    <w:rsid w:val="00A01B69"/>
    <w:rsid w:val="00A01BE9"/>
    <w:rsid w:val="00A02C17"/>
    <w:rsid w:val="00A02CA7"/>
    <w:rsid w:val="00A02E58"/>
    <w:rsid w:val="00A0364F"/>
    <w:rsid w:val="00A038D5"/>
    <w:rsid w:val="00A03FDB"/>
    <w:rsid w:val="00A064E5"/>
    <w:rsid w:val="00A06A08"/>
    <w:rsid w:val="00A06CB6"/>
    <w:rsid w:val="00A07121"/>
    <w:rsid w:val="00A1054B"/>
    <w:rsid w:val="00A11243"/>
    <w:rsid w:val="00A1145D"/>
    <w:rsid w:val="00A119FF"/>
    <w:rsid w:val="00A1219D"/>
    <w:rsid w:val="00A1291F"/>
    <w:rsid w:val="00A13243"/>
    <w:rsid w:val="00A13BDC"/>
    <w:rsid w:val="00A14847"/>
    <w:rsid w:val="00A150B5"/>
    <w:rsid w:val="00A156B8"/>
    <w:rsid w:val="00A15C50"/>
    <w:rsid w:val="00A166EC"/>
    <w:rsid w:val="00A16B51"/>
    <w:rsid w:val="00A1781D"/>
    <w:rsid w:val="00A17848"/>
    <w:rsid w:val="00A17C2A"/>
    <w:rsid w:val="00A200E7"/>
    <w:rsid w:val="00A20B7F"/>
    <w:rsid w:val="00A21035"/>
    <w:rsid w:val="00A21146"/>
    <w:rsid w:val="00A2148E"/>
    <w:rsid w:val="00A215AF"/>
    <w:rsid w:val="00A217F4"/>
    <w:rsid w:val="00A22390"/>
    <w:rsid w:val="00A22B56"/>
    <w:rsid w:val="00A2327C"/>
    <w:rsid w:val="00A2369A"/>
    <w:rsid w:val="00A24E97"/>
    <w:rsid w:val="00A24F03"/>
    <w:rsid w:val="00A2646D"/>
    <w:rsid w:val="00A2647C"/>
    <w:rsid w:val="00A26D48"/>
    <w:rsid w:val="00A279E9"/>
    <w:rsid w:val="00A30B2E"/>
    <w:rsid w:val="00A30BFA"/>
    <w:rsid w:val="00A30C58"/>
    <w:rsid w:val="00A31070"/>
    <w:rsid w:val="00A31450"/>
    <w:rsid w:val="00A31A8A"/>
    <w:rsid w:val="00A31F2A"/>
    <w:rsid w:val="00A31F48"/>
    <w:rsid w:val="00A32075"/>
    <w:rsid w:val="00A32A7A"/>
    <w:rsid w:val="00A32AA5"/>
    <w:rsid w:val="00A334AB"/>
    <w:rsid w:val="00A3368D"/>
    <w:rsid w:val="00A339E5"/>
    <w:rsid w:val="00A34CE1"/>
    <w:rsid w:val="00A36D06"/>
    <w:rsid w:val="00A36EC3"/>
    <w:rsid w:val="00A373FA"/>
    <w:rsid w:val="00A37F5E"/>
    <w:rsid w:val="00A40E5F"/>
    <w:rsid w:val="00A41494"/>
    <w:rsid w:val="00A4158E"/>
    <w:rsid w:val="00A42225"/>
    <w:rsid w:val="00A44310"/>
    <w:rsid w:val="00A44ECB"/>
    <w:rsid w:val="00A46DA9"/>
    <w:rsid w:val="00A473F4"/>
    <w:rsid w:val="00A4758E"/>
    <w:rsid w:val="00A476F4"/>
    <w:rsid w:val="00A508A9"/>
    <w:rsid w:val="00A5198D"/>
    <w:rsid w:val="00A521CF"/>
    <w:rsid w:val="00A52AA4"/>
    <w:rsid w:val="00A54EFF"/>
    <w:rsid w:val="00A55688"/>
    <w:rsid w:val="00A55902"/>
    <w:rsid w:val="00A56145"/>
    <w:rsid w:val="00A565C7"/>
    <w:rsid w:val="00A576F5"/>
    <w:rsid w:val="00A57D5A"/>
    <w:rsid w:val="00A60A64"/>
    <w:rsid w:val="00A60D9D"/>
    <w:rsid w:val="00A6174F"/>
    <w:rsid w:val="00A61A16"/>
    <w:rsid w:val="00A61CE7"/>
    <w:rsid w:val="00A623F2"/>
    <w:rsid w:val="00A62A04"/>
    <w:rsid w:val="00A62C3D"/>
    <w:rsid w:val="00A634CA"/>
    <w:rsid w:val="00A639DF"/>
    <w:rsid w:val="00A63C6D"/>
    <w:rsid w:val="00A63F4A"/>
    <w:rsid w:val="00A649A4"/>
    <w:rsid w:val="00A64A6B"/>
    <w:rsid w:val="00A6579F"/>
    <w:rsid w:val="00A65B87"/>
    <w:rsid w:val="00A65F85"/>
    <w:rsid w:val="00A66D75"/>
    <w:rsid w:val="00A67BA2"/>
    <w:rsid w:val="00A7006A"/>
    <w:rsid w:val="00A711C8"/>
    <w:rsid w:val="00A71E86"/>
    <w:rsid w:val="00A727C6"/>
    <w:rsid w:val="00A74432"/>
    <w:rsid w:val="00A757E3"/>
    <w:rsid w:val="00A75F18"/>
    <w:rsid w:val="00A77B17"/>
    <w:rsid w:val="00A80465"/>
    <w:rsid w:val="00A80BFE"/>
    <w:rsid w:val="00A810F6"/>
    <w:rsid w:val="00A81246"/>
    <w:rsid w:val="00A82240"/>
    <w:rsid w:val="00A8224E"/>
    <w:rsid w:val="00A82BD2"/>
    <w:rsid w:val="00A83F26"/>
    <w:rsid w:val="00A85027"/>
    <w:rsid w:val="00A85EDC"/>
    <w:rsid w:val="00A85F28"/>
    <w:rsid w:val="00A86D07"/>
    <w:rsid w:val="00A87DDA"/>
    <w:rsid w:val="00A900D4"/>
    <w:rsid w:val="00A90B80"/>
    <w:rsid w:val="00A91044"/>
    <w:rsid w:val="00A91EE3"/>
    <w:rsid w:val="00A92346"/>
    <w:rsid w:val="00A92668"/>
    <w:rsid w:val="00A92932"/>
    <w:rsid w:val="00A930B3"/>
    <w:rsid w:val="00A93334"/>
    <w:rsid w:val="00A93AFF"/>
    <w:rsid w:val="00A941D6"/>
    <w:rsid w:val="00A94609"/>
    <w:rsid w:val="00A94AF2"/>
    <w:rsid w:val="00A94D3B"/>
    <w:rsid w:val="00A9537E"/>
    <w:rsid w:val="00A953AC"/>
    <w:rsid w:val="00A97CFF"/>
    <w:rsid w:val="00AA0DAC"/>
    <w:rsid w:val="00AA1229"/>
    <w:rsid w:val="00AA1CE8"/>
    <w:rsid w:val="00AA32AF"/>
    <w:rsid w:val="00AA3434"/>
    <w:rsid w:val="00AA3BDA"/>
    <w:rsid w:val="00AA3D0C"/>
    <w:rsid w:val="00AA4BB1"/>
    <w:rsid w:val="00AA5491"/>
    <w:rsid w:val="00AA626E"/>
    <w:rsid w:val="00AA6C09"/>
    <w:rsid w:val="00AA7766"/>
    <w:rsid w:val="00AA7CB6"/>
    <w:rsid w:val="00AA7E0A"/>
    <w:rsid w:val="00AB02E0"/>
    <w:rsid w:val="00AB25CB"/>
    <w:rsid w:val="00AB32E3"/>
    <w:rsid w:val="00AB36F1"/>
    <w:rsid w:val="00AB4CCF"/>
    <w:rsid w:val="00AB4D28"/>
    <w:rsid w:val="00AB510F"/>
    <w:rsid w:val="00AB5B71"/>
    <w:rsid w:val="00AB5B92"/>
    <w:rsid w:val="00AB6514"/>
    <w:rsid w:val="00AB683E"/>
    <w:rsid w:val="00AB76C1"/>
    <w:rsid w:val="00AC019D"/>
    <w:rsid w:val="00AC043A"/>
    <w:rsid w:val="00AC12C8"/>
    <w:rsid w:val="00AC13B7"/>
    <w:rsid w:val="00AC1441"/>
    <w:rsid w:val="00AC2440"/>
    <w:rsid w:val="00AC34C6"/>
    <w:rsid w:val="00AC35FB"/>
    <w:rsid w:val="00AC43B9"/>
    <w:rsid w:val="00AC4544"/>
    <w:rsid w:val="00AC471A"/>
    <w:rsid w:val="00AC4C39"/>
    <w:rsid w:val="00AC5A13"/>
    <w:rsid w:val="00AC653D"/>
    <w:rsid w:val="00AC6590"/>
    <w:rsid w:val="00AC7482"/>
    <w:rsid w:val="00AD2B2E"/>
    <w:rsid w:val="00AD2BE3"/>
    <w:rsid w:val="00AD2D04"/>
    <w:rsid w:val="00AD2F1B"/>
    <w:rsid w:val="00AD347F"/>
    <w:rsid w:val="00AD36BC"/>
    <w:rsid w:val="00AD4DD1"/>
    <w:rsid w:val="00AD4F6B"/>
    <w:rsid w:val="00AD5AC8"/>
    <w:rsid w:val="00AD6180"/>
    <w:rsid w:val="00AD6323"/>
    <w:rsid w:val="00AD69CF"/>
    <w:rsid w:val="00AD72C5"/>
    <w:rsid w:val="00AD747A"/>
    <w:rsid w:val="00AD7659"/>
    <w:rsid w:val="00AE004C"/>
    <w:rsid w:val="00AE0203"/>
    <w:rsid w:val="00AE1A2B"/>
    <w:rsid w:val="00AE1FCE"/>
    <w:rsid w:val="00AE201F"/>
    <w:rsid w:val="00AE255A"/>
    <w:rsid w:val="00AE279B"/>
    <w:rsid w:val="00AE36A0"/>
    <w:rsid w:val="00AE3FC1"/>
    <w:rsid w:val="00AE427C"/>
    <w:rsid w:val="00AE4528"/>
    <w:rsid w:val="00AE4795"/>
    <w:rsid w:val="00AE4BAC"/>
    <w:rsid w:val="00AE5856"/>
    <w:rsid w:val="00AE594F"/>
    <w:rsid w:val="00AE68A1"/>
    <w:rsid w:val="00AE6ED2"/>
    <w:rsid w:val="00AF04E9"/>
    <w:rsid w:val="00AF1F92"/>
    <w:rsid w:val="00AF23FE"/>
    <w:rsid w:val="00AF37E4"/>
    <w:rsid w:val="00AF4613"/>
    <w:rsid w:val="00AF4D72"/>
    <w:rsid w:val="00AF5869"/>
    <w:rsid w:val="00AF60DB"/>
    <w:rsid w:val="00B005DF"/>
    <w:rsid w:val="00B00A1D"/>
    <w:rsid w:val="00B00A97"/>
    <w:rsid w:val="00B01465"/>
    <w:rsid w:val="00B01530"/>
    <w:rsid w:val="00B01CFB"/>
    <w:rsid w:val="00B0206B"/>
    <w:rsid w:val="00B02B8C"/>
    <w:rsid w:val="00B04399"/>
    <w:rsid w:val="00B0530D"/>
    <w:rsid w:val="00B0629E"/>
    <w:rsid w:val="00B07513"/>
    <w:rsid w:val="00B077E3"/>
    <w:rsid w:val="00B07AED"/>
    <w:rsid w:val="00B10495"/>
    <w:rsid w:val="00B10A67"/>
    <w:rsid w:val="00B12447"/>
    <w:rsid w:val="00B13FD8"/>
    <w:rsid w:val="00B1428E"/>
    <w:rsid w:val="00B1444D"/>
    <w:rsid w:val="00B14588"/>
    <w:rsid w:val="00B14CAD"/>
    <w:rsid w:val="00B14EF0"/>
    <w:rsid w:val="00B154F0"/>
    <w:rsid w:val="00B155B8"/>
    <w:rsid w:val="00B1632D"/>
    <w:rsid w:val="00B168D8"/>
    <w:rsid w:val="00B17AAB"/>
    <w:rsid w:val="00B20A49"/>
    <w:rsid w:val="00B20D63"/>
    <w:rsid w:val="00B20EF9"/>
    <w:rsid w:val="00B2115E"/>
    <w:rsid w:val="00B2191C"/>
    <w:rsid w:val="00B22CAB"/>
    <w:rsid w:val="00B22DDF"/>
    <w:rsid w:val="00B234CB"/>
    <w:rsid w:val="00B23C68"/>
    <w:rsid w:val="00B23E2B"/>
    <w:rsid w:val="00B24E76"/>
    <w:rsid w:val="00B25136"/>
    <w:rsid w:val="00B251A8"/>
    <w:rsid w:val="00B2599C"/>
    <w:rsid w:val="00B25F34"/>
    <w:rsid w:val="00B26023"/>
    <w:rsid w:val="00B26138"/>
    <w:rsid w:val="00B303E5"/>
    <w:rsid w:val="00B30B39"/>
    <w:rsid w:val="00B3108B"/>
    <w:rsid w:val="00B31A20"/>
    <w:rsid w:val="00B31C7A"/>
    <w:rsid w:val="00B32057"/>
    <w:rsid w:val="00B32AD8"/>
    <w:rsid w:val="00B33274"/>
    <w:rsid w:val="00B33FC2"/>
    <w:rsid w:val="00B343A9"/>
    <w:rsid w:val="00B3529F"/>
    <w:rsid w:val="00B364F8"/>
    <w:rsid w:val="00B3729B"/>
    <w:rsid w:val="00B41101"/>
    <w:rsid w:val="00B4248D"/>
    <w:rsid w:val="00B4380C"/>
    <w:rsid w:val="00B43B26"/>
    <w:rsid w:val="00B44FA3"/>
    <w:rsid w:val="00B469BB"/>
    <w:rsid w:val="00B504B7"/>
    <w:rsid w:val="00B5088D"/>
    <w:rsid w:val="00B50F46"/>
    <w:rsid w:val="00B5139B"/>
    <w:rsid w:val="00B513F8"/>
    <w:rsid w:val="00B51DA6"/>
    <w:rsid w:val="00B5375E"/>
    <w:rsid w:val="00B53DE8"/>
    <w:rsid w:val="00B548D9"/>
    <w:rsid w:val="00B54DE7"/>
    <w:rsid w:val="00B553CF"/>
    <w:rsid w:val="00B55A5D"/>
    <w:rsid w:val="00B55FFA"/>
    <w:rsid w:val="00B56D79"/>
    <w:rsid w:val="00B5727E"/>
    <w:rsid w:val="00B575CC"/>
    <w:rsid w:val="00B576F6"/>
    <w:rsid w:val="00B57BA4"/>
    <w:rsid w:val="00B60A40"/>
    <w:rsid w:val="00B6132B"/>
    <w:rsid w:val="00B63CC4"/>
    <w:rsid w:val="00B645AB"/>
    <w:rsid w:val="00B64FD0"/>
    <w:rsid w:val="00B6636A"/>
    <w:rsid w:val="00B70861"/>
    <w:rsid w:val="00B70C1B"/>
    <w:rsid w:val="00B71215"/>
    <w:rsid w:val="00B71230"/>
    <w:rsid w:val="00B7125B"/>
    <w:rsid w:val="00B71D7A"/>
    <w:rsid w:val="00B71EA9"/>
    <w:rsid w:val="00B71FA2"/>
    <w:rsid w:val="00B72770"/>
    <w:rsid w:val="00B74267"/>
    <w:rsid w:val="00B76378"/>
    <w:rsid w:val="00B763A4"/>
    <w:rsid w:val="00B76634"/>
    <w:rsid w:val="00B76A22"/>
    <w:rsid w:val="00B77004"/>
    <w:rsid w:val="00B77933"/>
    <w:rsid w:val="00B814BE"/>
    <w:rsid w:val="00B81BF0"/>
    <w:rsid w:val="00B8251B"/>
    <w:rsid w:val="00B82988"/>
    <w:rsid w:val="00B82F12"/>
    <w:rsid w:val="00B82FFE"/>
    <w:rsid w:val="00B83292"/>
    <w:rsid w:val="00B83DB8"/>
    <w:rsid w:val="00B83F9C"/>
    <w:rsid w:val="00B85133"/>
    <w:rsid w:val="00B87BA9"/>
    <w:rsid w:val="00B91D19"/>
    <w:rsid w:val="00B91F80"/>
    <w:rsid w:val="00B92D18"/>
    <w:rsid w:val="00B9333C"/>
    <w:rsid w:val="00B946F8"/>
    <w:rsid w:val="00B94B54"/>
    <w:rsid w:val="00B9509F"/>
    <w:rsid w:val="00B95B59"/>
    <w:rsid w:val="00B95D93"/>
    <w:rsid w:val="00B96970"/>
    <w:rsid w:val="00B972BF"/>
    <w:rsid w:val="00B97B2F"/>
    <w:rsid w:val="00B97DF5"/>
    <w:rsid w:val="00BA0735"/>
    <w:rsid w:val="00BA086A"/>
    <w:rsid w:val="00BA1503"/>
    <w:rsid w:val="00BA160D"/>
    <w:rsid w:val="00BA2463"/>
    <w:rsid w:val="00BA2A80"/>
    <w:rsid w:val="00BA4FDA"/>
    <w:rsid w:val="00BA5579"/>
    <w:rsid w:val="00BA5F06"/>
    <w:rsid w:val="00BA60EF"/>
    <w:rsid w:val="00BA6B09"/>
    <w:rsid w:val="00BA6FE7"/>
    <w:rsid w:val="00BA751A"/>
    <w:rsid w:val="00BA752A"/>
    <w:rsid w:val="00BA7771"/>
    <w:rsid w:val="00BA7FA2"/>
    <w:rsid w:val="00BB0893"/>
    <w:rsid w:val="00BB0B8E"/>
    <w:rsid w:val="00BB0C9F"/>
    <w:rsid w:val="00BB1A51"/>
    <w:rsid w:val="00BB268D"/>
    <w:rsid w:val="00BB3520"/>
    <w:rsid w:val="00BB4668"/>
    <w:rsid w:val="00BB563E"/>
    <w:rsid w:val="00BB5FD3"/>
    <w:rsid w:val="00BB6576"/>
    <w:rsid w:val="00BB6F63"/>
    <w:rsid w:val="00BB7A2A"/>
    <w:rsid w:val="00BB7ED9"/>
    <w:rsid w:val="00BC14EB"/>
    <w:rsid w:val="00BC1C72"/>
    <w:rsid w:val="00BC2009"/>
    <w:rsid w:val="00BC2C3A"/>
    <w:rsid w:val="00BC2C57"/>
    <w:rsid w:val="00BC4249"/>
    <w:rsid w:val="00BC4273"/>
    <w:rsid w:val="00BC4948"/>
    <w:rsid w:val="00BC5532"/>
    <w:rsid w:val="00BC590B"/>
    <w:rsid w:val="00BC5F40"/>
    <w:rsid w:val="00BC5FDF"/>
    <w:rsid w:val="00BC612C"/>
    <w:rsid w:val="00BC65DE"/>
    <w:rsid w:val="00BC6881"/>
    <w:rsid w:val="00BC7525"/>
    <w:rsid w:val="00BD336E"/>
    <w:rsid w:val="00BD376E"/>
    <w:rsid w:val="00BD4997"/>
    <w:rsid w:val="00BD5A56"/>
    <w:rsid w:val="00BD5BF0"/>
    <w:rsid w:val="00BD5C0B"/>
    <w:rsid w:val="00BD6727"/>
    <w:rsid w:val="00BD679F"/>
    <w:rsid w:val="00BD6B3A"/>
    <w:rsid w:val="00BD728F"/>
    <w:rsid w:val="00BE04F8"/>
    <w:rsid w:val="00BE091B"/>
    <w:rsid w:val="00BE0BDF"/>
    <w:rsid w:val="00BE17DC"/>
    <w:rsid w:val="00BE570D"/>
    <w:rsid w:val="00BE75CF"/>
    <w:rsid w:val="00BE798E"/>
    <w:rsid w:val="00BE7A0E"/>
    <w:rsid w:val="00BF0444"/>
    <w:rsid w:val="00BF0719"/>
    <w:rsid w:val="00BF0B1C"/>
    <w:rsid w:val="00BF0C8F"/>
    <w:rsid w:val="00BF1479"/>
    <w:rsid w:val="00BF270D"/>
    <w:rsid w:val="00BF2711"/>
    <w:rsid w:val="00BF2E1C"/>
    <w:rsid w:val="00BF3020"/>
    <w:rsid w:val="00BF3049"/>
    <w:rsid w:val="00BF3166"/>
    <w:rsid w:val="00BF341E"/>
    <w:rsid w:val="00BF49A4"/>
    <w:rsid w:val="00BF7376"/>
    <w:rsid w:val="00BF7AEB"/>
    <w:rsid w:val="00C00161"/>
    <w:rsid w:val="00C01D6B"/>
    <w:rsid w:val="00C022EA"/>
    <w:rsid w:val="00C02342"/>
    <w:rsid w:val="00C052C3"/>
    <w:rsid w:val="00C05572"/>
    <w:rsid w:val="00C05E2F"/>
    <w:rsid w:val="00C065F7"/>
    <w:rsid w:val="00C06804"/>
    <w:rsid w:val="00C06C15"/>
    <w:rsid w:val="00C07A84"/>
    <w:rsid w:val="00C10436"/>
    <w:rsid w:val="00C10A69"/>
    <w:rsid w:val="00C10B0E"/>
    <w:rsid w:val="00C1232B"/>
    <w:rsid w:val="00C123F4"/>
    <w:rsid w:val="00C12525"/>
    <w:rsid w:val="00C12DDB"/>
    <w:rsid w:val="00C13077"/>
    <w:rsid w:val="00C135B4"/>
    <w:rsid w:val="00C13A59"/>
    <w:rsid w:val="00C15E63"/>
    <w:rsid w:val="00C167FF"/>
    <w:rsid w:val="00C17D06"/>
    <w:rsid w:val="00C204D8"/>
    <w:rsid w:val="00C205AB"/>
    <w:rsid w:val="00C2191C"/>
    <w:rsid w:val="00C2359E"/>
    <w:rsid w:val="00C24964"/>
    <w:rsid w:val="00C258DC"/>
    <w:rsid w:val="00C26AAC"/>
    <w:rsid w:val="00C26D2C"/>
    <w:rsid w:val="00C27316"/>
    <w:rsid w:val="00C30BD7"/>
    <w:rsid w:val="00C31CA4"/>
    <w:rsid w:val="00C333EA"/>
    <w:rsid w:val="00C333F2"/>
    <w:rsid w:val="00C3450E"/>
    <w:rsid w:val="00C34F51"/>
    <w:rsid w:val="00C35890"/>
    <w:rsid w:val="00C35A67"/>
    <w:rsid w:val="00C35E5F"/>
    <w:rsid w:val="00C37222"/>
    <w:rsid w:val="00C3731F"/>
    <w:rsid w:val="00C37DEA"/>
    <w:rsid w:val="00C4022B"/>
    <w:rsid w:val="00C407C6"/>
    <w:rsid w:val="00C41392"/>
    <w:rsid w:val="00C414FA"/>
    <w:rsid w:val="00C41AB1"/>
    <w:rsid w:val="00C45AF5"/>
    <w:rsid w:val="00C46567"/>
    <w:rsid w:val="00C47ACA"/>
    <w:rsid w:val="00C5026D"/>
    <w:rsid w:val="00C50734"/>
    <w:rsid w:val="00C51125"/>
    <w:rsid w:val="00C536E2"/>
    <w:rsid w:val="00C54195"/>
    <w:rsid w:val="00C5427A"/>
    <w:rsid w:val="00C5501A"/>
    <w:rsid w:val="00C55120"/>
    <w:rsid w:val="00C56318"/>
    <w:rsid w:val="00C56DF6"/>
    <w:rsid w:val="00C57E27"/>
    <w:rsid w:val="00C608A2"/>
    <w:rsid w:val="00C61730"/>
    <w:rsid w:val="00C625E7"/>
    <w:rsid w:val="00C62F5B"/>
    <w:rsid w:val="00C6316C"/>
    <w:rsid w:val="00C63317"/>
    <w:rsid w:val="00C634C3"/>
    <w:rsid w:val="00C63952"/>
    <w:rsid w:val="00C63C38"/>
    <w:rsid w:val="00C640DD"/>
    <w:rsid w:val="00C6465F"/>
    <w:rsid w:val="00C64901"/>
    <w:rsid w:val="00C64A59"/>
    <w:rsid w:val="00C64B04"/>
    <w:rsid w:val="00C655D5"/>
    <w:rsid w:val="00C65A37"/>
    <w:rsid w:val="00C65A71"/>
    <w:rsid w:val="00C66497"/>
    <w:rsid w:val="00C66B98"/>
    <w:rsid w:val="00C6705D"/>
    <w:rsid w:val="00C671F9"/>
    <w:rsid w:val="00C674A4"/>
    <w:rsid w:val="00C7158F"/>
    <w:rsid w:val="00C72113"/>
    <w:rsid w:val="00C72EBC"/>
    <w:rsid w:val="00C739E6"/>
    <w:rsid w:val="00C73DAC"/>
    <w:rsid w:val="00C74F03"/>
    <w:rsid w:val="00C75027"/>
    <w:rsid w:val="00C75D30"/>
    <w:rsid w:val="00C762E9"/>
    <w:rsid w:val="00C8120D"/>
    <w:rsid w:val="00C81515"/>
    <w:rsid w:val="00C81BC5"/>
    <w:rsid w:val="00C82221"/>
    <w:rsid w:val="00C82660"/>
    <w:rsid w:val="00C828E6"/>
    <w:rsid w:val="00C82EA6"/>
    <w:rsid w:val="00C838CC"/>
    <w:rsid w:val="00C83920"/>
    <w:rsid w:val="00C83B6A"/>
    <w:rsid w:val="00C83E92"/>
    <w:rsid w:val="00C8437E"/>
    <w:rsid w:val="00C844AB"/>
    <w:rsid w:val="00C84642"/>
    <w:rsid w:val="00C8547E"/>
    <w:rsid w:val="00C85792"/>
    <w:rsid w:val="00C85970"/>
    <w:rsid w:val="00C85C85"/>
    <w:rsid w:val="00C8680D"/>
    <w:rsid w:val="00C86BE9"/>
    <w:rsid w:val="00C87A35"/>
    <w:rsid w:val="00C90910"/>
    <w:rsid w:val="00C90962"/>
    <w:rsid w:val="00C9215D"/>
    <w:rsid w:val="00C927E2"/>
    <w:rsid w:val="00C93305"/>
    <w:rsid w:val="00C934CF"/>
    <w:rsid w:val="00C94C89"/>
    <w:rsid w:val="00C957FB"/>
    <w:rsid w:val="00C967AD"/>
    <w:rsid w:val="00C96AF6"/>
    <w:rsid w:val="00C970E2"/>
    <w:rsid w:val="00C97746"/>
    <w:rsid w:val="00CA001E"/>
    <w:rsid w:val="00CA0237"/>
    <w:rsid w:val="00CA052E"/>
    <w:rsid w:val="00CA09F0"/>
    <w:rsid w:val="00CA0C94"/>
    <w:rsid w:val="00CA1348"/>
    <w:rsid w:val="00CA2BA4"/>
    <w:rsid w:val="00CA35F3"/>
    <w:rsid w:val="00CA4388"/>
    <w:rsid w:val="00CA48E0"/>
    <w:rsid w:val="00CA5604"/>
    <w:rsid w:val="00CA5828"/>
    <w:rsid w:val="00CA61D1"/>
    <w:rsid w:val="00CA65A8"/>
    <w:rsid w:val="00CA7287"/>
    <w:rsid w:val="00CA7E80"/>
    <w:rsid w:val="00CB10DF"/>
    <w:rsid w:val="00CB123E"/>
    <w:rsid w:val="00CB1C0C"/>
    <w:rsid w:val="00CB3599"/>
    <w:rsid w:val="00CB3F5B"/>
    <w:rsid w:val="00CB3FC9"/>
    <w:rsid w:val="00CB4184"/>
    <w:rsid w:val="00CB4269"/>
    <w:rsid w:val="00CB45B1"/>
    <w:rsid w:val="00CB45C1"/>
    <w:rsid w:val="00CB5AE2"/>
    <w:rsid w:val="00CB6EEA"/>
    <w:rsid w:val="00CB7660"/>
    <w:rsid w:val="00CB7768"/>
    <w:rsid w:val="00CC032B"/>
    <w:rsid w:val="00CC0368"/>
    <w:rsid w:val="00CC074A"/>
    <w:rsid w:val="00CC0AAF"/>
    <w:rsid w:val="00CC0B9E"/>
    <w:rsid w:val="00CC10B5"/>
    <w:rsid w:val="00CC14EF"/>
    <w:rsid w:val="00CC16EB"/>
    <w:rsid w:val="00CC1F2E"/>
    <w:rsid w:val="00CC20B1"/>
    <w:rsid w:val="00CC28FB"/>
    <w:rsid w:val="00CC376B"/>
    <w:rsid w:val="00CC393A"/>
    <w:rsid w:val="00CC441C"/>
    <w:rsid w:val="00CC61B5"/>
    <w:rsid w:val="00CC6BDD"/>
    <w:rsid w:val="00CD0E64"/>
    <w:rsid w:val="00CD16AA"/>
    <w:rsid w:val="00CD1B6D"/>
    <w:rsid w:val="00CD1E90"/>
    <w:rsid w:val="00CD2147"/>
    <w:rsid w:val="00CD25A8"/>
    <w:rsid w:val="00CD40AE"/>
    <w:rsid w:val="00CD4711"/>
    <w:rsid w:val="00CD5301"/>
    <w:rsid w:val="00CD595A"/>
    <w:rsid w:val="00CD5F7F"/>
    <w:rsid w:val="00CD6497"/>
    <w:rsid w:val="00CD6576"/>
    <w:rsid w:val="00CD765A"/>
    <w:rsid w:val="00CE02FC"/>
    <w:rsid w:val="00CE0304"/>
    <w:rsid w:val="00CE184C"/>
    <w:rsid w:val="00CE1AEC"/>
    <w:rsid w:val="00CE20BE"/>
    <w:rsid w:val="00CE2C33"/>
    <w:rsid w:val="00CE33E6"/>
    <w:rsid w:val="00CE4074"/>
    <w:rsid w:val="00CE47AD"/>
    <w:rsid w:val="00CE5E58"/>
    <w:rsid w:val="00CE7141"/>
    <w:rsid w:val="00CE715A"/>
    <w:rsid w:val="00CE7BDD"/>
    <w:rsid w:val="00CE7E2E"/>
    <w:rsid w:val="00CF0834"/>
    <w:rsid w:val="00CF3BD0"/>
    <w:rsid w:val="00CF401A"/>
    <w:rsid w:val="00CF653F"/>
    <w:rsid w:val="00CF6C3A"/>
    <w:rsid w:val="00D000BD"/>
    <w:rsid w:val="00D004BA"/>
    <w:rsid w:val="00D019A6"/>
    <w:rsid w:val="00D01BB0"/>
    <w:rsid w:val="00D01BB7"/>
    <w:rsid w:val="00D03765"/>
    <w:rsid w:val="00D046F5"/>
    <w:rsid w:val="00D0478F"/>
    <w:rsid w:val="00D04CE8"/>
    <w:rsid w:val="00D05855"/>
    <w:rsid w:val="00D05BA9"/>
    <w:rsid w:val="00D05EA1"/>
    <w:rsid w:val="00D06CE6"/>
    <w:rsid w:val="00D10720"/>
    <w:rsid w:val="00D10FCF"/>
    <w:rsid w:val="00D11708"/>
    <w:rsid w:val="00D11E2A"/>
    <w:rsid w:val="00D12B5B"/>
    <w:rsid w:val="00D135B3"/>
    <w:rsid w:val="00D136C9"/>
    <w:rsid w:val="00D142EF"/>
    <w:rsid w:val="00D14D76"/>
    <w:rsid w:val="00D163B1"/>
    <w:rsid w:val="00D16F3C"/>
    <w:rsid w:val="00D17123"/>
    <w:rsid w:val="00D174CC"/>
    <w:rsid w:val="00D202E8"/>
    <w:rsid w:val="00D20D67"/>
    <w:rsid w:val="00D2163B"/>
    <w:rsid w:val="00D21655"/>
    <w:rsid w:val="00D21B34"/>
    <w:rsid w:val="00D23567"/>
    <w:rsid w:val="00D24404"/>
    <w:rsid w:val="00D245E5"/>
    <w:rsid w:val="00D24DEB"/>
    <w:rsid w:val="00D252CD"/>
    <w:rsid w:val="00D258F9"/>
    <w:rsid w:val="00D3075C"/>
    <w:rsid w:val="00D311D3"/>
    <w:rsid w:val="00D31B5C"/>
    <w:rsid w:val="00D31CC4"/>
    <w:rsid w:val="00D32355"/>
    <w:rsid w:val="00D325CB"/>
    <w:rsid w:val="00D329C0"/>
    <w:rsid w:val="00D329F1"/>
    <w:rsid w:val="00D33103"/>
    <w:rsid w:val="00D33214"/>
    <w:rsid w:val="00D333F0"/>
    <w:rsid w:val="00D334DB"/>
    <w:rsid w:val="00D3357C"/>
    <w:rsid w:val="00D33736"/>
    <w:rsid w:val="00D3385D"/>
    <w:rsid w:val="00D33D43"/>
    <w:rsid w:val="00D34953"/>
    <w:rsid w:val="00D350CB"/>
    <w:rsid w:val="00D36BEE"/>
    <w:rsid w:val="00D371C3"/>
    <w:rsid w:val="00D37233"/>
    <w:rsid w:val="00D372C5"/>
    <w:rsid w:val="00D375BC"/>
    <w:rsid w:val="00D37686"/>
    <w:rsid w:val="00D37A08"/>
    <w:rsid w:val="00D4006E"/>
    <w:rsid w:val="00D40967"/>
    <w:rsid w:val="00D421BB"/>
    <w:rsid w:val="00D4443A"/>
    <w:rsid w:val="00D44DA5"/>
    <w:rsid w:val="00D45367"/>
    <w:rsid w:val="00D45B9C"/>
    <w:rsid w:val="00D47048"/>
    <w:rsid w:val="00D5039D"/>
    <w:rsid w:val="00D50420"/>
    <w:rsid w:val="00D52102"/>
    <w:rsid w:val="00D54ACE"/>
    <w:rsid w:val="00D54DCB"/>
    <w:rsid w:val="00D54FBE"/>
    <w:rsid w:val="00D55532"/>
    <w:rsid w:val="00D57234"/>
    <w:rsid w:val="00D57F32"/>
    <w:rsid w:val="00D601CE"/>
    <w:rsid w:val="00D6036D"/>
    <w:rsid w:val="00D605EC"/>
    <w:rsid w:val="00D6175E"/>
    <w:rsid w:val="00D617EC"/>
    <w:rsid w:val="00D61801"/>
    <w:rsid w:val="00D62121"/>
    <w:rsid w:val="00D62226"/>
    <w:rsid w:val="00D63864"/>
    <w:rsid w:val="00D638B3"/>
    <w:rsid w:val="00D64BCC"/>
    <w:rsid w:val="00D65A57"/>
    <w:rsid w:val="00D65DFE"/>
    <w:rsid w:val="00D65FCD"/>
    <w:rsid w:val="00D677EA"/>
    <w:rsid w:val="00D70FE6"/>
    <w:rsid w:val="00D71043"/>
    <w:rsid w:val="00D711E1"/>
    <w:rsid w:val="00D7205A"/>
    <w:rsid w:val="00D72384"/>
    <w:rsid w:val="00D727E4"/>
    <w:rsid w:val="00D72F19"/>
    <w:rsid w:val="00D73245"/>
    <w:rsid w:val="00D74C38"/>
    <w:rsid w:val="00D75579"/>
    <w:rsid w:val="00D7626F"/>
    <w:rsid w:val="00D76BF6"/>
    <w:rsid w:val="00D804AE"/>
    <w:rsid w:val="00D808BA"/>
    <w:rsid w:val="00D80C4B"/>
    <w:rsid w:val="00D81EDE"/>
    <w:rsid w:val="00D83462"/>
    <w:rsid w:val="00D834EE"/>
    <w:rsid w:val="00D8391D"/>
    <w:rsid w:val="00D84884"/>
    <w:rsid w:val="00D8521D"/>
    <w:rsid w:val="00D85461"/>
    <w:rsid w:val="00D85591"/>
    <w:rsid w:val="00D85F76"/>
    <w:rsid w:val="00D86547"/>
    <w:rsid w:val="00D866BF"/>
    <w:rsid w:val="00D87397"/>
    <w:rsid w:val="00D87409"/>
    <w:rsid w:val="00D8766B"/>
    <w:rsid w:val="00D876E0"/>
    <w:rsid w:val="00D87991"/>
    <w:rsid w:val="00D9052B"/>
    <w:rsid w:val="00D9097A"/>
    <w:rsid w:val="00D90A64"/>
    <w:rsid w:val="00D90C65"/>
    <w:rsid w:val="00D90CA2"/>
    <w:rsid w:val="00D910E5"/>
    <w:rsid w:val="00D93802"/>
    <w:rsid w:val="00D93F50"/>
    <w:rsid w:val="00D93F90"/>
    <w:rsid w:val="00D94543"/>
    <w:rsid w:val="00D94921"/>
    <w:rsid w:val="00D95023"/>
    <w:rsid w:val="00D960D9"/>
    <w:rsid w:val="00D962B0"/>
    <w:rsid w:val="00D97517"/>
    <w:rsid w:val="00D97730"/>
    <w:rsid w:val="00DA06DE"/>
    <w:rsid w:val="00DA0CD7"/>
    <w:rsid w:val="00DA1661"/>
    <w:rsid w:val="00DA1FF5"/>
    <w:rsid w:val="00DA200A"/>
    <w:rsid w:val="00DA259C"/>
    <w:rsid w:val="00DA2736"/>
    <w:rsid w:val="00DA3A9E"/>
    <w:rsid w:val="00DA43CB"/>
    <w:rsid w:val="00DA5AA1"/>
    <w:rsid w:val="00DA5DF0"/>
    <w:rsid w:val="00DA60CF"/>
    <w:rsid w:val="00DA6112"/>
    <w:rsid w:val="00DA66AF"/>
    <w:rsid w:val="00DA6B59"/>
    <w:rsid w:val="00DA6C88"/>
    <w:rsid w:val="00DA6E73"/>
    <w:rsid w:val="00DB0078"/>
    <w:rsid w:val="00DB0825"/>
    <w:rsid w:val="00DB10C4"/>
    <w:rsid w:val="00DB15EB"/>
    <w:rsid w:val="00DB35A0"/>
    <w:rsid w:val="00DB3CA3"/>
    <w:rsid w:val="00DB3ED5"/>
    <w:rsid w:val="00DB4477"/>
    <w:rsid w:val="00DB4B20"/>
    <w:rsid w:val="00DB5336"/>
    <w:rsid w:val="00DB613F"/>
    <w:rsid w:val="00DB656D"/>
    <w:rsid w:val="00DB6BDA"/>
    <w:rsid w:val="00DB6C3B"/>
    <w:rsid w:val="00DC029B"/>
    <w:rsid w:val="00DC047F"/>
    <w:rsid w:val="00DC119D"/>
    <w:rsid w:val="00DC2EDF"/>
    <w:rsid w:val="00DC322F"/>
    <w:rsid w:val="00DC471C"/>
    <w:rsid w:val="00DC4C17"/>
    <w:rsid w:val="00DC5256"/>
    <w:rsid w:val="00DC552F"/>
    <w:rsid w:val="00DC597B"/>
    <w:rsid w:val="00DC5D21"/>
    <w:rsid w:val="00DC78A2"/>
    <w:rsid w:val="00DD02A8"/>
    <w:rsid w:val="00DD0373"/>
    <w:rsid w:val="00DD04B9"/>
    <w:rsid w:val="00DD1196"/>
    <w:rsid w:val="00DD1CDE"/>
    <w:rsid w:val="00DD1F50"/>
    <w:rsid w:val="00DD2953"/>
    <w:rsid w:val="00DD2BAB"/>
    <w:rsid w:val="00DD2E09"/>
    <w:rsid w:val="00DD345D"/>
    <w:rsid w:val="00DD369A"/>
    <w:rsid w:val="00DD389D"/>
    <w:rsid w:val="00DD42CD"/>
    <w:rsid w:val="00DD4485"/>
    <w:rsid w:val="00DD6182"/>
    <w:rsid w:val="00DD6729"/>
    <w:rsid w:val="00DD7521"/>
    <w:rsid w:val="00DD7650"/>
    <w:rsid w:val="00DD775B"/>
    <w:rsid w:val="00DD794F"/>
    <w:rsid w:val="00DD7A2B"/>
    <w:rsid w:val="00DD7C62"/>
    <w:rsid w:val="00DD7C74"/>
    <w:rsid w:val="00DE06CD"/>
    <w:rsid w:val="00DE0920"/>
    <w:rsid w:val="00DE1233"/>
    <w:rsid w:val="00DE222C"/>
    <w:rsid w:val="00DE255F"/>
    <w:rsid w:val="00DE27AC"/>
    <w:rsid w:val="00DE3975"/>
    <w:rsid w:val="00DE4B18"/>
    <w:rsid w:val="00DE6004"/>
    <w:rsid w:val="00DE6664"/>
    <w:rsid w:val="00DE7864"/>
    <w:rsid w:val="00DF05E4"/>
    <w:rsid w:val="00DF1124"/>
    <w:rsid w:val="00DF11F1"/>
    <w:rsid w:val="00DF17E7"/>
    <w:rsid w:val="00DF19C1"/>
    <w:rsid w:val="00DF3385"/>
    <w:rsid w:val="00DF384F"/>
    <w:rsid w:val="00DF40A1"/>
    <w:rsid w:val="00DF41BA"/>
    <w:rsid w:val="00DF5EAC"/>
    <w:rsid w:val="00DF5EC2"/>
    <w:rsid w:val="00DF609F"/>
    <w:rsid w:val="00DF6D46"/>
    <w:rsid w:val="00DF7451"/>
    <w:rsid w:val="00DF7FB8"/>
    <w:rsid w:val="00E002BE"/>
    <w:rsid w:val="00E007A4"/>
    <w:rsid w:val="00E0083F"/>
    <w:rsid w:val="00E00A45"/>
    <w:rsid w:val="00E00B98"/>
    <w:rsid w:val="00E01A5A"/>
    <w:rsid w:val="00E01B6E"/>
    <w:rsid w:val="00E01E32"/>
    <w:rsid w:val="00E03115"/>
    <w:rsid w:val="00E033EB"/>
    <w:rsid w:val="00E03742"/>
    <w:rsid w:val="00E037C3"/>
    <w:rsid w:val="00E0413D"/>
    <w:rsid w:val="00E0510E"/>
    <w:rsid w:val="00E05980"/>
    <w:rsid w:val="00E0686D"/>
    <w:rsid w:val="00E07235"/>
    <w:rsid w:val="00E10B0C"/>
    <w:rsid w:val="00E11D3A"/>
    <w:rsid w:val="00E13241"/>
    <w:rsid w:val="00E137BA"/>
    <w:rsid w:val="00E13806"/>
    <w:rsid w:val="00E13F49"/>
    <w:rsid w:val="00E142F8"/>
    <w:rsid w:val="00E143C5"/>
    <w:rsid w:val="00E14484"/>
    <w:rsid w:val="00E1450E"/>
    <w:rsid w:val="00E1474A"/>
    <w:rsid w:val="00E14D73"/>
    <w:rsid w:val="00E14F4F"/>
    <w:rsid w:val="00E174F8"/>
    <w:rsid w:val="00E1787A"/>
    <w:rsid w:val="00E17BA7"/>
    <w:rsid w:val="00E17DAD"/>
    <w:rsid w:val="00E20C63"/>
    <w:rsid w:val="00E20EDD"/>
    <w:rsid w:val="00E2127C"/>
    <w:rsid w:val="00E21655"/>
    <w:rsid w:val="00E22024"/>
    <w:rsid w:val="00E220A8"/>
    <w:rsid w:val="00E22A5C"/>
    <w:rsid w:val="00E23602"/>
    <w:rsid w:val="00E245A0"/>
    <w:rsid w:val="00E247EC"/>
    <w:rsid w:val="00E25532"/>
    <w:rsid w:val="00E25C07"/>
    <w:rsid w:val="00E260C6"/>
    <w:rsid w:val="00E266EC"/>
    <w:rsid w:val="00E273D6"/>
    <w:rsid w:val="00E30398"/>
    <w:rsid w:val="00E30EEA"/>
    <w:rsid w:val="00E3196E"/>
    <w:rsid w:val="00E32B6A"/>
    <w:rsid w:val="00E32B79"/>
    <w:rsid w:val="00E33007"/>
    <w:rsid w:val="00E33376"/>
    <w:rsid w:val="00E33C9F"/>
    <w:rsid w:val="00E34E40"/>
    <w:rsid w:val="00E3552F"/>
    <w:rsid w:val="00E356FA"/>
    <w:rsid w:val="00E3576B"/>
    <w:rsid w:val="00E3582F"/>
    <w:rsid w:val="00E35DEE"/>
    <w:rsid w:val="00E36A7D"/>
    <w:rsid w:val="00E37209"/>
    <w:rsid w:val="00E37862"/>
    <w:rsid w:val="00E37B96"/>
    <w:rsid w:val="00E37EF9"/>
    <w:rsid w:val="00E401D1"/>
    <w:rsid w:val="00E403F3"/>
    <w:rsid w:val="00E408FE"/>
    <w:rsid w:val="00E4169B"/>
    <w:rsid w:val="00E4181C"/>
    <w:rsid w:val="00E4184B"/>
    <w:rsid w:val="00E42912"/>
    <w:rsid w:val="00E42CBE"/>
    <w:rsid w:val="00E4346F"/>
    <w:rsid w:val="00E4360D"/>
    <w:rsid w:val="00E43733"/>
    <w:rsid w:val="00E43A0F"/>
    <w:rsid w:val="00E43E62"/>
    <w:rsid w:val="00E43EC6"/>
    <w:rsid w:val="00E43F44"/>
    <w:rsid w:val="00E449A6"/>
    <w:rsid w:val="00E455BB"/>
    <w:rsid w:val="00E456DB"/>
    <w:rsid w:val="00E4575F"/>
    <w:rsid w:val="00E45AD2"/>
    <w:rsid w:val="00E462CC"/>
    <w:rsid w:val="00E469C6"/>
    <w:rsid w:val="00E472BD"/>
    <w:rsid w:val="00E47734"/>
    <w:rsid w:val="00E47F65"/>
    <w:rsid w:val="00E51280"/>
    <w:rsid w:val="00E51AE5"/>
    <w:rsid w:val="00E5265C"/>
    <w:rsid w:val="00E52716"/>
    <w:rsid w:val="00E53037"/>
    <w:rsid w:val="00E53B92"/>
    <w:rsid w:val="00E54DE6"/>
    <w:rsid w:val="00E55126"/>
    <w:rsid w:val="00E55362"/>
    <w:rsid w:val="00E55BBD"/>
    <w:rsid w:val="00E56AE4"/>
    <w:rsid w:val="00E56E9B"/>
    <w:rsid w:val="00E57420"/>
    <w:rsid w:val="00E6001D"/>
    <w:rsid w:val="00E60376"/>
    <w:rsid w:val="00E607E6"/>
    <w:rsid w:val="00E6139F"/>
    <w:rsid w:val="00E62B1D"/>
    <w:rsid w:val="00E62B74"/>
    <w:rsid w:val="00E6318B"/>
    <w:rsid w:val="00E637FB"/>
    <w:rsid w:val="00E639F2"/>
    <w:rsid w:val="00E63A80"/>
    <w:rsid w:val="00E63CB8"/>
    <w:rsid w:val="00E649C1"/>
    <w:rsid w:val="00E64EEE"/>
    <w:rsid w:val="00E6504B"/>
    <w:rsid w:val="00E65781"/>
    <w:rsid w:val="00E6622D"/>
    <w:rsid w:val="00E668F0"/>
    <w:rsid w:val="00E66907"/>
    <w:rsid w:val="00E669F3"/>
    <w:rsid w:val="00E66CCD"/>
    <w:rsid w:val="00E705BF"/>
    <w:rsid w:val="00E70BF6"/>
    <w:rsid w:val="00E710D3"/>
    <w:rsid w:val="00E71C14"/>
    <w:rsid w:val="00E72ACC"/>
    <w:rsid w:val="00E72F9B"/>
    <w:rsid w:val="00E7489E"/>
    <w:rsid w:val="00E74A13"/>
    <w:rsid w:val="00E74F08"/>
    <w:rsid w:val="00E74F25"/>
    <w:rsid w:val="00E76D24"/>
    <w:rsid w:val="00E77AA2"/>
    <w:rsid w:val="00E77EB0"/>
    <w:rsid w:val="00E80A35"/>
    <w:rsid w:val="00E814C6"/>
    <w:rsid w:val="00E814C9"/>
    <w:rsid w:val="00E81BEE"/>
    <w:rsid w:val="00E823F9"/>
    <w:rsid w:val="00E840CF"/>
    <w:rsid w:val="00E841FE"/>
    <w:rsid w:val="00E8491F"/>
    <w:rsid w:val="00E849AF"/>
    <w:rsid w:val="00E84C8B"/>
    <w:rsid w:val="00E84FC6"/>
    <w:rsid w:val="00E85B3D"/>
    <w:rsid w:val="00E85EF0"/>
    <w:rsid w:val="00E868F9"/>
    <w:rsid w:val="00E86CDC"/>
    <w:rsid w:val="00E8751D"/>
    <w:rsid w:val="00E878BE"/>
    <w:rsid w:val="00E9009B"/>
    <w:rsid w:val="00E90757"/>
    <w:rsid w:val="00E91733"/>
    <w:rsid w:val="00E92D1F"/>
    <w:rsid w:val="00E93145"/>
    <w:rsid w:val="00E93801"/>
    <w:rsid w:val="00E93E36"/>
    <w:rsid w:val="00E94FEA"/>
    <w:rsid w:val="00E9526E"/>
    <w:rsid w:val="00E955E0"/>
    <w:rsid w:val="00E95C66"/>
    <w:rsid w:val="00E95F96"/>
    <w:rsid w:val="00E97276"/>
    <w:rsid w:val="00E979AB"/>
    <w:rsid w:val="00E9DFDB"/>
    <w:rsid w:val="00EA0B12"/>
    <w:rsid w:val="00EA0D67"/>
    <w:rsid w:val="00EA1C21"/>
    <w:rsid w:val="00EA1E47"/>
    <w:rsid w:val="00EA1EDC"/>
    <w:rsid w:val="00EA2CAA"/>
    <w:rsid w:val="00EA31BD"/>
    <w:rsid w:val="00EA3669"/>
    <w:rsid w:val="00EA43FE"/>
    <w:rsid w:val="00EA4530"/>
    <w:rsid w:val="00EA4B6A"/>
    <w:rsid w:val="00EA5088"/>
    <w:rsid w:val="00EA524B"/>
    <w:rsid w:val="00EA5406"/>
    <w:rsid w:val="00EA57AA"/>
    <w:rsid w:val="00EA60C7"/>
    <w:rsid w:val="00EA6EAE"/>
    <w:rsid w:val="00EA798D"/>
    <w:rsid w:val="00EB0505"/>
    <w:rsid w:val="00EB0CC9"/>
    <w:rsid w:val="00EB15BA"/>
    <w:rsid w:val="00EB15D1"/>
    <w:rsid w:val="00EB2008"/>
    <w:rsid w:val="00EB21FA"/>
    <w:rsid w:val="00EB2701"/>
    <w:rsid w:val="00EB2D24"/>
    <w:rsid w:val="00EB3630"/>
    <w:rsid w:val="00EB4A86"/>
    <w:rsid w:val="00EB4ED1"/>
    <w:rsid w:val="00EB531F"/>
    <w:rsid w:val="00EB61A3"/>
    <w:rsid w:val="00EB6D39"/>
    <w:rsid w:val="00EB770D"/>
    <w:rsid w:val="00EB78D0"/>
    <w:rsid w:val="00EC007C"/>
    <w:rsid w:val="00EC09A8"/>
    <w:rsid w:val="00EC0B97"/>
    <w:rsid w:val="00EC0C5E"/>
    <w:rsid w:val="00EC157A"/>
    <w:rsid w:val="00EC1B2F"/>
    <w:rsid w:val="00EC1E46"/>
    <w:rsid w:val="00EC2FD3"/>
    <w:rsid w:val="00EC39BC"/>
    <w:rsid w:val="00EC46F9"/>
    <w:rsid w:val="00EC49B1"/>
    <w:rsid w:val="00EC4C8C"/>
    <w:rsid w:val="00EC5111"/>
    <w:rsid w:val="00EC57DF"/>
    <w:rsid w:val="00EC5A97"/>
    <w:rsid w:val="00EC5C2D"/>
    <w:rsid w:val="00EC62A7"/>
    <w:rsid w:val="00EC73D1"/>
    <w:rsid w:val="00EC7999"/>
    <w:rsid w:val="00EC79C5"/>
    <w:rsid w:val="00ED0389"/>
    <w:rsid w:val="00ED134E"/>
    <w:rsid w:val="00ED1A83"/>
    <w:rsid w:val="00ED2138"/>
    <w:rsid w:val="00ED3084"/>
    <w:rsid w:val="00ED3379"/>
    <w:rsid w:val="00ED3A85"/>
    <w:rsid w:val="00ED3F9D"/>
    <w:rsid w:val="00ED5C56"/>
    <w:rsid w:val="00ED5D1C"/>
    <w:rsid w:val="00ED5E73"/>
    <w:rsid w:val="00ED5FEC"/>
    <w:rsid w:val="00ED6852"/>
    <w:rsid w:val="00ED6C57"/>
    <w:rsid w:val="00ED75F0"/>
    <w:rsid w:val="00ED7B56"/>
    <w:rsid w:val="00EE083B"/>
    <w:rsid w:val="00EE112A"/>
    <w:rsid w:val="00EE140B"/>
    <w:rsid w:val="00EE17FB"/>
    <w:rsid w:val="00EE1A78"/>
    <w:rsid w:val="00EE1FA4"/>
    <w:rsid w:val="00EE3231"/>
    <w:rsid w:val="00EE356A"/>
    <w:rsid w:val="00EE36D0"/>
    <w:rsid w:val="00EE4045"/>
    <w:rsid w:val="00EE478A"/>
    <w:rsid w:val="00EE4DEB"/>
    <w:rsid w:val="00EE5F6D"/>
    <w:rsid w:val="00EE5FAB"/>
    <w:rsid w:val="00EE785B"/>
    <w:rsid w:val="00EE7908"/>
    <w:rsid w:val="00EF03FF"/>
    <w:rsid w:val="00EF1925"/>
    <w:rsid w:val="00EF238B"/>
    <w:rsid w:val="00EF2688"/>
    <w:rsid w:val="00EF2ACC"/>
    <w:rsid w:val="00EF3D1D"/>
    <w:rsid w:val="00EF3F93"/>
    <w:rsid w:val="00EF425B"/>
    <w:rsid w:val="00EF4BDE"/>
    <w:rsid w:val="00EF4C14"/>
    <w:rsid w:val="00EF56F8"/>
    <w:rsid w:val="00EF68A0"/>
    <w:rsid w:val="00EF7F2C"/>
    <w:rsid w:val="00F00B3C"/>
    <w:rsid w:val="00F00CAF"/>
    <w:rsid w:val="00F00E57"/>
    <w:rsid w:val="00F01866"/>
    <w:rsid w:val="00F02419"/>
    <w:rsid w:val="00F025B7"/>
    <w:rsid w:val="00F026B9"/>
    <w:rsid w:val="00F02C80"/>
    <w:rsid w:val="00F0450C"/>
    <w:rsid w:val="00F049D9"/>
    <w:rsid w:val="00F049DC"/>
    <w:rsid w:val="00F05C59"/>
    <w:rsid w:val="00F06794"/>
    <w:rsid w:val="00F06F7C"/>
    <w:rsid w:val="00F07409"/>
    <w:rsid w:val="00F1093F"/>
    <w:rsid w:val="00F109C0"/>
    <w:rsid w:val="00F1216A"/>
    <w:rsid w:val="00F12965"/>
    <w:rsid w:val="00F129D8"/>
    <w:rsid w:val="00F12A52"/>
    <w:rsid w:val="00F13273"/>
    <w:rsid w:val="00F1369E"/>
    <w:rsid w:val="00F14067"/>
    <w:rsid w:val="00F14443"/>
    <w:rsid w:val="00F14F48"/>
    <w:rsid w:val="00F1523B"/>
    <w:rsid w:val="00F15787"/>
    <w:rsid w:val="00F1728F"/>
    <w:rsid w:val="00F174E7"/>
    <w:rsid w:val="00F20965"/>
    <w:rsid w:val="00F21B8B"/>
    <w:rsid w:val="00F21E28"/>
    <w:rsid w:val="00F22ADA"/>
    <w:rsid w:val="00F22F19"/>
    <w:rsid w:val="00F23F17"/>
    <w:rsid w:val="00F25197"/>
    <w:rsid w:val="00F255C3"/>
    <w:rsid w:val="00F26220"/>
    <w:rsid w:val="00F26828"/>
    <w:rsid w:val="00F27487"/>
    <w:rsid w:val="00F276E0"/>
    <w:rsid w:val="00F27CF8"/>
    <w:rsid w:val="00F27F0D"/>
    <w:rsid w:val="00F30515"/>
    <w:rsid w:val="00F31114"/>
    <w:rsid w:val="00F314AB"/>
    <w:rsid w:val="00F31E2C"/>
    <w:rsid w:val="00F34080"/>
    <w:rsid w:val="00F348C8"/>
    <w:rsid w:val="00F35020"/>
    <w:rsid w:val="00F369E1"/>
    <w:rsid w:val="00F3749A"/>
    <w:rsid w:val="00F407F7"/>
    <w:rsid w:val="00F40C69"/>
    <w:rsid w:val="00F41DD7"/>
    <w:rsid w:val="00F41E71"/>
    <w:rsid w:val="00F4200A"/>
    <w:rsid w:val="00F42C6D"/>
    <w:rsid w:val="00F43B28"/>
    <w:rsid w:val="00F441FC"/>
    <w:rsid w:val="00F444BB"/>
    <w:rsid w:val="00F444D7"/>
    <w:rsid w:val="00F44CC2"/>
    <w:rsid w:val="00F45682"/>
    <w:rsid w:val="00F45D01"/>
    <w:rsid w:val="00F464C2"/>
    <w:rsid w:val="00F474B9"/>
    <w:rsid w:val="00F478CA"/>
    <w:rsid w:val="00F47C40"/>
    <w:rsid w:val="00F5035E"/>
    <w:rsid w:val="00F50782"/>
    <w:rsid w:val="00F50D04"/>
    <w:rsid w:val="00F5149B"/>
    <w:rsid w:val="00F52D5E"/>
    <w:rsid w:val="00F536C4"/>
    <w:rsid w:val="00F5383A"/>
    <w:rsid w:val="00F54527"/>
    <w:rsid w:val="00F5473B"/>
    <w:rsid w:val="00F5714C"/>
    <w:rsid w:val="00F60651"/>
    <w:rsid w:val="00F607BA"/>
    <w:rsid w:val="00F61970"/>
    <w:rsid w:val="00F61A13"/>
    <w:rsid w:val="00F6418F"/>
    <w:rsid w:val="00F6442E"/>
    <w:rsid w:val="00F6610D"/>
    <w:rsid w:val="00F663EE"/>
    <w:rsid w:val="00F712AD"/>
    <w:rsid w:val="00F7349B"/>
    <w:rsid w:val="00F73F5D"/>
    <w:rsid w:val="00F74006"/>
    <w:rsid w:val="00F74CAB"/>
    <w:rsid w:val="00F75199"/>
    <w:rsid w:val="00F75449"/>
    <w:rsid w:val="00F77909"/>
    <w:rsid w:val="00F8053F"/>
    <w:rsid w:val="00F8093B"/>
    <w:rsid w:val="00F80CD0"/>
    <w:rsid w:val="00F80FB0"/>
    <w:rsid w:val="00F822A1"/>
    <w:rsid w:val="00F83566"/>
    <w:rsid w:val="00F8372F"/>
    <w:rsid w:val="00F83CA1"/>
    <w:rsid w:val="00F83D32"/>
    <w:rsid w:val="00F84072"/>
    <w:rsid w:val="00F84585"/>
    <w:rsid w:val="00F85465"/>
    <w:rsid w:val="00F8572E"/>
    <w:rsid w:val="00F85BCA"/>
    <w:rsid w:val="00F85D56"/>
    <w:rsid w:val="00F85FFB"/>
    <w:rsid w:val="00F87384"/>
    <w:rsid w:val="00F87B71"/>
    <w:rsid w:val="00F900D4"/>
    <w:rsid w:val="00F9017D"/>
    <w:rsid w:val="00F90D79"/>
    <w:rsid w:val="00F910B1"/>
    <w:rsid w:val="00F91D91"/>
    <w:rsid w:val="00F9308A"/>
    <w:rsid w:val="00F93402"/>
    <w:rsid w:val="00F9342A"/>
    <w:rsid w:val="00F93874"/>
    <w:rsid w:val="00F95F12"/>
    <w:rsid w:val="00F96542"/>
    <w:rsid w:val="00F97BBC"/>
    <w:rsid w:val="00FA039C"/>
    <w:rsid w:val="00FA0742"/>
    <w:rsid w:val="00FA1FE4"/>
    <w:rsid w:val="00FA2BBD"/>
    <w:rsid w:val="00FA4FAA"/>
    <w:rsid w:val="00FA5306"/>
    <w:rsid w:val="00FA56D3"/>
    <w:rsid w:val="00FA5A0D"/>
    <w:rsid w:val="00FA5BD6"/>
    <w:rsid w:val="00FA5D60"/>
    <w:rsid w:val="00FA6DE4"/>
    <w:rsid w:val="00FA6E1A"/>
    <w:rsid w:val="00FA7106"/>
    <w:rsid w:val="00FB05B3"/>
    <w:rsid w:val="00FB0F5B"/>
    <w:rsid w:val="00FB1920"/>
    <w:rsid w:val="00FB1FEC"/>
    <w:rsid w:val="00FB286E"/>
    <w:rsid w:val="00FB29E3"/>
    <w:rsid w:val="00FB2AA0"/>
    <w:rsid w:val="00FB2BDF"/>
    <w:rsid w:val="00FB2DAB"/>
    <w:rsid w:val="00FB48FB"/>
    <w:rsid w:val="00FB62C5"/>
    <w:rsid w:val="00FC0310"/>
    <w:rsid w:val="00FC09E8"/>
    <w:rsid w:val="00FC0DB3"/>
    <w:rsid w:val="00FC136E"/>
    <w:rsid w:val="00FC1595"/>
    <w:rsid w:val="00FC2396"/>
    <w:rsid w:val="00FC30E3"/>
    <w:rsid w:val="00FC355A"/>
    <w:rsid w:val="00FC37FA"/>
    <w:rsid w:val="00FC48C9"/>
    <w:rsid w:val="00FC4D10"/>
    <w:rsid w:val="00FC5592"/>
    <w:rsid w:val="00FC5ABE"/>
    <w:rsid w:val="00FC5B2C"/>
    <w:rsid w:val="00FC654B"/>
    <w:rsid w:val="00FC6977"/>
    <w:rsid w:val="00FC74F6"/>
    <w:rsid w:val="00FC7836"/>
    <w:rsid w:val="00FC7A89"/>
    <w:rsid w:val="00FD2185"/>
    <w:rsid w:val="00FD22D7"/>
    <w:rsid w:val="00FD257C"/>
    <w:rsid w:val="00FD26D2"/>
    <w:rsid w:val="00FD34CB"/>
    <w:rsid w:val="00FD4015"/>
    <w:rsid w:val="00FD40B1"/>
    <w:rsid w:val="00FD4200"/>
    <w:rsid w:val="00FD44C1"/>
    <w:rsid w:val="00FD4997"/>
    <w:rsid w:val="00FD59A9"/>
    <w:rsid w:val="00FD62F9"/>
    <w:rsid w:val="00FD6591"/>
    <w:rsid w:val="00FE0149"/>
    <w:rsid w:val="00FE014F"/>
    <w:rsid w:val="00FE0348"/>
    <w:rsid w:val="00FE06B4"/>
    <w:rsid w:val="00FE0769"/>
    <w:rsid w:val="00FE0AB8"/>
    <w:rsid w:val="00FE0B5D"/>
    <w:rsid w:val="00FE0BC7"/>
    <w:rsid w:val="00FE11BD"/>
    <w:rsid w:val="00FE16F2"/>
    <w:rsid w:val="00FE1989"/>
    <w:rsid w:val="00FE1E8E"/>
    <w:rsid w:val="00FE235A"/>
    <w:rsid w:val="00FE23F6"/>
    <w:rsid w:val="00FE27FD"/>
    <w:rsid w:val="00FE2C18"/>
    <w:rsid w:val="00FE33C4"/>
    <w:rsid w:val="00FE47EA"/>
    <w:rsid w:val="00FE4B2A"/>
    <w:rsid w:val="00FE513F"/>
    <w:rsid w:val="00FE6223"/>
    <w:rsid w:val="00FE6676"/>
    <w:rsid w:val="00FE6CB2"/>
    <w:rsid w:val="00FE706B"/>
    <w:rsid w:val="00FE75FE"/>
    <w:rsid w:val="00FF06D3"/>
    <w:rsid w:val="00FF1300"/>
    <w:rsid w:val="00FF1B67"/>
    <w:rsid w:val="00FF25F7"/>
    <w:rsid w:val="00FF2B72"/>
    <w:rsid w:val="00FF357A"/>
    <w:rsid w:val="00FF3D08"/>
    <w:rsid w:val="00FF49F3"/>
    <w:rsid w:val="00FF51B8"/>
    <w:rsid w:val="00FF5A86"/>
    <w:rsid w:val="00FF6A77"/>
    <w:rsid w:val="00FF71E6"/>
    <w:rsid w:val="00FF7F5E"/>
    <w:rsid w:val="0115C798"/>
    <w:rsid w:val="01415630"/>
    <w:rsid w:val="01650D69"/>
    <w:rsid w:val="017BF55A"/>
    <w:rsid w:val="0185A1E9"/>
    <w:rsid w:val="01A94B11"/>
    <w:rsid w:val="01C45107"/>
    <w:rsid w:val="01CD352D"/>
    <w:rsid w:val="01E96D5F"/>
    <w:rsid w:val="020044B0"/>
    <w:rsid w:val="020E5012"/>
    <w:rsid w:val="021233C4"/>
    <w:rsid w:val="02541EFE"/>
    <w:rsid w:val="02623E08"/>
    <w:rsid w:val="026F36D7"/>
    <w:rsid w:val="026FFDCF"/>
    <w:rsid w:val="0288B47E"/>
    <w:rsid w:val="02E01113"/>
    <w:rsid w:val="0304F420"/>
    <w:rsid w:val="030F5033"/>
    <w:rsid w:val="031FD744"/>
    <w:rsid w:val="032DB7D5"/>
    <w:rsid w:val="0341AF5F"/>
    <w:rsid w:val="034CE1D5"/>
    <w:rsid w:val="03533BAD"/>
    <w:rsid w:val="035B5D8E"/>
    <w:rsid w:val="035D0E59"/>
    <w:rsid w:val="036E16E1"/>
    <w:rsid w:val="03839D98"/>
    <w:rsid w:val="038AB7F5"/>
    <w:rsid w:val="03ABCA63"/>
    <w:rsid w:val="03B61D96"/>
    <w:rsid w:val="03DEA7F2"/>
    <w:rsid w:val="03E76C28"/>
    <w:rsid w:val="03EBAFD0"/>
    <w:rsid w:val="03EE9D55"/>
    <w:rsid w:val="040B1A2B"/>
    <w:rsid w:val="0432034D"/>
    <w:rsid w:val="0462BA1F"/>
    <w:rsid w:val="04695EED"/>
    <w:rsid w:val="047B270F"/>
    <w:rsid w:val="0488DD54"/>
    <w:rsid w:val="049284E8"/>
    <w:rsid w:val="049D8F7F"/>
    <w:rsid w:val="04B9E91C"/>
    <w:rsid w:val="04BEF19B"/>
    <w:rsid w:val="04C6050A"/>
    <w:rsid w:val="04DEC1BD"/>
    <w:rsid w:val="04F36C93"/>
    <w:rsid w:val="052D9A7C"/>
    <w:rsid w:val="053DEEC7"/>
    <w:rsid w:val="05566E93"/>
    <w:rsid w:val="0581E9FB"/>
    <w:rsid w:val="058E4ACC"/>
    <w:rsid w:val="05911260"/>
    <w:rsid w:val="05960337"/>
    <w:rsid w:val="060002BF"/>
    <w:rsid w:val="0605AFF3"/>
    <w:rsid w:val="0606277D"/>
    <w:rsid w:val="062C2359"/>
    <w:rsid w:val="06582B81"/>
    <w:rsid w:val="066224EE"/>
    <w:rsid w:val="067C2991"/>
    <w:rsid w:val="06A751C1"/>
    <w:rsid w:val="06BBE102"/>
    <w:rsid w:val="06BF8735"/>
    <w:rsid w:val="06C09814"/>
    <w:rsid w:val="06C766A0"/>
    <w:rsid w:val="06D65764"/>
    <w:rsid w:val="07111732"/>
    <w:rsid w:val="074C1E7D"/>
    <w:rsid w:val="0751B728"/>
    <w:rsid w:val="0766A118"/>
    <w:rsid w:val="0774FB9D"/>
    <w:rsid w:val="07B9A656"/>
    <w:rsid w:val="07E7E841"/>
    <w:rsid w:val="07F9EB73"/>
    <w:rsid w:val="080E8764"/>
    <w:rsid w:val="084CFD6B"/>
    <w:rsid w:val="084F07EF"/>
    <w:rsid w:val="0861D8E1"/>
    <w:rsid w:val="08694A79"/>
    <w:rsid w:val="086DEC1D"/>
    <w:rsid w:val="08754DF3"/>
    <w:rsid w:val="08A1EC65"/>
    <w:rsid w:val="08AF06E0"/>
    <w:rsid w:val="08CBDA11"/>
    <w:rsid w:val="08CC7975"/>
    <w:rsid w:val="08CD5D95"/>
    <w:rsid w:val="08D0C241"/>
    <w:rsid w:val="08DB35F8"/>
    <w:rsid w:val="08DE5AC4"/>
    <w:rsid w:val="08E982F1"/>
    <w:rsid w:val="08F094C7"/>
    <w:rsid w:val="08F11C9F"/>
    <w:rsid w:val="09166E6F"/>
    <w:rsid w:val="091B495E"/>
    <w:rsid w:val="092697AB"/>
    <w:rsid w:val="09429927"/>
    <w:rsid w:val="0943E41B"/>
    <w:rsid w:val="0947747D"/>
    <w:rsid w:val="0949B296"/>
    <w:rsid w:val="09565BD0"/>
    <w:rsid w:val="099258B4"/>
    <w:rsid w:val="0992606F"/>
    <w:rsid w:val="09ADEA25"/>
    <w:rsid w:val="09AE96BD"/>
    <w:rsid w:val="09B966FE"/>
    <w:rsid w:val="0A2312EF"/>
    <w:rsid w:val="0A55BE03"/>
    <w:rsid w:val="0A6B866C"/>
    <w:rsid w:val="0B111148"/>
    <w:rsid w:val="0B352E10"/>
    <w:rsid w:val="0B3A4320"/>
    <w:rsid w:val="0B557871"/>
    <w:rsid w:val="0B73B4CC"/>
    <w:rsid w:val="0B7F0DAC"/>
    <w:rsid w:val="0B8F2CD4"/>
    <w:rsid w:val="0B97C744"/>
    <w:rsid w:val="0BC406FF"/>
    <w:rsid w:val="0BDA9C85"/>
    <w:rsid w:val="0BDC4696"/>
    <w:rsid w:val="0BDEB6DD"/>
    <w:rsid w:val="0BE08AF3"/>
    <w:rsid w:val="0BE0F79E"/>
    <w:rsid w:val="0C02643C"/>
    <w:rsid w:val="0C33098C"/>
    <w:rsid w:val="0C4D8FC7"/>
    <w:rsid w:val="0C6BBBCB"/>
    <w:rsid w:val="0C920183"/>
    <w:rsid w:val="0C935F8B"/>
    <w:rsid w:val="0CAF5A01"/>
    <w:rsid w:val="0CBAC415"/>
    <w:rsid w:val="0CBEB249"/>
    <w:rsid w:val="0CF10383"/>
    <w:rsid w:val="0D0C55C1"/>
    <w:rsid w:val="0D0FD50A"/>
    <w:rsid w:val="0D13F81B"/>
    <w:rsid w:val="0D140180"/>
    <w:rsid w:val="0D1BD841"/>
    <w:rsid w:val="0D3FBD33"/>
    <w:rsid w:val="0D7A80C3"/>
    <w:rsid w:val="0D7D657E"/>
    <w:rsid w:val="0D900AD7"/>
    <w:rsid w:val="0DC62415"/>
    <w:rsid w:val="0DD33382"/>
    <w:rsid w:val="0DEAF9B9"/>
    <w:rsid w:val="0E058B04"/>
    <w:rsid w:val="0E081A73"/>
    <w:rsid w:val="0E0DF2B9"/>
    <w:rsid w:val="0E25B88A"/>
    <w:rsid w:val="0E2E6973"/>
    <w:rsid w:val="0E497A63"/>
    <w:rsid w:val="0E4D49DA"/>
    <w:rsid w:val="0E580FEE"/>
    <w:rsid w:val="0E704354"/>
    <w:rsid w:val="0E8A9B71"/>
    <w:rsid w:val="0E95E9AA"/>
    <w:rsid w:val="0EA83126"/>
    <w:rsid w:val="0EA8D8EE"/>
    <w:rsid w:val="0EACD742"/>
    <w:rsid w:val="0EBE0964"/>
    <w:rsid w:val="0ECB4C45"/>
    <w:rsid w:val="0F002B30"/>
    <w:rsid w:val="0F157C3C"/>
    <w:rsid w:val="0F1B74A1"/>
    <w:rsid w:val="0F32D9BB"/>
    <w:rsid w:val="0F4EA51E"/>
    <w:rsid w:val="0F596374"/>
    <w:rsid w:val="0F6D9734"/>
    <w:rsid w:val="0F792967"/>
    <w:rsid w:val="0F8F50CC"/>
    <w:rsid w:val="0F946397"/>
    <w:rsid w:val="0FB1C742"/>
    <w:rsid w:val="0FB6F879"/>
    <w:rsid w:val="0FC5DDE5"/>
    <w:rsid w:val="0FEF70BC"/>
    <w:rsid w:val="1003B610"/>
    <w:rsid w:val="1005C57D"/>
    <w:rsid w:val="103A29EB"/>
    <w:rsid w:val="10613B36"/>
    <w:rsid w:val="106F1560"/>
    <w:rsid w:val="106FA74E"/>
    <w:rsid w:val="10BC49A4"/>
    <w:rsid w:val="10F2C796"/>
    <w:rsid w:val="10FC62DE"/>
    <w:rsid w:val="10FD4D74"/>
    <w:rsid w:val="112D9050"/>
    <w:rsid w:val="11679E07"/>
    <w:rsid w:val="1174118B"/>
    <w:rsid w:val="11751570"/>
    <w:rsid w:val="1177CAAE"/>
    <w:rsid w:val="118D9762"/>
    <w:rsid w:val="11BB3178"/>
    <w:rsid w:val="11E56950"/>
    <w:rsid w:val="11E6A367"/>
    <w:rsid w:val="120B77AF"/>
    <w:rsid w:val="121417D2"/>
    <w:rsid w:val="122A3755"/>
    <w:rsid w:val="12384B6D"/>
    <w:rsid w:val="124A5D77"/>
    <w:rsid w:val="126A7724"/>
    <w:rsid w:val="12768437"/>
    <w:rsid w:val="127D06E3"/>
    <w:rsid w:val="127FE496"/>
    <w:rsid w:val="12BEBDD6"/>
    <w:rsid w:val="12C630FE"/>
    <w:rsid w:val="12D20EAC"/>
    <w:rsid w:val="12D837E2"/>
    <w:rsid w:val="131072E9"/>
    <w:rsid w:val="134FD0AB"/>
    <w:rsid w:val="1353F399"/>
    <w:rsid w:val="135E3A17"/>
    <w:rsid w:val="136023CF"/>
    <w:rsid w:val="136BDBC7"/>
    <w:rsid w:val="137CC2E4"/>
    <w:rsid w:val="137DA8EB"/>
    <w:rsid w:val="137F2616"/>
    <w:rsid w:val="13A108ED"/>
    <w:rsid w:val="13A1453C"/>
    <w:rsid w:val="13BDACFA"/>
    <w:rsid w:val="13C33B1E"/>
    <w:rsid w:val="13CF81A1"/>
    <w:rsid w:val="13F9AEC8"/>
    <w:rsid w:val="13FAEA20"/>
    <w:rsid w:val="141690DE"/>
    <w:rsid w:val="141F21E6"/>
    <w:rsid w:val="141F9B89"/>
    <w:rsid w:val="144F2CFB"/>
    <w:rsid w:val="146067FE"/>
    <w:rsid w:val="147D189B"/>
    <w:rsid w:val="14815BA2"/>
    <w:rsid w:val="148EEF44"/>
    <w:rsid w:val="14A2C3C7"/>
    <w:rsid w:val="14B02813"/>
    <w:rsid w:val="14CBC54E"/>
    <w:rsid w:val="14DD8494"/>
    <w:rsid w:val="14E27FF0"/>
    <w:rsid w:val="14E4CD02"/>
    <w:rsid w:val="14E64272"/>
    <w:rsid w:val="14F761B9"/>
    <w:rsid w:val="150D7B4F"/>
    <w:rsid w:val="1532F1E1"/>
    <w:rsid w:val="15598CB7"/>
    <w:rsid w:val="15605E66"/>
    <w:rsid w:val="1580208D"/>
    <w:rsid w:val="158599BF"/>
    <w:rsid w:val="158E8942"/>
    <w:rsid w:val="15A22C1C"/>
    <w:rsid w:val="15AAA7FB"/>
    <w:rsid w:val="15EB0E47"/>
    <w:rsid w:val="15F65E98"/>
    <w:rsid w:val="15F6BA41"/>
    <w:rsid w:val="161CC0B1"/>
    <w:rsid w:val="1629B084"/>
    <w:rsid w:val="165FE892"/>
    <w:rsid w:val="1664B993"/>
    <w:rsid w:val="167C415A"/>
    <w:rsid w:val="16E786CB"/>
    <w:rsid w:val="16F79622"/>
    <w:rsid w:val="177A3FF5"/>
    <w:rsid w:val="1781B046"/>
    <w:rsid w:val="17B9EEE2"/>
    <w:rsid w:val="17E6AD12"/>
    <w:rsid w:val="17F1D00A"/>
    <w:rsid w:val="17F49990"/>
    <w:rsid w:val="183A346F"/>
    <w:rsid w:val="1853A40C"/>
    <w:rsid w:val="186B46FF"/>
    <w:rsid w:val="189321AD"/>
    <w:rsid w:val="18A59E77"/>
    <w:rsid w:val="18A85F7D"/>
    <w:rsid w:val="18B40AB9"/>
    <w:rsid w:val="18B8398E"/>
    <w:rsid w:val="18C48EC0"/>
    <w:rsid w:val="18E4F16D"/>
    <w:rsid w:val="18F12D18"/>
    <w:rsid w:val="18FB5493"/>
    <w:rsid w:val="190A521A"/>
    <w:rsid w:val="190E39E4"/>
    <w:rsid w:val="191640DA"/>
    <w:rsid w:val="1919172E"/>
    <w:rsid w:val="1919A92B"/>
    <w:rsid w:val="191D4B05"/>
    <w:rsid w:val="19381659"/>
    <w:rsid w:val="193DEE92"/>
    <w:rsid w:val="1947C637"/>
    <w:rsid w:val="1952E1F0"/>
    <w:rsid w:val="19594933"/>
    <w:rsid w:val="195CBA82"/>
    <w:rsid w:val="196C9B37"/>
    <w:rsid w:val="19701E79"/>
    <w:rsid w:val="199C1AEA"/>
    <w:rsid w:val="19A4BC0E"/>
    <w:rsid w:val="19B7BE1C"/>
    <w:rsid w:val="19BEE14D"/>
    <w:rsid w:val="19D08485"/>
    <w:rsid w:val="19DB09FE"/>
    <w:rsid w:val="19DE520D"/>
    <w:rsid w:val="19EE8732"/>
    <w:rsid w:val="19F03228"/>
    <w:rsid w:val="1A1C5CF9"/>
    <w:rsid w:val="1A54A2B6"/>
    <w:rsid w:val="1A8358CC"/>
    <w:rsid w:val="1A838201"/>
    <w:rsid w:val="1A97ECC3"/>
    <w:rsid w:val="1AA4ACE7"/>
    <w:rsid w:val="1AB534F3"/>
    <w:rsid w:val="1AB8C002"/>
    <w:rsid w:val="1AC9CFBB"/>
    <w:rsid w:val="1AE0D356"/>
    <w:rsid w:val="1AE8C79B"/>
    <w:rsid w:val="1B0F3B07"/>
    <w:rsid w:val="1B10CB68"/>
    <w:rsid w:val="1B3E1ED8"/>
    <w:rsid w:val="1B69D42F"/>
    <w:rsid w:val="1B715363"/>
    <w:rsid w:val="1B75D2AE"/>
    <w:rsid w:val="1B8D35BE"/>
    <w:rsid w:val="1B9ED79A"/>
    <w:rsid w:val="1BB752DE"/>
    <w:rsid w:val="1BB7C251"/>
    <w:rsid w:val="1BC456DC"/>
    <w:rsid w:val="1BCCCB8A"/>
    <w:rsid w:val="1BCF28D8"/>
    <w:rsid w:val="1BF26255"/>
    <w:rsid w:val="1BF3DE53"/>
    <w:rsid w:val="1BF6B4A4"/>
    <w:rsid w:val="1C02B713"/>
    <w:rsid w:val="1C1AE665"/>
    <w:rsid w:val="1C1DC7D9"/>
    <w:rsid w:val="1C1F0371"/>
    <w:rsid w:val="1C2AFCF6"/>
    <w:rsid w:val="1C329FE3"/>
    <w:rsid w:val="1C5294C4"/>
    <w:rsid w:val="1C64D5D3"/>
    <w:rsid w:val="1C792598"/>
    <w:rsid w:val="1C990B70"/>
    <w:rsid w:val="1CB5449A"/>
    <w:rsid w:val="1CC35D18"/>
    <w:rsid w:val="1CD57F9C"/>
    <w:rsid w:val="1D08C7BF"/>
    <w:rsid w:val="1D0FC4AF"/>
    <w:rsid w:val="1D3B6AC5"/>
    <w:rsid w:val="1D3F105E"/>
    <w:rsid w:val="1D3F6180"/>
    <w:rsid w:val="1D561069"/>
    <w:rsid w:val="1D59A23F"/>
    <w:rsid w:val="1D68BDED"/>
    <w:rsid w:val="1D6D8BF2"/>
    <w:rsid w:val="1D962B71"/>
    <w:rsid w:val="1DA66AF4"/>
    <w:rsid w:val="1DBC2307"/>
    <w:rsid w:val="1DC89556"/>
    <w:rsid w:val="1DC8C820"/>
    <w:rsid w:val="1DDE6DD3"/>
    <w:rsid w:val="1DF0AD4F"/>
    <w:rsid w:val="1DF79A29"/>
    <w:rsid w:val="1E102177"/>
    <w:rsid w:val="1E284D4E"/>
    <w:rsid w:val="1E2E8D49"/>
    <w:rsid w:val="1E3920D5"/>
    <w:rsid w:val="1E424C7D"/>
    <w:rsid w:val="1E5E49EA"/>
    <w:rsid w:val="1E738CDA"/>
    <w:rsid w:val="1EA7A306"/>
    <w:rsid w:val="1F0FDA01"/>
    <w:rsid w:val="1F167801"/>
    <w:rsid w:val="1F182B87"/>
    <w:rsid w:val="1F1BBBFB"/>
    <w:rsid w:val="1F27F293"/>
    <w:rsid w:val="1F280AE7"/>
    <w:rsid w:val="1F3298DF"/>
    <w:rsid w:val="1F340E1E"/>
    <w:rsid w:val="1F4C3C95"/>
    <w:rsid w:val="1F658814"/>
    <w:rsid w:val="1FAD935E"/>
    <w:rsid w:val="1FCA5219"/>
    <w:rsid w:val="1FD3760E"/>
    <w:rsid w:val="1FDC787F"/>
    <w:rsid w:val="1FF4FDFE"/>
    <w:rsid w:val="1FFA4128"/>
    <w:rsid w:val="200F7E4D"/>
    <w:rsid w:val="201A9567"/>
    <w:rsid w:val="201E6943"/>
    <w:rsid w:val="202C6880"/>
    <w:rsid w:val="202E62D4"/>
    <w:rsid w:val="20579605"/>
    <w:rsid w:val="207D44A9"/>
    <w:rsid w:val="2092FD51"/>
    <w:rsid w:val="209950E6"/>
    <w:rsid w:val="20BD2F80"/>
    <w:rsid w:val="20C13692"/>
    <w:rsid w:val="20C25123"/>
    <w:rsid w:val="20E3C175"/>
    <w:rsid w:val="20E5B2B5"/>
    <w:rsid w:val="21091C0B"/>
    <w:rsid w:val="21362260"/>
    <w:rsid w:val="2158DA48"/>
    <w:rsid w:val="2164308B"/>
    <w:rsid w:val="217B55EA"/>
    <w:rsid w:val="21833836"/>
    <w:rsid w:val="21C06176"/>
    <w:rsid w:val="21C2588C"/>
    <w:rsid w:val="21E46D56"/>
    <w:rsid w:val="21F52AD1"/>
    <w:rsid w:val="220D0C7C"/>
    <w:rsid w:val="22163002"/>
    <w:rsid w:val="222AC71C"/>
    <w:rsid w:val="223D8A87"/>
    <w:rsid w:val="22403A34"/>
    <w:rsid w:val="225E24F0"/>
    <w:rsid w:val="2286BC59"/>
    <w:rsid w:val="2288AC6F"/>
    <w:rsid w:val="228E6E50"/>
    <w:rsid w:val="22A8DAB2"/>
    <w:rsid w:val="22BCFF4C"/>
    <w:rsid w:val="22C49F8D"/>
    <w:rsid w:val="22CA32B1"/>
    <w:rsid w:val="22CA3610"/>
    <w:rsid w:val="22CE501A"/>
    <w:rsid w:val="22FF8142"/>
    <w:rsid w:val="23008D9F"/>
    <w:rsid w:val="2301CF1A"/>
    <w:rsid w:val="23052AE6"/>
    <w:rsid w:val="230564DC"/>
    <w:rsid w:val="23121241"/>
    <w:rsid w:val="2314D631"/>
    <w:rsid w:val="232131D3"/>
    <w:rsid w:val="2324100D"/>
    <w:rsid w:val="2347E92D"/>
    <w:rsid w:val="238A13BA"/>
    <w:rsid w:val="239980AF"/>
    <w:rsid w:val="23AF7C36"/>
    <w:rsid w:val="23B9BD0D"/>
    <w:rsid w:val="23BBDFDC"/>
    <w:rsid w:val="23C2DAB8"/>
    <w:rsid w:val="23D7888D"/>
    <w:rsid w:val="23E0BBCC"/>
    <w:rsid w:val="23E1410D"/>
    <w:rsid w:val="23ED6537"/>
    <w:rsid w:val="240F93A7"/>
    <w:rsid w:val="241B5948"/>
    <w:rsid w:val="2440AEC0"/>
    <w:rsid w:val="244F305F"/>
    <w:rsid w:val="246FA27A"/>
    <w:rsid w:val="247A8748"/>
    <w:rsid w:val="249D5272"/>
    <w:rsid w:val="24AEF590"/>
    <w:rsid w:val="24B142D3"/>
    <w:rsid w:val="24BED89F"/>
    <w:rsid w:val="24C8BEE0"/>
    <w:rsid w:val="24DA77DB"/>
    <w:rsid w:val="2522BB16"/>
    <w:rsid w:val="2548E11C"/>
    <w:rsid w:val="258E276D"/>
    <w:rsid w:val="258F565F"/>
    <w:rsid w:val="259D9D86"/>
    <w:rsid w:val="259F4F55"/>
    <w:rsid w:val="25AFC024"/>
    <w:rsid w:val="25B266CE"/>
    <w:rsid w:val="25B76D9B"/>
    <w:rsid w:val="25E03101"/>
    <w:rsid w:val="25E12989"/>
    <w:rsid w:val="260FE3DE"/>
    <w:rsid w:val="261C9225"/>
    <w:rsid w:val="26205C87"/>
    <w:rsid w:val="26222F2C"/>
    <w:rsid w:val="262378FB"/>
    <w:rsid w:val="2659092B"/>
    <w:rsid w:val="2667249D"/>
    <w:rsid w:val="26710DC0"/>
    <w:rsid w:val="26738B71"/>
    <w:rsid w:val="268C4FB9"/>
    <w:rsid w:val="2698A4FB"/>
    <w:rsid w:val="26992992"/>
    <w:rsid w:val="269CC81A"/>
    <w:rsid w:val="26AFF21E"/>
    <w:rsid w:val="26BA2025"/>
    <w:rsid w:val="26C10BE2"/>
    <w:rsid w:val="26CD1A3B"/>
    <w:rsid w:val="26CF5F8E"/>
    <w:rsid w:val="26D2B4FC"/>
    <w:rsid w:val="26F5AF29"/>
    <w:rsid w:val="2712FDDE"/>
    <w:rsid w:val="2730BE46"/>
    <w:rsid w:val="2737BD46"/>
    <w:rsid w:val="27381B3E"/>
    <w:rsid w:val="273C0424"/>
    <w:rsid w:val="276757E3"/>
    <w:rsid w:val="2767CD00"/>
    <w:rsid w:val="277277FD"/>
    <w:rsid w:val="277BD1E5"/>
    <w:rsid w:val="27800B45"/>
    <w:rsid w:val="278CEF16"/>
    <w:rsid w:val="2793DC24"/>
    <w:rsid w:val="279B962A"/>
    <w:rsid w:val="27E86303"/>
    <w:rsid w:val="27EA2096"/>
    <w:rsid w:val="284028C7"/>
    <w:rsid w:val="28431BE7"/>
    <w:rsid w:val="284D45E9"/>
    <w:rsid w:val="285513B8"/>
    <w:rsid w:val="285A6599"/>
    <w:rsid w:val="285E4189"/>
    <w:rsid w:val="288A6EAD"/>
    <w:rsid w:val="28C84D4F"/>
    <w:rsid w:val="28E13C59"/>
    <w:rsid w:val="29052605"/>
    <w:rsid w:val="29069687"/>
    <w:rsid w:val="29594D98"/>
    <w:rsid w:val="298B700C"/>
    <w:rsid w:val="29B429FC"/>
    <w:rsid w:val="29BC824F"/>
    <w:rsid w:val="29C349BE"/>
    <w:rsid w:val="29D382EF"/>
    <w:rsid w:val="29EA6A2A"/>
    <w:rsid w:val="2A215AE0"/>
    <w:rsid w:val="2A2F8E28"/>
    <w:rsid w:val="2A3A4448"/>
    <w:rsid w:val="2A51F9C0"/>
    <w:rsid w:val="2A53FB9B"/>
    <w:rsid w:val="2A56956E"/>
    <w:rsid w:val="2A5D2235"/>
    <w:rsid w:val="2A5F632E"/>
    <w:rsid w:val="2A61C6EC"/>
    <w:rsid w:val="2A62D0D8"/>
    <w:rsid w:val="2A67C5A1"/>
    <w:rsid w:val="2A854D8B"/>
    <w:rsid w:val="2AFDD44A"/>
    <w:rsid w:val="2B010422"/>
    <w:rsid w:val="2B07B668"/>
    <w:rsid w:val="2B146FC1"/>
    <w:rsid w:val="2B1DB75A"/>
    <w:rsid w:val="2B1FBE4F"/>
    <w:rsid w:val="2B212022"/>
    <w:rsid w:val="2B4BD246"/>
    <w:rsid w:val="2B4D2F80"/>
    <w:rsid w:val="2B73AF6E"/>
    <w:rsid w:val="2B92BD2A"/>
    <w:rsid w:val="2BC4BC83"/>
    <w:rsid w:val="2BCBAD1F"/>
    <w:rsid w:val="2BECD740"/>
    <w:rsid w:val="2BF06C9F"/>
    <w:rsid w:val="2C08AD96"/>
    <w:rsid w:val="2C3EA665"/>
    <w:rsid w:val="2C5B1815"/>
    <w:rsid w:val="2C782D5B"/>
    <w:rsid w:val="2C7D5AC9"/>
    <w:rsid w:val="2C8DDEAC"/>
    <w:rsid w:val="2CBD5899"/>
    <w:rsid w:val="2CC60E83"/>
    <w:rsid w:val="2CC88137"/>
    <w:rsid w:val="2CCAF118"/>
    <w:rsid w:val="2CD38194"/>
    <w:rsid w:val="2CEE0540"/>
    <w:rsid w:val="2D069F90"/>
    <w:rsid w:val="2D0E2057"/>
    <w:rsid w:val="2D10EC23"/>
    <w:rsid w:val="2D2ADB73"/>
    <w:rsid w:val="2D367BDA"/>
    <w:rsid w:val="2D4A05AF"/>
    <w:rsid w:val="2D56B884"/>
    <w:rsid w:val="2D6B175E"/>
    <w:rsid w:val="2D78D63C"/>
    <w:rsid w:val="2D7B3111"/>
    <w:rsid w:val="2D7B5B98"/>
    <w:rsid w:val="2D88AE00"/>
    <w:rsid w:val="2D9AB0FD"/>
    <w:rsid w:val="2DF1631A"/>
    <w:rsid w:val="2E179163"/>
    <w:rsid w:val="2E28B66F"/>
    <w:rsid w:val="2E482512"/>
    <w:rsid w:val="2E49BB23"/>
    <w:rsid w:val="2E91446F"/>
    <w:rsid w:val="2EC5797C"/>
    <w:rsid w:val="2EDD2EA4"/>
    <w:rsid w:val="2EE848A1"/>
    <w:rsid w:val="2EEFB709"/>
    <w:rsid w:val="2F0A9121"/>
    <w:rsid w:val="2F20F98C"/>
    <w:rsid w:val="2F297188"/>
    <w:rsid w:val="2F454AB2"/>
    <w:rsid w:val="2F481F10"/>
    <w:rsid w:val="2F735D0F"/>
    <w:rsid w:val="2FBB0449"/>
    <w:rsid w:val="2FD93C5B"/>
    <w:rsid w:val="2FEBDAA1"/>
    <w:rsid w:val="2FECD422"/>
    <w:rsid w:val="2FFBF095"/>
    <w:rsid w:val="302CD07B"/>
    <w:rsid w:val="3032A357"/>
    <w:rsid w:val="30596416"/>
    <w:rsid w:val="305E4B19"/>
    <w:rsid w:val="307FE0A2"/>
    <w:rsid w:val="3091E1BB"/>
    <w:rsid w:val="30B90ACC"/>
    <w:rsid w:val="30BB6185"/>
    <w:rsid w:val="30DDC800"/>
    <w:rsid w:val="31639E3B"/>
    <w:rsid w:val="316419C8"/>
    <w:rsid w:val="31861EE5"/>
    <w:rsid w:val="318DE24B"/>
    <w:rsid w:val="31AD384D"/>
    <w:rsid w:val="31D464CB"/>
    <w:rsid w:val="31EAA4AA"/>
    <w:rsid w:val="31EBD84F"/>
    <w:rsid w:val="31F5F6F5"/>
    <w:rsid w:val="3201CAF6"/>
    <w:rsid w:val="320C9F04"/>
    <w:rsid w:val="3226AFCE"/>
    <w:rsid w:val="3229CF9F"/>
    <w:rsid w:val="3231FFB4"/>
    <w:rsid w:val="3235665E"/>
    <w:rsid w:val="323B5DCB"/>
    <w:rsid w:val="324DA0EB"/>
    <w:rsid w:val="327006FB"/>
    <w:rsid w:val="32960571"/>
    <w:rsid w:val="32973AD2"/>
    <w:rsid w:val="32A2CB61"/>
    <w:rsid w:val="32A9B5B1"/>
    <w:rsid w:val="32C84083"/>
    <w:rsid w:val="32C94BE0"/>
    <w:rsid w:val="32CC3510"/>
    <w:rsid w:val="32E2134C"/>
    <w:rsid w:val="32EBC9DB"/>
    <w:rsid w:val="32F228A7"/>
    <w:rsid w:val="32F3412A"/>
    <w:rsid w:val="32FCFB38"/>
    <w:rsid w:val="3307DA4D"/>
    <w:rsid w:val="33092C09"/>
    <w:rsid w:val="331272C6"/>
    <w:rsid w:val="331ED252"/>
    <w:rsid w:val="33425BAE"/>
    <w:rsid w:val="3354E0C8"/>
    <w:rsid w:val="335BC2D6"/>
    <w:rsid w:val="33814029"/>
    <w:rsid w:val="338F7070"/>
    <w:rsid w:val="33910125"/>
    <w:rsid w:val="33AF074E"/>
    <w:rsid w:val="33D92440"/>
    <w:rsid w:val="33DDD01C"/>
    <w:rsid w:val="33F1FBC4"/>
    <w:rsid w:val="34005302"/>
    <w:rsid w:val="3407423B"/>
    <w:rsid w:val="341832D3"/>
    <w:rsid w:val="3438D224"/>
    <w:rsid w:val="34452F4E"/>
    <w:rsid w:val="34482950"/>
    <w:rsid w:val="346D5D4B"/>
    <w:rsid w:val="34787E44"/>
    <w:rsid w:val="347D16EC"/>
    <w:rsid w:val="347D58E2"/>
    <w:rsid w:val="34A095CE"/>
    <w:rsid w:val="34B962F3"/>
    <w:rsid w:val="351107B0"/>
    <w:rsid w:val="351E67C3"/>
    <w:rsid w:val="356469C0"/>
    <w:rsid w:val="357BBAF2"/>
    <w:rsid w:val="35C428EE"/>
    <w:rsid w:val="35F212F9"/>
    <w:rsid w:val="35FED127"/>
    <w:rsid w:val="3616A44B"/>
    <w:rsid w:val="36199FDF"/>
    <w:rsid w:val="362776DA"/>
    <w:rsid w:val="366C422D"/>
    <w:rsid w:val="36801520"/>
    <w:rsid w:val="368D9DA6"/>
    <w:rsid w:val="3693CD82"/>
    <w:rsid w:val="36B0E796"/>
    <w:rsid w:val="36C65815"/>
    <w:rsid w:val="36C9832F"/>
    <w:rsid w:val="36DE7D55"/>
    <w:rsid w:val="36DF6BBA"/>
    <w:rsid w:val="37194E4E"/>
    <w:rsid w:val="3733B4D3"/>
    <w:rsid w:val="373ED20B"/>
    <w:rsid w:val="37524E7D"/>
    <w:rsid w:val="377D9873"/>
    <w:rsid w:val="3790D16B"/>
    <w:rsid w:val="3794B109"/>
    <w:rsid w:val="379A35B9"/>
    <w:rsid w:val="37B97ECE"/>
    <w:rsid w:val="37CDECF9"/>
    <w:rsid w:val="37D1FFBC"/>
    <w:rsid w:val="37D41C7C"/>
    <w:rsid w:val="37EA73E6"/>
    <w:rsid w:val="37EB8E00"/>
    <w:rsid w:val="3813AA7C"/>
    <w:rsid w:val="381E01DD"/>
    <w:rsid w:val="3825B4FC"/>
    <w:rsid w:val="383ADEED"/>
    <w:rsid w:val="3857CF15"/>
    <w:rsid w:val="389276B4"/>
    <w:rsid w:val="38998178"/>
    <w:rsid w:val="38B65CA9"/>
    <w:rsid w:val="38C6BEC0"/>
    <w:rsid w:val="38EB54E4"/>
    <w:rsid w:val="38EE1B24"/>
    <w:rsid w:val="3932AC28"/>
    <w:rsid w:val="3934F24A"/>
    <w:rsid w:val="3942866F"/>
    <w:rsid w:val="3942C78B"/>
    <w:rsid w:val="395429EB"/>
    <w:rsid w:val="3963A243"/>
    <w:rsid w:val="39676A0C"/>
    <w:rsid w:val="397FE233"/>
    <w:rsid w:val="39841983"/>
    <w:rsid w:val="3989C284"/>
    <w:rsid w:val="399BA5B9"/>
    <w:rsid w:val="39E80224"/>
    <w:rsid w:val="3A0DE1B1"/>
    <w:rsid w:val="3A0EF125"/>
    <w:rsid w:val="3A189BC4"/>
    <w:rsid w:val="3A3A9C46"/>
    <w:rsid w:val="3A4BB8D6"/>
    <w:rsid w:val="3A725EC9"/>
    <w:rsid w:val="3A8B91A6"/>
    <w:rsid w:val="3AA80A36"/>
    <w:rsid w:val="3AB350C0"/>
    <w:rsid w:val="3AB611E7"/>
    <w:rsid w:val="3AD23AEC"/>
    <w:rsid w:val="3AE84B47"/>
    <w:rsid w:val="3AEDC4DE"/>
    <w:rsid w:val="3AF7E7D8"/>
    <w:rsid w:val="3B2685EE"/>
    <w:rsid w:val="3B306554"/>
    <w:rsid w:val="3B328918"/>
    <w:rsid w:val="3B6B6C38"/>
    <w:rsid w:val="3B72AD0B"/>
    <w:rsid w:val="3B72C7DA"/>
    <w:rsid w:val="3B85A2A5"/>
    <w:rsid w:val="3B897584"/>
    <w:rsid w:val="3B9EEE07"/>
    <w:rsid w:val="3BDDD532"/>
    <w:rsid w:val="3BF31EFB"/>
    <w:rsid w:val="3BF89900"/>
    <w:rsid w:val="3C0278B6"/>
    <w:rsid w:val="3C0EA0DF"/>
    <w:rsid w:val="3C3FDBF6"/>
    <w:rsid w:val="3C81579E"/>
    <w:rsid w:val="3CA8815D"/>
    <w:rsid w:val="3CC0E369"/>
    <w:rsid w:val="3CFECAC0"/>
    <w:rsid w:val="3D20291A"/>
    <w:rsid w:val="3D618E97"/>
    <w:rsid w:val="3D784C75"/>
    <w:rsid w:val="3D7B1B89"/>
    <w:rsid w:val="3D808DD9"/>
    <w:rsid w:val="3D808FD9"/>
    <w:rsid w:val="3D87533C"/>
    <w:rsid w:val="3DC0B826"/>
    <w:rsid w:val="3DCA65A8"/>
    <w:rsid w:val="3DD0BC0E"/>
    <w:rsid w:val="3DD3FADE"/>
    <w:rsid w:val="3DD41C54"/>
    <w:rsid w:val="3DD878D7"/>
    <w:rsid w:val="3DE17EBD"/>
    <w:rsid w:val="3DFAB274"/>
    <w:rsid w:val="3E1EC9C6"/>
    <w:rsid w:val="3E55CA22"/>
    <w:rsid w:val="3E5D18C4"/>
    <w:rsid w:val="3E60DDA7"/>
    <w:rsid w:val="3E914CF2"/>
    <w:rsid w:val="3EAE9401"/>
    <w:rsid w:val="3EDE9636"/>
    <w:rsid w:val="3EF85684"/>
    <w:rsid w:val="3F0C0A19"/>
    <w:rsid w:val="3F15CF27"/>
    <w:rsid w:val="3F205AE2"/>
    <w:rsid w:val="3F57C013"/>
    <w:rsid w:val="3F6609D5"/>
    <w:rsid w:val="3F6CFB7F"/>
    <w:rsid w:val="3F6DBC02"/>
    <w:rsid w:val="3FDB12CA"/>
    <w:rsid w:val="400D3E15"/>
    <w:rsid w:val="400E959D"/>
    <w:rsid w:val="400FFB41"/>
    <w:rsid w:val="40200730"/>
    <w:rsid w:val="40BDAA13"/>
    <w:rsid w:val="40DF4EE9"/>
    <w:rsid w:val="4126B6A9"/>
    <w:rsid w:val="415275E1"/>
    <w:rsid w:val="4156CB5D"/>
    <w:rsid w:val="41797BF5"/>
    <w:rsid w:val="417EBD9E"/>
    <w:rsid w:val="41CD00A0"/>
    <w:rsid w:val="41D2D70E"/>
    <w:rsid w:val="41DE7690"/>
    <w:rsid w:val="41DF5DB4"/>
    <w:rsid w:val="421177B6"/>
    <w:rsid w:val="423FD498"/>
    <w:rsid w:val="4242E93D"/>
    <w:rsid w:val="42546FF7"/>
    <w:rsid w:val="425A58D2"/>
    <w:rsid w:val="425D9EEF"/>
    <w:rsid w:val="4278E44D"/>
    <w:rsid w:val="429C2ECE"/>
    <w:rsid w:val="42C4C524"/>
    <w:rsid w:val="42D9E932"/>
    <w:rsid w:val="42E75D30"/>
    <w:rsid w:val="42EEC16D"/>
    <w:rsid w:val="42FEE41E"/>
    <w:rsid w:val="43019E9A"/>
    <w:rsid w:val="4304EE3A"/>
    <w:rsid w:val="43143727"/>
    <w:rsid w:val="432F640B"/>
    <w:rsid w:val="434B7DAC"/>
    <w:rsid w:val="436ED558"/>
    <w:rsid w:val="4380BC20"/>
    <w:rsid w:val="4387C5C2"/>
    <w:rsid w:val="43AFF1F6"/>
    <w:rsid w:val="43AFFE53"/>
    <w:rsid w:val="43B44F32"/>
    <w:rsid w:val="441E060D"/>
    <w:rsid w:val="441ED96F"/>
    <w:rsid w:val="44310228"/>
    <w:rsid w:val="443ACB43"/>
    <w:rsid w:val="44440EAC"/>
    <w:rsid w:val="44513AEA"/>
    <w:rsid w:val="4454B7ED"/>
    <w:rsid w:val="4464F647"/>
    <w:rsid w:val="447391E3"/>
    <w:rsid w:val="449361D2"/>
    <w:rsid w:val="449C3E0D"/>
    <w:rsid w:val="44C68AAC"/>
    <w:rsid w:val="44CFB823"/>
    <w:rsid w:val="44D0A970"/>
    <w:rsid w:val="44E3337C"/>
    <w:rsid w:val="450137D3"/>
    <w:rsid w:val="450DEFE3"/>
    <w:rsid w:val="452110A4"/>
    <w:rsid w:val="4525A6F7"/>
    <w:rsid w:val="4537310E"/>
    <w:rsid w:val="45427ACC"/>
    <w:rsid w:val="454388A0"/>
    <w:rsid w:val="4581C7A1"/>
    <w:rsid w:val="458784C9"/>
    <w:rsid w:val="45C242E5"/>
    <w:rsid w:val="45CF1E8C"/>
    <w:rsid w:val="45DF09CC"/>
    <w:rsid w:val="45F801A7"/>
    <w:rsid w:val="45FA9B2D"/>
    <w:rsid w:val="4606AD51"/>
    <w:rsid w:val="460BB386"/>
    <w:rsid w:val="46308BE9"/>
    <w:rsid w:val="4630B188"/>
    <w:rsid w:val="4632FAFE"/>
    <w:rsid w:val="463EC560"/>
    <w:rsid w:val="46511332"/>
    <w:rsid w:val="46522EC1"/>
    <w:rsid w:val="4671F6A9"/>
    <w:rsid w:val="46989CDF"/>
    <w:rsid w:val="469EAD6E"/>
    <w:rsid w:val="46B7E4BC"/>
    <w:rsid w:val="46BA3B60"/>
    <w:rsid w:val="46E8E048"/>
    <w:rsid w:val="46F1CE27"/>
    <w:rsid w:val="46FA1F7C"/>
    <w:rsid w:val="4709531C"/>
    <w:rsid w:val="470C1D50"/>
    <w:rsid w:val="470E6F8F"/>
    <w:rsid w:val="4713A2CB"/>
    <w:rsid w:val="472A753D"/>
    <w:rsid w:val="4747B124"/>
    <w:rsid w:val="47506CB7"/>
    <w:rsid w:val="47589F67"/>
    <w:rsid w:val="4759EC09"/>
    <w:rsid w:val="47671CE6"/>
    <w:rsid w:val="4767CDE6"/>
    <w:rsid w:val="478AFF57"/>
    <w:rsid w:val="4792CA57"/>
    <w:rsid w:val="47D2CF9F"/>
    <w:rsid w:val="47DFEAF4"/>
    <w:rsid w:val="47EB35BE"/>
    <w:rsid w:val="48262B09"/>
    <w:rsid w:val="48267216"/>
    <w:rsid w:val="482A104B"/>
    <w:rsid w:val="484B06C2"/>
    <w:rsid w:val="4895A472"/>
    <w:rsid w:val="48A1E762"/>
    <w:rsid w:val="48C1E923"/>
    <w:rsid w:val="48F4F4E3"/>
    <w:rsid w:val="490BCEF0"/>
    <w:rsid w:val="4923F86E"/>
    <w:rsid w:val="49309FC9"/>
    <w:rsid w:val="4930D09E"/>
    <w:rsid w:val="493218BB"/>
    <w:rsid w:val="495323E4"/>
    <w:rsid w:val="49B58A7F"/>
    <w:rsid w:val="49BF5583"/>
    <w:rsid w:val="49D78FC4"/>
    <w:rsid w:val="49DE9DAE"/>
    <w:rsid w:val="49DF8A74"/>
    <w:rsid w:val="49E533E9"/>
    <w:rsid w:val="4A23D13F"/>
    <w:rsid w:val="4A307B16"/>
    <w:rsid w:val="4A44C5D1"/>
    <w:rsid w:val="4A55514B"/>
    <w:rsid w:val="4AA8F73C"/>
    <w:rsid w:val="4AD946B8"/>
    <w:rsid w:val="4AEB69DA"/>
    <w:rsid w:val="4AF4D8C8"/>
    <w:rsid w:val="4AF9D7E0"/>
    <w:rsid w:val="4B099896"/>
    <w:rsid w:val="4B28D6B6"/>
    <w:rsid w:val="4B3A6005"/>
    <w:rsid w:val="4B5C3B81"/>
    <w:rsid w:val="4B618BD4"/>
    <w:rsid w:val="4B63E172"/>
    <w:rsid w:val="4B734D4B"/>
    <w:rsid w:val="4B7E8AC6"/>
    <w:rsid w:val="4B881A9F"/>
    <w:rsid w:val="4B9666FF"/>
    <w:rsid w:val="4BA667E4"/>
    <w:rsid w:val="4BB42301"/>
    <w:rsid w:val="4C085FFF"/>
    <w:rsid w:val="4C09826E"/>
    <w:rsid w:val="4C464983"/>
    <w:rsid w:val="4C5FF839"/>
    <w:rsid w:val="4C814569"/>
    <w:rsid w:val="4C8BE6E2"/>
    <w:rsid w:val="4CB5D5E4"/>
    <w:rsid w:val="4CB879AA"/>
    <w:rsid w:val="4CBEF40A"/>
    <w:rsid w:val="4CD4FC33"/>
    <w:rsid w:val="4D0B990D"/>
    <w:rsid w:val="4D1C830C"/>
    <w:rsid w:val="4D54C9BA"/>
    <w:rsid w:val="4D866759"/>
    <w:rsid w:val="4DD9F425"/>
    <w:rsid w:val="4DFDDB35"/>
    <w:rsid w:val="4E0CDC47"/>
    <w:rsid w:val="4E44E2C4"/>
    <w:rsid w:val="4E48D0A7"/>
    <w:rsid w:val="4E50B1BB"/>
    <w:rsid w:val="4E81D354"/>
    <w:rsid w:val="4E91A48F"/>
    <w:rsid w:val="4E948551"/>
    <w:rsid w:val="4EF188D8"/>
    <w:rsid w:val="4EF551A0"/>
    <w:rsid w:val="4F00A6F9"/>
    <w:rsid w:val="4F028B9C"/>
    <w:rsid w:val="4F0FE827"/>
    <w:rsid w:val="4F19E330"/>
    <w:rsid w:val="4F1C2D07"/>
    <w:rsid w:val="4F2A0F7B"/>
    <w:rsid w:val="4F4465A3"/>
    <w:rsid w:val="4F7D4EEE"/>
    <w:rsid w:val="4F925C47"/>
    <w:rsid w:val="4FA2251A"/>
    <w:rsid w:val="4FA3D9E3"/>
    <w:rsid w:val="4FC9A175"/>
    <w:rsid w:val="4FDA2139"/>
    <w:rsid w:val="4FFA0777"/>
    <w:rsid w:val="4FFD14F3"/>
    <w:rsid w:val="500D8DC7"/>
    <w:rsid w:val="500F5B1E"/>
    <w:rsid w:val="5017FFC2"/>
    <w:rsid w:val="501DA8A5"/>
    <w:rsid w:val="505C8F3C"/>
    <w:rsid w:val="505CFF7B"/>
    <w:rsid w:val="506DF43C"/>
    <w:rsid w:val="50763457"/>
    <w:rsid w:val="5079542C"/>
    <w:rsid w:val="508A4C51"/>
    <w:rsid w:val="50BA2753"/>
    <w:rsid w:val="50CECC1F"/>
    <w:rsid w:val="50CF2521"/>
    <w:rsid w:val="510274B8"/>
    <w:rsid w:val="51246993"/>
    <w:rsid w:val="512F76EC"/>
    <w:rsid w:val="513B54AD"/>
    <w:rsid w:val="5141AB46"/>
    <w:rsid w:val="5148408C"/>
    <w:rsid w:val="516A15C2"/>
    <w:rsid w:val="516B05DE"/>
    <w:rsid w:val="51AC64FD"/>
    <w:rsid w:val="51BE1271"/>
    <w:rsid w:val="51C2249B"/>
    <w:rsid w:val="51DC0D27"/>
    <w:rsid w:val="5219B9F2"/>
    <w:rsid w:val="5222755E"/>
    <w:rsid w:val="52253B9E"/>
    <w:rsid w:val="52441597"/>
    <w:rsid w:val="52482D5B"/>
    <w:rsid w:val="525450CB"/>
    <w:rsid w:val="5261A6E9"/>
    <w:rsid w:val="52717078"/>
    <w:rsid w:val="52750A0D"/>
    <w:rsid w:val="527C9ACD"/>
    <w:rsid w:val="52828CFC"/>
    <w:rsid w:val="5284EBC1"/>
    <w:rsid w:val="52888C6A"/>
    <w:rsid w:val="528B7A36"/>
    <w:rsid w:val="529BC3DD"/>
    <w:rsid w:val="52A43C64"/>
    <w:rsid w:val="52C6780D"/>
    <w:rsid w:val="52C9503C"/>
    <w:rsid w:val="52CD772C"/>
    <w:rsid w:val="52EA2752"/>
    <w:rsid w:val="52F5DFB3"/>
    <w:rsid w:val="52F785BE"/>
    <w:rsid w:val="5321954E"/>
    <w:rsid w:val="5321DA0C"/>
    <w:rsid w:val="5340789A"/>
    <w:rsid w:val="535E9BE1"/>
    <w:rsid w:val="536A654F"/>
    <w:rsid w:val="53735405"/>
    <w:rsid w:val="53789B5D"/>
    <w:rsid w:val="537DB569"/>
    <w:rsid w:val="5388D41B"/>
    <w:rsid w:val="5395B588"/>
    <w:rsid w:val="53A09E9B"/>
    <w:rsid w:val="53B37E63"/>
    <w:rsid w:val="53CAD64A"/>
    <w:rsid w:val="53F2AFA4"/>
    <w:rsid w:val="53F48328"/>
    <w:rsid w:val="541591D7"/>
    <w:rsid w:val="544A95E8"/>
    <w:rsid w:val="544D248A"/>
    <w:rsid w:val="545C70D9"/>
    <w:rsid w:val="54655BCD"/>
    <w:rsid w:val="547B3D52"/>
    <w:rsid w:val="549B94AA"/>
    <w:rsid w:val="54E221AE"/>
    <w:rsid w:val="54E2FDA6"/>
    <w:rsid w:val="5515F10E"/>
    <w:rsid w:val="5523F9A4"/>
    <w:rsid w:val="552E097D"/>
    <w:rsid w:val="5533864E"/>
    <w:rsid w:val="553B2BDE"/>
    <w:rsid w:val="555B5382"/>
    <w:rsid w:val="556CF146"/>
    <w:rsid w:val="55706AC6"/>
    <w:rsid w:val="55815C4F"/>
    <w:rsid w:val="558D3F65"/>
    <w:rsid w:val="55BD15AD"/>
    <w:rsid w:val="55E51E1D"/>
    <w:rsid w:val="5619402B"/>
    <w:rsid w:val="5622A309"/>
    <w:rsid w:val="563BEC81"/>
    <w:rsid w:val="5659E55B"/>
    <w:rsid w:val="5678D421"/>
    <w:rsid w:val="5683B1B0"/>
    <w:rsid w:val="568D4E84"/>
    <w:rsid w:val="56A9A9D7"/>
    <w:rsid w:val="56B6D327"/>
    <w:rsid w:val="56BE59CB"/>
    <w:rsid w:val="56C5F729"/>
    <w:rsid w:val="570FBC52"/>
    <w:rsid w:val="5734495B"/>
    <w:rsid w:val="575619AD"/>
    <w:rsid w:val="578A391C"/>
    <w:rsid w:val="5797ABFB"/>
    <w:rsid w:val="57B8B6BB"/>
    <w:rsid w:val="57C9D6EA"/>
    <w:rsid w:val="57FB500B"/>
    <w:rsid w:val="582181D6"/>
    <w:rsid w:val="5826076E"/>
    <w:rsid w:val="5839FCE9"/>
    <w:rsid w:val="585CD57F"/>
    <w:rsid w:val="5867F6A3"/>
    <w:rsid w:val="58740F0B"/>
    <w:rsid w:val="5883EF28"/>
    <w:rsid w:val="58888835"/>
    <w:rsid w:val="58A7AA80"/>
    <w:rsid w:val="58BCA0D0"/>
    <w:rsid w:val="590FDE64"/>
    <w:rsid w:val="591C3FDB"/>
    <w:rsid w:val="59328D1C"/>
    <w:rsid w:val="59373745"/>
    <w:rsid w:val="5942270C"/>
    <w:rsid w:val="59477464"/>
    <w:rsid w:val="595485AA"/>
    <w:rsid w:val="595C1D3B"/>
    <w:rsid w:val="596B1182"/>
    <w:rsid w:val="59708FDA"/>
    <w:rsid w:val="597C8723"/>
    <w:rsid w:val="59A32DDA"/>
    <w:rsid w:val="59A82DE2"/>
    <w:rsid w:val="59ACD56A"/>
    <w:rsid w:val="59CA7F88"/>
    <w:rsid w:val="59D36002"/>
    <w:rsid w:val="5A28F258"/>
    <w:rsid w:val="5A31990D"/>
    <w:rsid w:val="5A3E149C"/>
    <w:rsid w:val="5A414A5F"/>
    <w:rsid w:val="5A59A274"/>
    <w:rsid w:val="5A730AAE"/>
    <w:rsid w:val="5A914390"/>
    <w:rsid w:val="5AB81C01"/>
    <w:rsid w:val="5AD224C2"/>
    <w:rsid w:val="5B02F5C4"/>
    <w:rsid w:val="5B05289F"/>
    <w:rsid w:val="5B1376B5"/>
    <w:rsid w:val="5B1442A5"/>
    <w:rsid w:val="5B277B52"/>
    <w:rsid w:val="5B28AE18"/>
    <w:rsid w:val="5B4938CD"/>
    <w:rsid w:val="5B5D99F4"/>
    <w:rsid w:val="5B60E709"/>
    <w:rsid w:val="5B69C377"/>
    <w:rsid w:val="5B6D61C5"/>
    <w:rsid w:val="5B9665E9"/>
    <w:rsid w:val="5B9FBBA9"/>
    <w:rsid w:val="5BB0F02C"/>
    <w:rsid w:val="5BB8F817"/>
    <w:rsid w:val="5BC5E59D"/>
    <w:rsid w:val="5BC80EE8"/>
    <w:rsid w:val="5BCD16B4"/>
    <w:rsid w:val="5BD9B86E"/>
    <w:rsid w:val="5BE7F2B3"/>
    <w:rsid w:val="5BF03B52"/>
    <w:rsid w:val="5C04883A"/>
    <w:rsid w:val="5C20DC02"/>
    <w:rsid w:val="5C5472A7"/>
    <w:rsid w:val="5C5EC89E"/>
    <w:rsid w:val="5C738E66"/>
    <w:rsid w:val="5C77C63F"/>
    <w:rsid w:val="5C90D2DC"/>
    <w:rsid w:val="5CA1B5A5"/>
    <w:rsid w:val="5CB7A95A"/>
    <w:rsid w:val="5CBD2E06"/>
    <w:rsid w:val="5D023B6D"/>
    <w:rsid w:val="5D0283B9"/>
    <w:rsid w:val="5D04E4CA"/>
    <w:rsid w:val="5D08C379"/>
    <w:rsid w:val="5D0D44F4"/>
    <w:rsid w:val="5D106E9B"/>
    <w:rsid w:val="5D1B6ED5"/>
    <w:rsid w:val="5D4B7328"/>
    <w:rsid w:val="5D89E98B"/>
    <w:rsid w:val="5D91D72A"/>
    <w:rsid w:val="5D969282"/>
    <w:rsid w:val="5DAD17FE"/>
    <w:rsid w:val="5DB1C97A"/>
    <w:rsid w:val="5DB31DF5"/>
    <w:rsid w:val="5E01D3A9"/>
    <w:rsid w:val="5E07189E"/>
    <w:rsid w:val="5E15CB56"/>
    <w:rsid w:val="5E37DC31"/>
    <w:rsid w:val="5E3BEF63"/>
    <w:rsid w:val="5E4F9F4B"/>
    <w:rsid w:val="5E533724"/>
    <w:rsid w:val="5E5E463B"/>
    <w:rsid w:val="5E6769C1"/>
    <w:rsid w:val="5E72787E"/>
    <w:rsid w:val="5E7954FB"/>
    <w:rsid w:val="5E7B51F6"/>
    <w:rsid w:val="5E8610A7"/>
    <w:rsid w:val="5EA35ADC"/>
    <w:rsid w:val="5EB06C9B"/>
    <w:rsid w:val="5EB61A91"/>
    <w:rsid w:val="5EC1D93A"/>
    <w:rsid w:val="5EDE954E"/>
    <w:rsid w:val="5EDF1F89"/>
    <w:rsid w:val="5EF57AE7"/>
    <w:rsid w:val="5F05F388"/>
    <w:rsid w:val="5F1E711D"/>
    <w:rsid w:val="5F27E6B7"/>
    <w:rsid w:val="5F53B2B0"/>
    <w:rsid w:val="5F661BC3"/>
    <w:rsid w:val="5F66335E"/>
    <w:rsid w:val="5FC99B70"/>
    <w:rsid w:val="5FE1133D"/>
    <w:rsid w:val="600A8868"/>
    <w:rsid w:val="600F0693"/>
    <w:rsid w:val="60406936"/>
    <w:rsid w:val="604E73E9"/>
    <w:rsid w:val="6060A092"/>
    <w:rsid w:val="607CECA0"/>
    <w:rsid w:val="6085C1C7"/>
    <w:rsid w:val="608732B3"/>
    <w:rsid w:val="60A75B62"/>
    <w:rsid w:val="60D3592C"/>
    <w:rsid w:val="6106326A"/>
    <w:rsid w:val="612BC637"/>
    <w:rsid w:val="61468ECE"/>
    <w:rsid w:val="616657FF"/>
    <w:rsid w:val="6189F34C"/>
    <w:rsid w:val="6192ABD9"/>
    <w:rsid w:val="61A8908E"/>
    <w:rsid w:val="61C27506"/>
    <w:rsid w:val="61D129BE"/>
    <w:rsid w:val="61D1FD4C"/>
    <w:rsid w:val="61D5F2D9"/>
    <w:rsid w:val="61ECC042"/>
    <w:rsid w:val="621BE9AB"/>
    <w:rsid w:val="622FB9EE"/>
    <w:rsid w:val="622FFC25"/>
    <w:rsid w:val="62310BF8"/>
    <w:rsid w:val="623C8DF4"/>
    <w:rsid w:val="62994609"/>
    <w:rsid w:val="62BD7DEF"/>
    <w:rsid w:val="62C1948C"/>
    <w:rsid w:val="62CC4430"/>
    <w:rsid w:val="62E99846"/>
    <w:rsid w:val="62F1A60E"/>
    <w:rsid w:val="6329A1E6"/>
    <w:rsid w:val="633EDBC6"/>
    <w:rsid w:val="6345C70D"/>
    <w:rsid w:val="6359777C"/>
    <w:rsid w:val="636137C2"/>
    <w:rsid w:val="63793C63"/>
    <w:rsid w:val="6392B554"/>
    <w:rsid w:val="6393E251"/>
    <w:rsid w:val="639507B5"/>
    <w:rsid w:val="63D1E1A8"/>
    <w:rsid w:val="63E938C6"/>
    <w:rsid w:val="63FB2229"/>
    <w:rsid w:val="64071B66"/>
    <w:rsid w:val="641DAE9C"/>
    <w:rsid w:val="64324EF4"/>
    <w:rsid w:val="6432F88F"/>
    <w:rsid w:val="643F0C8C"/>
    <w:rsid w:val="645CEA9E"/>
    <w:rsid w:val="6466C6D7"/>
    <w:rsid w:val="6474AF9F"/>
    <w:rsid w:val="64A155ED"/>
    <w:rsid w:val="64BC282A"/>
    <w:rsid w:val="64E5A8DA"/>
    <w:rsid w:val="64F18937"/>
    <w:rsid w:val="64F2536B"/>
    <w:rsid w:val="6539FF18"/>
    <w:rsid w:val="655CD63E"/>
    <w:rsid w:val="6584948B"/>
    <w:rsid w:val="658EDE69"/>
    <w:rsid w:val="65F710FE"/>
    <w:rsid w:val="660A5C44"/>
    <w:rsid w:val="660C7C80"/>
    <w:rsid w:val="6615E690"/>
    <w:rsid w:val="661B0826"/>
    <w:rsid w:val="66223EA0"/>
    <w:rsid w:val="665B2C35"/>
    <w:rsid w:val="66682609"/>
    <w:rsid w:val="66859992"/>
    <w:rsid w:val="668D2E3F"/>
    <w:rsid w:val="66975081"/>
    <w:rsid w:val="66A6929F"/>
    <w:rsid w:val="66AA2BA2"/>
    <w:rsid w:val="66D66F62"/>
    <w:rsid w:val="66FDBD1F"/>
    <w:rsid w:val="670EAD48"/>
    <w:rsid w:val="671E4D97"/>
    <w:rsid w:val="676639EE"/>
    <w:rsid w:val="677B7E01"/>
    <w:rsid w:val="679489C4"/>
    <w:rsid w:val="67A49260"/>
    <w:rsid w:val="67A6ED82"/>
    <w:rsid w:val="67BB3CB7"/>
    <w:rsid w:val="67D6E220"/>
    <w:rsid w:val="67E0A333"/>
    <w:rsid w:val="67E273D2"/>
    <w:rsid w:val="67E43E5F"/>
    <w:rsid w:val="67F446A0"/>
    <w:rsid w:val="67F5A91F"/>
    <w:rsid w:val="68020552"/>
    <w:rsid w:val="68030E19"/>
    <w:rsid w:val="680607C1"/>
    <w:rsid w:val="681B39AF"/>
    <w:rsid w:val="682534EC"/>
    <w:rsid w:val="68314A8B"/>
    <w:rsid w:val="6834C13B"/>
    <w:rsid w:val="684EB4FC"/>
    <w:rsid w:val="68A0268C"/>
    <w:rsid w:val="68A7E43B"/>
    <w:rsid w:val="68BC7E6D"/>
    <w:rsid w:val="68BF722E"/>
    <w:rsid w:val="68E1FCD3"/>
    <w:rsid w:val="6907C074"/>
    <w:rsid w:val="6923D888"/>
    <w:rsid w:val="6929C3B9"/>
    <w:rsid w:val="6954741B"/>
    <w:rsid w:val="695833F5"/>
    <w:rsid w:val="696DF37D"/>
    <w:rsid w:val="699A21C5"/>
    <w:rsid w:val="69AC4D15"/>
    <w:rsid w:val="69B6C26C"/>
    <w:rsid w:val="69F835BC"/>
    <w:rsid w:val="6A1643BC"/>
    <w:rsid w:val="6A19C496"/>
    <w:rsid w:val="6A1AFB90"/>
    <w:rsid w:val="6A25FDB8"/>
    <w:rsid w:val="6A3E28C3"/>
    <w:rsid w:val="6A722F4D"/>
    <w:rsid w:val="6A7C2D08"/>
    <w:rsid w:val="6A86A119"/>
    <w:rsid w:val="6AD24AA2"/>
    <w:rsid w:val="6AF31613"/>
    <w:rsid w:val="6AFFB813"/>
    <w:rsid w:val="6B0C57D3"/>
    <w:rsid w:val="6B18CC2D"/>
    <w:rsid w:val="6B44A4B5"/>
    <w:rsid w:val="6B9F8DC0"/>
    <w:rsid w:val="6BA5460B"/>
    <w:rsid w:val="6BB1344E"/>
    <w:rsid w:val="6BB28791"/>
    <w:rsid w:val="6BC124B4"/>
    <w:rsid w:val="6BC28485"/>
    <w:rsid w:val="6BEA04DC"/>
    <w:rsid w:val="6C357F6C"/>
    <w:rsid w:val="6C687085"/>
    <w:rsid w:val="6C8A8495"/>
    <w:rsid w:val="6C8D9AA5"/>
    <w:rsid w:val="6C9436D8"/>
    <w:rsid w:val="6C974CD8"/>
    <w:rsid w:val="6CA3A6A5"/>
    <w:rsid w:val="6CB9CDA0"/>
    <w:rsid w:val="6CD1FF98"/>
    <w:rsid w:val="6CE2653B"/>
    <w:rsid w:val="6D0470FC"/>
    <w:rsid w:val="6D285CF9"/>
    <w:rsid w:val="6D2F2325"/>
    <w:rsid w:val="6D3A392F"/>
    <w:rsid w:val="6D3B3EF8"/>
    <w:rsid w:val="6D3DC1E7"/>
    <w:rsid w:val="6D4E8CF2"/>
    <w:rsid w:val="6D7B7DD1"/>
    <w:rsid w:val="6D9D0614"/>
    <w:rsid w:val="6DAEDD45"/>
    <w:rsid w:val="6DE348B0"/>
    <w:rsid w:val="6DE44BFA"/>
    <w:rsid w:val="6DEDE15D"/>
    <w:rsid w:val="6DF2C71A"/>
    <w:rsid w:val="6E05F80C"/>
    <w:rsid w:val="6E0E7039"/>
    <w:rsid w:val="6E25EF08"/>
    <w:rsid w:val="6E2A1233"/>
    <w:rsid w:val="6E4D5490"/>
    <w:rsid w:val="6E528D32"/>
    <w:rsid w:val="6E6458DC"/>
    <w:rsid w:val="6E67EF5F"/>
    <w:rsid w:val="6E80B011"/>
    <w:rsid w:val="6E8A8841"/>
    <w:rsid w:val="6E8B4B1C"/>
    <w:rsid w:val="6E917489"/>
    <w:rsid w:val="6E95EDE1"/>
    <w:rsid w:val="6EC1F584"/>
    <w:rsid w:val="6EC446AC"/>
    <w:rsid w:val="6ECA3301"/>
    <w:rsid w:val="6EDEA255"/>
    <w:rsid w:val="6EE0AA46"/>
    <w:rsid w:val="6EF00474"/>
    <w:rsid w:val="6EF2698C"/>
    <w:rsid w:val="6F0294E6"/>
    <w:rsid w:val="6F047139"/>
    <w:rsid w:val="6F04FAEB"/>
    <w:rsid w:val="6F06EFED"/>
    <w:rsid w:val="6F1BCDB5"/>
    <w:rsid w:val="6F3A0EF2"/>
    <w:rsid w:val="6F3B40ED"/>
    <w:rsid w:val="6F483BB9"/>
    <w:rsid w:val="6F64FBC8"/>
    <w:rsid w:val="6F69A252"/>
    <w:rsid w:val="6F6C93A7"/>
    <w:rsid w:val="6F87FD67"/>
    <w:rsid w:val="6F96C02E"/>
    <w:rsid w:val="6FAEEB2C"/>
    <w:rsid w:val="6FB96E0D"/>
    <w:rsid w:val="6FBD2948"/>
    <w:rsid w:val="6FDA552B"/>
    <w:rsid w:val="6FDA6F5C"/>
    <w:rsid w:val="6FE8AA50"/>
    <w:rsid w:val="6FE92C45"/>
    <w:rsid w:val="6FEDDD3C"/>
    <w:rsid w:val="700D9876"/>
    <w:rsid w:val="7015C001"/>
    <w:rsid w:val="701BCD0F"/>
    <w:rsid w:val="70217F87"/>
    <w:rsid w:val="7024B4F4"/>
    <w:rsid w:val="70331AE5"/>
    <w:rsid w:val="705BE0F8"/>
    <w:rsid w:val="707AF13E"/>
    <w:rsid w:val="707DEF78"/>
    <w:rsid w:val="70B32631"/>
    <w:rsid w:val="70B400C0"/>
    <w:rsid w:val="70D0ECC0"/>
    <w:rsid w:val="70D2F59D"/>
    <w:rsid w:val="70EB7DE9"/>
    <w:rsid w:val="70FC1133"/>
    <w:rsid w:val="710DEDB5"/>
    <w:rsid w:val="711530DE"/>
    <w:rsid w:val="712702EB"/>
    <w:rsid w:val="71304029"/>
    <w:rsid w:val="71363BBD"/>
    <w:rsid w:val="714E5507"/>
    <w:rsid w:val="71A53AAE"/>
    <w:rsid w:val="71ACA78E"/>
    <w:rsid w:val="71BF2D2D"/>
    <w:rsid w:val="71D4489A"/>
    <w:rsid w:val="71E3B81F"/>
    <w:rsid w:val="721C507C"/>
    <w:rsid w:val="7233DF02"/>
    <w:rsid w:val="7234EFDE"/>
    <w:rsid w:val="723950AC"/>
    <w:rsid w:val="725A65CD"/>
    <w:rsid w:val="7288B058"/>
    <w:rsid w:val="728C8B72"/>
    <w:rsid w:val="72A2D08F"/>
    <w:rsid w:val="72A480F7"/>
    <w:rsid w:val="72CF8CC2"/>
    <w:rsid w:val="72D2EAED"/>
    <w:rsid w:val="72D5EC54"/>
    <w:rsid w:val="72EB3294"/>
    <w:rsid w:val="72EFF434"/>
    <w:rsid w:val="72FCC803"/>
    <w:rsid w:val="73066194"/>
    <w:rsid w:val="7309D518"/>
    <w:rsid w:val="731C19DF"/>
    <w:rsid w:val="73209382"/>
    <w:rsid w:val="733BD9E4"/>
    <w:rsid w:val="73565B7B"/>
    <w:rsid w:val="7366D97C"/>
    <w:rsid w:val="73720C54"/>
    <w:rsid w:val="737F3A1B"/>
    <w:rsid w:val="73AC5C3F"/>
    <w:rsid w:val="73AEEAF8"/>
    <w:rsid w:val="73B59687"/>
    <w:rsid w:val="73B91DDE"/>
    <w:rsid w:val="73E6BF3F"/>
    <w:rsid w:val="73E6EFC8"/>
    <w:rsid w:val="73EF6680"/>
    <w:rsid w:val="74026A1F"/>
    <w:rsid w:val="7409E4E9"/>
    <w:rsid w:val="7412A6B6"/>
    <w:rsid w:val="7416D437"/>
    <w:rsid w:val="74564231"/>
    <w:rsid w:val="74607503"/>
    <w:rsid w:val="74762D05"/>
    <w:rsid w:val="747737AD"/>
    <w:rsid w:val="748B5183"/>
    <w:rsid w:val="74929825"/>
    <w:rsid w:val="74A38305"/>
    <w:rsid w:val="74A53A51"/>
    <w:rsid w:val="74D488A2"/>
    <w:rsid w:val="74D7F1F8"/>
    <w:rsid w:val="74EB93D6"/>
    <w:rsid w:val="74EE1C71"/>
    <w:rsid w:val="7509739F"/>
    <w:rsid w:val="751225BC"/>
    <w:rsid w:val="75127F13"/>
    <w:rsid w:val="7518ECC6"/>
    <w:rsid w:val="753386B0"/>
    <w:rsid w:val="753AD976"/>
    <w:rsid w:val="75572C51"/>
    <w:rsid w:val="7561A7C1"/>
    <w:rsid w:val="756EDF1E"/>
    <w:rsid w:val="7596FA68"/>
    <w:rsid w:val="759F804A"/>
    <w:rsid w:val="75C8ACA7"/>
    <w:rsid w:val="75CCA480"/>
    <w:rsid w:val="75D04DCC"/>
    <w:rsid w:val="75D891FA"/>
    <w:rsid w:val="75F46B4E"/>
    <w:rsid w:val="76546078"/>
    <w:rsid w:val="7658C075"/>
    <w:rsid w:val="765DB1D1"/>
    <w:rsid w:val="76763047"/>
    <w:rsid w:val="768625EB"/>
    <w:rsid w:val="768D91D5"/>
    <w:rsid w:val="769200AE"/>
    <w:rsid w:val="7694325E"/>
    <w:rsid w:val="76A2692D"/>
    <w:rsid w:val="76C76EC9"/>
    <w:rsid w:val="76E54674"/>
    <w:rsid w:val="76FDFC9C"/>
    <w:rsid w:val="7700F0D8"/>
    <w:rsid w:val="771AC21F"/>
    <w:rsid w:val="77302200"/>
    <w:rsid w:val="775DF9DE"/>
    <w:rsid w:val="77607721"/>
    <w:rsid w:val="7778DFF3"/>
    <w:rsid w:val="77D5E78D"/>
    <w:rsid w:val="77E427D2"/>
    <w:rsid w:val="77E4BF99"/>
    <w:rsid w:val="780261DF"/>
    <w:rsid w:val="7847D8F8"/>
    <w:rsid w:val="78725079"/>
    <w:rsid w:val="78769ADA"/>
    <w:rsid w:val="78896E9F"/>
    <w:rsid w:val="78A6BBFA"/>
    <w:rsid w:val="78AC6E9D"/>
    <w:rsid w:val="78CF51EA"/>
    <w:rsid w:val="78DA0A47"/>
    <w:rsid w:val="79181B8C"/>
    <w:rsid w:val="792D5B5F"/>
    <w:rsid w:val="796CEBD3"/>
    <w:rsid w:val="799BAE0F"/>
    <w:rsid w:val="799F73DA"/>
    <w:rsid w:val="79A24B10"/>
    <w:rsid w:val="79A333AE"/>
    <w:rsid w:val="79D39986"/>
    <w:rsid w:val="79DD6787"/>
    <w:rsid w:val="79E1CAA9"/>
    <w:rsid w:val="7A0EBC3C"/>
    <w:rsid w:val="7A215F8C"/>
    <w:rsid w:val="7A2D676A"/>
    <w:rsid w:val="7A53AB9C"/>
    <w:rsid w:val="7A5A5A19"/>
    <w:rsid w:val="7A5E51A7"/>
    <w:rsid w:val="7A75DAA8"/>
    <w:rsid w:val="7A7CA63A"/>
    <w:rsid w:val="7AAE46AC"/>
    <w:rsid w:val="7ABC4E8C"/>
    <w:rsid w:val="7AE7A8B1"/>
    <w:rsid w:val="7AFC3C42"/>
    <w:rsid w:val="7B14E1E7"/>
    <w:rsid w:val="7B20BAA4"/>
    <w:rsid w:val="7B3CF8A8"/>
    <w:rsid w:val="7B41253A"/>
    <w:rsid w:val="7B446392"/>
    <w:rsid w:val="7B4EDB38"/>
    <w:rsid w:val="7B522A26"/>
    <w:rsid w:val="7B63CFA6"/>
    <w:rsid w:val="7B656CB0"/>
    <w:rsid w:val="7B6CFB9A"/>
    <w:rsid w:val="7B815F10"/>
    <w:rsid w:val="7B9AD572"/>
    <w:rsid w:val="7BB2DCD9"/>
    <w:rsid w:val="7BC5C28E"/>
    <w:rsid w:val="7BCEDBDC"/>
    <w:rsid w:val="7BD7101D"/>
    <w:rsid w:val="7BFCFCEC"/>
    <w:rsid w:val="7C139DF7"/>
    <w:rsid w:val="7C1E647B"/>
    <w:rsid w:val="7C213D9D"/>
    <w:rsid w:val="7C25A96D"/>
    <w:rsid w:val="7C67F4DF"/>
    <w:rsid w:val="7C716208"/>
    <w:rsid w:val="7C79D5BE"/>
    <w:rsid w:val="7C93FCE4"/>
    <w:rsid w:val="7CA4F688"/>
    <w:rsid w:val="7CB9EEAF"/>
    <w:rsid w:val="7CD4FDD1"/>
    <w:rsid w:val="7CDB03F1"/>
    <w:rsid w:val="7D31C353"/>
    <w:rsid w:val="7D32AE08"/>
    <w:rsid w:val="7D385450"/>
    <w:rsid w:val="7D3E6D3F"/>
    <w:rsid w:val="7D40B281"/>
    <w:rsid w:val="7D497FC2"/>
    <w:rsid w:val="7D4D3CEF"/>
    <w:rsid w:val="7D5B06DA"/>
    <w:rsid w:val="7D821E50"/>
    <w:rsid w:val="7D85B4EF"/>
    <w:rsid w:val="7D9C117C"/>
    <w:rsid w:val="7D9D47DD"/>
    <w:rsid w:val="7DA3F6DB"/>
    <w:rsid w:val="7DB8E3B0"/>
    <w:rsid w:val="7DC30DFB"/>
    <w:rsid w:val="7DECF4AF"/>
    <w:rsid w:val="7DF3E472"/>
    <w:rsid w:val="7E120F71"/>
    <w:rsid w:val="7E498D1B"/>
    <w:rsid w:val="7E4C2CC2"/>
    <w:rsid w:val="7E6610D3"/>
    <w:rsid w:val="7E9AA656"/>
    <w:rsid w:val="7EA90363"/>
    <w:rsid w:val="7EAA960D"/>
    <w:rsid w:val="7EBA50DD"/>
    <w:rsid w:val="7EC9A7FF"/>
    <w:rsid w:val="7ED024AB"/>
    <w:rsid w:val="7EDAD122"/>
    <w:rsid w:val="7EF3871B"/>
    <w:rsid w:val="7F3A414D"/>
    <w:rsid w:val="7F3BA9A9"/>
    <w:rsid w:val="7F3DFBD0"/>
    <w:rsid w:val="7F3E0A40"/>
    <w:rsid w:val="7F3E5C28"/>
    <w:rsid w:val="7F4966FC"/>
    <w:rsid w:val="7F55DDD5"/>
    <w:rsid w:val="7F5C19E0"/>
    <w:rsid w:val="7F655EA5"/>
    <w:rsid w:val="7F72206E"/>
    <w:rsid w:val="7F8C0687"/>
    <w:rsid w:val="7FA7D6BB"/>
    <w:rsid w:val="7FAC0FCC"/>
    <w:rsid w:val="7FB0E7DB"/>
    <w:rsid w:val="7FDEEBA2"/>
    <w:rsid w:val="7FF66E6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E2AA8DDC-0126-4461-9069-1D1809E5E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ga-IE"/>
    </w:rPr>
  </w:style>
  <w:style w:type="paragraph" w:styleId="Heading1">
    <w:name w:val="heading 1"/>
    <w:basedOn w:val="Normal"/>
    <w:next w:val="Text1"/>
    <w:link w:val="Heading1Char"/>
    <w:uiPriority w:val="9"/>
    <w:qFormat/>
    <w:pPr>
      <w:keepNext/>
      <w:numPr>
        <w:numId w:val="4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0"/>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40"/>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40"/>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40"/>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nhideWhenUsed/>
    <w:rsid w:val="00390F84"/>
    <w:rPr>
      <w:sz w:val="16"/>
      <w:szCs w:val="16"/>
    </w:rPr>
  </w:style>
  <w:style w:type="paragraph" w:styleId="CommentText">
    <w:name w:val="annotation text"/>
    <w:basedOn w:val="Normal"/>
    <w:link w:val="CommentTextChar"/>
    <w:unhideWhenUsed/>
    <w:rsid w:val="00390F84"/>
    <w:rPr>
      <w:sz w:val="20"/>
      <w:szCs w:val="20"/>
    </w:rPr>
  </w:style>
  <w:style w:type="character" w:customStyle="1" w:styleId="CommentTextChar">
    <w:name w:val="Comment Text Char"/>
    <w:basedOn w:val="DefaultParagraphFont"/>
    <w:link w:val="CommentText"/>
    <w:rsid w:val="00390F84"/>
    <w:rPr>
      <w:rFonts w:ascii="Times New Roman" w:hAnsi="Times New Roman" w:cs="Times New Roman"/>
      <w:sz w:val="20"/>
      <w:szCs w:val="20"/>
      <w:lang w:val="ga-IE"/>
    </w:rPr>
  </w:style>
  <w:style w:type="paragraph" w:styleId="BalloonText">
    <w:name w:val="Balloon Text"/>
    <w:basedOn w:val="Normal"/>
    <w:link w:val="BalloonTextChar"/>
    <w:unhideWhenUsed/>
    <w:rsid w:val="00390F84"/>
    <w:pPr>
      <w:spacing w:before="0" w:after="0"/>
    </w:pPr>
    <w:rPr>
      <w:rFonts w:ascii="Segoe UI" w:hAnsi="Segoe UI" w:cs="Segoe UI"/>
      <w:sz w:val="18"/>
      <w:szCs w:val="18"/>
    </w:rPr>
  </w:style>
  <w:style w:type="character" w:customStyle="1" w:styleId="BalloonTextChar">
    <w:name w:val="Balloon Text Char"/>
    <w:basedOn w:val="DefaultParagraphFont"/>
    <w:link w:val="BalloonText"/>
    <w:rsid w:val="00390F84"/>
    <w:rPr>
      <w:rFonts w:ascii="Segoe UI" w:hAnsi="Segoe UI" w:cs="Segoe UI"/>
      <w:sz w:val="18"/>
      <w:szCs w:val="18"/>
      <w:lang w:val="ga-IE"/>
    </w:rPr>
  </w:style>
  <w:style w:type="paragraph" w:styleId="CommentSubject">
    <w:name w:val="annotation subject"/>
    <w:basedOn w:val="CommentText"/>
    <w:next w:val="CommentText"/>
    <w:link w:val="CommentSubjectChar"/>
    <w:unhideWhenUsed/>
    <w:rsid w:val="00C86BE9"/>
    <w:rPr>
      <w:b/>
      <w:bCs/>
    </w:rPr>
  </w:style>
  <w:style w:type="character" w:customStyle="1" w:styleId="CommentSubjectChar">
    <w:name w:val="Comment Subject Char"/>
    <w:basedOn w:val="CommentTextChar"/>
    <w:link w:val="CommentSubject"/>
    <w:rsid w:val="00C86BE9"/>
    <w:rPr>
      <w:rFonts w:ascii="Times New Roman" w:hAnsi="Times New Roman" w:cs="Times New Roman"/>
      <w:b/>
      <w:bCs/>
      <w:sz w:val="20"/>
      <w:szCs w:val="20"/>
      <w:lang w:val="ga-IE"/>
    </w:rPr>
  </w:style>
  <w:style w:type="paragraph" w:styleId="ListBullet">
    <w:name w:val="List Bullet"/>
    <w:basedOn w:val="Normal"/>
    <w:unhideWhenUsed/>
    <w:rsid w:val="00C934CF"/>
    <w:pPr>
      <w:numPr>
        <w:numId w:val="1"/>
      </w:numPr>
      <w:contextualSpacing/>
    </w:pPr>
  </w:style>
  <w:style w:type="paragraph" w:styleId="ListBullet2">
    <w:name w:val="List Bullet 2"/>
    <w:basedOn w:val="Normal"/>
    <w:unhideWhenUsed/>
    <w:rsid w:val="00C934CF"/>
    <w:pPr>
      <w:numPr>
        <w:numId w:val="2"/>
      </w:numPr>
      <w:contextualSpacing/>
    </w:pPr>
  </w:style>
  <w:style w:type="paragraph" w:styleId="ListBullet3">
    <w:name w:val="List Bullet 3"/>
    <w:basedOn w:val="Normal"/>
    <w:unhideWhenUsed/>
    <w:rsid w:val="00C934CF"/>
    <w:pPr>
      <w:numPr>
        <w:numId w:val="3"/>
      </w:numPr>
      <w:contextualSpacing/>
    </w:pPr>
  </w:style>
  <w:style w:type="paragraph" w:styleId="ListBullet4">
    <w:name w:val="List Bullet 4"/>
    <w:basedOn w:val="Normal"/>
    <w:unhideWhenUsed/>
    <w:rsid w:val="00C934CF"/>
    <w:pPr>
      <w:numPr>
        <w:numId w:val="4"/>
      </w:numPr>
      <w:contextualSpacing/>
    </w:pPr>
  </w:style>
  <w:style w:type="paragraph" w:styleId="Caption">
    <w:name w:val="caption"/>
    <w:basedOn w:val="Normal"/>
    <w:next w:val="Normal"/>
    <w:unhideWhenUsed/>
    <w:qFormat/>
    <w:rsid w:val="000E1A84"/>
    <w:pPr>
      <w:spacing w:before="0" w:after="200"/>
    </w:pPr>
    <w:rPr>
      <w:i/>
      <w:iCs/>
      <w:color w:val="1F497D" w:themeColor="text2"/>
      <w:sz w:val="18"/>
      <w:szCs w:val="18"/>
    </w:rPr>
  </w:style>
  <w:style w:type="paragraph" w:styleId="TableofFigures">
    <w:name w:val="table of figures"/>
    <w:basedOn w:val="Normal"/>
    <w:next w:val="Normal"/>
    <w:unhideWhenUsed/>
    <w:rsid w:val="000E1A84"/>
    <w:pPr>
      <w:spacing w:after="0"/>
    </w:pPr>
  </w:style>
  <w:style w:type="paragraph" w:styleId="ListNumber">
    <w:name w:val="List Number"/>
    <w:basedOn w:val="Normal"/>
    <w:unhideWhenUsed/>
    <w:rsid w:val="000E1A84"/>
    <w:pPr>
      <w:numPr>
        <w:numId w:val="5"/>
      </w:numPr>
      <w:contextualSpacing/>
    </w:pPr>
  </w:style>
  <w:style w:type="paragraph" w:styleId="ListNumber2">
    <w:name w:val="List Number 2"/>
    <w:basedOn w:val="Normal"/>
    <w:unhideWhenUsed/>
    <w:rsid w:val="000E1A84"/>
    <w:pPr>
      <w:numPr>
        <w:numId w:val="6"/>
      </w:numPr>
      <w:contextualSpacing/>
    </w:pPr>
  </w:style>
  <w:style w:type="paragraph" w:styleId="ListNumber3">
    <w:name w:val="List Number 3"/>
    <w:basedOn w:val="Normal"/>
    <w:unhideWhenUsed/>
    <w:rsid w:val="000E1A84"/>
    <w:pPr>
      <w:numPr>
        <w:numId w:val="7"/>
      </w:numPr>
      <w:contextualSpacing/>
    </w:pPr>
  </w:style>
  <w:style w:type="paragraph" w:styleId="ListNumber4">
    <w:name w:val="List Number 4"/>
    <w:basedOn w:val="Normal"/>
    <w:unhideWhenUsed/>
    <w:rsid w:val="000E1A84"/>
    <w:pPr>
      <w:numPr>
        <w:numId w:val="8"/>
      </w:numPr>
      <w:contextualSpacing/>
    </w:pPr>
  </w:style>
  <w:style w:type="character" w:styleId="Hyperlink">
    <w:name w:val="Hyperlink"/>
    <w:basedOn w:val="DefaultParagraphFont"/>
    <w:uiPriority w:val="99"/>
    <w:unhideWhenUsed/>
    <w:rsid w:val="00FC74F6"/>
    <w:rPr>
      <w:color w:val="0000FF" w:themeColor="hyperlink"/>
      <w:u w:val="single"/>
    </w:rPr>
  </w:style>
  <w:style w:type="paragraph" w:styleId="Revision">
    <w:name w:val="Revision"/>
    <w:hidden/>
    <w:uiPriority w:val="99"/>
    <w:semiHidden/>
    <w:rsid w:val="00A900D4"/>
    <w:pPr>
      <w:spacing w:after="0" w:line="240" w:lineRule="auto"/>
    </w:pPr>
    <w:rPr>
      <w:rFonts w:ascii="Times New Roman" w:hAnsi="Times New Roman" w:cs="Times New Roman"/>
      <w:sz w:val="24"/>
    </w:rPr>
  </w:style>
  <w:style w:type="character" w:styleId="FollowedHyperlink">
    <w:name w:val="FollowedHyperlink"/>
    <w:basedOn w:val="DefaultParagraphFont"/>
    <w:unhideWhenUsed/>
    <w:rsid w:val="006116D2"/>
    <w:rPr>
      <w:color w:val="800080" w:themeColor="followedHyperlink"/>
      <w:u w:val="single"/>
    </w:rPr>
  </w:style>
  <w:style w:type="paragraph" w:styleId="ListParagraph">
    <w:name w:val="List Paragraph"/>
    <w:aliases w:val="F5 List Paragraph,Dot pt,List Paragraph1,No Spacing1,List Paragraph Char Char Char,Indicator Text,Numbered Para 1,Colorful List - Accent 11,Bullet Points,List Paragraph2,MAIN CONTENT,Normal numbered,List Paragraph12,Recommendatio"/>
    <w:basedOn w:val="Normal"/>
    <w:link w:val="ListParagraphChar"/>
    <w:uiPriority w:val="34"/>
    <w:qFormat/>
    <w:rsid w:val="00A90B80"/>
    <w:pPr>
      <w:ind w:left="720"/>
      <w:contextualSpacing/>
    </w:pPr>
  </w:style>
  <w:style w:type="character" w:customStyle="1" w:styleId="Mention1">
    <w:name w:val="Mention1"/>
    <w:basedOn w:val="DefaultParagraphFont"/>
    <w:uiPriority w:val="99"/>
    <w:unhideWhenUsed/>
    <w:rPr>
      <w:color w:val="2B579A"/>
      <w:shd w:val="clear" w:color="auto" w:fill="E6E6E6"/>
    </w:rPr>
  </w:style>
  <w:style w:type="character" w:customStyle="1" w:styleId="ListParagraphChar">
    <w:name w:val="List Paragraph Char"/>
    <w:aliases w:val="F5 List Paragraph Char,Dot pt Char,List Paragraph1 Char,No Spacing1 Char,List Paragraph Char Char Char Char,Indicator Text Char,Numbered Para 1 Char,Colorful List - Accent 11 Char,Bullet Points Char,List Paragraph2 Char"/>
    <w:basedOn w:val="DefaultParagraphFont"/>
    <w:link w:val="ListParagraph"/>
    <w:uiPriority w:val="34"/>
    <w:qFormat/>
    <w:locked/>
    <w:rsid w:val="00A91044"/>
    <w:rPr>
      <w:rFonts w:ascii="Times New Roman" w:hAnsi="Times New Roman" w:cs="Times New Roman"/>
      <w:sz w:val="24"/>
      <w:lang w:val="ga-IE"/>
    </w:rPr>
  </w:style>
  <w:style w:type="paragraph" w:customStyle="1" w:styleId="oj-normal">
    <w:name w:val="oj-normal"/>
    <w:basedOn w:val="Normal"/>
    <w:rsid w:val="00A74432"/>
    <w:pPr>
      <w:spacing w:before="100" w:beforeAutospacing="1" w:after="100" w:afterAutospacing="1"/>
      <w:jc w:val="left"/>
    </w:pPr>
    <w:rPr>
      <w:rFonts w:eastAsia="Times New Roman"/>
      <w:szCs w:val="24"/>
      <w:lang w:eastAsia="en-IE"/>
    </w:rPr>
  </w:style>
  <w:style w:type="character" w:customStyle="1" w:styleId="UnresolvedMention1">
    <w:name w:val="Unresolved Mention1"/>
    <w:basedOn w:val="DefaultParagraphFont"/>
    <w:uiPriority w:val="99"/>
    <w:semiHidden/>
    <w:unhideWhenUsed/>
    <w:rsid w:val="00E607E6"/>
    <w:rPr>
      <w:color w:val="605E5C"/>
      <w:shd w:val="clear" w:color="auto" w:fill="E1DFDD"/>
    </w:rPr>
  </w:style>
  <w:style w:type="character" w:customStyle="1" w:styleId="UnresolvedMention">
    <w:name w:val="Unresolved Mention"/>
    <w:basedOn w:val="DefaultParagraphFont"/>
    <w:uiPriority w:val="99"/>
    <w:semiHidden/>
    <w:unhideWhenUsed/>
    <w:rsid w:val="007C6565"/>
    <w:rPr>
      <w:color w:val="605E5C"/>
      <w:shd w:val="clear" w:color="auto" w:fill="E1DFDD"/>
    </w:rPr>
  </w:style>
  <w:style w:type="character" w:customStyle="1" w:styleId="Mention">
    <w:name w:val="Mention"/>
    <w:basedOn w:val="DefaultParagraphFont"/>
    <w:uiPriority w:val="99"/>
    <w:unhideWhenUsed/>
    <w:rsid w:val="002F7807"/>
    <w:rPr>
      <w:color w:val="2B579A"/>
      <w:shd w:val="clear" w:color="auto" w:fill="E1DFDD"/>
    </w:rPr>
  </w:style>
  <w:style w:type="character" w:styleId="Emphasis">
    <w:name w:val="Emphasis"/>
    <w:basedOn w:val="DefaultParagraphFont"/>
    <w:qFormat/>
    <w:rsid w:val="008F51B1"/>
    <w:rPr>
      <w:i/>
      <w:iCs/>
    </w:rPr>
  </w:style>
  <w:style w:type="paragraph" w:customStyle="1" w:styleId="ManualNumPar110">
    <w:name w:val="Manual NumPar 110"/>
    <w:basedOn w:val="Normal"/>
    <w:next w:val="Text1"/>
    <w:rsid w:val="00F7349B"/>
    <w:pPr>
      <w:ind w:left="850" w:hanging="850"/>
    </w:pPr>
  </w:style>
  <w:style w:type="paragraph" w:customStyle="1" w:styleId="ListBullet1">
    <w:name w:val="List Bullet 1"/>
    <w:basedOn w:val="Normal"/>
    <w:rsid w:val="007F047B"/>
    <w:pPr>
      <w:numPr>
        <w:numId w:val="10"/>
      </w:numPr>
    </w:pPr>
    <w:rPr>
      <w:rFonts w:eastAsia="Times New Roman"/>
      <w:lang w:eastAsia="de-DE"/>
    </w:rPr>
  </w:style>
  <w:style w:type="paragraph" w:customStyle="1" w:styleId="ListDash">
    <w:name w:val="List Dash"/>
    <w:basedOn w:val="Normal"/>
    <w:rsid w:val="007F047B"/>
    <w:pPr>
      <w:numPr>
        <w:numId w:val="11"/>
      </w:numPr>
    </w:pPr>
    <w:rPr>
      <w:rFonts w:eastAsia="Times New Roman"/>
      <w:lang w:eastAsia="de-DE"/>
    </w:rPr>
  </w:style>
  <w:style w:type="paragraph" w:customStyle="1" w:styleId="ListDash1">
    <w:name w:val="List Dash 1"/>
    <w:basedOn w:val="Normal"/>
    <w:rsid w:val="007F047B"/>
    <w:pPr>
      <w:numPr>
        <w:numId w:val="12"/>
      </w:numPr>
    </w:pPr>
    <w:rPr>
      <w:rFonts w:eastAsia="Times New Roman"/>
      <w:lang w:eastAsia="de-DE"/>
    </w:rPr>
  </w:style>
  <w:style w:type="paragraph" w:customStyle="1" w:styleId="ListDash2">
    <w:name w:val="List Dash 2"/>
    <w:basedOn w:val="Normal"/>
    <w:rsid w:val="007F047B"/>
    <w:pPr>
      <w:numPr>
        <w:numId w:val="13"/>
      </w:numPr>
    </w:pPr>
    <w:rPr>
      <w:rFonts w:eastAsia="Times New Roman"/>
      <w:lang w:eastAsia="de-DE"/>
    </w:rPr>
  </w:style>
  <w:style w:type="paragraph" w:customStyle="1" w:styleId="ListNumberLevel2">
    <w:name w:val="List Number (Level 2)"/>
    <w:basedOn w:val="Normal"/>
    <w:rsid w:val="007F047B"/>
    <w:pPr>
      <w:tabs>
        <w:tab w:val="num" w:pos="1417"/>
      </w:tabs>
      <w:ind w:left="1417" w:hanging="708"/>
    </w:pPr>
    <w:rPr>
      <w:rFonts w:eastAsia="Times New Roman"/>
      <w:lang w:eastAsia="de-DE"/>
    </w:rPr>
  </w:style>
  <w:style w:type="paragraph" w:customStyle="1" w:styleId="ListNumberLevel3">
    <w:name w:val="List Number (Level 3)"/>
    <w:basedOn w:val="Normal"/>
    <w:rsid w:val="007F047B"/>
    <w:pPr>
      <w:tabs>
        <w:tab w:val="num" w:pos="2126"/>
      </w:tabs>
      <w:ind w:left="2126" w:hanging="709"/>
    </w:pPr>
    <w:rPr>
      <w:rFonts w:eastAsia="Times New Roman"/>
      <w:lang w:eastAsia="de-DE"/>
    </w:rPr>
  </w:style>
  <w:style w:type="paragraph" w:customStyle="1" w:styleId="ListNumberLevel4">
    <w:name w:val="List Number (Level 4)"/>
    <w:basedOn w:val="Normal"/>
    <w:rsid w:val="007F047B"/>
    <w:pPr>
      <w:tabs>
        <w:tab w:val="num" w:pos="2835"/>
      </w:tabs>
      <w:ind w:left="2835" w:hanging="709"/>
    </w:pPr>
    <w:rPr>
      <w:rFonts w:eastAsia="Times New Roman"/>
      <w:lang w:eastAsia="de-DE"/>
    </w:rPr>
  </w:style>
  <w:style w:type="table" w:styleId="TableGrid">
    <w:name w:val="Table Grid"/>
    <w:basedOn w:val="TableNormal"/>
    <w:uiPriority w:val="39"/>
    <w:rsid w:val="007F047B"/>
    <w:pPr>
      <w:spacing w:before="120" w:after="120" w:line="240" w:lineRule="auto"/>
      <w:jc w:val="both"/>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Dash3">
    <w:name w:val="List Dash 3"/>
    <w:basedOn w:val="Normal"/>
    <w:rsid w:val="007F047B"/>
    <w:pPr>
      <w:numPr>
        <w:numId w:val="14"/>
      </w:numPr>
    </w:pPr>
    <w:rPr>
      <w:rFonts w:eastAsia="Times New Roman"/>
      <w:lang w:eastAsia="en-GB"/>
    </w:rPr>
  </w:style>
  <w:style w:type="paragraph" w:customStyle="1" w:styleId="ListDash4">
    <w:name w:val="List Dash 4"/>
    <w:basedOn w:val="Normal"/>
    <w:rsid w:val="007F047B"/>
    <w:pPr>
      <w:numPr>
        <w:numId w:val="15"/>
      </w:numPr>
    </w:pPr>
    <w:rPr>
      <w:rFonts w:eastAsia="Times New Roman"/>
      <w:lang w:eastAsia="en-GB"/>
    </w:rPr>
  </w:style>
  <w:style w:type="paragraph" w:customStyle="1" w:styleId="ListNumber1">
    <w:name w:val="List Number 1"/>
    <w:basedOn w:val="Text1"/>
    <w:rsid w:val="007F047B"/>
    <w:pPr>
      <w:numPr>
        <w:numId w:val="16"/>
      </w:numPr>
    </w:pPr>
    <w:rPr>
      <w:rFonts w:eastAsia="Times New Roman"/>
      <w:lang w:eastAsia="en-GB"/>
    </w:rPr>
  </w:style>
  <w:style w:type="paragraph" w:customStyle="1" w:styleId="ListNumber1Level2">
    <w:name w:val="List Number 1 (Level 2)"/>
    <w:basedOn w:val="Text1"/>
    <w:rsid w:val="007F047B"/>
    <w:pPr>
      <w:numPr>
        <w:ilvl w:val="1"/>
        <w:numId w:val="16"/>
      </w:numPr>
    </w:pPr>
    <w:rPr>
      <w:rFonts w:eastAsia="Times New Roman"/>
      <w:lang w:eastAsia="en-GB"/>
    </w:rPr>
  </w:style>
  <w:style w:type="paragraph" w:customStyle="1" w:styleId="ListNumber2Level2">
    <w:name w:val="List Number 2 (Level 2)"/>
    <w:basedOn w:val="Text2"/>
    <w:rsid w:val="007F047B"/>
    <w:pPr>
      <w:tabs>
        <w:tab w:val="num" w:pos="2268"/>
      </w:tabs>
      <w:ind w:left="2268" w:hanging="708"/>
    </w:pPr>
    <w:rPr>
      <w:rFonts w:eastAsia="Times New Roman"/>
      <w:lang w:eastAsia="en-GB"/>
    </w:rPr>
  </w:style>
  <w:style w:type="paragraph" w:customStyle="1" w:styleId="ListNumber3Level2">
    <w:name w:val="List Number 3 (Level 2)"/>
    <w:basedOn w:val="Text3"/>
    <w:rsid w:val="007F047B"/>
    <w:pPr>
      <w:tabs>
        <w:tab w:val="num" w:pos="2268"/>
      </w:tabs>
      <w:ind w:left="2268" w:hanging="708"/>
    </w:pPr>
    <w:rPr>
      <w:rFonts w:eastAsia="Times New Roman"/>
      <w:lang w:eastAsia="en-GB"/>
    </w:rPr>
  </w:style>
  <w:style w:type="paragraph" w:customStyle="1" w:styleId="ListNumber4Level2">
    <w:name w:val="List Number 4 (Level 2)"/>
    <w:basedOn w:val="Text4"/>
    <w:rsid w:val="007F047B"/>
    <w:pPr>
      <w:tabs>
        <w:tab w:val="num" w:pos="2268"/>
      </w:tabs>
      <w:ind w:left="2268" w:hanging="708"/>
    </w:pPr>
    <w:rPr>
      <w:rFonts w:eastAsia="Times New Roman"/>
      <w:lang w:eastAsia="en-GB"/>
    </w:rPr>
  </w:style>
  <w:style w:type="paragraph" w:customStyle="1" w:styleId="ListNumber1Level3">
    <w:name w:val="List Number 1 (Level 3)"/>
    <w:basedOn w:val="Text1"/>
    <w:rsid w:val="007F047B"/>
    <w:pPr>
      <w:numPr>
        <w:ilvl w:val="2"/>
        <w:numId w:val="16"/>
      </w:numPr>
    </w:pPr>
    <w:rPr>
      <w:rFonts w:eastAsia="Times New Roman"/>
      <w:lang w:eastAsia="en-GB"/>
    </w:rPr>
  </w:style>
  <w:style w:type="paragraph" w:customStyle="1" w:styleId="ListNumber2Level3">
    <w:name w:val="List Number 2 (Level 3)"/>
    <w:basedOn w:val="Text2"/>
    <w:rsid w:val="007F047B"/>
    <w:pPr>
      <w:tabs>
        <w:tab w:val="num" w:pos="2977"/>
      </w:tabs>
      <w:ind w:left="2977" w:hanging="709"/>
    </w:pPr>
    <w:rPr>
      <w:rFonts w:eastAsia="Times New Roman"/>
      <w:lang w:eastAsia="en-GB"/>
    </w:rPr>
  </w:style>
  <w:style w:type="paragraph" w:customStyle="1" w:styleId="ListNumber3Level3">
    <w:name w:val="List Number 3 (Level 3)"/>
    <w:basedOn w:val="Text3"/>
    <w:rsid w:val="007F047B"/>
    <w:pPr>
      <w:tabs>
        <w:tab w:val="num" w:pos="2977"/>
      </w:tabs>
      <w:ind w:left="2977" w:hanging="709"/>
    </w:pPr>
    <w:rPr>
      <w:rFonts w:eastAsia="Times New Roman"/>
      <w:lang w:eastAsia="en-GB"/>
    </w:rPr>
  </w:style>
  <w:style w:type="paragraph" w:customStyle="1" w:styleId="ListNumber4Level3">
    <w:name w:val="List Number 4 (Level 3)"/>
    <w:basedOn w:val="Text4"/>
    <w:rsid w:val="007F047B"/>
    <w:pPr>
      <w:tabs>
        <w:tab w:val="num" w:pos="2977"/>
      </w:tabs>
      <w:ind w:left="2977" w:hanging="709"/>
    </w:pPr>
    <w:rPr>
      <w:rFonts w:eastAsia="Times New Roman"/>
      <w:lang w:eastAsia="en-GB"/>
    </w:rPr>
  </w:style>
  <w:style w:type="paragraph" w:customStyle="1" w:styleId="ListNumber1Level4">
    <w:name w:val="List Number 1 (Level 4)"/>
    <w:basedOn w:val="Text1"/>
    <w:rsid w:val="007F047B"/>
    <w:pPr>
      <w:numPr>
        <w:ilvl w:val="3"/>
        <w:numId w:val="16"/>
      </w:numPr>
    </w:pPr>
    <w:rPr>
      <w:rFonts w:eastAsia="Times New Roman"/>
      <w:lang w:eastAsia="en-GB"/>
    </w:rPr>
  </w:style>
  <w:style w:type="paragraph" w:customStyle="1" w:styleId="ListNumber2Level4">
    <w:name w:val="List Number 2 (Level 4)"/>
    <w:basedOn w:val="Text2"/>
    <w:rsid w:val="007F047B"/>
    <w:pPr>
      <w:tabs>
        <w:tab w:val="num" w:pos="3686"/>
      </w:tabs>
      <w:ind w:left="3686" w:hanging="709"/>
    </w:pPr>
    <w:rPr>
      <w:rFonts w:eastAsia="Times New Roman"/>
      <w:lang w:eastAsia="en-GB"/>
    </w:rPr>
  </w:style>
  <w:style w:type="paragraph" w:customStyle="1" w:styleId="ListNumber3Level4">
    <w:name w:val="List Number 3 (Level 4)"/>
    <w:basedOn w:val="Text3"/>
    <w:rsid w:val="007F047B"/>
    <w:pPr>
      <w:tabs>
        <w:tab w:val="num" w:pos="3686"/>
      </w:tabs>
      <w:ind w:left="3686" w:hanging="709"/>
    </w:pPr>
    <w:rPr>
      <w:rFonts w:eastAsia="Times New Roman"/>
      <w:lang w:eastAsia="en-GB"/>
    </w:rPr>
  </w:style>
  <w:style w:type="paragraph" w:customStyle="1" w:styleId="ListNumber4Level4">
    <w:name w:val="List Number 4 (Level 4)"/>
    <w:basedOn w:val="Text4"/>
    <w:rsid w:val="007F047B"/>
    <w:pPr>
      <w:tabs>
        <w:tab w:val="num" w:pos="3686"/>
      </w:tabs>
      <w:ind w:left="3686" w:hanging="709"/>
    </w:pPr>
    <w:rPr>
      <w:rFonts w:eastAsia="Times New Roman"/>
      <w:lang w:eastAsia="en-GB"/>
    </w:rPr>
  </w:style>
  <w:style w:type="paragraph" w:customStyle="1" w:styleId="Annexetitreacte">
    <w:name w:val="Annexe titre (acte)"/>
    <w:basedOn w:val="Normal"/>
    <w:next w:val="Normal"/>
    <w:rsid w:val="007F047B"/>
    <w:pPr>
      <w:jc w:val="center"/>
    </w:pPr>
    <w:rPr>
      <w:rFonts w:eastAsia="Times New Roman"/>
      <w:b/>
      <w:u w:val="single"/>
      <w:lang w:eastAsia="en-GB"/>
    </w:rPr>
  </w:style>
  <w:style w:type="paragraph" w:customStyle="1" w:styleId="Annexetitreexposglobal">
    <w:name w:val="Annexe titre (exposé global)"/>
    <w:basedOn w:val="Normal"/>
    <w:next w:val="Normal"/>
    <w:rsid w:val="007F047B"/>
    <w:pPr>
      <w:jc w:val="center"/>
    </w:pPr>
    <w:rPr>
      <w:rFonts w:eastAsia="Times New Roman"/>
      <w:b/>
      <w:u w:val="single"/>
      <w:lang w:eastAsia="en-GB"/>
    </w:rPr>
  </w:style>
  <w:style w:type="paragraph" w:customStyle="1" w:styleId="Annexetitrefichefinacte">
    <w:name w:val="Annexe titre (fiche fin. acte)"/>
    <w:basedOn w:val="Normal"/>
    <w:next w:val="Normal"/>
    <w:rsid w:val="007F047B"/>
    <w:pPr>
      <w:jc w:val="center"/>
    </w:pPr>
    <w:rPr>
      <w:rFonts w:eastAsia="Times New Roman"/>
      <w:b/>
      <w:u w:val="single"/>
      <w:lang w:eastAsia="en-GB"/>
    </w:rPr>
  </w:style>
  <w:style w:type="paragraph" w:customStyle="1" w:styleId="Annexetitrefichefinglobale">
    <w:name w:val="Annexe titre (fiche fin. globale)"/>
    <w:basedOn w:val="Normal"/>
    <w:next w:val="Normal"/>
    <w:rsid w:val="007F047B"/>
    <w:pPr>
      <w:jc w:val="center"/>
    </w:pPr>
    <w:rPr>
      <w:rFonts w:eastAsia="Times New Roman"/>
      <w:b/>
      <w:u w:val="single"/>
      <w:lang w:eastAsia="en-GB"/>
    </w:rPr>
  </w:style>
  <w:style w:type="paragraph" w:customStyle="1" w:styleId="Annexetitreglobale">
    <w:name w:val="Annexe titre (globale)"/>
    <w:basedOn w:val="Normal"/>
    <w:next w:val="Normal"/>
    <w:rsid w:val="007F047B"/>
    <w:pPr>
      <w:jc w:val="center"/>
    </w:pPr>
    <w:rPr>
      <w:rFonts w:eastAsia="Times New Roman"/>
      <w:b/>
      <w:u w:val="single"/>
      <w:lang w:eastAsia="en-GB"/>
    </w:rPr>
  </w:style>
  <w:style w:type="paragraph" w:customStyle="1" w:styleId="Exposdesmotifstitreglobal">
    <w:name w:val="Exposé des motifs titre (global)"/>
    <w:basedOn w:val="Normal"/>
    <w:next w:val="Normal"/>
    <w:rsid w:val="007F047B"/>
    <w:pPr>
      <w:jc w:val="center"/>
    </w:pPr>
    <w:rPr>
      <w:rFonts w:eastAsia="Times New Roman"/>
      <w:b/>
      <w:u w:val="single"/>
      <w:lang w:eastAsia="en-GB"/>
    </w:rPr>
  </w:style>
  <w:style w:type="paragraph" w:customStyle="1" w:styleId="Langueoriginale">
    <w:name w:val="Langue originale"/>
    <w:basedOn w:val="Normal"/>
    <w:rsid w:val="007F047B"/>
    <w:pPr>
      <w:spacing w:before="360"/>
      <w:jc w:val="center"/>
    </w:pPr>
    <w:rPr>
      <w:rFonts w:eastAsia="Times New Roman"/>
      <w:caps/>
      <w:lang w:eastAsia="en-GB"/>
    </w:rPr>
  </w:style>
  <w:style w:type="paragraph" w:customStyle="1" w:styleId="Phrasefinale">
    <w:name w:val="Phrase finale"/>
    <w:basedOn w:val="Normal"/>
    <w:next w:val="Normal"/>
    <w:rsid w:val="007F047B"/>
    <w:pPr>
      <w:spacing w:before="360" w:after="0"/>
      <w:jc w:val="center"/>
    </w:pPr>
    <w:rPr>
      <w:rFonts w:eastAsia="Times New Roman"/>
      <w:lang w:eastAsia="en-GB"/>
    </w:rPr>
  </w:style>
  <w:style w:type="paragraph" w:customStyle="1" w:styleId="Prliminairetitre">
    <w:name w:val="Préliminaire titre"/>
    <w:basedOn w:val="Normal"/>
    <w:next w:val="Normal"/>
    <w:rsid w:val="007F047B"/>
    <w:pPr>
      <w:spacing w:before="360" w:after="360"/>
      <w:jc w:val="center"/>
    </w:pPr>
    <w:rPr>
      <w:rFonts w:eastAsia="Times New Roman"/>
      <w:b/>
      <w:lang w:eastAsia="en-GB"/>
    </w:rPr>
  </w:style>
  <w:style w:type="paragraph" w:customStyle="1" w:styleId="Prliminairetype">
    <w:name w:val="Préliminaire type"/>
    <w:basedOn w:val="Normal"/>
    <w:next w:val="Normal"/>
    <w:rsid w:val="007F047B"/>
    <w:pPr>
      <w:spacing w:before="360" w:after="0"/>
      <w:jc w:val="center"/>
    </w:pPr>
    <w:rPr>
      <w:rFonts w:eastAsia="Times New Roman"/>
      <w:b/>
      <w:lang w:eastAsia="en-GB"/>
    </w:rPr>
  </w:style>
  <w:style w:type="paragraph" w:customStyle="1" w:styleId="Rfrenceinstitutionelle">
    <w:name w:val="Référence institutionelle"/>
    <w:basedOn w:val="Normal"/>
    <w:next w:val="Statut"/>
    <w:rsid w:val="007F047B"/>
    <w:pPr>
      <w:spacing w:before="0" w:after="240"/>
      <w:ind w:left="5103"/>
      <w:jc w:val="left"/>
    </w:pPr>
    <w:rPr>
      <w:rFonts w:eastAsia="Times New Roman"/>
      <w:lang w:eastAsia="en-GB"/>
    </w:rPr>
  </w:style>
  <w:style w:type="paragraph" w:customStyle="1" w:styleId="Rfrenceinterinstitutionelle">
    <w:name w:val="Référence interinstitutionelle"/>
    <w:basedOn w:val="Normal"/>
    <w:next w:val="Statut"/>
    <w:rsid w:val="007F047B"/>
    <w:pPr>
      <w:spacing w:before="0" w:after="0"/>
      <w:ind w:left="5103"/>
      <w:jc w:val="left"/>
    </w:pPr>
    <w:rPr>
      <w:rFonts w:eastAsia="Times New Roman"/>
      <w:lang w:eastAsia="en-GB"/>
    </w:rPr>
  </w:style>
  <w:style w:type="paragraph" w:customStyle="1" w:styleId="Rfrenceinterinstitutionelleprliminaire">
    <w:name w:val="Référence interinstitutionelle (préliminaire)"/>
    <w:basedOn w:val="Normal"/>
    <w:next w:val="Normal"/>
    <w:rsid w:val="007F047B"/>
    <w:pPr>
      <w:spacing w:before="0" w:after="0"/>
      <w:ind w:left="5103"/>
      <w:jc w:val="left"/>
    </w:pPr>
    <w:rPr>
      <w:rFonts w:eastAsia="Times New Roman"/>
      <w:lang w:eastAsia="en-GB"/>
    </w:rPr>
  </w:style>
  <w:style w:type="paragraph" w:customStyle="1" w:styleId="Sous-titreobjetprliminaire">
    <w:name w:val="Sous-titre objet (préliminaire)"/>
    <w:basedOn w:val="Normal"/>
    <w:rsid w:val="007F047B"/>
    <w:pPr>
      <w:spacing w:before="0" w:after="0"/>
      <w:jc w:val="center"/>
    </w:pPr>
    <w:rPr>
      <w:rFonts w:eastAsia="Times New Roman"/>
      <w:b/>
      <w:lang w:eastAsia="en-GB"/>
    </w:rPr>
  </w:style>
  <w:style w:type="paragraph" w:customStyle="1" w:styleId="Statutprliminaire">
    <w:name w:val="Statut (préliminaire)"/>
    <w:basedOn w:val="Normal"/>
    <w:next w:val="Normal"/>
    <w:rsid w:val="007F047B"/>
    <w:pPr>
      <w:spacing w:before="360" w:after="0"/>
      <w:jc w:val="center"/>
    </w:pPr>
    <w:rPr>
      <w:rFonts w:eastAsia="Times New Roman"/>
      <w:lang w:eastAsia="en-GB"/>
    </w:rPr>
  </w:style>
  <w:style w:type="paragraph" w:customStyle="1" w:styleId="Titreobjetprliminaire">
    <w:name w:val="Titre objet (préliminaire)"/>
    <w:basedOn w:val="Normal"/>
    <w:next w:val="Normal"/>
    <w:rsid w:val="007F047B"/>
    <w:pPr>
      <w:spacing w:before="360" w:after="360"/>
      <w:jc w:val="center"/>
    </w:pPr>
    <w:rPr>
      <w:rFonts w:eastAsia="Times New Roman"/>
      <w:b/>
      <w:lang w:eastAsia="en-GB"/>
    </w:rPr>
  </w:style>
  <w:style w:type="paragraph" w:customStyle="1" w:styleId="Typedudocumentprliminaire">
    <w:name w:val="Type du document (préliminaire)"/>
    <w:basedOn w:val="Normal"/>
    <w:next w:val="Normal"/>
    <w:rsid w:val="007F047B"/>
    <w:pPr>
      <w:spacing w:before="360" w:after="0"/>
      <w:jc w:val="center"/>
    </w:pPr>
    <w:rPr>
      <w:rFonts w:eastAsia="Times New Roman"/>
      <w:b/>
      <w:lang w:eastAsia="en-GB"/>
    </w:rPr>
  </w:style>
  <w:style w:type="paragraph" w:customStyle="1" w:styleId="Fichefinancirestandardtitre">
    <w:name w:val="Fiche financière (standard) titre"/>
    <w:basedOn w:val="Normal"/>
    <w:next w:val="Normal"/>
    <w:rsid w:val="007F047B"/>
    <w:pPr>
      <w:jc w:val="center"/>
    </w:pPr>
    <w:rPr>
      <w:rFonts w:eastAsia="Times New Roman"/>
      <w:b/>
      <w:u w:val="single"/>
      <w:lang w:eastAsia="en-GB"/>
    </w:rPr>
  </w:style>
  <w:style w:type="paragraph" w:customStyle="1" w:styleId="Fichefinancirestandardtitreacte">
    <w:name w:val="Fiche financière (standard) titre (acte)"/>
    <w:basedOn w:val="Normal"/>
    <w:next w:val="Normal"/>
    <w:rsid w:val="007F047B"/>
    <w:pPr>
      <w:jc w:val="center"/>
    </w:pPr>
    <w:rPr>
      <w:rFonts w:eastAsia="Times New Roman"/>
      <w:b/>
      <w:u w:val="single"/>
      <w:lang w:eastAsia="en-GB"/>
    </w:rPr>
  </w:style>
  <w:style w:type="paragraph" w:customStyle="1" w:styleId="Fichefinanciretravailtitre">
    <w:name w:val="Fiche financière (travail) titre"/>
    <w:basedOn w:val="Normal"/>
    <w:next w:val="Normal"/>
    <w:rsid w:val="007F047B"/>
    <w:pPr>
      <w:jc w:val="center"/>
    </w:pPr>
    <w:rPr>
      <w:rFonts w:eastAsia="Times New Roman"/>
      <w:b/>
      <w:u w:val="single"/>
      <w:lang w:eastAsia="en-GB"/>
    </w:rPr>
  </w:style>
  <w:style w:type="paragraph" w:customStyle="1" w:styleId="Fichefinanciretravailtitreacte">
    <w:name w:val="Fiche financière (travail) titre (acte)"/>
    <w:basedOn w:val="Normal"/>
    <w:next w:val="Normal"/>
    <w:rsid w:val="007F047B"/>
    <w:pPr>
      <w:jc w:val="center"/>
    </w:pPr>
    <w:rPr>
      <w:rFonts w:eastAsia="Times New Roman"/>
      <w:b/>
      <w:u w:val="single"/>
      <w:lang w:eastAsia="en-GB"/>
    </w:rPr>
  </w:style>
  <w:style w:type="paragraph" w:customStyle="1" w:styleId="Fichefinancireattributiontitre">
    <w:name w:val="Fiche financière (attribution) titre"/>
    <w:basedOn w:val="Normal"/>
    <w:next w:val="Normal"/>
    <w:rsid w:val="007F047B"/>
    <w:pPr>
      <w:jc w:val="center"/>
    </w:pPr>
    <w:rPr>
      <w:rFonts w:eastAsia="Times New Roman"/>
      <w:b/>
      <w:u w:val="single"/>
      <w:lang w:eastAsia="en-GB"/>
    </w:rPr>
  </w:style>
  <w:style w:type="paragraph" w:customStyle="1" w:styleId="Fichefinancireattributiontitreacte">
    <w:name w:val="Fiche financière (attribution) titre (acte)"/>
    <w:basedOn w:val="Normal"/>
    <w:next w:val="Normal"/>
    <w:rsid w:val="007F047B"/>
    <w:pPr>
      <w:jc w:val="center"/>
    </w:pPr>
    <w:rPr>
      <w:rFonts w:eastAsia="Times New Roman"/>
      <w:b/>
      <w:u w:val="single"/>
      <w:lang w:eastAsia="en-GB"/>
    </w:rPr>
  </w:style>
  <w:style w:type="character" w:styleId="PageNumber">
    <w:name w:val="page number"/>
    <w:rsid w:val="007F047B"/>
  </w:style>
  <w:style w:type="character" w:customStyle="1" w:styleId="tw4winMark">
    <w:name w:val="tw4winMark"/>
    <w:rsid w:val="007F047B"/>
    <w:rPr>
      <w:vanish/>
      <w:color w:val="800080"/>
      <w:vertAlign w:val="subscript"/>
    </w:rPr>
  </w:style>
  <w:style w:type="paragraph" w:customStyle="1" w:styleId="Sous-titreobjet">
    <w:name w:val="Sous-titre objet"/>
    <w:basedOn w:val="Normal"/>
    <w:rsid w:val="007F047B"/>
    <w:pPr>
      <w:spacing w:before="0" w:after="0"/>
      <w:jc w:val="center"/>
    </w:pPr>
    <w:rPr>
      <w:rFonts w:eastAsia="Times New Roman"/>
      <w:b/>
      <w:lang w:eastAsia="en-GB"/>
    </w:rPr>
  </w:style>
  <w:style w:type="paragraph" w:customStyle="1" w:styleId="Sous-titreobjetPagedecouverture">
    <w:name w:val="Sous-titre objet (Page de couverture)"/>
    <w:basedOn w:val="Sous-titreobjet"/>
    <w:rsid w:val="007F047B"/>
  </w:style>
  <w:style w:type="paragraph" w:customStyle="1" w:styleId="FooterCoverPage">
    <w:name w:val="Footer Cover Page"/>
    <w:basedOn w:val="Normal"/>
    <w:link w:val="FooterCoverPageChar"/>
    <w:rsid w:val="007F047B"/>
    <w:pPr>
      <w:tabs>
        <w:tab w:val="center" w:pos="4535"/>
        <w:tab w:val="right" w:pos="9071"/>
        <w:tab w:val="right" w:pos="9921"/>
      </w:tabs>
      <w:spacing w:before="360" w:after="0"/>
      <w:ind w:left="-850" w:right="-850"/>
      <w:jc w:val="left"/>
    </w:pPr>
    <w:rPr>
      <w:rFonts w:eastAsia="Calibri"/>
      <w:lang w:eastAsia="en-GB"/>
    </w:rPr>
  </w:style>
  <w:style w:type="character" w:customStyle="1" w:styleId="TOCHeadingChar">
    <w:name w:val="TOC Heading Char"/>
    <w:uiPriority w:val="39"/>
    <w:rsid w:val="007F047B"/>
    <w:rPr>
      <w:rFonts w:ascii="Times New Roman" w:hAnsi="Times New Roman" w:cs="Times New Roman"/>
      <w:b/>
      <w:sz w:val="28"/>
      <w:lang w:val="ga-IE"/>
    </w:rPr>
  </w:style>
  <w:style w:type="character" w:customStyle="1" w:styleId="FooterCoverPageChar">
    <w:name w:val="Footer Cover Page Char"/>
    <w:link w:val="FooterCoverPage"/>
    <w:rsid w:val="007F047B"/>
    <w:rPr>
      <w:rFonts w:ascii="Times New Roman" w:eastAsia="Calibri" w:hAnsi="Times New Roman" w:cs="Times New Roman"/>
      <w:sz w:val="24"/>
      <w:lang w:val="ga-IE" w:eastAsia="en-GB"/>
    </w:rPr>
  </w:style>
  <w:style w:type="paragraph" w:customStyle="1" w:styleId="HeaderCoverPage">
    <w:name w:val="Header Cover Page"/>
    <w:basedOn w:val="Normal"/>
    <w:link w:val="HeaderCoverPageChar"/>
    <w:rsid w:val="007F047B"/>
    <w:pPr>
      <w:tabs>
        <w:tab w:val="center" w:pos="4535"/>
        <w:tab w:val="right" w:pos="9071"/>
      </w:tabs>
      <w:spacing w:before="0"/>
    </w:pPr>
    <w:rPr>
      <w:rFonts w:eastAsia="Calibri"/>
      <w:lang w:eastAsia="en-GB"/>
    </w:rPr>
  </w:style>
  <w:style w:type="character" w:customStyle="1" w:styleId="HeaderCoverPageChar">
    <w:name w:val="Header Cover Page Char"/>
    <w:link w:val="HeaderCoverPage"/>
    <w:rsid w:val="007F047B"/>
    <w:rPr>
      <w:rFonts w:ascii="Times New Roman" w:eastAsia="Calibri" w:hAnsi="Times New Roman" w:cs="Times New Roman"/>
      <w:sz w:val="24"/>
      <w:lang w:val="ga-IE" w:eastAsia="en-GB"/>
    </w:rPr>
  </w:style>
  <w:style w:type="character" w:customStyle="1" w:styleId="FooterSensitivityChar">
    <w:name w:val="Footer Sensitivity Char"/>
    <w:rsid w:val="007F047B"/>
    <w:rPr>
      <w:rFonts w:ascii="Times New Roman" w:hAnsi="Times New Roman" w:cs="Times New Roman"/>
      <w:b/>
      <w:sz w:val="32"/>
      <w:lang w:val="ga-IE"/>
    </w:rPr>
  </w:style>
  <w:style w:type="character" w:customStyle="1" w:styleId="HeaderSensitivityChar">
    <w:name w:val="Header Sensitivity Char"/>
    <w:rsid w:val="007F047B"/>
    <w:rPr>
      <w:rFonts w:ascii="Times New Roman" w:hAnsi="Times New Roman" w:cs="Times New Roman"/>
      <w:b/>
      <w:sz w:val="32"/>
      <w:lang w:val="ga-IE"/>
    </w:rPr>
  </w:style>
  <w:style w:type="character" w:customStyle="1" w:styleId="HeaderSensitivityRightChar">
    <w:name w:val="Header Sensitivity Right Char"/>
    <w:rsid w:val="007F047B"/>
    <w:rPr>
      <w:rFonts w:ascii="Times New Roman" w:hAnsi="Times New Roman" w:cs="Times New Roman"/>
      <w:sz w:val="28"/>
      <w:lang w:val="ga-IE"/>
    </w:rPr>
  </w:style>
  <w:style w:type="paragraph" w:customStyle="1" w:styleId="LegalNumPar">
    <w:name w:val="LegalNumPar"/>
    <w:basedOn w:val="Normal"/>
    <w:rsid w:val="007F047B"/>
    <w:pPr>
      <w:numPr>
        <w:ilvl w:val="1"/>
        <w:numId w:val="17"/>
      </w:numPr>
      <w:spacing w:line="360" w:lineRule="auto"/>
      <w:ind w:left="476" w:hanging="476"/>
    </w:pPr>
    <w:rPr>
      <w:rFonts w:eastAsia="Times New Roman"/>
      <w:lang w:eastAsia="en-GB"/>
    </w:rPr>
  </w:style>
  <w:style w:type="paragraph" w:customStyle="1" w:styleId="LegalNumPar2">
    <w:name w:val="LegalNumPar2"/>
    <w:basedOn w:val="Normal"/>
    <w:rsid w:val="007F047B"/>
    <w:pPr>
      <w:numPr>
        <w:ilvl w:val="2"/>
        <w:numId w:val="17"/>
      </w:numPr>
      <w:spacing w:line="360" w:lineRule="auto"/>
      <w:ind w:left="953" w:hanging="477"/>
    </w:pPr>
    <w:rPr>
      <w:rFonts w:eastAsia="Times New Roman"/>
      <w:lang w:eastAsia="en-GB"/>
    </w:rPr>
  </w:style>
  <w:style w:type="paragraph" w:customStyle="1" w:styleId="LegalNumPar3">
    <w:name w:val="LegalNumPar3"/>
    <w:basedOn w:val="Normal"/>
    <w:rsid w:val="007F047B"/>
    <w:pPr>
      <w:numPr>
        <w:ilvl w:val="2"/>
        <w:numId w:val="9"/>
      </w:numPr>
      <w:spacing w:line="360" w:lineRule="auto"/>
    </w:pPr>
    <w:rPr>
      <w:rFonts w:eastAsia="Times New Roman"/>
      <w:lang w:eastAsia="en-GB"/>
    </w:rPr>
  </w:style>
  <w:style w:type="character" w:styleId="Strong">
    <w:name w:val="Strong"/>
    <w:basedOn w:val="DefaultParagraphFont"/>
    <w:qFormat/>
    <w:rsid w:val="007F047B"/>
    <w:rPr>
      <w:b/>
      <w:bCs/>
    </w:rPr>
  </w:style>
  <w:style w:type="character" w:customStyle="1" w:styleId="normaltextrun">
    <w:name w:val="normaltextrun"/>
    <w:basedOn w:val="DefaultParagraphFont"/>
    <w:rsid w:val="007F047B"/>
  </w:style>
  <w:style w:type="character" w:customStyle="1" w:styleId="eop">
    <w:name w:val="eop"/>
    <w:basedOn w:val="DefaultParagraphFont"/>
    <w:rsid w:val="007F047B"/>
  </w:style>
  <w:style w:type="character" w:customStyle="1" w:styleId="cf01">
    <w:name w:val="cf01"/>
    <w:basedOn w:val="DefaultParagraphFont"/>
    <w:rsid w:val="00242DDE"/>
    <w:rPr>
      <w:rFonts w:ascii="Segoe UI" w:hAnsi="Segoe UI" w:cs="Segoe UI" w:hint="default"/>
      <w:sz w:val="18"/>
      <w:szCs w:val="18"/>
    </w:rPr>
  </w:style>
  <w:style w:type="character" w:customStyle="1" w:styleId="HeaderChar">
    <w:name w:val="Header Char"/>
    <w:basedOn w:val="DefaultParagraphFont"/>
    <w:link w:val="Header"/>
    <w:uiPriority w:val="99"/>
    <w:rsid w:val="00CD5301"/>
    <w:rPr>
      <w:rFonts w:ascii="Times New Roman" w:hAnsi="Times New Roman" w:cs="Times New Roman"/>
      <w:sz w:val="24"/>
      <w:lang w:val="ga-IE"/>
    </w:rPr>
  </w:style>
  <w:style w:type="character" w:customStyle="1" w:styleId="FooterChar">
    <w:name w:val="Footer Char"/>
    <w:basedOn w:val="DefaultParagraphFont"/>
    <w:link w:val="Footer"/>
    <w:uiPriority w:val="99"/>
    <w:rsid w:val="00CD5301"/>
    <w:rPr>
      <w:rFonts w:ascii="Times New Roman" w:hAnsi="Times New Roman" w:cs="Times New Roman"/>
      <w:sz w:val="24"/>
      <w:lang w:val="ga-I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CD5301"/>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CD5301"/>
    <w:pPr>
      <w:spacing w:before="0"/>
      <w:jc w:val="right"/>
    </w:pPr>
    <w:rPr>
      <w:sz w:val="28"/>
    </w:rPr>
  </w:style>
  <w:style w:type="paragraph" w:customStyle="1" w:styleId="FooterSensitivity">
    <w:name w:val="Footer Sensitivity"/>
    <w:basedOn w:val="Normal"/>
    <w:rsid w:val="00CD5301"/>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33"/>
      </w:numPr>
    </w:pPr>
  </w:style>
  <w:style w:type="paragraph" w:customStyle="1" w:styleId="Tiret1">
    <w:name w:val="Tiret 1"/>
    <w:basedOn w:val="Point1"/>
    <w:pPr>
      <w:numPr>
        <w:numId w:val="34"/>
      </w:numPr>
    </w:pPr>
  </w:style>
  <w:style w:type="paragraph" w:customStyle="1" w:styleId="Tiret2">
    <w:name w:val="Tiret 2"/>
    <w:basedOn w:val="Point2"/>
    <w:pPr>
      <w:numPr>
        <w:numId w:val="35"/>
      </w:numPr>
    </w:pPr>
  </w:style>
  <w:style w:type="paragraph" w:customStyle="1" w:styleId="Tiret3">
    <w:name w:val="Tiret 3"/>
    <w:basedOn w:val="Point3"/>
    <w:pPr>
      <w:numPr>
        <w:numId w:val="36"/>
      </w:numPr>
    </w:pPr>
  </w:style>
  <w:style w:type="paragraph" w:customStyle="1" w:styleId="Tiret4">
    <w:name w:val="Tiret 4"/>
    <w:basedOn w:val="Point4"/>
    <w:pPr>
      <w:numPr>
        <w:numId w:val="37"/>
      </w:numPr>
    </w:pPr>
  </w:style>
  <w:style w:type="paragraph" w:customStyle="1" w:styleId="Tiret5">
    <w:name w:val="Tiret 5"/>
    <w:basedOn w:val="Point5"/>
    <w:pPr>
      <w:tabs>
        <w:tab w:val="num" w:pos="3685"/>
      </w:tabs>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9"/>
      </w:numPr>
    </w:pPr>
  </w:style>
  <w:style w:type="paragraph" w:customStyle="1" w:styleId="NumPar2">
    <w:name w:val="NumPar 2"/>
    <w:basedOn w:val="Normal"/>
    <w:next w:val="Text1"/>
    <w:pPr>
      <w:numPr>
        <w:ilvl w:val="1"/>
        <w:numId w:val="39"/>
      </w:numPr>
    </w:pPr>
  </w:style>
  <w:style w:type="paragraph" w:customStyle="1" w:styleId="NumPar3">
    <w:name w:val="NumPar 3"/>
    <w:basedOn w:val="Normal"/>
    <w:next w:val="Text1"/>
    <w:pPr>
      <w:numPr>
        <w:ilvl w:val="2"/>
        <w:numId w:val="39"/>
      </w:numPr>
    </w:pPr>
  </w:style>
  <w:style w:type="paragraph" w:customStyle="1" w:styleId="NumPar4">
    <w:name w:val="NumPar 4"/>
    <w:basedOn w:val="Normal"/>
    <w:next w:val="Text1"/>
    <w:pPr>
      <w:numPr>
        <w:ilvl w:val="3"/>
        <w:numId w:val="39"/>
      </w:numPr>
    </w:pPr>
  </w:style>
  <w:style w:type="paragraph" w:customStyle="1" w:styleId="NumPar5">
    <w:name w:val="NumPar 5"/>
    <w:basedOn w:val="Normal"/>
    <w:next w:val="Text2"/>
    <w:pPr>
      <w:numPr>
        <w:ilvl w:val="4"/>
        <w:numId w:val="39"/>
      </w:numPr>
    </w:pPr>
  </w:style>
  <w:style w:type="paragraph" w:customStyle="1" w:styleId="NumPar6">
    <w:name w:val="NumPar 6"/>
    <w:basedOn w:val="Normal"/>
    <w:next w:val="Text2"/>
    <w:pPr>
      <w:numPr>
        <w:ilvl w:val="5"/>
        <w:numId w:val="39"/>
      </w:numPr>
    </w:pPr>
  </w:style>
  <w:style w:type="paragraph" w:customStyle="1" w:styleId="NumPar7">
    <w:name w:val="NumPar 7"/>
    <w:basedOn w:val="Normal"/>
    <w:next w:val="Text2"/>
    <w:pPr>
      <w:numPr>
        <w:ilvl w:val="6"/>
        <w:numId w:val="3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1"/>
      </w:numPr>
    </w:pPr>
  </w:style>
  <w:style w:type="paragraph" w:customStyle="1" w:styleId="Point1number">
    <w:name w:val="Point 1 (number)"/>
    <w:basedOn w:val="Normal"/>
    <w:pPr>
      <w:numPr>
        <w:ilvl w:val="2"/>
        <w:numId w:val="41"/>
      </w:numPr>
    </w:pPr>
  </w:style>
  <w:style w:type="paragraph" w:customStyle="1" w:styleId="Point2number">
    <w:name w:val="Point 2 (number)"/>
    <w:basedOn w:val="Normal"/>
    <w:pPr>
      <w:numPr>
        <w:ilvl w:val="4"/>
        <w:numId w:val="41"/>
      </w:numPr>
    </w:pPr>
  </w:style>
  <w:style w:type="paragraph" w:customStyle="1" w:styleId="Point3number">
    <w:name w:val="Point 3 (number)"/>
    <w:basedOn w:val="Normal"/>
    <w:pPr>
      <w:numPr>
        <w:ilvl w:val="6"/>
        <w:numId w:val="41"/>
      </w:numPr>
    </w:pPr>
  </w:style>
  <w:style w:type="paragraph" w:customStyle="1" w:styleId="Point0letter">
    <w:name w:val="Point 0 (letter)"/>
    <w:basedOn w:val="Normal"/>
    <w:pPr>
      <w:numPr>
        <w:ilvl w:val="1"/>
        <w:numId w:val="41"/>
      </w:numPr>
    </w:pPr>
  </w:style>
  <w:style w:type="paragraph" w:customStyle="1" w:styleId="Point1letter">
    <w:name w:val="Point 1 (letter)"/>
    <w:basedOn w:val="Normal"/>
    <w:pPr>
      <w:numPr>
        <w:ilvl w:val="3"/>
        <w:numId w:val="41"/>
      </w:numPr>
    </w:pPr>
  </w:style>
  <w:style w:type="paragraph" w:customStyle="1" w:styleId="Point2letter">
    <w:name w:val="Point 2 (letter)"/>
    <w:basedOn w:val="Normal"/>
    <w:pPr>
      <w:numPr>
        <w:ilvl w:val="5"/>
        <w:numId w:val="41"/>
      </w:numPr>
    </w:pPr>
  </w:style>
  <w:style w:type="paragraph" w:customStyle="1" w:styleId="Point3letter">
    <w:name w:val="Point 3 (letter)"/>
    <w:basedOn w:val="Normal"/>
    <w:pPr>
      <w:numPr>
        <w:ilvl w:val="7"/>
        <w:numId w:val="41"/>
      </w:numPr>
    </w:pPr>
  </w:style>
  <w:style w:type="paragraph" w:customStyle="1" w:styleId="Point4letter">
    <w:name w:val="Point 4 (letter)"/>
    <w:basedOn w:val="Normal"/>
    <w:pPr>
      <w:numPr>
        <w:ilvl w:val="8"/>
        <w:numId w:val="41"/>
      </w:numPr>
    </w:pPr>
  </w:style>
  <w:style w:type="paragraph" w:customStyle="1" w:styleId="Bullet0">
    <w:name w:val="Bullet 0"/>
    <w:basedOn w:val="Normal"/>
    <w:pPr>
      <w:numPr>
        <w:numId w:val="42"/>
      </w:numPr>
    </w:pPr>
  </w:style>
  <w:style w:type="paragraph" w:customStyle="1" w:styleId="Bullet1">
    <w:name w:val="Bullet 1"/>
    <w:basedOn w:val="Normal"/>
    <w:pPr>
      <w:numPr>
        <w:numId w:val="43"/>
      </w:numPr>
    </w:pPr>
  </w:style>
  <w:style w:type="paragraph" w:customStyle="1" w:styleId="Bullet2">
    <w:name w:val="Bullet 2"/>
    <w:basedOn w:val="Normal"/>
    <w:pPr>
      <w:numPr>
        <w:numId w:val="44"/>
      </w:numPr>
    </w:pPr>
  </w:style>
  <w:style w:type="paragraph" w:customStyle="1" w:styleId="Bullet3">
    <w:name w:val="Bullet 3"/>
    <w:basedOn w:val="Normal"/>
    <w:pPr>
      <w:numPr>
        <w:numId w:val="45"/>
      </w:numPr>
    </w:pPr>
  </w:style>
  <w:style w:type="paragraph" w:customStyle="1" w:styleId="Bullet4">
    <w:name w:val="Bullet 4"/>
    <w:basedOn w:val="Normal"/>
    <w:pPr>
      <w:numPr>
        <w:numId w:val="46"/>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rsid w:val="00E664ED"/>
    <w:pPr>
      <w:spacing w:before="360" w:after="24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rsid w:val="00E664ED"/>
    <w:pPr>
      <w:spacing w:after="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Normal"/>
    <w:rsid w:val="00E664ED"/>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Rfrencecroise"/>
    <w:rsid w:val="00E664ED"/>
    <w:pPr>
      <w:spacing w:before="360" w:after="240"/>
      <w:jc w:val="center"/>
    </w:pPr>
  </w:style>
  <w:style w:type="paragraph" w:styleId="Header">
    <w:name w:val="header"/>
    <w:basedOn w:val="Normal"/>
    <w:link w:val="HeaderChar"/>
    <w:uiPriority w:val="99"/>
    <w:unhideWhenUsed/>
    <w:rsid w:val="00CD5301"/>
    <w:pPr>
      <w:tabs>
        <w:tab w:val="center" w:pos="4535"/>
        <w:tab w:val="right" w:pos="9071"/>
      </w:tabs>
      <w:spacing w:before="0"/>
    </w:pPr>
  </w:style>
  <w:style w:type="paragraph" w:customStyle="1" w:styleId="HeaderLandscape">
    <w:name w:val="HeaderLandscape"/>
    <w:basedOn w:val="Normal"/>
    <w:rsid w:val="00CD5301"/>
    <w:pPr>
      <w:tabs>
        <w:tab w:val="center" w:pos="7285"/>
        <w:tab w:val="right" w:pos="14003"/>
      </w:tabs>
      <w:spacing w:before="0"/>
    </w:pPr>
  </w:style>
  <w:style w:type="paragraph" w:styleId="Footer">
    <w:name w:val="footer"/>
    <w:basedOn w:val="Normal"/>
    <w:link w:val="FooterChar"/>
    <w:uiPriority w:val="99"/>
    <w:unhideWhenUsed/>
    <w:rsid w:val="00CD5301"/>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CD5301"/>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934857">
      <w:bodyDiv w:val="1"/>
      <w:marLeft w:val="0"/>
      <w:marRight w:val="0"/>
      <w:marTop w:val="0"/>
      <w:marBottom w:val="0"/>
      <w:divBdr>
        <w:top w:val="none" w:sz="0" w:space="0" w:color="auto"/>
        <w:left w:val="none" w:sz="0" w:space="0" w:color="auto"/>
        <w:bottom w:val="none" w:sz="0" w:space="0" w:color="auto"/>
        <w:right w:val="none" w:sz="0" w:space="0" w:color="auto"/>
      </w:divBdr>
    </w:div>
    <w:div w:id="787432149">
      <w:bodyDiv w:val="1"/>
      <w:marLeft w:val="0"/>
      <w:marRight w:val="0"/>
      <w:marTop w:val="0"/>
      <w:marBottom w:val="0"/>
      <w:divBdr>
        <w:top w:val="none" w:sz="0" w:space="0" w:color="auto"/>
        <w:left w:val="none" w:sz="0" w:space="0" w:color="auto"/>
        <w:bottom w:val="none" w:sz="0" w:space="0" w:color="auto"/>
        <w:right w:val="none" w:sz="0" w:space="0" w:color="auto"/>
      </w:divBdr>
    </w:div>
    <w:div w:id="1439906643">
      <w:bodyDiv w:val="1"/>
      <w:marLeft w:val="0"/>
      <w:marRight w:val="0"/>
      <w:marTop w:val="0"/>
      <w:marBottom w:val="0"/>
      <w:divBdr>
        <w:top w:val="none" w:sz="0" w:space="0" w:color="auto"/>
        <w:left w:val="none" w:sz="0" w:space="0" w:color="auto"/>
        <w:bottom w:val="none" w:sz="0" w:space="0" w:color="auto"/>
        <w:right w:val="none" w:sz="0" w:space="0" w:color="auto"/>
      </w:divBdr>
    </w:div>
    <w:div w:id="1562986687">
      <w:bodyDiv w:val="1"/>
      <w:marLeft w:val="0"/>
      <w:marRight w:val="0"/>
      <w:marTop w:val="0"/>
      <w:marBottom w:val="0"/>
      <w:divBdr>
        <w:top w:val="none" w:sz="0" w:space="0" w:color="auto"/>
        <w:left w:val="none" w:sz="0" w:space="0" w:color="auto"/>
        <w:bottom w:val="none" w:sz="0" w:space="0" w:color="auto"/>
        <w:right w:val="none" w:sz="0" w:space="0" w:color="auto"/>
      </w:divBdr>
    </w:div>
    <w:div w:id="1762096412">
      <w:bodyDiv w:val="1"/>
      <w:marLeft w:val="0"/>
      <w:marRight w:val="0"/>
      <w:marTop w:val="0"/>
      <w:marBottom w:val="0"/>
      <w:divBdr>
        <w:top w:val="none" w:sz="0" w:space="0" w:color="auto"/>
        <w:left w:val="none" w:sz="0" w:space="0" w:color="auto"/>
        <w:bottom w:val="none" w:sz="0" w:space="0" w:color="auto"/>
        <w:right w:val="none" w:sz="0" w:space="0" w:color="auto"/>
      </w:divBdr>
    </w:div>
    <w:div w:id="1985114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data.europa.eu/eli/reg/2026/786/oj" TargetMode="External"/><Relationship Id="rId13" Type="http://schemas.openxmlformats.org/officeDocument/2006/relationships/hyperlink" Target="http://data.europa.eu/eli/reg/2026/249/oj" TargetMode="External"/><Relationship Id="rId18" Type="http://schemas.openxmlformats.org/officeDocument/2006/relationships/hyperlink" Target="https://www.iccat.int/Documents/Recs/compendiopdf-e/2025-04-e.pdf" TargetMode="External"/><Relationship Id="rId3" Type="http://schemas.openxmlformats.org/officeDocument/2006/relationships/hyperlink" Target="http://data.europa.eu/eli/reg/2013/1380/oj" TargetMode="External"/><Relationship Id="rId7" Type="http://schemas.openxmlformats.org/officeDocument/2006/relationships/hyperlink" Target="http://data.europa.eu/eli/prot/2024/3203/oj" TargetMode="External"/><Relationship Id="rId12" Type="http://schemas.openxmlformats.org/officeDocument/2006/relationships/hyperlink" Target="http://data.europa.eu/eli/reg/2017/2107/oj" TargetMode="External"/><Relationship Id="rId17" Type="http://schemas.openxmlformats.org/officeDocument/2006/relationships/hyperlink" Target="http://data.europa.eu/eli/agree_internation/2021/793/oj" TargetMode="External"/><Relationship Id="rId2" Type="http://schemas.openxmlformats.org/officeDocument/2006/relationships/hyperlink" Target="http://data.europa.eu/eli/reg/2026/786/oj" TargetMode="External"/><Relationship Id="rId16" Type="http://schemas.openxmlformats.org/officeDocument/2006/relationships/hyperlink" Target="http://data.europa.eu/eli/prot/2024/3203/oj" TargetMode="External"/><Relationship Id="rId1" Type="http://schemas.openxmlformats.org/officeDocument/2006/relationships/hyperlink" Target="http://data.europa.eu/eli/reg/2026/249/oj" TargetMode="External"/><Relationship Id="rId6" Type="http://schemas.openxmlformats.org/officeDocument/2006/relationships/hyperlink" Target="http://data.europa.eu/eli/agree_internation/2021/689(1)/oj" TargetMode="External"/><Relationship Id="rId11" Type="http://schemas.openxmlformats.org/officeDocument/2006/relationships/hyperlink" Target="http://data.europa.eu/eli/reg/2023/2053/oj" TargetMode="External"/><Relationship Id="rId5" Type="http://schemas.openxmlformats.org/officeDocument/2006/relationships/hyperlink" Target="http://data.europa.eu/eli/reg/2025/1350/oj" TargetMode="External"/><Relationship Id="rId15" Type="http://schemas.openxmlformats.org/officeDocument/2006/relationships/hyperlink" Target="http://data.europa.eu/eli/reg/2026/786/oj" TargetMode="External"/><Relationship Id="rId10" Type="http://schemas.openxmlformats.org/officeDocument/2006/relationships/hyperlink" Target="https://www.iccat.int/Documents/Recs/compendiopdf-e/2025-04-e.pdf" TargetMode="External"/><Relationship Id="rId19" Type="http://schemas.openxmlformats.org/officeDocument/2006/relationships/hyperlink" Target="http://data.europa.eu/eli/reg/2023/2053/oj" TargetMode="External"/><Relationship Id="rId4" Type="http://schemas.openxmlformats.org/officeDocument/2006/relationships/hyperlink" Target="http://data.europa.eu/eli/dir/2008/56/oj" TargetMode="External"/><Relationship Id="rId9" Type="http://schemas.openxmlformats.org/officeDocument/2006/relationships/hyperlink" Target="http://data.europa.eu/eli/agree_internation/2021/793/oj" TargetMode="External"/><Relationship Id="rId14" Type="http://schemas.openxmlformats.org/officeDocument/2006/relationships/hyperlink" Target="http://data.europa.eu/eli/agree_internation/2021/689(1)/o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20D94BF79903409A44EFD8C6ED4DE5" ma:contentTypeVersion="12" ma:contentTypeDescription="Create a new document." ma:contentTypeScope="" ma:versionID="6973fa26ba263b0db3cd80e7d18e342f">
  <xsd:schema xmlns:xsd="http://www.w3.org/2001/XMLSchema" xmlns:xs="http://www.w3.org/2001/XMLSchema" xmlns:p="http://schemas.microsoft.com/office/2006/metadata/properties" xmlns:ns2="fb6c068c-bc2d-4620-b517-6a4d82a7e161" xmlns:ns3="604b4288-15a6-4b36-801c-a9875e40b072" targetNamespace="http://schemas.microsoft.com/office/2006/metadata/properties" ma:root="true" ma:fieldsID="c15c5e15204f5160eb269c1690946df4" ns2:_="" ns3:_="">
    <xsd:import namespace="fb6c068c-bc2d-4620-b517-6a4d82a7e161"/>
    <xsd:import namespace="604b4288-15a6-4b36-801c-a9875e40b07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6c068c-bc2d-4620-b517-6a4d82a7e1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4b4288-15a6-4b36-801c-a9875e40b07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4E7F0C5A-E94C-445D-90F3-FF4069D283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6c068c-bc2d-4620-b517-6a4d82a7e161"/>
    <ds:schemaRef ds:uri="604b4288-15a6-4b36-801c-a9875e40b0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FEF8E6-6D22-4A69-B51D-B96C2B73A0AB}">
  <ds:schemaRefs>
    <ds:schemaRef ds:uri="http://schemas.microsoft.com/sharepoint/v3/contenttype/forms"/>
  </ds:schemaRefs>
</ds:datastoreItem>
</file>

<file path=customXml/itemProps3.xml><?xml version="1.0" encoding="utf-8"?>
<ds:datastoreItem xmlns:ds="http://schemas.openxmlformats.org/officeDocument/2006/customXml" ds:itemID="{954FB236-A787-4BCA-8EB5-0DA2A7110AA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09B489B-5457-446E-977A-5824B8FED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171</TotalTime>
  <Pages>12</Pages>
  <Words>5514</Words>
  <Characters>31434</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36875</CharactersWithSpaces>
  <SharedDoc>false</SharedDoc>
  <HLinks>
    <vt:vector size="204" baseType="variant">
      <vt:variant>
        <vt:i4>4522004</vt:i4>
      </vt:variant>
      <vt:variant>
        <vt:i4>84</vt:i4>
      </vt:variant>
      <vt:variant>
        <vt:i4>0</vt:i4>
      </vt:variant>
      <vt:variant>
        <vt:i4>5</vt:i4>
      </vt:variant>
      <vt:variant>
        <vt:lpwstr>http://data.europa.eu/eli/reg/2026/786/oj</vt:lpwstr>
      </vt:variant>
      <vt:variant>
        <vt:lpwstr/>
      </vt:variant>
      <vt:variant>
        <vt:i4>7143529</vt:i4>
      </vt:variant>
      <vt:variant>
        <vt:i4>81</vt:i4>
      </vt:variant>
      <vt:variant>
        <vt:i4>0</vt:i4>
      </vt:variant>
      <vt:variant>
        <vt:i4>5</vt:i4>
      </vt:variant>
      <vt:variant>
        <vt:lpwstr>http://data.europa.eu/eli/reg/2017/2107/oj</vt:lpwstr>
      </vt:variant>
      <vt:variant>
        <vt:lpwstr/>
      </vt:variant>
      <vt:variant>
        <vt:i4>7077999</vt:i4>
      </vt:variant>
      <vt:variant>
        <vt:i4>78</vt:i4>
      </vt:variant>
      <vt:variant>
        <vt:i4>0</vt:i4>
      </vt:variant>
      <vt:variant>
        <vt:i4>5</vt:i4>
      </vt:variant>
      <vt:variant>
        <vt:lpwstr>http://data.europa.eu/eli/reg/2023/2053/oj</vt:lpwstr>
      </vt:variant>
      <vt:variant>
        <vt:lpwstr/>
      </vt:variant>
      <vt:variant>
        <vt:i4>4390925</vt:i4>
      </vt:variant>
      <vt:variant>
        <vt:i4>75</vt:i4>
      </vt:variant>
      <vt:variant>
        <vt:i4>0</vt:i4>
      </vt:variant>
      <vt:variant>
        <vt:i4>5</vt:i4>
      </vt:variant>
      <vt:variant>
        <vt:lpwstr>https://www.iccat.int/Documents/Recs/compendiopdf-e/2025-04-e.pdf</vt:lpwstr>
      </vt:variant>
      <vt:variant>
        <vt:lpwstr/>
      </vt:variant>
      <vt:variant>
        <vt:i4>7077999</vt:i4>
      </vt:variant>
      <vt:variant>
        <vt:i4>72</vt:i4>
      </vt:variant>
      <vt:variant>
        <vt:i4>0</vt:i4>
      </vt:variant>
      <vt:variant>
        <vt:i4>5</vt:i4>
      </vt:variant>
      <vt:variant>
        <vt:lpwstr>http://data.europa.eu/eli/reg/2023/2053/oj</vt:lpwstr>
      </vt:variant>
      <vt:variant>
        <vt:lpwstr/>
      </vt:variant>
      <vt:variant>
        <vt:i4>4390925</vt:i4>
      </vt:variant>
      <vt:variant>
        <vt:i4>69</vt:i4>
      </vt:variant>
      <vt:variant>
        <vt:i4>0</vt:i4>
      </vt:variant>
      <vt:variant>
        <vt:i4>5</vt:i4>
      </vt:variant>
      <vt:variant>
        <vt:lpwstr>https://www.iccat.int/Documents/Recs/compendiopdf-e/2025-04-e.pdf</vt:lpwstr>
      </vt:variant>
      <vt:variant>
        <vt:lpwstr/>
      </vt:variant>
      <vt:variant>
        <vt:i4>65663</vt:i4>
      </vt:variant>
      <vt:variant>
        <vt:i4>63</vt:i4>
      </vt:variant>
      <vt:variant>
        <vt:i4>0</vt:i4>
      </vt:variant>
      <vt:variant>
        <vt:i4>5</vt:i4>
      </vt:variant>
      <vt:variant>
        <vt:lpwstr>http://data.europa.eu/eli/agree_internation/2021/793/oj</vt:lpwstr>
      </vt:variant>
      <vt:variant>
        <vt:lpwstr/>
      </vt:variant>
      <vt:variant>
        <vt:i4>65663</vt:i4>
      </vt:variant>
      <vt:variant>
        <vt:i4>60</vt:i4>
      </vt:variant>
      <vt:variant>
        <vt:i4>0</vt:i4>
      </vt:variant>
      <vt:variant>
        <vt:i4>5</vt:i4>
      </vt:variant>
      <vt:variant>
        <vt:lpwstr>http://data.europa.eu/eli/agree_internation/2021/793/oj</vt:lpwstr>
      </vt:variant>
      <vt:variant>
        <vt:lpwstr/>
      </vt:variant>
      <vt:variant>
        <vt:i4>2097185</vt:i4>
      </vt:variant>
      <vt:variant>
        <vt:i4>57</vt:i4>
      </vt:variant>
      <vt:variant>
        <vt:i4>0</vt:i4>
      </vt:variant>
      <vt:variant>
        <vt:i4>5</vt:i4>
      </vt:variant>
      <vt:variant>
        <vt:lpwstr>http://data.europa.eu/eli/prot/2024/3203/oj</vt:lpwstr>
      </vt:variant>
      <vt:variant>
        <vt:lpwstr/>
      </vt:variant>
      <vt:variant>
        <vt:i4>4522004</vt:i4>
      </vt:variant>
      <vt:variant>
        <vt:i4>54</vt:i4>
      </vt:variant>
      <vt:variant>
        <vt:i4>0</vt:i4>
      </vt:variant>
      <vt:variant>
        <vt:i4>5</vt:i4>
      </vt:variant>
      <vt:variant>
        <vt:lpwstr>http://data.europa.eu/eli/reg/2026/786/oj</vt:lpwstr>
      </vt:variant>
      <vt:variant>
        <vt:lpwstr/>
      </vt:variant>
      <vt:variant>
        <vt:i4>5177368</vt:i4>
      </vt:variant>
      <vt:variant>
        <vt:i4>51</vt:i4>
      </vt:variant>
      <vt:variant>
        <vt:i4>0</vt:i4>
      </vt:variant>
      <vt:variant>
        <vt:i4>5</vt:i4>
      </vt:variant>
      <vt:variant>
        <vt:lpwstr>http://data.europa.eu/eli/reg/2026/249/oj</vt:lpwstr>
      </vt:variant>
      <vt:variant>
        <vt:lpwstr/>
      </vt:variant>
      <vt:variant>
        <vt:i4>4522004</vt:i4>
      </vt:variant>
      <vt:variant>
        <vt:i4>45</vt:i4>
      </vt:variant>
      <vt:variant>
        <vt:i4>0</vt:i4>
      </vt:variant>
      <vt:variant>
        <vt:i4>5</vt:i4>
      </vt:variant>
      <vt:variant>
        <vt:lpwstr>http://data.europa.eu/eli/reg/2026/786/oj</vt:lpwstr>
      </vt:variant>
      <vt:variant>
        <vt:lpwstr/>
      </vt:variant>
      <vt:variant>
        <vt:i4>7143529</vt:i4>
      </vt:variant>
      <vt:variant>
        <vt:i4>42</vt:i4>
      </vt:variant>
      <vt:variant>
        <vt:i4>0</vt:i4>
      </vt:variant>
      <vt:variant>
        <vt:i4>5</vt:i4>
      </vt:variant>
      <vt:variant>
        <vt:lpwstr>http://data.europa.eu/eli/reg/2017/2107/oj</vt:lpwstr>
      </vt:variant>
      <vt:variant>
        <vt:lpwstr/>
      </vt:variant>
      <vt:variant>
        <vt:i4>7077999</vt:i4>
      </vt:variant>
      <vt:variant>
        <vt:i4>39</vt:i4>
      </vt:variant>
      <vt:variant>
        <vt:i4>0</vt:i4>
      </vt:variant>
      <vt:variant>
        <vt:i4>5</vt:i4>
      </vt:variant>
      <vt:variant>
        <vt:lpwstr>http://data.europa.eu/eli/reg/2023/2053/oj</vt:lpwstr>
      </vt:variant>
      <vt:variant>
        <vt:lpwstr/>
      </vt:variant>
      <vt:variant>
        <vt:i4>4390925</vt:i4>
      </vt:variant>
      <vt:variant>
        <vt:i4>36</vt:i4>
      </vt:variant>
      <vt:variant>
        <vt:i4>0</vt:i4>
      </vt:variant>
      <vt:variant>
        <vt:i4>5</vt:i4>
      </vt:variant>
      <vt:variant>
        <vt:lpwstr>https://www.iccat.int/Documents/Recs/compendiopdf-e/2025-04-e.pdf</vt:lpwstr>
      </vt:variant>
      <vt:variant>
        <vt:lpwstr/>
      </vt:variant>
      <vt:variant>
        <vt:i4>65663</vt:i4>
      </vt:variant>
      <vt:variant>
        <vt:i4>33</vt:i4>
      </vt:variant>
      <vt:variant>
        <vt:i4>0</vt:i4>
      </vt:variant>
      <vt:variant>
        <vt:i4>5</vt:i4>
      </vt:variant>
      <vt:variant>
        <vt:lpwstr>http://data.europa.eu/eli/agree_internation/2021/793/oj</vt:lpwstr>
      </vt:variant>
      <vt:variant>
        <vt:lpwstr/>
      </vt:variant>
      <vt:variant>
        <vt:i4>4522004</vt:i4>
      </vt:variant>
      <vt:variant>
        <vt:i4>30</vt:i4>
      </vt:variant>
      <vt:variant>
        <vt:i4>0</vt:i4>
      </vt:variant>
      <vt:variant>
        <vt:i4>5</vt:i4>
      </vt:variant>
      <vt:variant>
        <vt:lpwstr>http://data.europa.eu/eli/reg/2026/786/oj</vt:lpwstr>
      </vt:variant>
      <vt:variant>
        <vt:lpwstr/>
      </vt:variant>
      <vt:variant>
        <vt:i4>65663</vt:i4>
      </vt:variant>
      <vt:variant>
        <vt:i4>27</vt:i4>
      </vt:variant>
      <vt:variant>
        <vt:i4>0</vt:i4>
      </vt:variant>
      <vt:variant>
        <vt:i4>5</vt:i4>
      </vt:variant>
      <vt:variant>
        <vt:lpwstr>http://data.europa.eu/eli/agree_internation/2021/793/oj</vt:lpwstr>
      </vt:variant>
      <vt:variant>
        <vt:lpwstr/>
      </vt:variant>
      <vt:variant>
        <vt:i4>2097185</vt:i4>
      </vt:variant>
      <vt:variant>
        <vt:i4>24</vt:i4>
      </vt:variant>
      <vt:variant>
        <vt:i4>0</vt:i4>
      </vt:variant>
      <vt:variant>
        <vt:i4>5</vt:i4>
      </vt:variant>
      <vt:variant>
        <vt:lpwstr>http://data.europa.eu/eli/prot/2024/3203/oj</vt:lpwstr>
      </vt:variant>
      <vt:variant>
        <vt:lpwstr/>
      </vt:variant>
      <vt:variant>
        <vt:i4>1114175</vt:i4>
      </vt:variant>
      <vt:variant>
        <vt:i4>21</vt:i4>
      </vt:variant>
      <vt:variant>
        <vt:i4>0</vt:i4>
      </vt:variant>
      <vt:variant>
        <vt:i4>5</vt:i4>
      </vt:variant>
      <vt:variant>
        <vt:lpwstr>http://data.europa.eu/eli/agree_internation/2021/689(1)/oj</vt:lpwstr>
      </vt:variant>
      <vt:variant>
        <vt:lpwstr/>
      </vt:variant>
      <vt:variant>
        <vt:i4>6881391</vt:i4>
      </vt:variant>
      <vt:variant>
        <vt:i4>18</vt:i4>
      </vt:variant>
      <vt:variant>
        <vt:i4>0</vt:i4>
      </vt:variant>
      <vt:variant>
        <vt:i4>5</vt:i4>
      </vt:variant>
      <vt:variant>
        <vt:lpwstr>http://data.europa.eu/eli/reg/2025/1350/oj</vt:lpwstr>
      </vt:variant>
      <vt:variant>
        <vt:lpwstr/>
      </vt:variant>
      <vt:variant>
        <vt:i4>5832795</vt:i4>
      </vt:variant>
      <vt:variant>
        <vt:i4>15</vt:i4>
      </vt:variant>
      <vt:variant>
        <vt:i4>0</vt:i4>
      </vt:variant>
      <vt:variant>
        <vt:i4>5</vt:i4>
      </vt:variant>
      <vt:variant>
        <vt:lpwstr>http://data.europa.eu/eli/dir/2008/56/oj</vt:lpwstr>
      </vt:variant>
      <vt:variant>
        <vt:lpwstr/>
      </vt:variant>
      <vt:variant>
        <vt:i4>6422636</vt:i4>
      </vt:variant>
      <vt:variant>
        <vt:i4>12</vt:i4>
      </vt:variant>
      <vt:variant>
        <vt:i4>0</vt:i4>
      </vt:variant>
      <vt:variant>
        <vt:i4>5</vt:i4>
      </vt:variant>
      <vt:variant>
        <vt:lpwstr>http://data.europa.eu/eli/reg/2013/1380/oj</vt:lpwstr>
      </vt:variant>
      <vt:variant>
        <vt:lpwstr/>
      </vt:variant>
      <vt:variant>
        <vt:i4>4522004</vt:i4>
      </vt:variant>
      <vt:variant>
        <vt:i4>9</vt:i4>
      </vt:variant>
      <vt:variant>
        <vt:i4>0</vt:i4>
      </vt:variant>
      <vt:variant>
        <vt:i4>5</vt:i4>
      </vt:variant>
      <vt:variant>
        <vt:lpwstr>http://data.europa.eu/eli/reg/2026/786/oj</vt:lpwstr>
      </vt:variant>
      <vt:variant>
        <vt:lpwstr/>
      </vt:variant>
      <vt:variant>
        <vt:i4>5177368</vt:i4>
      </vt:variant>
      <vt:variant>
        <vt:i4>3</vt:i4>
      </vt:variant>
      <vt:variant>
        <vt:i4>0</vt:i4>
      </vt:variant>
      <vt:variant>
        <vt:i4>5</vt:i4>
      </vt:variant>
      <vt:variant>
        <vt:lpwstr>http://data.europa.eu/eli/reg/2026/249/oj</vt:lpwstr>
      </vt:variant>
      <vt:variant>
        <vt:lpwstr/>
      </vt:variant>
      <vt:variant>
        <vt:i4>1310774</vt:i4>
      </vt:variant>
      <vt:variant>
        <vt:i4>24</vt:i4>
      </vt:variant>
      <vt:variant>
        <vt:i4>0</vt:i4>
      </vt:variant>
      <vt:variant>
        <vt:i4>5</vt:i4>
      </vt:variant>
      <vt:variant>
        <vt:lpwstr>mailto:Seamus.HOWARD@ec.europa.eu</vt:lpwstr>
      </vt:variant>
      <vt:variant>
        <vt:lpwstr/>
      </vt:variant>
      <vt:variant>
        <vt:i4>131131</vt:i4>
      </vt:variant>
      <vt:variant>
        <vt:i4>21</vt:i4>
      </vt:variant>
      <vt:variant>
        <vt:i4>0</vt:i4>
      </vt:variant>
      <vt:variant>
        <vt:i4>5</vt:i4>
      </vt:variant>
      <vt:variant>
        <vt:lpwstr>mailto:Anais.DEMAILLE@ec.europa.eu</vt:lpwstr>
      </vt:variant>
      <vt:variant>
        <vt:lpwstr/>
      </vt:variant>
      <vt:variant>
        <vt:i4>1310774</vt:i4>
      </vt:variant>
      <vt:variant>
        <vt:i4>18</vt:i4>
      </vt:variant>
      <vt:variant>
        <vt:i4>0</vt:i4>
      </vt:variant>
      <vt:variant>
        <vt:i4>5</vt:i4>
      </vt:variant>
      <vt:variant>
        <vt:lpwstr>mailto:Seamus.HOWARD@ec.europa.eu</vt:lpwstr>
      </vt:variant>
      <vt:variant>
        <vt:lpwstr/>
      </vt:variant>
      <vt:variant>
        <vt:i4>131131</vt:i4>
      </vt:variant>
      <vt:variant>
        <vt:i4>15</vt:i4>
      </vt:variant>
      <vt:variant>
        <vt:i4>0</vt:i4>
      </vt:variant>
      <vt:variant>
        <vt:i4>5</vt:i4>
      </vt:variant>
      <vt:variant>
        <vt:lpwstr>mailto:Anais.DEMAILLE@ec.europa.eu</vt:lpwstr>
      </vt:variant>
      <vt:variant>
        <vt:lpwstr/>
      </vt:variant>
      <vt:variant>
        <vt:i4>3932188</vt:i4>
      </vt:variant>
      <vt:variant>
        <vt:i4>12</vt:i4>
      </vt:variant>
      <vt:variant>
        <vt:i4>0</vt:i4>
      </vt:variant>
      <vt:variant>
        <vt:i4>5</vt:i4>
      </vt:variant>
      <vt:variant>
        <vt:lpwstr>mailto:Bernard.BLAZKIEWICZ@ec.europa.eu</vt:lpwstr>
      </vt:variant>
      <vt:variant>
        <vt:lpwstr/>
      </vt:variant>
      <vt:variant>
        <vt:i4>1310774</vt:i4>
      </vt:variant>
      <vt:variant>
        <vt:i4>9</vt:i4>
      </vt:variant>
      <vt:variant>
        <vt:i4>0</vt:i4>
      </vt:variant>
      <vt:variant>
        <vt:i4>5</vt:i4>
      </vt:variant>
      <vt:variant>
        <vt:lpwstr>mailto:Seamus.HOWARD@ec.europa.eu</vt:lpwstr>
      </vt:variant>
      <vt:variant>
        <vt:lpwstr/>
      </vt:variant>
      <vt:variant>
        <vt:i4>131131</vt:i4>
      </vt:variant>
      <vt:variant>
        <vt:i4>6</vt:i4>
      </vt:variant>
      <vt:variant>
        <vt:i4>0</vt:i4>
      </vt:variant>
      <vt:variant>
        <vt:i4>5</vt:i4>
      </vt:variant>
      <vt:variant>
        <vt:lpwstr>mailto:Anais.DEMAILLE@ec.europa.eu</vt:lpwstr>
      </vt:variant>
      <vt:variant>
        <vt:lpwstr/>
      </vt:variant>
      <vt:variant>
        <vt:i4>1310774</vt:i4>
      </vt:variant>
      <vt:variant>
        <vt:i4>3</vt:i4>
      </vt:variant>
      <vt:variant>
        <vt:i4>0</vt:i4>
      </vt:variant>
      <vt:variant>
        <vt:i4>5</vt:i4>
      </vt:variant>
      <vt:variant>
        <vt:lpwstr>mailto:Seamus.HOWARD@ec.europa.eu</vt:lpwstr>
      </vt:variant>
      <vt:variant>
        <vt:lpwstr/>
      </vt:variant>
      <vt:variant>
        <vt:i4>131131</vt:i4>
      </vt:variant>
      <vt:variant>
        <vt:i4>0</vt:i4>
      </vt:variant>
      <vt:variant>
        <vt:i4>0</vt:i4>
      </vt:variant>
      <vt:variant>
        <vt:i4>5</vt:i4>
      </vt:variant>
      <vt:variant>
        <vt:lpwstr>mailto:Anais.DEMAILLE@ec.europa.eu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c:subject>
  <dc:creator/>
  <cp:keywords/>
  <dc:description/>
  <cp:lastModifiedBy/>
  <cp:revision>53</cp:revision>
  <cp:lastPrinted>2026-04-17T12:15:00Z</cp:lastPrinted>
  <dcterms:created xsi:type="dcterms:W3CDTF">2026-05-06T13:09:00Z</dcterms:created>
  <dcterms:modified xsi:type="dcterms:W3CDTF">2026-06-11T15:09:00Z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9.2, Build 20250828</vt:lpwstr>
  </property>
  <property fmtid="{D5CDD505-2E9C-101B-9397-08002B2CF9AE}" pid="5" name="Created using">
    <vt:lpwstr>LW 8.0, Build 20220128</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SJ-016</vt:lpwstr>
  </property>
  <property fmtid="{D5CDD505-2E9C-101B-9397-08002B2CF9AE}" pid="10" name="ContentTypeId">
    <vt:lpwstr>0x010100D920D94BF79903409A44EFD8C6ED4DE5</vt:lpwstr>
  </property>
  <property fmtid="{D5CDD505-2E9C-101B-9397-08002B2CF9AE}" pid="11" name="_CopySource">
    <vt:lpwstr>COM proposal for 1st amendment to Atlantic FOs 2023 regulation Main text.docx</vt:lpwstr>
  </property>
  <property fmtid="{D5CDD505-2E9C-101B-9397-08002B2CF9AE}" pid="12" name="MSIP_Label_6bd9ddd1-4d20-43f6-abfa-fc3c07406f94_Enabled">
    <vt:lpwstr>true</vt:lpwstr>
  </property>
  <property fmtid="{D5CDD505-2E9C-101B-9397-08002B2CF9AE}" pid="13" name="MSIP_Label_6bd9ddd1-4d20-43f6-abfa-fc3c07406f94_SetDate">
    <vt:lpwstr>2023-02-10T16:03:48Z</vt:lpwstr>
  </property>
  <property fmtid="{D5CDD505-2E9C-101B-9397-08002B2CF9AE}" pid="14" name="MSIP_Label_6bd9ddd1-4d20-43f6-abfa-fc3c07406f94_Method">
    <vt:lpwstr>Privileged</vt:lpwstr>
  </property>
  <property fmtid="{D5CDD505-2E9C-101B-9397-08002B2CF9AE}" pid="15" name="MSIP_Label_6bd9ddd1-4d20-43f6-abfa-fc3c07406f94_Name">
    <vt:lpwstr>Commission Use</vt:lpwstr>
  </property>
  <property fmtid="{D5CDD505-2E9C-101B-9397-08002B2CF9AE}" pid="16" name="MSIP_Label_6bd9ddd1-4d20-43f6-abfa-fc3c07406f94_SiteId">
    <vt:lpwstr>b24c8b06-522c-46fe-9080-70926f8dddb1</vt:lpwstr>
  </property>
  <property fmtid="{D5CDD505-2E9C-101B-9397-08002B2CF9AE}" pid="17" name="MSIP_Label_6bd9ddd1-4d20-43f6-abfa-fc3c07406f94_ActionId">
    <vt:lpwstr>314e5bd8-c561-4bcd-977c-67a948bc7790</vt:lpwstr>
  </property>
  <property fmtid="{D5CDD505-2E9C-101B-9397-08002B2CF9AE}" pid="18" name="MSIP_Label_6bd9ddd1-4d20-43f6-abfa-fc3c07406f94_ContentBits">
    <vt:lpwstr>0</vt:lpwstr>
  </property>
  <property fmtid="{D5CDD505-2E9C-101B-9397-08002B2CF9AE}" pid="19" name="MediaServiceImageTags">
    <vt:lpwstr/>
  </property>
  <property fmtid="{D5CDD505-2E9C-101B-9397-08002B2CF9AE}" pid="20" name="DQCStatus">
    <vt:lpwstr>Green (DQC version 03)</vt:lpwstr>
  </property>
  <property name="OP_sanitized" fmtid="{D5CDD505-2E9C-101B-9397-08002B2CF9AE}" pid="21">
    <vt:lpwstr>True</vt:lpwstr>
  </property>
</Properties>
</file>