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7A3" w:rsidRDefault="0072500C">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50E6DBA-2239-4391-86B5-BC2B9D8A94F2" style="width:450.6pt;height:395.4pt">
            <v:imagedata r:id="rId7" o:title=""/>
          </v:shape>
        </w:pict>
      </w:r>
    </w:p>
    <w:p w:rsidR="00FD37A3" w:rsidRDefault="00FD37A3">
      <w:pPr>
        <w:rPr>
          <w:noProof/>
        </w:rPr>
        <w:sectPr w:rsidR="00FD37A3">
          <w:footerReference w:type="default" r:id="rId8"/>
          <w:pgSz w:w="11907" w:h="16839"/>
          <w:pgMar w:top="1134" w:right="1417" w:bottom="1134" w:left="1417" w:header="709" w:footer="709" w:gutter="0"/>
          <w:pgNumType w:start="0"/>
          <w:cols w:space="720"/>
          <w:docGrid w:linePitch="360"/>
        </w:sectPr>
      </w:pPr>
    </w:p>
    <w:p w:rsidR="00FD37A3" w:rsidRDefault="0072500C">
      <w:pPr>
        <w:pStyle w:val="Exposdesmotifstitre"/>
        <w:rPr>
          <w:noProof/>
        </w:rPr>
      </w:pPr>
      <w:r>
        <w:rPr>
          <w:noProof/>
        </w:rPr>
        <w:lastRenderedPageBreak/>
        <w:t>OBRAZLOŽITVENI MEMORANDUM</w:t>
      </w:r>
    </w:p>
    <w:p w:rsidR="00FD37A3" w:rsidRDefault="0072500C">
      <w:pPr>
        <w:pStyle w:val="ManualHeading1"/>
        <w:rPr>
          <w:noProof/>
        </w:rPr>
      </w:pPr>
      <w:r>
        <w:rPr>
          <w:noProof/>
        </w:rPr>
        <w:t>1.</w:t>
      </w:r>
      <w:r>
        <w:rPr>
          <w:noProof/>
        </w:rPr>
        <w:tab/>
        <w:t>OZADJE PREDLOGA</w:t>
      </w:r>
    </w:p>
    <w:p w:rsidR="00FD37A3" w:rsidRDefault="0072500C">
      <w:pPr>
        <w:pStyle w:val="Text1"/>
        <w:rPr>
          <w:noProof/>
        </w:rPr>
      </w:pPr>
      <w:r>
        <w:rPr>
          <w:noProof/>
        </w:rPr>
        <w:t xml:space="preserve">V tem predlogu je za datum začetka uporabe določen 1. januar 2021, pripravljen pa je za Unijo s 27 državami </w:t>
      </w:r>
      <w:r>
        <w:rPr>
          <w:noProof/>
        </w:rPr>
        <w:t>članicami.</w:t>
      </w:r>
    </w:p>
    <w:p w:rsidR="00FD37A3" w:rsidRDefault="0072500C">
      <w:pPr>
        <w:pStyle w:val="Point1"/>
        <w:rPr>
          <w:b/>
          <w:noProof/>
        </w:rPr>
      </w:pPr>
      <w:r>
        <w:rPr>
          <w:noProof/>
          <w:color w:val="000000"/>
          <w:u w:color="000000"/>
          <w:bdr w:val="nil"/>
        </w:rPr>
        <w:t>•</w:t>
      </w:r>
      <w:r>
        <w:rPr>
          <w:noProof/>
          <w:color w:val="000000"/>
          <w:u w:color="000000"/>
          <w:bdr w:val="nil"/>
        </w:rPr>
        <w:tab/>
      </w:r>
      <w:r>
        <w:rPr>
          <w:b/>
          <w:noProof/>
        </w:rPr>
        <w:t xml:space="preserve">Razlogi in cilji </w:t>
      </w:r>
    </w:p>
    <w:p w:rsidR="00FD37A3" w:rsidRDefault="0072500C">
      <w:pPr>
        <w:pStyle w:val="Text2"/>
        <w:rPr>
          <w:noProof/>
          <w:shd w:val="clear" w:color="auto" w:fill="FFFFFF"/>
        </w:rPr>
      </w:pPr>
      <w:r>
        <w:rPr>
          <w:noProof/>
          <w:shd w:val="clear" w:color="auto" w:fill="FFFFFF"/>
        </w:rPr>
        <w:t>„Storili bomo prav vse, da bi rešili življenja,“ je dejala predsednica von der Leyen, ko je 26. marca 2020 nagovorila Evropski parlament med krizo zaradi COVID-19, ki za Evropsko unijo predstavlja največji izziv po drugi svet</w:t>
      </w:r>
      <w:r>
        <w:rPr>
          <w:noProof/>
          <w:shd w:val="clear" w:color="auto" w:fill="FFFFFF"/>
        </w:rPr>
        <w:t>ovni vojni in je pokazala, da se morajo s pandemijo spoprijeti vse države skupaj in ne posamično, sicer bo EU tako šibka kot njen najšibkejši člen. Vsi zdravstveni sistemi imajo težave pri reševanju te krize, to pa je tako ali drugače vplivalo na vse držav</w:t>
      </w:r>
      <w:r>
        <w:rPr>
          <w:noProof/>
          <w:shd w:val="clear" w:color="auto" w:fill="FFFFFF"/>
        </w:rPr>
        <w:t xml:space="preserve">ljanke in državljane. </w:t>
      </w:r>
    </w:p>
    <w:p w:rsidR="00FD37A3" w:rsidRDefault="0072500C">
      <w:pPr>
        <w:pStyle w:val="Text2"/>
        <w:rPr>
          <w:noProof/>
          <w:szCs w:val="24"/>
          <w:shd w:val="clear" w:color="auto" w:fill="FFFFFF"/>
        </w:rPr>
      </w:pPr>
      <w:r>
        <w:rPr>
          <w:noProof/>
          <w:szCs w:val="24"/>
          <w:shd w:val="clear" w:color="auto" w:fill="FFFFFF"/>
        </w:rPr>
        <w:t xml:space="preserve">Evropa mora nameniti večjo pozornost zdravju, da bodo lahko zdravstveni sistemi zagotavljali najsodobnejše zdravstveno varstvo ter bili pripravljeni na obvladovanje epidemij in drugih nepredvidljivih nevarnosti za zdravje v skladu z </w:t>
      </w:r>
      <w:r>
        <w:rPr>
          <w:noProof/>
          <w:szCs w:val="24"/>
          <w:shd w:val="clear" w:color="auto" w:fill="FFFFFF"/>
        </w:rPr>
        <w:t>Mednarodnim zdravstvenim pravilnikom</w:t>
      </w:r>
      <w:r>
        <w:rPr>
          <w:rStyle w:val="FootnoteReference"/>
          <w:noProof/>
          <w:szCs w:val="24"/>
          <w:shd w:val="clear" w:color="auto" w:fill="FFFFFF"/>
        </w:rPr>
        <w:footnoteReference w:id="1"/>
      </w:r>
      <w:r>
        <w:rPr>
          <w:noProof/>
          <w:szCs w:val="24"/>
          <w:shd w:val="clear" w:color="auto" w:fill="FFFFFF"/>
        </w:rPr>
        <w:t>. Čeprav je splošni okvir za pripravljenost, zgodnje obveščanje in odzivanje že vzpostavljen v okviru Sklepa št. 1082/2013/EU Evropskega parlamenta in Sveta z dne 22. oktobra 2013 o resnih čezmejnih nevarnostih za zdrav</w:t>
      </w:r>
      <w:r>
        <w:rPr>
          <w:noProof/>
          <w:szCs w:val="24"/>
          <w:shd w:val="clear" w:color="auto" w:fill="FFFFFF"/>
        </w:rPr>
        <w:t>je, je bolezen COVID-19 pokazala, da je treba znatno okrepiti zmogljivosti EU za učinkovito odzivanje na tako velike nevarnosti za zdravje. Ključni instrument za doseganje tega cilja bo ambiciozen samostojen program, imenovan Program EU za zdravje (</w:t>
      </w:r>
      <w:r>
        <w:rPr>
          <w:i/>
          <w:noProof/>
          <w:szCs w:val="24"/>
          <w:shd w:val="clear" w:color="auto" w:fill="FFFFFF"/>
        </w:rPr>
        <w:t>EU4Heal</w:t>
      </w:r>
      <w:r>
        <w:rPr>
          <w:i/>
          <w:noProof/>
          <w:szCs w:val="24"/>
          <w:shd w:val="clear" w:color="auto" w:fill="FFFFFF"/>
        </w:rPr>
        <w:t>th Programme</w:t>
      </w:r>
      <w:r>
        <w:rPr>
          <w:noProof/>
          <w:szCs w:val="24"/>
          <w:shd w:val="clear" w:color="auto" w:fill="FFFFFF"/>
        </w:rPr>
        <w:t xml:space="preserve">). </w:t>
      </w:r>
    </w:p>
    <w:p w:rsidR="00FD37A3" w:rsidRDefault="0072500C">
      <w:pPr>
        <w:pStyle w:val="Text2"/>
        <w:rPr>
          <w:noProof/>
          <w:szCs w:val="24"/>
          <w:shd w:val="clear" w:color="auto" w:fill="FFFFFF"/>
        </w:rPr>
      </w:pPr>
      <w:r>
        <w:rPr>
          <w:noProof/>
          <w:szCs w:val="24"/>
          <w:shd w:val="clear" w:color="auto" w:fill="FFFFFF"/>
        </w:rPr>
        <w:t>Novi program bo bistven za zagotavljanje, da EU ostane najbolj zdrava regija na svetu, da ima na voljo vsa možna orodja za reševanje zdravstvenih izzivov na nacionalni ravni in ravni EU ter da je pripravljena na vse nastajajoče nevarnosti z</w:t>
      </w:r>
      <w:r>
        <w:rPr>
          <w:noProof/>
          <w:szCs w:val="24"/>
          <w:shd w:val="clear" w:color="auto" w:fill="FFFFFF"/>
        </w:rPr>
        <w:t xml:space="preserve">a zdravje, ki bi lahko ogrozile prebivalstvo EU. </w:t>
      </w:r>
    </w:p>
    <w:p w:rsidR="00FD37A3" w:rsidRDefault="0072500C">
      <w:pPr>
        <w:pStyle w:val="Text2"/>
        <w:rPr>
          <w:noProof/>
          <w:szCs w:val="24"/>
          <w:shd w:val="clear" w:color="auto" w:fill="FFFFFF"/>
        </w:rPr>
      </w:pPr>
      <w:r>
        <w:rPr>
          <w:noProof/>
          <w:szCs w:val="24"/>
          <w:shd w:val="clear" w:color="auto" w:fill="FFFFFF"/>
        </w:rPr>
        <w:t>V pristopu „eno zdravje“, ki upošteva povezavo med zdravjem ljudi in zdravjem živali ter širše z okoljem, lahko Program EU za zdravje podpira države članice pri tem, da bodo bolje pripravljene, da bodo njih</w:t>
      </w:r>
      <w:r>
        <w:rPr>
          <w:noProof/>
          <w:szCs w:val="24"/>
          <w:shd w:val="clear" w:color="auto" w:fill="FFFFFF"/>
        </w:rPr>
        <w:t>ovi zdravstveni sistemi okrepljeni ter da bodo dosegle cilje trajnostnega razvoja Združenih narodov v zvezi z zdravjem. Določa nove ukrepe, s katerimi se bodo odpravile vrzeli, ki jih je ta pandemija razkrila v zvezi z razvojem in proizvodnjo zdravil, ustr</w:t>
      </w:r>
      <w:r>
        <w:rPr>
          <w:noProof/>
          <w:szCs w:val="24"/>
          <w:shd w:val="clear" w:color="auto" w:fill="FFFFFF"/>
        </w:rPr>
        <w:t xml:space="preserve">ezno oskrbo z opremo v bolnišnicah in zadostnimi medicinskimi človeškimi viri, uvajanjem digitalnih orodij in storitev, ki omogočajo neprekinjeno oskrbo, ter potrebo po ohranjanju dostopa do osnovnega blaga in storitev v času krize. Tako bo imela lahko EU </w:t>
      </w:r>
      <w:r>
        <w:rPr>
          <w:noProof/>
          <w:szCs w:val="24"/>
          <w:shd w:val="clear" w:color="auto" w:fill="FFFFFF"/>
        </w:rPr>
        <w:t xml:space="preserve">na voljo več orodij za hitro, odločno in usklajeno ukrepanje z državami članicami pri pripravljanju na krize in tudi njihovem obvladovanju. </w:t>
      </w:r>
    </w:p>
    <w:p w:rsidR="00FD37A3" w:rsidRDefault="0072500C">
      <w:pPr>
        <w:pStyle w:val="Text2"/>
        <w:rPr>
          <w:noProof/>
          <w:szCs w:val="24"/>
          <w:shd w:val="clear" w:color="auto" w:fill="FFFFFF"/>
        </w:rPr>
      </w:pPr>
      <w:r>
        <w:rPr>
          <w:noProof/>
          <w:szCs w:val="24"/>
          <w:shd w:val="clear" w:color="auto" w:fill="FFFFFF"/>
        </w:rPr>
        <w:t>Poleg zahtevane ravni pripravljenosti in odzivanja obstajajo številni dodatni izzivi na področjih zdravstvene varno</w:t>
      </w:r>
      <w:r>
        <w:rPr>
          <w:noProof/>
          <w:szCs w:val="24"/>
          <w:shd w:val="clear" w:color="auto" w:fill="FFFFFF"/>
        </w:rPr>
        <w:t>sti in zdravstvenih sistemov, ki ovirajo njihovo splošno delovanje ter na splošno otežujejo ustrezno odzivanje na krize, zlasti:</w:t>
      </w:r>
    </w:p>
    <w:p w:rsidR="00FD37A3" w:rsidRDefault="0072500C">
      <w:pPr>
        <w:pStyle w:val="Point2"/>
        <w:rPr>
          <w:noProof/>
          <w:shd w:val="clear" w:color="auto" w:fill="FFFFFF"/>
        </w:rPr>
      </w:pPr>
      <w:r>
        <w:rPr>
          <w:noProof/>
          <w:shd w:val="clear" w:color="auto" w:fill="FFFFFF"/>
        </w:rPr>
        <w:t>●</w:t>
      </w:r>
      <w:r>
        <w:rPr>
          <w:noProof/>
          <w:shd w:val="clear" w:color="auto" w:fill="FFFFFF"/>
        </w:rPr>
        <w:tab/>
        <w:t>neenakosti v zdravstvenem stanju med skupinami prebivalstva, državami in regijami ter dostop do cenovno dostopnega preventivn</w:t>
      </w:r>
      <w:r>
        <w:rPr>
          <w:noProof/>
          <w:shd w:val="clear" w:color="auto" w:fill="FFFFFF"/>
        </w:rPr>
        <w:t>ega in kurativnega zdravstvenega varstva dobre kakovosti;</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t>breme zaradi nenalezljivih bolezni, vključno z rakom, duševnim zdravjem, redkimi boleznimi in tveganji, povezanimi z dejavniki zdravja;</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r>
      <w:r>
        <w:rPr>
          <w:noProof/>
          <w:szCs w:val="24"/>
          <w:shd w:val="clear" w:color="auto" w:fill="FFFFFF"/>
        </w:rPr>
        <w:t xml:space="preserve">neenakomerna porazdelitev zmogljivosti sistemov zdravstvenega varstva, vključno z zdravstvenimi delavci; </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t>ovire za večje uvajanje digitalnih inovacij in njihovo najboljšo uporabo ter razširjanje;</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t>vse večje breme za zdravje zaradi degradacije in onesnaž</w:t>
      </w:r>
      <w:r>
        <w:rPr>
          <w:noProof/>
          <w:szCs w:val="24"/>
          <w:shd w:val="clear" w:color="auto" w:fill="FFFFFF"/>
        </w:rPr>
        <w:t>evanja okolja, zlasti kakovosti zraka, vode in tal, ter zaradi demografskih sprememb.</w:t>
      </w:r>
    </w:p>
    <w:p w:rsidR="00FD37A3" w:rsidRDefault="0072500C">
      <w:pPr>
        <w:pStyle w:val="Text2"/>
        <w:rPr>
          <w:noProof/>
          <w:szCs w:val="24"/>
          <w:shd w:val="clear" w:color="auto" w:fill="FFFFFF"/>
        </w:rPr>
      </w:pPr>
      <w:r>
        <w:rPr>
          <w:noProof/>
          <w:szCs w:val="24"/>
          <w:shd w:val="clear" w:color="auto" w:fill="FFFFFF"/>
        </w:rPr>
        <w:t>Program EU za zdravje bo določil ključna področja ukrepanja, kot so izboljšanje nacionalnih zdravstvenih sistemov, ukrepi proti nalezljivim in nenalezljivim boleznim, raz</w:t>
      </w:r>
      <w:r>
        <w:rPr>
          <w:noProof/>
          <w:szCs w:val="24"/>
          <w:shd w:val="clear" w:color="auto" w:fill="FFFFFF"/>
        </w:rPr>
        <w:t>položljivost in cenovna dostopnost zdravil in drugih v krizi pomembnih izdelkov. Ker so številni novi in inovativni predlogi močno povezani z delovanjem zdravstvenih sistemov, bo Komisija tesno sodelovala z državami članicami za zagotovitev, da podpora Pro</w:t>
      </w:r>
      <w:r>
        <w:rPr>
          <w:noProof/>
          <w:szCs w:val="24"/>
          <w:shd w:val="clear" w:color="auto" w:fill="FFFFFF"/>
        </w:rPr>
        <w:t>grama EU za zdravje temelji na nacionalnih potrebah. Pri izvajanju ukrepov Programa EU za zdravje bo Komisija sodelovala tudi s tretjimi državami in mednarodnimi partnerji.</w:t>
      </w:r>
    </w:p>
    <w:p w:rsidR="00FD37A3" w:rsidRDefault="0072500C">
      <w:pPr>
        <w:pStyle w:val="Text2"/>
        <w:rPr>
          <w:noProof/>
          <w:szCs w:val="24"/>
          <w:shd w:val="clear" w:color="auto" w:fill="FFFFFF"/>
        </w:rPr>
      </w:pPr>
      <w:r>
        <w:rPr>
          <w:noProof/>
          <w:szCs w:val="24"/>
          <w:shd w:val="clear" w:color="auto" w:fill="FFFFFF"/>
        </w:rPr>
        <w:t>Program bo moral biti dinamičen in prilagodljiv na nastajajoče nove izzive ter EU in državam članicam služiti pri njihovih razvijajočih se potrebah in prednostnih nalogah. Obravnavati mora neenakosti s pomočjo primerjalnih analiz, zagotavljati podporo in o</w:t>
      </w:r>
      <w:r>
        <w:rPr>
          <w:noProof/>
          <w:szCs w:val="24"/>
          <w:shd w:val="clear" w:color="auto" w:fill="FFFFFF"/>
        </w:rPr>
        <w:t>dpraviti ugotovljene vrzeli med državami, regijami, skupinami prebivalstva ter državljankami in državljani. Prispevati bi moral k zmanjšanju razlik v pričakovani življenjski dobi ter dostopu do zdravstvenega varstva in storitev. Zagotovil bo orodja za večj</w:t>
      </w:r>
      <w:r>
        <w:rPr>
          <w:noProof/>
          <w:szCs w:val="24"/>
          <w:shd w:val="clear" w:color="auto" w:fill="FFFFFF"/>
        </w:rPr>
        <w:t>o solidarnost pri pripravljenosti in odzivanju na krize, pa tudi pri iskanju skupnega pristopa k izboljšanju preprečevanja in obravnavanju nenalezljivih bolezni, zlasti raka, ter za boljše usklajevanje med različnimi politikami, orodji in finančnimi instru</w:t>
      </w:r>
      <w:r>
        <w:rPr>
          <w:noProof/>
          <w:szCs w:val="24"/>
          <w:shd w:val="clear" w:color="auto" w:fill="FFFFFF"/>
        </w:rPr>
        <w:t xml:space="preserve">menti. Poleg tega bo prispeval k spopadanju z negativnim vplivom podnebnih sprememb in degradacije okolja na zdravje ljudi. </w:t>
      </w:r>
    </w:p>
    <w:p w:rsidR="00FD37A3" w:rsidRDefault="0072500C">
      <w:pPr>
        <w:pStyle w:val="Text2"/>
        <w:rPr>
          <w:noProof/>
          <w:szCs w:val="24"/>
          <w:shd w:val="clear" w:color="auto" w:fill="FFFFFF"/>
        </w:rPr>
      </w:pPr>
      <w:r>
        <w:rPr>
          <w:noProof/>
          <w:szCs w:val="24"/>
          <w:shd w:val="clear" w:color="auto" w:fill="FFFFFF"/>
        </w:rPr>
        <w:t>Financiranje zdravja v okviru naslednjega večletnega finančnega okvira vključuje več instrumentov, kot so Evropski socialni sklad p</w:t>
      </w:r>
      <w:r>
        <w:rPr>
          <w:noProof/>
          <w:szCs w:val="24"/>
          <w:shd w:val="clear" w:color="auto" w:fill="FFFFFF"/>
        </w:rPr>
        <w:t>lus (ESS+), Evropski sklad za regionalni razvoj, Obzorje Evropa, program za digitalno Evropo in Instrument za povezovanje Evrope 2. Sinergije med programi in skupni cilji politik bodo ključni vidiki za usmerjanje zdravstvenih skladov v vse politike in podp</w:t>
      </w:r>
      <w:r>
        <w:rPr>
          <w:noProof/>
          <w:szCs w:val="24"/>
          <w:shd w:val="clear" w:color="auto" w:fill="FFFFFF"/>
        </w:rPr>
        <w:t xml:space="preserve">iranje doseganja njihovih ciljev bolj učinkovito kot doslej. </w:t>
      </w:r>
    </w:p>
    <w:p w:rsidR="00FD37A3" w:rsidRDefault="0072500C">
      <w:pPr>
        <w:pStyle w:val="Text2"/>
        <w:rPr>
          <w:noProof/>
          <w:szCs w:val="24"/>
          <w:shd w:val="clear" w:color="auto" w:fill="FFFFFF"/>
        </w:rPr>
      </w:pPr>
      <w:r>
        <w:rPr>
          <w:noProof/>
          <w:szCs w:val="24"/>
          <w:shd w:val="clear" w:color="auto" w:fill="FFFFFF"/>
        </w:rPr>
        <w:t>Pravna podlaga za ukrepe EU na področju zdravja je člen 168 Pogodbe o delovanju Evropske unije (PDEU). Čeprav so države članice odgovorne za delovanje svojih zdravstvenih sistemov, obstajajo pos</w:t>
      </w:r>
      <w:r>
        <w:rPr>
          <w:noProof/>
          <w:szCs w:val="24"/>
          <w:shd w:val="clear" w:color="auto" w:fill="FFFFFF"/>
        </w:rPr>
        <w:t>ebna področja, ki jih lahko zakonsko ureja EU, in druga področja, na katerih lahko Komisija podpre prizadevanja držav članic. Celovit regulativni okvir za medicinske izdelke in tehnologije (zdravila, medicinske pripomočke in snovi človeškega izvora) že obs</w:t>
      </w:r>
      <w:r>
        <w:rPr>
          <w:noProof/>
          <w:szCs w:val="24"/>
          <w:shd w:val="clear" w:color="auto" w:fill="FFFFFF"/>
        </w:rPr>
        <w:t xml:space="preserve">taja, tako kot tudi za zakonodajo o tobaku, pravicah pacientov pri čezmejnem zdravstvenem varstvu in resnih čezmejnih nevarnostih za zdravje. </w:t>
      </w:r>
    </w:p>
    <w:p w:rsidR="00FD37A3" w:rsidRDefault="0072500C">
      <w:pPr>
        <w:pStyle w:val="Text2"/>
        <w:rPr>
          <w:noProof/>
          <w:szCs w:val="24"/>
          <w:shd w:val="clear" w:color="auto" w:fill="FFFFFF"/>
        </w:rPr>
      </w:pPr>
      <w:r>
        <w:rPr>
          <w:noProof/>
          <w:szCs w:val="24"/>
          <w:shd w:val="clear" w:color="auto" w:fill="FFFFFF"/>
        </w:rPr>
        <w:t>Program EU za zdravje bo podpiral ukrepe, ki bodo Komisiji omogočili, da dopolni potreben regulativni okvir in pr</w:t>
      </w:r>
      <w:r>
        <w:rPr>
          <w:noProof/>
          <w:szCs w:val="24"/>
          <w:shd w:val="clear" w:color="auto" w:fill="FFFFFF"/>
        </w:rPr>
        <w:t>ispeva k obravnavanju znatnih strukturnih potreb, ki so bile opredeljene med krizo zaradi COVID-19.</w:t>
      </w:r>
    </w:p>
    <w:p w:rsidR="00FD37A3" w:rsidRDefault="0072500C">
      <w:pPr>
        <w:pStyle w:val="Text2"/>
        <w:rPr>
          <w:noProof/>
          <w:szCs w:val="24"/>
          <w:u w:val="single"/>
        </w:rPr>
      </w:pPr>
      <w:r>
        <w:rPr>
          <w:noProof/>
          <w:szCs w:val="24"/>
          <w:shd w:val="clear" w:color="auto" w:fill="FFFFFF"/>
        </w:rPr>
        <w:t xml:space="preserve">Agencije EU, Evropski center za preprečevanje in obvladovanje bolezni, Evropska agencija za zdravila, Evropska agencija za varnost hrane, Evropska agencija </w:t>
      </w:r>
      <w:r>
        <w:rPr>
          <w:noProof/>
          <w:szCs w:val="24"/>
          <w:shd w:val="clear" w:color="auto" w:fill="FFFFFF"/>
        </w:rPr>
        <w:t>za kemikalije</w:t>
      </w:r>
      <w:r>
        <w:rPr>
          <w:noProof/>
        </w:rPr>
        <w:t xml:space="preserve"> in Evropska agencija za varnost in zdravje pri delu</w:t>
      </w:r>
      <w:r>
        <w:rPr>
          <w:noProof/>
          <w:sz w:val="23"/>
          <w:szCs w:val="23"/>
        </w:rPr>
        <w:t xml:space="preserve"> </w:t>
      </w:r>
      <w:r>
        <w:rPr>
          <w:noProof/>
          <w:szCs w:val="24"/>
          <w:shd w:val="clear" w:color="auto" w:fill="FFFFFF"/>
        </w:rPr>
        <w:t xml:space="preserve">imajo ključno vlogo pri obrambi Evrope pred resnimi čezmejnimi nevarnostmi za zdravje in pandemijami, tako pri preprečevanju kot pri kriznem upravljanju. </w:t>
      </w:r>
    </w:p>
    <w:p w:rsidR="00FD37A3" w:rsidRDefault="0072500C">
      <w:pPr>
        <w:pStyle w:val="Point1"/>
        <w:rPr>
          <w:b/>
          <w:noProof/>
        </w:rPr>
      </w:pPr>
      <w:r>
        <w:rPr>
          <w:b/>
          <w:noProof/>
          <w:color w:val="000000"/>
          <w:u w:color="000000"/>
          <w:bdr w:val="nil"/>
        </w:rPr>
        <w:t>•</w:t>
      </w:r>
      <w:r>
        <w:rPr>
          <w:b/>
          <w:noProof/>
          <w:color w:val="000000"/>
          <w:u w:color="000000"/>
          <w:bdr w:val="nil"/>
        </w:rPr>
        <w:tab/>
      </w:r>
      <w:r>
        <w:rPr>
          <w:b/>
          <w:noProof/>
        </w:rPr>
        <w:t>Skladnost z veljavnimi predpisi</w:t>
      </w:r>
    </w:p>
    <w:p w:rsidR="00FD37A3" w:rsidRDefault="0072500C">
      <w:pPr>
        <w:pStyle w:val="Text2"/>
        <w:rPr>
          <w:rFonts w:eastAsia="Arial Unicode MS"/>
          <w:i/>
          <w:noProof/>
        </w:rPr>
      </w:pPr>
      <w:r>
        <w:rPr>
          <w:noProof/>
          <w:color w:val="000000"/>
          <w:szCs w:val="24"/>
        </w:rPr>
        <w:t>P</w:t>
      </w:r>
      <w:r>
        <w:rPr>
          <w:noProof/>
          <w:color w:val="000000"/>
          <w:szCs w:val="24"/>
        </w:rPr>
        <w:t>rogram EU za zdravje podpira politike in prednostne naloge, katerih cilj je spodbujanje zdravja. Podpiral bo izvajanje načel evropskega stebra socialnih pravic</w:t>
      </w:r>
      <w:r>
        <w:rPr>
          <w:rStyle w:val="FootnoteReference"/>
          <w:rFonts w:eastAsia="Calibri"/>
          <w:noProof/>
          <w:color w:val="000000"/>
          <w:szCs w:val="24"/>
        </w:rPr>
        <w:footnoteReference w:id="2"/>
      </w:r>
      <w:r>
        <w:rPr>
          <w:noProof/>
          <w:color w:val="000000"/>
          <w:szCs w:val="24"/>
        </w:rPr>
        <w:t xml:space="preserve"> in evropskega semestra na področju zdravja za zagotovitev, da Unija in države članice dosežejo </w:t>
      </w:r>
      <w:r>
        <w:rPr>
          <w:noProof/>
          <w:color w:val="000000"/>
          <w:szCs w:val="24"/>
        </w:rPr>
        <w:t>tretji cilj trajnostnega razvoja</w:t>
      </w:r>
      <w:r>
        <w:rPr>
          <w:noProof/>
          <w:szCs w:val="24"/>
        </w:rPr>
        <w:t xml:space="preserve"> (</w:t>
      </w:r>
      <w:r>
        <w:rPr>
          <w:noProof/>
          <w:szCs w:val="24"/>
          <w:shd w:val="clear" w:color="auto" w:fill="FFFFFF"/>
        </w:rPr>
        <w:t>„</w:t>
      </w:r>
      <w:r>
        <w:rPr>
          <w:noProof/>
          <w:color w:val="000000"/>
          <w:szCs w:val="24"/>
        </w:rPr>
        <w:t>poskrbeti za zdravo življenje in spodbujati splošno dobro počutje v vseh življenjskih obdobjih</w:t>
      </w:r>
      <w:r>
        <w:rPr>
          <w:noProof/>
          <w:szCs w:val="24"/>
          <w:shd w:val="clear" w:color="auto" w:fill="FFFFFF"/>
        </w:rPr>
        <w:t>“</w:t>
      </w:r>
      <w:r>
        <w:rPr>
          <w:noProof/>
          <w:szCs w:val="24"/>
        </w:rPr>
        <w:t>) in druge cilje trajnostnega razvoja, povezane z zdravjem</w:t>
      </w:r>
      <w:r>
        <w:rPr>
          <w:noProof/>
          <w:color w:val="000000"/>
          <w:szCs w:val="24"/>
        </w:rPr>
        <w:t>.</w:t>
      </w:r>
      <w:r>
        <w:rPr>
          <w:noProof/>
          <w:szCs w:val="24"/>
          <w:shd w:val="clear" w:color="auto" w:fill="FFFFFF"/>
        </w:rPr>
        <w:t xml:space="preserve"> Na področjih, ki so v nacionalni pristojnosti, bodo morale Komisij</w:t>
      </w:r>
      <w:r>
        <w:rPr>
          <w:noProof/>
          <w:szCs w:val="24"/>
          <w:shd w:val="clear" w:color="auto" w:fill="FFFFFF"/>
        </w:rPr>
        <w:t>a in države članice tesneje, hitreje in bolj vključujoče sodelovati pri določanju prednostnih nalog za Program EU za zdravje ter opredeliti najboljše načine za uporabo instrumentov in posledično izvajanje Programa.</w:t>
      </w:r>
      <w:r>
        <w:rPr>
          <w:noProof/>
        </w:rPr>
        <w:t xml:space="preserve"> </w:t>
      </w:r>
    </w:p>
    <w:p w:rsidR="00FD37A3" w:rsidRDefault="0072500C">
      <w:pPr>
        <w:pStyle w:val="Point1"/>
        <w:rPr>
          <w:b/>
          <w:noProof/>
          <w:color w:val="000000"/>
          <w:u w:color="000000"/>
          <w:bdr w:val="nil"/>
        </w:rPr>
      </w:pPr>
      <w:r>
        <w:rPr>
          <w:b/>
          <w:noProof/>
          <w:color w:val="000000"/>
          <w:u w:color="000000"/>
          <w:bdr w:val="nil"/>
        </w:rPr>
        <w:t>•</w:t>
      </w:r>
      <w:r>
        <w:rPr>
          <w:b/>
          <w:noProof/>
          <w:color w:val="000000"/>
          <w:u w:color="000000"/>
          <w:bdr w:val="nil"/>
        </w:rPr>
        <w:tab/>
        <w:t>Skladnost z drugimi politikami Unije</w:t>
      </w:r>
    </w:p>
    <w:p w:rsidR="00FD37A3" w:rsidRDefault="0072500C">
      <w:pPr>
        <w:pStyle w:val="Text2"/>
        <w:rPr>
          <w:rFonts w:eastAsia="Calibri"/>
          <w:noProof/>
          <w:color w:val="000000"/>
          <w:szCs w:val="24"/>
        </w:rPr>
      </w:pPr>
      <w:r>
        <w:rPr>
          <w:noProof/>
          <w:szCs w:val="24"/>
          <w:shd w:val="clear" w:color="auto" w:fill="FFFFFF"/>
        </w:rPr>
        <w:t>Program EU za zdravje je sicer veliko bolj širokopotezen od predhodnika, vendar še vedno zajema le okoli tretjino vseh naložb v zdravje iz naslednjega večletnega finančnega okvira. V številnih primerih je treba odhodke za zdravstveno varstvo v okviru razli</w:t>
      </w:r>
      <w:r>
        <w:rPr>
          <w:noProof/>
          <w:szCs w:val="24"/>
          <w:shd w:val="clear" w:color="auto" w:fill="FFFFFF"/>
        </w:rPr>
        <w:t>čnih programov in skladov izvrševati na dobro usklajen način, da se zagotovi učinkovitost in preprečijo podvajanja. Komisija se je zavezala, da bo zagotovila operativne sinergije z drugimi programi Unije, zlasti za obravnavanje potreb politike ter omogočan</w:t>
      </w:r>
      <w:r>
        <w:rPr>
          <w:noProof/>
          <w:szCs w:val="24"/>
          <w:shd w:val="clear" w:color="auto" w:fill="FFFFFF"/>
        </w:rPr>
        <w:t xml:space="preserve">je doseganja skupnih ciljev in vzpostavitve skupnih področij za dejavnosti. </w:t>
      </w:r>
      <w:r>
        <w:rPr>
          <w:noProof/>
          <w:color w:val="000000"/>
          <w:szCs w:val="24"/>
        </w:rPr>
        <w:t xml:space="preserve">Na podlagi načela </w:t>
      </w:r>
      <w:r>
        <w:rPr>
          <w:noProof/>
          <w:szCs w:val="24"/>
          <w:shd w:val="clear" w:color="auto" w:fill="FFFFFF"/>
        </w:rPr>
        <w:t>„</w:t>
      </w:r>
      <w:r>
        <w:rPr>
          <w:noProof/>
          <w:color w:val="000000"/>
          <w:szCs w:val="24"/>
        </w:rPr>
        <w:t>zdravje v vseh politikah</w:t>
      </w:r>
      <w:r>
        <w:rPr>
          <w:noProof/>
          <w:szCs w:val="24"/>
          <w:shd w:val="clear" w:color="auto" w:fill="FFFFFF"/>
        </w:rPr>
        <w:t>“</w:t>
      </w:r>
      <w:r>
        <w:rPr>
          <w:noProof/>
          <w:color w:val="000000"/>
          <w:szCs w:val="24"/>
        </w:rPr>
        <w:t xml:space="preserve"> bodo ti programi</w:t>
      </w:r>
      <w:r>
        <w:rPr>
          <w:rStyle w:val="FootnoteReference"/>
          <w:noProof/>
          <w:szCs w:val="24"/>
          <w:shd w:val="clear" w:color="auto" w:fill="FFFFFF"/>
        </w:rPr>
        <w:footnoteReference w:id="3"/>
      </w:r>
      <w:r>
        <w:rPr>
          <w:noProof/>
          <w:color w:val="000000"/>
          <w:szCs w:val="24"/>
        </w:rPr>
        <w:t xml:space="preserve"> zagotovili finančno podporo za reforme in naložbe, ki bodo imele trajen učinek na potencial rasti in odpornost gospod</w:t>
      </w:r>
      <w:r>
        <w:rPr>
          <w:noProof/>
          <w:color w:val="000000"/>
          <w:szCs w:val="24"/>
        </w:rPr>
        <w:t>arstev držav članic. Poleg tega bodo obravnavali izzive, opredeljene v evropskem semestru, in prispevali k ciljem Programa EU za zdravje.</w:t>
      </w:r>
      <w:r>
        <w:rPr>
          <w:noProof/>
          <w:szCs w:val="24"/>
          <w:shd w:val="clear" w:color="auto" w:fill="FFFFFF"/>
        </w:rPr>
        <w:t xml:space="preserve"> </w:t>
      </w:r>
      <w:r>
        <w:rPr>
          <w:noProof/>
          <w:color w:val="000000"/>
          <w:szCs w:val="24"/>
        </w:rPr>
        <w:t>Program EU za zdravje bo prispeval tudi k prednostnim nalogam Komisije, vključno z odzivanjem na izzive v zvezi z migr</w:t>
      </w:r>
      <w:r>
        <w:rPr>
          <w:noProof/>
          <w:color w:val="000000"/>
          <w:szCs w:val="24"/>
        </w:rPr>
        <w:t>acijami in zelenim dogovorom.</w:t>
      </w:r>
    </w:p>
    <w:p w:rsidR="00FD37A3" w:rsidRDefault="0072500C">
      <w:pPr>
        <w:pStyle w:val="Text2"/>
        <w:rPr>
          <w:noProof/>
          <w:szCs w:val="24"/>
          <w:shd w:val="clear" w:color="auto" w:fill="FFFFFF"/>
        </w:rPr>
      </w:pPr>
      <w:r>
        <w:rPr>
          <w:noProof/>
          <w:szCs w:val="24"/>
          <w:shd w:val="clear" w:color="auto" w:fill="FFFFFF"/>
        </w:rPr>
        <w:t>Drugi povezljivi in sinergijski programi lahko Programu EU za zdravje zagotovijo podporo za ukrepe zdravstvene politike, vključno z izvajanjem rešitev, prilagojenih posebnim nacionalnim/regionalnim razmeram/potrebam, ter dvost</w:t>
      </w:r>
      <w:r>
        <w:rPr>
          <w:noProof/>
          <w:szCs w:val="24"/>
          <w:shd w:val="clear" w:color="auto" w:fill="FFFFFF"/>
        </w:rPr>
        <w:t>ranskih in medregionalnih pobud. Zlasti velja naslednje:</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t>Prek okrepljenih</w:t>
      </w:r>
      <w:r>
        <w:rPr>
          <w:noProof/>
        </w:rPr>
        <w:t xml:space="preserve"> zmogljivosti rescEU v okviru mehanizma Unije na področju civilne zaščite bodo EU in države članice bolje pripravljene na prihodnje krize ter se bodo lahko nanje hitro in prožno odz</w:t>
      </w:r>
      <w:r>
        <w:rPr>
          <w:noProof/>
        </w:rPr>
        <w:t>vale. Nadgrajeni mehanizem Unije na področju civilne zaščite in zlasti njegove zmogljivosti rescEU v izrednih razmerah bodo Uniji zagotovili boljšo pripravljenost in učinkovito logistično infrastrukturo za različne nujne primere, vključno z izrednimi zdrav</w:t>
      </w:r>
      <w:r>
        <w:rPr>
          <w:noProof/>
        </w:rPr>
        <w:t xml:space="preserve">stvenimi razmerami. Mehanizem se bo osredotočal na zmogljivosti neposrednega odzivanja na krize, ki bodo morale biti v izrednih razmerah takoj na voljo, Program EU za zdravje pa bo zagotavljal strukturne in obsežne rezerve, vključno s seznamom medicinskih </w:t>
      </w:r>
      <w:r>
        <w:rPr>
          <w:noProof/>
        </w:rPr>
        <w:t>delavcev in strokovnjakov v pripravljenosti, ter temeljno odpornost sistemov zdravstvenega varstva in potrebnih struktur. Ti viri bodo ključni za usklajeno odzivanje na krize na ravni Unije.</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t>Evropski sklad za regionalni razvoj (ESRR) bo podpiral zmogljiv</w:t>
      </w:r>
      <w:r>
        <w:rPr>
          <w:noProof/>
          <w:szCs w:val="24"/>
          <w:shd w:val="clear" w:color="auto" w:fill="FFFFFF"/>
        </w:rPr>
        <w:t>ost sistemov zdravstvenega varstva v regijah v zvezi z infrastrukturo, modernizacijo javnega in zasebnega zdravstvenega sektorja ter omrežji (med)regionalnega sodelovanja. ESRR prav tako zagotavlja naložbe v raziskave in inovacije, uvajanje naprednih tehno</w:t>
      </w:r>
      <w:r>
        <w:rPr>
          <w:noProof/>
          <w:szCs w:val="24"/>
          <w:shd w:val="clear" w:color="auto" w:fill="FFFFFF"/>
        </w:rPr>
        <w:t>logij in inovativnih rešitev ter v digitalizacijo, tudi na področju zdravja. Poleg tega podpira krepitev zmogljivosti, tehnično pomoč in čezmejno sodelovanje.</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t>Evropski socialni sklad plus (ESS+) bo ustvaril sinergije in</w:t>
      </w:r>
      <w:r>
        <w:rPr>
          <w:noProof/>
        </w:rPr>
        <w:t xml:space="preserve"> povezljivost s Programom EU za zdr</w:t>
      </w:r>
      <w:r>
        <w:rPr>
          <w:noProof/>
        </w:rPr>
        <w:t xml:space="preserve">avje, </w:t>
      </w:r>
      <w:r>
        <w:rPr>
          <w:noProof/>
          <w:szCs w:val="24"/>
          <w:shd w:val="clear" w:color="auto" w:fill="FFFFFF"/>
        </w:rPr>
        <w:t>tako da bo med drugim podprl razvoj znanj in spretnosti za zdravstvene delavce ter izboljšan</w:t>
      </w:r>
      <w:r>
        <w:rPr>
          <w:noProof/>
        </w:rPr>
        <w:t xml:space="preserve"> dostop do zdravstvenega varstva za ljudi v ranljivem socialno-ekonomskem položaju in do dolgotrajne oskrbe</w:t>
      </w:r>
      <w:r>
        <w:rPr>
          <w:noProof/>
          <w:szCs w:val="24"/>
          <w:shd w:val="clear" w:color="auto" w:fill="FFFFFF"/>
        </w:rPr>
        <w:t>. Še posebej pomembni bodo izzivi, opredeljeni v ok</w:t>
      </w:r>
      <w:r>
        <w:rPr>
          <w:noProof/>
          <w:szCs w:val="24"/>
          <w:shd w:val="clear" w:color="auto" w:fill="FFFFFF"/>
        </w:rPr>
        <w:t>viru evropskega semestra.</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t>Mehanizem za okrevanje in odpornost bo zagotovil finančno podporo za reforme in naložbe, ki bodo imele trajni učinek na potencial rasti in odpornost gospodarstev držav članic, ter bo obravnaval izzive, opredeljene v evropskem se</w:t>
      </w:r>
      <w:r>
        <w:rPr>
          <w:noProof/>
          <w:szCs w:val="24"/>
          <w:shd w:val="clear" w:color="auto" w:fill="FFFFFF"/>
        </w:rPr>
        <w:t xml:space="preserve">mestru. </w:t>
      </w:r>
    </w:p>
    <w:p w:rsidR="00FD37A3" w:rsidRDefault="0072500C">
      <w:pPr>
        <w:pStyle w:val="Point2"/>
        <w:rPr>
          <w:noProof/>
          <w:szCs w:val="24"/>
          <w:shd w:val="clear" w:color="auto" w:fill="FFFFFF"/>
        </w:rPr>
      </w:pPr>
      <w:r>
        <w:rPr>
          <w:noProof/>
          <w:szCs w:val="24"/>
          <w:shd w:val="clear" w:color="auto" w:fill="FFFFFF"/>
        </w:rPr>
        <w:t>●</w:t>
      </w:r>
      <w:r>
        <w:rPr>
          <w:noProof/>
          <w:szCs w:val="24"/>
          <w:shd w:val="clear" w:color="auto" w:fill="FFFFFF"/>
        </w:rPr>
        <w:tab/>
        <w:t>Program Obzorje Evropa bo financiral raziskave in inovacije na področju zdravja: zdravje v celotnem življenjskem obdobju; okoljski in družbeni dejavniki zdravja; nenalezljive in redke bolezni; nalezljive bolezni; orodja, tehnologije in digitalne</w:t>
      </w:r>
      <w:r>
        <w:rPr>
          <w:noProof/>
          <w:szCs w:val="24"/>
          <w:shd w:val="clear" w:color="auto" w:fill="FFFFFF"/>
        </w:rPr>
        <w:t xml:space="preserve"> rešitve za zdravje in oskrbo ter sisteme zdravstvenega varstva so področja ukrepanja v predlogu Komisije za sklop „zdravje“. </w:t>
      </w:r>
      <w:r>
        <w:rPr>
          <w:noProof/>
          <w:shd w:val="clear" w:color="auto" w:fill="FFFFFF"/>
        </w:rPr>
        <w:t>Program EU za zdravje bo pomagal zagotoviti najboljšo uporabo rezultatov raziskav ter olajšal uvedbo, razširitev in uporabo zdravs</w:t>
      </w:r>
      <w:r>
        <w:rPr>
          <w:noProof/>
          <w:shd w:val="clear" w:color="auto" w:fill="FFFFFF"/>
        </w:rPr>
        <w:t>tvenih inovacij v sistemih zdravstvenega varstva in klinični praksi.</w:t>
      </w:r>
    </w:p>
    <w:p w:rsidR="00FD37A3" w:rsidRDefault="0072500C">
      <w:pPr>
        <w:pStyle w:val="Point2"/>
        <w:ind w:left="1985"/>
        <w:rPr>
          <w:noProof/>
          <w:szCs w:val="24"/>
          <w:shd w:val="clear" w:color="auto" w:fill="FFFFFF"/>
        </w:rPr>
      </w:pPr>
      <w:r>
        <w:rPr>
          <w:noProof/>
          <w:szCs w:val="24"/>
          <w:shd w:val="clear" w:color="auto" w:fill="FFFFFF"/>
        </w:rPr>
        <w:t>●</w:t>
      </w:r>
      <w:r>
        <w:rPr>
          <w:noProof/>
          <w:szCs w:val="24"/>
          <w:shd w:val="clear" w:color="auto" w:fill="FFFFFF"/>
        </w:rPr>
        <w:tab/>
        <w:t>Program za digitalno Evropo bo podpiral uporabo digitalne infrastrukture, na kateri bo temeljila široka uporaba digitalnih tehnologij na področjih javnega interesa. Med drugim bo podpir</w:t>
      </w:r>
      <w:r>
        <w:rPr>
          <w:noProof/>
          <w:szCs w:val="24"/>
          <w:shd w:val="clear" w:color="auto" w:fill="FFFFFF"/>
        </w:rPr>
        <w:t xml:space="preserve">al orodja in podatkovne infrastrukture, ki podpirajo podatkovne prostore v različnih sektorjih. Na podlagi te infrastrukture in pilotnih izvajanj v različnih sektorjih, ki jih podpira program za digitalno Evropo, se bo Program EU za zdravje osredotočal na </w:t>
      </w:r>
      <w:r>
        <w:rPr>
          <w:noProof/>
          <w:szCs w:val="24"/>
          <w:shd w:val="clear" w:color="auto" w:fill="FFFFFF"/>
        </w:rPr>
        <w:t>zagotavljanje aplikacij za izmenjavo podatkov in državljanske platforme na področjih, kot so varno in učinkovito čezmejno upravljanje osebnih zdravstvenih podatkov, boljši podatki za raziskave, preprečevanje bolezni in posamezniku prilagojena zdravstveno v</w:t>
      </w:r>
      <w:r>
        <w:rPr>
          <w:noProof/>
          <w:szCs w:val="24"/>
          <w:shd w:val="clear" w:color="auto" w:fill="FFFFFF"/>
        </w:rPr>
        <w:t>arstvo in oskrba ter uporaba digitalnih orodij za krepitev vloge državljank in državljanov ter oskrbo, osredotočeno na posameznika</w:t>
      </w:r>
      <w:r>
        <w:rPr>
          <w:noProof/>
        </w:rPr>
        <w:t>, v skladu s pravili o varstvu podatkov</w:t>
      </w:r>
      <w:r>
        <w:rPr>
          <w:noProof/>
          <w:szCs w:val="24"/>
          <w:shd w:val="clear" w:color="auto" w:fill="FFFFFF"/>
        </w:rPr>
        <w:t>.</w:t>
      </w:r>
    </w:p>
    <w:p w:rsidR="00FD37A3" w:rsidRDefault="0072500C">
      <w:pPr>
        <w:pStyle w:val="Point2"/>
        <w:ind w:left="1985"/>
        <w:rPr>
          <w:noProof/>
          <w:shd w:val="clear" w:color="000000" w:fill="FFFFFF"/>
        </w:rPr>
      </w:pPr>
      <w:r>
        <w:rPr>
          <w:noProof/>
          <w:szCs w:val="24"/>
          <w:shd w:val="clear" w:color="000000" w:fill="FFFFFF"/>
        </w:rPr>
        <w:t>●</w:t>
      </w:r>
      <w:r>
        <w:rPr>
          <w:noProof/>
          <w:szCs w:val="24"/>
          <w:shd w:val="clear" w:color="000000" w:fill="FFFFFF"/>
        </w:rPr>
        <w:tab/>
        <w:t>Instrument za povezovanje Evrope – Digitalno (IPE Digitalno) bo financiral zelo odp</w:t>
      </w:r>
      <w:r>
        <w:rPr>
          <w:noProof/>
          <w:szCs w:val="24"/>
          <w:shd w:val="clear" w:color="000000" w:fill="FFFFFF"/>
        </w:rPr>
        <w:t>orna gigabitna omrežja za povezovanje spodbujevalcev socialno-ekonomskega razvoja, vključno z bolnišnicami in zdravstvenimi centri, na območjih, kjer takih omrežij ni ali pa se njihova uporaba načrtuje v bližnji prihodnosti, kar bo omogočilo ključne storit</w:t>
      </w:r>
      <w:r>
        <w:rPr>
          <w:noProof/>
          <w:szCs w:val="24"/>
          <w:shd w:val="clear" w:color="000000" w:fill="FFFFFF"/>
        </w:rPr>
        <w:t>ve, kot sta kirurgija na daljavo in izmenjava zdravstvenih podatkov. Prav tako bo instrument zagotovil povezljivost za gospodinjstva, da se omogoči spremljanje pacientov na daljavo na varen način in</w:t>
      </w:r>
      <w:r>
        <w:rPr>
          <w:noProof/>
          <w:color w:val="1F497D"/>
        </w:rPr>
        <w:t xml:space="preserve"> </w:t>
      </w:r>
      <w:r>
        <w:rPr>
          <w:noProof/>
        </w:rPr>
        <w:t>v skladu z zakonodajo o varstvu podatkov.</w:t>
      </w:r>
    </w:p>
    <w:p w:rsidR="00FD37A3" w:rsidRDefault="0072500C">
      <w:pPr>
        <w:pStyle w:val="ManualHeading1"/>
        <w:rPr>
          <w:noProof/>
        </w:rPr>
      </w:pPr>
      <w:r>
        <w:rPr>
          <w:noProof/>
        </w:rPr>
        <w:t>2.</w:t>
      </w:r>
      <w:r>
        <w:rPr>
          <w:noProof/>
        </w:rPr>
        <w:tab/>
        <w:t>PRAVNA PODLA</w:t>
      </w:r>
      <w:r>
        <w:rPr>
          <w:noProof/>
        </w:rPr>
        <w:t>GA, SUBSIDIARNOST IN SORAZMERNOST</w:t>
      </w:r>
    </w:p>
    <w:p w:rsidR="00FD37A3" w:rsidRDefault="0072500C">
      <w:pPr>
        <w:pStyle w:val="Point1"/>
        <w:rPr>
          <w:b/>
          <w:noProof/>
          <w:u w:color="000000"/>
          <w:bdr w:val="nil"/>
        </w:rPr>
      </w:pPr>
      <w:r>
        <w:rPr>
          <w:b/>
          <w:noProof/>
          <w:u w:color="000000"/>
          <w:bdr w:val="nil"/>
        </w:rPr>
        <w:t>•</w:t>
      </w:r>
      <w:r>
        <w:rPr>
          <w:b/>
          <w:noProof/>
          <w:u w:color="000000"/>
          <w:bdr w:val="nil"/>
        </w:rPr>
        <w:tab/>
        <w:t>Pravna podlaga</w:t>
      </w:r>
    </w:p>
    <w:p w:rsidR="00FD37A3" w:rsidRDefault="0072500C">
      <w:pPr>
        <w:pStyle w:val="Text2"/>
        <w:rPr>
          <w:noProof/>
          <w:szCs w:val="24"/>
          <w:shd w:val="clear" w:color="auto" w:fill="FFFFFF"/>
        </w:rPr>
      </w:pPr>
      <w:r>
        <w:rPr>
          <w:noProof/>
          <w:szCs w:val="24"/>
          <w:shd w:val="clear" w:color="auto" w:fill="FFFFFF"/>
        </w:rPr>
        <w:t>Pravna podlaga predloga je člen 168(5) PDEU, ki določa sprejetje</w:t>
      </w:r>
      <w:r>
        <w:rPr>
          <w:noProof/>
        </w:rPr>
        <w:t xml:space="preserve"> spodbujevalnih ukrepov za varovanje in izboljšanje zdravja ljudi in zlasti za boj proti hudim čezmejnim grožnjam za zdravje, ukrepov v zvezi z nadzorom nad veliko čezmejno ogroženostjo zdravja, zgodnjim obveščanjem o taki ogroženosti in bojem proti njej, </w:t>
      </w:r>
      <w:r>
        <w:rPr>
          <w:noProof/>
        </w:rPr>
        <w:t>kakor tudi ukrepov, katerih neposredni cilj je varovanje javnega zdravja glede tobaka in zlorabe alkohola.</w:t>
      </w:r>
    </w:p>
    <w:p w:rsidR="00FD37A3" w:rsidRDefault="0072500C">
      <w:pPr>
        <w:pStyle w:val="Text2"/>
        <w:rPr>
          <w:noProof/>
          <w:szCs w:val="24"/>
          <w:shd w:val="clear" w:color="auto" w:fill="FFFFFF"/>
        </w:rPr>
      </w:pPr>
      <w:r>
        <w:rPr>
          <w:noProof/>
          <w:szCs w:val="24"/>
          <w:shd w:val="clear" w:color="auto" w:fill="FFFFFF"/>
        </w:rPr>
        <w:t>V okviru člena 168 PDEU Unija dopolnjuje in podpira nacionalne zdravstvene politike, spodbuja sodelovanje med državami članicami in usklajevanje njih</w:t>
      </w:r>
      <w:r>
        <w:rPr>
          <w:noProof/>
          <w:szCs w:val="24"/>
          <w:shd w:val="clear" w:color="auto" w:fill="FFFFFF"/>
        </w:rPr>
        <w:t>ovih programov ob doslednem upoštevanju odgovornosti držav članic za opredelitev njihovih zdravstvenih politik ter za organizacijo in zagotavljanje zdravstvenih storitev in zdravstvene oskrbe.</w:t>
      </w:r>
    </w:p>
    <w:p w:rsidR="00FD37A3" w:rsidRDefault="0072500C">
      <w:pPr>
        <w:pStyle w:val="Text2"/>
        <w:rPr>
          <w:noProof/>
          <w:szCs w:val="24"/>
          <w:shd w:val="clear" w:color="auto" w:fill="FFFFFF"/>
        </w:rPr>
      </w:pPr>
      <w:r>
        <w:rPr>
          <w:noProof/>
          <w:szCs w:val="24"/>
          <w:shd w:val="clear" w:color="auto" w:fill="FFFFFF"/>
        </w:rPr>
        <w:t>Program EU za zdravje iz predloga, ki se izvaja v okviru neposr</w:t>
      </w:r>
      <w:r>
        <w:rPr>
          <w:noProof/>
          <w:szCs w:val="24"/>
          <w:shd w:val="clear" w:color="auto" w:fill="FFFFFF"/>
        </w:rPr>
        <w:t xml:space="preserve">ednega in posrednega upravljanja, zajema ukrepe in spodbude za preprečevanje zdravstvenih tveganj ter za varovanje in izboljšanje zdravja ljudi. </w:t>
      </w:r>
    </w:p>
    <w:p w:rsidR="00FD37A3" w:rsidRDefault="0072500C">
      <w:pPr>
        <w:pStyle w:val="Point1"/>
        <w:rPr>
          <w:rFonts w:eastAsia="Arial Unicode MS"/>
          <w:b/>
          <w:noProof/>
          <w:u w:color="000000"/>
          <w:bdr w:val="nil"/>
        </w:rPr>
      </w:pPr>
      <w:r>
        <w:rPr>
          <w:b/>
          <w:noProof/>
          <w:u w:color="000000"/>
          <w:bdr w:val="nil"/>
        </w:rPr>
        <w:t>•</w:t>
      </w:r>
      <w:r>
        <w:rPr>
          <w:b/>
          <w:noProof/>
          <w:u w:color="000000"/>
          <w:bdr w:val="nil"/>
        </w:rPr>
        <w:tab/>
        <w:t xml:space="preserve">Subsidiarnost (za neizključno pristojnost) </w:t>
      </w:r>
    </w:p>
    <w:p w:rsidR="00FD37A3" w:rsidRDefault="0072500C">
      <w:pPr>
        <w:pStyle w:val="Text2"/>
        <w:rPr>
          <w:noProof/>
          <w:szCs w:val="24"/>
          <w:shd w:val="clear" w:color="auto" w:fill="FFFFFF"/>
        </w:rPr>
      </w:pPr>
      <w:r>
        <w:rPr>
          <w:noProof/>
          <w:szCs w:val="24"/>
          <w:shd w:val="clear" w:color="auto" w:fill="FFFFFF"/>
        </w:rPr>
        <w:t>V skladu s točko (a) člena 6 PDEU je Unija pristojna za izvajanj</w:t>
      </w:r>
      <w:r>
        <w:rPr>
          <w:noProof/>
          <w:szCs w:val="24"/>
          <w:shd w:val="clear" w:color="auto" w:fill="FFFFFF"/>
        </w:rPr>
        <w:t>e ukrepov za podporo, uskladitev ali dopolnitev ukrepov držav članic za varovanje in izboljšanje človekovega zdravja. V okviru člena 168 PDEU Unija dopolnjuje in podpira nacionalne zdravstvene politike.</w:t>
      </w:r>
    </w:p>
    <w:p w:rsidR="00FD37A3" w:rsidRDefault="0072500C">
      <w:pPr>
        <w:pStyle w:val="Text2"/>
        <w:rPr>
          <w:noProof/>
          <w:szCs w:val="24"/>
        </w:rPr>
      </w:pPr>
      <w:r>
        <w:rPr>
          <w:noProof/>
          <w:szCs w:val="24"/>
          <w:shd w:val="clear" w:color="auto" w:fill="FFFFFF"/>
        </w:rPr>
        <w:t>Cilja te uredbe sta</w:t>
      </w:r>
      <w:r>
        <w:rPr>
          <w:noProof/>
        </w:rPr>
        <w:t xml:space="preserve"> varovati ljudi v Uniji pred resni</w:t>
      </w:r>
      <w:r>
        <w:rPr>
          <w:noProof/>
        </w:rPr>
        <w:t>mi čezmejnimi nevarnostmi za zdravje ter prispevati k visoki ravni varovanja javnega zdravja s podpiranjem ukrepov, ki spodbujajo zdravje, preprečujejo bolezni, krepijo zdravstvene sisteme, izboljšujejo razpoložljivost in cenovno dostopnost zdravil in drug</w:t>
      </w:r>
      <w:r>
        <w:rPr>
          <w:noProof/>
        </w:rPr>
        <w:t>ih v krizi pomembnih izdelkov v Uniji ter podpirajo integrirano in usklajeno delo in izmenjavo dobrih praks v zvezi s tem.</w:t>
      </w:r>
    </w:p>
    <w:p w:rsidR="00FD37A3" w:rsidRDefault="0072500C">
      <w:pPr>
        <w:pStyle w:val="Text2"/>
        <w:rPr>
          <w:noProof/>
          <w:szCs w:val="24"/>
          <w:shd w:val="clear" w:color="auto" w:fill="FFFFFF"/>
        </w:rPr>
      </w:pPr>
      <w:r>
        <w:rPr>
          <w:noProof/>
          <w:szCs w:val="24"/>
          <w:shd w:val="clear" w:color="auto" w:fill="FFFFFF"/>
        </w:rPr>
        <w:t>Ker glede na ukrepe iz predloga države članice ciljev Programa EU za zdravje ne morejo zadovoljivo doseči same, temveč se ti cilji la</w:t>
      </w:r>
      <w:r>
        <w:rPr>
          <w:noProof/>
          <w:szCs w:val="24"/>
          <w:shd w:val="clear" w:color="auto" w:fill="FFFFFF"/>
        </w:rPr>
        <w:t xml:space="preserve">žje dosežejo na ravni Unije, lahko Unija sprejme ukrepe v skladu z načelom subsidiarnosti iz člena 5 Pogodbe o Evropski uniji. </w:t>
      </w:r>
    </w:p>
    <w:p w:rsidR="00FD37A3" w:rsidRDefault="0072500C">
      <w:pPr>
        <w:pStyle w:val="Text2"/>
        <w:rPr>
          <w:noProof/>
          <w:szCs w:val="24"/>
          <w:shd w:val="clear" w:color="auto" w:fill="FFFFFF"/>
        </w:rPr>
      </w:pPr>
      <w:r>
        <w:rPr>
          <w:noProof/>
          <w:szCs w:val="24"/>
          <w:shd w:val="clear" w:color="auto" w:fill="FFFFFF"/>
        </w:rPr>
        <w:t>Program EU za zdravje se bo izvajal ob doslednem upoštevanju odgovornosti držav članic za opredelitev njihove zdravstvene politi</w:t>
      </w:r>
      <w:r>
        <w:rPr>
          <w:noProof/>
          <w:szCs w:val="24"/>
          <w:shd w:val="clear" w:color="auto" w:fill="FFFFFF"/>
        </w:rPr>
        <w:t>ke ter za organizacijo in zagotavljanje zdravstvenih storitev in zdravstvene oskrbe, kot je navedeno v členu 168 PDEU.</w:t>
      </w:r>
    </w:p>
    <w:p w:rsidR="00FD37A3" w:rsidRDefault="0072500C">
      <w:pPr>
        <w:pStyle w:val="Text2"/>
        <w:rPr>
          <w:noProof/>
          <w:szCs w:val="24"/>
          <w:shd w:val="clear" w:color="auto" w:fill="FFFFFF"/>
        </w:rPr>
      </w:pPr>
      <w:r>
        <w:rPr>
          <w:noProof/>
          <w:szCs w:val="24"/>
          <w:shd w:val="clear" w:color="auto" w:fill="FFFFFF"/>
        </w:rPr>
        <w:t xml:space="preserve">Načelo subsidiarnosti je zato upoštevano. </w:t>
      </w:r>
    </w:p>
    <w:p w:rsidR="00FD37A3" w:rsidRDefault="0072500C">
      <w:pPr>
        <w:pStyle w:val="Point1"/>
        <w:rPr>
          <w:rFonts w:eastAsia="Arial Unicode MS"/>
          <w:b/>
          <w:noProof/>
          <w:u w:color="000000"/>
          <w:bdr w:val="nil"/>
        </w:rPr>
      </w:pPr>
      <w:r>
        <w:rPr>
          <w:b/>
          <w:noProof/>
          <w:u w:color="000000"/>
          <w:bdr w:val="nil"/>
        </w:rPr>
        <w:t>•</w:t>
      </w:r>
      <w:r>
        <w:rPr>
          <w:b/>
          <w:noProof/>
          <w:u w:color="000000"/>
          <w:bdr w:val="nil"/>
        </w:rPr>
        <w:tab/>
        <w:t>Sorazmernost</w:t>
      </w:r>
    </w:p>
    <w:p w:rsidR="00FD37A3" w:rsidRDefault="0072500C">
      <w:pPr>
        <w:pStyle w:val="Text2"/>
        <w:rPr>
          <w:noProof/>
          <w:szCs w:val="24"/>
          <w:shd w:val="clear" w:color="auto" w:fill="FFFFFF"/>
        </w:rPr>
      </w:pPr>
      <w:r>
        <w:rPr>
          <w:noProof/>
          <w:szCs w:val="24"/>
          <w:shd w:val="clear" w:color="auto" w:fill="FFFFFF"/>
        </w:rPr>
        <w:t>V skladu z načelom sorazmernosti ta predlog ne presega tistega, kar je potrebno za doseganje njegovih ciljev. Pri pripravi Programa EU za zdravje, katerega namen je opredeliti in omogočiti sinergije z drugimi programi ter okrepiti sodelovanje z državami čl</w:t>
      </w:r>
      <w:r>
        <w:rPr>
          <w:noProof/>
          <w:szCs w:val="24"/>
          <w:shd w:val="clear" w:color="auto" w:fill="FFFFFF"/>
        </w:rPr>
        <w:t xml:space="preserve">anicami pri opredelitvi prednostnih nalog zanj, je Komisija upoštevala načelo sorazmernosti. </w:t>
      </w:r>
    </w:p>
    <w:p w:rsidR="00FD37A3" w:rsidRDefault="0072500C">
      <w:pPr>
        <w:pStyle w:val="Text2"/>
        <w:rPr>
          <w:rFonts w:eastAsia="Arial Unicode MS"/>
          <w:i/>
          <w:noProof/>
        </w:rPr>
      </w:pPr>
      <w:r>
        <w:rPr>
          <w:noProof/>
          <w:szCs w:val="24"/>
          <w:shd w:val="clear" w:color="auto" w:fill="FFFFFF"/>
        </w:rPr>
        <w:t>Predlog je sorazmeren in skuša povečati udeležbo držav članic pri ukrepih, ki jih podpira, s čim večjim zmanjšanjem ovir za sodelovanje ter za Komisijo in naciona</w:t>
      </w:r>
      <w:r>
        <w:rPr>
          <w:noProof/>
          <w:szCs w:val="24"/>
          <w:shd w:val="clear" w:color="auto" w:fill="FFFFFF"/>
        </w:rPr>
        <w:t>lne organe določa zmanjšanje upravnega bremena, ki ne presega tistega, kar je potrebno, da Komisija izvaja svoje pooblastilo za izvrševanje proračuna Unije.</w:t>
      </w:r>
      <w:r>
        <w:rPr>
          <w:noProof/>
        </w:rPr>
        <w:t xml:space="preserve"> </w:t>
      </w:r>
    </w:p>
    <w:p w:rsidR="00FD37A3" w:rsidRDefault="0072500C">
      <w:pPr>
        <w:pStyle w:val="Point1"/>
        <w:rPr>
          <w:rFonts w:eastAsia="Arial Unicode MS"/>
          <w:b/>
          <w:noProof/>
          <w:u w:color="000000"/>
          <w:bdr w:val="nil"/>
        </w:rPr>
      </w:pPr>
      <w:r>
        <w:rPr>
          <w:b/>
          <w:noProof/>
          <w:u w:color="000000"/>
          <w:bdr w:val="nil"/>
        </w:rPr>
        <w:t>•</w:t>
      </w:r>
      <w:r>
        <w:rPr>
          <w:b/>
          <w:noProof/>
          <w:u w:color="000000"/>
          <w:bdr w:val="nil"/>
        </w:rPr>
        <w:tab/>
        <w:t>Izbira instrumenta</w:t>
      </w:r>
    </w:p>
    <w:p w:rsidR="00FD37A3" w:rsidRDefault="0072500C">
      <w:pPr>
        <w:pStyle w:val="Text2"/>
        <w:rPr>
          <w:noProof/>
          <w:szCs w:val="24"/>
          <w:shd w:val="clear" w:color="auto" w:fill="FFFFFF"/>
        </w:rPr>
      </w:pPr>
      <w:r>
        <w:rPr>
          <w:noProof/>
          <w:szCs w:val="24"/>
          <w:shd w:val="clear" w:color="auto" w:fill="FFFFFF"/>
        </w:rPr>
        <w:t>Izbira instrumenta je uredba Evropskega parlamenta in Sveta o vzpostavitvi Pr</w:t>
      </w:r>
      <w:r>
        <w:rPr>
          <w:noProof/>
          <w:szCs w:val="24"/>
          <w:shd w:val="clear" w:color="auto" w:fill="FFFFFF"/>
        </w:rPr>
        <w:t xml:space="preserve">ograma EU za zdravje. </w:t>
      </w:r>
    </w:p>
    <w:p w:rsidR="00FD37A3" w:rsidRDefault="0072500C">
      <w:pPr>
        <w:pStyle w:val="ManualHeading1"/>
        <w:rPr>
          <w:noProof/>
        </w:rPr>
      </w:pPr>
      <w:r>
        <w:rPr>
          <w:noProof/>
        </w:rPr>
        <w:t>3.</w:t>
      </w:r>
      <w:r>
        <w:rPr>
          <w:noProof/>
        </w:rPr>
        <w:tab/>
        <w:t>REZULTATI RETROSPEKTIVNIH OCEN, POSVETOVANJ Z ZAINTERESIRANIMI STRANMI IN OCEN UČINKA</w:t>
      </w:r>
    </w:p>
    <w:p w:rsidR="00FD37A3" w:rsidRDefault="0072500C">
      <w:pPr>
        <w:pStyle w:val="Point1"/>
        <w:rPr>
          <w:rFonts w:eastAsia="Arial Unicode MS"/>
          <w:b/>
          <w:noProof/>
          <w:u w:color="000000"/>
          <w:bdr w:val="nil"/>
        </w:rPr>
      </w:pPr>
      <w:r>
        <w:rPr>
          <w:b/>
          <w:noProof/>
          <w:u w:color="000000"/>
          <w:bdr w:val="nil"/>
        </w:rPr>
        <w:t>•</w:t>
      </w:r>
      <w:r>
        <w:rPr>
          <w:b/>
          <w:noProof/>
          <w:u w:color="000000"/>
          <w:bdr w:val="nil"/>
        </w:rPr>
        <w:tab/>
        <w:t>Naknadne ocene/preverjanja ustreznosti obstoječe zakonodaje</w:t>
      </w:r>
    </w:p>
    <w:p w:rsidR="00FD37A3" w:rsidRDefault="0072500C">
      <w:pPr>
        <w:pStyle w:val="Tiret2"/>
        <w:numPr>
          <w:ilvl w:val="0"/>
          <w:numId w:val="17"/>
        </w:numPr>
        <w:rPr>
          <w:noProof/>
          <w:shd w:val="clear" w:color="auto" w:fill="FFFFFF"/>
        </w:rPr>
      </w:pPr>
      <w:r>
        <w:rPr>
          <w:noProof/>
          <w:shd w:val="clear" w:color="auto" w:fill="FFFFFF"/>
        </w:rPr>
        <w:t>Zdravstveni program 2014–2020</w:t>
      </w:r>
    </w:p>
    <w:p w:rsidR="00FD37A3" w:rsidRDefault="0072500C">
      <w:pPr>
        <w:pStyle w:val="Text2"/>
        <w:rPr>
          <w:noProof/>
          <w:szCs w:val="24"/>
          <w:shd w:val="clear" w:color="auto" w:fill="FFFFFF"/>
        </w:rPr>
      </w:pPr>
      <w:r>
        <w:rPr>
          <w:b/>
          <w:noProof/>
          <w:szCs w:val="24"/>
          <w:shd w:val="clear" w:color="auto" w:fill="FFFFFF"/>
        </w:rPr>
        <w:t>Prednosti:</w:t>
      </w:r>
      <w:r>
        <w:rPr>
          <w:noProof/>
          <w:szCs w:val="24"/>
          <w:shd w:val="clear" w:color="auto" w:fill="FFFFFF"/>
        </w:rPr>
        <w:t xml:space="preserve"> Vmesna ocena je potrdila evropsko dodano </w:t>
      </w:r>
      <w:r>
        <w:rPr>
          <w:noProof/>
          <w:szCs w:val="24"/>
          <w:shd w:val="clear" w:color="auto" w:fill="FFFFFF"/>
        </w:rPr>
        <w:t>vrednost ukrepov, zlasti v obliki:</w:t>
      </w:r>
    </w:p>
    <w:p w:rsidR="00FD37A3" w:rsidRDefault="0072500C">
      <w:pPr>
        <w:pStyle w:val="Point2"/>
        <w:rPr>
          <w:noProof/>
          <w:shd w:val="clear" w:color="auto" w:fill="FFFFFF"/>
        </w:rPr>
      </w:pPr>
      <w:r>
        <w:rPr>
          <w:noProof/>
          <w:shd w:val="clear" w:color="auto" w:fill="FFFFFF"/>
        </w:rPr>
        <w:t>(i)</w:t>
      </w:r>
      <w:r>
        <w:rPr>
          <w:noProof/>
          <w:shd w:val="clear" w:color="auto" w:fill="FFFFFF"/>
        </w:rPr>
        <w:tab/>
        <w:t xml:space="preserve">večje zmogljivosti držav članic za obravnavanje resnih čezmejnih nevarnosti za zdravje; </w:t>
      </w:r>
    </w:p>
    <w:p w:rsidR="00FD37A3" w:rsidRDefault="0072500C">
      <w:pPr>
        <w:pStyle w:val="Point2"/>
        <w:rPr>
          <w:noProof/>
          <w:szCs w:val="24"/>
          <w:shd w:val="clear" w:color="auto" w:fill="FFFFFF"/>
        </w:rPr>
      </w:pPr>
      <w:r>
        <w:rPr>
          <w:noProof/>
          <w:szCs w:val="24"/>
          <w:shd w:val="clear" w:color="auto" w:fill="FFFFFF"/>
        </w:rPr>
        <w:t>(ii)</w:t>
      </w:r>
      <w:r>
        <w:rPr>
          <w:noProof/>
          <w:szCs w:val="24"/>
          <w:shd w:val="clear" w:color="auto" w:fill="FFFFFF"/>
        </w:rPr>
        <w:tab/>
        <w:t xml:space="preserve">tehničnih smernic in priporočil za preprečevanje raka, HIV/aidsa in tuberkuloze; </w:t>
      </w:r>
    </w:p>
    <w:p w:rsidR="00FD37A3" w:rsidRDefault="0072500C">
      <w:pPr>
        <w:pStyle w:val="Point2"/>
        <w:rPr>
          <w:noProof/>
          <w:szCs w:val="24"/>
          <w:shd w:val="clear" w:color="auto" w:fill="FFFFFF"/>
        </w:rPr>
      </w:pPr>
      <w:r>
        <w:rPr>
          <w:noProof/>
          <w:szCs w:val="24"/>
          <w:shd w:val="clear" w:color="auto" w:fill="FFFFFF"/>
        </w:rPr>
        <w:t>(iii)</w:t>
      </w:r>
      <w:r>
        <w:rPr>
          <w:noProof/>
          <w:szCs w:val="24"/>
          <w:shd w:val="clear" w:color="auto" w:fill="FFFFFF"/>
        </w:rPr>
        <w:tab/>
      </w:r>
      <w:r>
        <w:rPr>
          <w:noProof/>
          <w:szCs w:val="24"/>
          <w:shd w:val="clear" w:color="auto" w:fill="FFFFFF"/>
        </w:rPr>
        <w:t xml:space="preserve">dodatne podpore za zdravstveno zakonodajo EU o zdravilih in medicinskih pripomočkih ter za dejavnosti mreže e-zdravje in vrednotenje zdravstvene tehnologije. </w:t>
      </w:r>
    </w:p>
    <w:p w:rsidR="00FD37A3" w:rsidRDefault="0072500C">
      <w:pPr>
        <w:pStyle w:val="Text2"/>
        <w:rPr>
          <w:noProof/>
          <w:szCs w:val="24"/>
          <w:shd w:val="clear" w:color="auto" w:fill="FFFFFF"/>
        </w:rPr>
      </w:pPr>
      <w:r>
        <w:rPr>
          <w:noProof/>
          <w:szCs w:val="24"/>
          <w:shd w:val="clear" w:color="auto" w:fill="FFFFFF"/>
        </w:rPr>
        <w:t>Pri oceni je bila poleg tega priznana dodana vrednost orodij za nadzor okužb, povezanih z zdravst</w:t>
      </w:r>
      <w:r>
        <w:rPr>
          <w:noProof/>
          <w:szCs w:val="24"/>
          <w:shd w:val="clear" w:color="auto" w:fill="FFFFFF"/>
        </w:rPr>
        <w:t>veno oskrbo, in za okrepitev usklajenih prizadevanj za boj proti antimikrobični odpornosti ter obsežnega pripravljalnega dela v okviru skupnih ukrepov za opredeljevanje in prenos dobrih praks preprečevanja in obvladovanja bolezni. Priznan je bil tudi pozit</w:t>
      </w:r>
      <w:r>
        <w:rPr>
          <w:noProof/>
          <w:szCs w:val="24"/>
          <w:shd w:val="clear" w:color="auto" w:fill="FFFFFF"/>
        </w:rPr>
        <w:t xml:space="preserve">iven prispevek ukrepov za povečanje interoperabilne in standardizirane čezmejne izmenjave zdravstvenih podatkov ter prizadevanj za vzpostavitev digitalnih infrastruktur na ravni EU v ta namen. </w:t>
      </w:r>
    </w:p>
    <w:p w:rsidR="00FD37A3" w:rsidRDefault="0072500C">
      <w:pPr>
        <w:pStyle w:val="Text2"/>
        <w:rPr>
          <w:noProof/>
          <w:szCs w:val="24"/>
          <w:shd w:val="clear" w:color="auto" w:fill="FFFFFF"/>
        </w:rPr>
      </w:pPr>
      <w:r>
        <w:rPr>
          <w:b/>
          <w:noProof/>
          <w:szCs w:val="24"/>
          <w:shd w:val="clear" w:color="auto" w:fill="FFFFFF"/>
        </w:rPr>
        <w:t>Slabosti:</w:t>
      </w:r>
      <w:r>
        <w:rPr>
          <w:noProof/>
          <w:szCs w:val="24"/>
          <w:shd w:val="clear" w:color="auto" w:fill="FFFFFF"/>
        </w:rPr>
        <w:t xml:space="preserve"> Na nezakonodajnih področjih, kjer so ukrepi lahko bo</w:t>
      </w:r>
      <w:r>
        <w:rPr>
          <w:noProof/>
          <w:szCs w:val="24"/>
          <w:shd w:val="clear" w:color="auto" w:fill="FFFFFF"/>
        </w:rPr>
        <w:t>lj odprti ali širše opredeljeni, je vmesna ocena razkrila nevarnost slabše usmerjenosti takih ukrepov. Obstajajo možnosti za racionalizacijo meril dodane vrednosti za osredotočenost na tri ključna področja: obravnavanje resnih čezmejnih nevarnosti za zdrav</w:t>
      </w:r>
      <w:r>
        <w:rPr>
          <w:noProof/>
          <w:szCs w:val="24"/>
          <w:shd w:val="clear" w:color="auto" w:fill="FFFFFF"/>
        </w:rPr>
        <w:t>je, izboljšanje ekonomije obsega ter spodbujanje izmenjave in izvajanja dobrih praks. Pri spremljanju uporabe podatkov je bilo ugotovljenih nekaj primerov neučinkovitosti in nezadostnosti, kar lahko vodjem programov oteži posodobljeni pregled nad dosežki P</w:t>
      </w:r>
      <w:r>
        <w:rPr>
          <w:noProof/>
          <w:szCs w:val="24"/>
          <w:shd w:val="clear" w:color="auto" w:fill="FFFFFF"/>
        </w:rPr>
        <w:t>rograma.</w:t>
      </w:r>
    </w:p>
    <w:p w:rsidR="00FD37A3" w:rsidRDefault="0072500C">
      <w:pPr>
        <w:pStyle w:val="Point1"/>
        <w:rPr>
          <w:b/>
          <w:noProof/>
          <w:u w:color="000000"/>
          <w:bdr w:val="nil"/>
        </w:rPr>
      </w:pPr>
      <w:r>
        <w:rPr>
          <w:b/>
          <w:noProof/>
          <w:u w:color="000000"/>
          <w:bdr w:val="nil"/>
        </w:rPr>
        <w:t>•</w:t>
      </w:r>
      <w:r>
        <w:rPr>
          <w:b/>
          <w:noProof/>
          <w:u w:color="000000"/>
          <w:bdr w:val="nil"/>
        </w:rPr>
        <w:tab/>
        <w:t>Posvetovanja z zainteresiranimi stranmi</w:t>
      </w:r>
    </w:p>
    <w:p w:rsidR="00FD37A3" w:rsidRDefault="0072500C">
      <w:pPr>
        <w:pStyle w:val="Text2"/>
        <w:rPr>
          <w:noProof/>
          <w:szCs w:val="24"/>
          <w:shd w:val="clear" w:color="auto" w:fill="FFFFFF"/>
        </w:rPr>
      </w:pPr>
      <w:r>
        <w:rPr>
          <w:noProof/>
          <w:szCs w:val="24"/>
          <w:shd w:val="clear" w:color="auto" w:fill="FFFFFF"/>
        </w:rPr>
        <w:t>V okviru prvotnega predloga za naslednji večletni finančni okvir je bilo zdravje vključeno v Evropski socialni sklad plus (ESS+). Takrat je bila izvedena vrsta posvetovanj z zainteresiranimi stranmi, in si</w:t>
      </w:r>
      <w:r>
        <w:rPr>
          <w:noProof/>
          <w:szCs w:val="24"/>
          <w:shd w:val="clear" w:color="auto" w:fill="FFFFFF"/>
        </w:rPr>
        <w:t>cer z glavnimi organizacijami in institucijami EU na področju socialne in zaposlitvene politike ter ustreznimi javnimi organi na vseh ravneh upravljanja, socialnimi partnerji, organizacijami civilne družbe, upravičenci do financiranja in končnimi uporabnik</w:t>
      </w:r>
      <w:r>
        <w:rPr>
          <w:noProof/>
          <w:szCs w:val="24"/>
          <w:shd w:val="clear" w:color="auto" w:fill="FFFFFF"/>
        </w:rPr>
        <w:t>i ter državljankami in državljani po vsej EU. Splošni sklepi, ki so pomembni tudi za novi program, so bili povezani s potrebo po racionalizaciji izmenjave znanja med državami in regijami ter poenostavitvi in zmanjšanju upravnega bremena za upravičence, vkl</w:t>
      </w:r>
      <w:r>
        <w:rPr>
          <w:noProof/>
          <w:szCs w:val="24"/>
          <w:shd w:val="clear" w:color="auto" w:fill="FFFFFF"/>
        </w:rPr>
        <w:t xml:space="preserve">jučno z manj obremenjujočimi zahtevami za zbiranje podatkov od udeležencev. Pozvano je bilo k okrepitvi sinergij ter preprečitvi podvajanja in prekrivanja med instrumenti EU. </w:t>
      </w:r>
    </w:p>
    <w:p w:rsidR="00FD37A3" w:rsidRDefault="0072500C">
      <w:pPr>
        <w:pStyle w:val="Text2"/>
        <w:rPr>
          <w:noProof/>
          <w:szCs w:val="24"/>
          <w:shd w:val="clear" w:color="auto" w:fill="FFFFFF"/>
        </w:rPr>
      </w:pPr>
      <w:r>
        <w:rPr>
          <w:noProof/>
          <w:szCs w:val="24"/>
          <w:shd w:val="clear" w:color="auto" w:fill="FFFFFF"/>
        </w:rPr>
        <w:t>Ugotovljeno je bilo, da je mogoče vprašanja javnega zdravja učinkovito obravnava</w:t>
      </w:r>
      <w:r>
        <w:rPr>
          <w:noProof/>
          <w:szCs w:val="24"/>
          <w:shd w:val="clear" w:color="auto" w:fill="FFFFFF"/>
        </w:rPr>
        <w:t>ti samo s sodelovanjem na ravni EU. Navedeno je bilo, da EU zagotavlja dodano vrednost pri obravnavi skupnih izzivov, kot so neenakosti v zdravju, migracije, staranje prebivalstva, varnost pacientov, visokokakovostno zdravstveno varstvo in obravnavanje res</w:t>
      </w:r>
      <w:r>
        <w:rPr>
          <w:noProof/>
          <w:szCs w:val="24"/>
          <w:shd w:val="clear" w:color="auto" w:fill="FFFFFF"/>
        </w:rPr>
        <w:t xml:space="preserve">nih nevarnosti za zdravje, vključno z nenalezljivimi in nalezljivimi boleznimi ter antimikrobično odpornostjo. </w:t>
      </w:r>
    </w:p>
    <w:p w:rsidR="00FD37A3" w:rsidRDefault="0072500C">
      <w:pPr>
        <w:pStyle w:val="Point1"/>
        <w:rPr>
          <w:b/>
          <w:noProof/>
          <w:u w:color="000000"/>
          <w:bdr w:val="nil"/>
        </w:rPr>
      </w:pPr>
      <w:r>
        <w:rPr>
          <w:b/>
          <w:noProof/>
          <w:u w:color="000000"/>
          <w:bdr w:val="nil"/>
        </w:rPr>
        <w:t>•</w:t>
      </w:r>
      <w:r>
        <w:rPr>
          <w:b/>
          <w:noProof/>
          <w:u w:color="000000"/>
          <w:bdr w:val="nil"/>
        </w:rPr>
        <w:tab/>
        <w:t>Zunanje strokovno mnenje</w:t>
      </w:r>
    </w:p>
    <w:p w:rsidR="00FD37A3" w:rsidRDefault="0072500C">
      <w:pPr>
        <w:pStyle w:val="Text2"/>
        <w:rPr>
          <w:noProof/>
          <w:szCs w:val="24"/>
          <w:shd w:val="clear" w:color="auto" w:fill="FFFFFF"/>
        </w:rPr>
      </w:pPr>
      <w:r>
        <w:rPr>
          <w:noProof/>
          <w:szCs w:val="24"/>
          <w:shd w:val="clear" w:color="auto" w:fill="FFFFFF"/>
        </w:rPr>
        <w:t>Ni relevantno.</w:t>
      </w:r>
    </w:p>
    <w:p w:rsidR="00FD37A3" w:rsidRDefault="0072500C">
      <w:pPr>
        <w:pStyle w:val="Point1"/>
        <w:rPr>
          <w:b/>
          <w:noProof/>
          <w:u w:color="000000"/>
          <w:bdr w:val="nil"/>
        </w:rPr>
      </w:pPr>
      <w:r>
        <w:rPr>
          <w:b/>
          <w:noProof/>
          <w:u w:color="000000"/>
          <w:bdr w:val="nil"/>
        </w:rPr>
        <w:t>•</w:t>
      </w:r>
      <w:r>
        <w:rPr>
          <w:b/>
          <w:noProof/>
          <w:u w:color="000000"/>
          <w:bdr w:val="nil"/>
        </w:rPr>
        <w:tab/>
        <w:t>Ocena učinka</w:t>
      </w:r>
    </w:p>
    <w:p w:rsidR="00FD37A3" w:rsidRDefault="0072500C">
      <w:pPr>
        <w:pStyle w:val="Text2"/>
        <w:rPr>
          <w:noProof/>
          <w:szCs w:val="24"/>
          <w:shd w:val="clear" w:color="auto" w:fill="FFFFFF"/>
        </w:rPr>
      </w:pPr>
      <w:r>
        <w:rPr>
          <w:noProof/>
          <w:szCs w:val="24"/>
          <w:shd w:val="clear" w:color="auto" w:fill="FFFFFF"/>
        </w:rPr>
        <w:t xml:space="preserve">Predlog za program Evropski socialni sklad plus (ESS+) v okviru naslednjega večletnega </w:t>
      </w:r>
      <w:r>
        <w:rPr>
          <w:noProof/>
          <w:szCs w:val="24"/>
          <w:shd w:val="clear" w:color="auto" w:fill="FFFFFF"/>
        </w:rPr>
        <w:t>finančnega okvira, vključno z zdravjem, je bil podprt z oceno učinka, ki jo je 18. aprila 2018 obravnaval Odbor za regulativni nadzor v okviru programa večletnega finančnega okvira za enotni trg in izdal pozitivno mnenje. Vsi cilji na področju zdravja iz p</w:t>
      </w:r>
      <w:r>
        <w:rPr>
          <w:noProof/>
          <w:szCs w:val="24"/>
          <w:shd w:val="clear" w:color="auto" w:fill="FFFFFF"/>
        </w:rPr>
        <w:t xml:space="preserve">rvotnega predloga se ohranijo, pri čemer ima prednost odzivanje in pripravljenost EU in držav članic na prihodnje krize v javnem zdravju po koncu pandemije COVID-19. Splošni in posebni cilji so bili usklajeni s političnimi prednostnimi nalogami Komisije v </w:t>
      </w:r>
      <w:r>
        <w:rPr>
          <w:noProof/>
          <w:szCs w:val="24"/>
          <w:shd w:val="clear" w:color="auto" w:fill="FFFFFF"/>
        </w:rPr>
        <w:t>zvezi z zdravili in rakom.</w:t>
      </w:r>
    </w:p>
    <w:p w:rsidR="00FD37A3" w:rsidRDefault="0072500C">
      <w:pPr>
        <w:pStyle w:val="Point1"/>
        <w:rPr>
          <w:b/>
          <w:noProof/>
          <w:u w:color="000000"/>
          <w:bdr w:val="nil"/>
        </w:rPr>
      </w:pPr>
      <w:r>
        <w:rPr>
          <w:b/>
          <w:noProof/>
          <w:u w:color="000000"/>
          <w:bdr w:val="nil"/>
        </w:rPr>
        <w:t>•</w:t>
      </w:r>
      <w:r>
        <w:rPr>
          <w:b/>
          <w:noProof/>
          <w:u w:color="000000"/>
          <w:bdr w:val="nil"/>
        </w:rPr>
        <w:tab/>
        <w:t>Poenostavitev</w:t>
      </w:r>
    </w:p>
    <w:p w:rsidR="00FD37A3" w:rsidRDefault="0072500C">
      <w:pPr>
        <w:pStyle w:val="Text2"/>
        <w:rPr>
          <w:noProof/>
          <w:szCs w:val="24"/>
          <w:shd w:val="clear" w:color="auto" w:fill="FFFFFF"/>
        </w:rPr>
      </w:pPr>
      <w:r>
        <w:rPr>
          <w:noProof/>
          <w:szCs w:val="24"/>
          <w:shd w:val="clear" w:color="auto" w:fill="FFFFFF"/>
        </w:rPr>
        <w:t>Ni relevantno.</w:t>
      </w:r>
    </w:p>
    <w:p w:rsidR="00FD37A3" w:rsidRDefault="0072500C">
      <w:pPr>
        <w:pStyle w:val="Point1"/>
        <w:rPr>
          <w:b/>
          <w:noProof/>
          <w:u w:color="000000"/>
          <w:bdr w:val="nil"/>
        </w:rPr>
      </w:pPr>
      <w:r>
        <w:rPr>
          <w:b/>
          <w:noProof/>
          <w:u w:color="000000"/>
          <w:bdr w:val="nil"/>
        </w:rPr>
        <w:t>•</w:t>
      </w:r>
      <w:r>
        <w:rPr>
          <w:b/>
          <w:noProof/>
          <w:u w:color="000000"/>
          <w:bdr w:val="nil"/>
        </w:rPr>
        <w:tab/>
        <w:t>Temeljne pravice</w:t>
      </w:r>
    </w:p>
    <w:p w:rsidR="00FD37A3" w:rsidRDefault="0072500C">
      <w:pPr>
        <w:pStyle w:val="Text2"/>
        <w:rPr>
          <w:noProof/>
        </w:rPr>
      </w:pPr>
      <w:r>
        <w:rPr>
          <w:noProof/>
          <w:szCs w:val="24"/>
          <w:shd w:val="clear" w:color="auto" w:fill="FFFFFF"/>
        </w:rPr>
        <w:t>Program EU za zdravje bo prispeval k Listini Evropske unije o temeljnih pravicah, saj je njegov cilj izboljšati dostop do preventivnega zdravstvenega varstva in pravico do zdravni</w:t>
      </w:r>
      <w:r>
        <w:rPr>
          <w:noProof/>
          <w:szCs w:val="24"/>
          <w:shd w:val="clear" w:color="auto" w:fill="FFFFFF"/>
        </w:rPr>
        <w:t>ške oskrbe v skladu s pogoji, ki jih določajo nacionalne zakonodaje in običaji. Novi program je tudi usklajen s ciljem Listine, da je treba pri opredeljevanju in izvajanju vseh politik in dejavnosti Unije zagotavljati visoko raven varovanja zdravja ljudi.</w:t>
      </w:r>
    </w:p>
    <w:p w:rsidR="00FD37A3" w:rsidRDefault="0072500C">
      <w:pPr>
        <w:pStyle w:val="ManualHeading1"/>
        <w:rPr>
          <w:noProof/>
        </w:rPr>
      </w:pPr>
      <w:r>
        <w:rPr>
          <w:noProof/>
        </w:rPr>
        <w:t>4.</w:t>
      </w:r>
      <w:r>
        <w:rPr>
          <w:noProof/>
        </w:rPr>
        <w:tab/>
        <w:t>PRORAČUNSKE POSLEDICE</w:t>
      </w:r>
    </w:p>
    <w:p w:rsidR="00FD37A3" w:rsidRDefault="0072500C">
      <w:pPr>
        <w:pStyle w:val="Text1"/>
        <w:rPr>
          <w:noProof/>
          <w:szCs w:val="24"/>
          <w:shd w:val="clear" w:color="auto" w:fill="FFFFFF"/>
        </w:rPr>
      </w:pPr>
      <w:r>
        <w:rPr>
          <w:noProof/>
          <w:szCs w:val="24"/>
          <w:shd w:val="clear" w:color="auto" w:fill="FFFFFF"/>
        </w:rPr>
        <w:t>Skupni proračun, dodeljen za Program EU za zdravje, znaša 10 397 614 000 EUR (v tekočih cenah) za obdobje 2021–2027.</w:t>
      </w:r>
    </w:p>
    <w:p w:rsidR="00FD37A3" w:rsidRDefault="0072500C">
      <w:pPr>
        <w:pStyle w:val="Point1"/>
        <w:rPr>
          <w:noProof/>
          <w:shd w:val="clear" w:color="auto" w:fill="FFFFFF"/>
        </w:rPr>
      </w:pPr>
      <w:r>
        <w:rPr>
          <w:noProof/>
          <w:shd w:val="clear" w:color="auto" w:fill="FFFFFF"/>
        </w:rPr>
        <w:t>1.</w:t>
      </w:r>
      <w:r>
        <w:rPr>
          <w:noProof/>
          <w:shd w:val="clear" w:color="auto" w:fill="FFFFFF"/>
        </w:rPr>
        <w:tab/>
      </w:r>
      <w:r>
        <w:rPr>
          <w:noProof/>
          <w:szCs w:val="24"/>
          <w:shd w:val="clear" w:color="auto" w:fill="FFFFFF"/>
        </w:rPr>
        <w:t>1 946 614 000</w:t>
      </w:r>
      <w:r>
        <w:rPr>
          <w:noProof/>
          <w:shd w:val="clear" w:color="auto" w:fill="FFFFFF"/>
        </w:rPr>
        <w:t> EUR izhaja iz razdelka 5</w:t>
      </w:r>
      <w:r>
        <w:rPr>
          <w:noProof/>
        </w:rPr>
        <w:t xml:space="preserve"> „Odpornost, varnost in obramba“ </w:t>
      </w:r>
      <w:r>
        <w:rPr>
          <w:noProof/>
          <w:shd w:val="clear" w:color="auto" w:fill="FFFFFF"/>
        </w:rPr>
        <w:t xml:space="preserve">večletnega finančnega okvira za obdobje </w:t>
      </w:r>
      <w:r>
        <w:rPr>
          <w:noProof/>
          <w:shd w:val="clear" w:color="auto" w:fill="FFFFFF"/>
        </w:rPr>
        <w:t>2021–2027;</w:t>
      </w:r>
    </w:p>
    <w:p w:rsidR="00FD37A3" w:rsidRDefault="0072500C">
      <w:pPr>
        <w:pStyle w:val="Point1"/>
        <w:rPr>
          <w:noProof/>
          <w:sz w:val="28"/>
          <w:szCs w:val="28"/>
          <w:shd w:val="clear" w:color="auto" w:fill="FFFFFF"/>
        </w:rPr>
      </w:pPr>
      <w:r>
        <w:rPr>
          <w:noProof/>
          <w:szCs w:val="24"/>
          <w:shd w:val="clear" w:color="auto" w:fill="FFFFFF"/>
        </w:rPr>
        <w:t>2.</w:t>
      </w:r>
      <w:r>
        <w:rPr>
          <w:noProof/>
          <w:szCs w:val="24"/>
          <w:shd w:val="clear" w:color="auto" w:fill="FFFFFF"/>
        </w:rPr>
        <w:tab/>
        <w:t>8 451 000 000 EUR izhaja iz prihodkov Instrumenta Evropske unije za okrevanje [/Uredba xxx], ki so zunanji namenski prejemki v skladu s členom 21(5) finančne uredbe.</w:t>
      </w:r>
    </w:p>
    <w:p w:rsidR="00FD37A3" w:rsidRDefault="0072500C">
      <w:pPr>
        <w:pStyle w:val="ManualHeading1"/>
        <w:rPr>
          <w:noProof/>
        </w:rPr>
      </w:pPr>
      <w:r>
        <w:rPr>
          <w:noProof/>
        </w:rPr>
        <w:t>5.</w:t>
      </w:r>
      <w:r>
        <w:rPr>
          <w:noProof/>
        </w:rPr>
        <w:tab/>
        <w:t>DRUGI ELEMENTI</w:t>
      </w:r>
    </w:p>
    <w:p w:rsidR="00FD37A3" w:rsidRDefault="0072500C">
      <w:pPr>
        <w:pStyle w:val="Point1"/>
        <w:rPr>
          <w:b/>
          <w:noProof/>
          <w:u w:color="000000"/>
          <w:bdr w:val="nil"/>
        </w:rPr>
      </w:pPr>
      <w:r>
        <w:rPr>
          <w:b/>
          <w:noProof/>
          <w:u w:color="000000"/>
          <w:bdr w:val="nil"/>
        </w:rPr>
        <w:t>•</w:t>
      </w:r>
      <w:r>
        <w:rPr>
          <w:b/>
          <w:noProof/>
          <w:u w:color="000000"/>
          <w:bdr w:val="nil"/>
        </w:rPr>
        <w:tab/>
        <w:t xml:space="preserve">Načrti za izvedbo ter ureditev spremljanja, ocenjevanja </w:t>
      </w:r>
      <w:r>
        <w:rPr>
          <w:b/>
          <w:noProof/>
          <w:u w:color="000000"/>
          <w:bdr w:val="nil"/>
        </w:rPr>
        <w:t>in poročanja</w:t>
      </w:r>
    </w:p>
    <w:p w:rsidR="00FD37A3" w:rsidRDefault="0072500C">
      <w:pPr>
        <w:pStyle w:val="Text2"/>
        <w:rPr>
          <w:noProof/>
        </w:rPr>
      </w:pPr>
      <w:r>
        <w:rPr>
          <w:noProof/>
        </w:rPr>
        <w:t xml:space="preserve">Predlagani Program EU za zdravje se bo izvajal predvsem z neposrednim upravljanjem, zlasti z uporabo nepovratnih sredstev, nagrad in javnih naročil, pa tudi s posrednim upravljanjem. </w:t>
      </w:r>
    </w:p>
    <w:p w:rsidR="00FD37A3" w:rsidRDefault="0072500C">
      <w:pPr>
        <w:pStyle w:val="Text2"/>
        <w:rPr>
          <w:noProof/>
        </w:rPr>
      </w:pPr>
      <w:r>
        <w:rPr>
          <w:noProof/>
        </w:rPr>
        <w:t xml:space="preserve">Del Programa EU za zdravje bodo predvidoma izvajale izvajalske agencije. </w:t>
      </w:r>
    </w:p>
    <w:p w:rsidR="00FD37A3" w:rsidRDefault="0072500C">
      <w:pPr>
        <w:pStyle w:val="Text2"/>
        <w:rPr>
          <w:noProof/>
          <w:szCs w:val="24"/>
          <w:shd w:val="clear" w:color="auto" w:fill="FFFFFF"/>
        </w:rPr>
      </w:pPr>
      <w:r>
        <w:rPr>
          <w:noProof/>
          <w:szCs w:val="24"/>
          <w:shd w:val="clear" w:color="auto" w:fill="FFFFFF"/>
        </w:rPr>
        <w:t>Za spremljanje izvajanja se bodo rezultati in izložki Programa redno ocenjevali z opredeljenimi kazalniki za posebne delovne načrte. Posebna pozornost bo namenjena spremljanju usklaj</w:t>
      </w:r>
      <w:r>
        <w:rPr>
          <w:noProof/>
          <w:szCs w:val="24"/>
          <w:shd w:val="clear" w:color="auto" w:fill="FFFFFF"/>
        </w:rPr>
        <w:t xml:space="preserve">evanja ustreznih programov porabe za zdravje, da bi se preprečilo dvojno financiranje in zagotovile sinergije. </w:t>
      </w:r>
    </w:p>
    <w:p w:rsidR="00FD37A3" w:rsidRDefault="0072500C">
      <w:pPr>
        <w:pStyle w:val="Text2"/>
        <w:rPr>
          <w:b/>
          <w:noProof/>
          <w:sz w:val="28"/>
          <w:szCs w:val="28"/>
          <w:shd w:val="clear" w:color="auto" w:fill="FFFFFF"/>
        </w:rPr>
      </w:pPr>
      <w:r>
        <w:rPr>
          <w:noProof/>
          <w:szCs w:val="24"/>
          <w:shd w:val="clear" w:color="auto" w:fill="FFFFFF"/>
        </w:rPr>
        <w:t>Komisija bo izvedla</w:t>
      </w:r>
      <w:r>
        <w:rPr>
          <w:noProof/>
        </w:rPr>
        <w:t xml:space="preserve"> vmesno in končno oceno Programa, da oceni njegovo uspešnost, učinkovitost, ustreznost, skladnost in dodano vrednost v skladu</w:t>
      </w:r>
      <w:r>
        <w:rPr>
          <w:noProof/>
        </w:rPr>
        <w:t xml:space="preserve"> z odstavkom 3 člena 34 finančne uredbe</w:t>
      </w:r>
      <w:r>
        <w:rPr>
          <w:noProof/>
          <w:szCs w:val="24"/>
          <w:shd w:val="clear" w:color="auto" w:fill="FFFFFF"/>
        </w:rPr>
        <w:t>.</w:t>
      </w:r>
    </w:p>
    <w:p w:rsidR="00FD37A3" w:rsidRDefault="0072500C">
      <w:pPr>
        <w:pStyle w:val="Point1"/>
        <w:rPr>
          <w:rFonts w:eastAsia="Arial Unicode MS"/>
          <w:b/>
          <w:noProof/>
          <w:u w:color="000000"/>
          <w:bdr w:val="nil"/>
        </w:rPr>
      </w:pPr>
      <w:r>
        <w:rPr>
          <w:b/>
          <w:noProof/>
          <w:u w:color="000000"/>
          <w:bdr w:val="nil"/>
        </w:rPr>
        <w:t>•</w:t>
      </w:r>
      <w:r>
        <w:rPr>
          <w:b/>
          <w:noProof/>
          <w:u w:color="000000"/>
          <w:bdr w:val="nil"/>
        </w:rPr>
        <w:tab/>
        <w:t>Natančnejša pojasnitev posameznih določb predloga</w:t>
      </w:r>
    </w:p>
    <w:p w:rsidR="00FD37A3" w:rsidRDefault="0072500C">
      <w:pPr>
        <w:pStyle w:val="Text2"/>
        <w:rPr>
          <w:noProof/>
          <w:u w:val="single"/>
        </w:rPr>
      </w:pPr>
      <w:r>
        <w:rPr>
          <w:noProof/>
          <w:u w:val="single"/>
        </w:rPr>
        <w:t>Poglavje I – Splošne določbe</w:t>
      </w:r>
    </w:p>
    <w:p w:rsidR="00FD37A3" w:rsidRDefault="0072500C">
      <w:pPr>
        <w:pStyle w:val="Text2"/>
        <w:rPr>
          <w:noProof/>
        </w:rPr>
      </w:pPr>
      <w:r>
        <w:rPr>
          <w:noProof/>
        </w:rPr>
        <w:t>Uredba vzpostavlja Program EU za zdravje za ukrepe Unije na področju zdravja za obdobje 2021–2027.</w:t>
      </w:r>
    </w:p>
    <w:p w:rsidR="00FD37A3" w:rsidRDefault="0072500C">
      <w:pPr>
        <w:pStyle w:val="Text2"/>
        <w:rPr>
          <w:noProof/>
        </w:rPr>
      </w:pPr>
      <w:r>
        <w:rPr>
          <w:noProof/>
        </w:rPr>
        <w:t>V členu 3 Uredbe so določeni nasled</w:t>
      </w:r>
      <w:r>
        <w:rPr>
          <w:noProof/>
        </w:rPr>
        <w:t>nji splošni cilji Programa:</w:t>
      </w:r>
    </w:p>
    <w:p w:rsidR="00FD37A3" w:rsidRDefault="0072500C">
      <w:pPr>
        <w:pStyle w:val="Point2"/>
        <w:rPr>
          <w:noProof/>
        </w:rPr>
      </w:pPr>
      <w:r>
        <w:rPr>
          <w:noProof/>
        </w:rPr>
        <w:t>(1)</w:t>
      </w:r>
      <w:r>
        <w:rPr>
          <w:noProof/>
        </w:rPr>
        <w:tab/>
        <w:t xml:space="preserve">varovanje ljudi v Uniji pred resnimi čezmejnimi nevarnostmi za zdravje; </w:t>
      </w:r>
    </w:p>
    <w:p w:rsidR="00FD37A3" w:rsidRDefault="0072500C">
      <w:pPr>
        <w:pStyle w:val="Point2"/>
        <w:rPr>
          <w:noProof/>
          <w:szCs w:val="24"/>
        </w:rPr>
      </w:pPr>
      <w:r>
        <w:rPr>
          <w:noProof/>
        </w:rPr>
        <w:t>(2)</w:t>
      </w:r>
      <w:r>
        <w:rPr>
          <w:noProof/>
        </w:rPr>
        <w:tab/>
        <w:t>razpoložljivost zdravil, medicinskih pripomočkov in drugih v krizi pomembnih izdelkov v Uniji, prispevanje k njihovi cenovni dostopnosti in podpira</w:t>
      </w:r>
      <w:r>
        <w:rPr>
          <w:noProof/>
        </w:rPr>
        <w:t>nje inovacij;</w:t>
      </w:r>
    </w:p>
    <w:p w:rsidR="00FD37A3" w:rsidRDefault="0072500C">
      <w:pPr>
        <w:pStyle w:val="Point2"/>
        <w:rPr>
          <w:noProof/>
        </w:rPr>
      </w:pPr>
      <w:r>
        <w:rPr>
          <w:noProof/>
        </w:rPr>
        <w:t>(3)</w:t>
      </w:r>
      <w:r>
        <w:rPr>
          <w:noProof/>
        </w:rPr>
        <w:tab/>
        <w:t>krepitev zdravstvenih sistemov in delovne sile v zdravstvu, vključno z digitalno preobrazbo ter z bolj integriranim in usklajenim delom med državami članicami ter s stalnim izvajanjem dobre prakse in izmenjave podatkov, da se zviša splošn</w:t>
      </w:r>
      <w:r>
        <w:rPr>
          <w:noProof/>
        </w:rPr>
        <w:t>a raven javnega zdravja.</w:t>
      </w:r>
    </w:p>
    <w:p w:rsidR="00FD37A3" w:rsidRDefault="0072500C">
      <w:pPr>
        <w:pStyle w:val="Text2"/>
        <w:rPr>
          <w:noProof/>
        </w:rPr>
      </w:pPr>
      <w:r>
        <w:rPr>
          <w:noProof/>
        </w:rPr>
        <w:t xml:space="preserve">Člen 4 določa posebne cilje Programa. </w:t>
      </w:r>
    </w:p>
    <w:p w:rsidR="00FD37A3" w:rsidRDefault="0072500C">
      <w:pPr>
        <w:pStyle w:val="Text2"/>
        <w:rPr>
          <w:noProof/>
        </w:rPr>
      </w:pPr>
      <w:r>
        <w:rPr>
          <w:noProof/>
        </w:rPr>
        <w:t xml:space="preserve">V členih 5 in 6 so določeni proračun Programa in pravila o sredstvih, ki izhajajo iz zneskov, ki so na voljo z Uredbo </w:t>
      </w:r>
      <w:bookmarkStart w:id="0" w:name="_GoBack"/>
      <w:r>
        <w:rPr>
          <w:noProof/>
        </w:rPr>
        <w:t>[</w:t>
      </w:r>
      <w:r w:rsidRPr="0072500C">
        <w:rPr>
          <w:noProof/>
        </w:rPr>
        <w:t>o Instrumentu Evropske unije za okrevanje</w:t>
      </w:r>
      <w:r>
        <w:rPr>
          <w:noProof/>
        </w:rPr>
        <w:t>].</w:t>
      </w:r>
    </w:p>
    <w:bookmarkEnd w:id="0"/>
    <w:p w:rsidR="00FD37A3" w:rsidRDefault="0072500C">
      <w:pPr>
        <w:pStyle w:val="Text2"/>
        <w:rPr>
          <w:noProof/>
        </w:rPr>
      </w:pPr>
      <w:r>
        <w:rPr>
          <w:noProof/>
        </w:rPr>
        <w:t>Pri Programu lahko sodelujejo</w:t>
      </w:r>
      <w:r>
        <w:rPr>
          <w:noProof/>
        </w:rPr>
        <w:t xml:space="preserve"> vsi pravni subjekti s sedežem v državi članici ali tretji državi, ki sodeluje v Programu, pri čemer ni dodatnih omejitev dostopa do Programa.</w:t>
      </w:r>
    </w:p>
    <w:p w:rsidR="00FD37A3" w:rsidRDefault="0072500C">
      <w:pPr>
        <w:pStyle w:val="Text2"/>
        <w:rPr>
          <w:noProof/>
          <w:u w:val="single"/>
        </w:rPr>
      </w:pPr>
      <w:r>
        <w:rPr>
          <w:noProof/>
          <w:u w:val="single"/>
        </w:rPr>
        <w:t>Poglavje II – Financiranje</w:t>
      </w:r>
    </w:p>
    <w:p w:rsidR="00FD37A3" w:rsidRDefault="0072500C">
      <w:pPr>
        <w:pStyle w:val="Text2"/>
        <w:rPr>
          <w:noProof/>
        </w:rPr>
      </w:pPr>
      <w:r>
        <w:rPr>
          <w:noProof/>
        </w:rPr>
        <w:t>Program se bo izvajal z neposrednim ali posrednim upravljanjem in bo koristil najpogos</w:t>
      </w:r>
      <w:r>
        <w:rPr>
          <w:noProof/>
        </w:rPr>
        <w:t xml:space="preserve">teje uporabljene mehanizme porabe proračuna Unije, vključno z javnimi naročili, nagradami in nepovratnimi sredstvi. V členih 8 in 9 so določeni posebne določbe za javno naročanje v izrednih razmerah, možnost mešanega financiranja in pravila o kumulativnem </w:t>
      </w:r>
      <w:r>
        <w:rPr>
          <w:noProof/>
        </w:rPr>
        <w:t xml:space="preserve">financiranju. </w:t>
      </w:r>
    </w:p>
    <w:p w:rsidR="00FD37A3" w:rsidRDefault="0072500C">
      <w:pPr>
        <w:pStyle w:val="Text2"/>
        <w:rPr>
          <w:noProof/>
          <w:u w:val="single"/>
        </w:rPr>
      </w:pPr>
      <w:r>
        <w:rPr>
          <w:noProof/>
          <w:u w:val="single"/>
        </w:rPr>
        <w:t xml:space="preserve">Poglavje III – Ukrepi </w:t>
      </w:r>
    </w:p>
    <w:p w:rsidR="00FD37A3" w:rsidRDefault="0072500C">
      <w:pPr>
        <w:pStyle w:val="Text2"/>
        <w:rPr>
          <w:noProof/>
        </w:rPr>
      </w:pPr>
      <w:r>
        <w:rPr>
          <w:noProof/>
        </w:rPr>
        <w:t xml:space="preserve">To poglavje določa pravila o upravičenih ukrepih, subjektih in stroških. </w:t>
      </w:r>
    </w:p>
    <w:p w:rsidR="00FD37A3" w:rsidRDefault="0072500C">
      <w:pPr>
        <w:pStyle w:val="Text2"/>
        <w:rPr>
          <w:noProof/>
        </w:rPr>
      </w:pPr>
      <w:r>
        <w:rPr>
          <w:noProof/>
        </w:rPr>
        <w:t>V Prilogi I k Uredbi je naveden neizčrpen seznam ukrepov, ki se lahko financirajo iz Programa. Ukrepi se štejejo za upravičene, če se z njimi iz</w:t>
      </w:r>
      <w:r>
        <w:rPr>
          <w:noProof/>
        </w:rPr>
        <w:t xml:space="preserve">vajajo cilji iz členov 3 in 4. </w:t>
      </w:r>
    </w:p>
    <w:p w:rsidR="00FD37A3" w:rsidRDefault="0072500C">
      <w:pPr>
        <w:pStyle w:val="Text2"/>
        <w:rPr>
          <w:noProof/>
        </w:rPr>
      </w:pPr>
      <w:r>
        <w:rPr>
          <w:noProof/>
        </w:rPr>
        <w:t>Člen 15 v zvezi s stroški določa možnost, da se v primeru ukrepov, ki prispevajo k varovanju ljudi v Uniji pred resnimi nevarnostmi za zdravje, in v drugih izjemnih primerih stroški, ki so nastali pred datumom vložitve vloge</w:t>
      </w:r>
      <w:r>
        <w:rPr>
          <w:noProof/>
        </w:rPr>
        <w:t xml:space="preserve"> za nepovratna sredstva, pod določenimi pogoji štejejo za upravičene. V podobno izjemnih primerih in prav tako pod določenimi pogoji se lahko za upravičene štejejo tudi stroški, ki so jih imeli subjekti s sedežem v nepridruženih državah zaradi čezmejne kri</w:t>
      </w:r>
      <w:r>
        <w:rPr>
          <w:noProof/>
        </w:rPr>
        <w:t xml:space="preserve">ze. </w:t>
      </w:r>
    </w:p>
    <w:p w:rsidR="00FD37A3" w:rsidRDefault="0072500C">
      <w:pPr>
        <w:pStyle w:val="Text2"/>
        <w:rPr>
          <w:noProof/>
        </w:rPr>
      </w:pPr>
      <w:r>
        <w:rPr>
          <w:noProof/>
        </w:rPr>
        <w:t xml:space="preserve">Da se doseže največja možna poenostavitev, Uredba določa dodatne pogoje ali odstopanja od finančne uredbe glede zahtev za upravičenost za subjekte, izvzetja iz zahteve glede razpisa za zbiranje predlogov, pravila za sofinanciranje, upravičene stroške </w:t>
      </w:r>
      <w:r>
        <w:rPr>
          <w:noProof/>
        </w:rPr>
        <w:t>itd.</w:t>
      </w:r>
    </w:p>
    <w:p w:rsidR="00FD37A3" w:rsidRDefault="0072500C">
      <w:pPr>
        <w:pStyle w:val="Text2"/>
        <w:rPr>
          <w:noProof/>
          <w:u w:val="single"/>
        </w:rPr>
      </w:pPr>
      <w:r>
        <w:rPr>
          <w:noProof/>
          <w:u w:val="single"/>
        </w:rPr>
        <w:t>Poglavje IV – Upravljanje</w:t>
      </w:r>
    </w:p>
    <w:p w:rsidR="00FD37A3" w:rsidRDefault="0072500C">
      <w:pPr>
        <w:pStyle w:val="Text2"/>
        <w:rPr>
          <w:noProof/>
        </w:rPr>
      </w:pPr>
      <w:r>
        <w:rPr>
          <w:noProof/>
        </w:rPr>
        <w:t xml:space="preserve">To poglavje določa obveznost Komisije, da se z zdravstvenimi organi držav članic posvetuje o delovnih načrtih za Program, njegovih prednostnih nalogah in strateških usmeritvah ter o njegovem izvajanju. </w:t>
      </w:r>
    </w:p>
    <w:p w:rsidR="00FD37A3" w:rsidRDefault="0072500C">
      <w:pPr>
        <w:pStyle w:val="Text2"/>
        <w:rPr>
          <w:noProof/>
          <w:u w:val="single"/>
        </w:rPr>
      </w:pPr>
      <w:r>
        <w:rPr>
          <w:noProof/>
          <w:u w:val="single"/>
        </w:rPr>
        <w:t xml:space="preserve">Poglavje V – </w:t>
      </w:r>
      <w:r>
        <w:rPr>
          <w:noProof/>
          <w:u w:val="single"/>
        </w:rPr>
        <w:t>Načrtovanje, spremljanje, ocenjevanje in kontrola</w:t>
      </w:r>
    </w:p>
    <w:p w:rsidR="00FD37A3" w:rsidRDefault="0072500C">
      <w:pPr>
        <w:pStyle w:val="Text2"/>
        <w:rPr>
          <w:noProof/>
        </w:rPr>
      </w:pPr>
      <w:r>
        <w:rPr>
          <w:noProof/>
        </w:rPr>
        <w:t>V Prilogo II k Uredbi je vključen seznam kazalnikov Programa, dopolnjen s seznamom bolj specifičnih kazalnikov, ki se uporabljajo za spremljanje smotrnosti Programa. Komisija bo pooblaščena za sprejemanje d</w:t>
      </w:r>
      <w:r>
        <w:rPr>
          <w:noProof/>
        </w:rPr>
        <w:t>elegiranih aktov za spremembo seznama kazalnikov, kadar bo to potrebno.</w:t>
      </w:r>
    </w:p>
    <w:p w:rsidR="00FD37A3" w:rsidRDefault="0072500C">
      <w:pPr>
        <w:pStyle w:val="Text2"/>
        <w:rPr>
          <w:noProof/>
        </w:rPr>
      </w:pPr>
      <w:r>
        <w:rPr>
          <w:noProof/>
        </w:rPr>
        <w:t>Izvedeno bo vmesno in končno ocenjevanje.</w:t>
      </w:r>
    </w:p>
    <w:p w:rsidR="00FD37A3" w:rsidRDefault="0072500C">
      <w:pPr>
        <w:pStyle w:val="Text2"/>
        <w:rPr>
          <w:noProof/>
          <w:u w:val="single"/>
        </w:rPr>
      </w:pPr>
      <w:r>
        <w:rPr>
          <w:noProof/>
          <w:u w:val="single"/>
        </w:rPr>
        <w:t xml:space="preserve">Poglavje VI – Prehodne in končne določbe </w:t>
      </w:r>
    </w:p>
    <w:p w:rsidR="00FD37A3" w:rsidRDefault="0072500C">
      <w:pPr>
        <w:pStyle w:val="Text2"/>
        <w:rPr>
          <w:noProof/>
        </w:rPr>
      </w:pPr>
      <w:r>
        <w:rPr>
          <w:noProof/>
        </w:rPr>
        <w:t xml:space="preserve">To poglavje določa, da mora Komisija izvajati dejavnosti komuniciranja in informiranja o Programu in njegovih ukrepih (kot je določeno tudi v Prilogi I), namenjene različnim ciljnim skupinam. </w:t>
      </w:r>
    </w:p>
    <w:p w:rsidR="00FD37A3" w:rsidRDefault="00FD37A3">
      <w:pPr>
        <w:rPr>
          <w:noProof/>
        </w:rPr>
        <w:sectPr w:rsidR="00FD37A3">
          <w:footerReference w:type="default" r:id="rId9"/>
          <w:footerReference w:type="first" r:id="rId10"/>
          <w:pgSz w:w="11907" w:h="16839"/>
          <w:pgMar w:top="1134" w:right="1417" w:bottom="1134" w:left="1417" w:header="709" w:footer="709" w:gutter="0"/>
          <w:cols w:space="708"/>
          <w:docGrid w:linePitch="360"/>
        </w:sectPr>
      </w:pPr>
    </w:p>
    <w:p w:rsidR="00FD37A3" w:rsidRDefault="0072500C">
      <w:pPr>
        <w:pStyle w:val="Rfrenceinterinstitutionnelle"/>
        <w:rPr>
          <w:noProof/>
        </w:rPr>
      </w:pPr>
      <w:r>
        <w:rPr>
          <w:noProof/>
        </w:rPr>
        <w:t>2020/</w:t>
      </w:r>
      <w:r>
        <w:rPr>
          <w:noProof/>
        </w:rPr>
        <w:t>0102 (COD)</w:t>
      </w:r>
    </w:p>
    <w:p w:rsidR="00FD37A3" w:rsidRDefault="0072500C">
      <w:pPr>
        <w:pStyle w:val="Statut"/>
        <w:rPr>
          <w:noProof/>
        </w:rPr>
      </w:pPr>
      <w:r>
        <w:rPr>
          <w:noProof/>
        </w:rPr>
        <w:t>Predlog</w:t>
      </w:r>
    </w:p>
    <w:p w:rsidR="00FD37A3" w:rsidRDefault="0072500C">
      <w:pPr>
        <w:pStyle w:val="Typedudocument"/>
        <w:rPr>
          <w:noProof/>
        </w:rPr>
      </w:pPr>
      <w:r>
        <w:rPr>
          <w:noProof/>
        </w:rPr>
        <w:t>UREDBA EVROPSKEGA PARLAMENTA IN SVETA</w:t>
      </w:r>
    </w:p>
    <w:p w:rsidR="00FD37A3" w:rsidRDefault="0072500C">
      <w:pPr>
        <w:pStyle w:val="Titreobjet"/>
        <w:rPr>
          <w:noProof/>
        </w:rPr>
      </w:pPr>
      <w:r>
        <w:rPr>
          <w:noProof/>
        </w:rPr>
        <w:t>o vzpostavitvi programa za ukrepe Unije na področju zdravja za obdobje 2021–2027 in razveljavitvi Uredbe (EU) št. 282/2014 („Program EU za zdravje“)</w:t>
      </w:r>
    </w:p>
    <w:p w:rsidR="00FD37A3" w:rsidRDefault="0072500C">
      <w:pPr>
        <w:pStyle w:val="IntrtEEE"/>
        <w:rPr>
          <w:noProof/>
        </w:rPr>
      </w:pPr>
      <w:r>
        <w:rPr>
          <w:noProof/>
        </w:rPr>
        <w:t>(Besedilo velja za EGP)</w:t>
      </w:r>
    </w:p>
    <w:p w:rsidR="00FD37A3" w:rsidRDefault="0072500C">
      <w:pPr>
        <w:pStyle w:val="Institutionquiagit"/>
        <w:rPr>
          <w:noProof/>
        </w:rPr>
      </w:pPr>
      <w:r>
        <w:rPr>
          <w:noProof/>
        </w:rPr>
        <w:t>EVROPSKI PARLAMENT IN SVET</w:t>
      </w:r>
      <w:r>
        <w:rPr>
          <w:noProof/>
        </w:rPr>
        <w:t xml:space="preserve"> EVROPSKE UNIJE STA –</w:t>
      </w:r>
    </w:p>
    <w:p w:rsidR="00FD37A3" w:rsidRDefault="0072500C">
      <w:pPr>
        <w:rPr>
          <w:noProof/>
        </w:rPr>
      </w:pPr>
      <w:r>
        <w:rPr>
          <w:noProof/>
        </w:rPr>
        <w:t>ob upoštevanju Pogodbe o delovanju Evropske unije in zlasti člena 168(5) Pogodbe,</w:t>
      </w:r>
    </w:p>
    <w:p w:rsidR="00FD37A3" w:rsidRDefault="0072500C">
      <w:pPr>
        <w:rPr>
          <w:noProof/>
        </w:rPr>
      </w:pPr>
      <w:r>
        <w:rPr>
          <w:noProof/>
        </w:rPr>
        <w:t>ob upoštevanju predloga Evropske komisije,</w:t>
      </w:r>
    </w:p>
    <w:p w:rsidR="00FD37A3" w:rsidRDefault="0072500C">
      <w:pPr>
        <w:spacing w:before="0" w:after="200"/>
        <w:rPr>
          <w:noProof/>
          <w:szCs w:val="24"/>
        </w:rPr>
      </w:pPr>
      <w:r>
        <w:rPr>
          <w:noProof/>
        </w:rPr>
        <w:t>po posredovanju osnutka zakonodajnega akta nacionalnim parlamentom,</w:t>
      </w:r>
    </w:p>
    <w:p w:rsidR="00FD37A3" w:rsidRDefault="0072500C">
      <w:pPr>
        <w:spacing w:before="0" w:after="200"/>
        <w:rPr>
          <w:noProof/>
          <w:szCs w:val="24"/>
        </w:rPr>
      </w:pPr>
      <w:r>
        <w:rPr>
          <w:noProof/>
        </w:rPr>
        <w:t>ob upoštevanju mnenja Evropskega ekonomsk</w:t>
      </w:r>
      <w:r>
        <w:rPr>
          <w:noProof/>
        </w:rPr>
        <w:t>o-socialnega odbora</w:t>
      </w:r>
      <w:r>
        <w:rPr>
          <w:rStyle w:val="FootnoteReference"/>
          <w:noProof/>
        </w:rPr>
        <w:footnoteReference w:id="4"/>
      </w:r>
      <w:r>
        <w:rPr>
          <w:noProof/>
        </w:rPr>
        <w:t>,</w:t>
      </w:r>
    </w:p>
    <w:p w:rsidR="00FD37A3" w:rsidRDefault="0072500C">
      <w:pPr>
        <w:spacing w:before="0" w:after="200"/>
        <w:rPr>
          <w:noProof/>
          <w:szCs w:val="24"/>
        </w:rPr>
      </w:pPr>
      <w:r>
        <w:rPr>
          <w:noProof/>
        </w:rPr>
        <w:t>ob upoštevanju mnenja Odbora regij</w:t>
      </w:r>
      <w:r>
        <w:rPr>
          <w:rStyle w:val="FootnoteReference"/>
          <w:noProof/>
        </w:rPr>
        <w:footnoteReference w:id="5"/>
      </w:r>
      <w:r>
        <w:rPr>
          <w:noProof/>
        </w:rPr>
        <w:t>,</w:t>
      </w:r>
    </w:p>
    <w:p w:rsidR="00FD37A3" w:rsidRDefault="0072500C">
      <w:pPr>
        <w:spacing w:before="0" w:after="200"/>
        <w:rPr>
          <w:noProof/>
          <w:szCs w:val="24"/>
        </w:rPr>
      </w:pPr>
      <w:r>
        <w:rPr>
          <w:noProof/>
        </w:rPr>
        <w:t>v skladu z rednim zakonodajnim postopkom</w:t>
      </w:r>
      <w:r>
        <w:rPr>
          <w:rStyle w:val="FootnoteReference"/>
          <w:noProof/>
        </w:rPr>
        <w:footnoteReference w:id="6"/>
      </w:r>
      <w:r>
        <w:rPr>
          <w:noProof/>
        </w:rPr>
        <w:t>,</w:t>
      </w:r>
    </w:p>
    <w:p w:rsidR="00FD37A3" w:rsidRDefault="0072500C">
      <w:pPr>
        <w:rPr>
          <w:noProof/>
          <w:szCs w:val="24"/>
        </w:rPr>
      </w:pPr>
      <w:r>
        <w:rPr>
          <w:noProof/>
        </w:rPr>
        <w:t>ob upoštevanju naslednjega:</w:t>
      </w:r>
    </w:p>
    <w:p w:rsidR="00FD37A3" w:rsidRDefault="0072500C">
      <w:pPr>
        <w:pStyle w:val="ManualConsidrant"/>
        <w:rPr>
          <w:noProof/>
          <w:szCs w:val="24"/>
        </w:rPr>
      </w:pPr>
      <w:r>
        <w:t>(1)</w:t>
      </w:r>
      <w:r>
        <w:tab/>
      </w:r>
      <w:r>
        <w:rPr>
          <w:noProof/>
        </w:rPr>
        <w:t>V skladu s členom 3(1) Pogodbe o Evropski uniji je eden od ciljev Unije krepitev blaginje njenih narodov.</w:t>
      </w:r>
    </w:p>
    <w:p w:rsidR="00FD37A3" w:rsidRDefault="0072500C">
      <w:pPr>
        <w:pStyle w:val="ManualConsidrant"/>
        <w:rPr>
          <w:noProof/>
          <w:szCs w:val="24"/>
        </w:rPr>
      </w:pPr>
      <w:r>
        <w:t>(2)</w:t>
      </w:r>
      <w:r>
        <w:tab/>
      </w:r>
      <w:r>
        <w:rPr>
          <w:noProof/>
        </w:rPr>
        <w:t>V skladu s č</w:t>
      </w:r>
      <w:r>
        <w:rPr>
          <w:noProof/>
        </w:rPr>
        <w:t xml:space="preserve">lenoma 9 in 168 Pogodbe o delovanju Evropske unije (PDEU) ter členom 35 Listine Evropske unije o temeljnih pravicah je treba pri opredeljevanju in izvajanju vseh politik in dejavnosti Unije zagotavljati visoko raven varovanja zdravja ljudi. </w:t>
      </w:r>
    </w:p>
    <w:p w:rsidR="00FD37A3" w:rsidRDefault="0072500C">
      <w:pPr>
        <w:pStyle w:val="ManualConsidrant"/>
        <w:rPr>
          <w:noProof/>
          <w:szCs w:val="24"/>
        </w:rPr>
      </w:pPr>
      <w:r>
        <w:t>(3)</w:t>
      </w:r>
      <w:r>
        <w:tab/>
      </w:r>
      <w:r>
        <w:rPr>
          <w:noProof/>
        </w:rPr>
        <w:t>Člen 168 P</w:t>
      </w:r>
      <w:r>
        <w:rPr>
          <w:noProof/>
        </w:rPr>
        <w:t>DEU določa, da Unija dopolnjuje in podpira nacionalne zdravstvene politike, spodbuja sodelovanje med državami članicami in usklajevanje njihovih programov ob doslednem upoštevanju odgovornosti držav članic za opredelitev njihovih zdravstvenih politik ter z</w:t>
      </w:r>
      <w:r>
        <w:rPr>
          <w:noProof/>
        </w:rPr>
        <w:t>a organizacijo in zagotavljanje zdravstvenih storitev in zdravstvene oskrbe.</w:t>
      </w:r>
    </w:p>
    <w:p w:rsidR="00FD37A3" w:rsidRDefault="0072500C">
      <w:pPr>
        <w:pStyle w:val="ManualConsidrant"/>
        <w:rPr>
          <w:noProof/>
          <w:szCs w:val="24"/>
        </w:rPr>
      </w:pPr>
      <w:r>
        <w:t>(4)</w:t>
      </w:r>
      <w:r>
        <w:tab/>
      </w:r>
      <w:r>
        <w:rPr>
          <w:noProof/>
        </w:rPr>
        <w:t>V okviru predhodnih programov ukrepov Unije na področju javnega zdravja so se stalno sprejemali ukrepi za izpolnjevanje zahtev iz člena 168 PDEU</w:t>
      </w:r>
      <w:r>
        <w:rPr>
          <w:rStyle w:val="FootnoteReference"/>
          <w:noProof/>
          <w:szCs w:val="24"/>
        </w:rPr>
        <w:footnoteReference w:id="7"/>
      </w:r>
      <w:r>
        <w:rPr>
          <w:noProof/>
        </w:rPr>
        <w:t xml:space="preserve">. </w:t>
      </w:r>
    </w:p>
    <w:p w:rsidR="00FD37A3" w:rsidRDefault="0072500C">
      <w:pPr>
        <w:pStyle w:val="ManualConsidrant"/>
        <w:rPr>
          <w:noProof/>
          <w:szCs w:val="24"/>
        </w:rPr>
      </w:pPr>
      <w:r>
        <w:t>(5)</w:t>
      </w:r>
      <w:r>
        <w:tab/>
      </w:r>
      <w:r>
        <w:rPr>
          <w:noProof/>
        </w:rPr>
        <w:t xml:space="preserve">Svetovna zdravstvena organizacija (SZO) je 11. marca 2020 izbruh novega koronavirusa (COVID-19) razglasila za svetovno pandemijo. Navedena pandemija je </w:t>
      </w:r>
      <w:r>
        <w:rPr>
          <w:rStyle w:val="Emphasis"/>
          <w:noProof/>
          <w:szCs w:val="24"/>
        </w:rPr>
        <w:t>povzročila</w:t>
      </w:r>
      <w:r>
        <w:rPr>
          <w:i/>
          <w:noProof/>
          <w:szCs w:val="24"/>
        </w:rPr>
        <w:t xml:space="preserve"> </w:t>
      </w:r>
      <w:r>
        <w:rPr>
          <w:rStyle w:val="Emphasis"/>
          <w:noProof/>
          <w:szCs w:val="24"/>
        </w:rPr>
        <w:t>svetovno</w:t>
      </w:r>
      <w:r>
        <w:rPr>
          <w:noProof/>
          <w:szCs w:val="24"/>
        </w:rPr>
        <w:t xml:space="preserve"> </w:t>
      </w:r>
      <w:r>
        <w:rPr>
          <w:rStyle w:val="st"/>
          <w:noProof/>
          <w:szCs w:val="24"/>
        </w:rPr>
        <w:t>zdravstveno</w:t>
      </w:r>
      <w:r>
        <w:rPr>
          <w:noProof/>
          <w:szCs w:val="24"/>
        </w:rPr>
        <w:t xml:space="preserve"> </w:t>
      </w:r>
      <w:r>
        <w:rPr>
          <w:rStyle w:val="Emphasis"/>
          <w:noProof/>
          <w:szCs w:val="24"/>
        </w:rPr>
        <w:t>krizo</w:t>
      </w:r>
      <w:r>
        <w:rPr>
          <w:noProof/>
          <w:szCs w:val="24"/>
        </w:rPr>
        <w:t xml:space="preserve"> </w:t>
      </w:r>
      <w:r>
        <w:rPr>
          <w:rStyle w:val="st"/>
          <w:noProof/>
          <w:szCs w:val="24"/>
        </w:rPr>
        <w:t>brez primere</w:t>
      </w:r>
      <w:r>
        <w:rPr>
          <w:noProof/>
        </w:rPr>
        <w:t xml:space="preserve"> z resnimi socialno-ekonomskimi posledicami in veliko </w:t>
      </w:r>
      <w:r>
        <w:rPr>
          <w:noProof/>
        </w:rPr>
        <w:t>trpljenja.</w:t>
      </w:r>
    </w:p>
    <w:p w:rsidR="00FD37A3" w:rsidRDefault="0072500C">
      <w:pPr>
        <w:pStyle w:val="ManualConsidrant"/>
        <w:rPr>
          <w:noProof/>
          <w:szCs w:val="24"/>
        </w:rPr>
      </w:pPr>
      <w:r>
        <w:t>(6)</w:t>
      </w:r>
      <w:r>
        <w:tab/>
      </w:r>
      <w:r>
        <w:rPr>
          <w:noProof/>
        </w:rPr>
        <w:t>Za zdravstvene politike so sicer odgovorne države članice same, vendar se od njih pričakuje varovanje javnega zdravja v duhu evropske solidarnosti</w:t>
      </w:r>
      <w:r>
        <w:rPr>
          <w:rStyle w:val="FootnoteReference"/>
          <w:noProof/>
          <w:szCs w:val="24"/>
        </w:rPr>
        <w:footnoteReference w:id="8"/>
      </w:r>
      <w:r>
        <w:rPr>
          <w:noProof/>
        </w:rPr>
        <w:t>. Izkušnje, pridobljene s trenutno krizo zaradi COVID-19, so pokazale, da je potrebno nadaljnj</w:t>
      </w:r>
      <w:r>
        <w:rPr>
          <w:noProof/>
        </w:rPr>
        <w:t>e odločno ukrepanje na ravni Unije v podporo sodelovanju in usklajevanju med državami članicami, da bi izboljšali preprečevanje in obvladovanje širjenja hudih človeških bolezni prek meja, se borili proti drugim resnim čezmejnim nevarnostim za zdravje ter z</w:t>
      </w:r>
      <w:r>
        <w:rPr>
          <w:noProof/>
        </w:rPr>
        <w:t>aščitili zdravje in dobro počutje ljudi v Uniji.</w:t>
      </w:r>
    </w:p>
    <w:p w:rsidR="00FD37A3" w:rsidRDefault="0072500C">
      <w:pPr>
        <w:pStyle w:val="ManualConsidrant"/>
        <w:rPr>
          <w:noProof/>
          <w:szCs w:val="24"/>
        </w:rPr>
      </w:pPr>
      <w:r>
        <w:t>(7)</w:t>
      </w:r>
      <w:r>
        <w:tab/>
      </w:r>
      <w:r>
        <w:rPr>
          <w:noProof/>
        </w:rPr>
        <w:t xml:space="preserve">Zato je primerno, da se vzpostavi nov program za ukrepe Unije na področju zdravja, imenovan Program EU za zdravje (v nadaljnjem besedilu: Program) za obdobje 2021–2027. V skladu s cilji ukrepov Unije in </w:t>
      </w:r>
      <w:r>
        <w:rPr>
          <w:noProof/>
        </w:rPr>
        <w:t xml:space="preserve">njenimi pristojnostmi na področju javnega zdravja bi moral biti v Programu poudarek na ukrepih, ki za sodelovanje na ravni Unije prinašajo prednosti in večjo učinkovitost, ter ukrepih z učinkom na notranji trg. </w:t>
      </w:r>
    </w:p>
    <w:p w:rsidR="00FD37A3" w:rsidRDefault="0072500C">
      <w:pPr>
        <w:pStyle w:val="ManualConsidrant"/>
        <w:rPr>
          <w:noProof/>
          <w:szCs w:val="24"/>
        </w:rPr>
      </w:pPr>
      <w:r>
        <w:t>(8)</w:t>
      </w:r>
      <w:r>
        <w:tab/>
      </w:r>
      <w:r>
        <w:rPr>
          <w:noProof/>
        </w:rPr>
        <w:t xml:space="preserve">Ta uredba bi morala določiti finančna </w:t>
      </w:r>
      <w:r>
        <w:rPr>
          <w:noProof/>
        </w:rPr>
        <w:t>sredstva za Program za ukrepe Unije na področju zdravja, ki predstavljajo prednostni finančni znesek, v smislu člena 16 predloga medinstitucionalnega sporazuma med Evropskim parlamentom, Svetom in Komisijo o proračunski disciplini, sodelovanju v proračunsk</w:t>
      </w:r>
      <w:r>
        <w:rPr>
          <w:noProof/>
        </w:rPr>
        <w:t>ih zadevah in dobrem finančnem poslovodenju, kot so ga sprejele navedene institucije</w:t>
      </w:r>
      <w:r>
        <w:rPr>
          <w:rStyle w:val="FootnoteReference"/>
          <w:noProof/>
        </w:rPr>
        <w:footnoteReference w:id="9"/>
      </w:r>
      <w:r>
        <w:rPr>
          <w:noProof/>
        </w:rPr>
        <w:t>.</w:t>
      </w:r>
    </w:p>
    <w:p w:rsidR="00FD37A3" w:rsidRDefault="0072500C">
      <w:pPr>
        <w:pStyle w:val="ManualConsidrant"/>
        <w:rPr>
          <w:noProof/>
          <w:sz w:val="22"/>
        </w:rPr>
      </w:pPr>
      <w:r>
        <w:t>(9)</w:t>
      </w:r>
      <w:r>
        <w:tab/>
      </w:r>
      <w:r>
        <w:rPr>
          <w:noProof/>
        </w:rPr>
        <w:t>V skladu z Uredbo [o Instrumentu Evropske unije za okrevanje] in v mejah sredstev, ki so tam dodeljena, bi bilo treba izvajati ukrepe za okrevanje in odpornost v okv</w:t>
      </w:r>
      <w:r>
        <w:rPr>
          <w:noProof/>
        </w:rPr>
        <w:t>iru Programa, da bi se odzvali na neprimerljiv vpliv krize zaradi COVID-19.  Taka dodatna sredstva bi bilo treba uporabiti tako, da se zagotovi skladnost z roki iz Uredbe [o Instrumentu Evropske unije za okrevanje].  </w:t>
      </w:r>
    </w:p>
    <w:p w:rsidR="00FD37A3" w:rsidRDefault="0072500C">
      <w:pPr>
        <w:pStyle w:val="ManualConsidrant"/>
        <w:rPr>
          <w:noProof/>
        </w:rPr>
      </w:pPr>
      <w:r>
        <w:t>(10)</w:t>
      </w:r>
      <w:r>
        <w:tab/>
      </w:r>
      <w:r>
        <w:rPr>
          <w:noProof/>
        </w:rPr>
        <w:t>Zaradi resne narave čezmejnih nev</w:t>
      </w:r>
      <w:r>
        <w:rPr>
          <w:noProof/>
        </w:rPr>
        <w:t>arnosti za zdravje bi moral Program podpirati usklajene javnozdravstvene ukrepe na ravni Unije za obravnavanje različnih vidikov takih nevarnosti. Da bi se okrepile zmogljivosti Unije za pripravo in odzivanje na zdravstveno krizo ter njeno obvladovanje, bi</w:t>
      </w:r>
      <w:r>
        <w:rPr>
          <w:noProof/>
        </w:rPr>
        <w:t xml:space="preserve"> moral Program zagotavljati podporo ukrepom, sprejetim v okviru mehanizmov in struktur, vzpostavljenih s Sklepom št. 1082/2013/EU Evropskega parlamenta in Sveta</w:t>
      </w:r>
      <w:r>
        <w:rPr>
          <w:rStyle w:val="FootnoteReference"/>
          <w:noProof/>
          <w:szCs w:val="24"/>
        </w:rPr>
        <w:footnoteReference w:id="10"/>
      </w:r>
      <w:r>
        <w:rPr>
          <w:noProof/>
        </w:rPr>
        <w:t>, ter drugih ustreznih mehanizmov in struktur, vzpostavljenih na ravni Unije. To bi lahko vklju</w:t>
      </w:r>
      <w:r>
        <w:rPr>
          <w:noProof/>
        </w:rPr>
        <w:t>čevalo strateško ustvarjanje zalog osnovne medicinske opreme ali krepitev zmogljivosti za odzivanje na krize, preventivne ukrepe v zvezi s cepljenjem in imunizacijo ter okrepljene programe nadzora. V tem okviru bi moral Program spodbujati vseevropsko in me</w:t>
      </w:r>
      <w:r>
        <w:rPr>
          <w:noProof/>
        </w:rPr>
        <w:t>dsektorsko preprečevanje kriz, pripravljenost nanje, njihov nadzor in obvladovanje ter zmogljivost za odzivanje akterjev nanje na ravni Unije ter na nacionalni, regionalni in lokalni ravni, vključno z načrtovanjem ukrepov za nepredvidljive razmere in vajam</w:t>
      </w:r>
      <w:r>
        <w:rPr>
          <w:noProof/>
        </w:rPr>
        <w:t xml:space="preserve">i za pripravljenost, v skladu s pristopom „eno zdravje“. Olajšati bi moral vzpostavitev integriranega medsektorskega okvira za obveščanje o tveganjih, ki bi deloval v vseh fazah zdravstvene krize, torej pri preprečevanju, pripravljenosti in odzivanju. </w:t>
      </w:r>
    </w:p>
    <w:p w:rsidR="00FD37A3" w:rsidRDefault="0072500C">
      <w:pPr>
        <w:pStyle w:val="ManualConsidrant"/>
        <w:rPr>
          <w:noProof/>
        </w:rPr>
      </w:pPr>
      <w:r>
        <w:t>(11</w:t>
      </w:r>
      <w:r>
        <w:t>)</w:t>
      </w:r>
      <w:r>
        <w:tab/>
      </w:r>
      <w:r>
        <w:rPr>
          <w:noProof/>
        </w:rPr>
        <w:t>Ker lahko med zdravstveno krizo vrednotenje zdravstvenih tehnologij in klinična preskušanja v izrednih razmerah prispevajo k hitremu razvoju zdravstvenih protiukrepov, bi moral Program zagotavljati podporo za lažje izvajanje takih ukrepov. Komisija je sp</w:t>
      </w:r>
      <w:r>
        <w:rPr>
          <w:noProof/>
        </w:rPr>
        <w:t>rejela predlog</w:t>
      </w:r>
      <w:r>
        <w:rPr>
          <w:rStyle w:val="FootnoteReference"/>
          <w:noProof/>
        </w:rPr>
        <w:footnoteReference w:id="11"/>
      </w:r>
      <w:r>
        <w:rPr>
          <w:noProof/>
        </w:rPr>
        <w:t xml:space="preserve"> za vrednotenje zdravstvenih tehnologij v podporo sodelovanju pri ocenjevanju zdravstvene tehnologije na ravni Unije.</w:t>
      </w:r>
    </w:p>
    <w:p w:rsidR="00FD37A3" w:rsidRDefault="0072500C">
      <w:pPr>
        <w:pStyle w:val="ManualConsidrant"/>
        <w:rPr>
          <w:noProof/>
        </w:rPr>
      </w:pPr>
      <w:r>
        <w:t>(12)</w:t>
      </w:r>
      <w:r>
        <w:tab/>
      </w:r>
      <w:r>
        <w:rPr>
          <w:noProof/>
        </w:rPr>
        <w:t>Za zaščito ljudi v ranljivem položaju, vključno s tistimi z duševnimi motnjami in kroničnimi boleznimi, bi moral Progr</w:t>
      </w:r>
      <w:r>
        <w:rPr>
          <w:noProof/>
        </w:rPr>
        <w:t xml:space="preserve">am spodbujati tudi ukrepe, ki obravnavajo </w:t>
      </w:r>
      <w:r>
        <w:rPr>
          <w:rStyle w:val="Emphasis"/>
          <w:noProof/>
        </w:rPr>
        <w:t>stranske posledice</w:t>
      </w:r>
      <w:r>
        <w:rPr>
          <w:rStyle w:val="st"/>
          <w:i/>
          <w:noProof/>
        </w:rPr>
        <w:t xml:space="preserve"> </w:t>
      </w:r>
      <w:r>
        <w:rPr>
          <w:rStyle w:val="st"/>
          <w:noProof/>
        </w:rPr>
        <w:t>zdravstvene</w:t>
      </w:r>
      <w:r>
        <w:rPr>
          <w:noProof/>
        </w:rPr>
        <w:t xml:space="preserve"> krize za ljudi v takih ranljivih skupinah.</w:t>
      </w:r>
    </w:p>
    <w:p w:rsidR="00FD37A3" w:rsidRDefault="0072500C">
      <w:pPr>
        <w:pStyle w:val="ManualConsidrant"/>
        <w:rPr>
          <w:noProof/>
        </w:rPr>
      </w:pPr>
      <w:r>
        <w:t>(13)</w:t>
      </w:r>
      <w:r>
        <w:tab/>
      </w:r>
      <w:r>
        <w:rPr>
          <w:noProof/>
        </w:rPr>
        <w:t>Kriza zaradi COVID-19 je izpostavila številne izzive pri zagotavljanju oskrbe z zdravili, medicinskimi pripomočki in osebno zaščitno op</w:t>
      </w:r>
      <w:r>
        <w:rPr>
          <w:noProof/>
        </w:rPr>
        <w:t xml:space="preserve">remo, ki so med pandemijo potrebni v Uniji. Program bi zato moral zagotavljati podporo ukrepom, ki spodbujajo proizvodnjo, javno naročanje in upravljanje v krizi pomembnih izdelkov, in s tem povezljivost z drugimi instrumenti Unije. </w:t>
      </w:r>
    </w:p>
    <w:p w:rsidR="00FD37A3" w:rsidRDefault="0072500C">
      <w:pPr>
        <w:pStyle w:val="ManualConsidrant"/>
        <w:rPr>
          <w:noProof/>
        </w:rPr>
      </w:pPr>
      <w:r>
        <w:t>(14)</w:t>
      </w:r>
      <w:r>
        <w:tab/>
      </w:r>
      <w:r>
        <w:rPr>
          <w:noProof/>
        </w:rPr>
        <w:t>Da bi čim bolj zm</w:t>
      </w:r>
      <w:r>
        <w:rPr>
          <w:noProof/>
        </w:rPr>
        <w:t>anjšali javnozdravstvene posledice resnih čezmejnih nevarnosti za zdravje, bi bilo treba omogočiti, da ukrepi, ki se podpirajo v okviru Programa, zajemajo usklajevanje dejavnosti, ki krepijo interoperabilnost in skladnost zdravstvenih sistemov držav članic</w:t>
      </w:r>
      <w:r>
        <w:rPr>
          <w:noProof/>
        </w:rPr>
        <w:t xml:space="preserve">, in sicer </w:t>
      </w:r>
      <w:r>
        <w:rPr>
          <w:rStyle w:val="st"/>
          <w:noProof/>
        </w:rPr>
        <w:t>s primerjalnimi analizami, sodelovanjem in izmenjavo dobrih praks</w:t>
      </w:r>
      <w:r>
        <w:rPr>
          <w:noProof/>
        </w:rPr>
        <w:t>,</w:t>
      </w:r>
      <w:r>
        <w:rPr>
          <w:rStyle w:val="Emphasis"/>
          <w:noProof/>
        </w:rPr>
        <w:t xml:space="preserve"> </w:t>
      </w:r>
      <w:r>
        <w:rPr>
          <w:noProof/>
        </w:rPr>
        <w:t xml:space="preserve">ter zagotavljajo </w:t>
      </w:r>
      <w:r>
        <w:rPr>
          <w:rStyle w:val="st"/>
          <w:noProof/>
          <w:szCs w:val="24"/>
        </w:rPr>
        <w:t>njihovo zmožnost odzivanja na izredne zdravstvene razmere, kar vključuje</w:t>
      </w:r>
      <w:r>
        <w:rPr>
          <w:noProof/>
        </w:rPr>
        <w:t xml:space="preserve"> načrtovanje ukrepov za nepredvidljive razmere, vaje za pripravljenost, izpopolnjevanje z</w:t>
      </w:r>
      <w:r>
        <w:rPr>
          <w:noProof/>
        </w:rPr>
        <w:t>dravstvenih in javnozdravstvenih delavcev ter vzpostavitev mehanizmov za učinkovito spremljanje in distribucijo ali dodeljevanje blaga in storitev glede na potrebe v času krize. </w:t>
      </w:r>
    </w:p>
    <w:p w:rsidR="00FD37A3" w:rsidRDefault="0072500C">
      <w:pPr>
        <w:pStyle w:val="ManualConsidrant"/>
        <w:rPr>
          <w:noProof/>
          <w:szCs w:val="24"/>
        </w:rPr>
      </w:pPr>
      <w:r>
        <w:t>(15)</w:t>
      </w:r>
      <w:r>
        <w:tab/>
      </w:r>
      <w:r>
        <w:rPr>
          <w:noProof/>
        </w:rPr>
        <w:t>Izkušnje, pridobljene v krizi zaradi COVID-19, so pokazale, da obstaja s</w:t>
      </w:r>
      <w:r>
        <w:rPr>
          <w:noProof/>
        </w:rPr>
        <w:t>plošna potreba po podpori strukturnemu preoblikovanju zdravstvenih sistemov in njihovih sistemskih reformah po vsej Uniji, da bi se izboljšala njihova učinkovitost, dostopnost in odpornost.  V okviru takega preoblikovanja in reform bi moral Program v siner</w:t>
      </w:r>
      <w:r>
        <w:rPr>
          <w:noProof/>
        </w:rPr>
        <w:t xml:space="preserve">giji s programom za digitalno Evropo spodbujati ukrepe, ki pospešujejo </w:t>
      </w:r>
      <w:r>
        <w:rPr>
          <w:rStyle w:val="Emphasis"/>
          <w:noProof/>
          <w:szCs w:val="24"/>
        </w:rPr>
        <w:t>digitalno preobrazbo</w:t>
      </w:r>
      <w:r>
        <w:rPr>
          <w:noProof/>
          <w:szCs w:val="24"/>
        </w:rPr>
        <w:t xml:space="preserve"> </w:t>
      </w:r>
      <w:r>
        <w:rPr>
          <w:rStyle w:val="st"/>
          <w:noProof/>
          <w:szCs w:val="24"/>
        </w:rPr>
        <w:t>zdravstvenih storitev in povečujejo njihovo interoperabilnost</w:t>
      </w:r>
      <w:r>
        <w:rPr>
          <w:noProof/>
        </w:rPr>
        <w:t>,</w:t>
      </w:r>
      <w:r>
        <w:rPr>
          <w:rStyle w:val="st"/>
          <w:noProof/>
        </w:rPr>
        <w:t xml:space="preserve"> </w:t>
      </w:r>
      <w:r>
        <w:rPr>
          <w:noProof/>
        </w:rPr>
        <w:t>prispevajo k večji zmogljivosti zdravstvenih sistemov za spodbujanje zdravja in preprečevanja bolezni</w:t>
      </w:r>
      <w:r>
        <w:rPr>
          <w:noProof/>
        </w:rPr>
        <w:t>, zagotavljanje novih modelov oskrbe in izvajanje</w:t>
      </w:r>
      <w:r>
        <w:rPr>
          <w:rStyle w:val="highlight"/>
          <w:noProof/>
          <w:szCs w:val="24"/>
        </w:rPr>
        <w:t xml:space="preserve"> integriranih</w:t>
      </w:r>
      <w:r>
        <w:rPr>
          <w:noProof/>
        </w:rPr>
        <w:t xml:space="preserve"> storitev, in sicer od zunajbolnišničnega in primarnega zdravstvenega varstva do visokospecializiranih storitev, ki temeljijo na potrebah ljudi, ter zagotavljajo</w:t>
      </w:r>
      <w:r>
        <w:rPr>
          <w:noProof/>
          <w:szCs w:val="24"/>
        </w:rPr>
        <w:t xml:space="preserve"> </w:t>
      </w:r>
      <w:r>
        <w:rPr>
          <w:rStyle w:val="st"/>
          <w:noProof/>
          <w:szCs w:val="24"/>
        </w:rPr>
        <w:t>učinkovito</w:t>
      </w:r>
      <w:r>
        <w:rPr>
          <w:noProof/>
          <w:szCs w:val="24"/>
        </w:rPr>
        <w:t xml:space="preserve"> </w:t>
      </w:r>
      <w:r>
        <w:rPr>
          <w:rStyle w:val="Emphasis"/>
          <w:noProof/>
          <w:szCs w:val="24"/>
        </w:rPr>
        <w:t>delovno silo v javnem</w:t>
      </w:r>
      <w:r>
        <w:rPr>
          <w:rStyle w:val="Emphasis"/>
          <w:noProof/>
          <w:szCs w:val="24"/>
        </w:rPr>
        <w:t xml:space="preserve"> zdravstvu</w:t>
      </w:r>
      <w:r>
        <w:rPr>
          <w:noProof/>
          <w:szCs w:val="24"/>
        </w:rPr>
        <w:t>, ki je</w:t>
      </w:r>
      <w:r>
        <w:rPr>
          <w:rStyle w:val="st"/>
          <w:noProof/>
          <w:szCs w:val="24"/>
        </w:rPr>
        <w:t xml:space="preserve"> opremljena s pravimi</w:t>
      </w:r>
      <w:r>
        <w:rPr>
          <w:noProof/>
          <w:szCs w:val="24"/>
        </w:rPr>
        <w:t xml:space="preserve"> </w:t>
      </w:r>
      <w:r>
        <w:rPr>
          <w:rStyle w:val="Emphasis"/>
          <w:noProof/>
          <w:szCs w:val="24"/>
        </w:rPr>
        <w:t>znanji in spretnostmi, vključno z digitalnimi spretnostmi</w:t>
      </w:r>
      <w:r>
        <w:rPr>
          <w:rStyle w:val="st"/>
          <w:noProof/>
          <w:szCs w:val="24"/>
        </w:rPr>
        <w:t>. Razvoj evropskega zdravstvenega podatkovnega prostora bi sistemom zdravstvenega varstva, raziskovalcem in javnim organom zagotovil načine za izboljšanje razpo</w:t>
      </w:r>
      <w:r>
        <w:rPr>
          <w:rStyle w:val="st"/>
          <w:noProof/>
          <w:szCs w:val="24"/>
        </w:rPr>
        <w:t>ložljivosti in kakovosti zdravstvenega varstva. Glede na temeljno pravico do preventivnega zdravstvenega varstva in do zdravniške oskrbe iz člena 35 Listine Evropske unije o temeljnih pravicah</w:t>
      </w:r>
      <w:r>
        <w:rPr>
          <w:noProof/>
        </w:rPr>
        <w:t xml:space="preserve"> ter glede na skupne vrednote in načela zdravstvenih sistemov Ev</w:t>
      </w:r>
      <w:r>
        <w:rPr>
          <w:noProof/>
        </w:rPr>
        <w:t>ropske unije, kot so določeni v Sklepih Sveta z dne 2.junija 2006</w:t>
      </w:r>
      <w:r>
        <w:rPr>
          <w:rStyle w:val="FootnoteReference"/>
          <w:noProof/>
        </w:rPr>
        <w:footnoteReference w:id="12"/>
      </w:r>
      <w:r>
        <w:rPr>
          <w:rStyle w:val="FootnoteReference"/>
          <w:noProof/>
        </w:rPr>
        <w:t xml:space="preserve"> </w:t>
      </w:r>
      <w:r>
        <w:rPr>
          <w:noProof/>
        </w:rPr>
        <w:t>,</w:t>
      </w:r>
      <w:r>
        <w:rPr>
          <w:rStyle w:val="FootnoteReference"/>
          <w:noProof/>
        </w:rPr>
        <w:t xml:space="preserve"> </w:t>
      </w:r>
      <w:r>
        <w:rPr>
          <w:rStyle w:val="st"/>
          <w:noProof/>
        </w:rPr>
        <w:t>bi moral Program podpirati ukrepe, ki zagotavljajo univerzalno in vključujoče zdravstveno varstvo, kar pomeni</w:t>
      </w:r>
      <w:r>
        <w:rPr>
          <w:noProof/>
        </w:rPr>
        <w:t>, da nikomur ni onemogočen dostop do zdravstvenega varstva, ter ukrepe, ki zag</w:t>
      </w:r>
      <w:r>
        <w:rPr>
          <w:noProof/>
        </w:rPr>
        <w:t xml:space="preserve">otavljajo, da se pravice pacientov, vključno z varstvom njihovih podatkov, ustrezno spoštujejo. </w:t>
      </w:r>
    </w:p>
    <w:p w:rsidR="00FD37A3" w:rsidRDefault="0072500C">
      <w:pPr>
        <w:pStyle w:val="ManualConsidrant"/>
        <w:rPr>
          <w:noProof/>
          <w:szCs w:val="24"/>
        </w:rPr>
      </w:pPr>
      <w:r>
        <w:t>(16)</w:t>
      </w:r>
      <w:r>
        <w:tab/>
      </w:r>
      <w:r>
        <w:rPr>
          <w:noProof/>
        </w:rPr>
        <w:t>Dolgotrajnejše zdravje in aktivnost ljudi ter omogočanje, da prevzamejo aktivno vlogo pri skrbi za lastno zdravje, bodo pozitivno vplivali na zdravje, nee</w:t>
      </w:r>
      <w:r>
        <w:rPr>
          <w:noProof/>
        </w:rPr>
        <w:t xml:space="preserve">nakosti v zdravju, kakovost življenja, produktivnost, konkurenčnost in vključenost, hkrati pa se bo zmanjševal pritisk na nacionalne proračune. Komisija se je zavezala državam članicam pomagati pri doseganju ciljev trajnostnega razvoja, določenih v agendi </w:t>
      </w:r>
      <w:r>
        <w:rPr>
          <w:noProof/>
        </w:rPr>
        <w:t>Združenih narodov za trajnostni razvoj do leta 2030, zlasti cilja 3 „poskrbeti za zdravo življenje in spodbujati splošno dobro počutje v vseh življenjskih obdobjih“</w:t>
      </w:r>
      <w:r>
        <w:rPr>
          <w:rStyle w:val="FootnoteReference"/>
          <w:noProof/>
          <w:szCs w:val="24"/>
        </w:rPr>
        <w:footnoteReference w:id="13"/>
      </w:r>
      <w:r>
        <w:rPr>
          <w:noProof/>
        </w:rPr>
        <w:t>. Program bi zato moral prispevati k ukrepom za doseganje teh ciljev.</w:t>
      </w:r>
    </w:p>
    <w:p w:rsidR="00FD37A3" w:rsidRDefault="0072500C">
      <w:pPr>
        <w:pStyle w:val="ManualConsidrant"/>
        <w:rPr>
          <w:noProof/>
          <w:szCs w:val="24"/>
        </w:rPr>
      </w:pPr>
      <w:r>
        <w:t>(17)</w:t>
      </w:r>
      <w:r>
        <w:tab/>
      </w:r>
      <w:r>
        <w:rPr>
          <w:noProof/>
        </w:rPr>
        <w:t>Nenalezljive bol</w:t>
      </w:r>
      <w:r>
        <w:rPr>
          <w:noProof/>
        </w:rPr>
        <w:t>ezni so posledica kombinacije genetskih, fizioloških, okoljskih in vedenjskih dejavnikov. Take nenalezljive bolezni, kot so bolezni srca in ožilja, rak, kronične bolezni dihal in sladkorna bolezen, so glavni vzroki za invalidnost, zdravstvene težave, upoko</w:t>
      </w:r>
      <w:r>
        <w:rPr>
          <w:noProof/>
        </w:rPr>
        <w:t>jitve iz zdravstvenih razlogov in prezgodnje smrti v Uniji, kar ima precejšen socialni in ekonomski učinek. Za zmanjšanje učinka nenalezljivih bolezni na posameznike in družbo v Uniji ter doseganje podcilja 3.4 (do leta 2030 za tretjino zmanjšati število p</w:t>
      </w:r>
      <w:r>
        <w:rPr>
          <w:noProof/>
        </w:rPr>
        <w:t>rimerov prezgodnje smrti zaradi nenalezljivih bolezni) v okviru tretjega cilja trajnostnega razvoja je ključno zagotoviti celosten odziv, osredotočen na preprečevanje v vseh sektorjih in na vseh področjih politike, skupaj s prizadevanji za okrepitev zdravs</w:t>
      </w:r>
      <w:r>
        <w:rPr>
          <w:noProof/>
        </w:rPr>
        <w:t xml:space="preserve">tvenih sistemov. </w:t>
      </w:r>
    </w:p>
    <w:p w:rsidR="00FD37A3" w:rsidRDefault="0072500C">
      <w:pPr>
        <w:pStyle w:val="ManualConsidrant"/>
        <w:rPr>
          <w:noProof/>
          <w:szCs w:val="24"/>
        </w:rPr>
      </w:pPr>
      <w:r>
        <w:t>(18)</w:t>
      </w:r>
      <w:r>
        <w:tab/>
      </w:r>
      <w:r>
        <w:rPr>
          <w:noProof/>
        </w:rPr>
        <w:t>Program bi zato moral prispevati k preprečevanju bolezni v celotni življenjski dobi posameznika in k spodbujanju zdravja z obravnavanjem dejavnikov tveganja za zdravje, kot so uživanje tobačnih in povezanih izdelkov in izpostavljenos</w:t>
      </w:r>
      <w:r>
        <w:rPr>
          <w:noProof/>
        </w:rPr>
        <w:t>t njihovim emisijam ter uživanje alkohola in prepovedanih drog. Prav tako bi moral prispevati k zmanjšanju zdravstvene škode zaradi uživanja drog, nezdravih prehranjevalnih navad, telesne neaktivnosti in izpostavljenosti okoljskemu onesnaževanju ter spodbu</w:t>
      </w:r>
      <w:r>
        <w:rPr>
          <w:noProof/>
        </w:rPr>
        <w:t xml:space="preserve">jati okolje, ki podpira zdrav način življenja, da bi dopolnjeval ukrepe držav članic na teh področjih. Zato bi moral Program prispevati tudi k ciljem evropskega zelenega dogovora, strategije „od vil do vilic“ in strategije za biotsko raznovrstnost.   </w:t>
      </w:r>
    </w:p>
    <w:p w:rsidR="00FD37A3" w:rsidRDefault="0072500C">
      <w:pPr>
        <w:pStyle w:val="ManualConsidrant"/>
        <w:rPr>
          <w:noProof/>
          <w:szCs w:val="24"/>
        </w:rPr>
      </w:pPr>
      <w:r>
        <w:t>(19)</w:t>
      </w:r>
      <w:r>
        <w:tab/>
      </w:r>
      <w:r>
        <w:rPr>
          <w:noProof/>
        </w:rPr>
        <w:t>Rak je drugi najpogostejši vzrok smrti v državah članicah po boleznih srca in ožilja. Prav tako je ena od nenalezljivih bolezni, ki imajo skupne dejavnike tveganja ter katerih preprečevanje in nadzor bi koristila večini državljank in državljanov. Leta 202</w:t>
      </w:r>
      <w:r>
        <w:rPr>
          <w:noProof/>
        </w:rPr>
        <w:t>0 je Komisija napovedala evropski načrt za boj proti raku, ki bi zajemal celoten cikel bolezni, od preprečevanja in zgodnjega odkrivanja do zdravljenja ter kakovosti življenja pacientov in preživelih. Program in misija za boj proti raku iz programa Obzorje</w:t>
      </w:r>
      <w:r>
        <w:rPr>
          <w:noProof/>
        </w:rPr>
        <w:t xml:space="preserve"> Evropa naj bi pripomogla k tem ukrepom.</w:t>
      </w:r>
    </w:p>
    <w:p w:rsidR="00FD37A3" w:rsidRDefault="0072500C">
      <w:pPr>
        <w:pStyle w:val="ManualConsidrant"/>
        <w:rPr>
          <w:noProof/>
        </w:rPr>
      </w:pPr>
      <w:r>
        <w:t>(20)</w:t>
      </w:r>
      <w:r>
        <w:tab/>
      </w:r>
      <w:r>
        <w:rPr>
          <w:noProof/>
        </w:rPr>
        <w:t>Program bo deloval v sinergiji in povezljivosti z drugimi politikami, programi in skladi EU, kot so ukrepi, ki se izvajajo v okviru programa za digitalno Evropo, programa Obzorje Evropa, rezerve rescEU v okviru</w:t>
      </w:r>
      <w:r>
        <w:rPr>
          <w:noProof/>
        </w:rPr>
        <w:t xml:space="preserve"> mehanizma Unije na področju civilne zaščite, instrumenta za nujno pomoč, Evropskega socialnega sklada plus (ESS+, vključno v zvezi s sinergijami za boljše varovanje zdravja in večjo varnost milijonov delavcev v EU), vključno s sklopom za zaposlovanje in s</w:t>
      </w:r>
      <w:r>
        <w:rPr>
          <w:noProof/>
        </w:rPr>
        <w:t>ocialne inovacije (EaSI), sklada InvestEU, programa za enotni trg, Evropskega sklada za regionalni razvoj (ESRR), mehanizma za okrevanje in odpornost, vključno z orodjem za izvajanje reform, programa Erasmus, evropske solidarnostne enote, podpore zmanjševa</w:t>
      </w:r>
      <w:r>
        <w:rPr>
          <w:noProof/>
        </w:rPr>
        <w:t xml:space="preserve">nju tveganj za brezposelnost v izrednih razmerah (SURE) ter instrumentov EU za zunanje ukrepanje, kot sta </w:t>
      </w:r>
      <w:r>
        <w:rPr>
          <w:noProof/>
          <w:szCs w:val="24"/>
          <w:shd w:val="clear" w:color="auto" w:fill="FFFFFF"/>
        </w:rPr>
        <w:t>instrument za sosedstvo ter razvojno in mednarodno sodelovanje ter instrument za predpristopno pomoč III.</w:t>
      </w:r>
      <w:r>
        <w:rPr>
          <w:noProof/>
          <w:color w:val="FF0000"/>
          <w:szCs w:val="24"/>
          <w:shd w:val="clear" w:color="auto" w:fill="FFFFFF"/>
        </w:rPr>
        <w:t xml:space="preserve"> </w:t>
      </w:r>
      <w:r>
        <w:rPr>
          <w:noProof/>
        </w:rPr>
        <w:t>Po potrebi bodo vzpostavljena skupna pravila</w:t>
      </w:r>
      <w:r>
        <w:rPr>
          <w:noProof/>
        </w:rPr>
        <w:t xml:space="preserve">, da bi zagotovili skladnost in dopolnjevanje med skladi, hkrati pa zagotovili spoštovanje posebnosti teh politik, ter da bi uskladili strateške zahteve teh politik, programov in skladov, kot so omogočitveni pogoji v okviru ESRR in ESS+. </w:t>
      </w:r>
    </w:p>
    <w:p w:rsidR="00FD37A3" w:rsidRDefault="0072500C">
      <w:pPr>
        <w:pStyle w:val="ManualConsidrant"/>
        <w:rPr>
          <w:rStyle w:val="rte-paragraph"/>
          <w:noProof/>
          <w:szCs w:val="24"/>
        </w:rPr>
      </w:pPr>
      <w:r>
        <w:rPr>
          <w:rStyle w:val="rte-paragraph"/>
        </w:rPr>
        <w:t>(21)</w:t>
      </w:r>
      <w:r>
        <w:rPr>
          <w:rStyle w:val="rte-paragraph"/>
        </w:rPr>
        <w:tab/>
      </w:r>
      <w:r>
        <w:rPr>
          <w:noProof/>
        </w:rPr>
        <w:t>V skladu s č</w:t>
      </w:r>
      <w:r>
        <w:rPr>
          <w:noProof/>
        </w:rPr>
        <w:t>lenom 114 PDEU bi morala zakonodaja, ki jo sprejme Unija za vzpostavitev in delovanje notranjega trga, zagotavljati visoko raven varovanja zdravja. Na podlagi člena 114 PDEU in točke (c) člena 168(4) PDEU je bil oblikovan obsežen pravni red Unije, ki zagot</w:t>
      </w:r>
      <w:r>
        <w:rPr>
          <w:noProof/>
        </w:rPr>
        <w:t xml:space="preserve">avlja visoke standarde kakovosti in varnosti zdravil in medicinskih pripomočkov. </w:t>
      </w:r>
      <w:r>
        <w:rPr>
          <w:rStyle w:val="rte-paragraph"/>
          <w:noProof/>
          <w:szCs w:val="24"/>
        </w:rPr>
        <w:t>Zaradi vse večjega povpraševanja po zdravstvenem varstvu se sistemi zdravstvenega varstva držav članic soočajo z izzivi glede razpoložljivosti in cenovne dostopnosti zdravil i</w:t>
      </w:r>
      <w:r>
        <w:rPr>
          <w:rStyle w:val="rte-paragraph"/>
          <w:noProof/>
          <w:szCs w:val="24"/>
        </w:rPr>
        <w:t>n medicinskih pripomočkov. Za zagotovitev</w:t>
      </w:r>
      <w:r>
        <w:rPr>
          <w:noProof/>
        </w:rPr>
        <w:t xml:space="preserve"> boljšega varovanja javnega zdravja ter varnosti in krepitve vloge pacientov v Uniji je bistveno, da imajo pacienti in zdravstveni sistemi </w:t>
      </w:r>
      <w:r>
        <w:rPr>
          <w:rStyle w:val="rte-paragraph"/>
          <w:noProof/>
          <w:szCs w:val="24"/>
        </w:rPr>
        <w:t>dostop do visokokakovostnih zdravstvenih izdelkov in jih lahko v celoti izko</w:t>
      </w:r>
      <w:r>
        <w:rPr>
          <w:rStyle w:val="rte-paragraph"/>
          <w:noProof/>
          <w:szCs w:val="24"/>
        </w:rPr>
        <w:t xml:space="preserve">ristijo. </w:t>
      </w:r>
    </w:p>
    <w:p w:rsidR="00FD37A3" w:rsidRDefault="0072500C">
      <w:pPr>
        <w:pStyle w:val="ManualConsidrant"/>
        <w:rPr>
          <w:noProof/>
          <w:szCs w:val="24"/>
        </w:rPr>
      </w:pPr>
      <w:r>
        <w:t>(22)</w:t>
      </w:r>
      <w:r>
        <w:tab/>
      </w:r>
      <w:r>
        <w:rPr>
          <w:rStyle w:val="rte-paragraph"/>
          <w:noProof/>
          <w:szCs w:val="24"/>
        </w:rPr>
        <w:t>Program bi zato moral podpirati ukrepe za</w:t>
      </w:r>
      <w:r>
        <w:rPr>
          <w:noProof/>
        </w:rPr>
        <w:t xml:space="preserve"> spremljanje pomanjkanja zdravil, medicinskih pripomočkov in drugih zdravstvenih izdelkov ter za zagotovitev večje razpoložljivosti in cenovne dostopnosti teh izdelkov, </w:t>
      </w:r>
      <w:r>
        <w:rPr>
          <w:rStyle w:val="rte-paragraph"/>
          <w:noProof/>
          <w:szCs w:val="24"/>
        </w:rPr>
        <w:t>hkrati</w:t>
      </w:r>
      <w:r>
        <w:rPr>
          <w:noProof/>
        </w:rPr>
        <w:t xml:space="preserve"> pa omejiti odvisnost nji</w:t>
      </w:r>
      <w:r>
        <w:rPr>
          <w:noProof/>
        </w:rPr>
        <w:t xml:space="preserve">hovih dobavnih verig od tretjih držav. </w:t>
      </w:r>
      <w:r>
        <w:rPr>
          <w:rStyle w:val="rte-paragraph"/>
          <w:noProof/>
          <w:szCs w:val="24"/>
        </w:rPr>
        <w:t>Da bi se obravnavale neizpolnjene zdravstvene potrebe, bi moral Program zlasti zagotavljati podporo</w:t>
      </w:r>
      <w:r>
        <w:rPr>
          <w:noProof/>
        </w:rPr>
        <w:t xml:space="preserve"> za klinična preskušanja, da bi se pospešili razvoj in odobritev inovativnih in učinkovitih zdravil ter dostop do njih</w:t>
      </w:r>
      <w:r>
        <w:rPr>
          <w:noProof/>
        </w:rPr>
        <w:t>, podpirale spodbude za razvoj takih zdravil kot antimikrobikov ter spodbujala digitalna preobrazba zdravstvenih izdelkov in platform za spremljanje in zbiranje informacij o zdravilih.</w:t>
      </w:r>
    </w:p>
    <w:p w:rsidR="00FD37A3" w:rsidRDefault="0072500C">
      <w:pPr>
        <w:pStyle w:val="ManualConsidrant"/>
        <w:rPr>
          <w:noProof/>
          <w:szCs w:val="24"/>
        </w:rPr>
      </w:pPr>
      <w:r>
        <w:t>(23)</w:t>
      </w:r>
      <w:r>
        <w:tab/>
      </w:r>
      <w:r>
        <w:rPr>
          <w:noProof/>
        </w:rPr>
        <w:t>Ker optimalna uporaba zdravil in antimikrobikov koristi zlasti pos</w:t>
      </w:r>
      <w:r>
        <w:rPr>
          <w:noProof/>
        </w:rPr>
        <w:t>ameznikom in zdravstvenim sistemom, bi moral Program spodbujati njihovo preudarno in učinkovito rabo. V skladu z evropskim akcijskim načrtom „eno zdravje“ zoper odpornost proti antimikrobikom</w:t>
      </w:r>
      <w:r>
        <w:rPr>
          <w:rStyle w:val="FootnoteReference"/>
          <w:rFonts w:eastAsia="Times New Roman"/>
          <w:bCs/>
          <w:noProof/>
          <w:szCs w:val="24"/>
        </w:rPr>
        <w:footnoteReference w:id="14"/>
      </w:r>
      <w:r>
        <w:rPr>
          <w:noProof/>
        </w:rPr>
        <w:t xml:space="preserve">, ki je bil sprejet junija 2017 na zahtevo držav članic, in ob </w:t>
      </w:r>
      <w:r>
        <w:rPr>
          <w:noProof/>
        </w:rPr>
        <w:t>upoštevanju izkušenj s sekundarnimi bakterijskimi okužbami, povezanimi z boleznijo COVID-19, je bistveno, da Program podpira ukrepe za preudarno rabo antimikrobikov pri ljudeh, živalih in kmetijskih rastlinah v okviru celostne politike o varnosti pacientov</w:t>
      </w:r>
      <w:r>
        <w:rPr>
          <w:noProof/>
        </w:rPr>
        <w:t xml:space="preserve"> in preprečevanju zdravstvenih napak.</w:t>
      </w:r>
    </w:p>
    <w:p w:rsidR="00FD37A3" w:rsidRDefault="0072500C">
      <w:pPr>
        <w:pStyle w:val="ManualConsidrant"/>
        <w:rPr>
          <w:noProof/>
          <w:szCs w:val="24"/>
        </w:rPr>
      </w:pPr>
      <w:r>
        <w:t>(24)</w:t>
      </w:r>
      <w:r>
        <w:tab/>
      </w:r>
      <w:r>
        <w:rPr>
          <w:rStyle w:val="rte-paragraph"/>
          <w:noProof/>
          <w:szCs w:val="24"/>
        </w:rPr>
        <w:t>Ker</w:t>
      </w:r>
      <w:r>
        <w:rPr>
          <w:noProof/>
        </w:rPr>
        <w:t xml:space="preserve"> je onesnaževanje okolja, ki ga povzročajo farmacevtske snovi v humani in veterinarski medicini, vse večji okoljski problem, ki lahko vpliva na javno zdravje, bi moral Program v skladu s strateškim pristopom Ev</w:t>
      </w:r>
      <w:r>
        <w:rPr>
          <w:noProof/>
        </w:rPr>
        <w:t>ropske unije k farmacevtskim izdelkom v okolju</w:t>
      </w:r>
      <w:r>
        <w:rPr>
          <w:rStyle w:val="FootnoteReference"/>
          <w:noProof/>
          <w:szCs w:val="24"/>
        </w:rPr>
        <w:footnoteReference w:id="15"/>
      </w:r>
      <w:r>
        <w:rPr>
          <w:noProof/>
        </w:rPr>
        <w:t xml:space="preserve"> spodbujati ukrepe za okrepitev ocenjevanja in ustreznega obvladovanja okoljskih tveganj, povezanih s proizvodnjo, uporabo in odstranjevanjem zdravil. </w:t>
      </w:r>
    </w:p>
    <w:p w:rsidR="00FD37A3" w:rsidRDefault="0072500C">
      <w:pPr>
        <w:pStyle w:val="ManualConsidrant"/>
        <w:rPr>
          <w:noProof/>
        </w:rPr>
      </w:pPr>
      <w:r>
        <w:t>(25)</w:t>
      </w:r>
      <w:r>
        <w:tab/>
      </w:r>
      <w:r>
        <w:rPr>
          <w:noProof/>
        </w:rPr>
        <w:t>Zdravstvena zakonodaja Unije neposredno vpliva na ja</w:t>
      </w:r>
      <w:r>
        <w:rPr>
          <w:noProof/>
        </w:rPr>
        <w:t>vno zdravje, življenja državljank in državljanov, učinkovitost in odpornost zdravstvenih sistemov ter dobro delovanje notranjega trga. Regulativni okvir za medicinske izdelke in tehnologije (zdravila, medicinske pripomočke in snovi človeškega izvora) ter z</w:t>
      </w:r>
      <w:r>
        <w:rPr>
          <w:noProof/>
        </w:rPr>
        <w:t>a zakonodajo o tobaku, pravicah pacientov pri čezmejnem zdravstvenem varstvu in resnih čezmejnih nevarnostih za zdravje je bistven za varovanje zdravja v Uniji. Program bi zato moral podpirati razvoj, izvajanje in izvrševanje zdravstvene zakonodaje Unije t</w:t>
      </w:r>
      <w:r>
        <w:rPr>
          <w:noProof/>
        </w:rPr>
        <w:t xml:space="preserve">er zagotavljati visokokakovostne, primerljive in zanesljive podatke v podporo oblikovanju in spremljanju politik. </w:t>
      </w:r>
    </w:p>
    <w:p w:rsidR="00FD37A3" w:rsidRDefault="0072500C">
      <w:pPr>
        <w:pStyle w:val="ManualConsidrant"/>
        <w:rPr>
          <w:noProof/>
        </w:rPr>
      </w:pPr>
      <w:r>
        <w:t>(26)</w:t>
      </w:r>
      <w:r>
        <w:tab/>
      </w:r>
      <w:r>
        <w:rPr>
          <w:noProof/>
        </w:rPr>
        <w:t>Čezmejno sodelovanje pri zagotavljanju zdravstvenega varstva za paciente, ki se gibajo med državami članicami, pri vrednotenju zdravstve</w:t>
      </w:r>
      <w:r>
        <w:rPr>
          <w:noProof/>
        </w:rPr>
        <w:t>nih tehnologij in v evropskih referenčnih mrežah so primeri področij, na katerih je bilo z integriranim delom držav članic dokazano, da imajo veliko dodano vrednost in velik potencial za povečanje učinkovitosti zdravstvenih sistemov in s tem zdravja na spl</w:t>
      </w:r>
      <w:r>
        <w:rPr>
          <w:noProof/>
        </w:rPr>
        <w:t>ošno.  Program bi zato moral podpirati dejavnosti, ki omogočajo tako integrirano in usklajeno delo, s katerim se spodbuja tudi izvajanje praks z velikim učinkom, katerih cilj je čim učinkovito razdeliti razpoložljiva sredstva zadevnim prebivalkam in prebiv</w:t>
      </w:r>
      <w:r>
        <w:rPr>
          <w:noProof/>
        </w:rPr>
        <w:t xml:space="preserve">alcem ter območjem, da se čim bolj poveča njihov učinek. </w:t>
      </w:r>
    </w:p>
    <w:p w:rsidR="00FD37A3" w:rsidRDefault="0072500C">
      <w:pPr>
        <w:pStyle w:val="ManualConsidrant"/>
        <w:rPr>
          <w:noProof/>
        </w:rPr>
      </w:pPr>
      <w:r>
        <w:t>(27)</w:t>
      </w:r>
      <w:r>
        <w:tab/>
      </w:r>
      <w:r>
        <w:rPr>
          <w:noProof/>
        </w:rPr>
        <w:t>Evropske referenčne mreže, vzpostavljene v skladu z Direktivo 2011/24/EU Evropskega parlamenta in Sveta</w:t>
      </w:r>
      <w:r>
        <w:rPr>
          <w:rStyle w:val="FootnoteReference"/>
          <w:noProof/>
          <w:szCs w:val="24"/>
        </w:rPr>
        <w:footnoteReference w:id="16"/>
      </w:r>
      <w:r>
        <w:rPr>
          <w:noProof/>
        </w:rPr>
        <w:t>, so virtualne mreže, ki vključujejo izvajalce zdravstvenega varstva po vsej Evropi. Njih</w:t>
      </w:r>
      <w:r>
        <w:rPr>
          <w:noProof/>
        </w:rPr>
        <w:t xml:space="preserve">ov cilj je olajšati razpravo o kompleksnih ali </w:t>
      </w:r>
      <w:hyperlink r:id="rId11" w:history="1">
        <w:r>
          <w:rPr>
            <w:noProof/>
          </w:rPr>
          <w:t>redkih boleznih</w:t>
        </w:r>
      </w:hyperlink>
      <w:r>
        <w:rPr>
          <w:noProof/>
        </w:rPr>
        <w:t xml:space="preserve"> ter zdravstvenih stanjih, ki zahtevajo visokospecializirano zdravljenje ter združevanje znanja in virov. K</w:t>
      </w:r>
      <w:r>
        <w:rPr>
          <w:noProof/>
        </w:rPr>
        <w:t>er lahko mreže izboljšajo dostop do diagnoze in zagotavljanje visokokakovostnega zdravstvenega varstva za paciente z redkimi boleznimi ter so lahko informacijske točke za medicinsko usposabljanje ter raziskave in širjenje informacij, bi moral Program prisp</w:t>
      </w:r>
      <w:r>
        <w:rPr>
          <w:noProof/>
        </w:rPr>
        <w:t>evati k okrepitvi mreženja prek evropskih referenčnih mrež in drugih nadnacionalnih omrežij. V okviru Programa bi bilo treba proučiti možnost razširitve evropskih referenčnih mrež, tako da ne bi vključevale samo redkih bolezni, pač pa tudi nalezljive in ne</w:t>
      </w:r>
      <w:r>
        <w:rPr>
          <w:noProof/>
        </w:rPr>
        <w:t>nalezljive bolezni, kot je rak.</w:t>
      </w:r>
    </w:p>
    <w:p w:rsidR="00FD37A3" w:rsidRDefault="0072500C">
      <w:pPr>
        <w:pStyle w:val="ManualConsidrant"/>
        <w:rPr>
          <w:noProof/>
          <w:szCs w:val="24"/>
        </w:rPr>
      </w:pPr>
      <w:r>
        <w:t>(28)</w:t>
      </w:r>
      <w:r>
        <w:tab/>
      </w:r>
      <w:r>
        <w:rPr>
          <w:noProof/>
        </w:rPr>
        <w:t xml:space="preserve">Za ta program se uporablja Uredba (EU, </w:t>
      </w:r>
      <w:r>
        <w:rPr>
          <w:noProof/>
          <w:szCs w:val="24"/>
        </w:rPr>
        <w:t>Euratom</w:t>
      </w:r>
      <w:r>
        <w:rPr>
          <w:noProof/>
        </w:rPr>
        <w:t>) 2018/1046 Evropskega parlamenta in Sveta</w:t>
      </w:r>
      <w:r>
        <w:rPr>
          <w:rStyle w:val="FootnoteReference"/>
          <w:noProof/>
          <w:szCs w:val="24"/>
        </w:rPr>
        <w:footnoteReference w:id="17"/>
      </w:r>
      <w:r>
        <w:rPr>
          <w:noProof/>
        </w:rPr>
        <w:t xml:space="preserve"> (v nadaljnjem besedilu: finančna uredba). Določa pravila za izvrševanje proračuna Unije, vključno s pravili za nepovratna sredstv</w:t>
      </w:r>
      <w:r>
        <w:rPr>
          <w:noProof/>
        </w:rPr>
        <w:t xml:space="preserve">a, nagrade, javno naročanje, posredno izvrševanje, finančno pomoč, finančne instrumente in proračunska jamstva. </w:t>
      </w:r>
    </w:p>
    <w:p w:rsidR="00FD37A3" w:rsidRDefault="0072500C">
      <w:pPr>
        <w:pStyle w:val="ManualConsidrant"/>
        <w:rPr>
          <w:noProof/>
          <w:szCs w:val="24"/>
        </w:rPr>
      </w:pPr>
      <w:r>
        <w:t>(29)</w:t>
      </w:r>
      <w:r>
        <w:tab/>
      </w:r>
      <w:r>
        <w:rPr>
          <w:noProof/>
        </w:rPr>
        <w:t xml:space="preserve">Vrste financiranja in načine izvajanja iz te uredbe bi bilo treba izbrati na podlagi njihove ustreznosti za uresničevanje posebnih ciljev </w:t>
      </w:r>
      <w:r>
        <w:rPr>
          <w:noProof/>
        </w:rPr>
        <w:t>ukrepov in za doseganje rezultatov, pri čemer se upoštevajo zlasti stroški kontrol, upravno breme in pričakovano tveganje neskladnosti. To bi moralo vključevati upoštevanje uporabe pavšalnih zneskov, pavšalnih stopenj in stroškov na enoto ter financiranja,</w:t>
      </w:r>
      <w:r>
        <w:rPr>
          <w:noProof/>
        </w:rPr>
        <w:t xml:space="preserve"> ki ni povezano s stroški iz člena 125(1) finančne uredbe.</w:t>
      </w:r>
    </w:p>
    <w:p w:rsidR="00FD37A3" w:rsidRDefault="0072500C">
      <w:pPr>
        <w:pStyle w:val="ManualConsidrant"/>
        <w:rPr>
          <w:noProof/>
          <w:szCs w:val="24"/>
        </w:rPr>
      </w:pPr>
      <w:r>
        <w:t>(30)</w:t>
      </w:r>
      <w:r>
        <w:tab/>
      </w:r>
      <w:r>
        <w:rPr>
          <w:noProof/>
        </w:rPr>
        <w:t>Za optimizacijo dodane vrednosti in učinka naložb, ki se v celoti ali delno financirajo iz proračuna Unije, bi bilo treba iskati sinergije, in sicer zlasti med Programom za ukrepe Unije na pod</w:t>
      </w:r>
      <w:r>
        <w:rPr>
          <w:noProof/>
        </w:rPr>
        <w:t>ročju zdravja in drugimi programi Unije, vključno s tistimi v okviru deljenega upravljanja. Za čim večjo sinergijo bi bilo treba zagotoviti ključne omogočitvene mehanizme, vključno s kumulativnim financiranjem v ukrep iz Programa za ukrepe Unije na področj</w:t>
      </w:r>
      <w:r>
        <w:rPr>
          <w:noProof/>
        </w:rPr>
        <w:t>u zdravja in drugega programa Unije, če tako kumulativno financiranje ne presega skupnih upravičenih stroškov ukrepa. V ta namen bi morala ta uredba določiti ustrezna pravila, zlasti glede možnosti, da se enaki stroški ali odhodki sorazmerno prijavijo za p</w:t>
      </w:r>
      <w:r>
        <w:rPr>
          <w:noProof/>
        </w:rPr>
        <w:t>ovračilo iz Programa za ukrepe Unije na področju zdravja in drugega programa Unije.</w:t>
      </w:r>
    </w:p>
    <w:p w:rsidR="00FD37A3" w:rsidRDefault="0072500C">
      <w:pPr>
        <w:pStyle w:val="ManualConsidrant"/>
        <w:rPr>
          <w:noProof/>
          <w:szCs w:val="24"/>
        </w:rPr>
      </w:pPr>
      <w:r>
        <w:t>(31)</w:t>
      </w:r>
      <w:r>
        <w:tab/>
      </w:r>
      <w:r>
        <w:rPr>
          <w:noProof/>
        </w:rPr>
        <w:t xml:space="preserve">Glede na posebno naravo ciljev in ukrepov, ki jih zajema Program, so ustrezni pristojni organi držav članic v nekaterih primerih najprimernejši za izvajanje povezanih </w:t>
      </w:r>
      <w:r>
        <w:rPr>
          <w:noProof/>
        </w:rPr>
        <w:t xml:space="preserve">dejavnosti. Navedene organe, ki jih imenujejo države članice same, bi bilo zato treba šteti za opredeljene upravičence za namen člena 195 finančne uredbe, nepovratna sredstva pa takim organom dodeliti brez predhodne objave razpisov za zbiranje predlogov. </w:t>
      </w:r>
    </w:p>
    <w:p w:rsidR="00FD37A3" w:rsidRDefault="0072500C">
      <w:pPr>
        <w:pStyle w:val="ManualConsidrant"/>
        <w:rPr>
          <w:noProof/>
          <w:szCs w:val="24"/>
        </w:rPr>
      </w:pPr>
      <w:r>
        <w:t>(32)</w:t>
      </w:r>
      <w:r>
        <w:tab/>
      </w:r>
      <w:r>
        <w:rPr>
          <w:noProof/>
        </w:rPr>
        <w:t>Evropske referenčne mreže kot mreže odobri odbor držav članic za evropske referenčne mreže v skladu s postopkom odobritve iz Izvedbenega sklepa Komisije 2014/287/EU z dne 10. marca 2014</w:t>
      </w:r>
      <w:r>
        <w:rPr>
          <w:rStyle w:val="FootnoteReference"/>
          <w:noProof/>
          <w:szCs w:val="24"/>
        </w:rPr>
        <w:footnoteReference w:id="18"/>
      </w:r>
      <w:r>
        <w:rPr>
          <w:noProof/>
        </w:rPr>
        <w:t>. Navedene mreže bi bilo zato treba šteti za opredeljene upraviče</w:t>
      </w:r>
      <w:r>
        <w:rPr>
          <w:noProof/>
        </w:rPr>
        <w:t>nce za namen člena 195 finančne uredbe, nepovratna sredstva pa evropskim referenčnim mrežam dodeliti brez predhodne objave razpisov za zbiranje predlogov. Neposredna nepovratna sredstva bi bilo treba dodeliti tudi drugim subjektom, imenovanim v skladu s pr</w:t>
      </w:r>
      <w:r>
        <w:rPr>
          <w:noProof/>
        </w:rPr>
        <w:t>avili Unije (npr. referenčnim laboratorijem in centrom, centrom odličnosti in nadnacionalnim omrežjem).</w:t>
      </w:r>
    </w:p>
    <w:p w:rsidR="00FD37A3" w:rsidRDefault="0072500C">
      <w:pPr>
        <w:pStyle w:val="ManualConsidrant"/>
        <w:rPr>
          <w:noProof/>
          <w:szCs w:val="24"/>
        </w:rPr>
      </w:pPr>
      <w:r>
        <w:t>(33)</w:t>
      </w:r>
      <w:r>
        <w:tab/>
      </w:r>
      <w:r>
        <w:rPr>
          <w:noProof/>
        </w:rPr>
        <w:t>Glede na skupne dogovorjene vrednote solidarnosti za pravično in univerzalno pokritost s kakovostnimi zdravstvenimi storitvami kot podlago za polit</w:t>
      </w:r>
      <w:r>
        <w:rPr>
          <w:noProof/>
        </w:rPr>
        <w:t xml:space="preserve">ike Unije na tem področju in da ima Unija </w:t>
      </w:r>
      <w:r>
        <w:rPr>
          <w:rStyle w:val="highlight"/>
          <w:noProof/>
          <w:szCs w:val="24"/>
        </w:rPr>
        <w:t>osrednjo</w:t>
      </w:r>
      <w:r>
        <w:rPr>
          <w:noProof/>
        </w:rPr>
        <w:t xml:space="preserve"> vlogo pri pospeševanju napredka pri svetovnih zdravstvenih izzivih</w:t>
      </w:r>
      <w:r>
        <w:rPr>
          <w:rStyle w:val="FootnoteReference"/>
          <w:noProof/>
          <w:szCs w:val="24"/>
        </w:rPr>
        <w:footnoteReference w:id="19"/>
      </w:r>
      <w:r>
        <w:rPr>
          <w:noProof/>
        </w:rPr>
        <w:t>, bi moral Program podpirati prispevek Unije k mednarodnim in svetovnim zdravstvenim pobudam za izboljšanje zdravja, zmanjšanje neenakosti</w:t>
      </w:r>
      <w:r>
        <w:rPr>
          <w:noProof/>
        </w:rPr>
        <w:t xml:space="preserve"> in boljšo zaščito pred svetovnimi nevarnostmi za zdravje. </w:t>
      </w:r>
    </w:p>
    <w:p w:rsidR="00FD37A3" w:rsidRDefault="0072500C">
      <w:pPr>
        <w:pStyle w:val="ManualConsidrant"/>
        <w:rPr>
          <w:noProof/>
          <w:szCs w:val="24"/>
        </w:rPr>
      </w:pPr>
      <w:r>
        <w:t>(34)</w:t>
      </w:r>
      <w:r>
        <w:tab/>
      </w:r>
      <w:r>
        <w:rPr>
          <w:noProof/>
        </w:rPr>
        <w:t>Da bi se čim bolj povečali učinkovitost in uspešnost ukrepov na ravni Unije in na mednarodni ravni, bi bilo treba za izvajanje Programa vzpostaviti sodelovanje z ustreznimi mednarodnimi organ</w:t>
      </w:r>
      <w:r>
        <w:rPr>
          <w:noProof/>
        </w:rPr>
        <w:t>izacijami, kot so Združeni narodi in njihove specializirane agencije, zlasti Svetovna zdravstvena organizacija (SZO) in Svetovna banka, ter s Svetom Evrope in Organizacijo za gospodarsko sodelovanje in razvoj (OECD). V skladu s členom 94 Sklepa Sveta 2013/</w:t>
      </w:r>
      <w:r>
        <w:rPr>
          <w:noProof/>
        </w:rPr>
        <w:t>755/EU</w:t>
      </w:r>
      <w:r>
        <w:rPr>
          <w:rStyle w:val="FootnoteReference"/>
          <w:noProof/>
          <w:szCs w:val="24"/>
        </w:rPr>
        <w:footnoteReference w:id="20"/>
      </w:r>
      <w:r>
        <w:rPr>
          <w:noProof/>
        </w:rPr>
        <w:t xml:space="preserve"> so osebe in subjekti s sedežem v čezmorskih državah in ozemljih upravičeni do financiranja v skladu s pravili in cilji Programa ter ureditvami, ki se uporabljajo v državi članici, s katero sta zadevna čezmorska država ali ozemlje povezana.</w:t>
      </w:r>
    </w:p>
    <w:p w:rsidR="00FD37A3" w:rsidRDefault="0072500C">
      <w:pPr>
        <w:pStyle w:val="ManualConsidrant"/>
        <w:rPr>
          <w:noProof/>
          <w:szCs w:val="24"/>
        </w:rPr>
      </w:pPr>
      <w:r>
        <w:t>(35)</w:t>
      </w:r>
      <w:r>
        <w:tab/>
      </w:r>
      <w:r>
        <w:rPr>
          <w:noProof/>
        </w:rPr>
        <w:t>Tre</w:t>
      </w:r>
      <w:r>
        <w:rPr>
          <w:noProof/>
        </w:rPr>
        <w:t>tje države, ki so članice Evropskega gospodarskega prostora (EGP), lahko sodelujejo v programih Unije v okviru sodelovanja, vzpostavljenega s Sporazumom EGP, ki določa izvajanje programov s sklepom na podlagi navedenega sporazuma. V tej uredbi bi bilo treb</w:t>
      </w:r>
      <w:r>
        <w:rPr>
          <w:noProof/>
        </w:rPr>
        <w:t>a uvesti posebno določbo, da bi odgovornemu odredbodajalcu, Evropskemu uradu za boj proti goljufijam (OLAF) in Evropskemu računskemu sodišču podelili pravice in dostop, ki jih potrebujejo za celovito izvajanje svojih pristojnosti.</w:t>
      </w:r>
    </w:p>
    <w:p w:rsidR="00FD37A3" w:rsidRDefault="0072500C">
      <w:pPr>
        <w:pStyle w:val="ManualConsidrant"/>
        <w:rPr>
          <w:noProof/>
          <w:szCs w:val="24"/>
        </w:rPr>
      </w:pPr>
      <w:r>
        <w:t>(36)</w:t>
      </w:r>
      <w:r>
        <w:tab/>
      </w:r>
      <w:r>
        <w:rPr>
          <w:noProof/>
        </w:rPr>
        <w:t>Okrepiti bi bilo tre</w:t>
      </w:r>
      <w:r>
        <w:rPr>
          <w:noProof/>
        </w:rPr>
        <w:t>ba sodelovanje s tretjimi državami pri izmenjavi znanja in dobrih praks glede pripravljenosti in odzivanja zdravstvenih sistemov.</w:t>
      </w:r>
    </w:p>
    <w:p w:rsidR="00FD37A3" w:rsidRDefault="0072500C">
      <w:pPr>
        <w:pStyle w:val="ManualConsidrant"/>
        <w:rPr>
          <w:noProof/>
          <w:szCs w:val="24"/>
        </w:rPr>
      </w:pPr>
      <w:r>
        <w:t>(37)</w:t>
      </w:r>
      <w:r>
        <w:tab/>
      </w:r>
      <w:r>
        <w:rPr>
          <w:noProof/>
        </w:rPr>
        <w:t>V skladu s finančno uredbo, Uredbo (EU, Euratom) št. 883/2013 Evropskega parlamenta in Sveta</w:t>
      </w:r>
      <w:r>
        <w:rPr>
          <w:rStyle w:val="FootnoteReference"/>
          <w:noProof/>
          <w:szCs w:val="24"/>
        </w:rPr>
        <w:footnoteReference w:id="21"/>
      </w:r>
      <w:r>
        <w:rPr>
          <w:noProof/>
        </w:rPr>
        <w:t>, Uredbo Sveta (ES, Euratom)</w:t>
      </w:r>
      <w:r>
        <w:rPr>
          <w:noProof/>
        </w:rPr>
        <w:t xml:space="preserve"> št. 2988/95</w:t>
      </w:r>
      <w:r>
        <w:rPr>
          <w:rStyle w:val="FootnoteReference"/>
          <w:noProof/>
          <w:szCs w:val="24"/>
        </w:rPr>
        <w:footnoteReference w:id="22"/>
      </w:r>
      <w:r>
        <w:rPr>
          <w:noProof/>
        </w:rPr>
        <w:t>, Uredbo Sveta (Euratom, ES) št. 2185/96</w:t>
      </w:r>
      <w:r>
        <w:rPr>
          <w:rStyle w:val="FootnoteReference"/>
          <w:noProof/>
          <w:szCs w:val="24"/>
        </w:rPr>
        <w:footnoteReference w:id="23"/>
      </w:r>
      <w:r>
        <w:rPr>
          <w:noProof/>
        </w:rPr>
        <w:t xml:space="preserve"> in Uredbo Sveta (EU) 2017/1939</w:t>
      </w:r>
      <w:r>
        <w:rPr>
          <w:rStyle w:val="FootnoteReference"/>
          <w:noProof/>
          <w:szCs w:val="24"/>
        </w:rPr>
        <w:footnoteReference w:id="24"/>
      </w:r>
      <w:r>
        <w:rPr>
          <w:noProof/>
        </w:rPr>
        <w:t xml:space="preserve"> je treba finančne interese Unije zaščititi s sorazmernimi ukrepi, ki vključujejo ukrepe za preprečevanje, odkrivanje, odpravljanje in preiskovanje nepravilnosti, vključn</w:t>
      </w:r>
      <w:r>
        <w:rPr>
          <w:noProof/>
        </w:rPr>
        <w:t>o z goljufijami, povračilo izgubljenih, neupravičeno izplačanih ali nepravilno porabljenih sredstev iz skladov ter po potrebi naložitev upravnih sankcij. Zlasti lahko v skladu z Uredbo (</w:t>
      </w:r>
      <w:r>
        <w:rPr>
          <w:noProof/>
          <w:szCs w:val="24"/>
        </w:rPr>
        <w:t>Euratom</w:t>
      </w:r>
      <w:r>
        <w:rPr>
          <w:noProof/>
        </w:rPr>
        <w:t xml:space="preserve">, ES) št. 2185/96 in Uredbo (EU, </w:t>
      </w:r>
      <w:r>
        <w:rPr>
          <w:noProof/>
          <w:szCs w:val="24"/>
        </w:rPr>
        <w:t>Euratom</w:t>
      </w:r>
      <w:r>
        <w:rPr>
          <w:noProof/>
        </w:rPr>
        <w:t>) št. 883/2013 Evropski</w:t>
      </w:r>
      <w:r>
        <w:rPr>
          <w:noProof/>
        </w:rPr>
        <w:t xml:space="preserve"> urad za boj proti goljufijam izvaja upravne preiskave, vključno s pregledi in inšpekcijami na kraju samem, da bi ugotovil, ali je prišlo do goljufije, korupcije ali drugih nezakonitih ravnanj, ki škodijo finančnim interesom Unije. Evropsko javno tožilstvo</w:t>
      </w:r>
      <w:r>
        <w:rPr>
          <w:noProof/>
        </w:rPr>
        <w:t xml:space="preserve"> (EJT) je v skladu z Uredbo Sveta (EU) 2017/1939 pooblaščeno za preiskovanje in pregon kaznivih dejanj, ki škodijo finančnim interesom Unije, kot je določeno v Direktivi (EU) 2017/1371 Evropskega parlamenta in Sveta</w:t>
      </w:r>
      <w:r>
        <w:rPr>
          <w:rStyle w:val="FootnoteReference"/>
          <w:noProof/>
          <w:szCs w:val="24"/>
        </w:rPr>
        <w:footnoteReference w:id="25"/>
      </w:r>
      <w:r>
        <w:rPr>
          <w:noProof/>
        </w:rPr>
        <w:t>.</w:t>
      </w:r>
    </w:p>
    <w:p w:rsidR="00FD37A3" w:rsidRDefault="0072500C">
      <w:pPr>
        <w:pStyle w:val="ManualConsidrant"/>
        <w:rPr>
          <w:noProof/>
          <w:szCs w:val="24"/>
        </w:rPr>
      </w:pPr>
      <w:r>
        <w:t>(38)</w:t>
      </w:r>
      <w:r>
        <w:tab/>
      </w:r>
      <w:r>
        <w:rPr>
          <w:noProof/>
        </w:rPr>
        <w:t>V skladu s finančno uredbo mora vsaka oseba ali subjekt, ki prejema sredstva Unije, v celoti sodelovati pri zaščiti finančnih interesov Unije, podeliti potrebne pravice in dostop Komisiji, uradu OLAF, Evropskemu računskemu sodišču in EJT za tiste države čl</w:t>
      </w:r>
      <w:r>
        <w:rPr>
          <w:noProof/>
        </w:rPr>
        <w:t xml:space="preserve">anice, ki so vključene v okrepljeno sodelovanje na podlagi Uredbe (EU) 2017/1939, ter zagotoviti, da vse tretje strani, ki so vključene v izvrševanje sredstev Unije, podelijo enakovredne pravice.  </w:t>
      </w:r>
    </w:p>
    <w:p w:rsidR="00FD37A3" w:rsidRDefault="0072500C">
      <w:pPr>
        <w:pStyle w:val="ManualConsidrant"/>
        <w:rPr>
          <w:noProof/>
          <w:szCs w:val="24"/>
        </w:rPr>
      </w:pPr>
      <w:r>
        <w:t>(39)</w:t>
      </w:r>
      <w:r>
        <w:tab/>
      </w:r>
      <w:r>
        <w:rPr>
          <w:noProof/>
        </w:rPr>
        <w:t>Za to uredbo se uporabljajo horizontalna finančna pra</w:t>
      </w:r>
      <w:r>
        <w:rPr>
          <w:noProof/>
        </w:rPr>
        <w:t>vila, ki sta jih sprejela Evropski parlament in Svet na podlagi člena 322 Pogodbe o delovanju Evropske unije. Ta pravila so določena v finančni uredbi in določajo zlasti postopek za pripravo in izvrševanje proračuna prek nepovratnih sredstev, javnih naroči</w:t>
      </w:r>
      <w:r>
        <w:rPr>
          <w:noProof/>
        </w:rPr>
        <w:t>l, nagrad in posrednega izvrševanja ter urejajo preverjanje odgovornosti finančnih udeležencev. Pravila, sprejeta na podlagi člena 322 PDEU, se nanašajo tudi na zaščito proračuna Unije v primeru splošnih pomanjkljivosti v zvezi z načelom pravne države v dr</w:t>
      </w:r>
      <w:r>
        <w:rPr>
          <w:noProof/>
        </w:rPr>
        <w:t xml:space="preserve">žavah članicah, saj je spoštovanje tega načela bistven predpogoj za dobro finančno poslovodenje in učinkovito financiranje s strani EU. </w:t>
      </w:r>
    </w:p>
    <w:p w:rsidR="00FD37A3" w:rsidRDefault="0072500C">
      <w:pPr>
        <w:pStyle w:val="ManualConsidrant"/>
        <w:rPr>
          <w:noProof/>
          <w:szCs w:val="24"/>
        </w:rPr>
      </w:pPr>
      <w:r>
        <w:t>(40)</w:t>
      </w:r>
      <w:r>
        <w:tab/>
      </w:r>
      <w:r>
        <w:rPr>
          <w:noProof/>
        </w:rPr>
        <w:t>Glede na to, kako pomemben je boj proti podnebnim spremembam v skladu z zavezami Unije za izvajanje Pariškega spor</w:t>
      </w:r>
      <w:r>
        <w:rPr>
          <w:noProof/>
        </w:rPr>
        <w:t>azuma in ciljev Združenih narodov za trajnostni razvoj, bo ta program prispeval k vključevanju podnebnih ukrepov v politike Unije in doseganju skupnega cilja, da 25 % proračunskih odhodkov EU podpira podnebne cilje. Ustrezni ukrepi bodo opredeljeni med pri</w:t>
      </w:r>
      <w:r>
        <w:rPr>
          <w:noProof/>
        </w:rPr>
        <w:t>pravo in izvajanjem Programa ter ponovno ocenjeni v okviru vmesne ocene.</w:t>
      </w:r>
    </w:p>
    <w:p w:rsidR="00FD37A3" w:rsidRDefault="0072500C">
      <w:pPr>
        <w:pStyle w:val="ManualConsidrant"/>
        <w:rPr>
          <w:noProof/>
          <w:szCs w:val="24"/>
        </w:rPr>
      </w:pPr>
      <w:r>
        <w:t>(41)</w:t>
      </w:r>
      <w:r>
        <w:tab/>
      </w:r>
      <w:r>
        <w:rPr>
          <w:noProof/>
        </w:rPr>
        <w:t>Cilji politike tega programa se lahko obravnavajo tudi s finančnimi instrumenti in proračunskimi jamstvi v okviru sklada InvestEU. Finančna podpora bi se morala uporabiti za sora</w:t>
      </w:r>
      <w:r>
        <w:rPr>
          <w:noProof/>
        </w:rPr>
        <w:t>zmerno odpravljanje nedelovanja trga ali neoptimalnih naložbenih okoliščin, ukrepi pa se ne bi smeli podvajati ali izrinjati zasebnega financiranja ali izkrivljati konkurence na notranjem trgu. Na splošno bi morali imeti ukrepi jasno evropsko dodano vredno</w:t>
      </w:r>
      <w:r>
        <w:rPr>
          <w:noProof/>
        </w:rPr>
        <w:t>st.</w:t>
      </w:r>
    </w:p>
    <w:p w:rsidR="00FD37A3" w:rsidRDefault="0072500C">
      <w:pPr>
        <w:pStyle w:val="ManualConsidrant"/>
        <w:rPr>
          <w:noProof/>
          <w:szCs w:val="24"/>
        </w:rPr>
      </w:pPr>
      <w:r>
        <w:t>(42)</w:t>
      </w:r>
      <w:r>
        <w:tab/>
      </w:r>
      <w:r>
        <w:rPr>
          <w:noProof/>
        </w:rPr>
        <w:t xml:space="preserve">Program bi se moral izvajati ob upoštevanju pristojnosti držav članic za opredelitev njihove zdravstvene politike ter za organizacijo in zagotavljanje zdravstvenih storitev in zdravstvene oskrbe. </w:t>
      </w:r>
    </w:p>
    <w:p w:rsidR="00FD37A3" w:rsidRDefault="0072500C">
      <w:pPr>
        <w:pStyle w:val="ManualConsidrant"/>
        <w:rPr>
          <w:noProof/>
          <w:szCs w:val="24"/>
        </w:rPr>
      </w:pPr>
      <w:r>
        <w:t>(43)</w:t>
      </w:r>
      <w:r>
        <w:tab/>
      </w:r>
      <w:r>
        <w:rPr>
          <w:noProof/>
        </w:rPr>
        <w:t>Glede na naravo in potencialni obseg čezmejni</w:t>
      </w:r>
      <w:r>
        <w:rPr>
          <w:noProof/>
        </w:rPr>
        <w:t xml:space="preserve">h nevarnosti za zdravje ljudi države članice ne morejo same zadovoljivo doseči cilja varovanja ljudi v Uniji pred takimi nevarnostmi ter izboljšati preprečevanje kriz in pripravljenost nanje. V skladu z načelom subsidiarnosti iz člena 5 Pogodbe o Evropski </w:t>
      </w:r>
      <w:r>
        <w:rPr>
          <w:noProof/>
        </w:rPr>
        <w:t>uniji se lahko ukrepi na ravni Unije sprejmejo tudi za podporo prizadevanjem držav članic pri doseganju visoke ravni varovanja javnega zdravja, za izboljšanje razpoložljivosti in cenovne dostopnosti zdravil, medicinskih pripomočkov in drugih v krizi pomemb</w:t>
      </w:r>
      <w:r>
        <w:rPr>
          <w:noProof/>
        </w:rPr>
        <w:t>nih izdelkov v Uniji, za podporo inovacijam, za podporo integriranemu in usklajenemu delu in izvajanju dobre prakse med državami članicami ter za zmanjšanje neenakosti pri dostopu do zdravstvenega varstva po vsej EU na način, ki ustvarja večjo učinkovitost</w:t>
      </w:r>
      <w:r>
        <w:rPr>
          <w:noProof/>
        </w:rPr>
        <w:t xml:space="preserve"> in učinke z dodano vrednostjo, ki jih ne bi bilo mogoče ustvariti z ukrepi, sprejetimi na nacionalni ravni, ob spoštovanju pristojnosti in odgovornosti držav članic na področjih, ki jih zajema Program. V skladu z načelom sorazmernosti iz navedenega člena </w:t>
      </w:r>
      <w:r>
        <w:rPr>
          <w:noProof/>
        </w:rPr>
        <w:t>ta uredba ne presega tistega, kar je potrebno za doseganje navedenih ciljev.</w:t>
      </w:r>
    </w:p>
    <w:p w:rsidR="00FD37A3" w:rsidRDefault="0072500C">
      <w:pPr>
        <w:pStyle w:val="ManualConsidrant"/>
        <w:rPr>
          <w:noProof/>
          <w:szCs w:val="24"/>
        </w:rPr>
      </w:pPr>
      <w:r>
        <w:t>(44)</w:t>
      </w:r>
      <w:r>
        <w:tab/>
      </w:r>
      <w:r>
        <w:rPr>
          <w:noProof/>
        </w:rPr>
        <w:t>Da se omogočijo morebitne prilagoditve, potrebne za doseganje ciljev Programa, bi bilo treba na Komisijo prenesti pooblastilo, da v skladu s členom 290 PDEU sprejme akte v zv</w:t>
      </w:r>
      <w:r>
        <w:rPr>
          <w:noProof/>
        </w:rPr>
        <w:t>ezi s pregledom, spremembo in dodajanjem kazalnikov iz Priloge II k tej uredbi. Pri izvajanju teh prenesenih pooblastil je zlasti pomembno, da se Komisija pri svojem pripravljalnem delu ustrezno posvetuje, vključno na ravni strokovnjakov, in da se ta posve</w:t>
      </w:r>
      <w:r>
        <w:rPr>
          <w:noProof/>
        </w:rPr>
        <w:t>tovanja izvedejo v skladu z načeli, določenimi v Medinstitucionalnem sporazumu o boljši pripravi zakonodaje z dne 13. aprila 2016</w:t>
      </w:r>
      <w:r>
        <w:rPr>
          <w:rStyle w:val="FootnoteReference"/>
          <w:noProof/>
          <w:szCs w:val="24"/>
        </w:rPr>
        <w:footnoteReference w:id="26"/>
      </w:r>
      <w:r>
        <w:rPr>
          <w:noProof/>
        </w:rPr>
        <w:t>. Predvsem morata za zagotovitev enakopravnega sodelovanja pri pripravi delegiranih aktov Evropski parlament in Svet vse dokum</w:t>
      </w:r>
      <w:r>
        <w:rPr>
          <w:noProof/>
        </w:rPr>
        <w:t>ente prejeti sočasno s strokovnjaki iz držav članic, njuni strokovnjaki pa se lahko sistematično udeležujejo sestankov strokovnih skupin Komisije, ki se ukvarjajo pripravo delegiranih aktov.</w:t>
      </w:r>
    </w:p>
    <w:p w:rsidR="00FD37A3" w:rsidRDefault="0072500C">
      <w:pPr>
        <w:pStyle w:val="ManualConsidrant"/>
        <w:rPr>
          <w:noProof/>
          <w:szCs w:val="24"/>
        </w:rPr>
      </w:pPr>
      <w:r>
        <w:t>(45)</w:t>
      </w:r>
      <w:r>
        <w:tab/>
      </w:r>
      <w:r>
        <w:rPr>
          <w:noProof/>
        </w:rPr>
        <w:t>Za zagotovitev enotnih pogojev za izvajanje te uredbe bi bil</w:t>
      </w:r>
      <w:r>
        <w:rPr>
          <w:noProof/>
        </w:rPr>
        <w:t>o treba na Komisijo prenesti izvedbena pooblastila za sprejetje pravil o tehničnih in upravnih ureditvah, potrebnih za izvajanje ukrepov Programa, ter o enotnih predlogah za zbiranje podatkov, potrebnih za spremljanje izvajanja Programa. Navedena pooblasti</w:t>
      </w:r>
      <w:r>
        <w:rPr>
          <w:noProof/>
        </w:rPr>
        <w:t>la bi bilo treba izvajati v skladu z Uredbo (EU) št. 182/2011 Evropskega parlamenta in Sveta</w:t>
      </w:r>
      <w:r>
        <w:rPr>
          <w:rStyle w:val="FootnoteReference"/>
          <w:noProof/>
          <w:szCs w:val="24"/>
        </w:rPr>
        <w:footnoteReference w:id="27"/>
      </w:r>
      <w:r>
        <w:rPr>
          <w:noProof/>
        </w:rPr>
        <w:t xml:space="preserve">. </w:t>
      </w:r>
    </w:p>
    <w:p w:rsidR="00FD37A3" w:rsidRDefault="0072500C">
      <w:pPr>
        <w:pStyle w:val="ManualConsidrant"/>
        <w:rPr>
          <w:noProof/>
          <w:szCs w:val="24"/>
        </w:rPr>
      </w:pPr>
      <w:r>
        <w:t>(46)</w:t>
      </w:r>
      <w:r>
        <w:tab/>
      </w:r>
      <w:r>
        <w:rPr>
          <w:noProof/>
        </w:rPr>
        <w:t>Ker se tretji program za ukrepe Unije na področju zdravja (2014–2020), vzpostavljen z Uredbo (EU) št. 282/2014, izteka, navedena uredba zastara in bi jo bi</w:t>
      </w:r>
      <w:r>
        <w:rPr>
          <w:noProof/>
        </w:rPr>
        <w:t>lo treba razveljaviti.</w:t>
      </w:r>
    </w:p>
    <w:p w:rsidR="00FD37A3" w:rsidRDefault="0072500C">
      <w:pPr>
        <w:pStyle w:val="ManualConsidrant"/>
        <w:rPr>
          <w:noProof/>
        </w:rPr>
      </w:pPr>
      <w:r>
        <w:t>(47)</w:t>
      </w:r>
      <w:r>
        <w:tab/>
      </w:r>
      <w:r>
        <w:rPr>
          <w:noProof/>
        </w:rPr>
        <w:t>Primerno je zagotoviti nemoten in neoviran prehod med predhodnim programom na področju zdravja (2014–2020) in tem programom ter trajanje Programa uskladiti z Uredbo</w:t>
      </w:r>
      <w:r>
        <w:rPr>
          <w:rStyle w:val="FootnoteReference"/>
          <w:noProof/>
          <w:szCs w:val="24"/>
        </w:rPr>
        <w:footnoteReference w:id="28"/>
      </w:r>
      <w:r>
        <w:rPr>
          <w:noProof/>
        </w:rPr>
        <w:t xml:space="preserve"> (novi večletni finančni okvir). Zato bi se moral Program upora</w:t>
      </w:r>
      <w:r>
        <w:rPr>
          <w:noProof/>
        </w:rPr>
        <w:t xml:space="preserve">bljati od </w:t>
      </w:r>
      <w:r>
        <w:rPr>
          <w:noProof/>
          <w:szCs w:val="24"/>
          <w:shd w:val="clear" w:color="auto" w:fill="FFFFFF"/>
        </w:rPr>
        <w:t>1. januarja 2021</w:t>
      </w:r>
      <w:r>
        <w:rPr>
          <w:noProof/>
        </w:rPr>
        <w:t> –</w:t>
      </w:r>
    </w:p>
    <w:p w:rsidR="00FD37A3" w:rsidRDefault="0072500C">
      <w:pPr>
        <w:pStyle w:val="Formuledadoption"/>
        <w:rPr>
          <w:noProof/>
        </w:rPr>
      </w:pPr>
      <w:r>
        <w:rPr>
          <w:noProof/>
        </w:rPr>
        <w:t>SPREJELA NASLEDNJO UREDBO:</w:t>
      </w:r>
    </w:p>
    <w:p w:rsidR="00FD37A3" w:rsidRDefault="0072500C">
      <w:pPr>
        <w:pStyle w:val="ChapterTitle"/>
        <w:rPr>
          <w:noProof/>
        </w:rPr>
      </w:pPr>
      <w:r>
        <w:rPr>
          <w:noProof/>
        </w:rPr>
        <w:t>POGLAVJE I</w:t>
      </w:r>
    </w:p>
    <w:p w:rsidR="00FD37A3" w:rsidRDefault="0072500C">
      <w:pPr>
        <w:pStyle w:val="ChapterTitle"/>
        <w:rPr>
          <w:noProof/>
        </w:rPr>
      </w:pPr>
      <w:r>
        <w:rPr>
          <w:noProof/>
        </w:rPr>
        <w:t>SPLOŠNE DOLOČBE</w:t>
      </w:r>
    </w:p>
    <w:p w:rsidR="00FD37A3" w:rsidRDefault="0072500C">
      <w:pPr>
        <w:pStyle w:val="Titrearticle1"/>
        <w:rPr>
          <w:noProof/>
        </w:rPr>
      </w:pPr>
      <w:r>
        <w:rPr>
          <w:noProof/>
        </w:rPr>
        <w:t>Člen 1</w:t>
      </w:r>
    </w:p>
    <w:p w:rsidR="00FD37A3" w:rsidRDefault="0072500C">
      <w:pPr>
        <w:pStyle w:val="Titrearticle1"/>
        <w:spacing w:before="120"/>
        <w:rPr>
          <w:b/>
          <w:noProof/>
        </w:rPr>
      </w:pPr>
      <w:r>
        <w:rPr>
          <w:b/>
          <w:noProof/>
        </w:rPr>
        <w:t>Predmet urejanja</w:t>
      </w:r>
    </w:p>
    <w:p w:rsidR="00FD37A3" w:rsidRDefault="0072500C">
      <w:pPr>
        <w:rPr>
          <w:noProof/>
          <w:shd w:val="clear" w:color="auto" w:fill="FFFFFF"/>
        </w:rPr>
      </w:pPr>
      <w:r>
        <w:rPr>
          <w:noProof/>
          <w:shd w:val="clear" w:color="auto" w:fill="FFFFFF"/>
        </w:rPr>
        <w:t>Ta uredba vzpostavlja Program EU za zdravje (v nadaljnjem besedilu: Program).</w:t>
      </w:r>
    </w:p>
    <w:p w:rsidR="00FD37A3" w:rsidRDefault="0072500C">
      <w:pPr>
        <w:rPr>
          <w:noProof/>
          <w:szCs w:val="24"/>
        </w:rPr>
      </w:pPr>
      <w:r>
        <w:rPr>
          <w:noProof/>
        </w:rPr>
        <w:t xml:space="preserve">Določa cilje Programa, njegov proračun </w:t>
      </w:r>
      <w:r>
        <w:rPr>
          <w:noProof/>
          <w:shd w:val="clear" w:color="auto" w:fill="FFFFFF"/>
        </w:rPr>
        <w:t>za obdobje od 1. januarja 2021 d</w:t>
      </w:r>
      <w:r>
        <w:rPr>
          <w:noProof/>
          <w:shd w:val="clear" w:color="auto" w:fill="FFFFFF"/>
        </w:rPr>
        <w:t>o 31. decembra 2027</w:t>
      </w:r>
      <w:r>
        <w:rPr>
          <w:noProof/>
        </w:rPr>
        <w:t>, oblike financiranja Programa s strani Unije in pravila za zagotavljanje takega financiranja.</w:t>
      </w:r>
    </w:p>
    <w:p w:rsidR="00FD37A3" w:rsidRDefault="0072500C">
      <w:pPr>
        <w:pStyle w:val="Titrearticle1"/>
        <w:rPr>
          <w:noProof/>
        </w:rPr>
      </w:pPr>
      <w:r>
        <w:rPr>
          <w:noProof/>
        </w:rPr>
        <w:t>Člen 2</w:t>
      </w:r>
    </w:p>
    <w:p w:rsidR="00FD37A3" w:rsidRDefault="0072500C">
      <w:pPr>
        <w:pStyle w:val="Titrearticle1"/>
        <w:spacing w:before="120"/>
        <w:rPr>
          <w:b/>
          <w:noProof/>
        </w:rPr>
      </w:pPr>
      <w:r>
        <w:rPr>
          <w:b/>
          <w:noProof/>
        </w:rPr>
        <w:t>Opredelitev pojmov</w:t>
      </w:r>
    </w:p>
    <w:p w:rsidR="00FD37A3" w:rsidRDefault="0072500C">
      <w:pPr>
        <w:spacing w:before="0" w:after="200"/>
        <w:rPr>
          <w:noProof/>
          <w:szCs w:val="24"/>
        </w:rPr>
      </w:pPr>
      <w:r>
        <w:rPr>
          <w:noProof/>
        </w:rPr>
        <w:t>V tej uredbi se uporabljajo naslednje opredelitve pojmov:</w:t>
      </w:r>
    </w:p>
    <w:p w:rsidR="00FD37A3" w:rsidRDefault="0072500C">
      <w:pPr>
        <w:pStyle w:val="Point0"/>
        <w:rPr>
          <w:noProof/>
        </w:rPr>
      </w:pPr>
      <w:r>
        <w:rPr>
          <w:noProof/>
        </w:rPr>
        <w:t>(1)</w:t>
      </w:r>
      <w:r>
        <w:rPr>
          <w:noProof/>
        </w:rPr>
        <w:tab/>
        <w:t>„pridružena država“ pomeni tretjo državo, ki je pogodb</w:t>
      </w:r>
      <w:r>
        <w:rPr>
          <w:noProof/>
        </w:rPr>
        <w:t>enica sporazuma z Unijo, ki omogoča njeno sodelovanje v Programu v skladu s členom 7;</w:t>
      </w:r>
    </w:p>
    <w:p w:rsidR="00FD37A3" w:rsidRDefault="0072500C">
      <w:pPr>
        <w:pStyle w:val="Point0"/>
        <w:rPr>
          <w:noProof/>
          <w:szCs w:val="24"/>
        </w:rPr>
      </w:pPr>
      <w:r>
        <w:rPr>
          <w:noProof/>
        </w:rPr>
        <w:t>(2)</w:t>
      </w:r>
      <w:r>
        <w:rPr>
          <w:noProof/>
        </w:rPr>
        <w:tab/>
        <w:t>„operacija mešanega financiranja“ pomeni ukrepe, ki se podpirajo iz proračuna Unije, med drugim v okviru mehanizmov mešanega financiranja iz člena 2(6) Uredbe (EU, Eu</w:t>
      </w:r>
      <w:r>
        <w:rPr>
          <w:noProof/>
        </w:rPr>
        <w:t>ratom) 2018/1046, ki združujejo nepovratne oblike podpore in/ali finančne instrumente iz proračuna Unije z odplačnimi oblikami podpore iz razvojnih institucij ali drugih javnih finančnih institucij, pa tudi iz komercialnih finančnih institucij in od vlagat</w:t>
      </w:r>
      <w:r>
        <w:rPr>
          <w:noProof/>
        </w:rPr>
        <w:t xml:space="preserve">eljev; </w:t>
      </w:r>
    </w:p>
    <w:p w:rsidR="00FD37A3" w:rsidRDefault="0072500C">
      <w:pPr>
        <w:pStyle w:val="Point0"/>
        <w:rPr>
          <w:noProof/>
          <w:szCs w:val="24"/>
        </w:rPr>
      </w:pPr>
      <w:r>
        <w:rPr>
          <w:noProof/>
        </w:rPr>
        <w:t>(3)</w:t>
      </w:r>
      <w:r>
        <w:rPr>
          <w:noProof/>
        </w:rPr>
        <w:tab/>
        <w:t>„zdravstvena kriza“ pomeni vsako krizo ali resen incident, ki je posledica nevarnosti človeškega, živalskega, rastlinskega, živilskega ali okoljskega izvora in ima zdravstveno razsežnost ter ki zahteva nujno ukrepanje organov;</w:t>
      </w:r>
    </w:p>
    <w:p w:rsidR="00FD37A3" w:rsidRDefault="0072500C">
      <w:pPr>
        <w:pStyle w:val="Point0"/>
        <w:rPr>
          <w:noProof/>
          <w:szCs w:val="24"/>
        </w:rPr>
      </w:pPr>
      <w:r>
        <w:rPr>
          <w:noProof/>
        </w:rPr>
        <w:t>(4)</w:t>
      </w:r>
      <w:r>
        <w:rPr>
          <w:noProof/>
        </w:rPr>
        <w:tab/>
      </w:r>
      <w:r>
        <w:rPr>
          <w:noProof/>
        </w:rPr>
        <w:t>„v krizi pomembni izdelki“ pomenijo izdelke in snovi, ki so v zdravstveni krizi potrebni za preprečevanje, diagnosticiranje ali zdravljenje bolezni in njenih posledic in ki med drugim vključujejo: zdravila, vključno s cepivi, in njihove intermediate, aktiv</w:t>
      </w:r>
      <w:r>
        <w:rPr>
          <w:noProof/>
        </w:rPr>
        <w:t>ne farmacevtske sestavine in surovine; medicinske pripomočke; bolnišnično in medicinsko opremo (kot so ventilatorji, zaščitna oblačila in oprema, diagnostični materiali in orodja); osebno zaščitno opremo; razkužila ter njihove vmesne proizvode in surovine,</w:t>
      </w:r>
      <w:r>
        <w:rPr>
          <w:noProof/>
        </w:rPr>
        <w:t xml:space="preserve"> ki so potrebni za njihovo proizvodnjo; </w:t>
      </w:r>
    </w:p>
    <w:p w:rsidR="00FD37A3" w:rsidRDefault="0072500C">
      <w:pPr>
        <w:pStyle w:val="Point0"/>
        <w:rPr>
          <w:noProof/>
          <w:szCs w:val="24"/>
        </w:rPr>
      </w:pPr>
      <w:r>
        <w:rPr>
          <w:noProof/>
        </w:rPr>
        <w:t>(5)</w:t>
      </w:r>
      <w:r>
        <w:rPr>
          <w:noProof/>
        </w:rPr>
        <w:tab/>
        <w:t>„pristop ‚eno zdravje‘“ pomeni pristop, ki priznava, da obstaja medsebojna povezava med zdravjem ljudi in zdravjem živali, da se lahko bolezni prenašajo z ljudi na živali in obratno in jih je zato treba obravnav</w:t>
      </w:r>
      <w:r>
        <w:rPr>
          <w:noProof/>
        </w:rPr>
        <w:t>ati na obeh področjih, ter da okolje povezuje ljudi in živali;</w:t>
      </w:r>
    </w:p>
    <w:p w:rsidR="00FD37A3" w:rsidRDefault="0072500C">
      <w:pPr>
        <w:pStyle w:val="Point0"/>
        <w:rPr>
          <w:noProof/>
          <w:szCs w:val="24"/>
        </w:rPr>
      </w:pPr>
      <w:r>
        <w:rPr>
          <w:noProof/>
        </w:rPr>
        <w:t>(6)</w:t>
      </w:r>
      <w:r>
        <w:rPr>
          <w:noProof/>
        </w:rPr>
        <w:tab/>
        <w:t xml:space="preserve">„evropske referenčne mreže“ pomenijo mreže iz člena 12 Direktive 2011/24/EU; </w:t>
      </w:r>
    </w:p>
    <w:p w:rsidR="00FD37A3" w:rsidRDefault="0072500C">
      <w:pPr>
        <w:pStyle w:val="Point0"/>
        <w:rPr>
          <w:noProof/>
          <w:szCs w:val="24"/>
        </w:rPr>
      </w:pPr>
      <w:r>
        <w:rPr>
          <w:noProof/>
        </w:rPr>
        <w:t>(7)</w:t>
      </w:r>
      <w:r>
        <w:rPr>
          <w:noProof/>
        </w:rPr>
        <w:tab/>
        <w:t xml:space="preserve">„pravni subjekt“ pomeni katero koli fizično ali pravno osebo, ustanovljeno in priznano kot tako v skladu z </w:t>
      </w:r>
      <w:r>
        <w:rPr>
          <w:noProof/>
        </w:rPr>
        <w:t>nacionalnim pravom, pravom Unije ali mednarodnim pravom, ki ima pravno osebnost in lahko v svojem imenu uveljavlja pravice in prevzema obveznosti, ali subjekt brez pravne osebnosti v skladu s členom 197(2)(c) finančne uredbe;</w:t>
      </w:r>
    </w:p>
    <w:p w:rsidR="00FD37A3" w:rsidRDefault="0072500C">
      <w:pPr>
        <w:pStyle w:val="Point0"/>
        <w:rPr>
          <w:noProof/>
          <w:szCs w:val="24"/>
        </w:rPr>
      </w:pPr>
      <w:r>
        <w:rPr>
          <w:noProof/>
        </w:rPr>
        <w:t>(8)</w:t>
      </w:r>
      <w:r>
        <w:rPr>
          <w:noProof/>
        </w:rPr>
        <w:tab/>
        <w:t>„tretja država“ pomeni drž</w:t>
      </w:r>
      <w:r>
        <w:rPr>
          <w:noProof/>
        </w:rPr>
        <w:t>avo, ki ni članica Evropske unije;</w:t>
      </w:r>
    </w:p>
    <w:p w:rsidR="00FD37A3" w:rsidRDefault="0072500C">
      <w:pPr>
        <w:pStyle w:val="Point0"/>
        <w:rPr>
          <w:noProof/>
          <w:szCs w:val="24"/>
        </w:rPr>
      </w:pPr>
      <w:r>
        <w:rPr>
          <w:noProof/>
        </w:rPr>
        <w:t>(9)</w:t>
      </w:r>
      <w:r>
        <w:rPr>
          <w:noProof/>
        </w:rPr>
        <w:tab/>
        <w:t>„resna čezmejna nevarnost za zdravje“ pomeni smrtno ali drugačno resno nevarnost za zdravje biološkega, kemičnega, okoljskega ali neznanega izvora, ki se širi ali pomeni znatno tveganje za širjenje prek nacionalnih me</w:t>
      </w:r>
      <w:r>
        <w:rPr>
          <w:noProof/>
        </w:rPr>
        <w:t>ja držav članic in za katero je morda potrebno usklajevanje na ravni Unije, da se zagotovi visoka raven varovanja zdravja ljudi;</w:t>
      </w:r>
    </w:p>
    <w:p w:rsidR="00FD37A3" w:rsidRDefault="0072500C">
      <w:pPr>
        <w:pStyle w:val="Point0"/>
        <w:rPr>
          <w:noProof/>
          <w:szCs w:val="24"/>
        </w:rPr>
      </w:pPr>
      <w:r>
        <w:rPr>
          <w:noProof/>
        </w:rPr>
        <w:t>(10)</w:t>
      </w:r>
      <w:r>
        <w:rPr>
          <w:noProof/>
        </w:rPr>
        <w:tab/>
        <w:t>„nujna pomoč“ pomeni odziv v izrednih razmerah na podlagi potreb, ki dopolnjuje odziv prizadetih držav članic in je namenj</w:t>
      </w:r>
      <w:r>
        <w:rPr>
          <w:noProof/>
        </w:rPr>
        <w:t>en ohranjanju življenj, preprečevanju in lajšanju človeškega trpljenja ter ohranjanju človeškega dostojanstva, kadar je to potrebno zaradi resnih čezmejnih nevarnosti za zdravje iz člena 3(1).</w:t>
      </w:r>
    </w:p>
    <w:p w:rsidR="00FD37A3" w:rsidRDefault="0072500C">
      <w:pPr>
        <w:pStyle w:val="Titrearticle1"/>
        <w:rPr>
          <w:noProof/>
        </w:rPr>
      </w:pPr>
      <w:r>
        <w:rPr>
          <w:noProof/>
        </w:rPr>
        <w:t>Člen 3</w:t>
      </w:r>
    </w:p>
    <w:p w:rsidR="00FD37A3" w:rsidRDefault="0072500C">
      <w:pPr>
        <w:pStyle w:val="Titrearticle1"/>
        <w:spacing w:before="120"/>
        <w:rPr>
          <w:b/>
          <w:noProof/>
        </w:rPr>
      </w:pPr>
      <w:r>
        <w:rPr>
          <w:b/>
          <w:noProof/>
        </w:rPr>
        <w:t xml:space="preserve">Splošni cilji </w:t>
      </w:r>
    </w:p>
    <w:p w:rsidR="00FD37A3" w:rsidRDefault="0072500C">
      <w:pPr>
        <w:spacing w:before="0"/>
        <w:rPr>
          <w:noProof/>
          <w:sz w:val="23"/>
          <w:szCs w:val="23"/>
        </w:rPr>
      </w:pPr>
      <w:r>
        <w:rPr>
          <w:noProof/>
        </w:rPr>
        <w:t xml:space="preserve">Program </w:t>
      </w:r>
      <w:r>
        <w:rPr>
          <w:noProof/>
          <w:sz w:val="23"/>
          <w:szCs w:val="23"/>
        </w:rPr>
        <w:t>je namenjen uresničevanju nasledn</w:t>
      </w:r>
      <w:r>
        <w:rPr>
          <w:noProof/>
          <w:sz w:val="23"/>
          <w:szCs w:val="23"/>
        </w:rPr>
        <w:t xml:space="preserve">jih splošnih ciljev v skladu s pristopom „eno zdravje“, kadar je to ustrezno: </w:t>
      </w:r>
    </w:p>
    <w:p w:rsidR="00FD37A3" w:rsidRDefault="0072500C">
      <w:pPr>
        <w:pStyle w:val="Point0"/>
        <w:rPr>
          <w:noProof/>
          <w:szCs w:val="24"/>
        </w:rPr>
      </w:pPr>
      <w:r>
        <w:rPr>
          <w:noProof/>
        </w:rPr>
        <w:t>(1)</w:t>
      </w:r>
      <w:r>
        <w:rPr>
          <w:noProof/>
        </w:rPr>
        <w:tab/>
        <w:t xml:space="preserve">varovanje ljudi v Uniji pred resnimi čezmejnimi nevarnostmi za zdravje; </w:t>
      </w:r>
    </w:p>
    <w:p w:rsidR="00FD37A3" w:rsidRDefault="0072500C">
      <w:pPr>
        <w:pStyle w:val="Point0"/>
        <w:rPr>
          <w:noProof/>
          <w:szCs w:val="24"/>
        </w:rPr>
      </w:pPr>
      <w:r>
        <w:rPr>
          <w:noProof/>
        </w:rPr>
        <w:t>(2)</w:t>
      </w:r>
      <w:r>
        <w:rPr>
          <w:noProof/>
        </w:rPr>
        <w:tab/>
        <w:t>izboljšanje razpoložljivosti zdravil, medicinskih pripomočkov in drugih v krizi pomembnih izdelk</w:t>
      </w:r>
      <w:r>
        <w:rPr>
          <w:noProof/>
        </w:rPr>
        <w:t>ov v Uniji, prispevanje k njihovi cenovni dostopnosti in podpiranje inovacij;</w:t>
      </w:r>
    </w:p>
    <w:p w:rsidR="00FD37A3" w:rsidRDefault="0072500C">
      <w:pPr>
        <w:pStyle w:val="Point0"/>
        <w:rPr>
          <w:noProof/>
        </w:rPr>
      </w:pPr>
      <w:r>
        <w:rPr>
          <w:noProof/>
        </w:rPr>
        <w:t>(3)</w:t>
      </w:r>
      <w:r>
        <w:rPr>
          <w:noProof/>
        </w:rPr>
        <w:tab/>
        <w:t>krepitev zdravstvenih sistemov in delovne sile v zdravstvu, vključno z digitalno preobrazbo ter z bolj integriranim in usklajenim delom med državami članicami ter s stalnim i</w:t>
      </w:r>
      <w:r>
        <w:rPr>
          <w:noProof/>
        </w:rPr>
        <w:t>zvajanjem dobre prakse in izmenjave podatkov, da se zviša splošna raven javnega zdravja.</w:t>
      </w:r>
    </w:p>
    <w:p w:rsidR="00FD37A3" w:rsidRDefault="0072500C">
      <w:pPr>
        <w:pStyle w:val="Titrearticle1"/>
        <w:rPr>
          <w:noProof/>
        </w:rPr>
      </w:pPr>
      <w:r>
        <w:rPr>
          <w:noProof/>
        </w:rPr>
        <w:t>Člen 4</w:t>
      </w:r>
    </w:p>
    <w:p w:rsidR="00FD37A3" w:rsidRDefault="0072500C">
      <w:pPr>
        <w:pStyle w:val="Titrearticle1"/>
        <w:spacing w:before="120"/>
        <w:rPr>
          <w:b/>
          <w:bCs/>
          <w:i w:val="0"/>
          <w:noProof/>
          <w:szCs w:val="24"/>
        </w:rPr>
      </w:pPr>
      <w:r>
        <w:rPr>
          <w:b/>
          <w:bCs/>
          <w:noProof/>
          <w:szCs w:val="24"/>
        </w:rPr>
        <w:t>Specifični cilji</w:t>
      </w:r>
    </w:p>
    <w:p w:rsidR="00FD37A3" w:rsidRDefault="0072500C">
      <w:pPr>
        <w:spacing w:before="0"/>
        <w:rPr>
          <w:noProof/>
          <w:szCs w:val="24"/>
        </w:rPr>
      </w:pPr>
      <w:r>
        <w:rPr>
          <w:noProof/>
        </w:rPr>
        <w:t xml:space="preserve">Splošni cilji iz člena 3 se uresničujejo z naslednjimi specifičnimi cilji v skladu s pristopom „eno zdravje“, kadar je to ustrezno: </w:t>
      </w:r>
    </w:p>
    <w:p w:rsidR="00FD37A3" w:rsidRDefault="0072500C">
      <w:pPr>
        <w:pStyle w:val="Point0"/>
        <w:rPr>
          <w:noProof/>
          <w:szCs w:val="24"/>
        </w:rPr>
      </w:pPr>
      <w:r>
        <w:rPr>
          <w:noProof/>
        </w:rPr>
        <w:t>(1)</w:t>
      </w:r>
      <w:r>
        <w:rPr>
          <w:noProof/>
        </w:rPr>
        <w:tab/>
        <w:t>krepit</w:t>
      </w:r>
      <w:r>
        <w:rPr>
          <w:noProof/>
        </w:rPr>
        <w:t>ev zmogljivosti Unije za preprečevanje resnih čezmejnih nevarnosti za zdravje, za pripravljenost in odzivanje nanje ter za upravljanje zdravstvenih kriz, vključno z usklajevanjem, zagotavljanjem in uporabo zmogljivosti zdravstvenega varstva v izrednih razm</w:t>
      </w:r>
      <w:r>
        <w:rPr>
          <w:noProof/>
        </w:rPr>
        <w:t xml:space="preserve">erah, zbiranjem podatkov in nadzorom; </w:t>
      </w:r>
    </w:p>
    <w:p w:rsidR="00FD37A3" w:rsidRDefault="0072500C">
      <w:pPr>
        <w:pStyle w:val="Point0"/>
        <w:rPr>
          <w:noProof/>
          <w:szCs w:val="24"/>
        </w:rPr>
      </w:pPr>
      <w:r>
        <w:rPr>
          <w:noProof/>
        </w:rPr>
        <w:t>(2)</w:t>
      </w:r>
      <w:r>
        <w:rPr>
          <w:noProof/>
        </w:rPr>
        <w:tab/>
        <w:t>zagotavljanje razpoložljivosti rezerv ali zalog v krizi pomembnih izdelkov v Uniji ter seznama medicinskih in zdravstvenih delavcev ter podpornega osebja, ki se lahko mobilizirajo v primeru krize;</w:t>
      </w:r>
    </w:p>
    <w:p w:rsidR="00FD37A3" w:rsidRDefault="0072500C">
      <w:pPr>
        <w:pStyle w:val="Point0"/>
        <w:rPr>
          <w:noProof/>
          <w:szCs w:val="24"/>
        </w:rPr>
      </w:pPr>
      <w:r>
        <w:rPr>
          <w:noProof/>
        </w:rPr>
        <w:t>(3)</w:t>
      </w:r>
      <w:r>
        <w:rPr>
          <w:noProof/>
        </w:rPr>
        <w:tab/>
        <w:t>podpiranje u</w:t>
      </w:r>
      <w:r>
        <w:rPr>
          <w:noProof/>
        </w:rPr>
        <w:t>krepov za zagotavljanje ustrezne razpoložljivosti, dostopnosti in cenovne dostopnosti v krizi pomembnih izdelkov in druge potrebne zdravstvene opreme;</w:t>
      </w:r>
    </w:p>
    <w:p w:rsidR="00FD37A3" w:rsidRDefault="0072500C">
      <w:pPr>
        <w:pStyle w:val="Point0"/>
        <w:rPr>
          <w:noProof/>
          <w:szCs w:val="24"/>
        </w:rPr>
      </w:pPr>
      <w:r>
        <w:rPr>
          <w:noProof/>
        </w:rPr>
        <w:t>(4)</w:t>
      </w:r>
      <w:r>
        <w:rPr>
          <w:noProof/>
        </w:rPr>
        <w:tab/>
        <w:t>krepitev učinkovitosti, dostopnosti, vzdržnosti in odpornosti zdravstvenih sistemov, vključno s podpi</w:t>
      </w:r>
      <w:r>
        <w:rPr>
          <w:noProof/>
        </w:rPr>
        <w:t>ranjem digitalne preobrazbe, uporabo digitalnih orodij in storitev, sistemskimi reformami, izvajanjem novih modelov oskrbe in splošnega zdravstvenega varstva ter obravnavanjem neenakosti na področju zdravja;</w:t>
      </w:r>
    </w:p>
    <w:p w:rsidR="00FD37A3" w:rsidRDefault="0072500C">
      <w:pPr>
        <w:pStyle w:val="Point0"/>
        <w:rPr>
          <w:noProof/>
          <w:szCs w:val="24"/>
        </w:rPr>
      </w:pPr>
      <w:r>
        <w:rPr>
          <w:noProof/>
        </w:rPr>
        <w:t>(5)</w:t>
      </w:r>
      <w:r>
        <w:rPr>
          <w:noProof/>
        </w:rPr>
        <w:tab/>
        <w:t>podpiranje ukrepov za krepitev zmožnosti zdr</w:t>
      </w:r>
      <w:r>
        <w:rPr>
          <w:noProof/>
        </w:rPr>
        <w:t>avstvenih sistemov za spodbujanje zdravja in preprečevanja bolezni, pravic pacientov in čezmejnega zdravstvenega varstva ter spodbujanje odličnosti medicinskih in zdravstvenih delavcev;</w:t>
      </w:r>
    </w:p>
    <w:p w:rsidR="00FD37A3" w:rsidRDefault="0072500C">
      <w:pPr>
        <w:pStyle w:val="Point0"/>
        <w:rPr>
          <w:noProof/>
          <w:szCs w:val="24"/>
        </w:rPr>
      </w:pPr>
      <w:r>
        <w:rPr>
          <w:noProof/>
        </w:rPr>
        <w:t>(6)</w:t>
      </w:r>
      <w:r>
        <w:rPr>
          <w:noProof/>
        </w:rPr>
        <w:tab/>
        <w:t>podpiranje ukrepov za nadzor, preprečevanje, diagnosticiranje in z</w:t>
      </w:r>
      <w:r>
        <w:rPr>
          <w:noProof/>
        </w:rPr>
        <w:t>dravljenje nenalezljivih bolezni, zlasti raka, ter z njimi povezano oskrbo;</w:t>
      </w:r>
    </w:p>
    <w:p w:rsidR="00FD37A3" w:rsidRDefault="0072500C">
      <w:pPr>
        <w:pStyle w:val="Point0"/>
        <w:rPr>
          <w:noProof/>
          <w:szCs w:val="24"/>
        </w:rPr>
      </w:pPr>
      <w:r>
        <w:rPr>
          <w:noProof/>
        </w:rPr>
        <w:t>(7)</w:t>
      </w:r>
      <w:r>
        <w:rPr>
          <w:noProof/>
        </w:rPr>
        <w:tab/>
        <w:t>spodbujanje in podpiranje preudarne in učinkovite uporabe zdravil, zlasti antimikrobikov, ter okolju prijaznejše proizvodnje in odstranjevanja zdravil in medicinskih pripomočko</w:t>
      </w:r>
      <w:r>
        <w:rPr>
          <w:noProof/>
        </w:rPr>
        <w:t xml:space="preserve">v; </w:t>
      </w:r>
    </w:p>
    <w:p w:rsidR="00FD37A3" w:rsidRDefault="0072500C">
      <w:pPr>
        <w:pStyle w:val="Point0"/>
        <w:rPr>
          <w:noProof/>
          <w:szCs w:val="24"/>
        </w:rPr>
      </w:pPr>
      <w:r>
        <w:rPr>
          <w:noProof/>
        </w:rPr>
        <w:t>(8)</w:t>
      </w:r>
      <w:r>
        <w:rPr>
          <w:noProof/>
        </w:rPr>
        <w:tab/>
        <w:t>podpiranje razvoja, izvajanja in izvrševanja zdravstvene zakonodaje Unije ter zagotavljanje visokokakovostnih, primerljivih in zanesljivih podatkov v podporo oblikovanju politik in spremljanju ter spodbujanje uporabe ocen vplivov zadevnih politik n</w:t>
      </w:r>
      <w:r>
        <w:rPr>
          <w:noProof/>
        </w:rPr>
        <w:t>a zdravje;</w:t>
      </w:r>
    </w:p>
    <w:p w:rsidR="00FD37A3" w:rsidRDefault="0072500C">
      <w:pPr>
        <w:pStyle w:val="Point0"/>
        <w:rPr>
          <w:noProof/>
          <w:szCs w:val="24"/>
        </w:rPr>
      </w:pPr>
      <w:r>
        <w:rPr>
          <w:noProof/>
        </w:rPr>
        <w:t>(9)</w:t>
      </w:r>
      <w:r>
        <w:rPr>
          <w:noProof/>
        </w:rPr>
        <w:tab/>
        <w:t>podpiranje integriranega prizadevanja držav članic, zlasti njihovih zdravstvenih sistemov, vključno z izvajanjem praks preprečevanja z velikim učinkom, in krepitev povezovanja v okviru evropskih referenčnih mrež in drugih nadnacionalnih mrež</w:t>
      </w:r>
      <w:r>
        <w:rPr>
          <w:noProof/>
        </w:rPr>
        <w:t xml:space="preserve">; </w:t>
      </w:r>
    </w:p>
    <w:p w:rsidR="00FD37A3" w:rsidRDefault="0072500C">
      <w:pPr>
        <w:pStyle w:val="Point0"/>
        <w:rPr>
          <w:noProof/>
          <w:szCs w:val="24"/>
        </w:rPr>
      </w:pPr>
      <w:r>
        <w:rPr>
          <w:noProof/>
        </w:rPr>
        <w:t>(10)</w:t>
      </w:r>
      <w:r>
        <w:rPr>
          <w:noProof/>
        </w:rPr>
        <w:tab/>
        <w:t>podpiranje prispevka Unije k mednarodnim in globalnim pobudam na področju zdravja.</w:t>
      </w:r>
    </w:p>
    <w:p w:rsidR="00FD37A3" w:rsidRDefault="0072500C">
      <w:pPr>
        <w:pStyle w:val="Titrearticle1"/>
        <w:rPr>
          <w:noProof/>
        </w:rPr>
      </w:pPr>
      <w:r>
        <w:rPr>
          <w:noProof/>
        </w:rPr>
        <w:t>Člen 5</w:t>
      </w:r>
    </w:p>
    <w:p w:rsidR="00FD37A3" w:rsidRDefault="0072500C">
      <w:pPr>
        <w:pStyle w:val="Titrearticle1"/>
        <w:spacing w:before="120"/>
        <w:rPr>
          <w:b/>
          <w:noProof/>
        </w:rPr>
      </w:pPr>
      <w:r>
        <w:rPr>
          <w:b/>
          <w:noProof/>
        </w:rPr>
        <w:t>Proračun</w:t>
      </w:r>
    </w:p>
    <w:p w:rsidR="00FD37A3" w:rsidRDefault="0072500C">
      <w:pPr>
        <w:pStyle w:val="Point0"/>
        <w:rPr>
          <w:noProof/>
        </w:rPr>
      </w:pPr>
      <w:r>
        <w:rPr>
          <w:noProof/>
        </w:rPr>
        <w:t>1.</w:t>
      </w:r>
      <w:r>
        <w:rPr>
          <w:noProof/>
        </w:rPr>
        <w:tab/>
        <w:t xml:space="preserve">Finančna sredstva za izvajanje Programa za obdobje 2021–2027 znašajo 1 946 614 000 EUR v tekočih cenah. </w:t>
      </w:r>
    </w:p>
    <w:p w:rsidR="00FD37A3" w:rsidRDefault="0072500C">
      <w:pPr>
        <w:pStyle w:val="Point0"/>
        <w:rPr>
          <w:noProof/>
        </w:rPr>
      </w:pPr>
      <w:r>
        <w:rPr>
          <w:noProof/>
        </w:rPr>
        <w:t>2.</w:t>
      </w:r>
      <w:r>
        <w:rPr>
          <w:noProof/>
        </w:rPr>
        <w:tab/>
        <w:t xml:space="preserve">Znesek iz odstavka 1 se lahko uporabi </w:t>
      </w:r>
      <w:r>
        <w:rPr>
          <w:noProof/>
        </w:rPr>
        <w:t>za tehnično in upravno pomoč za izvajanje Programa, npr. za dejavnosti pripravljanja, spremljanja, kontrole, revizije in ocenjevanja, vključno s korporativnimi informacijskotehnološkimi sistemi.</w:t>
      </w:r>
    </w:p>
    <w:p w:rsidR="00FD37A3" w:rsidRDefault="0072500C">
      <w:pPr>
        <w:pStyle w:val="Point0"/>
        <w:rPr>
          <w:noProof/>
        </w:rPr>
      </w:pPr>
      <w:r>
        <w:rPr>
          <w:noProof/>
        </w:rPr>
        <w:t>3.</w:t>
      </w:r>
      <w:r>
        <w:rPr>
          <w:noProof/>
        </w:rPr>
        <w:tab/>
        <w:t>Odobritve, ki izhajajo iz dejavnosti iz točke (c) člena 10</w:t>
      </w:r>
      <w:r>
        <w:rPr>
          <w:noProof/>
        </w:rPr>
        <w:t xml:space="preserve"> te uredbe, pomenijo namenske prejemke v smislu točke (a) odstavka 3 in odstavka 5 člena 21 Uredbe (EU, Euratom) 2018/1046.</w:t>
      </w:r>
    </w:p>
    <w:p w:rsidR="00FD37A3" w:rsidRDefault="0072500C">
      <w:pPr>
        <w:pStyle w:val="Point0"/>
        <w:rPr>
          <w:noProof/>
        </w:rPr>
      </w:pPr>
      <w:r>
        <w:rPr>
          <w:noProof/>
        </w:rPr>
        <w:t>4.</w:t>
      </w:r>
      <w:r>
        <w:rPr>
          <w:noProof/>
        </w:rPr>
        <w:tab/>
        <w:t xml:space="preserve">Proračunske obveznosti, ki trajajo več kot eno proračunsko leto, se lahko razdelijo na več let v letne obroke. </w:t>
      </w:r>
    </w:p>
    <w:p w:rsidR="00FD37A3" w:rsidRDefault="0072500C">
      <w:pPr>
        <w:pStyle w:val="Point0"/>
        <w:rPr>
          <w:noProof/>
        </w:rPr>
      </w:pPr>
      <w:r>
        <w:rPr>
          <w:noProof/>
        </w:rPr>
        <w:t>5.</w:t>
      </w:r>
      <w:r>
        <w:rPr>
          <w:noProof/>
        </w:rPr>
        <w:tab/>
        <w:t>Brez poseganja</w:t>
      </w:r>
      <w:r>
        <w:rPr>
          <w:noProof/>
        </w:rPr>
        <w:t xml:space="preserve"> v Uredbo (EU, Euratom) 2018/1046 so lahko odhodki za ukrepe, ki izhajajo iz projektov, vključenih v prvi program dela, upravičeni od 1. januarja 2021.</w:t>
      </w:r>
    </w:p>
    <w:p w:rsidR="00FD37A3" w:rsidRDefault="0072500C">
      <w:pPr>
        <w:pStyle w:val="Point0"/>
        <w:rPr>
          <w:rFonts w:cs="EUAlbertina"/>
          <w:noProof/>
          <w:color w:val="000000"/>
          <w:szCs w:val="24"/>
        </w:rPr>
      </w:pPr>
      <w:r>
        <w:rPr>
          <w:noProof/>
          <w:color w:val="000000"/>
          <w:szCs w:val="24"/>
        </w:rPr>
        <w:t>6.</w:t>
      </w:r>
      <w:r>
        <w:rPr>
          <w:noProof/>
          <w:color w:val="000000"/>
          <w:szCs w:val="24"/>
        </w:rPr>
        <w:tab/>
        <w:t xml:space="preserve">Po potrebi se lahko v proračun po letu 2027 vključijo odobritve za kritje odhodkov iz odstavka 2, da </w:t>
      </w:r>
      <w:r>
        <w:rPr>
          <w:noProof/>
          <w:color w:val="000000"/>
          <w:szCs w:val="24"/>
        </w:rPr>
        <w:t>se omogoči upravljanje ukrepov, ki do 31. decembra 2027 ne bodo zaključeni.</w:t>
      </w:r>
    </w:p>
    <w:p w:rsidR="00FD37A3" w:rsidRDefault="0072500C">
      <w:pPr>
        <w:pStyle w:val="Titrearticle1"/>
        <w:rPr>
          <w:noProof/>
        </w:rPr>
      </w:pPr>
      <w:r>
        <w:rPr>
          <w:noProof/>
        </w:rPr>
        <w:t>Člen 6</w:t>
      </w:r>
    </w:p>
    <w:p w:rsidR="00FD37A3" w:rsidRDefault="0072500C">
      <w:pPr>
        <w:pStyle w:val="Titrearticle1"/>
        <w:spacing w:before="120"/>
        <w:rPr>
          <w:noProof/>
        </w:rPr>
      </w:pPr>
      <w:r>
        <w:rPr>
          <w:b/>
          <w:noProof/>
        </w:rPr>
        <w:t xml:space="preserve">Sredstva iz Instrumenta Evropske unije za okrevanje </w:t>
      </w:r>
    </w:p>
    <w:p w:rsidR="00FD37A3" w:rsidRDefault="0072500C">
      <w:pPr>
        <w:rPr>
          <w:noProof/>
        </w:rPr>
      </w:pPr>
      <w:r>
        <w:rPr>
          <w:noProof/>
        </w:rPr>
        <w:t>Za izvajanje ukrepov iz člena 2 uredbe [o Instrumentu Evropske unije za okrevanje] v okviru Programa je namenjenih najve</w:t>
      </w:r>
      <w:r>
        <w:rPr>
          <w:noProof/>
        </w:rPr>
        <w:t xml:space="preserve">č 8 451 000 000 EUR v tekočih cenah iz točke (iii) člena 3(2)(a) navedene uredbe, ob upoštevanju člena 5(4) in (8) navedene uredbe. </w:t>
      </w:r>
    </w:p>
    <w:p w:rsidR="00FD37A3" w:rsidRDefault="0072500C">
      <w:pPr>
        <w:rPr>
          <w:i/>
          <w:noProof/>
        </w:rPr>
      </w:pPr>
      <w:r>
        <w:rPr>
          <w:noProof/>
        </w:rPr>
        <w:t>Ti zneski so zunanji namenski prejemki v skladu s členom 21(5) Uredbe (EU, Euratom) 2018/1046.</w:t>
      </w:r>
    </w:p>
    <w:p w:rsidR="00FD37A3" w:rsidRDefault="0072500C">
      <w:pPr>
        <w:pStyle w:val="Titrearticle1"/>
        <w:rPr>
          <w:noProof/>
        </w:rPr>
      </w:pPr>
      <w:r>
        <w:rPr>
          <w:noProof/>
        </w:rPr>
        <w:t>Člen 7</w:t>
      </w:r>
    </w:p>
    <w:p w:rsidR="00FD37A3" w:rsidRDefault="0072500C">
      <w:pPr>
        <w:pStyle w:val="Titrearticle1"/>
        <w:spacing w:before="120"/>
        <w:rPr>
          <w:b/>
          <w:noProof/>
        </w:rPr>
      </w:pPr>
      <w:r>
        <w:rPr>
          <w:b/>
          <w:noProof/>
        </w:rPr>
        <w:t>Tretje države, pridru</w:t>
      </w:r>
      <w:r>
        <w:rPr>
          <w:b/>
          <w:noProof/>
        </w:rPr>
        <w:t>žene Programu</w:t>
      </w:r>
    </w:p>
    <w:p w:rsidR="00FD37A3" w:rsidRDefault="0072500C">
      <w:pPr>
        <w:rPr>
          <w:noProof/>
        </w:rPr>
      </w:pPr>
      <w:r>
        <w:rPr>
          <w:noProof/>
        </w:rPr>
        <w:t>Program je odprt za naslednje pridružene države:</w:t>
      </w:r>
    </w:p>
    <w:p w:rsidR="00FD37A3" w:rsidRDefault="0072500C">
      <w:pPr>
        <w:pStyle w:val="Point0"/>
        <w:rPr>
          <w:noProof/>
        </w:rPr>
      </w:pPr>
      <w:r>
        <w:rPr>
          <w:noProof/>
        </w:rPr>
        <w:t>(1)</w:t>
      </w:r>
      <w:r>
        <w:rPr>
          <w:noProof/>
        </w:rPr>
        <w:tab/>
        <w:t>članice Evropskega združenja za prosto trgovino (EFTA), ki so članice Evropskega gospodarskega prostora (EGP), v skladu s pogoji iz Sporazuma o Evropskem gospodarskem prostoru;</w:t>
      </w:r>
    </w:p>
    <w:p w:rsidR="00FD37A3" w:rsidRDefault="0072500C">
      <w:pPr>
        <w:pStyle w:val="Point0"/>
        <w:rPr>
          <w:noProof/>
        </w:rPr>
      </w:pPr>
      <w:r>
        <w:rPr>
          <w:noProof/>
        </w:rPr>
        <w:t>(2)</w:t>
      </w:r>
      <w:r>
        <w:rPr>
          <w:noProof/>
        </w:rPr>
        <w:tab/>
        <w:t>pristopn</w:t>
      </w:r>
      <w:r>
        <w:rPr>
          <w:noProof/>
        </w:rPr>
        <w:t>e države, države kandidatke in potencialne kandidatke v skladu s splošnimi načeli in pogoji za sodelovanje navedenih držav v programih Unije, določenimi v zadevnih okvirnih sporazumih in sklepih pridružitvenih svetov ali podobnih sporazumih, ter v skladu s</w:t>
      </w:r>
      <w:r>
        <w:rPr>
          <w:noProof/>
        </w:rPr>
        <w:t xml:space="preserve"> posebnimi pogoji, določenimi v sporazumih med Unijo in navedenimi državami;</w:t>
      </w:r>
    </w:p>
    <w:p w:rsidR="00FD37A3" w:rsidRDefault="0072500C">
      <w:pPr>
        <w:pStyle w:val="Point0"/>
        <w:rPr>
          <w:noProof/>
        </w:rPr>
      </w:pPr>
      <w:r>
        <w:rPr>
          <w:noProof/>
        </w:rPr>
        <w:t>(3)</w:t>
      </w:r>
      <w:r>
        <w:rPr>
          <w:noProof/>
        </w:rPr>
        <w:tab/>
        <w:t>države, ki jih zajema evropska sosedska politika, v skladu s splošnimi načeli in pogoji za sodelovanje navedenih držav v programih Unije, določenimi v zadevnih okvirnih sporaz</w:t>
      </w:r>
      <w:r>
        <w:rPr>
          <w:noProof/>
        </w:rPr>
        <w:t>umih in sklepih pridružitvenih svetov ali podobnih sporazumih, ter v skladu s posebnimi pogoji, določenimi v sporazumih med Unijo in navedenimi državami;</w:t>
      </w:r>
    </w:p>
    <w:p w:rsidR="00FD37A3" w:rsidRDefault="0072500C">
      <w:pPr>
        <w:pStyle w:val="Point0"/>
        <w:rPr>
          <w:noProof/>
        </w:rPr>
      </w:pPr>
      <w:r>
        <w:rPr>
          <w:noProof/>
        </w:rPr>
        <w:t>(4)</w:t>
      </w:r>
      <w:r>
        <w:rPr>
          <w:noProof/>
        </w:rPr>
        <w:tab/>
        <w:t>tretje države v skladu s pogoji, določenimi v posebnem sporazumu, ki ureja sodelovanje tretje drža</w:t>
      </w:r>
      <w:r>
        <w:rPr>
          <w:noProof/>
        </w:rPr>
        <w:t xml:space="preserve">ve v katerem koli programu, če navedeni sporazum: </w:t>
      </w:r>
    </w:p>
    <w:p w:rsidR="00FD37A3" w:rsidRDefault="0072500C">
      <w:pPr>
        <w:pStyle w:val="Point1"/>
        <w:rPr>
          <w:noProof/>
        </w:rPr>
      </w:pPr>
      <w:r>
        <w:rPr>
          <w:noProof/>
        </w:rPr>
        <w:t>(i)</w:t>
      </w:r>
      <w:r>
        <w:rPr>
          <w:noProof/>
        </w:rPr>
        <w:tab/>
        <w:t>zagotavlja pravično ravnotežje med prispevki in koristmi za tretjo državo, ki sodeluje v programih Unije;</w:t>
      </w:r>
    </w:p>
    <w:p w:rsidR="00FD37A3" w:rsidRDefault="0072500C">
      <w:pPr>
        <w:pStyle w:val="Point1"/>
        <w:rPr>
          <w:noProof/>
          <w:szCs w:val="24"/>
        </w:rPr>
      </w:pPr>
      <w:r>
        <w:rPr>
          <w:noProof/>
        </w:rPr>
        <w:t>(ii)</w:t>
      </w:r>
      <w:r>
        <w:rPr>
          <w:noProof/>
        </w:rPr>
        <w:tab/>
        <w:t>določa pogoje za sodelovanje v programih, vključno z izračunom finančnih prispevkov za pos</w:t>
      </w:r>
      <w:r>
        <w:rPr>
          <w:noProof/>
        </w:rPr>
        <w:t>amezne programe in njihove upravne stroške. Ti prispevki so zunanji namenski prejemki v skladu s členom 21(5) Uredbe (EU, Euratom) 2018/1046;</w:t>
      </w:r>
    </w:p>
    <w:p w:rsidR="00FD37A3" w:rsidRDefault="0072500C">
      <w:pPr>
        <w:pStyle w:val="Point1"/>
        <w:rPr>
          <w:noProof/>
          <w:szCs w:val="24"/>
        </w:rPr>
      </w:pPr>
      <w:r>
        <w:rPr>
          <w:noProof/>
        </w:rPr>
        <w:t>(iii)</w:t>
      </w:r>
      <w:r>
        <w:rPr>
          <w:noProof/>
        </w:rPr>
        <w:tab/>
        <w:t>tretji državi ne podeljuje pravice odločanja o programu;</w:t>
      </w:r>
    </w:p>
    <w:p w:rsidR="00FD37A3" w:rsidRDefault="0072500C">
      <w:pPr>
        <w:pStyle w:val="Point1"/>
        <w:rPr>
          <w:noProof/>
        </w:rPr>
      </w:pPr>
      <w:r>
        <w:rPr>
          <w:noProof/>
        </w:rPr>
        <w:t>(iv)</w:t>
      </w:r>
      <w:r>
        <w:rPr>
          <w:noProof/>
        </w:rPr>
        <w:tab/>
        <w:t>jamči pravice Unije glede zagotavljanja dobreg</w:t>
      </w:r>
      <w:r>
        <w:rPr>
          <w:noProof/>
        </w:rPr>
        <w:t>a finančnega poslovodenja in zaščite njenih finančnih interesov.</w:t>
      </w:r>
    </w:p>
    <w:p w:rsidR="00FD37A3" w:rsidRDefault="0072500C">
      <w:pPr>
        <w:pStyle w:val="ChapterTitle"/>
        <w:rPr>
          <w:noProof/>
        </w:rPr>
      </w:pPr>
      <w:r>
        <w:rPr>
          <w:noProof/>
        </w:rPr>
        <w:t xml:space="preserve">Poglavje II </w:t>
      </w:r>
    </w:p>
    <w:p w:rsidR="00FD37A3" w:rsidRDefault="0072500C">
      <w:pPr>
        <w:pStyle w:val="ChapterTitle"/>
        <w:rPr>
          <w:noProof/>
        </w:rPr>
      </w:pPr>
      <w:r>
        <w:rPr>
          <w:noProof/>
        </w:rPr>
        <w:t>FINANCIRANJE</w:t>
      </w:r>
    </w:p>
    <w:p w:rsidR="00FD37A3" w:rsidRDefault="0072500C">
      <w:pPr>
        <w:pStyle w:val="Titrearticle1"/>
        <w:rPr>
          <w:noProof/>
        </w:rPr>
      </w:pPr>
      <w:r>
        <w:rPr>
          <w:noProof/>
        </w:rPr>
        <w:t>Člen 8</w:t>
      </w:r>
    </w:p>
    <w:p w:rsidR="00FD37A3" w:rsidRDefault="0072500C">
      <w:pPr>
        <w:pStyle w:val="Titrearticle1"/>
        <w:spacing w:before="120"/>
        <w:rPr>
          <w:b/>
          <w:noProof/>
        </w:rPr>
      </w:pPr>
      <w:r>
        <w:rPr>
          <w:b/>
          <w:noProof/>
        </w:rPr>
        <w:t>Izvajanje in oblike financiranja Unije</w:t>
      </w:r>
    </w:p>
    <w:p w:rsidR="00FD37A3" w:rsidRDefault="0072500C">
      <w:pPr>
        <w:pStyle w:val="Point0"/>
        <w:rPr>
          <w:noProof/>
        </w:rPr>
      </w:pPr>
      <w:r>
        <w:rPr>
          <w:noProof/>
        </w:rPr>
        <w:t>1.</w:t>
      </w:r>
      <w:r>
        <w:rPr>
          <w:noProof/>
        </w:rPr>
        <w:tab/>
        <w:t xml:space="preserve">Program se izvaja z neposrednim upravljanjem v skladu z Uredbo (EU, Euratom) 2018/1046 ali s posrednim upravljanjem </w:t>
      </w:r>
      <w:r>
        <w:rPr>
          <w:noProof/>
        </w:rPr>
        <w:t>z organi iz člena 62(1)(c) Uredbe (EU, Euratom) 2018/1046.</w:t>
      </w:r>
    </w:p>
    <w:p w:rsidR="00FD37A3" w:rsidRDefault="0072500C">
      <w:pPr>
        <w:pStyle w:val="Point0"/>
        <w:rPr>
          <w:noProof/>
        </w:rPr>
      </w:pPr>
      <w:r>
        <w:rPr>
          <w:noProof/>
        </w:rPr>
        <w:t>2.</w:t>
      </w:r>
      <w:r>
        <w:rPr>
          <w:noProof/>
        </w:rPr>
        <w:tab/>
        <w:t>Program lahko zagotovi financiranje v kateri koli obliki, določeni v Uredbi (EU, Euratom) 2018/1046, zlasti v obliki nepovratnih sredstev, nagrad in javnih naročil.</w:t>
      </w:r>
    </w:p>
    <w:p w:rsidR="00FD37A3" w:rsidRDefault="0072500C">
      <w:pPr>
        <w:pStyle w:val="Point0"/>
        <w:rPr>
          <w:noProof/>
          <w:szCs w:val="24"/>
        </w:rPr>
      </w:pPr>
      <w:r>
        <w:rPr>
          <w:noProof/>
        </w:rPr>
        <w:t>3.</w:t>
      </w:r>
      <w:r>
        <w:rPr>
          <w:noProof/>
        </w:rPr>
        <w:tab/>
        <w:t>Prispevki v mehanizem vzaj</w:t>
      </w:r>
      <w:r>
        <w:rPr>
          <w:noProof/>
        </w:rPr>
        <w:t>emnega zavarovanja lahko krijejo tveganje, povezano z izterjavo sredstev, ki jih dolgujejo prejemniki, in se lahko štejejo za zadostno jamstvo v skladu z Uredbo (EU, Euratom) 2018/1046. Komisija določi posebna pravila za delovanje mehanizma.</w:t>
      </w:r>
    </w:p>
    <w:p w:rsidR="00FD37A3" w:rsidRDefault="0072500C">
      <w:pPr>
        <w:pStyle w:val="Point0"/>
        <w:rPr>
          <w:bCs/>
          <w:noProof/>
          <w:szCs w:val="24"/>
        </w:rPr>
      </w:pPr>
      <w:r>
        <w:rPr>
          <w:noProof/>
          <w:sz w:val="23"/>
          <w:szCs w:val="23"/>
        </w:rPr>
        <w:t>4.</w:t>
      </w:r>
      <w:r>
        <w:rPr>
          <w:noProof/>
          <w:sz w:val="23"/>
          <w:szCs w:val="23"/>
        </w:rPr>
        <w:tab/>
        <w:t>Kadar Komis</w:t>
      </w:r>
      <w:r>
        <w:rPr>
          <w:noProof/>
          <w:sz w:val="23"/>
          <w:szCs w:val="23"/>
        </w:rPr>
        <w:t xml:space="preserve">ija dejavnosti nujne pomoči izvaja prek nevladnih organizacij, se merila v zvezi s finančnimi in operativnimi zmogljivostmi štejejo za izpolnjena, če obstaja veljavni okvirni partnerski sporazum med navedeno organizacijo in Komisijo v skladu z Uredbo (ES) </w:t>
      </w:r>
      <w:r>
        <w:rPr>
          <w:noProof/>
          <w:sz w:val="23"/>
          <w:szCs w:val="23"/>
        </w:rPr>
        <w:t>št. 1257/96.</w:t>
      </w:r>
    </w:p>
    <w:p w:rsidR="00FD37A3" w:rsidRDefault="0072500C">
      <w:pPr>
        <w:pStyle w:val="Titrearticle1"/>
        <w:rPr>
          <w:noProof/>
        </w:rPr>
      </w:pPr>
      <w:r>
        <w:rPr>
          <w:noProof/>
        </w:rPr>
        <w:t>Člen 9</w:t>
      </w:r>
    </w:p>
    <w:p w:rsidR="00FD37A3" w:rsidRDefault="0072500C">
      <w:pPr>
        <w:pStyle w:val="Titrearticle1"/>
        <w:spacing w:before="120"/>
        <w:rPr>
          <w:b/>
          <w:noProof/>
        </w:rPr>
      </w:pPr>
      <w:r>
        <w:rPr>
          <w:b/>
          <w:noProof/>
        </w:rPr>
        <w:t>Nepovratna sredstva</w:t>
      </w:r>
    </w:p>
    <w:p w:rsidR="00FD37A3" w:rsidRDefault="0072500C">
      <w:pPr>
        <w:pStyle w:val="Point0"/>
        <w:rPr>
          <w:noProof/>
        </w:rPr>
      </w:pPr>
      <w:r>
        <w:rPr>
          <w:noProof/>
        </w:rPr>
        <w:t>1.</w:t>
      </w:r>
      <w:r>
        <w:rPr>
          <w:noProof/>
        </w:rPr>
        <w:tab/>
        <w:t>Nepovratna sredstva v okviru Programa se dodelijo in upravljajo v skladu z naslovom VIII Uredbe (EU, Euratom) 2018/1046.</w:t>
      </w:r>
    </w:p>
    <w:p w:rsidR="00FD37A3" w:rsidRDefault="0072500C">
      <w:pPr>
        <w:pStyle w:val="Point0"/>
        <w:rPr>
          <w:noProof/>
        </w:rPr>
      </w:pPr>
      <w:r>
        <w:rPr>
          <w:noProof/>
        </w:rPr>
        <w:t>2.</w:t>
      </w:r>
      <w:r>
        <w:rPr>
          <w:noProof/>
        </w:rPr>
        <w:tab/>
        <w:t xml:space="preserve">Nepovratna sredstva se lahko uporabljajo v kombinaciji s financiranjem s strani Evropske </w:t>
      </w:r>
      <w:r>
        <w:rPr>
          <w:noProof/>
        </w:rPr>
        <w:t>investicijske banke ali nacionalnih spodbujevalnih bank ali drugih razvojnih in javnih finančnih institucij ter finančnih institucij in vlagateljev iz zasebnega sektorja, tudi prek javno-zasebnih partnerstev.</w:t>
      </w:r>
    </w:p>
    <w:p w:rsidR="00FD37A3" w:rsidRDefault="0072500C">
      <w:pPr>
        <w:pStyle w:val="Titrearticle1"/>
        <w:rPr>
          <w:noProof/>
        </w:rPr>
      </w:pPr>
      <w:r>
        <w:rPr>
          <w:noProof/>
        </w:rPr>
        <w:t>Člen 10</w:t>
      </w:r>
    </w:p>
    <w:p w:rsidR="00FD37A3" w:rsidRDefault="0072500C">
      <w:pPr>
        <w:pStyle w:val="Titrearticle1"/>
        <w:spacing w:before="120"/>
        <w:rPr>
          <w:b/>
          <w:noProof/>
        </w:rPr>
      </w:pPr>
      <w:r>
        <w:rPr>
          <w:b/>
          <w:noProof/>
        </w:rPr>
        <w:t>Javno naročanje</w:t>
      </w:r>
    </w:p>
    <w:p w:rsidR="00FD37A3" w:rsidRDefault="0072500C">
      <w:pPr>
        <w:pStyle w:val="Point0"/>
        <w:rPr>
          <w:noProof/>
          <w:color w:val="000000"/>
          <w:sz w:val="23"/>
          <w:szCs w:val="23"/>
        </w:rPr>
      </w:pPr>
      <w:r>
        <w:rPr>
          <w:noProof/>
          <w:color w:val="000000"/>
          <w:sz w:val="23"/>
          <w:szCs w:val="23"/>
        </w:rPr>
        <w:t>1.</w:t>
      </w:r>
      <w:r>
        <w:rPr>
          <w:noProof/>
          <w:color w:val="000000"/>
          <w:sz w:val="23"/>
          <w:szCs w:val="23"/>
        </w:rPr>
        <w:tab/>
      </w:r>
      <w:r>
        <w:rPr>
          <w:noProof/>
          <w:color w:val="000000"/>
          <w:sz w:val="23"/>
          <w:szCs w:val="23"/>
        </w:rPr>
        <w:t xml:space="preserve">Nujna pomoč iz te uredbe se lahko dodeli v eni od naslednjih oblik: </w:t>
      </w:r>
    </w:p>
    <w:p w:rsidR="00FD37A3" w:rsidRDefault="0072500C">
      <w:pPr>
        <w:pStyle w:val="Point1"/>
        <w:rPr>
          <w:noProof/>
        </w:rPr>
      </w:pPr>
      <w:r>
        <w:rPr>
          <w:noProof/>
        </w:rPr>
        <w:t>(a)</w:t>
      </w:r>
      <w:r>
        <w:rPr>
          <w:noProof/>
        </w:rPr>
        <w:tab/>
        <w:t>skupno javno naročanje z državami članicami, kot je navedeno v členu 165(2) Uredbe (EU, Euratom) 2018/1046, v skladu s katerim lahko države članice v celoti kupijo, najamejo ali zakup</w:t>
      </w:r>
      <w:r>
        <w:rPr>
          <w:noProof/>
        </w:rPr>
        <w:t xml:space="preserve">ijo zmogljivosti, pridobljene v okviru skupnega javnega naročila; </w:t>
      </w:r>
    </w:p>
    <w:p w:rsidR="00FD37A3" w:rsidRDefault="0072500C">
      <w:pPr>
        <w:pStyle w:val="Point1"/>
        <w:rPr>
          <w:noProof/>
          <w:color w:val="000000"/>
          <w:sz w:val="23"/>
          <w:szCs w:val="23"/>
        </w:rPr>
      </w:pPr>
      <w:r>
        <w:rPr>
          <w:noProof/>
          <w:color w:val="000000"/>
          <w:sz w:val="23"/>
          <w:szCs w:val="23"/>
        </w:rPr>
        <w:t>(b)</w:t>
      </w:r>
      <w:r>
        <w:rPr>
          <w:noProof/>
          <w:color w:val="000000"/>
          <w:sz w:val="23"/>
          <w:szCs w:val="23"/>
        </w:rPr>
        <w:tab/>
        <w:t xml:space="preserve">javno naročanje s strani Komisije v imenu držav članic na podlagi sporazuma med Komisijo in državami članicami; </w:t>
      </w:r>
    </w:p>
    <w:p w:rsidR="00FD37A3" w:rsidRDefault="0072500C">
      <w:pPr>
        <w:pStyle w:val="Point1"/>
        <w:rPr>
          <w:noProof/>
          <w:color w:val="000000"/>
          <w:sz w:val="23"/>
          <w:szCs w:val="23"/>
        </w:rPr>
      </w:pPr>
      <w:r>
        <w:rPr>
          <w:noProof/>
          <w:color w:val="000000"/>
          <w:sz w:val="23"/>
          <w:szCs w:val="23"/>
        </w:rPr>
        <w:t>(c)</w:t>
      </w:r>
      <w:r>
        <w:rPr>
          <w:noProof/>
          <w:color w:val="000000"/>
          <w:sz w:val="23"/>
          <w:szCs w:val="23"/>
        </w:rPr>
        <w:tab/>
        <w:t>javno naročanje s strani Komisije v vlogi trgovca na debelo, ki kupu</w:t>
      </w:r>
      <w:r>
        <w:rPr>
          <w:noProof/>
          <w:color w:val="000000"/>
          <w:sz w:val="23"/>
          <w:szCs w:val="23"/>
        </w:rPr>
        <w:t xml:space="preserve">je, skladišči, prodaja naprej ali daruje opremo in storitve, vključno z najemi, državam članicam ali partnerskim organizacijam, ki jih Komisija izbere. </w:t>
      </w:r>
    </w:p>
    <w:p w:rsidR="00FD37A3" w:rsidRDefault="0072500C">
      <w:pPr>
        <w:pStyle w:val="Point0"/>
        <w:rPr>
          <w:noProof/>
          <w:color w:val="000000"/>
          <w:sz w:val="23"/>
          <w:szCs w:val="23"/>
        </w:rPr>
      </w:pPr>
      <w:r>
        <w:rPr>
          <w:noProof/>
          <w:color w:val="000000"/>
          <w:sz w:val="23"/>
          <w:szCs w:val="23"/>
        </w:rPr>
        <w:t>2.</w:t>
      </w:r>
      <w:r>
        <w:rPr>
          <w:noProof/>
          <w:color w:val="000000"/>
          <w:sz w:val="23"/>
          <w:szCs w:val="23"/>
        </w:rPr>
        <w:tab/>
        <w:t>V primeru postopka javnega naročanja iz točke (b) odstavka 1 se naknadne pogodbe sklenejo na katereg</w:t>
      </w:r>
      <w:r>
        <w:rPr>
          <w:noProof/>
          <w:color w:val="000000"/>
          <w:sz w:val="23"/>
          <w:szCs w:val="23"/>
        </w:rPr>
        <w:t xml:space="preserve">a koli od naslednjih načinov: </w:t>
      </w:r>
    </w:p>
    <w:p w:rsidR="00FD37A3" w:rsidRDefault="0072500C">
      <w:pPr>
        <w:pStyle w:val="Point1"/>
        <w:rPr>
          <w:noProof/>
          <w:color w:val="000000"/>
          <w:sz w:val="23"/>
          <w:szCs w:val="23"/>
        </w:rPr>
      </w:pPr>
      <w:r>
        <w:rPr>
          <w:noProof/>
          <w:color w:val="000000"/>
          <w:sz w:val="23"/>
          <w:szCs w:val="23"/>
        </w:rPr>
        <w:t>(a)</w:t>
      </w:r>
      <w:r>
        <w:rPr>
          <w:noProof/>
          <w:color w:val="000000"/>
          <w:sz w:val="23"/>
          <w:szCs w:val="23"/>
        </w:rPr>
        <w:tab/>
        <w:t xml:space="preserve">s strani Komisije, pri čemer se storitve ali blago opravijo ali dostavijo državam članicam ali partnerskim organizacijam, ki jih izbere Komisija; </w:t>
      </w:r>
    </w:p>
    <w:p w:rsidR="00FD37A3" w:rsidRDefault="0072500C">
      <w:pPr>
        <w:pStyle w:val="Point1"/>
        <w:rPr>
          <w:noProof/>
          <w:color w:val="000000"/>
          <w:sz w:val="23"/>
          <w:szCs w:val="23"/>
        </w:rPr>
      </w:pPr>
      <w:r>
        <w:rPr>
          <w:noProof/>
          <w:color w:val="000000"/>
          <w:sz w:val="23"/>
          <w:szCs w:val="23"/>
        </w:rPr>
        <w:t>(b)</w:t>
      </w:r>
      <w:r>
        <w:rPr>
          <w:noProof/>
          <w:color w:val="000000"/>
          <w:sz w:val="23"/>
          <w:szCs w:val="23"/>
        </w:rPr>
        <w:tab/>
        <w:t>s strani sodelujočih držav članic, pri čemer te neposredno kupijo, naj</w:t>
      </w:r>
      <w:r>
        <w:rPr>
          <w:noProof/>
          <w:color w:val="000000"/>
          <w:sz w:val="23"/>
          <w:szCs w:val="23"/>
        </w:rPr>
        <w:t xml:space="preserve">amejo ali zakupijo zmogljivosti, ki jih je zanje nabavila Komisija v okviru javnega naročila. </w:t>
      </w:r>
    </w:p>
    <w:p w:rsidR="00FD37A3" w:rsidRDefault="0072500C">
      <w:pPr>
        <w:pStyle w:val="Point0"/>
        <w:rPr>
          <w:noProof/>
          <w:color w:val="000000"/>
          <w:sz w:val="23"/>
          <w:szCs w:val="23"/>
        </w:rPr>
      </w:pPr>
      <w:r>
        <w:rPr>
          <w:noProof/>
          <w:color w:val="000000"/>
          <w:sz w:val="23"/>
          <w:szCs w:val="23"/>
        </w:rPr>
        <w:t>3.</w:t>
      </w:r>
      <w:r>
        <w:rPr>
          <w:noProof/>
          <w:color w:val="000000"/>
          <w:sz w:val="23"/>
          <w:szCs w:val="23"/>
        </w:rPr>
        <w:tab/>
        <w:t>V primeru postopkov javnega naročanja iz točk (b) in (c) odstavka 1 Komisija pri svojih javnih naročilih upošteva pravila iz Uredbe (EU, Euratom) 2018/1046.</w:t>
      </w:r>
    </w:p>
    <w:p w:rsidR="00FD37A3" w:rsidRDefault="0072500C">
      <w:pPr>
        <w:pStyle w:val="Titrearticle1"/>
        <w:rPr>
          <w:i w:val="0"/>
          <w:noProof/>
        </w:rPr>
      </w:pPr>
      <w:r>
        <w:rPr>
          <w:noProof/>
        </w:rPr>
        <w:t>Č</w:t>
      </w:r>
      <w:r>
        <w:rPr>
          <w:noProof/>
        </w:rPr>
        <w:t>len 11</w:t>
      </w:r>
    </w:p>
    <w:p w:rsidR="00FD37A3" w:rsidRDefault="0072500C">
      <w:pPr>
        <w:pStyle w:val="Titrearticle1"/>
        <w:spacing w:before="120"/>
        <w:rPr>
          <w:b/>
          <w:i w:val="0"/>
          <w:noProof/>
        </w:rPr>
      </w:pPr>
      <w:r>
        <w:rPr>
          <w:b/>
          <w:noProof/>
        </w:rPr>
        <w:t>Operacije mešanega financiranja</w:t>
      </w:r>
    </w:p>
    <w:p w:rsidR="00FD37A3" w:rsidRDefault="0072500C">
      <w:pPr>
        <w:rPr>
          <w:iCs/>
          <w:noProof/>
        </w:rPr>
      </w:pPr>
      <w:r>
        <w:rPr>
          <w:noProof/>
        </w:rPr>
        <w:t>Operacije mešanega financiranja iz Programa se izvajajo v skladu z [uredbo InvestEU] in naslovom X finančne uredbe.</w:t>
      </w:r>
    </w:p>
    <w:p w:rsidR="00FD37A3" w:rsidRDefault="0072500C">
      <w:pPr>
        <w:pStyle w:val="Titrearticle1"/>
        <w:rPr>
          <w:i w:val="0"/>
          <w:noProof/>
          <w:szCs w:val="24"/>
        </w:rPr>
      </w:pPr>
      <w:r>
        <w:rPr>
          <w:noProof/>
        </w:rPr>
        <w:t>Člen 12</w:t>
      </w:r>
    </w:p>
    <w:p w:rsidR="00FD37A3" w:rsidRDefault="0072500C">
      <w:pPr>
        <w:pStyle w:val="Titrearticle1"/>
        <w:spacing w:before="120"/>
        <w:rPr>
          <w:b/>
          <w:noProof/>
        </w:rPr>
      </w:pPr>
      <w:r>
        <w:rPr>
          <w:b/>
          <w:noProof/>
        </w:rPr>
        <w:t>Kumulativno financiranje</w:t>
      </w:r>
    </w:p>
    <w:p w:rsidR="00FD37A3" w:rsidRDefault="0072500C">
      <w:pPr>
        <w:rPr>
          <w:noProof/>
        </w:rPr>
      </w:pPr>
      <w:r>
        <w:rPr>
          <w:noProof/>
        </w:rPr>
        <w:t>Ukrep, ki je prejel prispevek iz Programa, lahko prejme tudi prispev</w:t>
      </w:r>
      <w:r>
        <w:rPr>
          <w:noProof/>
        </w:rPr>
        <w:t xml:space="preserve">ek iz katerega koli drugega programa Unije, tudi v okviru deljenega upravljanja, če prispevki ne krijejo istih stroškov. </w:t>
      </w:r>
    </w:p>
    <w:p w:rsidR="00FD37A3" w:rsidRDefault="0072500C">
      <w:pPr>
        <w:rPr>
          <w:noProof/>
        </w:rPr>
      </w:pPr>
      <w:r>
        <w:rPr>
          <w:noProof/>
        </w:rPr>
        <w:t xml:space="preserve">Za prispevke iz posameznih programov Unije k ukrepu se uporabljajo pravila navedenih programov. </w:t>
      </w:r>
    </w:p>
    <w:p w:rsidR="00FD37A3" w:rsidRDefault="0072500C">
      <w:pPr>
        <w:rPr>
          <w:noProof/>
          <w:szCs w:val="24"/>
        </w:rPr>
      </w:pPr>
      <w:r>
        <w:rPr>
          <w:noProof/>
        </w:rPr>
        <w:t>Kumulativno financiranje ne presega s</w:t>
      </w:r>
      <w:r>
        <w:rPr>
          <w:noProof/>
        </w:rPr>
        <w:t>kupnih upravičenih stroškov ukrepa, podpora iz različnih programov Unije pa se lahko izračuna sorazmerno v skladu z dokumenti, v katerih so določeni pogoji za podporo.</w:t>
      </w:r>
    </w:p>
    <w:p w:rsidR="00FD37A3" w:rsidRDefault="0072500C">
      <w:pPr>
        <w:pStyle w:val="ChapterTitle"/>
        <w:rPr>
          <w:noProof/>
        </w:rPr>
      </w:pPr>
      <w:r>
        <w:rPr>
          <w:noProof/>
        </w:rPr>
        <w:t>POGLAVJE III</w:t>
      </w:r>
    </w:p>
    <w:p w:rsidR="00FD37A3" w:rsidRDefault="0072500C">
      <w:pPr>
        <w:pStyle w:val="ChapterTitle"/>
        <w:rPr>
          <w:noProof/>
        </w:rPr>
      </w:pPr>
      <w:r>
        <w:rPr>
          <w:noProof/>
        </w:rPr>
        <w:t>UKREPI</w:t>
      </w:r>
    </w:p>
    <w:p w:rsidR="00FD37A3" w:rsidRDefault="0072500C">
      <w:pPr>
        <w:pStyle w:val="Titrearticle1"/>
        <w:rPr>
          <w:i w:val="0"/>
          <w:noProof/>
          <w:szCs w:val="24"/>
        </w:rPr>
      </w:pPr>
      <w:r>
        <w:rPr>
          <w:noProof/>
        </w:rPr>
        <w:t>Člen 13</w:t>
      </w:r>
    </w:p>
    <w:p w:rsidR="00FD37A3" w:rsidRDefault="0072500C">
      <w:pPr>
        <w:pStyle w:val="Titrearticle1"/>
        <w:spacing w:before="120"/>
        <w:rPr>
          <w:b/>
          <w:i w:val="0"/>
          <w:noProof/>
          <w:szCs w:val="24"/>
        </w:rPr>
      </w:pPr>
      <w:r>
        <w:rPr>
          <w:b/>
          <w:noProof/>
          <w:szCs w:val="24"/>
        </w:rPr>
        <w:t>Upravičeni ukrepi</w:t>
      </w:r>
    </w:p>
    <w:p w:rsidR="00FD37A3" w:rsidRDefault="0072500C">
      <w:pPr>
        <w:autoSpaceDE w:val="0"/>
        <w:autoSpaceDN w:val="0"/>
        <w:adjustRightInd w:val="0"/>
        <w:spacing w:before="0" w:after="0"/>
        <w:rPr>
          <w:noProof/>
        </w:rPr>
      </w:pPr>
      <w:r>
        <w:rPr>
          <w:noProof/>
        </w:rPr>
        <w:t>Do financiranja so upravičeni samo ukrepi,</w:t>
      </w:r>
      <w:r>
        <w:rPr>
          <w:noProof/>
        </w:rPr>
        <w:t xml:space="preserve"> s katerimi se uresničujejo cilji iz členov 3 in 4, vključno s tistimi iz Priloge I.</w:t>
      </w:r>
    </w:p>
    <w:p w:rsidR="00FD37A3" w:rsidRDefault="0072500C">
      <w:pPr>
        <w:pStyle w:val="Titrearticle1"/>
        <w:rPr>
          <w:noProof/>
        </w:rPr>
      </w:pPr>
      <w:r>
        <w:rPr>
          <w:noProof/>
        </w:rPr>
        <w:t>Člen 14</w:t>
      </w:r>
    </w:p>
    <w:p w:rsidR="00FD37A3" w:rsidRDefault="0072500C">
      <w:pPr>
        <w:pStyle w:val="Titrearticle1"/>
        <w:spacing w:before="120"/>
        <w:rPr>
          <w:b/>
          <w:noProof/>
        </w:rPr>
      </w:pPr>
      <w:r>
        <w:rPr>
          <w:b/>
          <w:noProof/>
        </w:rPr>
        <w:t xml:space="preserve">Upravičeni subjekti </w:t>
      </w:r>
    </w:p>
    <w:p w:rsidR="00FD37A3" w:rsidRDefault="0072500C">
      <w:pPr>
        <w:pStyle w:val="Point0"/>
        <w:rPr>
          <w:noProof/>
        </w:rPr>
      </w:pPr>
      <w:r>
        <w:rPr>
          <w:noProof/>
        </w:rPr>
        <w:t>1.</w:t>
      </w:r>
      <w:r>
        <w:rPr>
          <w:noProof/>
        </w:rPr>
        <w:tab/>
        <w:t xml:space="preserve">Poleg meril iz člena 197 Uredbe (EU, Euratom) 2018/1046 se uporabljajo naslednja merila: </w:t>
      </w:r>
    </w:p>
    <w:p w:rsidR="00FD37A3" w:rsidRDefault="0072500C">
      <w:pPr>
        <w:pStyle w:val="Point1"/>
        <w:rPr>
          <w:noProof/>
          <w:szCs w:val="24"/>
        </w:rPr>
      </w:pPr>
      <w:r>
        <w:rPr>
          <w:noProof/>
        </w:rPr>
        <w:t>(a)</w:t>
      </w:r>
      <w:r>
        <w:rPr>
          <w:noProof/>
        </w:rPr>
        <w:tab/>
        <w:t xml:space="preserve">pravni subjekti s sedežem v kateri koli od </w:t>
      </w:r>
      <w:r>
        <w:rPr>
          <w:noProof/>
        </w:rPr>
        <w:t>naslednjih držav:</w:t>
      </w:r>
    </w:p>
    <w:p w:rsidR="00FD37A3" w:rsidRDefault="0072500C">
      <w:pPr>
        <w:pStyle w:val="Point2"/>
        <w:rPr>
          <w:noProof/>
        </w:rPr>
      </w:pPr>
      <w:r>
        <w:rPr>
          <w:noProof/>
        </w:rPr>
        <w:t>(i)</w:t>
      </w:r>
      <w:r>
        <w:rPr>
          <w:noProof/>
        </w:rPr>
        <w:tab/>
        <w:t>državi članici ali z njo povezani čezmorski državi ali ozemlju;</w:t>
      </w:r>
    </w:p>
    <w:p w:rsidR="00FD37A3" w:rsidRDefault="0072500C">
      <w:pPr>
        <w:pStyle w:val="Point2"/>
        <w:rPr>
          <w:noProof/>
        </w:rPr>
      </w:pPr>
      <w:r>
        <w:rPr>
          <w:noProof/>
        </w:rPr>
        <w:t>(ii)</w:t>
      </w:r>
      <w:r>
        <w:rPr>
          <w:noProof/>
        </w:rPr>
        <w:tab/>
        <w:t>tretji državi, pridruženi Programu;</w:t>
      </w:r>
    </w:p>
    <w:p w:rsidR="00FD37A3" w:rsidRDefault="0072500C">
      <w:pPr>
        <w:pStyle w:val="Point2"/>
        <w:rPr>
          <w:noProof/>
        </w:rPr>
      </w:pPr>
      <w:r>
        <w:rPr>
          <w:noProof/>
        </w:rPr>
        <w:t>(iii)</w:t>
      </w:r>
      <w:r>
        <w:rPr>
          <w:noProof/>
        </w:rPr>
        <w:tab/>
        <w:t>tretji državi, navedeni v programu dela, pod pogoji iz odstavkov 2 in 3;</w:t>
      </w:r>
    </w:p>
    <w:p w:rsidR="00FD37A3" w:rsidRDefault="0072500C">
      <w:pPr>
        <w:pStyle w:val="Point1"/>
        <w:rPr>
          <w:noProof/>
          <w:szCs w:val="24"/>
        </w:rPr>
      </w:pPr>
      <w:r>
        <w:rPr>
          <w:noProof/>
        </w:rPr>
        <w:t>(b)</w:t>
      </w:r>
      <w:r>
        <w:rPr>
          <w:noProof/>
        </w:rPr>
        <w:tab/>
        <w:t>vsi pravni subjekti, ustanovljeni v skladu s p</w:t>
      </w:r>
      <w:r>
        <w:rPr>
          <w:noProof/>
        </w:rPr>
        <w:t>ravom Unije, in vse mednarodne organizacije.</w:t>
      </w:r>
    </w:p>
    <w:p w:rsidR="00FD37A3" w:rsidRDefault="0072500C">
      <w:pPr>
        <w:pStyle w:val="Point0"/>
        <w:rPr>
          <w:noProof/>
        </w:rPr>
      </w:pPr>
      <w:r>
        <w:rPr>
          <w:noProof/>
        </w:rPr>
        <w:t>2.</w:t>
      </w:r>
      <w:r>
        <w:rPr>
          <w:noProof/>
        </w:rPr>
        <w:tab/>
        <w:t>Pravni subjekti s sedežem v tretji državi, ki ni pridružena država, so izjemoma upravičeni do sodelovanja, kadar je to potrebno za doseganje ciljev določenega ukrepa.</w:t>
      </w:r>
    </w:p>
    <w:p w:rsidR="00FD37A3" w:rsidRDefault="0072500C">
      <w:pPr>
        <w:pStyle w:val="Point0"/>
        <w:rPr>
          <w:noProof/>
        </w:rPr>
      </w:pPr>
      <w:r>
        <w:rPr>
          <w:noProof/>
        </w:rPr>
        <w:t>3.</w:t>
      </w:r>
      <w:r>
        <w:rPr>
          <w:noProof/>
        </w:rPr>
        <w:tab/>
        <w:t>Pravni subjekti s sedežem v tretji drž</w:t>
      </w:r>
      <w:r>
        <w:rPr>
          <w:noProof/>
        </w:rPr>
        <w:t>avi, ki ni pridružena Programu, načeloma krijejo stroške svojega sodelovanja.</w:t>
      </w:r>
    </w:p>
    <w:p w:rsidR="00FD37A3" w:rsidRDefault="0072500C">
      <w:pPr>
        <w:pStyle w:val="Point0"/>
        <w:rPr>
          <w:noProof/>
        </w:rPr>
      </w:pPr>
      <w:r>
        <w:rPr>
          <w:noProof/>
        </w:rPr>
        <w:t>4.</w:t>
      </w:r>
      <w:r>
        <w:rPr>
          <w:noProof/>
        </w:rPr>
        <w:tab/>
        <w:t xml:space="preserve">Fizične osebe niso upravičene. </w:t>
      </w:r>
    </w:p>
    <w:p w:rsidR="00FD37A3" w:rsidRDefault="0072500C">
      <w:pPr>
        <w:pStyle w:val="Point0"/>
        <w:rPr>
          <w:noProof/>
        </w:rPr>
      </w:pPr>
      <w:r>
        <w:rPr>
          <w:noProof/>
        </w:rPr>
        <w:t>5.</w:t>
      </w:r>
      <w:r>
        <w:rPr>
          <w:noProof/>
        </w:rPr>
        <w:tab/>
        <w:t>V okviru Programa se neposredna nepovratna sredstva lahko brez razpisa za zbiranje predlogov dodelijo za financiranje ukrepov z jasno dodano</w:t>
      </w:r>
      <w:r>
        <w:rPr>
          <w:noProof/>
        </w:rPr>
        <w:t xml:space="preserve"> vrednostjo Unije, ki jih sofinancirajo organi, pristojni za področje zdravja, v državah članicah ali v tretjih državah, pridruženih Programu, ustrezne mednarodne zdravstvene organizacije ali organi javnega sektorja in nevladni organi, ki delujejo individu</w:t>
      </w:r>
      <w:r>
        <w:rPr>
          <w:noProof/>
        </w:rPr>
        <w:t>alno ali kot mreža in jih pooblastijo navedeni pristojni organi.</w:t>
      </w:r>
    </w:p>
    <w:p w:rsidR="00FD37A3" w:rsidRDefault="0072500C">
      <w:pPr>
        <w:pStyle w:val="Point0"/>
        <w:rPr>
          <w:noProof/>
          <w:szCs w:val="24"/>
        </w:rPr>
      </w:pPr>
      <w:r>
        <w:rPr>
          <w:noProof/>
        </w:rPr>
        <w:t>6.</w:t>
      </w:r>
      <w:r>
        <w:rPr>
          <w:noProof/>
        </w:rPr>
        <w:tab/>
        <w:t>V okviru Programa se neposredna nepovratna sredstva lahko brez razpisa za zbiranje predlogov dodelijo evropskim referenčnim mrežam. Neposredna nepovratna sredstva se lahko dodelijo tudi dr</w:t>
      </w:r>
      <w:r>
        <w:rPr>
          <w:noProof/>
        </w:rPr>
        <w:t xml:space="preserve">ugim nadnacionalnim mrežam, ki so določene v skladu s pravili EU. </w:t>
      </w:r>
    </w:p>
    <w:p w:rsidR="00FD37A3" w:rsidRDefault="0072500C">
      <w:pPr>
        <w:pStyle w:val="Point0"/>
        <w:rPr>
          <w:bCs/>
          <w:noProof/>
          <w:szCs w:val="24"/>
        </w:rPr>
      </w:pPr>
      <w:r>
        <w:rPr>
          <w:noProof/>
        </w:rPr>
        <w:t>7.</w:t>
      </w:r>
      <w:r>
        <w:rPr>
          <w:noProof/>
        </w:rPr>
        <w:tab/>
        <w:t>V okviru Programa se nepovratna sredstva lahko brez razpisa za zbiranje predlogov dodelijo za financiranje nevladnih organov, kadar je finančna podpora potrebna za uresničevanje enega al</w:t>
      </w:r>
      <w:r>
        <w:rPr>
          <w:noProof/>
        </w:rPr>
        <w:t>i več specifičnih ciljev Programa, če navedeni organi izpolnjujejo vsa naslednja merila:</w:t>
      </w:r>
    </w:p>
    <w:p w:rsidR="00FD37A3" w:rsidRDefault="0072500C">
      <w:pPr>
        <w:pStyle w:val="Point1"/>
        <w:rPr>
          <w:noProof/>
          <w:szCs w:val="24"/>
        </w:rPr>
      </w:pPr>
      <w:r>
        <w:rPr>
          <w:noProof/>
        </w:rPr>
        <w:t>(i)</w:t>
      </w:r>
      <w:r>
        <w:rPr>
          <w:noProof/>
        </w:rPr>
        <w:tab/>
        <w:t>so nevladni, nepridobitni in neodvisni od panožnih, komercialnih in poslovnih ali drugih nasprotujočih si interesov;</w:t>
      </w:r>
    </w:p>
    <w:p w:rsidR="00FD37A3" w:rsidRDefault="0072500C">
      <w:pPr>
        <w:pStyle w:val="Point1"/>
        <w:rPr>
          <w:noProof/>
          <w:szCs w:val="24"/>
        </w:rPr>
      </w:pPr>
      <w:r>
        <w:rPr>
          <w:noProof/>
        </w:rPr>
        <w:t>(ii)</w:t>
      </w:r>
      <w:r>
        <w:rPr>
          <w:noProof/>
        </w:rPr>
        <w:tab/>
        <w:t>delujejo na področju javnega zdravja in u</w:t>
      </w:r>
      <w:r>
        <w:rPr>
          <w:noProof/>
        </w:rPr>
        <w:t>resničujejo vsaj enega od specifičnih ciljev Programa ter imajo učinkovito vlogo na ravni Unije;</w:t>
      </w:r>
    </w:p>
    <w:p w:rsidR="00FD37A3" w:rsidRDefault="0072500C">
      <w:pPr>
        <w:pStyle w:val="Point1"/>
        <w:rPr>
          <w:noProof/>
          <w:szCs w:val="24"/>
        </w:rPr>
      </w:pPr>
      <w:r>
        <w:rPr>
          <w:noProof/>
        </w:rPr>
        <w:t>(iii)</w:t>
      </w:r>
      <w:r>
        <w:rPr>
          <w:noProof/>
        </w:rPr>
        <w:tab/>
        <w:t>dejavni so na ravni Unije in vsaj v polovici držav članic ter imajo uravnoteženo geografsko zastopanost v Uniji.</w:t>
      </w:r>
    </w:p>
    <w:p w:rsidR="00FD37A3" w:rsidRDefault="0072500C">
      <w:pPr>
        <w:pStyle w:val="Titrearticle1"/>
        <w:rPr>
          <w:noProof/>
        </w:rPr>
      </w:pPr>
      <w:r>
        <w:rPr>
          <w:noProof/>
        </w:rPr>
        <w:t>Člen 15</w:t>
      </w:r>
    </w:p>
    <w:p w:rsidR="00FD37A3" w:rsidRDefault="0072500C">
      <w:pPr>
        <w:pStyle w:val="Titrearticle1"/>
        <w:spacing w:before="120"/>
        <w:rPr>
          <w:b/>
          <w:i w:val="0"/>
          <w:noProof/>
        </w:rPr>
      </w:pPr>
      <w:r>
        <w:rPr>
          <w:b/>
          <w:noProof/>
        </w:rPr>
        <w:t>Upravičeni stroški</w:t>
      </w:r>
    </w:p>
    <w:p w:rsidR="00FD37A3" w:rsidRDefault="0072500C">
      <w:pPr>
        <w:pStyle w:val="Point0"/>
        <w:rPr>
          <w:noProof/>
          <w:szCs w:val="24"/>
        </w:rPr>
      </w:pPr>
      <w:r>
        <w:rPr>
          <w:noProof/>
        </w:rPr>
        <w:t>1.</w:t>
      </w:r>
      <w:r>
        <w:rPr>
          <w:noProof/>
        </w:rPr>
        <w:tab/>
        <w:t>Poleg meri</w:t>
      </w:r>
      <w:r>
        <w:rPr>
          <w:noProof/>
        </w:rPr>
        <w:t>l iz člena 186 Uredbe (EU, Euratom) 2018/1046 in v skladu s točko (a) drugega pododstavka člena 193 navedene uredbe so upravičeni stroški, ki so nastali pred datumom vložitve vloge za nepovratna sredstva:</w:t>
      </w:r>
    </w:p>
    <w:p w:rsidR="00FD37A3" w:rsidRDefault="0072500C">
      <w:pPr>
        <w:pStyle w:val="Point1"/>
        <w:rPr>
          <w:noProof/>
          <w:szCs w:val="24"/>
        </w:rPr>
      </w:pPr>
      <w:r>
        <w:rPr>
          <w:noProof/>
        </w:rPr>
        <w:t>(a)</w:t>
      </w:r>
      <w:r>
        <w:rPr>
          <w:noProof/>
        </w:rPr>
        <w:tab/>
        <w:t>za ukrepe, s katerimi se uresničuje cilj iz toč</w:t>
      </w:r>
      <w:r>
        <w:rPr>
          <w:noProof/>
        </w:rPr>
        <w:t>ke 1 člena 3;</w:t>
      </w:r>
    </w:p>
    <w:p w:rsidR="00FD37A3" w:rsidRDefault="0072500C">
      <w:pPr>
        <w:pStyle w:val="Point1"/>
        <w:rPr>
          <w:noProof/>
          <w:szCs w:val="24"/>
        </w:rPr>
      </w:pPr>
      <w:r>
        <w:rPr>
          <w:noProof/>
        </w:rPr>
        <w:t>(b)</w:t>
      </w:r>
      <w:r>
        <w:rPr>
          <w:noProof/>
        </w:rPr>
        <w:tab/>
        <w:t>za ukrepe, s katerimi se uresničujejo drugi cilji, v ustrezno utemeljenih izjemnih primerih, če so navedeni stroški neposredno povezani z izvajanjem podprtih ukrepov in dejavnosti.</w:t>
      </w:r>
    </w:p>
    <w:p w:rsidR="00FD37A3" w:rsidRDefault="0072500C">
      <w:pPr>
        <w:pStyle w:val="Point0"/>
        <w:rPr>
          <w:noProof/>
          <w:szCs w:val="24"/>
        </w:rPr>
      </w:pPr>
      <w:r>
        <w:rPr>
          <w:noProof/>
        </w:rPr>
        <w:t>2.</w:t>
      </w:r>
      <w:r>
        <w:rPr>
          <w:noProof/>
        </w:rPr>
        <w:tab/>
        <w:t>Stroški iz točke (a) odstavka 1 tega člena, povezani z</w:t>
      </w:r>
      <w:r>
        <w:rPr>
          <w:noProof/>
        </w:rPr>
        <w:t xml:space="preserve"> ukrepi za obravnavanje suma pojava bolezni, ki bi lahko sprožil čezmejno nevarnost za zdravje, so upravičeni od datuma, ko je bila Komisija obveščena o sumu pojava bolezni, pod pogojem, da se ta pojav ali prisotnost naknadno potrdi.</w:t>
      </w:r>
    </w:p>
    <w:p w:rsidR="00FD37A3" w:rsidRDefault="0072500C">
      <w:pPr>
        <w:pStyle w:val="Point0"/>
        <w:rPr>
          <w:noProof/>
          <w:szCs w:val="24"/>
        </w:rPr>
      </w:pPr>
      <w:r>
        <w:rPr>
          <w:noProof/>
        </w:rPr>
        <w:t>3.</w:t>
      </w:r>
      <w:r>
        <w:rPr>
          <w:noProof/>
        </w:rPr>
        <w:tab/>
        <w:t>V izjemnih primerih</w:t>
      </w:r>
      <w:r>
        <w:rPr>
          <w:noProof/>
        </w:rPr>
        <w:t xml:space="preserve"> se v času krize zaradi resne čezmejne nevarnosti za zdravje, kot je opredeljena v členu 3(g) Sklepa št. 1082/2013/EU, lahko stroški, ki jih imajo subjekti s sedežem v nepridruženih državah, izjemoma štejejo za upravičene, če so ustrezno utemeljeni z razlo</w:t>
      </w:r>
      <w:r>
        <w:rPr>
          <w:noProof/>
        </w:rPr>
        <w:t>gi preprečevanja širjenja tveganja za varovanje zdravja ljudi v Uniji.</w:t>
      </w:r>
    </w:p>
    <w:p w:rsidR="00FD37A3" w:rsidRDefault="0072500C">
      <w:pPr>
        <w:pStyle w:val="ChapterTitle"/>
        <w:rPr>
          <w:noProof/>
        </w:rPr>
      </w:pPr>
      <w:r>
        <w:rPr>
          <w:noProof/>
        </w:rPr>
        <w:t>POGLAVJE IV</w:t>
      </w:r>
    </w:p>
    <w:p w:rsidR="00FD37A3" w:rsidRDefault="0072500C">
      <w:pPr>
        <w:pStyle w:val="ChapterTitle"/>
        <w:rPr>
          <w:noProof/>
        </w:rPr>
      </w:pPr>
      <w:r>
        <w:rPr>
          <w:noProof/>
        </w:rPr>
        <w:t>UPRAVLJANJE</w:t>
      </w:r>
    </w:p>
    <w:p w:rsidR="00FD37A3" w:rsidRDefault="0072500C">
      <w:pPr>
        <w:pStyle w:val="Titrearticle1"/>
        <w:rPr>
          <w:noProof/>
        </w:rPr>
      </w:pPr>
      <w:r>
        <w:rPr>
          <w:noProof/>
        </w:rPr>
        <w:t>Člen 16</w:t>
      </w:r>
    </w:p>
    <w:p w:rsidR="00FD37A3" w:rsidRDefault="0072500C">
      <w:pPr>
        <w:pStyle w:val="Titrearticle1"/>
        <w:spacing w:before="120"/>
        <w:rPr>
          <w:b/>
          <w:bCs/>
          <w:i w:val="0"/>
          <w:iCs/>
          <w:noProof/>
          <w:szCs w:val="24"/>
        </w:rPr>
      </w:pPr>
      <w:r>
        <w:rPr>
          <w:b/>
          <w:bCs/>
          <w:iCs/>
          <w:noProof/>
          <w:szCs w:val="24"/>
        </w:rPr>
        <w:t>Izvajanje skupne politike</w:t>
      </w:r>
    </w:p>
    <w:p w:rsidR="00FD37A3" w:rsidRDefault="0072500C">
      <w:pPr>
        <w:autoSpaceDE w:val="0"/>
        <w:autoSpaceDN w:val="0"/>
        <w:adjustRightInd w:val="0"/>
        <w:spacing w:before="0" w:after="0"/>
        <w:rPr>
          <w:noProof/>
          <w:szCs w:val="24"/>
        </w:rPr>
      </w:pPr>
      <w:r>
        <w:rPr>
          <w:noProof/>
        </w:rPr>
        <w:t xml:space="preserve">Komisija se z zdravstvenimi organi držav članic v usmerjevalni skupini za spodbujanje zdravja, preprečevanje bolezni in </w:t>
      </w:r>
      <w:r>
        <w:rPr>
          <w:noProof/>
        </w:rPr>
        <w:t>obvladovanje nenalezljivih bolezni posvetuje o delovnih načrtih, vzpostavljenih za Program, njegovih prednostnih nalogah in strateških usmeritvah ter njegovem izvajanju.</w:t>
      </w:r>
    </w:p>
    <w:p w:rsidR="00FD37A3" w:rsidRDefault="0072500C">
      <w:pPr>
        <w:pStyle w:val="Titrearticle1"/>
        <w:rPr>
          <w:i w:val="0"/>
          <w:iCs/>
          <w:noProof/>
          <w:szCs w:val="24"/>
        </w:rPr>
      </w:pPr>
      <w:r>
        <w:rPr>
          <w:noProof/>
        </w:rPr>
        <w:t>Člen 17</w:t>
      </w:r>
    </w:p>
    <w:p w:rsidR="00FD37A3" w:rsidRDefault="0072500C">
      <w:pPr>
        <w:pStyle w:val="Titrearticle1"/>
        <w:spacing w:before="120"/>
        <w:rPr>
          <w:b/>
          <w:bCs/>
          <w:i w:val="0"/>
          <w:iCs/>
          <w:noProof/>
          <w:szCs w:val="24"/>
        </w:rPr>
      </w:pPr>
      <w:r>
        <w:rPr>
          <w:b/>
          <w:bCs/>
          <w:iCs/>
          <w:noProof/>
          <w:szCs w:val="24"/>
        </w:rPr>
        <w:t xml:space="preserve">Izvajanje Programa </w:t>
      </w:r>
    </w:p>
    <w:p w:rsidR="00FD37A3" w:rsidRDefault="0072500C">
      <w:pPr>
        <w:autoSpaceDE w:val="0"/>
        <w:autoSpaceDN w:val="0"/>
        <w:adjustRightInd w:val="0"/>
        <w:spacing w:before="0" w:after="0"/>
        <w:rPr>
          <w:rFonts w:eastAsia="Times New Roman"/>
          <w:noProof/>
          <w:szCs w:val="24"/>
        </w:rPr>
      </w:pPr>
      <w:r>
        <w:rPr>
          <w:noProof/>
        </w:rPr>
        <w:t>Komisija lahko z izvedbenimi akti določi pravila o:</w:t>
      </w:r>
    </w:p>
    <w:p w:rsidR="00FD37A3" w:rsidRDefault="0072500C">
      <w:pPr>
        <w:pStyle w:val="Point0"/>
        <w:rPr>
          <w:noProof/>
        </w:rPr>
      </w:pPr>
      <w:r>
        <w:rPr>
          <w:noProof/>
        </w:rPr>
        <w:t>(a)</w:t>
      </w:r>
      <w:r>
        <w:rPr>
          <w:noProof/>
        </w:rPr>
        <w:tab/>
        <w:t>te</w:t>
      </w:r>
      <w:r>
        <w:rPr>
          <w:noProof/>
        </w:rPr>
        <w:t xml:space="preserve">hničnih in upravnih ureditvah, potrebnih za izvajanje ukrepov Programa; </w:t>
      </w:r>
    </w:p>
    <w:p w:rsidR="00FD37A3" w:rsidRDefault="0072500C">
      <w:pPr>
        <w:pStyle w:val="Point0"/>
        <w:rPr>
          <w:rFonts w:eastAsia="Times New Roman"/>
          <w:noProof/>
          <w:szCs w:val="24"/>
        </w:rPr>
      </w:pPr>
      <w:r>
        <w:rPr>
          <w:noProof/>
        </w:rPr>
        <w:t>(b)</w:t>
      </w:r>
      <w:r>
        <w:rPr>
          <w:noProof/>
        </w:rPr>
        <w:tab/>
        <w:t>enotnih predlogah za zbiranje podatkov, potrebnih za spremljanje izvajanja Programa.</w:t>
      </w:r>
    </w:p>
    <w:p w:rsidR="00FD37A3" w:rsidRDefault="0072500C">
      <w:pPr>
        <w:autoSpaceDE w:val="0"/>
        <w:autoSpaceDN w:val="0"/>
        <w:adjustRightInd w:val="0"/>
        <w:spacing w:before="0" w:after="0"/>
        <w:rPr>
          <w:rFonts w:eastAsia="Times New Roman"/>
          <w:noProof/>
          <w:szCs w:val="24"/>
        </w:rPr>
      </w:pPr>
      <w:r>
        <w:rPr>
          <w:noProof/>
        </w:rPr>
        <w:t>Navedeni izvedbeni akti se sprejmejo v skladu s postopkom pregleda iz člena 23(2).</w:t>
      </w:r>
    </w:p>
    <w:p w:rsidR="00FD37A3" w:rsidRDefault="0072500C">
      <w:pPr>
        <w:pStyle w:val="ChapterTitle"/>
        <w:rPr>
          <w:noProof/>
        </w:rPr>
      </w:pPr>
      <w:r>
        <w:rPr>
          <w:noProof/>
        </w:rPr>
        <w:t>POGLAVJE V</w:t>
      </w:r>
    </w:p>
    <w:p w:rsidR="00FD37A3" w:rsidRDefault="0072500C">
      <w:pPr>
        <w:pStyle w:val="ChapterTitle"/>
        <w:rPr>
          <w:noProof/>
        </w:rPr>
      </w:pPr>
      <w:r>
        <w:rPr>
          <w:noProof/>
        </w:rPr>
        <w:t>NAČRTOVANJE, SPREMLJANJE, OCENJEVANJE IN KONTROLA</w:t>
      </w:r>
    </w:p>
    <w:p w:rsidR="00FD37A3" w:rsidRDefault="0072500C">
      <w:pPr>
        <w:pStyle w:val="Titrearticle1"/>
        <w:rPr>
          <w:i w:val="0"/>
          <w:noProof/>
        </w:rPr>
      </w:pPr>
      <w:r>
        <w:rPr>
          <w:noProof/>
        </w:rPr>
        <w:t>Člen 18</w:t>
      </w:r>
    </w:p>
    <w:p w:rsidR="00FD37A3" w:rsidRDefault="0072500C">
      <w:pPr>
        <w:pStyle w:val="Titrearticle1"/>
        <w:spacing w:before="120"/>
        <w:rPr>
          <w:b/>
          <w:i w:val="0"/>
          <w:noProof/>
        </w:rPr>
      </w:pPr>
      <w:r>
        <w:rPr>
          <w:b/>
          <w:noProof/>
        </w:rPr>
        <w:t>Program dela</w:t>
      </w:r>
    </w:p>
    <w:p w:rsidR="00FD37A3" w:rsidRDefault="0072500C">
      <w:pPr>
        <w:autoSpaceDE w:val="0"/>
        <w:autoSpaceDN w:val="0"/>
        <w:adjustRightInd w:val="0"/>
        <w:outlineLvl w:val="0"/>
        <w:rPr>
          <w:iCs/>
          <w:noProof/>
          <w:color w:val="000000"/>
        </w:rPr>
      </w:pPr>
      <w:r>
        <w:rPr>
          <w:iCs/>
          <w:noProof/>
          <w:color w:val="000000"/>
        </w:rPr>
        <w:t>Program se izvaja s programi dela iz člena 110 Uredbe (EU, Euratom) 2018/1046. V programih dela se po potrebi določi skupni znesek, namenjen za operacije mešanega financiranja.</w:t>
      </w:r>
    </w:p>
    <w:p w:rsidR="00FD37A3" w:rsidRDefault="0072500C">
      <w:pPr>
        <w:pStyle w:val="Titrearticle1"/>
        <w:rPr>
          <w:i w:val="0"/>
          <w:noProof/>
        </w:rPr>
      </w:pPr>
      <w:r>
        <w:rPr>
          <w:noProof/>
        </w:rPr>
        <w:t>Člen 19</w:t>
      </w:r>
    </w:p>
    <w:p w:rsidR="00FD37A3" w:rsidRDefault="0072500C">
      <w:pPr>
        <w:pStyle w:val="Titrearticle1"/>
        <w:spacing w:before="120"/>
        <w:rPr>
          <w:b/>
          <w:i w:val="0"/>
          <w:noProof/>
        </w:rPr>
      </w:pPr>
      <w:r>
        <w:rPr>
          <w:b/>
          <w:noProof/>
        </w:rPr>
        <w:t>Spremljanje in poročanje</w:t>
      </w:r>
    </w:p>
    <w:p w:rsidR="00FD37A3" w:rsidRDefault="0072500C">
      <w:pPr>
        <w:pStyle w:val="Point0"/>
        <w:rPr>
          <w:noProof/>
        </w:rPr>
      </w:pPr>
      <w:r>
        <w:rPr>
          <w:noProof/>
        </w:rPr>
        <w:t>1.</w:t>
      </w:r>
      <w:r>
        <w:rPr>
          <w:noProof/>
        </w:rPr>
        <w:tab/>
        <w:t xml:space="preserve">Kazalniki za poročanje o napredku Programa pri uresničevanju splošnih in specifičnih ciljev iz členov 3 in 4 so določeni v Prilogi II. </w:t>
      </w:r>
    </w:p>
    <w:p w:rsidR="00FD37A3" w:rsidRDefault="0072500C">
      <w:pPr>
        <w:pStyle w:val="Point0"/>
        <w:rPr>
          <w:i/>
          <w:noProof/>
          <w:color w:val="000000" w:themeColor="text1"/>
          <w:szCs w:val="24"/>
        </w:rPr>
      </w:pPr>
      <w:r>
        <w:rPr>
          <w:noProof/>
        </w:rPr>
        <w:t>2.</w:t>
      </w:r>
      <w:r>
        <w:rPr>
          <w:noProof/>
        </w:rPr>
        <w:tab/>
        <w:t xml:space="preserve">Na Komisijo se v skladu s členom 24 prenese pooblastilo za sprejemanje delegiranih aktov </w:t>
      </w:r>
      <w:r>
        <w:rPr>
          <w:noProof/>
        </w:rPr>
        <w:t>v zvezi s spremembami Priloge II, da spremeni in dopolni kazalnike, kadar je to potrebno.</w:t>
      </w:r>
      <w:r>
        <w:rPr>
          <w:noProof/>
          <w:color w:val="000000" w:themeColor="text1"/>
        </w:rPr>
        <w:t xml:space="preserve"> </w:t>
      </w:r>
    </w:p>
    <w:p w:rsidR="00FD37A3" w:rsidRDefault="0072500C">
      <w:pPr>
        <w:pStyle w:val="Point0"/>
        <w:rPr>
          <w:noProof/>
        </w:rPr>
      </w:pPr>
      <w:r>
        <w:rPr>
          <w:noProof/>
        </w:rPr>
        <w:t>3.</w:t>
      </w:r>
      <w:r>
        <w:rPr>
          <w:noProof/>
        </w:rPr>
        <w:tab/>
        <w:t>Sistem za poročanje o smotrnosti zagotavlja, da se podatki za spremljanje izvajanja in rezultatov Programa zbirajo uspešno, učinkovito in pravočasno. V ta namen s</w:t>
      </w:r>
      <w:r>
        <w:rPr>
          <w:noProof/>
        </w:rPr>
        <w:t>e prejemnikom finančnih sredstev Unije in, kadar je to ustrezno, državam članicam naložijo sorazmerne zahteve glede poročanja.</w:t>
      </w:r>
    </w:p>
    <w:p w:rsidR="00FD37A3" w:rsidRDefault="0072500C">
      <w:pPr>
        <w:pStyle w:val="Titrearticle1"/>
        <w:rPr>
          <w:noProof/>
        </w:rPr>
      </w:pPr>
      <w:r>
        <w:rPr>
          <w:noProof/>
        </w:rPr>
        <w:t>Člen 20</w:t>
      </w:r>
    </w:p>
    <w:p w:rsidR="00FD37A3" w:rsidRDefault="0072500C">
      <w:pPr>
        <w:pStyle w:val="Titrearticle1"/>
        <w:spacing w:before="120"/>
        <w:rPr>
          <w:b/>
          <w:i w:val="0"/>
          <w:noProof/>
        </w:rPr>
      </w:pPr>
      <w:r>
        <w:rPr>
          <w:b/>
          <w:noProof/>
        </w:rPr>
        <w:t>Ocenjevanje</w:t>
      </w:r>
    </w:p>
    <w:p w:rsidR="00FD37A3" w:rsidRDefault="0072500C">
      <w:pPr>
        <w:pStyle w:val="Point0"/>
        <w:rPr>
          <w:noProof/>
          <w:szCs w:val="24"/>
        </w:rPr>
      </w:pPr>
      <w:r>
        <w:rPr>
          <w:noProof/>
        </w:rPr>
        <w:t>1.</w:t>
      </w:r>
      <w:r>
        <w:rPr>
          <w:noProof/>
        </w:rPr>
        <w:tab/>
        <w:t>Ocene se opravijo pravočasno, da prispevajo k postopku odločanja.</w:t>
      </w:r>
    </w:p>
    <w:p w:rsidR="00FD37A3" w:rsidRDefault="0072500C">
      <w:pPr>
        <w:pStyle w:val="Point0"/>
        <w:rPr>
          <w:noProof/>
          <w:szCs w:val="24"/>
        </w:rPr>
      </w:pPr>
      <w:r>
        <w:rPr>
          <w:noProof/>
        </w:rPr>
        <w:t>2.</w:t>
      </w:r>
      <w:r>
        <w:rPr>
          <w:noProof/>
        </w:rPr>
        <w:tab/>
        <w:t>Vmesna ocena Programa se opravi, ko j</w:t>
      </w:r>
      <w:r>
        <w:rPr>
          <w:noProof/>
        </w:rPr>
        <w:t>e na voljo dovolj informacij o njegovem izvajanju, vendar najpozneje v štirih letih od začetka njegovega izvajanja.</w:t>
      </w:r>
    </w:p>
    <w:p w:rsidR="00FD37A3" w:rsidRDefault="0072500C">
      <w:pPr>
        <w:pStyle w:val="Point0"/>
        <w:rPr>
          <w:noProof/>
          <w:szCs w:val="24"/>
        </w:rPr>
      </w:pPr>
      <w:r>
        <w:rPr>
          <w:noProof/>
        </w:rPr>
        <w:t>3.</w:t>
      </w:r>
      <w:r>
        <w:rPr>
          <w:noProof/>
        </w:rPr>
        <w:tab/>
        <w:t>Na koncu obdobja izvajanja, vendar ne pozneje kot v štirih letih po koncu obdobja iz člena 1, Komisija opravi končno oceno.</w:t>
      </w:r>
    </w:p>
    <w:p w:rsidR="00FD37A3" w:rsidRDefault="0072500C">
      <w:pPr>
        <w:pStyle w:val="Point0"/>
        <w:rPr>
          <w:noProof/>
          <w:szCs w:val="24"/>
        </w:rPr>
      </w:pPr>
      <w:r>
        <w:rPr>
          <w:noProof/>
        </w:rPr>
        <w:t>4.</w:t>
      </w:r>
      <w:r>
        <w:rPr>
          <w:noProof/>
        </w:rPr>
        <w:tab/>
        <w:t>Komisija z</w:t>
      </w:r>
      <w:r>
        <w:rPr>
          <w:noProof/>
        </w:rPr>
        <w:t>aključke teh ocen skupaj s svojimi pripombami predloži Evropskemu parlamentu, Svetu, Evropskemu ekonomsko-socialnemu odboru in Odboru regij.</w:t>
      </w:r>
    </w:p>
    <w:p w:rsidR="00FD37A3" w:rsidRDefault="0072500C">
      <w:pPr>
        <w:pStyle w:val="Titrearticle1"/>
        <w:rPr>
          <w:noProof/>
        </w:rPr>
      </w:pPr>
      <w:r>
        <w:rPr>
          <w:noProof/>
        </w:rPr>
        <w:t>Člen 21</w:t>
      </w:r>
    </w:p>
    <w:p w:rsidR="00FD37A3" w:rsidRDefault="0072500C">
      <w:pPr>
        <w:pStyle w:val="Titrearticle1"/>
        <w:spacing w:before="120"/>
        <w:rPr>
          <w:noProof/>
        </w:rPr>
      </w:pPr>
      <w:r>
        <w:rPr>
          <w:b/>
          <w:noProof/>
        </w:rPr>
        <w:t>Revizije</w:t>
      </w:r>
    </w:p>
    <w:p w:rsidR="00FD37A3" w:rsidRDefault="0072500C">
      <w:pPr>
        <w:rPr>
          <w:noProof/>
        </w:rPr>
      </w:pPr>
      <w:r>
        <w:rPr>
          <w:noProof/>
        </w:rPr>
        <w:t xml:space="preserve">Revizije uporabe prispevkov Unije, ki jih opravijo osebe ali subjekti, vključno s tistimi, ki jih </w:t>
      </w:r>
      <w:r>
        <w:rPr>
          <w:noProof/>
        </w:rPr>
        <w:t>niso pooblastile institucije ali organi Unije, so podlaga za splošno zagotovilo v skladu s členom 127 Uredbe (EU, Euratom) 2018/1046.</w:t>
      </w:r>
    </w:p>
    <w:p w:rsidR="00FD37A3" w:rsidRDefault="0072500C">
      <w:pPr>
        <w:pStyle w:val="Titrearticle1"/>
        <w:rPr>
          <w:i w:val="0"/>
          <w:iCs/>
          <w:noProof/>
          <w:szCs w:val="24"/>
        </w:rPr>
      </w:pPr>
      <w:r>
        <w:rPr>
          <w:noProof/>
        </w:rPr>
        <w:t>Člen 22</w:t>
      </w:r>
    </w:p>
    <w:p w:rsidR="00FD37A3" w:rsidRDefault="0072500C">
      <w:pPr>
        <w:pStyle w:val="Titrearticle1"/>
        <w:spacing w:before="120"/>
        <w:rPr>
          <w:b/>
          <w:bCs/>
          <w:i w:val="0"/>
          <w:noProof/>
          <w:szCs w:val="24"/>
        </w:rPr>
      </w:pPr>
      <w:r>
        <w:rPr>
          <w:b/>
          <w:bCs/>
          <w:noProof/>
          <w:szCs w:val="24"/>
        </w:rPr>
        <w:t>Zaščita finančnih interesov Unije</w:t>
      </w:r>
    </w:p>
    <w:p w:rsidR="00FD37A3" w:rsidRDefault="0072500C">
      <w:pPr>
        <w:rPr>
          <w:noProof/>
          <w:szCs w:val="24"/>
        </w:rPr>
      </w:pPr>
      <w:r>
        <w:rPr>
          <w:noProof/>
        </w:rPr>
        <w:t xml:space="preserve">Kadar tretja država sodeluje v Programu na podlagi sklepa v okviru mednarodnega </w:t>
      </w:r>
      <w:r>
        <w:rPr>
          <w:noProof/>
        </w:rPr>
        <w:t>sporazuma, tretja država odgovornemu odredbodajalcu, Evropskemu uradu za boj proti goljufijam (OLAF) in Evropskemu računskemu sodišču podeli potrebne pravice in dostop za celovito izvrševanje njihovih pristojnosti. V primeru OLAF take pravice zajemajo prav</w:t>
      </w:r>
      <w:r>
        <w:rPr>
          <w:noProof/>
        </w:rPr>
        <w:t>ico do izvajanja preiskav, vključno s pregledi in inšpekcijami na kraju samem, določenih v Uredbi (EU, Euratom) št. 883/2013 o preiskavah, ki jih izvaja Evropski urad za boj proti goljufijam (OLAF).</w:t>
      </w:r>
    </w:p>
    <w:p w:rsidR="00FD37A3" w:rsidRDefault="0072500C">
      <w:pPr>
        <w:pStyle w:val="Titrearticle1"/>
        <w:rPr>
          <w:i w:val="0"/>
          <w:iCs/>
          <w:noProof/>
          <w:szCs w:val="24"/>
        </w:rPr>
      </w:pPr>
      <w:r>
        <w:rPr>
          <w:noProof/>
        </w:rPr>
        <w:t>Člen 23</w:t>
      </w:r>
    </w:p>
    <w:p w:rsidR="00FD37A3" w:rsidRDefault="0072500C">
      <w:pPr>
        <w:pStyle w:val="Titrearticle1"/>
        <w:spacing w:before="120"/>
        <w:rPr>
          <w:b/>
          <w:bCs/>
          <w:i w:val="0"/>
          <w:iCs/>
          <w:noProof/>
          <w:szCs w:val="24"/>
        </w:rPr>
      </w:pPr>
      <w:r>
        <w:rPr>
          <w:b/>
          <w:bCs/>
          <w:iCs/>
          <w:noProof/>
          <w:szCs w:val="24"/>
        </w:rPr>
        <w:t>Postopek v odboru</w:t>
      </w:r>
    </w:p>
    <w:p w:rsidR="00FD37A3" w:rsidRDefault="0072500C">
      <w:pPr>
        <w:pStyle w:val="Point0"/>
        <w:rPr>
          <w:rFonts w:eastAsia="Times New Roman"/>
          <w:noProof/>
          <w:szCs w:val="24"/>
        </w:rPr>
      </w:pPr>
      <w:r>
        <w:rPr>
          <w:noProof/>
        </w:rPr>
        <w:t>1.</w:t>
      </w:r>
      <w:r>
        <w:rPr>
          <w:noProof/>
        </w:rPr>
        <w:tab/>
        <w:t>Komisiji pomaga odbor Progra</w:t>
      </w:r>
      <w:r>
        <w:rPr>
          <w:noProof/>
        </w:rPr>
        <w:t>ma EU za zdravje. Navedeni odbor je odbor v smislu Uredbe (EU) št. 182/2011.</w:t>
      </w:r>
    </w:p>
    <w:p w:rsidR="00FD37A3" w:rsidRDefault="0072500C">
      <w:pPr>
        <w:pStyle w:val="Point0"/>
        <w:rPr>
          <w:rFonts w:eastAsia="Times New Roman"/>
          <w:noProof/>
          <w:szCs w:val="24"/>
        </w:rPr>
      </w:pPr>
      <w:r>
        <w:rPr>
          <w:noProof/>
        </w:rPr>
        <w:t>2.</w:t>
      </w:r>
      <w:r>
        <w:rPr>
          <w:noProof/>
        </w:rPr>
        <w:tab/>
        <w:t>Pri sklicevanju na ta odstavek se uporablja člen 5 Uredbe (EU) št. 182/2011.</w:t>
      </w:r>
    </w:p>
    <w:p w:rsidR="00FD37A3" w:rsidRDefault="0072500C">
      <w:pPr>
        <w:pStyle w:val="Titrearticle1"/>
        <w:rPr>
          <w:noProof/>
        </w:rPr>
      </w:pPr>
      <w:r>
        <w:rPr>
          <w:noProof/>
        </w:rPr>
        <w:t>Člen 24</w:t>
      </w:r>
    </w:p>
    <w:p w:rsidR="00FD37A3" w:rsidRDefault="0072500C">
      <w:pPr>
        <w:pStyle w:val="Titrearticle1"/>
        <w:spacing w:before="120"/>
        <w:rPr>
          <w:b/>
          <w:noProof/>
        </w:rPr>
      </w:pPr>
      <w:r>
        <w:rPr>
          <w:b/>
          <w:noProof/>
        </w:rPr>
        <w:t>Izvajanje pooblastila</w:t>
      </w:r>
    </w:p>
    <w:p w:rsidR="00FD37A3" w:rsidRDefault="0072500C">
      <w:pPr>
        <w:pStyle w:val="Point0"/>
        <w:rPr>
          <w:noProof/>
        </w:rPr>
      </w:pPr>
      <w:r>
        <w:rPr>
          <w:noProof/>
        </w:rPr>
        <w:t>1.</w:t>
      </w:r>
      <w:r>
        <w:rPr>
          <w:noProof/>
        </w:rPr>
        <w:tab/>
        <w:t>Pooblastilo za sprejemanje delegiranih aktov je preneseno na Komis</w:t>
      </w:r>
      <w:r>
        <w:rPr>
          <w:noProof/>
        </w:rPr>
        <w:t>ijo pod pogoji, določenimi v tem členu.</w:t>
      </w:r>
    </w:p>
    <w:p w:rsidR="00FD37A3" w:rsidRDefault="0072500C">
      <w:pPr>
        <w:pStyle w:val="Point0"/>
        <w:rPr>
          <w:noProof/>
        </w:rPr>
      </w:pPr>
      <w:r>
        <w:rPr>
          <w:noProof/>
        </w:rPr>
        <w:t>2.</w:t>
      </w:r>
      <w:r>
        <w:rPr>
          <w:noProof/>
        </w:rPr>
        <w:tab/>
        <w:t xml:space="preserve">Pooblastilo za sprejemanje delegiranih aktov iz člena 19(2) se na Komisijo prenese do 31. decembra 2028. </w:t>
      </w:r>
    </w:p>
    <w:p w:rsidR="00FD37A3" w:rsidRDefault="0072500C">
      <w:pPr>
        <w:pStyle w:val="Point0"/>
        <w:rPr>
          <w:noProof/>
        </w:rPr>
      </w:pPr>
      <w:r>
        <w:rPr>
          <w:noProof/>
        </w:rPr>
        <w:t>3.</w:t>
      </w:r>
      <w:r>
        <w:rPr>
          <w:noProof/>
        </w:rPr>
        <w:tab/>
        <w:t>Evropski parlament ali Svet lahko kadar koli prekliče prenos pooblastila iz člena 19(2). S sklepom o pre</w:t>
      </w:r>
      <w:r>
        <w:rPr>
          <w:noProof/>
        </w:rPr>
        <w:t xml:space="preserve">klicu preneha veljati prenos pooblastila iz navedenega sklepa. Sklep začne učinkovati dan po objavi v </w:t>
      </w:r>
      <w:r>
        <w:rPr>
          <w:i/>
          <w:noProof/>
        </w:rPr>
        <w:t>Uradnem listu Evropske unije</w:t>
      </w:r>
      <w:r>
        <w:rPr>
          <w:noProof/>
        </w:rPr>
        <w:t xml:space="preserve"> ali na poznejši datum, ki je določen v navedenem sklepu. Sklep ne vpliva na veljavnost že veljavnih delegiranih aktov.</w:t>
      </w:r>
    </w:p>
    <w:p w:rsidR="00FD37A3" w:rsidRDefault="0072500C">
      <w:pPr>
        <w:pStyle w:val="Point0"/>
        <w:rPr>
          <w:noProof/>
        </w:rPr>
      </w:pPr>
      <w:r>
        <w:rPr>
          <w:noProof/>
        </w:rPr>
        <w:t>4.</w:t>
      </w:r>
      <w:r>
        <w:rPr>
          <w:noProof/>
        </w:rPr>
        <w:tab/>
        <w:t>Kom</w:t>
      </w:r>
      <w:r>
        <w:rPr>
          <w:noProof/>
        </w:rPr>
        <w:t>isija se pred sprejetjem delegiranega akta posvetuje s strokovnjaki, ki jih imenujejo države članice, v skladu z načeli, določenimi v Medinstitucionalnem sporazumu z dne 13. aprila 2016 o boljši pripravi zakonodaje.</w:t>
      </w:r>
    </w:p>
    <w:p w:rsidR="00FD37A3" w:rsidRDefault="0072500C">
      <w:pPr>
        <w:pStyle w:val="Point0"/>
        <w:rPr>
          <w:noProof/>
        </w:rPr>
      </w:pPr>
      <w:r>
        <w:rPr>
          <w:noProof/>
        </w:rPr>
        <w:t>5.</w:t>
      </w:r>
      <w:r>
        <w:rPr>
          <w:noProof/>
        </w:rPr>
        <w:tab/>
        <w:t>Komisija takoj po sprejetju delegiran</w:t>
      </w:r>
      <w:r>
        <w:rPr>
          <w:noProof/>
        </w:rPr>
        <w:t xml:space="preserve">ega akta o njem hkrati uradno obvesti Evropski parlament in Svet. </w:t>
      </w:r>
    </w:p>
    <w:p w:rsidR="00FD37A3" w:rsidRDefault="0072500C">
      <w:pPr>
        <w:pStyle w:val="Point0"/>
        <w:rPr>
          <w:noProof/>
        </w:rPr>
      </w:pPr>
      <w:r>
        <w:rPr>
          <w:noProof/>
        </w:rPr>
        <w:t>6.</w:t>
      </w:r>
      <w:r>
        <w:rPr>
          <w:noProof/>
        </w:rPr>
        <w:tab/>
        <w:t>Delegirani akt, sprejet v skladu s členom 19(2), začne veljati le, če mu niti Evropski parlament niti Svet ne nasprotuje v dveh mesecih od uradnega obvestila Evropskemu parlamentu in Sve</w:t>
      </w:r>
      <w:r>
        <w:rPr>
          <w:noProof/>
        </w:rPr>
        <w:t>tu o tem aktu ali če pred iztekom navedenega roka tako Evropski parlament kot Svet obvestita Komisijo, da mu ne bosta nasprotovala. Navedeni rok se na pobudo Evropskega parlamenta ali Sveta podaljša za dva meseca.</w:t>
      </w:r>
    </w:p>
    <w:p w:rsidR="00FD37A3" w:rsidRDefault="0072500C">
      <w:pPr>
        <w:pStyle w:val="ChapterTitle"/>
        <w:rPr>
          <w:noProof/>
        </w:rPr>
      </w:pPr>
      <w:r>
        <w:rPr>
          <w:noProof/>
        </w:rPr>
        <w:t>POGLAVJE VI</w:t>
      </w:r>
    </w:p>
    <w:p w:rsidR="00FD37A3" w:rsidRDefault="0072500C">
      <w:pPr>
        <w:pStyle w:val="ChapterTitle"/>
        <w:rPr>
          <w:noProof/>
        </w:rPr>
      </w:pPr>
      <w:r>
        <w:rPr>
          <w:noProof/>
        </w:rPr>
        <w:t>PREHODNE IN KONČNE DOLOČBE</w:t>
      </w:r>
    </w:p>
    <w:p w:rsidR="00FD37A3" w:rsidRDefault="0072500C">
      <w:pPr>
        <w:pStyle w:val="Titrearticle1"/>
        <w:rPr>
          <w:noProof/>
        </w:rPr>
      </w:pPr>
      <w:r>
        <w:rPr>
          <w:noProof/>
        </w:rPr>
        <w:t>Čle</w:t>
      </w:r>
      <w:r>
        <w:rPr>
          <w:noProof/>
        </w:rPr>
        <w:t>n 24</w:t>
      </w:r>
    </w:p>
    <w:p w:rsidR="00FD37A3" w:rsidRDefault="0072500C">
      <w:pPr>
        <w:pStyle w:val="Titrearticle1"/>
        <w:spacing w:before="120"/>
        <w:rPr>
          <w:b/>
          <w:noProof/>
        </w:rPr>
      </w:pPr>
      <w:r>
        <w:rPr>
          <w:b/>
          <w:noProof/>
        </w:rPr>
        <w:t>Informiranje, komuniciranje in oglaševanje</w:t>
      </w:r>
    </w:p>
    <w:p w:rsidR="00FD37A3" w:rsidRDefault="0072500C">
      <w:pPr>
        <w:pStyle w:val="Point0"/>
        <w:rPr>
          <w:noProof/>
          <w:szCs w:val="24"/>
        </w:rPr>
      </w:pPr>
      <w:r>
        <w:rPr>
          <w:noProof/>
        </w:rPr>
        <w:t>1.</w:t>
      </w:r>
      <w:r>
        <w:rPr>
          <w:noProof/>
        </w:rPr>
        <w:tab/>
        <w:t xml:space="preserve">Prejemniki sredstev Unije z zagotavljanjem jasnih, učinkovitih in ciljno usmerjenih informacij različnemu občinstvu, vključno z mediji in javnostjo, potrdijo vir financiranja in poskrbijo za prepoznavnost </w:t>
      </w:r>
      <w:r>
        <w:rPr>
          <w:noProof/>
        </w:rPr>
        <w:t>financiranja Unije (zlasti pri promoviranju ukrepov in njihovih rezultatov).</w:t>
      </w:r>
    </w:p>
    <w:p w:rsidR="00FD37A3" w:rsidRDefault="0072500C">
      <w:pPr>
        <w:pStyle w:val="Point0"/>
        <w:rPr>
          <w:noProof/>
          <w:szCs w:val="24"/>
        </w:rPr>
      </w:pPr>
      <w:r>
        <w:rPr>
          <w:noProof/>
        </w:rPr>
        <w:t>2.</w:t>
      </w:r>
      <w:r>
        <w:rPr>
          <w:noProof/>
        </w:rPr>
        <w:tab/>
        <w:t>Komisija izvaja ukrepe informiranja in komuniciranja v zvezi s Programom ter njegovimi ukrepi in rezultati. Finančna sredstva, dodeljena Programu, prispevajo tudi h korporativn</w:t>
      </w:r>
      <w:r>
        <w:rPr>
          <w:noProof/>
        </w:rPr>
        <w:t>emu komuniciranju o političnih prednostnih nalogah Unije, kolikor so te povezane s cilji iz členov 3 in 4.</w:t>
      </w:r>
    </w:p>
    <w:p w:rsidR="00FD37A3" w:rsidRDefault="0072500C">
      <w:pPr>
        <w:pStyle w:val="Titrearticle1"/>
        <w:rPr>
          <w:noProof/>
        </w:rPr>
      </w:pPr>
      <w:r>
        <w:rPr>
          <w:noProof/>
        </w:rPr>
        <w:t>Člen 25</w:t>
      </w:r>
    </w:p>
    <w:p w:rsidR="00FD37A3" w:rsidRDefault="0072500C">
      <w:pPr>
        <w:pStyle w:val="Titrearticle1"/>
        <w:spacing w:before="120"/>
        <w:rPr>
          <w:b/>
          <w:i w:val="0"/>
          <w:noProof/>
        </w:rPr>
      </w:pPr>
      <w:r>
        <w:rPr>
          <w:b/>
          <w:noProof/>
        </w:rPr>
        <w:t xml:space="preserve">Razveljavitev </w:t>
      </w:r>
    </w:p>
    <w:p w:rsidR="00FD37A3" w:rsidRDefault="0072500C">
      <w:pPr>
        <w:rPr>
          <w:noProof/>
        </w:rPr>
      </w:pPr>
      <w:r>
        <w:rPr>
          <w:noProof/>
        </w:rPr>
        <w:t>Uredba (EU) št. 282/2014 se razveljavi z učinkom od 1. januarja 2021, brez poseganja v člen 26 te uredbe.</w:t>
      </w:r>
    </w:p>
    <w:p w:rsidR="00FD37A3" w:rsidRDefault="0072500C">
      <w:pPr>
        <w:pStyle w:val="Titrearticle1"/>
        <w:rPr>
          <w:noProof/>
        </w:rPr>
      </w:pPr>
      <w:r>
        <w:rPr>
          <w:noProof/>
        </w:rPr>
        <w:t>Člen 26</w:t>
      </w:r>
    </w:p>
    <w:p w:rsidR="00FD37A3" w:rsidRDefault="0072500C">
      <w:pPr>
        <w:pStyle w:val="Titrearticle1"/>
        <w:spacing w:before="120"/>
        <w:rPr>
          <w:b/>
          <w:i w:val="0"/>
          <w:noProof/>
        </w:rPr>
      </w:pPr>
      <w:r>
        <w:rPr>
          <w:b/>
          <w:noProof/>
        </w:rPr>
        <w:t xml:space="preserve">Prehodne določbe </w:t>
      </w:r>
    </w:p>
    <w:p w:rsidR="00FD37A3" w:rsidRDefault="0072500C">
      <w:pPr>
        <w:pStyle w:val="Point0"/>
        <w:rPr>
          <w:rFonts w:cs="EUAlbertina"/>
          <w:noProof/>
          <w:color w:val="000000"/>
          <w:szCs w:val="24"/>
        </w:rPr>
      </w:pPr>
      <w:r>
        <w:rPr>
          <w:noProof/>
          <w:color w:val="000000"/>
          <w:szCs w:val="24"/>
        </w:rPr>
        <w:t>1.</w:t>
      </w:r>
      <w:r>
        <w:rPr>
          <w:noProof/>
          <w:color w:val="000000"/>
          <w:szCs w:val="24"/>
        </w:rPr>
        <w:tab/>
        <w:t>Ta uredba do zaključka zadevnih ukrepov ne vpliva na njihovo nadaljevanje ali spremembo v skladu z Uredbo (EU) št. 282/2014, ki se še naprej uporablja za zadevne ukrepe do njihovega zaključka.</w:t>
      </w:r>
    </w:p>
    <w:p w:rsidR="00FD37A3" w:rsidRDefault="0072500C">
      <w:pPr>
        <w:pStyle w:val="Point0"/>
        <w:rPr>
          <w:rFonts w:cs="EUAlbertina"/>
          <w:noProof/>
          <w:color w:val="000000"/>
          <w:szCs w:val="24"/>
        </w:rPr>
      </w:pPr>
      <w:r>
        <w:rPr>
          <w:noProof/>
          <w:color w:val="000000"/>
          <w:szCs w:val="24"/>
        </w:rPr>
        <w:t>2.</w:t>
      </w:r>
      <w:r>
        <w:rPr>
          <w:noProof/>
          <w:color w:val="000000"/>
          <w:szCs w:val="24"/>
        </w:rPr>
        <w:tab/>
        <w:t>Finančna sredstva za Program lahko krij</w:t>
      </w:r>
      <w:r>
        <w:rPr>
          <w:noProof/>
          <w:color w:val="000000"/>
          <w:szCs w:val="24"/>
        </w:rPr>
        <w:t>ejo tudi odhodke za tehnično in upravno pomoč, ki so potrebni za zagotovitev prehoda med Programom in ukrepi, sprejetimi v okviru predhodnega programa, tj. tretjega programa za ukrepe Unije na področju zdravja (2014–2020).</w:t>
      </w:r>
    </w:p>
    <w:p w:rsidR="00FD37A3" w:rsidRDefault="0072500C">
      <w:pPr>
        <w:pStyle w:val="Titrearticle1"/>
        <w:rPr>
          <w:noProof/>
        </w:rPr>
      </w:pPr>
      <w:r>
        <w:rPr>
          <w:noProof/>
        </w:rPr>
        <w:t>Člen 27</w:t>
      </w:r>
    </w:p>
    <w:p w:rsidR="00FD37A3" w:rsidRDefault="0072500C">
      <w:pPr>
        <w:pStyle w:val="Titrearticle1"/>
        <w:spacing w:before="120"/>
        <w:rPr>
          <w:b/>
          <w:noProof/>
        </w:rPr>
      </w:pPr>
      <w:r>
        <w:rPr>
          <w:b/>
          <w:noProof/>
        </w:rPr>
        <w:t>Začetek veljavnosti</w:t>
      </w:r>
    </w:p>
    <w:p w:rsidR="00FD37A3" w:rsidRDefault="0072500C">
      <w:pPr>
        <w:autoSpaceDE w:val="0"/>
        <w:autoSpaceDN w:val="0"/>
        <w:adjustRightInd w:val="0"/>
        <w:spacing w:before="0" w:after="0"/>
        <w:rPr>
          <w:noProof/>
          <w:szCs w:val="24"/>
        </w:rPr>
      </w:pPr>
      <w:r>
        <w:rPr>
          <w:noProof/>
        </w:rPr>
        <w:t xml:space="preserve">Ta uredba začne veljati dvajseti dan po objavi v </w:t>
      </w:r>
      <w:r>
        <w:rPr>
          <w:i/>
          <w:iCs/>
          <w:noProof/>
          <w:szCs w:val="24"/>
        </w:rPr>
        <w:t>Uradnem listu Evropske unije</w:t>
      </w:r>
      <w:r>
        <w:rPr>
          <w:noProof/>
        </w:rPr>
        <w:t>.</w:t>
      </w:r>
    </w:p>
    <w:p w:rsidR="00FD37A3" w:rsidRDefault="0072500C">
      <w:pPr>
        <w:pStyle w:val="Applicationdirecte"/>
        <w:rPr>
          <w:noProof/>
        </w:rPr>
      </w:pPr>
      <w:r>
        <w:rPr>
          <w:noProof/>
        </w:rPr>
        <w:t>Uporablja se od 1. januarja 2021. Ta uredba je v celoti zavezujoča in se neposredno uporablja v vseh državah članicah.</w:t>
      </w:r>
    </w:p>
    <w:p w:rsidR="00FD37A3" w:rsidRDefault="0072500C">
      <w:pPr>
        <w:pStyle w:val="Fait"/>
        <w:rPr>
          <w:noProof/>
        </w:rPr>
      </w:pPr>
      <w:r>
        <w:t>V Bruslju,</w:t>
      </w:r>
    </w:p>
    <w:p w:rsidR="00FD37A3" w:rsidRDefault="0072500C">
      <w:pPr>
        <w:pStyle w:val="Institutionquisigne"/>
        <w:tabs>
          <w:tab w:val="clear" w:pos="4252"/>
          <w:tab w:val="left" w:pos="5387"/>
        </w:tabs>
        <w:rPr>
          <w:noProof/>
        </w:rPr>
      </w:pPr>
      <w:r>
        <w:rPr>
          <w:noProof/>
        </w:rPr>
        <w:t>Za Evropski parlament</w:t>
      </w:r>
      <w:r>
        <w:rPr>
          <w:noProof/>
        </w:rPr>
        <w:tab/>
        <w:t>Za Svet</w:t>
      </w:r>
    </w:p>
    <w:p w:rsidR="00FD37A3" w:rsidRDefault="0072500C">
      <w:pPr>
        <w:pStyle w:val="Personnequisigne"/>
        <w:tabs>
          <w:tab w:val="clear" w:pos="4252"/>
          <w:tab w:val="left" w:pos="5387"/>
        </w:tabs>
        <w:rPr>
          <w:noProof/>
        </w:rPr>
      </w:pPr>
      <w:r>
        <w:rPr>
          <w:noProof/>
        </w:rPr>
        <w:t>Predsednik</w:t>
      </w:r>
      <w:r>
        <w:rPr>
          <w:noProof/>
        </w:rPr>
        <w:tab/>
        <w:t>Predse</w:t>
      </w:r>
      <w:r>
        <w:rPr>
          <w:noProof/>
        </w:rPr>
        <w:t>dnik</w:t>
      </w:r>
    </w:p>
    <w:p w:rsidR="00FD37A3" w:rsidRDefault="00FD37A3">
      <w:pPr>
        <w:rPr>
          <w:noProof/>
        </w:rPr>
        <w:sectPr w:rsidR="00FD37A3">
          <w:pgSz w:w="11907" w:h="16839"/>
          <w:pgMar w:top="1134" w:right="1417" w:bottom="1134" w:left="1417" w:header="709" w:footer="709" w:gutter="0"/>
          <w:cols w:space="708"/>
          <w:docGrid w:linePitch="360"/>
        </w:sectPr>
      </w:pPr>
    </w:p>
    <w:p w:rsidR="00FD37A3" w:rsidRDefault="0072500C">
      <w:pPr>
        <w:pStyle w:val="Fichefinanciretitre"/>
        <w:rPr>
          <w:noProof/>
        </w:rPr>
      </w:pPr>
      <w:r>
        <w:rPr>
          <w:noProof/>
        </w:rPr>
        <w:t>OCENA FINANČNIH POSLEDIC ZAKONODAJNEGA PREDLOGA</w:t>
      </w:r>
    </w:p>
    <w:p w:rsidR="00FD37A3" w:rsidRDefault="0072500C">
      <w:pPr>
        <w:pStyle w:val="ManualHeading1"/>
        <w:rPr>
          <w:noProof/>
        </w:rPr>
      </w:pPr>
      <w:r>
        <w:rPr>
          <w:noProof/>
        </w:rPr>
        <w:t>1.</w:t>
      </w:r>
      <w:r>
        <w:rPr>
          <w:noProof/>
        </w:rPr>
        <w:tab/>
        <w:t xml:space="preserve">OKVIR PREDLOGA/POBUDE </w:t>
      </w:r>
    </w:p>
    <w:p w:rsidR="00FD37A3" w:rsidRDefault="0072500C">
      <w:pPr>
        <w:pStyle w:val="Point1"/>
        <w:rPr>
          <w:b/>
          <w:noProof/>
        </w:rPr>
      </w:pPr>
      <w:r>
        <w:rPr>
          <w:noProof/>
        </w:rPr>
        <w:t>1.1.</w:t>
      </w:r>
      <w:r>
        <w:rPr>
          <w:noProof/>
        </w:rPr>
        <w:tab/>
        <w:t xml:space="preserve">Naslov predloga/pobude </w:t>
      </w:r>
    </w:p>
    <w:p w:rsidR="00FD37A3" w:rsidRDefault="0072500C">
      <w:pPr>
        <w:pStyle w:val="Point1"/>
        <w:rPr>
          <w:b/>
          <w:noProof/>
        </w:rPr>
      </w:pPr>
      <w:r>
        <w:rPr>
          <w:noProof/>
        </w:rPr>
        <w:t>1.2.</w:t>
      </w:r>
      <w:r>
        <w:rPr>
          <w:noProof/>
        </w:rPr>
        <w:tab/>
        <w:t>Zadevna področja</w:t>
      </w:r>
    </w:p>
    <w:p w:rsidR="00FD37A3" w:rsidRDefault="0072500C">
      <w:pPr>
        <w:pStyle w:val="Point1"/>
        <w:rPr>
          <w:b/>
          <w:noProof/>
        </w:rPr>
      </w:pPr>
      <w:r>
        <w:rPr>
          <w:noProof/>
        </w:rPr>
        <w:t>1.3.</w:t>
      </w:r>
      <w:r>
        <w:rPr>
          <w:noProof/>
        </w:rPr>
        <w:tab/>
        <w:t xml:space="preserve">Vrsta predloga/pobude </w:t>
      </w:r>
    </w:p>
    <w:p w:rsidR="00FD37A3" w:rsidRDefault="0072500C">
      <w:pPr>
        <w:pStyle w:val="Point1"/>
        <w:rPr>
          <w:b/>
          <w:noProof/>
        </w:rPr>
      </w:pPr>
      <w:r>
        <w:rPr>
          <w:noProof/>
        </w:rPr>
        <w:t>1.4.</w:t>
      </w:r>
      <w:r>
        <w:rPr>
          <w:noProof/>
        </w:rPr>
        <w:tab/>
        <w:t xml:space="preserve">Cilji </w:t>
      </w:r>
    </w:p>
    <w:p w:rsidR="00FD37A3" w:rsidRDefault="0072500C">
      <w:pPr>
        <w:pStyle w:val="Point1"/>
        <w:rPr>
          <w:b/>
          <w:noProof/>
        </w:rPr>
      </w:pPr>
      <w:r>
        <w:rPr>
          <w:noProof/>
        </w:rPr>
        <w:t>1.5.</w:t>
      </w:r>
      <w:r>
        <w:rPr>
          <w:noProof/>
        </w:rPr>
        <w:tab/>
        <w:t xml:space="preserve">Utemeljitev predloga/pobude </w:t>
      </w:r>
    </w:p>
    <w:p w:rsidR="00FD37A3" w:rsidRDefault="0072500C">
      <w:pPr>
        <w:pStyle w:val="Point1"/>
        <w:rPr>
          <w:b/>
          <w:noProof/>
        </w:rPr>
      </w:pPr>
      <w:r>
        <w:rPr>
          <w:noProof/>
        </w:rPr>
        <w:t>1.6.</w:t>
      </w:r>
      <w:r>
        <w:rPr>
          <w:noProof/>
        </w:rPr>
        <w:tab/>
        <w:t xml:space="preserve">Trajanje predloga/pobude </w:t>
      </w:r>
      <w:r>
        <w:rPr>
          <w:noProof/>
        </w:rPr>
        <w:t xml:space="preserve">in finančnih posledic </w:t>
      </w:r>
    </w:p>
    <w:p w:rsidR="00FD37A3" w:rsidRDefault="0072500C">
      <w:pPr>
        <w:pStyle w:val="Point1"/>
        <w:rPr>
          <w:b/>
          <w:noProof/>
        </w:rPr>
      </w:pPr>
      <w:r>
        <w:rPr>
          <w:noProof/>
        </w:rPr>
        <w:t>1.7.</w:t>
      </w:r>
      <w:r>
        <w:rPr>
          <w:noProof/>
        </w:rPr>
        <w:tab/>
        <w:t xml:space="preserve">Načrtovani načini upravljanja </w:t>
      </w:r>
    </w:p>
    <w:p w:rsidR="00FD37A3" w:rsidRDefault="0072500C">
      <w:pPr>
        <w:pStyle w:val="ManualHeading1"/>
        <w:rPr>
          <w:noProof/>
        </w:rPr>
      </w:pPr>
      <w:r>
        <w:rPr>
          <w:noProof/>
        </w:rPr>
        <w:t>2.</w:t>
      </w:r>
      <w:r>
        <w:rPr>
          <w:noProof/>
        </w:rPr>
        <w:tab/>
        <w:t xml:space="preserve">UKREPI UPRAVLJANJA </w:t>
      </w:r>
    </w:p>
    <w:p w:rsidR="00FD37A3" w:rsidRDefault="0072500C">
      <w:pPr>
        <w:pStyle w:val="Point1"/>
        <w:rPr>
          <w:b/>
          <w:noProof/>
        </w:rPr>
      </w:pPr>
      <w:r>
        <w:rPr>
          <w:noProof/>
        </w:rPr>
        <w:t>2.1.</w:t>
      </w:r>
      <w:r>
        <w:rPr>
          <w:noProof/>
        </w:rPr>
        <w:tab/>
        <w:t xml:space="preserve">Pravila o spremljanju in poročanju </w:t>
      </w:r>
    </w:p>
    <w:p w:rsidR="00FD37A3" w:rsidRDefault="0072500C">
      <w:pPr>
        <w:pStyle w:val="Point1"/>
        <w:rPr>
          <w:b/>
          <w:noProof/>
        </w:rPr>
      </w:pPr>
      <w:r>
        <w:rPr>
          <w:noProof/>
        </w:rPr>
        <w:t>2.2.</w:t>
      </w:r>
      <w:r>
        <w:rPr>
          <w:noProof/>
        </w:rPr>
        <w:tab/>
        <w:t xml:space="preserve">Upravljavski in kontrolni sistem </w:t>
      </w:r>
    </w:p>
    <w:p w:rsidR="00FD37A3" w:rsidRDefault="0072500C">
      <w:pPr>
        <w:pStyle w:val="Point1"/>
        <w:rPr>
          <w:b/>
          <w:noProof/>
        </w:rPr>
      </w:pPr>
      <w:r>
        <w:rPr>
          <w:noProof/>
        </w:rPr>
        <w:t>2.3.</w:t>
      </w:r>
      <w:r>
        <w:rPr>
          <w:noProof/>
        </w:rPr>
        <w:tab/>
        <w:t xml:space="preserve">Ukrepi za preprečevanje goljufij in nepravilnosti </w:t>
      </w:r>
    </w:p>
    <w:p w:rsidR="00FD37A3" w:rsidRDefault="0072500C">
      <w:pPr>
        <w:pStyle w:val="ManualHeading1"/>
        <w:rPr>
          <w:noProof/>
        </w:rPr>
      </w:pPr>
      <w:r>
        <w:rPr>
          <w:noProof/>
        </w:rPr>
        <w:t>3.</w:t>
      </w:r>
      <w:r>
        <w:rPr>
          <w:noProof/>
        </w:rPr>
        <w:tab/>
        <w:t>OCENA FINANČNIH POSLEDIC PREDLOGA/P</w:t>
      </w:r>
      <w:r>
        <w:rPr>
          <w:noProof/>
        </w:rPr>
        <w:t xml:space="preserve">OBUDE </w:t>
      </w:r>
    </w:p>
    <w:p w:rsidR="00FD37A3" w:rsidRDefault="0072500C">
      <w:pPr>
        <w:pStyle w:val="Point1"/>
        <w:rPr>
          <w:b/>
          <w:noProof/>
        </w:rPr>
      </w:pPr>
      <w:r>
        <w:rPr>
          <w:noProof/>
        </w:rPr>
        <w:t>3.1.</w:t>
      </w:r>
      <w:r>
        <w:rPr>
          <w:noProof/>
        </w:rPr>
        <w:tab/>
        <w:t xml:space="preserve">Zadevni razdelki večletnega finančnega okvira in odhodkovne proračunske vrstice </w:t>
      </w:r>
    </w:p>
    <w:p w:rsidR="00FD37A3" w:rsidRDefault="0072500C">
      <w:pPr>
        <w:pStyle w:val="Point1"/>
        <w:rPr>
          <w:noProof/>
        </w:rPr>
      </w:pPr>
      <w:r>
        <w:rPr>
          <w:noProof/>
        </w:rPr>
        <w:t>3.2.</w:t>
      </w:r>
      <w:r>
        <w:rPr>
          <w:noProof/>
        </w:rPr>
        <w:tab/>
        <w:t xml:space="preserve">Ocenjene posledice za odhodke </w:t>
      </w:r>
    </w:p>
    <w:p w:rsidR="00FD37A3" w:rsidRDefault="0072500C">
      <w:pPr>
        <w:pStyle w:val="Point1"/>
        <w:rPr>
          <w:noProof/>
        </w:rPr>
      </w:pPr>
      <w:r>
        <w:rPr>
          <w:noProof/>
        </w:rPr>
        <w:t>3.2.1.</w:t>
      </w:r>
      <w:r>
        <w:rPr>
          <w:noProof/>
        </w:rPr>
        <w:tab/>
      </w:r>
      <w:r>
        <w:rPr>
          <w:i/>
          <w:noProof/>
        </w:rPr>
        <w:t>Povzetek ocenjenih posledic za odhodke</w:t>
      </w:r>
      <w:r>
        <w:rPr>
          <w:noProof/>
        </w:rPr>
        <w:t xml:space="preserve"> </w:t>
      </w:r>
    </w:p>
    <w:p w:rsidR="00FD37A3" w:rsidRDefault="0072500C">
      <w:pPr>
        <w:pStyle w:val="Point1"/>
        <w:rPr>
          <w:noProof/>
        </w:rPr>
      </w:pPr>
      <w:r>
        <w:rPr>
          <w:noProof/>
        </w:rPr>
        <w:t>3.2.2.</w:t>
      </w:r>
      <w:r>
        <w:rPr>
          <w:noProof/>
        </w:rPr>
        <w:tab/>
      </w:r>
      <w:r>
        <w:rPr>
          <w:i/>
          <w:noProof/>
        </w:rPr>
        <w:t>Ocenjene posledice za odobritve za poslovanje</w:t>
      </w:r>
      <w:r>
        <w:rPr>
          <w:noProof/>
        </w:rPr>
        <w:t xml:space="preserve"> </w:t>
      </w:r>
    </w:p>
    <w:p w:rsidR="00FD37A3" w:rsidRDefault="0072500C">
      <w:pPr>
        <w:pStyle w:val="Point1"/>
        <w:rPr>
          <w:noProof/>
        </w:rPr>
      </w:pPr>
      <w:r>
        <w:rPr>
          <w:noProof/>
        </w:rPr>
        <w:t>3.2.3.</w:t>
      </w:r>
      <w:r>
        <w:rPr>
          <w:noProof/>
        </w:rPr>
        <w:tab/>
      </w:r>
      <w:r>
        <w:rPr>
          <w:i/>
          <w:noProof/>
        </w:rPr>
        <w:t xml:space="preserve">Ocenjene posledice </w:t>
      </w:r>
      <w:r>
        <w:rPr>
          <w:i/>
          <w:noProof/>
        </w:rPr>
        <w:t>za odobritve za upravne zadeve</w:t>
      </w:r>
    </w:p>
    <w:p w:rsidR="00FD37A3" w:rsidRDefault="0072500C">
      <w:pPr>
        <w:pStyle w:val="Point1"/>
        <w:rPr>
          <w:noProof/>
        </w:rPr>
      </w:pPr>
      <w:r>
        <w:rPr>
          <w:noProof/>
        </w:rPr>
        <w:t>3.2.4.</w:t>
      </w:r>
      <w:r>
        <w:rPr>
          <w:noProof/>
        </w:rPr>
        <w:tab/>
      </w:r>
      <w:r>
        <w:rPr>
          <w:i/>
          <w:noProof/>
        </w:rPr>
        <w:t>Skladnost z veljavnim večletnim finančnim okvirom</w:t>
      </w:r>
    </w:p>
    <w:p w:rsidR="00FD37A3" w:rsidRDefault="0072500C">
      <w:pPr>
        <w:pStyle w:val="Point1"/>
        <w:rPr>
          <w:noProof/>
        </w:rPr>
      </w:pPr>
      <w:r>
        <w:rPr>
          <w:noProof/>
        </w:rPr>
        <w:t>3.2.5.</w:t>
      </w:r>
      <w:r>
        <w:rPr>
          <w:noProof/>
        </w:rPr>
        <w:tab/>
      </w:r>
      <w:r>
        <w:rPr>
          <w:i/>
          <w:noProof/>
        </w:rPr>
        <w:t>Udeležba tretjih oseb pri financiranju</w:t>
      </w:r>
      <w:r>
        <w:rPr>
          <w:noProof/>
        </w:rPr>
        <w:t xml:space="preserve"> </w:t>
      </w:r>
    </w:p>
    <w:p w:rsidR="00FD37A3" w:rsidRDefault="0072500C">
      <w:pPr>
        <w:pStyle w:val="Point1"/>
        <w:rPr>
          <w:b/>
          <w:noProof/>
        </w:rPr>
      </w:pPr>
      <w:r>
        <w:rPr>
          <w:noProof/>
        </w:rPr>
        <w:t>3.3.</w:t>
      </w:r>
      <w:r>
        <w:rPr>
          <w:noProof/>
        </w:rPr>
        <w:tab/>
        <w:t>Ocenjene posledice za prihodke</w:t>
      </w:r>
    </w:p>
    <w:p w:rsidR="00FD37A3" w:rsidRDefault="00FD37A3">
      <w:pPr>
        <w:rPr>
          <w:noProof/>
        </w:rPr>
        <w:sectPr w:rsidR="00FD37A3">
          <w:pgSz w:w="11907" w:h="16840" w:code="9"/>
          <w:pgMar w:top="1134" w:right="1418" w:bottom="1134" w:left="1418" w:header="709" w:footer="709" w:gutter="0"/>
          <w:cols w:space="720"/>
          <w:docGrid w:linePitch="360"/>
        </w:sectPr>
      </w:pPr>
    </w:p>
    <w:p w:rsidR="00FD37A3" w:rsidRDefault="0072500C">
      <w:pPr>
        <w:jc w:val="center"/>
        <w:rPr>
          <w:b/>
          <w:noProof/>
          <w:u w:val="single"/>
        </w:rPr>
      </w:pPr>
      <w:r>
        <w:rPr>
          <w:b/>
          <w:noProof/>
          <w:u w:val="single"/>
        </w:rPr>
        <w:t>OCENA FINANČNIH POSLEDIC ZAKONODAJNEGA PREDLOGA</w:t>
      </w:r>
    </w:p>
    <w:p w:rsidR="00FD37A3" w:rsidRDefault="0072500C">
      <w:pPr>
        <w:pStyle w:val="ManualHeading1"/>
        <w:rPr>
          <w:noProof/>
        </w:rPr>
      </w:pPr>
      <w:r>
        <w:t>1.</w:t>
      </w:r>
      <w:r>
        <w:tab/>
      </w:r>
      <w:r>
        <w:rPr>
          <w:noProof/>
        </w:rPr>
        <w:t xml:space="preserve">OKVIR PREDLOGA/POBUDE </w:t>
      </w:r>
    </w:p>
    <w:p w:rsidR="00FD37A3" w:rsidRDefault="0072500C">
      <w:pPr>
        <w:pStyle w:val="Point0"/>
        <w:rPr>
          <w:b/>
          <w:noProof/>
        </w:rPr>
      </w:pPr>
      <w:r>
        <w:rPr>
          <w:b/>
          <w:noProof/>
        </w:rPr>
        <w:t>1.1.</w:t>
      </w:r>
      <w:r>
        <w:rPr>
          <w:b/>
          <w:noProof/>
        </w:rPr>
        <w:tab/>
        <w:t xml:space="preserve">Naslov predloga/pobude </w:t>
      </w:r>
    </w:p>
    <w:p w:rsidR="00FD37A3" w:rsidRDefault="0072500C">
      <w:pPr>
        <w:pStyle w:val="Text1"/>
        <w:pBdr>
          <w:top w:val="single" w:sz="4" w:space="1" w:color="auto"/>
          <w:left w:val="single" w:sz="4" w:space="4" w:color="auto"/>
          <w:bottom w:val="single" w:sz="4" w:space="1" w:color="auto"/>
          <w:right w:val="single" w:sz="4" w:space="4" w:color="auto"/>
        </w:pBdr>
        <w:rPr>
          <w:noProof/>
          <w:sz w:val="28"/>
          <w:szCs w:val="28"/>
          <w:shd w:val="clear" w:color="auto" w:fill="FFFFFF"/>
        </w:rPr>
      </w:pPr>
      <w:r>
        <w:rPr>
          <w:noProof/>
          <w:sz w:val="28"/>
          <w:szCs w:val="28"/>
          <w:shd w:val="clear" w:color="auto" w:fill="FFFFFF"/>
        </w:rPr>
        <w:t xml:space="preserve">Program EU za zdravje </w:t>
      </w:r>
    </w:p>
    <w:p w:rsidR="00FD37A3" w:rsidRDefault="0072500C">
      <w:pPr>
        <w:pStyle w:val="Point0"/>
        <w:rPr>
          <w:noProof/>
          <w:szCs w:val="24"/>
        </w:rPr>
      </w:pPr>
      <w:r>
        <w:rPr>
          <w:b/>
          <w:noProof/>
        </w:rPr>
        <w:t>1.2.</w:t>
      </w:r>
      <w:r>
        <w:rPr>
          <w:b/>
          <w:noProof/>
        </w:rPr>
        <w:tab/>
        <w:t>Zadevna področja</w:t>
      </w:r>
      <w:r>
        <w:rPr>
          <w:b/>
          <w:i/>
          <w:noProof/>
        </w:rPr>
        <w:t xml:space="preserve">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Razdelek 5: Odpornost, varnost in obramba</w:t>
      </w:r>
    </w:p>
    <w:p w:rsidR="00FD37A3" w:rsidRDefault="0072500C">
      <w:pPr>
        <w:pStyle w:val="Point0"/>
        <w:rPr>
          <w:b/>
          <w:bCs/>
          <w:noProof/>
          <w:szCs w:val="24"/>
        </w:rPr>
      </w:pPr>
      <w:r>
        <w:rPr>
          <w:b/>
          <w:noProof/>
        </w:rPr>
        <w:t>1.3.</w:t>
      </w:r>
      <w:r>
        <w:rPr>
          <w:b/>
          <w:noProof/>
        </w:rPr>
        <w:tab/>
        <w:t xml:space="preserve">Vrsta predloga/pobude </w:t>
      </w:r>
    </w:p>
    <w:p w:rsidR="00FD37A3" w:rsidRDefault="0072500C">
      <w:pPr>
        <w:pStyle w:val="Text1"/>
        <w:rPr>
          <w:b/>
          <w:noProof/>
          <w:sz w:val="22"/>
        </w:rPr>
      </w:pPr>
      <w:r>
        <w:rPr>
          <w:noProof/>
          <w:sz w:val="22"/>
        </w:rPr>
        <w:sym w:font="Wingdings" w:char="F0A8"/>
      </w:r>
      <w:r>
        <w:rPr>
          <w:b/>
          <w:i/>
          <w:noProof/>
          <w:sz w:val="22"/>
        </w:rPr>
        <w:t xml:space="preserve"> </w:t>
      </w:r>
      <w:r>
        <w:rPr>
          <w:noProof/>
        </w:rPr>
        <w:t xml:space="preserve">Predlog/pobuda se nanaša na </w:t>
      </w:r>
      <w:r>
        <w:rPr>
          <w:b/>
          <w:noProof/>
        </w:rPr>
        <w:t>nov ukrep</w:t>
      </w:r>
      <w:r>
        <w:rPr>
          <w:noProof/>
        </w:rPr>
        <w:t>.</w:t>
      </w:r>
      <w:r>
        <w:rPr>
          <w:b/>
          <w:noProof/>
          <w:sz w:val="22"/>
        </w:rPr>
        <w:t xml:space="preserve"> </w:t>
      </w:r>
    </w:p>
    <w:p w:rsidR="00FD37A3" w:rsidRDefault="0072500C">
      <w:pPr>
        <w:pStyle w:val="Text1"/>
        <w:rPr>
          <w:noProof/>
          <w:sz w:val="22"/>
        </w:rPr>
      </w:pPr>
      <w:r>
        <w:rPr>
          <w:noProof/>
          <w:sz w:val="22"/>
        </w:rPr>
        <w:sym w:font="Wingdings" w:char="F0A8"/>
      </w:r>
      <w:r>
        <w:rPr>
          <w:i/>
          <w:noProof/>
          <w:sz w:val="22"/>
        </w:rPr>
        <w:t xml:space="preserve"> </w:t>
      </w:r>
      <w:r>
        <w:rPr>
          <w:noProof/>
        </w:rPr>
        <w:t xml:space="preserve">Predlog/pobuda se nanaša na </w:t>
      </w:r>
      <w:r>
        <w:rPr>
          <w:b/>
          <w:noProof/>
        </w:rPr>
        <w:t>nov ukrep na pod</w:t>
      </w:r>
      <w:r>
        <w:rPr>
          <w:b/>
          <w:noProof/>
        </w:rPr>
        <w:t>lagi pilotnega projekta / pripravljalnega ukrepa</w:t>
      </w:r>
      <w:r>
        <w:rPr>
          <w:rStyle w:val="FootnoteReference"/>
          <w:b/>
          <w:noProof/>
        </w:rPr>
        <w:footnoteReference w:id="29"/>
      </w:r>
      <w:r>
        <w:rPr>
          <w:noProof/>
        </w:rPr>
        <w:t>.</w:t>
      </w:r>
      <w:r>
        <w:rPr>
          <w:noProof/>
          <w:sz w:val="22"/>
        </w:rPr>
        <w:t xml:space="preserve"> </w:t>
      </w:r>
    </w:p>
    <w:p w:rsidR="00FD37A3" w:rsidRDefault="0072500C">
      <w:pPr>
        <w:pStyle w:val="Text1"/>
        <w:rPr>
          <w:noProof/>
          <w:sz w:val="22"/>
        </w:rPr>
      </w:pPr>
      <w:r>
        <w:rPr>
          <w:noProof/>
          <w:sz w:val="22"/>
        </w:rPr>
        <w:sym w:font="Wingdings" w:char="F0A8"/>
      </w:r>
      <w:r>
        <w:rPr>
          <w:i/>
          <w:noProof/>
          <w:sz w:val="22"/>
        </w:rPr>
        <w:t xml:space="preserve"> </w:t>
      </w:r>
      <w:r>
        <w:rPr>
          <w:noProof/>
        </w:rPr>
        <w:t xml:space="preserve">Predlog/pobuda se nanaša na </w:t>
      </w:r>
      <w:r>
        <w:rPr>
          <w:b/>
          <w:noProof/>
        </w:rPr>
        <w:t>podaljšanje obstoječega ukrepa</w:t>
      </w:r>
      <w:r>
        <w:rPr>
          <w:noProof/>
        </w:rPr>
        <w:t>.</w:t>
      </w:r>
      <w:r>
        <w:rPr>
          <w:noProof/>
          <w:sz w:val="22"/>
        </w:rPr>
        <w:t xml:space="preserve"> </w:t>
      </w:r>
    </w:p>
    <w:p w:rsidR="00FD37A3" w:rsidRDefault="0072500C">
      <w:pPr>
        <w:pStyle w:val="Text1"/>
        <w:rPr>
          <w:noProof/>
        </w:rPr>
      </w:pPr>
      <w:r>
        <w:rPr>
          <w:noProof/>
          <w:sz w:val="22"/>
        </w:rPr>
        <w:sym w:font="Wingdings" w:char="F0FE"/>
      </w:r>
      <w:r>
        <w:rPr>
          <w:i/>
          <w:noProof/>
          <w:sz w:val="22"/>
        </w:rPr>
        <w:t xml:space="preserve"> </w:t>
      </w:r>
      <w:r>
        <w:rPr>
          <w:noProof/>
        </w:rPr>
        <w:t xml:space="preserve">Predlog/pobuda se nanaša na </w:t>
      </w:r>
      <w:r>
        <w:rPr>
          <w:b/>
          <w:noProof/>
        </w:rPr>
        <w:t>obstoječ ukrep, preusmerjen v nov ukrep</w:t>
      </w:r>
      <w:r>
        <w:rPr>
          <w:noProof/>
        </w:rPr>
        <w:t xml:space="preserve">. </w:t>
      </w:r>
    </w:p>
    <w:p w:rsidR="00FD37A3" w:rsidRDefault="0072500C">
      <w:pPr>
        <w:pStyle w:val="Point0"/>
        <w:rPr>
          <w:b/>
          <w:bCs/>
          <w:noProof/>
          <w:szCs w:val="24"/>
        </w:rPr>
      </w:pPr>
      <w:r>
        <w:rPr>
          <w:b/>
          <w:noProof/>
        </w:rPr>
        <w:t>1.4.</w:t>
      </w:r>
      <w:r>
        <w:rPr>
          <w:b/>
          <w:noProof/>
        </w:rPr>
        <w:tab/>
        <w:t>Cilji</w:t>
      </w:r>
    </w:p>
    <w:p w:rsidR="00FD37A3" w:rsidRDefault="0072500C">
      <w:pPr>
        <w:pStyle w:val="Point1"/>
        <w:rPr>
          <w:i/>
          <w:noProof/>
        </w:rPr>
      </w:pPr>
      <w:r>
        <w:rPr>
          <w:i/>
          <w:noProof/>
        </w:rPr>
        <w:t>1.4.1.</w:t>
      </w:r>
      <w:r>
        <w:rPr>
          <w:i/>
          <w:noProof/>
        </w:rPr>
        <w:tab/>
      </w:r>
      <w:r>
        <w:rPr>
          <w:i/>
          <w:noProof/>
        </w:rPr>
        <w:t xml:space="preserve">Večletni strateški cilji Komisije, ki naj bi bili doseženi s predlogom/pobudo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Namen Programa EU za zdravje je prispevati k naslednjim glavnim strateškim ciljem </w:t>
      </w:r>
      <w:r>
        <w:rPr>
          <w:noProof/>
          <w:sz w:val="23"/>
          <w:szCs w:val="23"/>
        </w:rPr>
        <w:t>v skladu s pristopom „eno zdravje“, kadar je to ustrezno</w:t>
      </w:r>
      <w:r>
        <w:rPr>
          <w:noProof/>
        </w:rPr>
        <w:t>:</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a)</w:t>
      </w:r>
      <w:r>
        <w:rPr>
          <w:noProof/>
        </w:rPr>
        <w:tab/>
        <w:t>varovanje ljudi v Uniji pred resni</w:t>
      </w:r>
      <w:r>
        <w:rPr>
          <w:noProof/>
        </w:rPr>
        <w:t>mi čezmejnimi nevarnostmi za zdravje;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b)</w:t>
      </w:r>
      <w:r>
        <w:rPr>
          <w:noProof/>
        </w:rPr>
        <w:tab/>
        <w:t>izboljšanje razpoložljivosti zdravil, medicinskih pripomočkov in drugih v krizi pomembnih izdelkov v Uniji, prispevanje k njihovi cenovni dostopnosti in podpiranje inovacij;</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c)</w:t>
      </w:r>
      <w:r>
        <w:rPr>
          <w:noProof/>
        </w:rPr>
        <w:tab/>
        <w:t xml:space="preserve">krepitev zdravstvenih sistemov in </w:t>
      </w:r>
      <w:r>
        <w:rPr>
          <w:noProof/>
        </w:rPr>
        <w:t>delovne sile v zdravstvu, vključno z digitalno preobrazbo ter z bolj integriranim in usklajenim delom med državami članicami ter s stalnim izvajanjem dobre prakse in izmenjave podatkov, da se zviša splošna raven javnega zdravja.</w:t>
      </w:r>
    </w:p>
    <w:p w:rsidR="00FD37A3" w:rsidRDefault="0072500C">
      <w:pPr>
        <w:pStyle w:val="Point1"/>
        <w:rPr>
          <w:bCs/>
          <w:i/>
          <w:noProof/>
          <w:szCs w:val="24"/>
        </w:rPr>
      </w:pPr>
      <w:r>
        <w:rPr>
          <w:i/>
          <w:noProof/>
        </w:rPr>
        <w:t>1.4.2.</w:t>
      </w:r>
      <w:r>
        <w:rPr>
          <w:i/>
          <w:noProof/>
        </w:rPr>
        <w:tab/>
        <w:t>Specifični cilji</w:t>
      </w: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w:t>
      </w:r>
      <w:r>
        <w:rPr>
          <w:noProof/>
          <w:u w:val="single"/>
        </w:rPr>
        <w:t>cifični cilj št. 1:</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krepitev zmogljivosti Unije za preprečevanje, pripravljenost in odzivanje na resne čezmejne nevarnosti za zdravje ter za upravljanje zdravstvenih kriz, vključno z usklajevanjem, zagotavljanjem in uporabo zmogljivosti zdravstvenega varst</w:t>
      </w:r>
      <w:r>
        <w:rPr>
          <w:noProof/>
        </w:rPr>
        <w:t xml:space="preserve">va v izrednih razmerah, zbiranjem podatkov in nadzorom. </w:t>
      </w:r>
    </w:p>
    <w:p w:rsidR="00FD37A3" w:rsidRDefault="00FD37A3">
      <w:pPr>
        <w:pStyle w:val="Text1"/>
        <w:pBdr>
          <w:top w:val="single" w:sz="4" w:space="1"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2:</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zagotavljanje razpoložljivosti rezerv ali zalog v krizi pomembnih izdelkov v Uniji ter seznama medicinskih in zdravstvenih delavcev ter podpornega osebja, ki se lahko mobilizi</w:t>
      </w:r>
      <w:r>
        <w:rPr>
          <w:noProof/>
        </w:rPr>
        <w:t>rajo v primeru krize.</w:t>
      </w:r>
    </w:p>
    <w:p w:rsidR="00FD37A3" w:rsidRDefault="00FD37A3">
      <w:pPr>
        <w:pStyle w:val="Text1"/>
        <w:pBdr>
          <w:top w:val="single" w:sz="4" w:space="1" w:color="auto"/>
          <w:left w:val="single" w:sz="4" w:space="4" w:color="auto"/>
          <w:bottom w:val="single" w:sz="4" w:space="1" w:color="auto"/>
          <w:right w:val="single" w:sz="4" w:space="4" w:color="auto"/>
        </w:pBdr>
        <w:rPr>
          <w:noProof/>
          <w:u w:val="single"/>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3:</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ukrepov za zagotavljanje ustrezne razpoložljivosti, dostopnosti in cenovne dostopnosti v krizi pomembnih izdelkov in druge potrebne zdravstvene opreme.</w:t>
      </w:r>
    </w:p>
    <w:p w:rsidR="00FD37A3" w:rsidRDefault="00FD37A3">
      <w:pPr>
        <w:pStyle w:val="Text1"/>
        <w:pBdr>
          <w:top w:val="single" w:sz="4" w:space="1"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4:</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krepitev učinkovitosti, dostopnosti, vzdržnosti in odpornosti zdravstvenih sistemov, vključno s podpiranjem digitalne preobrazbe, uporabo digitalnih orodij in storitev, sistemskimi reformami, izvajanjem novih modelov oskrbe in splošnega zdravstvenega varst</w:t>
      </w:r>
      <w:r>
        <w:rPr>
          <w:noProof/>
        </w:rPr>
        <w:t xml:space="preserve">va ter obravnavanjem neenakosti na področju zdravja. </w:t>
      </w:r>
    </w:p>
    <w:p w:rsidR="00FD37A3" w:rsidRDefault="00FD37A3">
      <w:pPr>
        <w:pStyle w:val="Text1"/>
        <w:pBdr>
          <w:top w:val="single" w:sz="4" w:space="1"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5:</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ukrepov za krepitev zmožnosti zdravstvenih sistemov za spodbujanje zdravja in preprečevanja bolezni, pravic pacientov in čezmejnega zdravstvenega varstva ter spodbujan</w:t>
      </w:r>
      <w:r>
        <w:rPr>
          <w:noProof/>
        </w:rPr>
        <w:t>je odličnosti medicinskih in zdravstvenih delavcev.</w:t>
      </w:r>
    </w:p>
    <w:p w:rsidR="00FD37A3" w:rsidRDefault="00FD37A3">
      <w:pPr>
        <w:pStyle w:val="Text1"/>
        <w:pBdr>
          <w:top w:val="single" w:sz="4" w:space="1"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6:</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ukrepov za nadzor, preprečevanje, diagnosticiranje in zdravljenje nenalezljivih bolezni, zlasti raka, ter z njimi povezano oskrbo.</w:t>
      </w:r>
    </w:p>
    <w:p w:rsidR="00FD37A3" w:rsidRDefault="00FD37A3">
      <w:pPr>
        <w:pStyle w:val="Text1"/>
        <w:pBdr>
          <w:top w:val="single" w:sz="4" w:space="1" w:color="auto"/>
          <w:left w:val="single" w:sz="4" w:space="4" w:color="auto"/>
          <w:bottom w:val="single" w:sz="4" w:space="1" w:color="auto"/>
          <w:right w:val="single" w:sz="4" w:space="4" w:color="auto"/>
        </w:pBdr>
        <w:rPr>
          <w:noProof/>
          <w:u w:val="single"/>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7:</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spodbujanje in</w:t>
      </w:r>
      <w:r>
        <w:rPr>
          <w:noProof/>
        </w:rPr>
        <w:t xml:space="preserve"> podpiranje preudarne in učinkovite uporabe zdravil, zlasti antimikrobikov, ter okolju prijaznejše proizvodnje in odstranjevanja zdravil in medicinskih pripomočkov. </w:t>
      </w:r>
    </w:p>
    <w:p w:rsidR="00FD37A3" w:rsidRDefault="00FD37A3">
      <w:pPr>
        <w:pStyle w:val="Text1"/>
        <w:pBdr>
          <w:top w:val="single" w:sz="4" w:space="1" w:color="auto"/>
          <w:left w:val="single" w:sz="4" w:space="4" w:color="auto"/>
          <w:bottom w:val="single" w:sz="4" w:space="1" w:color="auto"/>
          <w:right w:val="single" w:sz="4" w:space="4" w:color="auto"/>
        </w:pBdr>
        <w:rPr>
          <w:noProof/>
          <w:u w:val="single"/>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8:</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razvoja, izvajanja in izvrševanja zdravstvene zakonodaj</w:t>
      </w:r>
      <w:r>
        <w:rPr>
          <w:noProof/>
        </w:rPr>
        <w:t>e Unije ter zagotavljanje visokokakovostnih, primerljivih in zanesljivih podatkov v podporo oblikovanju politik in spremljanju ter spodbujanje uporabe ocen vplivov zadevnih politik na zdravje.</w:t>
      </w:r>
    </w:p>
    <w:p w:rsidR="00FD37A3" w:rsidRDefault="00FD37A3">
      <w:pPr>
        <w:pStyle w:val="Text1"/>
        <w:pBdr>
          <w:top w:val="single" w:sz="4" w:space="1"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9:</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podpiranje integriranega prizadevanja </w:t>
      </w:r>
      <w:r>
        <w:rPr>
          <w:noProof/>
        </w:rPr>
        <w:t>držav članic, zlasti njihovih zdravstvenih sistemov, vključno z izvajanjem praks preprečevanja z velikim učinkom, in krepitev povezovanja v okviru evropskih referenčnih mrež in drugih nadnacionalnih mrež.</w:t>
      </w:r>
    </w:p>
    <w:p w:rsidR="00FD37A3" w:rsidRDefault="00FD37A3">
      <w:pPr>
        <w:pStyle w:val="Text1"/>
        <w:pBdr>
          <w:top w:val="single" w:sz="4" w:space="1" w:color="auto"/>
          <w:left w:val="single" w:sz="4" w:space="4" w:color="auto"/>
          <w:bottom w:val="single" w:sz="4" w:space="1" w:color="auto"/>
          <w:right w:val="single" w:sz="4" w:space="4" w:color="auto"/>
        </w:pBdr>
        <w:rPr>
          <w:noProof/>
          <w:u w:val="single"/>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10:</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prispevka Unije</w:t>
      </w:r>
      <w:r>
        <w:rPr>
          <w:noProof/>
        </w:rPr>
        <w:t xml:space="preserve"> k mednarodnim in globalnim pobudam na področju zdravja.</w:t>
      </w:r>
    </w:p>
    <w:p w:rsidR="00FD37A3" w:rsidRDefault="00FD37A3">
      <w:pPr>
        <w:pStyle w:val="Text1"/>
        <w:pBdr>
          <w:top w:val="single" w:sz="4" w:space="1" w:color="auto"/>
          <w:left w:val="single" w:sz="4" w:space="4" w:color="auto"/>
          <w:bottom w:val="single" w:sz="4" w:space="1" w:color="auto"/>
          <w:right w:val="single" w:sz="4" w:space="4" w:color="auto"/>
        </w:pBdr>
        <w:rPr>
          <w:noProof/>
          <w:u w:val="single"/>
        </w:rPr>
      </w:pPr>
    </w:p>
    <w:p w:rsidR="00FD37A3" w:rsidRDefault="0072500C">
      <w:pPr>
        <w:pStyle w:val="Point1"/>
        <w:rPr>
          <w:bCs/>
          <w:i/>
          <w:noProof/>
          <w:szCs w:val="24"/>
        </w:rPr>
      </w:pPr>
      <w:r>
        <w:rPr>
          <w:noProof/>
        </w:rPr>
        <w:br w:type="page"/>
      </w:r>
      <w:r>
        <w:rPr>
          <w:i/>
          <w:noProof/>
        </w:rPr>
        <w:t>1.4.3.</w:t>
      </w:r>
      <w:r>
        <w:rPr>
          <w:i/>
          <w:noProof/>
        </w:rPr>
        <w:tab/>
        <w:t>Pričakovani rezultati in posledice</w:t>
      </w:r>
    </w:p>
    <w:p w:rsidR="00FD37A3" w:rsidRDefault="0072500C">
      <w:pPr>
        <w:pStyle w:val="Text1"/>
        <w:rPr>
          <w:i/>
          <w:noProof/>
          <w:sz w:val="20"/>
        </w:rPr>
      </w:pPr>
      <w:r>
        <w:rPr>
          <w:i/>
          <w:noProof/>
          <w:sz w:val="20"/>
        </w:rPr>
        <w:t>Navedite, kakšne učinke naj bi imel(-a) predlog/pobuda za upravičence/ciljne skupine.</w:t>
      </w: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1:</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krepitev zmogljivosti Unije za preprečevanje, </w:t>
      </w:r>
      <w:r>
        <w:rPr>
          <w:noProof/>
        </w:rPr>
        <w:t>pripravljenost in odzivanje na resne čezmejne nevarnosti za zdravje ter za upravljanje zdravstvenih kriz, vključno z usklajevanjem, zagotavljanjem in uporabo zmogljivosti zdravstvenega varstva v izrednih razmerah, zbiranjem podatkov in nadzorom.</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u w:val="single"/>
        </w:rPr>
        <w:t>Pričakovan</w:t>
      </w:r>
      <w:r>
        <w:rPr>
          <w:noProof/>
          <w:u w:val="single"/>
        </w:rPr>
        <w:t xml:space="preserve">i rezultati in posledice: </w:t>
      </w: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rPr>
        <w:t>Izboljšanje zmogljivosti za odzivanje v izrednih razmerah, boljše preprečevanje, zgodnje odkrivanje, odzivanje, načrtovanje in pripravljenost v vseh državah članicah.</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Poročila vseh držav članic o popolni skladnosti z Mednarodnim </w:t>
      </w:r>
      <w:r>
        <w:rPr>
          <w:noProof/>
        </w:rPr>
        <w:t>zdravstvenim pravilnikom v okviru letnega poročanja SZO.</w:t>
      </w:r>
    </w:p>
    <w:p w:rsidR="00FD37A3" w:rsidRDefault="00FD37A3">
      <w:pPr>
        <w:pStyle w:val="Text1"/>
        <w:pBdr>
          <w:top w:val="single" w:sz="4" w:space="1" w:color="auto"/>
          <w:left w:val="single" w:sz="4" w:space="4" w:color="auto"/>
          <w:bottom w:val="single" w:sz="4" w:space="1" w:color="auto"/>
          <w:right w:val="single" w:sz="4" w:space="4" w:color="auto"/>
        </w:pBdr>
        <w:rPr>
          <w:noProof/>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2:</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zagotavljanje razpoložljivosti rezerv ali zalog v krizi pomembnih izdelkov v Uniji ter seznama medicinskih in zdravstvenih delavcev ter podpornega osebja, ki se lahko mobilizi</w:t>
      </w:r>
      <w:r>
        <w:rPr>
          <w:noProof/>
        </w:rPr>
        <w:t>rajo v primeru krize.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u w:val="single"/>
        </w:rPr>
        <w:t xml:space="preserve">Pričakovani rezultati in posledice: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Boljše zmogljivosti za krizno upravljanje ter razpoložljivost zdravstvenih protiukrepov in opreme ter tudi zmogljivosti za zdravljenje, ki se uporabijo med izbruhi bolezni in krizami.</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Izboljšan dos</w:t>
      </w:r>
      <w:r>
        <w:rPr>
          <w:noProof/>
        </w:rPr>
        <w:t>top pacientov in zdravstvenih sistemov v EU do zdravil v smislu njihove kakovosti, količine in cenovne dostopnosti ter okoljske prijaznosti.</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Zagotavljanje dobave cenovno dostopnih zdravil in zmanjšanje pomanjkanja po vsej EU, olajševanje kliničnih preskuša</w:t>
      </w:r>
      <w:r>
        <w:rPr>
          <w:noProof/>
        </w:rPr>
        <w:t>nj ter zagotavljanje varnih in učinkovitih zdravil in cepiv.</w:t>
      </w:r>
    </w:p>
    <w:p w:rsidR="00FD37A3" w:rsidRDefault="00FD37A3">
      <w:pPr>
        <w:pStyle w:val="Text1"/>
        <w:pBdr>
          <w:top w:val="single" w:sz="4" w:space="1" w:color="auto"/>
          <w:left w:val="single" w:sz="4" w:space="4" w:color="auto"/>
          <w:bottom w:val="single" w:sz="4" w:space="1" w:color="auto"/>
          <w:right w:val="single" w:sz="4" w:space="4" w:color="auto"/>
        </w:pBdr>
        <w:rPr>
          <w:noProof/>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3:</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ukrepov za zagotavljanje ustrezne razpoložljivosti, dostopnosti in cenovne dostopnosti v krizi pomembnih izdelkov in druge potrebne zdravstvene opreme.</w:t>
      </w: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Pričakov</w:t>
      </w:r>
      <w:r>
        <w:rPr>
          <w:noProof/>
          <w:u w:val="single"/>
        </w:rPr>
        <w:t xml:space="preserve">ani rezultati in posledice: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Optimalna uporaba zmogljivosti zdravstvenega varstva med zdravstvenimi krizami, preprečevanje geografskih/regionalnih neravnotežij, izboljšanje odpornosti celotne ponudbe zdravstvenega varstva in zmogljivosti sistema za </w:t>
      </w:r>
      <w:r>
        <w:rPr>
          <w:noProof/>
        </w:rPr>
        <w:t>absorpcijo nenadnega porasta povpraševanja po zdravstveni oskrbi v času zdravstvenih kriz.</w:t>
      </w:r>
    </w:p>
    <w:p w:rsidR="00FD37A3" w:rsidRDefault="00FD37A3">
      <w:pPr>
        <w:pStyle w:val="Text1"/>
        <w:pBdr>
          <w:top w:val="single" w:sz="4" w:space="1" w:color="auto"/>
          <w:left w:val="single" w:sz="4" w:space="4" w:color="auto"/>
          <w:bottom w:val="single" w:sz="4" w:space="1" w:color="auto"/>
          <w:right w:val="single" w:sz="4" w:space="4" w:color="auto"/>
        </w:pBdr>
        <w:rPr>
          <w:noProof/>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4:</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krepitev učinkovitosti, dostopnosti, vzdržnosti in odpornosti zdravstvenih sistemov, vključno s podpiranjem digitalne preobrazbe, uporabo dig</w:t>
      </w:r>
      <w:r>
        <w:rPr>
          <w:noProof/>
        </w:rPr>
        <w:t xml:space="preserve">italnih orodij in storitev, sistemskimi reformami, izvajanjem novih modelov oskrbe in splošnega zdravstvenega varstva ter obravnavanjem neenakosti na področju zdravja.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u w:val="single"/>
        </w:rPr>
        <w:t xml:space="preserve">Pričakovani rezultati in posledice: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Učinkoviti, dostopni, vzdržni in odporni zdravstveni sistemi, zmanjšanje neenakosti v zdravju v državah članicah in med njimi.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Boljše poznavanje, izboljšana znanja in spretnosti ter podpora za zdravnike z uporabo računalniških orodij, umetne inteligence i</w:t>
      </w:r>
      <w:r>
        <w:rPr>
          <w:noProof/>
        </w:rPr>
        <w:t>n učinkovitejše analize podatkov. Povečanje uporabe telezdravja v državah članicah.</w:t>
      </w:r>
    </w:p>
    <w:p w:rsidR="00FD37A3" w:rsidRDefault="00FD37A3">
      <w:pPr>
        <w:pStyle w:val="Text1"/>
        <w:pBdr>
          <w:top w:val="single" w:sz="4" w:space="1" w:color="auto"/>
          <w:left w:val="single" w:sz="4" w:space="4" w:color="auto"/>
          <w:bottom w:val="single" w:sz="4" w:space="1" w:color="auto"/>
          <w:right w:val="single" w:sz="4" w:space="4" w:color="auto"/>
        </w:pBdr>
        <w:rPr>
          <w:noProof/>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5:</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ukrepov za krepitev zmožnosti zdravstvenih sistemov za spodbujanje zdravja in preprečevanja bolezni, pravic pacientov in čezmejnega zdrav</w:t>
      </w:r>
      <w:r>
        <w:rPr>
          <w:noProof/>
        </w:rPr>
        <w:t>stvenega varstva ter spodbujanje odličnosti medicinskih in zdravstvenih delavcev.</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u w:val="single"/>
        </w:rPr>
        <w:t xml:space="preserve">Pričakovani rezultati in posledice: </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Zagotavljanje podpore državam članicam s prenosom znanja, ki je koristno za nacionalne reformne procese za učinkovitejše, dostopnejše in </w:t>
      </w:r>
      <w:r>
        <w:rPr>
          <w:noProof/>
        </w:rPr>
        <w:t>odpornejše zdravstvene sisteme ter boljše spodbujanje zdravja in preprečevanje bolezni, s čimer se povečuje število let zdravega življenja.</w:t>
      </w:r>
    </w:p>
    <w:p w:rsidR="00FD37A3" w:rsidRDefault="00FD37A3">
      <w:pPr>
        <w:pStyle w:val="Text1"/>
        <w:pBdr>
          <w:top w:val="single" w:sz="4" w:space="1"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6:</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ukrepov za nadzor, preprečevanje, diagnosticiranje in zdravljenje nenalezljivih b</w:t>
      </w:r>
      <w:r>
        <w:rPr>
          <w:noProof/>
        </w:rPr>
        <w:t>olezni, zlasti raka, ter z njimi povezano oskrbo.</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u w:val="single"/>
        </w:rPr>
        <w:t>Pričakovani rezultati in posledice</w:t>
      </w:r>
      <w:r>
        <w:rPr>
          <w:noProof/>
        </w:rPr>
        <w:t xml:space="preserve">: </w:t>
      </w: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rPr>
        <w:t>Ukrepi bodo prispevali k doseganju ciljev Svetovne zdravstvene organizacije o nenalezljivih boleznih, ciljev trajnostnega razvoja, ciljev Okvirne konvencije Svetovne zdr</w:t>
      </w:r>
      <w:r>
        <w:rPr>
          <w:noProof/>
        </w:rPr>
        <w:t>avstvene organizacije za nadzor nad tobakom in njenega protokola o nezakoniti trgovini s tobačnimi izdelki ter priporočil prihodnjega načrta EU za boj proti raku.</w:t>
      </w:r>
    </w:p>
    <w:p w:rsidR="00FD37A3" w:rsidRDefault="00FD37A3">
      <w:pPr>
        <w:pStyle w:val="Text1"/>
        <w:pBdr>
          <w:top w:val="single" w:sz="4" w:space="1"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7:</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spodbujanje in podpiranje preudarne in učinkovite uporabe zdravil, zl</w:t>
      </w:r>
      <w:r>
        <w:rPr>
          <w:noProof/>
        </w:rPr>
        <w:t>asti antimikrobikov, ter okolju prijaznejše proizvodnje in odstranjevanja zdravil in medicinskih pripomočkov.</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u w:val="single"/>
        </w:rPr>
        <w:t>Pričakovani rezultati in posledice</w:t>
      </w:r>
      <w:r>
        <w:rPr>
          <w:noProof/>
        </w:rPr>
        <w:t xml:space="preserve">: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Preudarnejša raba antimikrobikov s pristopom „eno zdravje“ s pomočjo razvoja podatkovnih zbirk EU z uporabo s</w:t>
      </w:r>
      <w:r>
        <w:rPr>
          <w:noProof/>
        </w:rPr>
        <w:t>odobnih tehnologij za vodenje predpisovanja antimikrobikov.</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Večja ozaveščenost in razumevanje bremena antimikrobične odpornosti na področju zdravstvenih sistemov in družbe na splošno, kar bo prispevalo k bolj ciljno usmerjenim in inovativnim ukrepom politi</w:t>
      </w:r>
      <w:r>
        <w:rPr>
          <w:noProof/>
        </w:rPr>
        <w:t>ke.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Prispevanje k boljšemu izvajanju obstoječih smernic za boljše diagnosticiranje in znižanje ravni antimikrobične odpornosti.</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Zmanjšanje okoljskega odtisa.</w:t>
      </w:r>
    </w:p>
    <w:p w:rsidR="00FD37A3" w:rsidRDefault="00FD37A3">
      <w:pPr>
        <w:pStyle w:val="Text1"/>
        <w:pBdr>
          <w:top w:val="single" w:sz="4" w:space="1"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8:</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 xml:space="preserve">podpiranje razvoja, izvajanja in izvrševanja zdravstvene zakonodaje Unije </w:t>
      </w:r>
      <w:r>
        <w:rPr>
          <w:noProof/>
        </w:rPr>
        <w:t>ter zagotavljanje visokokakovostnih, primerljivih in zanesljivih podatkov v podporo oblikovanju politik in spremljanju ter spodbujanje uporabe ocen vplivov zadevnih politik na zdravje.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u w:val="single"/>
        </w:rPr>
        <w:t>Pričakovani rezultati in posledice</w:t>
      </w:r>
      <w:r>
        <w:rPr>
          <w:noProof/>
        </w:rPr>
        <w:t>:</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Ta cilj bo državam članicam pomagal</w:t>
      </w:r>
      <w:r>
        <w:rPr>
          <w:noProof/>
        </w:rPr>
        <w:t xml:space="preserve"> zagotoviti zdravo življenje ljudi in spodbujati splošno dobro počutje v vseh življenjskih obdobjih (cilj trajnostnega razvoja 3).</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Popolno upoštevanje pravic pacientov pri izvajanju zakonodaje o čezmejnem zdravstvenem varstvu. Optimizacija in morebitno izb</w:t>
      </w:r>
      <w:r>
        <w:rPr>
          <w:noProof/>
        </w:rPr>
        <w:t xml:space="preserve">oljšanje okvira o snoveh človeškega izvora.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Višja stopnja izvajanja zakonodaje EU na področju zdravja in proizvodov, povezanih z zdravjem (zdravila, medicinski pripomočki itd.).</w:t>
      </w:r>
    </w:p>
    <w:p w:rsidR="00FD37A3" w:rsidRDefault="00FD37A3">
      <w:pPr>
        <w:pStyle w:val="Text1"/>
        <w:pBdr>
          <w:top w:val="single" w:sz="4" w:space="1" w:color="auto"/>
          <w:left w:val="single" w:sz="4" w:space="4" w:color="auto"/>
          <w:bottom w:val="single" w:sz="4" w:space="1" w:color="auto"/>
          <w:right w:val="single" w:sz="4" w:space="4" w:color="auto"/>
        </w:pBdr>
        <w:rPr>
          <w:noProof/>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9:</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integriranega prizadevanja držav članic, z</w:t>
      </w:r>
      <w:r>
        <w:rPr>
          <w:noProof/>
        </w:rPr>
        <w:t>lasti njihovih zdravstvenih sistemov, vključno z izvajanjem praks preprečevanja z velikim učinkom, in krepitev povezovanja v okviru evropskih referenčnih mrež (ERN) in drugih nadnacionalnih mrež.</w:t>
      </w: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Pričakovani rezultati in posledice:</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Povečanje števila pacien</w:t>
      </w:r>
      <w:r>
        <w:rPr>
          <w:noProof/>
        </w:rPr>
        <w:t>tov, ki bodo diagnosticirani in se bodo zdravili v okviru evropskih referenčnih mrež.</w:t>
      </w:r>
    </w:p>
    <w:p w:rsidR="00FD37A3" w:rsidRDefault="0072500C">
      <w:pPr>
        <w:pStyle w:val="Text1"/>
        <w:pBdr>
          <w:top w:val="single" w:sz="4" w:space="1" w:color="auto"/>
          <w:left w:val="single" w:sz="4" w:space="4" w:color="auto"/>
          <w:bottom w:val="single" w:sz="4" w:space="1" w:color="auto"/>
          <w:right w:val="single" w:sz="4" w:space="4" w:color="auto"/>
        </w:pBdr>
        <w:rPr>
          <w:b/>
          <w:i/>
          <w:noProof/>
        </w:rPr>
      </w:pPr>
      <w:r>
        <w:rPr>
          <w:noProof/>
        </w:rPr>
        <w:t>Boljši rezultati zdravljenja in boljše poznavanje redkih bolezni.</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Povečanje števila kliničnih vrednotenj, ki jih skupaj izvajajo organi za vrednotenje zdravstvenih tehnol</w:t>
      </w:r>
      <w:r>
        <w:rPr>
          <w:noProof/>
        </w:rPr>
        <w:t>ogij.</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Večja izmenjava dobrih praks med državami članicami.</w:t>
      </w:r>
    </w:p>
    <w:p w:rsidR="00FD37A3" w:rsidRDefault="00FD37A3">
      <w:pPr>
        <w:pStyle w:val="Text1"/>
        <w:pBdr>
          <w:top w:val="single" w:sz="4" w:space="1" w:color="auto"/>
          <w:left w:val="single" w:sz="4" w:space="4" w:color="auto"/>
          <w:bottom w:val="single" w:sz="4" w:space="1" w:color="auto"/>
          <w:right w:val="single" w:sz="4" w:space="4" w:color="auto"/>
        </w:pBdr>
        <w:rPr>
          <w:noProof/>
        </w:rPr>
      </w:pP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Specifični cilj št. 10:</w:t>
      </w:r>
    </w:p>
    <w:p w:rsidR="00FD37A3" w:rsidRDefault="0072500C">
      <w:pPr>
        <w:pStyle w:val="Text1"/>
        <w:pBdr>
          <w:top w:val="single" w:sz="4" w:space="1" w:color="auto"/>
          <w:left w:val="single" w:sz="4" w:space="4" w:color="auto"/>
          <w:bottom w:val="single" w:sz="4" w:space="1" w:color="auto"/>
          <w:right w:val="single" w:sz="4" w:space="4" w:color="auto"/>
        </w:pBdr>
        <w:rPr>
          <w:noProof/>
          <w:szCs w:val="24"/>
        </w:rPr>
      </w:pPr>
      <w:r>
        <w:rPr>
          <w:noProof/>
        </w:rPr>
        <w:t>podpiranje prispevka Unije k mednarodnim in globalnim pobudam na področju zdravja.</w:t>
      </w:r>
    </w:p>
    <w:p w:rsidR="00FD37A3" w:rsidRDefault="0072500C">
      <w:pPr>
        <w:pStyle w:val="Text1"/>
        <w:pBdr>
          <w:top w:val="single" w:sz="4" w:space="1" w:color="auto"/>
          <w:left w:val="single" w:sz="4" w:space="4" w:color="auto"/>
          <w:bottom w:val="single" w:sz="4" w:space="1" w:color="auto"/>
          <w:right w:val="single" w:sz="4" w:space="4" w:color="auto"/>
        </w:pBdr>
        <w:rPr>
          <w:noProof/>
          <w:u w:val="single"/>
        </w:rPr>
      </w:pPr>
      <w:r>
        <w:rPr>
          <w:noProof/>
          <w:u w:val="single"/>
        </w:rPr>
        <w:t>Pričakovani rezultati in posledice:</w:t>
      </w:r>
    </w:p>
    <w:p w:rsidR="00FD37A3" w:rsidRDefault="0072500C">
      <w:pPr>
        <w:pStyle w:val="Text1"/>
        <w:pBdr>
          <w:top w:val="single" w:sz="4" w:space="1" w:color="auto"/>
          <w:left w:val="single" w:sz="4" w:space="4" w:color="auto"/>
          <w:bottom w:val="single" w:sz="4" w:space="1" w:color="auto"/>
          <w:right w:val="single" w:sz="4" w:space="4" w:color="auto"/>
        </w:pBdr>
        <w:rPr>
          <w:b/>
          <w:i/>
          <w:noProof/>
        </w:rPr>
      </w:pPr>
      <w:r>
        <w:rPr>
          <w:noProof/>
        </w:rPr>
        <w:t>Okrepitev vloge EU in njenih držav članic na področju</w:t>
      </w:r>
      <w:r>
        <w:rPr>
          <w:noProof/>
        </w:rPr>
        <w:t xml:space="preserve"> svetovnega zdravja z vlaganjem v sodelovanje z ustreznimi mednarodnimi in večstranskimi organizacijami, kot so Združeni narodi in njihove specializirane agencije, zlasti SZO, ter pomoč državam članicam pri doseganju njihovih ciljev trajnostnega razvoja.</w:t>
      </w:r>
    </w:p>
    <w:p w:rsidR="00FD37A3" w:rsidRDefault="0072500C">
      <w:pPr>
        <w:pStyle w:val="Point1"/>
        <w:rPr>
          <w:bCs/>
          <w:i/>
          <w:noProof/>
          <w:szCs w:val="24"/>
        </w:rPr>
      </w:pPr>
      <w:r>
        <w:rPr>
          <w:i/>
          <w:noProof/>
        </w:rPr>
        <w:t>1.4.4.</w:t>
      </w:r>
      <w:r>
        <w:rPr>
          <w:i/>
          <w:noProof/>
        </w:rPr>
        <w:tab/>
        <w:t xml:space="preserve">Kazalniki rezultatov in posledic </w:t>
      </w:r>
    </w:p>
    <w:p w:rsidR="00FD37A3" w:rsidRDefault="0072500C">
      <w:pPr>
        <w:pStyle w:val="Text1"/>
        <w:rPr>
          <w:i/>
          <w:noProof/>
          <w:sz w:val="20"/>
        </w:rPr>
      </w:pPr>
      <w:r>
        <w:rPr>
          <w:i/>
          <w:noProof/>
          <w:sz w:val="20"/>
        </w:rPr>
        <w:t>Navedite, s katerimi kazalniki se bo spremljalo izvajanje predloga/pobude.</w:t>
      </w:r>
    </w:p>
    <w:p w:rsidR="00FD37A3" w:rsidRDefault="0072500C">
      <w:pPr>
        <w:pStyle w:val="Text1"/>
        <w:pBdr>
          <w:top w:val="single" w:sz="4" w:space="0" w:color="auto"/>
          <w:left w:val="single" w:sz="4" w:space="4" w:color="auto"/>
          <w:bottom w:val="single" w:sz="4" w:space="1" w:color="auto"/>
          <w:right w:val="single" w:sz="4" w:space="4" w:color="auto"/>
        </w:pBdr>
        <w:rPr>
          <w:noProof/>
          <w:szCs w:val="24"/>
        </w:rPr>
      </w:pPr>
      <w:r>
        <w:rPr>
          <w:noProof/>
        </w:rPr>
        <w:t>Splošni cilji:</w:t>
      </w:r>
    </w:p>
    <w:p w:rsidR="00FD37A3" w:rsidRDefault="0072500C">
      <w:pPr>
        <w:pStyle w:val="Text1"/>
        <w:pBdr>
          <w:top w:val="single" w:sz="4" w:space="0" w:color="auto"/>
          <w:left w:val="single" w:sz="4" w:space="4" w:color="auto"/>
          <w:bottom w:val="single" w:sz="4" w:space="1" w:color="auto"/>
          <w:right w:val="single" w:sz="4" w:space="4" w:color="auto"/>
        </w:pBdr>
        <w:rPr>
          <w:noProof/>
          <w:szCs w:val="24"/>
        </w:rPr>
      </w:pPr>
      <w:r>
        <w:rPr>
          <w:noProof/>
        </w:rPr>
        <w:t>I.</w:t>
      </w:r>
      <w:r>
        <w:rPr>
          <w:noProof/>
        </w:rPr>
        <w:tab/>
        <w:t>Varovanje ljudi v Uniji pred resnimi čezmejnimi nevarnostmi za zdravje.</w:t>
      </w:r>
    </w:p>
    <w:p w:rsidR="00FD37A3" w:rsidRDefault="0072500C">
      <w:pPr>
        <w:pStyle w:val="Text1"/>
        <w:pBdr>
          <w:top w:val="single" w:sz="4" w:space="0" w:color="auto"/>
          <w:left w:val="single" w:sz="4" w:space="4" w:color="auto"/>
          <w:bottom w:val="single" w:sz="4" w:space="1" w:color="auto"/>
          <w:right w:val="single" w:sz="4" w:space="4" w:color="auto"/>
        </w:pBdr>
        <w:rPr>
          <w:noProof/>
          <w:szCs w:val="24"/>
        </w:rPr>
      </w:pPr>
      <w:r>
        <w:rPr>
          <w:i/>
          <w:iCs/>
          <w:noProof/>
        </w:rPr>
        <w:t xml:space="preserve">Kazalnik 1: </w:t>
      </w:r>
      <w:r>
        <w:rPr>
          <w:noProof/>
        </w:rPr>
        <w:t xml:space="preserve">Kakovost in popolnost pripravljenosti </w:t>
      </w:r>
      <w:r>
        <w:rPr>
          <w:noProof/>
        </w:rPr>
        <w:t>EU in držav članic ter njihovega načrtovanja odzivanja na resne čezmejne nevarnosti za zdravje.</w:t>
      </w:r>
    </w:p>
    <w:p w:rsidR="00FD37A3" w:rsidRDefault="00FD37A3">
      <w:pPr>
        <w:pStyle w:val="Text1"/>
        <w:pBdr>
          <w:top w:val="single" w:sz="4" w:space="0" w:color="auto"/>
          <w:left w:val="single" w:sz="4" w:space="4" w:color="auto"/>
          <w:bottom w:val="single" w:sz="4" w:space="1" w:color="auto"/>
          <w:right w:val="single" w:sz="4" w:space="4" w:color="auto"/>
        </w:pBdr>
        <w:rPr>
          <w:noProof/>
          <w:szCs w:val="24"/>
        </w:rPr>
      </w:pPr>
    </w:p>
    <w:p w:rsidR="00FD37A3" w:rsidRDefault="0072500C">
      <w:pPr>
        <w:pStyle w:val="Text1"/>
        <w:pBdr>
          <w:top w:val="single" w:sz="4" w:space="0" w:color="auto"/>
          <w:left w:val="single" w:sz="4" w:space="4" w:color="auto"/>
          <w:bottom w:val="single" w:sz="4" w:space="1" w:color="auto"/>
          <w:right w:val="single" w:sz="4" w:space="4" w:color="auto"/>
        </w:pBdr>
        <w:rPr>
          <w:noProof/>
          <w:szCs w:val="24"/>
        </w:rPr>
      </w:pPr>
      <w:r>
        <w:rPr>
          <w:noProof/>
        </w:rPr>
        <w:t>II.</w:t>
      </w:r>
      <w:r>
        <w:rPr>
          <w:noProof/>
        </w:rPr>
        <w:tab/>
        <w:t>Izboljšanje razpoložljivosti zdravil, medicinskih pripomočkov in drugih v krizi pomembnih izdelkov v Uniji, prispevanje k njihovi cenovni dostopnosti in po</w:t>
      </w:r>
      <w:r>
        <w:rPr>
          <w:noProof/>
        </w:rPr>
        <w:t xml:space="preserve">dpiranje inovacij. </w:t>
      </w:r>
    </w:p>
    <w:p w:rsidR="00FD37A3" w:rsidRDefault="0072500C">
      <w:pPr>
        <w:pStyle w:val="Text1"/>
        <w:pBdr>
          <w:top w:val="single" w:sz="4" w:space="0" w:color="auto"/>
          <w:left w:val="single" w:sz="4" w:space="4" w:color="auto"/>
          <w:bottom w:val="single" w:sz="4" w:space="1" w:color="auto"/>
          <w:right w:val="single" w:sz="4" w:space="4" w:color="auto"/>
        </w:pBdr>
        <w:rPr>
          <w:iCs/>
          <w:noProof/>
        </w:rPr>
      </w:pPr>
      <w:r>
        <w:rPr>
          <w:i/>
          <w:iCs/>
          <w:noProof/>
        </w:rPr>
        <w:t>Kazalnik 2:</w:t>
      </w:r>
      <w:r>
        <w:rPr>
          <w:noProof/>
          <w:sz w:val="20"/>
          <w:szCs w:val="20"/>
        </w:rPr>
        <w:t xml:space="preserve"> </w:t>
      </w:r>
      <w:r>
        <w:rPr>
          <w:noProof/>
        </w:rPr>
        <w:t>Dostopnost zdravil z dovoljenjem za promet, izdanim po centraliziranem postopku, v primeru neizpolnjenih potreb, npr. dovoljenih zdravil sirot, zdravil za napredno zdravljenje, pediatričnih zdravil ali cepiv.</w:t>
      </w:r>
    </w:p>
    <w:p w:rsidR="00FD37A3" w:rsidRDefault="00FD37A3">
      <w:pPr>
        <w:pStyle w:val="Text1"/>
        <w:pBdr>
          <w:top w:val="single" w:sz="4" w:space="0" w:color="auto"/>
          <w:left w:val="single" w:sz="4" w:space="4" w:color="auto"/>
          <w:bottom w:val="single" w:sz="4" w:space="1" w:color="auto"/>
          <w:right w:val="single" w:sz="4" w:space="4" w:color="auto"/>
        </w:pBdr>
        <w:rPr>
          <w:iCs/>
          <w:noProof/>
        </w:rPr>
      </w:pPr>
    </w:p>
    <w:p w:rsidR="00FD37A3" w:rsidRDefault="0072500C">
      <w:pPr>
        <w:pStyle w:val="Text1"/>
        <w:pBdr>
          <w:top w:val="single" w:sz="4" w:space="0" w:color="auto"/>
          <w:left w:val="single" w:sz="4" w:space="4" w:color="auto"/>
          <w:bottom w:val="single" w:sz="4" w:space="1" w:color="auto"/>
          <w:right w:val="single" w:sz="4" w:space="4" w:color="auto"/>
        </w:pBdr>
        <w:rPr>
          <w:noProof/>
        </w:rPr>
      </w:pPr>
      <w:r>
        <w:rPr>
          <w:noProof/>
        </w:rPr>
        <w:t>III.</w:t>
      </w:r>
      <w:r>
        <w:rPr>
          <w:noProof/>
        </w:rPr>
        <w:tab/>
        <w:t xml:space="preserve">Krepitev </w:t>
      </w:r>
      <w:r>
        <w:rPr>
          <w:noProof/>
        </w:rPr>
        <w:t xml:space="preserve">zdravstvenih sistemov in delovne sile v zdravstvu, vključno z digitalno preobrazbo ter z bolj integriranim in usklajenim delom med državami članicami ter s stalnim izvajanjem dobre prakse in izmenjave podatkov, da se zviša splošna raven javnega zdravja. </w:t>
      </w:r>
    </w:p>
    <w:p w:rsidR="00FD37A3" w:rsidRDefault="0072500C">
      <w:pPr>
        <w:pStyle w:val="Text1"/>
        <w:pBdr>
          <w:top w:val="single" w:sz="4" w:space="0" w:color="auto"/>
          <w:left w:val="single" w:sz="4" w:space="4" w:color="auto"/>
          <w:bottom w:val="single" w:sz="4" w:space="1" w:color="auto"/>
          <w:right w:val="single" w:sz="4" w:space="4" w:color="auto"/>
        </w:pBdr>
        <w:rPr>
          <w:iCs/>
          <w:noProof/>
        </w:rPr>
      </w:pPr>
      <w:r>
        <w:rPr>
          <w:i/>
          <w:iCs/>
          <w:noProof/>
        </w:rPr>
        <w:t>K</w:t>
      </w:r>
      <w:r>
        <w:rPr>
          <w:i/>
          <w:iCs/>
          <w:noProof/>
        </w:rPr>
        <w:t xml:space="preserve">azalnik 3: </w:t>
      </w:r>
      <w:r>
        <w:rPr>
          <w:noProof/>
        </w:rPr>
        <w:t>Število ukrepov in dobrih praks, ki neposredno prispevajo k cilju trajnostnega razvoja 3.4, na državo članico.</w:t>
      </w:r>
    </w:p>
    <w:p w:rsidR="00FD37A3" w:rsidRDefault="0072500C">
      <w:pPr>
        <w:pStyle w:val="Text1"/>
        <w:pBdr>
          <w:top w:val="single" w:sz="4" w:space="0" w:color="auto"/>
          <w:left w:val="single" w:sz="4" w:space="4" w:color="auto"/>
          <w:bottom w:val="single" w:sz="4" w:space="1" w:color="auto"/>
          <w:right w:val="single" w:sz="4" w:space="4" w:color="auto"/>
        </w:pBdr>
        <w:rPr>
          <w:iCs/>
          <w:noProof/>
        </w:rPr>
      </w:pPr>
      <w:r>
        <w:rPr>
          <w:i/>
          <w:iCs/>
          <w:noProof/>
        </w:rPr>
        <w:t xml:space="preserve">Kazalnik 4: </w:t>
      </w:r>
      <w:r>
        <w:rPr>
          <w:noProof/>
        </w:rPr>
        <w:t>Izvajanje dobrih praks v državah članicah EU.</w:t>
      </w:r>
      <w:r>
        <w:rPr>
          <w:noProof/>
          <w:sz w:val="20"/>
          <w:szCs w:val="20"/>
        </w:rPr>
        <w:t xml:space="preserve"> </w:t>
      </w:r>
    </w:p>
    <w:p w:rsidR="00FD37A3" w:rsidRDefault="00FD37A3">
      <w:pPr>
        <w:pStyle w:val="Text1"/>
        <w:pBdr>
          <w:top w:val="single" w:sz="4" w:space="0" w:color="auto"/>
          <w:left w:val="single" w:sz="4" w:space="4" w:color="auto"/>
          <w:bottom w:val="single" w:sz="4" w:space="1" w:color="auto"/>
          <w:right w:val="single" w:sz="4" w:space="4" w:color="auto"/>
        </w:pBdr>
        <w:rPr>
          <w:noProof/>
        </w:rPr>
      </w:pPr>
    </w:p>
    <w:p w:rsidR="00FD37A3" w:rsidRDefault="0072500C">
      <w:pPr>
        <w:pStyle w:val="Point0"/>
        <w:rPr>
          <w:b/>
          <w:bCs/>
          <w:noProof/>
          <w:szCs w:val="24"/>
        </w:rPr>
      </w:pPr>
      <w:r>
        <w:rPr>
          <w:b/>
          <w:noProof/>
        </w:rPr>
        <w:t>1.5.</w:t>
      </w:r>
      <w:r>
        <w:rPr>
          <w:b/>
          <w:noProof/>
        </w:rPr>
        <w:tab/>
        <w:t xml:space="preserve">Utemeljitev predloga/pobude </w:t>
      </w:r>
    </w:p>
    <w:p w:rsidR="00FD37A3" w:rsidRDefault="0072500C">
      <w:pPr>
        <w:pStyle w:val="Point1"/>
        <w:rPr>
          <w:i/>
          <w:noProof/>
        </w:rPr>
      </w:pPr>
      <w:r>
        <w:rPr>
          <w:i/>
          <w:noProof/>
        </w:rPr>
        <w:t>1.5.1.</w:t>
      </w:r>
      <w:r>
        <w:rPr>
          <w:i/>
          <w:noProof/>
        </w:rPr>
        <w:tab/>
        <w:t>Potrebe, ki jih je treba zadovolj</w:t>
      </w:r>
      <w:r>
        <w:rPr>
          <w:i/>
          <w:noProof/>
        </w:rPr>
        <w:t xml:space="preserve">iti kratkoročno ali dolgoročno </w:t>
      </w:r>
    </w:p>
    <w:p w:rsidR="00FD37A3" w:rsidRDefault="0072500C">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color w:val="000000" w:themeColor="text1"/>
          <w:szCs w:val="24"/>
        </w:rPr>
        <w:t xml:space="preserve">Sedanja koronavirusna kriza je pokazala, da je treba področje zdravja v prihodnjem finančnem okviru bolj prednostno obravnavati. V Programu se bodo upoštevale izkušnje, pridobljene v času krize, poleg tega pa bo zagotavljal </w:t>
      </w:r>
      <w:r>
        <w:rPr>
          <w:noProof/>
          <w:color w:val="000000" w:themeColor="text1"/>
          <w:szCs w:val="24"/>
        </w:rPr>
        <w:t>podporo v zvezi s prihodnjimi izzivi.</w:t>
      </w:r>
    </w:p>
    <w:p w:rsidR="00FD37A3" w:rsidRDefault="0072500C">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rPr>
        <w:t>Izkušnje, pridobljene v času krize, so pokazale, da mora EU storiti več za vzpostavitev zdravstvenih sistemov, ki bodo lahko zagotavljali najsodobnejše storitve, zdravila in medicinske izdelke ter tehnologije (medicins</w:t>
      </w:r>
      <w:r>
        <w:rPr>
          <w:noProof/>
        </w:rPr>
        <w:t>ke pripomočke in snovi človeškega izvora) ter bodo pripravljeni na soočanje z epidemijami in drugimi nepredvidljivimi krizami ali izzivi.</w:t>
      </w:r>
      <w:r>
        <w:rPr>
          <w:noProof/>
          <w:color w:val="000000" w:themeColor="text1"/>
          <w:szCs w:val="24"/>
        </w:rPr>
        <w:t xml:space="preserve"> Pokazalo se je tudi, da so se strukturni izzivi v smislu učinkovitosti, dostopnosti in odpornosti zdravstvenih sistemo</w:t>
      </w:r>
      <w:r>
        <w:rPr>
          <w:noProof/>
          <w:color w:val="000000" w:themeColor="text1"/>
          <w:szCs w:val="24"/>
        </w:rPr>
        <w:t>v, ki so obstajali pred krizo, zaradi krize še povečali in da je potreba po njihovem reševanju z dolgoročno preobrazbo in naložbami še toliko večja.</w:t>
      </w:r>
    </w:p>
    <w:p w:rsidR="00FD37A3" w:rsidRDefault="0072500C">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rPr>
        <w:t>Pokazala se je potreba po sistemu, ki bi bil primeren za prihodnost in odporen proti krizam, da bi se zagot</w:t>
      </w:r>
      <w:r>
        <w:rPr>
          <w:noProof/>
        </w:rPr>
        <w:t xml:space="preserve">ovil pravočasen dostop do varnih, kakovostnih in učinkovitih zdravil v kakršnih koli okoliščinah, da bi se izognili pomanjkanju dobave ter odvisnosti od uvoza zdravil in aktivnih farmacevtskih sestavin zaradi proizvodnje zunaj EU. </w:t>
      </w:r>
      <w:r>
        <w:rPr>
          <w:noProof/>
          <w:color w:val="000000" w:themeColor="text1"/>
          <w:szCs w:val="24"/>
        </w:rPr>
        <w:t>Prav tako je treba okrepi</w:t>
      </w:r>
      <w:r>
        <w:rPr>
          <w:noProof/>
          <w:color w:val="000000" w:themeColor="text1"/>
          <w:szCs w:val="24"/>
        </w:rPr>
        <w:t>ti sodelovanje in usklajevanje med regulativnimi organi v primeru nastajajočih nevarnosti za zdravje.</w:t>
      </w:r>
    </w:p>
    <w:p w:rsidR="00FD37A3" w:rsidRDefault="0072500C">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color w:val="000000" w:themeColor="text1"/>
          <w:szCs w:val="24"/>
        </w:rPr>
        <w:t xml:space="preserve">Izkušnje s krizo so pokazale tudi, da se je treba najprej osredotočiti na zdravo prebivalstvo. Zato morajo biti dejavnosti za spodbujanje dobrega zdravja </w:t>
      </w:r>
      <w:r>
        <w:rPr>
          <w:noProof/>
          <w:color w:val="000000" w:themeColor="text1"/>
          <w:szCs w:val="24"/>
        </w:rPr>
        <w:t xml:space="preserve">in preprečevanje bolezni sestavni del delujočih zdravstvenih sistemov. Preprečevanje je veliko bolj stroškovno učinkovito kot oskrba, zlasti pri staranju prebivalstva.  </w:t>
      </w:r>
    </w:p>
    <w:p w:rsidR="00FD37A3" w:rsidRDefault="0072500C">
      <w:pPr>
        <w:pStyle w:val="Text1"/>
        <w:pBdr>
          <w:top w:val="single" w:sz="4" w:space="1" w:color="auto"/>
          <w:left w:val="single" w:sz="4" w:space="4" w:color="auto"/>
          <w:bottom w:val="single" w:sz="4" w:space="1" w:color="auto"/>
          <w:right w:val="single" w:sz="4" w:space="4" w:color="auto"/>
        </w:pBdr>
        <w:rPr>
          <w:rFonts w:eastAsia="Calibri"/>
          <w:noProof/>
          <w:color w:val="000000" w:themeColor="text1"/>
          <w:szCs w:val="24"/>
        </w:rPr>
      </w:pPr>
      <w:r>
        <w:rPr>
          <w:noProof/>
          <w:color w:val="000000" w:themeColor="text1"/>
          <w:szCs w:val="24"/>
        </w:rPr>
        <w:t>Program bi moral prav tako prispevati k strategiji za okrevanje gospodarstva s podpira</w:t>
      </w:r>
      <w:r>
        <w:rPr>
          <w:noProof/>
          <w:color w:val="000000" w:themeColor="text1"/>
          <w:szCs w:val="24"/>
        </w:rPr>
        <w:t>njem dolgoročne odpornosti zdravstvenih sistemov v Evropi, da bi se obravnavali strukturni izzivi, kot so staranje prebivalstva, doseganje pravega ravnotežja med potrebnimi inovacijami ter stroški novih tehnologij in zdravljenj, spreminjajoča se narava zag</w:t>
      </w:r>
      <w:r>
        <w:rPr>
          <w:noProof/>
          <w:color w:val="000000" w:themeColor="text1"/>
          <w:szCs w:val="24"/>
        </w:rPr>
        <w:t>otavljanja oskrbe, ovire pri vzpostavljanju splošnega zdravstvenega varstva ter večsektorski pristopi k razvoju politik, ki prispevajo k dobremu počutju in zdravju prebivalstva.</w:t>
      </w:r>
    </w:p>
    <w:p w:rsidR="00FD37A3" w:rsidRDefault="0072500C">
      <w:pPr>
        <w:pStyle w:val="Point1"/>
        <w:rPr>
          <w:bCs/>
          <w:i/>
          <w:noProof/>
          <w:szCs w:val="24"/>
        </w:rPr>
      </w:pPr>
      <w:r>
        <w:rPr>
          <w:i/>
          <w:noProof/>
        </w:rPr>
        <w:t>1.5.2.</w:t>
      </w:r>
      <w:r>
        <w:rPr>
          <w:i/>
          <w:noProof/>
        </w:rPr>
        <w:tab/>
        <w:t>Dodana vrednost ukrepanja Unije (ki je lahko posledica različnih dejavn</w:t>
      </w:r>
      <w:r>
        <w:rPr>
          <w:i/>
          <w:noProof/>
        </w:rPr>
        <w:t xml:space="preserve">ikov, npr. boljšega usklajevanja, pravne varnosti, večje učinkovitosti ali dopolnjevanja). Za namene te točke je „dodana vrednost ukrepanja Unije“ vrednost, ki izhaja iz ukrepanja Unije in predstavlja dodatno vrednost poleg tiste, ki bi jo sicer ustvarile </w:t>
      </w:r>
      <w:r>
        <w:rPr>
          <w:i/>
          <w:noProof/>
        </w:rPr>
        <w:t>države članice same.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Razlogi za ukrepanje na evropski ravni (predhodno):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Pri sedanji pandemiji COVID-19 se je pokazalo, kako pomembne so pripravljenost držav članic in njihove zmogljivosti za odzivanje pri hitrem odzivu na izredne razmere na področju zdravja, pri katerih so potrebna čezmejna prizadevanja.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Pričakovana ustvarjen</w:t>
      </w:r>
      <w:r>
        <w:rPr>
          <w:noProof/>
        </w:rPr>
        <w:t>a dodana vrednost Unije (naknadno):</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Trden, pravno neoporečen in finančno dobro pripravljen okvir za pripravljenost in odzivanje na področju zdravstvenih kriz v EU, ki bo omogočal obvladovanje čezmejnih nevarnosti za zdravje, vključno s tistimi zunaj EU, ka</w:t>
      </w:r>
      <w:r>
        <w:rPr>
          <w:noProof/>
        </w:rPr>
        <w:t xml:space="preserve">dar posredovanje EU lahko prinese oprijemljivo dodano vrednost. Socialna in gospodarska dejavnost v EU bi morali biti vedno zagotovljeni. Izboljšanje zdravstvenih sistemov v državah članicah bo pozitivno vplivalo na splošno zdravje in neenakosti v zdravju </w:t>
      </w:r>
      <w:r>
        <w:rPr>
          <w:noProof/>
        </w:rPr>
        <w:t>ter hkrati zmanjšalo pritiske na nacionalne proračune.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Program bo z vidika okrevanja po krizi pomembno prispeval k zagotavljanju boljše pripravljenosti EU na prihodnje nevarnosti za zdravje, ki bodo grozile njenemu celotnemu ozemlju ali velikemu delu njene</w:t>
      </w:r>
      <w:r>
        <w:rPr>
          <w:noProof/>
        </w:rPr>
        <w:t xml:space="preserve">ga ozemlja.  </w:t>
      </w:r>
    </w:p>
    <w:p w:rsidR="00FD37A3" w:rsidRDefault="0072500C">
      <w:pPr>
        <w:pStyle w:val="Text1"/>
        <w:pBdr>
          <w:top w:val="single" w:sz="4" w:space="1" w:color="auto"/>
          <w:left w:val="single" w:sz="4" w:space="4" w:color="auto"/>
          <w:bottom w:val="single" w:sz="4" w:space="1" w:color="auto"/>
          <w:right w:val="single" w:sz="4" w:space="4" w:color="auto"/>
        </w:pBdr>
        <w:rPr>
          <w:rFonts w:eastAsia="Calibri"/>
          <w:noProof/>
          <w:szCs w:val="24"/>
        </w:rPr>
      </w:pPr>
      <w:r>
        <w:rPr>
          <w:noProof/>
        </w:rPr>
        <w:t>Program bo podpiral države članice pri doseganju cilja trajnostnega razvoja na področju zdravja in njegovih podciljev, da bodo notranje zdravstvene politike usklajene z mednarodnimi zavezami. Delo v zvezi z dejavniki zdravja, preprečevanjem b</w:t>
      </w:r>
      <w:r>
        <w:rPr>
          <w:noProof/>
        </w:rPr>
        <w:t xml:space="preserve">olezni in spodbujanjem zdravja je pomemben sestavni del teh prizadevanj in najbolj stroškovno učinkovita naložba v zdravje.  </w:t>
      </w:r>
    </w:p>
    <w:p w:rsidR="00FD37A3" w:rsidRDefault="0072500C">
      <w:pPr>
        <w:pStyle w:val="Text1"/>
        <w:pBdr>
          <w:top w:val="single" w:sz="4" w:space="1" w:color="auto"/>
          <w:left w:val="single" w:sz="4" w:space="4" w:color="auto"/>
          <w:bottom w:val="single" w:sz="4" w:space="1" w:color="auto"/>
          <w:right w:val="single" w:sz="4" w:space="4" w:color="auto"/>
        </w:pBdr>
        <w:rPr>
          <w:rFonts w:eastAsia="Calibri"/>
          <w:noProof/>
          <w:szCs w:val="24"/>
        </w:rPr>
      </w:pPr>
      <w:r>
        <w:rPr>
          <w:noProof/>
        </w:rPr>
        <w:t>Program EU za zdravje bo gradil na sedanjih prizadevanjih, kot so evropske referenčne mreže za redke bolezni ter pripravljenost na</w:t>
      </w:r>
      <w:r>
        <w:rPr>
          <w:noProof/>
        </w:rPr>
        <w:t xml:space="preserve"> krizo in krizno upravljanje, da bi se zagotovili zadostna kritična masa in ekonomija obsega. </w:t>
      </w:r>
    </w:p>
    <w:p w:rsidR="00FD37A3" w:rsidRDefault="0072500C">
      <w:pPr>
        <w:pStyle w:val="Text1"/>
        <w:pBdr>
          <w:top w:val="single" w:sz="4" w:space="1" w:color="auto"/>
          <w:left w:val="single" w:sz="4" w:space="4" w:color="auto"/>
          <w:bottom w:val="single" w:sz="4" w:space="1" w:color="auto"/>
          <w:right w:val="single" w:sz="4" w:space="4" w:color="auto"/>
        </w:pBdr>
        <w:rPr>
          <w:rFonts w:eastAsia="Calibri"/>
          <w:noProof/>
          <w:szCs w:val="24"/>
        </w:rPr>
      </w:pPr>
      <w:r>
        <w:rPr>
          <w:noProof/>
        </w:rPr>
        <w:t xml:space="preserve">Program EU za zdravje bo podpiral izvajanje in pripravo zdravstvene zakonodaje v skladu s členoma 114 in 168 Pogodbe o delovanju Evropske unije (PDEU), da bi se </w:t>
      </w:r>
      <w:r>
        <w:rPr>
          <w:noProof/>
        </w:rPr>
        <w:t>določili ukrepi za zagotovitev delovanja notranjega trga ter visokih standardov kakovosti in varnosti zdravil in medicinskih izdelkov ter podpirali, usklajevali ali dopolnjevali ukrepi držav članic EU za varovanje in izboljšanje zdravja ljudi.</w:t>
      </w:r>
    </w:p>
    <w:p w:rsidR="00FD37A3" w:rsidRDefault="0072500C">
      <w:pPr>
        <w:pStyle w:val="Point1"/>
        <w:rPr>
          <w:bCs/>
          <w:i/>
          <w:noProof/>
          <w:szCs w:val="24"/>
        </w:rPr>
      </w:pPr>
      <w:r>
        <w:rPr>
          <w:i/>
          <w:noProof/>
        </w:rPr>
        <w:t>1.5.3.</w:t>
      </w:r>
      <w:r>
        <w:rPr>
          <w:i/>
          <w:noProof/>
        </w:rPr>
        <w:tab/>
        <w:t>Sklad</w:t>
      </w:r>
      <w:r>
        <w:rPr>
          <w:i/>
          <w:noProof/>
        </w:rPr>
        <w:t>nost in možne sinergije z drugimi ustreznimi instrumenti</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Program EU za zdravje bo deloval v sinergiji in povezljivosti z drugimi politikami in skladi EU, kot so ukrepi, ki se izvajajo v okviru programa za digitalno Evropo, programa Obzorje Evropa, rezerve </w:t>
      </w:r>
      <w:r>
        <w:rPr>
          <w:noProof/>
        </w:rPr>
        <w:t>rescEU v okviru mehanizma Unije na področju civilne zaščite, instrumenta za nujno pomoč, Evropskega socialnega sklada plus (ESS+, vključno v zvezi s sinergijami za boljše varovanje zdravja in večjo varnost milijonov delavcev v EU), vključno s sklopom za za</w:t>
      </w:r>
      <w:r>
        <w:rPr>
          <w:noProof/>
        </w:rPr>
        <w:t>poslovanje in socialne inovacije (EaSI), sklada InvestEU, programa za enotni trg, Evropskega sklada za regionalni razvoj (ESRR), mehanizma za okrevanje in odpornost, vključno z orodjem za izvajanje reform, programa Erasmus, evropske solidarnostne enote, po</w:t>
      </w:r>
      <w:r>
        <w:rPr>
          <w:noProof/>
        </w:rPr>
        <w:t xml:space="preserve">dpore zmanjševanju tveganj za brezposelnost v izrednih razmerah (SURE) ter instrumentov EU za zunanje ukrepanje, kot sta </w:t>
      </w:r>
      <w:r>
        <w:rPr>
          <w:noProof/>
          <w:szCs w:val="24"/>
          <w:shd w:val="clear" w:color="auto" w:fill="FFFFFF"/>
        </w:rPr>
        <w:t>instrument za sosedstvo ter razvojno in mednarodno sodelovanje ter instrument za predpristopno pomoč III</w:t>
      </w:r>
      <w:r>
        <w:rPr>
          <w:noProof/>
        </w:rPr>
        <w:t>. Po potrebi bodo vzpostavljena</w:t>
      </w:r>
      <w:r>
        <w:rPr>
          <w:noProof/>
        </w:rPr>
        <w:t xml:space="preserve"> skupna pravila, da bi zagotovili skladnost in dopolnjevanje med skladi, hkrati pa zagotovili spoštovanje posebnosti teh politik, ter da bi uskladili strateške zahteve teh politik, programov in skladov, kot so omogočitveni pogoji v okviru ESRR in ESS+.</w:t>
      </w:r>
    </w:p>
    <w:p w:rsidR="00FD37A3" w:rsidRDefault="0072500C">
      <w:pPr>
        <w:pStyle w:val="Point0"/>
        <w:rPr>
          <w:b/>
          <w:bCs/>
          <w:noProof/>
          <w:szCs w:val="24"/>
        </w:rPr>
      </w:pPr>
      <w:r>
        <w:rPr>
          <w:noProof/>
        </w:rPr>
        <w:br w:type="page"/>
      </w:r>
      <w:r>
        <w:rPr>
          <w:b/>
          <w:noProof/>
        </w:rPr>
        <w:t>1.</w:t>
      </w:r>
      <w:r>
        <w:rPr>
          <w:b/>
          <w:noProof/>
        </w:rPr>
        <w:t>6.</w:t>
      </w:r>
      <w:r>
        <w:rPr>
          <w:b/>
          <w:noProof/>
        </w:rPr>
        <w:tab/>
        <w:t xml:space="preserve">Trajanje predloga/pobude in finančnih posledic </w:t>
      </w:r>
    </w:p>
    <w:p w:rsidR="00FD37A3" w:rsidRDefault="0072500C">
      <w:pPr>
        <w:pStyle w:val="Text1"/>
        <w:rPr>
          <w:noProof/>
        </w:rPr>
      </w:pPr>
      <w:r>
        <w:rPr>
          <w:noProof/>
        </w:rPr>
        <w:sym w:font="Wingdings" w:char="F0FE"/>
      </w:r>
      <w:r>
        <w:rPr>
          <w:b/>
          <w:i/>
          <w:noProof/>
        </w:rPr>
        <w:t xml:space="preserve"> </w:t>
      </w:r>
      <w:r>
        <w:rPr>
          <w:b/>
          <w:noProof/>
        </w:rPr>
        <w:t>Časovno omejen(-a)</w:t>
      </w:r>
      <w:r>
        <w:rPr>
          <w:noProof/>
        </w:rPr>
        <w:t xml:space="preserve"> predlog/pobuda:</w:t>
      </w:r>
      <w:r>
        <w:rPr>
          <w:b/>
          <w:noProof/>
        </w:rPr>
        <w:t xml:space="preserve"> </w:t>
      </w:r>
    </w:p>
    <w:p w:rsidR="00FD37A3" w:rsidRDefault="0072500C">
      <w:pPr>
        <w:pStyle w:val="Tiret1"/>
        <w:numPr>
          <w:ilvl w:val="0"/>
          <w:numId w:val="19"/>
        </w:numPr>
        <w:rPr>
          <w:noProof/>
        </w:rPr>
      </w:pPr>
      <w:r>
        <w:rPr>
          <w:noProof/>
        </w:rPr>
        <w:sym w:font="Wingdings" w:char="F0FE"/>
      </w:r>
      <w:r>
        <w:rPr>
          <w:noProof/>
        </w:rPr>
        <w:t xml:space="preserve"> od 1. 1. 2021 do 31. 12. 2027, </w:t>
      </w:r>
    </w:p>
    <w:p w:rsidR="00FD37A3" w:rsidRDefault="0072500C">
      <w:pPr>
        <w:pStyle w:val="Tiret1"/>
        <w:numPr>
          <w:ilvl w:val="0"/>
          <w:numId w:val="20"/>
        </w:numPr>
        <w:rPr>
          <w:noProof/>
        </w:rPr>
      </w:pPr>
      <w:r>
        <w:rPr>
          <w:noProof/>
        </w:rPr>
        <w:sym w:font="Wingdings" w:char="F0FE"/>
      </w:r>
      <w:r>
        <w:rPr>
          <w:noProof/>
        </w:rPr>
        <w:t xml:space="preserve"> finančne posledice med letoma 2021 in 2027 za odobritve za prevzem obveznosti ter med letoma 2021 in 2030 za odobritve plačil.</w:t>
      </w:r>
    </w:p>
    <w:p w:rsidR="00FD37A3" w:rsidRDefault="0072500C">
      <w:pPr>
        <w:pStyle w:val="Text1"/>
        <w:rPr>
          <w:noProof/>
        </w:rPr>
      </w:pPr>
      <w:r>
        <w:rPr>
          <w:noProof/>
        </w:rPr>
        <w:sym w:font="Wingdings" w:char="F0A8"/>
      </w:r>
      <w:r>
        <w:rPr>
          <w:b/>
          <w:i/>
          <w:noProof/>
        </w:rPr>
        <w:t xml:space="preserve"> </w:t>
      </w:r>
      <w:r>
        <w:rPr>
          <w:b/>
          <w:noProof/>
        </w:rPr>
        <w:t>Ča</w:t>
      </w:r>
      <w:r>
        <w:rPr>
          <w:b/>
          <w:noProof/>
        </w:rPr>
        <w:t>sovno neomejen(-a)</w:t>
      </w:r>
      <w:r>
        <w:rPr>
          <w:noProof/>
        </w:rPr>
        <w:t xml:space="preserve"> predlog/pobuda:</w:t>
      </w:r>
    </w:p>
    <w:p w:rsidR="00FD37A3" w:rsidRDefault="0072500C">
      <w:pPr>
        <w:pStyle w:val="Tiret1"/>
        <w:numPr>
          <w:ilvl w:val="0"/>
          <w:numId w:val="20"/>
        </w:numPr>
        <w:rPr>
          <w:noProof/>
        </w:rPr>
      </w:pPr>
      <w:r>
        <w:rPr>
          <w:noProof/>
        </w:rPr>
        <w:t>izvajanje z obdobjem uvajanja med letoma LLLL in LLLL,</w:t>
      </w:r>
    </w:p>
    <w:p w:rsidR="00FD37A3" w:rsidRDefault="0072500C">
      <w:pPr>
        <w:pStyle w:val="Tiret1"/>
        <w:numPr>
          <w:ilvl w:val="0"/>
          <w:numId w:val="20"/>
        </w:numPr>
        <w:rPr>
          <w:noProof/>
        </w:rPr>
      </w:pPr>
      <w:r>
        <w:rPr>
          <w:noProof/>
        </w:rPr>
        <w:t>ki mu sledi izvajanje v celoti.</w:t>
      </w:r>
    </w:p>
    <w:p w:rsidR="00FD37A3" w:rsidRDefault="0072500C">
      <w:pPr>
        <w:pStyle w:val="Point0"/>
        <w:rPr>
          <w:b/>
          <w:bCs/>
          <w:noProof/>
          <w:szCs w:val="24"/>
        </w:rPr>
      </w:pPr>
      <w:r>
        <w:rPr>
          <w:b/>
          <w:noProof/>
        </w:rPr>
        <w:t>1.7.</w:t>
      </w:r>
      <w:r>
        <w:rPr>
          <w:b/>
          <w:noProof/>
        </w:rPr>
        <w:tab/>
        <w:t>Načrtovani načini upravljanja</w:t>
      </w:r>
      <w:r>
        <w:rPr>
          <w:rStyle w:val="FootnoteReference"/>
          <w:b/>
          <w:noProof/>
        </w:rPr>
        <w:footnoteReference w:id="30"/>
      </w:r>
      <w:r>
        <w:rPr>
          <w:rStyle w:val="FootnoteReference"/>
          <w:b/>
          <w:noProof/>
        </w:rPr>
        <w:t xml:space="preserve">  </w:t>
      </w:r>
    </w:p>
    <w:p w:rsidR="00FD37A3" w:rsidRDefault="0072500C">
      <w:pPr>
        <w:pStyle w:val="Text1"/>
        <w:rPr>
          <w:noProof/>
        </w:rPr>
      </w:pPr>
      <w:r>
        <w:rPr>
          <w:noProof/>
        </w:rPr>
        <w:sym w:font="Wingdings" w:char="F0FE"/>
      </w:r>
      <w:r>
        <w:rPr>
          <w:i/>
          <w:noProof/>
        </w:rPr>
        <w:t xml:space="preserve"> </w:t>
      </w:r>
      <w:r>
        <w:rPr>
          <w:b/>
          <w:noProof/>
        </w:rPr>
        <w:t>Neposredno upravljanje</w:t>
      </w:r>
      <w:r>
        <w:rPr>
          <w:noProof/>
        </w:rPr>
        <w:t xml:space="preserve"> – Komisija:</w:t>
      </w:r>
    </w:p>
    <w:p w:rsidR="00FD37A3" w:rsidRDefault="0072500C">
      <w:pPr>
        <w:pStyle w:val="Tiret1"/>
        <w:numPr>
          <w:ilvl w:val="0"/>
          <w:numId w:val="20"/>
        </w:numPr>
        <w:rPr>
          <w:rFonts w:cs="EUAlbertina"/>
          <w:noProof/>
        </w:rPr>
      </w:pPr>
      <w:r>
        <w:rPr>
          <w:noProof/>
        </w:rPr>
        <w:sym w:font="Wingdings" w:char="F0FE"/>
      </w:r>
      <w:r>
        <w:rPr>
          <w:noProof/>
        </w:rPr>
        <w:t xml:space="preserve"> z lastnimi službami, vključno s svojim osebjem v delegaci</w:t>
      </w:r>
      <w:r>
        <w:rPr>
          <w:noProof/>
        </w:rPr>
        <w:t xml:space="preserve">jah Unije, </w:t>
      </w:r>
    </w:p>
    <w:p w:rsidR="00FD37A3" w:rsidRDefault="0072500C">
      <w:pPr>
        <w:pStyle w:val="Tiret1"/>
        <w:numPr>
          <w:ilvl w:val="0"/>
          <w:numId w:val="20"/>
        </w:numPr>
        <w:rPr>
          <w:noProof/>
        </w:rPr>
      </w:pPr>
      <w:r>
        <w:rPr>
          <w:noProof/>
        </w:rPr>
        <w:sym w:font="Wingdings" w:char="F0FE"/>
      </w:r>
      <w:r>
        <w:rPr>
          <w:noProof/>
        </w:rPr>
        <w:t xml:space="preserve"> prek izvajalskih agencij. </w:t>
      </w:r>
    </w:p>
    <w:p w:rsidR="00FD37A3" w:rsidRDefault="0072500C">
      <w:pPr>
        <w:pStyle w:val="Text1"/>
        <w:rPr>
          <w:noProof/>
        </w:rPr>
      </w:pPr>
      <w:r>
        <w:rPr>
          <w:noProof/>
        </w:rPr>
        <w:sym w:font="Wingdings" w:char="F0A8"/>
      </w:r>
      <w:r>
        <w:rPr>
          <w:b/>
          <w:i/>
          <w:noProof/>
        </w:rPr>
        <w:t xml:space="preserve"> </w:t>
      </w:r>
      <w:r>
        <w:rPr>
          <w:b/>
          <w:noProof/>
        </w:rPr>
        <w:t>Deljeno upravljanje</w:t>
      </w:r>
      <w:r>
        <w:rPr>
          <w:noProof/>
        </w:rPr>
        <w:t xml:space="preserve"> z državami članicami. </w:t>
      </w:r>
    </w:p>
    <w:p w:rsidR="00FD37A3" w:rsidRDefault="0072500C">
      <w:pPr>
        <w:pStyle w:val="Text1"/>
        <w:rPr>
          <w:noProof/>
        </w:rPr>
      </w:pPr>
      <w:r>
        <w:rPr>
          <w:noProof/>
        </w:rPr>
        <w:sym w:font="Wingdings" w:char="F0FE"/>
      </w:r>
      <w:r>
        <w:rPr>
          <w:i/>
          <w:noProof/>
        </w:rPr>
        <w:t xml:space="preserve"> </w:t>
      </w:r>
      <w:r>
        <w:rPr>
          <w:b/>
          <w:noProof/>
        </w:rPr>
        <w:t>Posredno upravljanje</w:t>
      </w:r>
      <w:r>
        <w:rPr>
          <w:noProof/>
        </w:rPr>
        <w:t xml:space="preserve">, tako da se naloge izvrševanja proračuna poverijo: </w:t>
      </w:r>
    </w:p>
    <w:p w:rsidR="00FD37A3" w:rsidRDefault="0072500C">
      <w:pPr>
        <w:pStyle w:val="Tiret1"/>
        <w:numPr>
          <w:ilvl w:val="0"/>
          <w:numId w:val="20"/>
        </w:numPr>
        <w:rPr>
          <w:noProof/>
        </w:rPr>
      </w:pPr>
      <w:r>
        <w:rPr>
          <w:noProof/>
        </w:rPr>
        <w:sym w:font="Wingdings" w:char="F0A8"/>
      </w:r>
      <w:r>
        <w:rPr>
          <w:noProof/>
        </w:rPr>
        <w:t xml:space="preserve"> tretjim državam ali organom, ki jih te imenujejo,</w:t>
      </w:r>
    </w:p>
    <w:p w:rsidR="00FD37A3" w:rsidRDefault="0072500C">
      <w:pPr>
        <w:pStyle w:val="Tiret1"/>
        <w:numPr>
          <w:ilvl w:val="0"/>
          <w:numId w:val="20"/>
        </w:numPr>
        <w:rPr>
          <w:noProof/>
        </w:rPr>
      </w:pPr>
      <w:r>
        <w:rPr>
          <w:noProof/>
        </w:rPr>
        <w:sym w:font="Wingdings" w:char="F0FE"/>
      </w:r>
      <w:r>
        <w:rPr>
          <w:noProof/>
        </w:rPr>
        <w:t xml:space="preserve"> mednarodnim organizacijam in njihovim agencijam (navedite),</w:t>
      </w:r>
    </w:p>
    <w:p w:rsidR="00FD37A3" w:rsidRDefault="0072500C">
      <w:pPr>
        <w:pStyle w:val="Tiret1"/>
        <w:numPr>
          <w:ilvl w:val="0"/>
          <w:numId w:val="20"/>
        </w:numPr>
        <w:rPr>
          <w:noProof/>
        </w:rPr>
      </w:pPr>
      <w:r>
        <w:rPr>
          <w:noProof/>
        </w:rPr>
        <w:sym w:font="Wingdings" w:char="F0A8"/>
      </w:r>
      <w:r>
        <w:rPr>
          <w:noProof/>
        </w:rPr>
        <w:t xml:space="preserve"> EIB in Evropskemu investicijskemu skladu,</w:t>
      </w:r>
    </w:p>
    <w:p w:rsidR="00FD37A3" w:rsidRDefault="0072500C">
      <w:pPr>
        <w:pStyle w:val="Tiret1"/>
        <w:numPr>
          <w:ilvl w:val="0"/>
          <w:numId w:val="20"/>
        </w:numPr>
        <w:rPr>
          <w:noProof/>
        </w:rPr>
      </w:pPr>
      <w:r>
        <w:rPr>
          <w:noProof/>
        </w:rPr>
        <w:sym w:font="Wingdings" w:char="F0FE"/>
      </w:r>
      <w:r>
        <w:rPr>
          <w:noProof/>
        </w:rPr>
        <w:t xml:space="preserve"> organom Unije iz členov 70 in 71 finančne uredbe,</w:t>
      </w:r>
    </w:p>
    <w:p w:rsidR="00FD37A3" w:rsidRDefault="0072500C">
      <w:pPr>
        <w:pStyle w:val="Tiret1"/>
        <w:numPr>
          <w:ilvl w:val="0"/>
          <w:numId w:val="20"/>
        </w:numPr>
        <w:rPr>
          <w:noProof/>
        </w:rPr>
      </w:pPr>
      <w:r>
        <w:rPr>
          <w:noProof/>
        </w:rPr>
        <w:sym w:font="Wingdings" w:char="F0A8"/>
      </w:r>
      <w:r>
        <w:rPr>
          <w:noProof/>
        </w:rPr>
        <w:t xml:space="preserve"> subjektom javnega prava,</w:t>
      </w:r>
    </w:p>
    <w:p w:rsidR="00FD37A3" w:rsidRDefault="0072500C">
      <w:pPr>
        <w:pStyle w:val="Tiret1"/>
        <w:numPr>
          <w:ilvl w:val="0"/>
          <w:numId w:val="20"/>
        </w:numPr>
        <w:rPr>
          <w:noProof/>
        </w:rPr>
      </w:pPr>
      <w:r>
        <w:rPr>
          <w:noProof/>
        </w:rPr>
        <w:sym w:font="Wingdings" w:char="F0A8"/>
      </w:r>
      <w:r>
        <w:rPr>
          <w:noProof/>
        </w:rPr>
        <w:t xml:space="preserve"> subjektom zasebnega prava, ki opravljajo javne storitve, kolikor ti su</w:t>
      </w:r>
      <w:r>
        <w:rPr>
          <w:noProof/>
        </w:rPr>
        <w:t>bjekti zagotavljajo ustrezna finančna jamstva,</w:t>
      </w:r>
    </w:p>
    <w:p w:rsidR="00FD37A3" w:rsidRDefault="0072500C">
      <w:pPr>
        <w:pStyle w:val="Tiret1"/>
        <w:numPr>
          <w:ilvl w:val="0"/>
          <w:numId w:val="20"/>
        </w:numPr>
        <w:rPr>
          <w:noProof/>
        </w:rPr>
      </w:pPr>
      <w:r>
        <w:rPr>
          <w:noProof/>
        </w:rPr>
        <w:sym w:font="Wingdings" w:char="F0A8"/>
      </w:r>
      <w:r>
        <w:rPr>
          <w:noProof/>
        </w:rPr>
        <w:t xml:space="preserve"> subjektom zasebnega prava države članice, ki so pooblaščeni za izvajanje javno-zasebnih partnerstev in ki zagotavljajo ustrezna finančna jamstva,</w:t>
      </w:r>
    </w:p>
    <w:p w:rsidR="00FD37A3" w:rsidRDefault="0072500C">
      <w:pPr>
        <w:pStyle w:val="Tiret1"/>
        <w:numPr>
          <w:ilvl w:val="0"/>
          <w:numId w:val="20"/>
        </w:numPr>
        <w:rPr>
          <w:noProof/>
        </w:rPr>
      </w:pPr>
      <w:r>
        <w:rPr>
          <w:noProof/>
        </w:rPr>
        <w:sym w:font="Wingdings" w:char="F0A8"/>
      </w:r>
      <w:r>
        <w:rPr>
          <w:noProof/>
        </w:rPr>
        <w:t xml:space="preserve"> osebam, pooblaščenim za izvajanje določenih ukrepov SZVP na</w:t>
      </w:r>
      <w:r>
        <w:rPr>
          <w:noProof/>
        </w:rPr>
        <w:t xml:space="preserve"> podlagi naslova V PEU in opredeljenim v zadevnem temeljnem aktu.</w:t>
      </w:r>
    </w:p>
    <w:p w:rsidR="00FD37A3" w:rsidRDefault="0072500C">
      <w:pPr>
        <w:rPr>
          <w:noProof/>
        </w:rPr>
      </w:pPr>
      <w:r>
        <w:rPr>
          <w:noProof/>
        </w:rPr>
        <w:t xml:space="preserve">Opombe </w:t>
      </w:r>
    </w:p>
    <w:p w:rsidR="00FD37A3" w:rsidRDefault="0072500C">
      <w:pPr>
        <w:pBdr>
          <w:top w:val="single" w:sz="4" w:space="1" w:color="auto"/>
          <w:left w:val="single" w:sz="4" w:space="4" w:color="auto"/>
          <w:bottom w:val="single" w:sz="4" w:space="1" w:color="auto"/>
          <w:right w:val="single" w:sz="4" w:space="4" w:color="auto"/>
        </w:pBdr>
        <w:rPr>
          <w:noProof/>
        </w:rPr>
      </w:pPr>
      <w:r>
        <w:rPr>
          <w:noProof/>
        </w:rPr>
        <w:t>Komisija se lahko odloči, da del izvajanja Programa EU za zdravje prenese na izvajalsko agencijo.</w:t>
      </w:r>
    </w:p>
    <w:p w:rsidR="00FD37A3" w:rsidRDefault="0072500C">
      <w:pPr>
        <w:pBdr>
          <w:top w:val="single" w:sz="4" w:space="1" w:color="auto"/>
          <w:left w:val="single" w:sz="4" w:space="4" w:color="auto"/>
          <w:bottom w:val="single" w:sz="4" w:space="1" w:color="auto"/>
          <w:right w:val="single" w:sz="4" w:space="4" w:color="auto"/>
        </w:pBdr>
        <w:rPr>
          <w:noProof/>
        </w:rPr>
      </w:pPr>
      <w:r>
        <w:rPr>
          <w:noProof/>
        </w:rPr>
        <w:t>Poleg tega lahko svojim decentraliziranim agencijam (EMA, ECDC, EFSA, ECHA) zaupa na</w:t>
      </w:r>
      <w:r>
        <w:rPr>
          <w:noProof/>
        </w:rPr>
        <w:t>loge, namenjene doseganju ciljev iz Programa EU za zdravje za obdobje 2021–2027.</w:t>
      </w:r>
    </w:p>
    <w:p w:rsidR="00FD37A3" w:rsidRDefault="0072500C">
      <w:pPr>
        <w:pBdr>
          <w:top w:val="single" w:sz="4" w:space="1" w:color="auto"/>
          <w:left w:val="single" w:sz="4" w:space="4" w:color="auto"/>
          <w:bottom w:val="single" w:sz="4" w:space="1" w:color="auto"/>
          <w:right w:val="single" w:sz="4" w:space="4" w:color="auto"/>
        </w:pBdr>
        <w:rPr>
          <w:noProof/>
        </w:rPr>
      </w:pPr>
      <w:r>
        <w:rPr>
          <w:noProof/>
          <w:u w:val="single"/>
        </w:rPr>
        <w:t>Posredno upravljanje z mednarodnimi organizacijami</w:t>
      </w:r>
      <w:r>
        <w:rPr>
          <w:noProof/>
        </w:rPr>
        <w:t>:</w:t>
      </w:r>
    </w:p>
    <w:p w:rsidR="00FD37A3" w:rsidRDefault="0072500C">
      <w:pPr>
        <w:pBdr>
          <w:top w:val="single" w:sz="4" w:space="1" w:color="auto"/>
          <w:left w:val="single" w:sz="4" w:space="4" w:color="auto"/>
          <w:bottom w:val="single" w:sz="4" w:space="1" w:color="auto"/>
          <w:right w:val="single" w:sz="4" w:space="4" w:color="auto"/>
        </w:pBdr>
        <w:rPr>
          <w:noProof/>
        </w:rPr>
      </w:pPr>
      <w:r>
        <w:rPr>
          <w:noProof/>
        </w:rPr>
        <w:t>Za izvajanje Programa EU za zdravje za obdobje 2021–2027 se bo vzpostavilo, nadaljevalo ali razširilo sodelovanje z mednaro</w:t>
      </w:r>
      <w:r>
        <w:rPr>
          <w:noProof/>
        </w:rPr>
        <w:t>dnimi organizacijami, kot so agencije ZN, zlasti SZO, Svet Evrope, OECD ali druge ustrezne mednarodne organizacije, na primer s plačevanjem ocenjenih prispevkov za Okvirno konvencijo Svetovne zdravstvene organizacije za nadzor nad tobakom (FCTC)/protokol z</w:t>
      </w:r>
      <w:r>
        <w:rPr>
          <w:noProof/>
        </w:rPr>
        <w:t>a odpravo nezakonite trgovine itd.</w:t>
      </w:r>
    </w:p>
    <w:p w:rsidR="00FD37A3" w:rsidRDefault="00FD37A3">
      <w:pPr>
        <w:pBdr>
          <w:top w:val="single" w:sz="4" w:space="1" w:color="auto"/>
          <w:left w:val="single" w:sz="4" w:space="4" w:color="auto"/>
          <w:bottom w:val="single" w:sz="4" w:space="1" w:color="auto"/>
          <w:right w:val="single" w:sz="4" w:space="4" w:color="auto"/>
        </w:pBdr>
        <w:rPr>
          <w:noProof/>
        </w:rPr>
        <w:sectPr w:rsidR="00FD37A3">
          <w:pgSz w:w="11907" w:h="16840" w:code="9"/>
          <w:pgMar w:top="1134" w:right="1418" w:bottom="1134" w:left="1418" w:header="709" w:footer="709" w:gutter="0"/>
          <w:cols w:space="708"/>
          <w:docGrid w:linePitch="360"/>
        </w:sectPr>
      </w:pPr>
    </w:p>
    <w:p w:rsidR="00FD37A3" w:rsidRDefault="0072500C">
      <w:pPr>
        <w:pStyle w:val="ManualHeading1"/>
        <w:rPr>
          <w:bCs/>
          <w:noProof/>
          <w:szCs w:val="24"/>
        </w:rPr>
      </w:pPr>
      <w:r>
        <w:t>2.</w:t>
      </w:r>
      <w:r>
        <w:tab/>
      </w:r>
      <w:r>
        <w:rPr>
          <w:noProof/>
        </w:rPr>
        <w:t xml:space="preserve">UKREPI UPRAVLJANJA </w:t>
      </w:r>
    </w:p>
    <w:p w:rsidR="00FD37A3" w:rsidRDefault="0072500C">
      <w:pPr>
        <w:pStyle w:val="Point0"/>
        <w:rPr>
          <w:b/>
          <w:noProof/>
        </w:rPr>
      </w:pPr>
      <w:r>
        <w:rPr>
          <w:b/>
          <w:noProof/>
        </w:rPr>
        <w:t>2.1.</w:t>
      </w:r>
      <w:r>
        <w:rPr>
          <w:b/>
          <w:noProof/>
        </w:rPr>
        <w:tab/>
        <w:t xml:space="preserve">Pravila o spremljanju in poročanju </w:t>
      </w:r>
    </w:p>
    <w:p w:rsidR="00FD37A3" w:rsidRDefault="0072500C">
      <w:pPr>
        <w:pStyle w:val="Text1"/>
        <w:rPr>
          <w:i/>
          <w:noProof/>
          <w:sz w:val="20"/>
          <w:u w:val="single"/>
        </w:rPr>
      </w:pPr>
      <w:r>
        <w:rPr>
          <w:i/>
          <w:noProof/>
          <w:sz w:val="20"/>
        </w:rPr>
        <w:t>Navedite pogostost in pogoje.</w:t>
      </w:r>
    </w:p>
    <w:p w:rsidR="00FD37A3" w:rsidRDefault="0072500C">
      <w:pPr>
        <w:pStyle w:val="Text1"/>
        <w:pBdr>
          <w:top w:val="single" w:sz="4" w:space="1" w:color="auto"/>
          <w:left w:val="single" w:sz="4" w:space="1" w:color="auto"/>
          <w:bottom w:val="single" w:sz="4" w:space="1" w:color="auto"/>
          <w:right w:val="single" w:sz="4" w:space="1" w:color="auto"/>
        </w:pBdr>
        <w:rPr>
          <w:noProof/>
        </w:rPr>
      </w:pPr>
      <w:r>
        <w:rPr>
          <w:noProof/>
        </w:rPr>
        <w:t>Za zagotovitev, da se podatki zbirajo uspešno, učinkovito in pravočasno, se bodo razvili smotrnostni ok</w:t>
      </w:r>
      <w:r>
        <w:rPr>
          <w:noProof/>
        </w:rPr>
        <w:t>viri, ki bodo temeljili na relevantnih praksah iz prejšnjega zdravstvenega programa za obdobje 2014–2020.</w:t>
      </w:r>
    </w:p>
    <w:p w:rsidR="00FD37A3" w:rsidRDefault="0072500C">
      <w:pPr>
        <w:pStyle w:val="Point0"/>
        <w:rPr>
          <w:b/>
          <w:bCs/>
          <w:noProof/>
          <w:szCs w:val="24"/>
        </w:rPr>
      </w:pPr>
      <w:r>
        <w:rPr>
          <w:b/>
          <w:noProof/>
        </w:rPr>
        <w:t>2.2.</w:t>
      </w:r>
      <w:r>
        <w:rPr>
          <w:b/>
          <w:noProof/>
        </w:rPr>
        <w:tab/>
        <w:t xml:space="preserve">Upravljavski in kontrolni sistemi </w:t>
      </w:r>
    </w:p>
    <w:p w:rsidR="00FD37A3" w:rsidRDefault="0072500C">
      <w:pPr>
        <w:pStyle w:val="Point1"/>
        <w:rPr>
          <w:i/>
          <w:noProof/>
        </w:rPr>
      </w:pPr>
      <w:r>
        <w:rPr>
          <w:i/>
          <w:noProof/>
        </w:rPr>
        <w:t>2.2.1.</w:t>
      </w:r>
      <w:r>
        <w:rPr>
          <w:i/>
          <w:noProof/>
        </w:rPr>
        <w:tab/>
        <w:t xml:space="preserve">Utemeljitev načinov upravljanja, mehanizmov financiranja, načinov plačevanja in predlagane strategije </w:t>
      </w:r>
      <w:r>
        <w:rPr>
          <w:i/>
          <w:noProof/>
        </w:rPr>
        <w:t>kontrol</w:t>
      </w:r>
    </w:p>
    <w:p w:rsidR="00FD37A3" w:rsidRDefault="0072500C">
      <w:pPr>
        <w:pStyle w:val="Text1"/>
        <w:pBdr>
          <w:top w:val="single" w:sz="4" w:space="1" w:color="auto"/>
          <w:left w:val="single" w:sz="4" w:space="1" w:color="auto"/>
          <w:bottom w:val="single" w:sz="4" w:space="1" w:color="auto"/>
          <w:right w:val="single" w:sz="4" w:space="1" w:color="auto"/>
        </w:pBdr>
        <w:rPr>
          <w:noProof/>
        </w:rPr>
      </w:pPr>
      <w:r>
        <w:rPr>
          <w:noProof/>
        </w:rPr>
        <w:t>Program EU za zdravje se bo izvajal v okviru neposrednega in posrednega upravljanja, in sicer z uporabo načinov izvajanja, ki jih omogoča finančna uredba, predvsem v obliki nepovratnih sredstev in javnih naročil. Neposredno upravljanje omogoča sklepanje sp</w:t>
      </w:r>
      <w:r>
        <w:rPr>
          <w:noProof/>
        </w:rPr>
        <w:t>orazumov o nepovratnih sredstvih/pogodb z upravičenci/izvajalci, ki so neposredno vključeni v dejavnosti, ki služijo politikam Unije. Komisija zagotavlja neposredno spremljanje rezultatov financiranih ukrepov. Načini plačila financiranih ukrepov bodo prila</w:t>
      </w:r>
      <w:r>
        <w:rPr>
          <w:noProof/>
        </w:rPr>
        <w:t xml:space="preserve">gojeni tveganjem, ki se nanašajo na finančne transakcije. </w:t>
      </w:r>
    </w:p>
    <w:p w:rsidR="00FD37A3" w:rsidRDefault="0072500C">
      <w:pPr>
        <w:pStyle w:val="Text1"/>
        <w:pBdr>
          <w:top w:val="single" w:sz="4" w:space="1" w:color="auto"/>
          <w:left w:val="single" w:sz="4" w:space="1" w:color="auto"/>
          <w:bottom w:val="single" w:sz="4" w:space="1" w:color="auto"/>
          <w:right w:val="single" w:sz="4" w:space="1" w:color="auto"/>
        </w:pBdr>
        <w:rPr>
          <w:noProof/>
        </w:rPr>
      </w:pPr>
      <w:r>
        <w:rPr>
          <w:noProof/>
        </w:rPr>
        <w:t>Za zagotovitev uspešnosti, učinkovitosti in gospodarnosti kontrol Komisije bo strategija kontrol usmerjena v ravnotežje predhodnih in naknadnih preverjanj ter osredotočena na tri ključne faze izvaj</w:t>
      </w:r>
      <w:r>
        <w:rPr>
          <w:noProof/>
        </w:rPr>
        <w:t>anja nepovratnih sredstev/pogodb v skladu s finančno uredbo:</w:t>
      </w:r>
    </w:p>
    <w:p w:rsidR="00FD37A3" w:rsidRDefault="0072500C">
      <w:pPr>
        <w:pStyle w:val="Tiret1"/>
        <w:numPr>
          <w:ilvl w:val="0"/>
          <w:numId w:val="20"/>
        </w:numPr>
        <w:pBdr>
          <w:top w:val="single" w:sz="4" w:space="1" w:color="auto"/>
          <w:left w:val="single" w:sz="4" w:space="1" w:color="auto"/>
          <w:bottom w:val="single" w:sz="4" w:space="1" w:color="auto"/>
          <w:right w:val="single" w:sz="4" w:space="1" w:color="auto"/>
        </w:pBdr>
        <w:rPr>
          <w:noProof/>
        </w:rPr>
      </w:pPr>
      <w:r>
        <w:rPr>
          <w:noProof/>
        </w:rPr>
        <w:t>izbor predlogov/ponudb, ki ustrezajo ciljem politike Programa;</w:t>
      </w:r>
    </w:p>
    <w:p w:rsidR="00FD37A3" w:rsidRDefault="0072500C">
      <w:pPr>
        <w:pStyle w:val="Tiret1"/>
        <w:numPr>
          <w:ilvl w:val="0"/>
          <w:numId w:val="20"/>
        </w:numPr>
        <w:pBdr>
          <w:top w:val="single" w:sz="4" w:space="1" w:color="auto"/>
          <w:left w:val="single" w:sz="4" w:space="1" w:color="auto"/>
          <w:bottom w:val="single" w:sz="4" w:space="1" w:color="auto"/>
          <w:right w:val="single" w:sz="4" w:space="1" w:color="auto"/>
        </w:pBdr>
        <w:rPr>
          <w:noProof/>
        </w:rPr>
      </w:pPr>
      <w:r>
        <w:rPr>
          <w:noProof/>
        </w:rPr>
        <w:t>operativne kontrole, kontrole spremljanja in predhodne kontrole, ki zajemajo izvajanje projektov, javna naročila, predhodno financir</w:t>
      </w:r>
      <w:r>
        <w:rPr>
          <w:noProof/>
        </w:rPr>
        <w:t xml:space="preserve">anje, vmesna in končna plačila, upravljanje jamstev; </w:t>
      </w:r>
    </w:p>
    <w:p w:rsidR="00FD37A3" w:rsidRDefault="0072500C">
      <w:pPr>
        <w:pStyle w:val="Tiret1"/>
        <w:numPr>
          <w:ilvl w:val="0"/>
          <w:numId w:val="20"/>
        </w:numPr>
        <w:pBdr>
          <w:top w:val="single" w:sz="4" w:space="1" w:color="auto"/>
          <w:left w:val="single" w:sz="4" w:space="1" w:color="auto"/>
          <w:bottom w:val="single" w:sz="4" w:space="1" w:color="auto"/>
          <w:right w:val="single" w:sz="4" w:space="1" w:color="auto"/>
        </w:pBdr>
        <w:rPr>
          <w:noProof/>
        </w:rPr>
      </w:pPr>
      <w:r>
        <w:rPr>
          <w:noProof/>
        </w:rPr>
        <w:t>naknadne kontrole na lokacijah upravičencev/izvajalcev, ki bodo prav tako izvedene na vzorcu transakcij. Te transakcije bodo izbrane na podlagi ocene tveganja in naključno.</w:t>
      </w:r>
    </w:p>
    <w:p w:rsidR="00FD37A3" w:rsidRDefault="0072500C">
      <w:pPr>
        <w:pStyle w:val="Point1"/>
        <w:rPr>
          <w:bCs/>
          <w:i/>
          <w:noProof/>
          <w:szCs w:val="24"/>
        </w:rPr>
      </w:pPr>
      <w:r>
        <w:rPr>
          <w:i/>
          <w:noProof/>
        </w:rPr>
        <w:t>2.2.2.</w:t>
      </w:r>
      <w:r>
        <w:rPr>
          <w:i/>
          <w:noProof/>
        </w:rPr>
        <w:tab/>
        <w:t>Podatki o ugotovljenih</w:t>
      </w:r>
      <w:r>
        <w:rPr>
          <w:i/>
          <w:noProof/>
        </w:rPr>
        <w:t xml:space="preserve"> tveganjih in vzpostavljenih sistemih notranjih kontrol za njihovo zmanjševanje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Izvajanje Programa EU za zdravje je osredotočeno na oddajo javnih naročil, pa tudi na številne donacije za specifične dejavnosti in organizacije.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Pogodbe o javnih naročilih se </w:t>
      </w:r>
      <w:r>
        <w:rPr>
          <w:noProof/>
        </w:rPr>
        <w:t>bodo sklepale predvsem na področjih, kot so naročanje zdravil, cepiva, morebitna nova zdravljenja, raziskave, študije, zbiranje podatkov, primerjalne analize, dejavnosti spremljanja in ocenjevanja, informacijske kampanje, informacijske in komunikacijske st</w:t>
      </w:r>
      <w:r>
        <w:rPr>
          <w:noProof/>
        </w:rPr>
        <w:t xml:space="preserve">oritve itd. Izvajalci so predvsem svetovalna podjetja in druga zasebna podjetja; glavni izvajalci so lahko tudi inštituti in laboratoriji.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Nepovratna sredstva se bodo večinoma dodelila za dejavnosti podpore nevladnim organizacijam, ustreznim pristojnim </w:t>
      </w:r>
      <w:r>
        <w:rPr>
          <w:noProof/>
        </w:rPr>
        <w:t>organom držav članic, evropskim referenčnim mrežam, zdravstvenim organizacijam, nacionalnim agencijam itd. Obdobje izvajanja subvencioniranih projektov in dejavnosti večinoma traja od enega do treh let.</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Glavna tveganja so naslednja:</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tveganje, da se cilji</w:t>
      </w:r>
      <w:r>
        <w:rPr>
          <w:noProof/>
        </w:rPr>
        <w:t xml:space="preserve"> Programa ne dosežejo v celoti zaradi nezadostne uporabe ali kakovosti/zamud pri izvajanju izbranih projektov ali pogodb;</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tveganje neučinkovite ali negospodarne uporabe dodeljenih sredstev, in sicer tako pri nepovratnih sredstvih (zapletenost pravil fina</w:t>
      </w:r>
      <w:r>
        <w:rPr>
          <w:noProof/>
        </w:rPr>
        <w:t>nciranja) kot pri javnih naročilih (omejeno število gospodarskih ponudnikov s potrebnim strokovnim znanjem, zaradi česar ni zadostnih možnosti za primerjavo cen ponudb v nekaterih sektorjih);</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tveganje za ugled Komisije, če se odkrijejo goljufije ali kazn</w:t>
      </w:r>
      <w:r>
        <w:rPr>
          <w:noProof/>
        </w:rPr>
        <w:t>iva dejanja; iz sistemov notranje kontrole tretjih držav je mogoče pričakovati le delno zagotovilo zaradi velikega števila izvajalcev in upravičencev z različnimi dejavnostmi, ki uporabljajo lastne, običajno manj obsežne sisteme kontrole.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Komisija je uvedl</w:t>
      </w:r>
      <w:r>
        <w:rPr>
          <w:noProof/>
        </w:rPr>
        <w:t>a notranje postopke, da bi zajela navedena tveganja. Notranji postopki so v celoti usklajeni s finančno uredbo ter zajemajo ukrepe proti goljufijam ter vidike stroškov in koristi. V tem okviru Komisija še naprej preučuje možnosti za izboljšanje upravljanja</w:t>
      </w:r>
      <w:r>
        <w:rPr>
          <w:noProof/>
        </w:rPr>
        <w:t xml:space="preserve"> in učinkovitosti. Glavne značilnosti okvira kontrole so naslednje: </w:t>
      </w:r>
    </w:p>
    <w:p w:rsidR="00FD37A3" w:rsidRDefault="0072500C">
      <w:pPr>
        <w:pStyle w:val="Text1"/>
        <w:pBdr>
          <w:top w:val="single" w:sz="4" w:space="1" w:color="auto"/>
          <w:left w:val="single" w:sz="4" w:space="4" w:color="auto"/>
          <w:bottom w:val="single" w:sz="4" w:space="1" w:color="auto"/>
          <w:right w:val="single" w:sz="4" w:space="4" w:color="auto"/>
        </w:pBdr>
        <w:rPr>
          <w:b/>
          <w:noProof/>
        </w:rPr>
      </w:pPr>
      <w:r>
        <w:rPr>
          <w:b/>
          <w:noProof/>
        </w:rPr>
        <w:t xml:space="preserve">Kontrole pred izvajanjem projektov in med njim: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vzpostavljen bo ustrezen sistem vodenja projektov, ki bo osredotočen na prispevke projektov in pogodb k ciljem politike in bo zagotavlja</w:t>
      </w:r>
      <w:r>
        <w:rPr>
          <w:noProof/>
        </w:rPr>
        <w:t>l sistematično vključevanje vseh akterjev, vzpostavil redno poročanje o vodenju projektov, dopolnjeno z obiski na kraju samem, odvisno od primera, vključno s poročili o tveganju za višje vodstvo, ter ohranjal ustrezno proračunsko prožnost;</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 vzorci </w:t>
      </w:r>
      <w:r>
        <w:rPr>
          <w:noProof/>
        </w:rPr>
        <w:t>sporazumov o nepovratnih sredstvih in pogodb o storitvah, ki se uporabljajo, se razvijejo znotraj Komisije. Zajemajo več določb o kontroli, npr. v zvezi z revizijskimi potrdili, finančnimi jamstvi, revizijami na kraju samem in preiskavami urada OLAF. Pravi</w:t>
      </w:r>
      <w:r>
        <w:rPr>
          <w:noProof/>
        </w:rPr>
        <w:t>la o upravičenosti stroškov se poenostavljajo, na primer z uporabo stroškov na enoto, pavšalnih zneskov, prispevkov, ki niso povezani s stroški, in drugih možnosti iz finančne uredbe. To bo zmanjšalo stroške kontrol, osredotočenost pa bo usmerjena v prever</w:t>
      </w:r>
      <w:r>
        <w:rPr>
          <w:noProof/>
        </w:rPr>
        <w:t>janja in kontrole na področjih z visokim tveganjem;</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vsi člani osebja podpišejo kodeks dobrega ravnanja javnih uslužbencev. Člani osebja, vključeni v izbirni postopek ali upravljanje sporazumov nepovratnih sredstvih/pogodb, (poleg tega) podpišejo izjavo o</w:t>
      </w:r>
      <w:r>
        <w:rPr>
          <w:noProof/>
        </w:rPr>
        <w:t xml:space="preserve"> neobstoju navzkrižja interesov. Člani osebja se redno usposabljajo in uporabljajo mreže za izmenjavo dobrih praks; </w:t>
      </w:r>
    </w:p>
    <w:p w:rsidR="00FD37A3" w:rsidRDefault="0072500C">
      <w:pPr>
        <w:pStyle w:val="Text1"/>
        <w:pBdr>
          <w:top w:val="single" w:sz="4" w:space="1" w:color="auto"/>
          <w:left w:val="single" w:sz="4" w:space="4" w:color="auto"/>
          <w:bottom w:val="single" w:sz="4" w:space="1" w:color="auto"/>
          <w:right w:val="single" w:sz="4" w:space="4" w:color="auto"/>
        </w:pBdr>
        <w:rPr>
          <w:b/>
          <w:noProof/>
        </w:rPr>
      </w:pPr>
      <w:r>
        <w:rPr>
          <w:noProof/>
        </w:rPr>
        <w:t>• tehnično izvajanje projekta se redno preverja z dokumentacijskimi pregledi na podlagi poročil izvajalcev in upravičencev o tehničnem napr</w:t>
      </w:r>
      <w:r>
        <w:rPr>
          <w:noProof/>
        </w:rPr>
        <w:t>edku; poleg tega so predvideni sestanki z izvajalci/upravičenci in obiski na kraju samem, odvisno od primera.</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b/>
          <w:noProof/>
        </w:rPr>
        <w:t>Kontrole ob zaključku projekta:</w:t>
      </w:r>
      <w:r>
        <w:rPr>
          <w:noProof/>
        </w:rPr>
        <w:t xml:space="preserve">  Naknadne revizije za preverjanje upravičenosti zahtevkov za stroške se opravijo na vzorcu transakcij na kraju sam</w:t>
      </w:r>
      <w:r>
        <w:rPr>
          <w:noProof/>
        </w:rPr>
        <w:t>em. Cilj teh kontrol je preprečiti, odkriti in popraviti materialne napake glede zakonitosti in pravilnosti finančnih transakcij. Za visoko stopnjo kontrole izbor upravičencev, ki jih je treba revidirati, predvideva združevanje izbora na podlagi tveganja z</w:t>
      </w:r>
      <w:r>
        <w:rPr>
          <w:noProof/>
        </w:rPr>
        <w:t xml:space="preserve"> naključnim vzorčenjem in, kadar je to mogoče, usmerjanje pozornosti v operativne vidike v času revizije na kraju samem.</w:t>
      </w:r>
    </w:p>
    <w:p w:rsidR="00FD37A3" w:rsidRDefault="0072500C">
      <w:pPr>
        <w:pStyle w:val="Point1"/>
        <w:rPr>
          <w:i/>
          <w:noProof/>
        </w:rPr>
      </w:pPr>
      <w:r>
        <w:rPr>
          <w:i/>
          <w:noProof/>
        </w:rPr>
        <w:t>2.2.3.</w:t>
      </w:r>
      <w:r>
        <w:rPr>
          <w:i/>
          <w:noProof/>
        </w:rPr>
        <w:tab/>
        <w:t>Ocena in utemeljitev stroškovne učinkovitosti kontrol (razmerje „stroški kontrol ÷ vrednost z njimi povezanih upravljanih sredst</w:t>
      </w:r>
      <w:r>
        <w:rPr>
          <w:i/>
          <w:noProof/>
        </w:rPr>
        <w:t xml:space="preserve">ev“) ter ocena pričakovane stopnje tveganja napake (ob plačilu in ob zaključku)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Letni stroški predlagane ravni kontrol v okviru tretjega zdravstvenega programa za obdobje 2014–2020 so znašali približno 4–7 % letnega proračuna za odhodke iz poslovanja. To </w:t>
      </w:r>
      <w:r>
        <w:rPr>
          <w:noProof/>
        </w:rPr>
        <w:t>je utemeljeno z raznolikostjo transakcij, pri katerih je potrebna kontrola. Na področju zdravja neposredno upravljanje namreč zajema oddajo številnih naročil in dodelitev nepovratnih sredstev za ukrepe, ki so lahko zelo majhni ali pa zelo obsežni, ter izpl</w:t>
      </w:r>
      <w:r>
        <w:rPr>
          <w:noProof/>
        </w:rPr>
        <w:t xml:space="preserve">ačilo številnih nepovratnih sredstev za poslovanje nevladnim organizacijam. Tveganje, povezano s temi dejavnostmi, se nanaša na zmogljivost (zlasti) manjših organizacij za učinkovito kontrolo odhodkov.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Komisija meni, da se bodo povprečni stroški kontrol v</w:t>
      </w:r>
      <w:r>
        <w:rPr>
          <w:noProof/>
        </w:rPr>
        <w:t>erjetno zmanjšali zaradi razširjenega področja uporabe in povečanega proračuna novega Programa EU za zdravje.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V okviru tretjega zdravstvenega programa za obdobje 2014–2020 je v petletnem obdobju stopnja napak za revizije nepovratnih sredstev v okviru nepos</w:t>
      </w:r>
      <w:r>
        <w:rPr>
          <w:noProof/>
        </w:rPr>
        <w:t xml:space="preserve">rednega upravljanja na kraju samem znašala 1,8 %, za javna naročila pa manj kot 1 %. Ta stopnja napak se šteje za sprejemljivo, saj je pod 2-odstotnim pragom pomembnosti. </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Predlagane spremembe Programa ne bodo vplivale na sedanji način upravljanja odobrite</w:t>
      </w:r>
      <w:r>
        <w:rPr>
          <w:noProof/>
        </w:rPr>
        <w:t>v. Izkazalo se je, da obstoječi kontrolni sistem lahko prepreči in/ali odkrije napake in/ali nepravilnosti ter jih popravi. Prilagojen bo tako, da bo vključeval nove ukrepe in zagotovil, da bodo stopnje preostalih napak (po popravku) ostale pod 2-odstotnim</w:t>
      </w:r>
      <w:r>
        <w:rPr>
          <w:noProof/>
        </w:rPr>
        <w:t xml:space="preserve"> pragom.</w:t>
      </w:r>
    </w:p>
    <w:p w:rsidR="00FD37A3" w:rsidRDefault="0072500C">
      <w:pPr>
        <w:pStyle w:val="Point0"/>
        <w:rPr>
          <w:b/>
          <w:bCs/>
          <w:noProof/>
          <w:szCs w:val="24"/>
        </w:rPr>
      </w:pPr>
      <w:r>
        <w:rPr>
          <w:b/>
          <w:noProof/>
        </w:rPr>
        <w:t>2.3.</w:t>
      </w:r>
      <w:r>
        <w:rPr>
          <w:b/>
          <w:noProof/>
        </w:rPr>
        <w:tab/>
        <w:t xml:space="preserve">Ukrepi za preprečevanje goljufij in nepravilnosti </w:t>
      </w:r>
    </w:p>
    <w:p w:rsidR="00FD37A3" w:rsidRDefault="0072500C">
      <w:pPr>
        <w:pStyle w:val="Text1"/>
        <w:rPr>
          <w:i/>
          <w:noProof/>
          <w:sz w:val="20"/>
        </w:rPr>
      </w:pPr>
      <w:r>
        <w:rPr>
          <w:i/>
          <w:noProof/>
          <w:sz w:val="20"/>
        </w:rPr>
        <w:t>Navedite obstoječe ali načrtovane preprečevalne in zaščitne ukrepe, npr. iz strategije za boj proti goljufijam.</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Komisija v zvezi s svojimi dejavnostmi v neposrednem in posrednem upravljanju s</w:t>
      </w:r>
      <w:r>
        <w:rPr>
          <w:noProof/>
        </w:rPr>
        <w:t>prejme ustrezne ukrepe, s katerimi zagotovi, da so finančni interesi Evropske unije zaščiteni z izvajanjem preventivnih ukrepov proti goljufijam, korupciji in drugim nezakonitim dejavnostim z učinkovitim preverjanjem, ob odkritju nepravilnosti pa z izterja</w:t>
      </w:r>
      <w:r>
        <w:rPr>
          <w:noProof/>
        </w:rPr>
        <w:t>vo neupravičeno izplačanih zneskov ter po potrebi z učinkovitimi, sorazmernimi in odvračilnimi upravnimi ter denarnimi kaznimi. V ta namen je Komisija sprejela strategijo za boj proti goljufijam, ki je bila nazadnje posodobljena aprila 2019 (COM(2019) 176)</w:t>
      </w:r>
      <w:r>
        <w:rPr>
          <w:noProof/>
        </w:rPr>
        <w:t xml:space="preserve"> in ki zajema zlasti naslednje ukrepe za preprečevanje, odkrivanje in odpravljanje napak:</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Komisija ali njeni predstavniki in Računsko sodišče so pooblaščeni za izvajanje revizij na podlagi dokumentov ali na kraju samem pri vseh upravičencih do nepovratnih </w:t>
      </w:r>
      <w:r>
        <w:rPr>
          <w:noProof/>
        </w:rPr>
        <w:t>sredstev, izvajalcih in podizvajalcih, ki so prejeli finančna sredstva Unije. Urad OLAF je pooblaščen za opravljanje pregledov in inšpekcij na kraju samem pri gospodarskih subjektih, ki jih tako financiranje neposredno ali posredno zadeva.</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Komisija poleg t</w:t>
      </w:r>
      <w:r>
        <w:rPr>
          <w:noProof/>
        </w:rPr>
        <w:t>ega izvaja vrsto ukrepov, npr.:</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sklepi, sporazumi in pogodbe, ki izhajajo iz izvajanja Programa, bodo Komisiji, vključno z uradom OLAF, in Računskemu sodišču izrecno dovolili izvajanje revizij ter pregledov in inšpekcij na kraju samem ter izterjavo neupr</w:t>
      </w:r>
      <w:r>
        <w:rPr>
          <w:noProof/>
        </w:rPr>
        <w:t>avičeno plačanih zneskov in po potrebi naložitev upravnih sankcij;</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preverjanje predlagateljev in ponudnikov glede na objavljena merila za izključitev na podlagi izjav ter sistema za zgodnje odkrivanje in izključitev med ocenjevalno fazo razpisa za zbiran</w:t>
      </w:r>
      <w:r>
        <w:rPr>
          <w:noProof/>
        </w:rPr>
        <w:t>je predlogov/ponudb;</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poenostavitev pravil za upravičenost stroškov v skladu z določbami finančne uredbe;</w:t>
      </w:r>
    </w:p>
    <w:p w:rsidR="00FD37A3" w:rsidRDefault="0072500C">
      <w:pPr>
        <w:pStyle w:val="Text1"/>
        <w:pBdr>
          <w:top w:val="single" w:sz="4" w:space="1" w:color="auto"/>
          <w:left w:val="single" w:sz="4" w:space="4" w:color="auto"/>
          <w:bottom w:val="single" w:sz="4" w:space="1" w:color="auto"/>
          <w:right w:val="single" w:sz="4" w:space="4" w:color="auto"/>
        </w:pBdr>
        <w:rPr>
          <w:noProof/>
        </w:rPr>
      </w:pPr>
      <w:r>
        <w:rPr>
          <w:noProof/>
        </w:rPr>
        <w:t xml:space="preserve">– vsi zaposleni, ki so vključeni v upravljanje pogodb, ter revizorji in nadzorniki, ki preverjajo izjave upravičencev na kraju samem, se redno </w:t>
      </w:r>
      <w:r>
        <w:rPr>
          <w:noProof/>
        </w:rPr>
        <w:t>izobražujejo o vprašanjih, povezanih z goljufijami in nepravilnostmi.</w:t>
      </w:r>
    </w:p>
    <w:p w:rsidR="00FD37A3" w:rsidRDefault="00FD37A3">
      <w:pPr>
        <w:pStyle w:val="Text1"/>
        <w:pBdr>
          <w:top w:val="single" w:sz="4" w:space="1" w:color="auto"/>
          <w:left w:val="single" w:sz="4" w:space="4" w:color="auto"/>
          <w:bottom w:val="single" w:sz="4" w:space="1" w:color="auto"/>
          <w:right w:val="single" w:sz="4" w:space="4" w:color="auto"/>
        </w:pBdr>
        <w:rPr>
          <w:noProof/>
        </w:rPr>
        <w:sectPr w:rsidR="00FD37A3">
          <w:pgSz w:w="11907" w:h="16840" w:code="9"/>
          <w:pgMar w:top="1134" w:right="1418" w:bottom="1134" w:left="1418" w:header="709" w:footer="709" w:gutter="0"/>
          <w:cols w:space="708"/>
          <w:docGrid w:linePitch="360"/>
        </w:sectPr>
      </w:pPr>
    </w:p>
    <w:p w:rsidR="00FD37A3" w:rsidRDefault="0072500C">
      <w:pPr>
        <w:pStyle w:val="ManualHeading1"/>
        <w:rPr>
          <w:bCs/>
          <w:noProof/>
          <w:szCs w:val="24"/>
        </w:rPr>
      </w:pPr>
      <w:r>
        <w:t>3.</w:t>
      </w:r>
      <w:r>
        <w:tab/>
      </w:r>
      <w:r>
        <w:rPr>
          <w:noProof/>
        </w:rPr>
        <w:t xml:space="preserve">OCENA FINANČNIH POSLEDIC PREDLOGA/POBUDE </w:t>
      </w:r>
    </w:p>
    <w:p w:rsidR="00FD37A3" w:rsidRDefault="0072500C">
      <w:pPr>
        <w:pStyle w:val="Point0"/>
        <w:rPr>
          <w:b/>
          <w:noProof/>
        </w:rPr>
      </w:pPr>
      <w:r>
        <w:rPr>
          <w:b/>
          <w:noProof/>
        </w:rPr>
        <w:t>3.1.</w:t>
      </w:r>
      <w:r>
        <w:rPr>
          <w:b/>
          <w:noProof/>
        </w:rPr>
        <w:tab/>
        <w:t xml:space="preserve">Zadevni razdelki večletnega finančnega okvira in odhodkovne proračunske vrstice </w:t>
      </w:r>
    </w:p>
    <w:p w:rsidR="00FD37A3" w:rsidRDefault="0072500C">
      <w:pPr>
        <w:pStyle w:val="Point1"/>
        <w:rPr>
          <w:noProof/>
        </w:rPr>
      </w:pPr>
      <w:r>
        <w:rPr>
          <w:noProof/>
        </w:rPr>
        <w:t>●</w:t>
      </w:r>
      <w:r>
        <w:rPr>
          <w:noProof/>
        </w:rPr>
        <w:tab/>
        <w:t>Zahtevane nove proračunske vr</w:t>
      </w:r>
      <w:r>
        <w:rPr>
          <w:noProof/>
        </w:rPr>
        <w:t xml:space="preserve">stice </w:t>
      </w:r>
    </w:p>
    <w:p w:rsidR="00FD37A3" w:rsidRDefault="0072500C">
      <w:pPr>
        <w:pStyle w:val="Text1"/>
        <w:rPr>
          <w:i/>
          <w:noProof/>
          <w:sz w:val="20"/>
        </w:rPr>
      </w:pPr>
      <w:r>
        <w:rPr>
          <w:i/>
          <w:noProof/>
          <w:u w:val="single"/>
        </w:rPr>
        <w:t>Po vrstnem redu</w:t>
      </w:r>
      <w:r>
        <w:rPr>
          <w:i/>
          <w:noProof/>
        </w:rPr>
        <w:t xml:space="preserve"> razdelkov večletnega finančnega okvira in proračunskih vrstic</w:t>
      </w: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798"/>
        <w:gridCol w:w="1080"/>
        <w:gridCol w:w="900"/>
        <w:gridCol w:w="990"/>
        <w:gridCol w:w="900"/>
        <w:gridCol w:w="1530"/>
      </w:tblGrid>
      <w:tr w:rsidR="00FD37A3">
        <w:trPr>
          <w:jc w:val="center"/>
        </w:trPr>
        <w:tc>
          <w:tcPr>
            <w:tcW w:w="1080" w:type="dxa"/>
            <w:vMerge w:val="restart"/>
            <w:vAlign w:val="center"/>
          </w:tcPr>
          <w:p w:rsidR="00FD37A3" w:rsidRDefault="0072500C">
            <w:pPr>
              <w:spacing w:before="60" w:after="60"/>
              <w:ind w:left="-37" w:right="-266"/>
              <w:rPr>
                <w:noProof/>
                <w:sz w:val="18"/>
                <w:szCs w:val="18"/>
              </w:rPr>
            </w:pPr>
            <w:r>
              <w:rPr>
                <w:noProof/>
                <w:sz w:val="18"/>
              </w:rPr>
              <w:t>Razdelek večletnega finančnega okvira</w:t>
            </w:r>
          </w:p>
        </w:tc>
        <w:tc>
          <w:tcPr>
            <w:tcW w:w="3798" w:type="dxa"/>
            <w:vAlign w:val="center"/>
          </w:tcPr>
          <w:p w:rsidR="00FD37A3" w:rsidRDefault="0072500C">
            <w:pPr>
              <w:spacing w:before="60" w:after="60"/>
              <w:ind w:left="-482"/>
              <w:jc w:val="center"/>
              <w:rPr>
                <w:noProof/>
              </w:rPr>
            </w:pPr>
            <w:r>
              <w:rPr>
                <w:noProof/>
                <w:sz w:val="20"/>
              </w:rPr>
              <w:t>Proračunska vrstica</w:t>
            </w:r>
          </w:p>
        </w:tc>
        <w:tc>
          <w:tcPr>
            <w:tcW w:w="1080" w:type="dxa"/>
            <w:vAlign w:val="center"/>
          </w:tcPr>
          <w:p w:rsidR="00FD37A3" w:rsidRDefault="0072500C">
            <w:pPr>
              <w:spacing w:before="60" w:after="60"/>
              <w:jc w:val="center"/>
              <w:rPr>
                <w:noProof/>
              </w:rPr>
            </w:pPr>
            <w:r>
              <w:rPr>
                <w:noProof/>
                <w:sz w:val="18"/>
              </w:rPr>
              <w:t>Vrsta</w:t>
            </w:r>
            <w:r>
              <w:rPr>
                <w:noProof/>
                <w:sz w:val="22"/>
              </w:rPr>
              <w:br/>
            </w:r>
            <w:r>
              <w:rPr>
                <w:noProof/>
                <w:sz w:val="18"/>
              </w:rPr>
              <w:t>odhodkov</w:t>
            </w:r>
          </w:p>
        </w:tc>
        <w:tc>
          <w:tcPr>
            <w:tcW w:w="4320" w:type="dxa"/>
            <w:gridSpan w:val="4"/>
            <w:vAlign w:val="center"/>
          </w:tcPr>
          <w:p w:rsidR="00FD37A3" w:rsidRDefault="0072500C">
            <w:pPr>
              <w:spacing w:before="60" w:after="60"/>
              <w:ind w:left="-482"/>
              <w:jc w:val="center"/>
              <w:rPr>
                <w:noProof/>
              </w:rPr>
            </w:pPr>
            <w:r>
              <w:rPr>
                <w:noProof/>
                <w:sz w:val="20"/>
              </w:rPr>
              <w:t xml:space="preserve">Prispevek </w:t>
            </w:r>
          </w:p>
        </w:tc>
      </w:tr>
      <w:tr w:rsidR="00FD37A3">
        <w:trPr>
          <w:jc w:val="center"/>
        </w:trPr>
        <w:tc>
          <w:tcPr>
            <w:tcW w:w="1080" w:type="dxa"/>
            <w:vMerge/>
            <w:vAlign w:val="center"/>
          </w:tcPr>
          <w:p w:rsidR="00FD37A3" w:rsidRDefault="00FD37A3">
            <w:pPr>
              <w:ind w:left="-482"/>
              <w:jc w:val="center"/>
              <w:rPr>
                <w:noProof/>
              </w:rPr>
            </w:pPr>
          </w:p>
        </w:tc>
        <w:tc>
          <w:tcPr>
            <w:tcW w:w="3798" w:type="dxa"/>
            <w:vAlign w:val="center"/>
          </w:tcPr>
          <w:p w:rsidR="00FD37A3" w:rsidRDefault="0072500C">
            <w:pPr>
              <w:ind w:left="-48" w:firstLine="48"/>
              <w:rPr>
                <w:noProof/>
              </w:rPr>
            </w:pPr>
            <w:r>
              <w:rPr>
                <w:rFonts w:ascii="Calibri" w:hAnsi="Calibri"/>
                <w:b/>
                <w:bCs/>
                <w:noProof/>
                <w:sz w:val="16"/>
                <w:szCs w:val="16"/>
              </w:rPr>
              <w:t xml:space="preserve">Razdelek 5: </w:t>
            </w:r>
            <w:r>
              <w:rPr>
                <w:rFonts w:asciiTheme="minorHAnsi" w:hAnsiTheme="minorHAnsi"/>
                <w:noProof/>
                <w:sz w:val="16"/>
                <w:szCs w:val="16"/>
              </w:rPr>
              <w:t>Odpornost, varnost in obramba</w:t>
            </w:r>
          </w:p>
        </w:tc>
        <w:tc>
          <w:tcPr>
            <w:tcW w:w="1080" w:type="dxa"/>
            <w:vAlign w:val="center"/>
          </w:tcPr>
          <w:p w:rsidR="00FD37A3" w:rsidRDefault="0072500C">
            <w:pPr>
              <w:ind w:left="-68"/>
              <w:jc w:val="center"/>
              <w:rPr>
                <w:noProof/>
              </w:rPr>
            </w:pPr>
            <w:r>
              <w:rPr>
                <w:noProof/>
                <w:sz w:val="18"/>
              </w:rPr>
              <w:t>dif./nedif.</w:t>
            </w:r>
          </w:p>
        </w:tc>
        <w:tc>
          <w:tcPr>
            <w:tcW w:w="900" w:type="dxa"/>
            <w:vAlign w:val="center"/>
          </w:tcPr>
          <w:p w:rsidR="00FD37A3" w:rsidRDefault="0072500C">
            <w:pPr>
              <w:ind w:left="-154"/>
              <w:jc w:val="center"/>
              <w:rPr>
                <w:noProof/>
                <w:sz w:val="18"/>
              </w:rPr>
            </w:pPr>
            <w:r>
              <w:rPr>
                <w:noProof/>
                <w:sz w:val="18"/>
              </w:rPr>
              <w:t>držav Efte</w:t>
            </w:r>
          </w:p>
        </w:tc>
        <w:tc>
          <w:tcPr>
            <w:tcW w:w="990" w:type="dxa"/>
            <w:vAlign w:val="center"/>
          </w:tcPr>
          <w:p w:rsidR="00FD37A3" w:rsidRDefault="0072500C">
            <w:pPr>
              <w:ind w:left="-155"/>
              <w:jc w:val="center"/>
              <w:rPr>
                <w:noProof/>
                <w:sz w:val="18"/>
              </w:rPr>
            </w:pPr>
            <w:r>
              <w:rPr>
                <w:noProof/>
                <w:sz w:val="18"/>
              </w:rPr>
              <w:t>držav kandidatk</w:t>
            </w:r>
          </w:p>
        </w:tc>
        <w:tc>
          <w:tcPr>
            <w:tcW w:w="900" w:type="dxa"/>
            <w:vAlign w:val="center"/>
          </w:tcPr>
          <w:p w:rsidR="00FD37A3" w:rsidRDefault="0072500C">
            <w:pPr>
              <w:ind w:left="-155"/>
              <w:jc w:val="center"/>
              <w:rPr>
                <w:noProof/>
                <w:sz w:val="18"/>
              </w:rPr>
            </w:pPr>
            <w:r>
              <w:rPr>
                <w:noProof/>
                <w:sz w:val="18"/>
              </w:rPr>
              <w:t>tretjih držav</w:t>
            </w:r>
          </w:p>
        </w:tc>
        <w:tc>
          <w:tcPr>
            <w:tcW w:w="1530" w:type="dxa"/>
            <w:vAlign w:val="center"/>
          </w:tcPr>
          <w:p w:rsidR="00FD37A3" w:rsidRDefault="0072500C">
            <w:pPr>
              <w:ind w:left="-67"/>
              <w:rPr>
                <w:noProof/>
              </w:rPr>
            </w:pPr>
            <w:r>
              <w:rPr>
                <w:noProof/>
                <w:sz w:val="16"/>
              </w:rPr>
              <w:t xml:space="preserve">po členu 21(2)(b) finančne uredbe </w:t>
            </w:r>
          </w:p>
        </w:tc>
      </w:tr>
      <w:tr w:rsidR="00FD37A3">
        <w:trPr>
          <w:jc w:val="center"/>
        </w:trPr>
        <w:tc>
          <w:tcPr>
            <w:tcW w:w="1080" w:type="dxa"/>
            <w:vAlign w:val="center"/>
          </w:tcPr>
          <w:p w:rsidR="00FD37A3" w:rsidRDefault="0072500C">
            <w:pPr>
              <w:ind w:left="-482"/>
              <w:jc w:val="center"/>
              <w:rPr>
                <w:noProof/>
              </w:rPr>
            </w:pPr>
            <w:r>
              <w:rPr>
                <w:noProof/>
              </w:rPr>
              <w:t>2</w:t>
            </w:r>
          </w:p>
        </w:tc>
        <w:tc>
          <w:tcPr>
            <w:tcW w:w="3798" w:type="dxa"/>
            <w:vAlign w:val="center"/>
          </w:tcPr>
          <w:p w:rsidR="00FD37A3" w:rsidRDefault="0072500C">
            <w:pPr>
              <w:spacing w:after="60"/>
              <w:rPr>
                <w:noProof/>
                <w:sz w:val="22"/>
              </w:rPr>
            </w:pPr>
            <w:r>
              <w:rPr>
                <w:noProof/>
                <w:sz w:val="22"/>
              </w:rPr>
              <w:t>Nova proračunska vrstica: 14 01 xx Program EU za zdravje – odhodki za podporo</w:t>
            </w:r>
          </w:p>
        </w:tc>
        <w:tc>
          <w:tcPr>
            <w:tcW w:w="1080" w:type="dxa"/>
            <w:vAlign w:val="center"/>
          </w:tcPr>
          <w:p w:rsidR="00FD37A3" w:rsidRDefault="0072500C">
            <w:pPr>
              <w:ind w:left="-482"/>
              <w:jc w:val="center"/>
              <w:rPr>
                <w:noProof/>
                <w:color w:val="0000FF"/>
              </w:rPr>
            </w:pPr>
            <w:r>
              <w:rPr>
                <w:noProof/>
              </w:rPr>
              <w:t>nedif.</w:t>
            </w:r>
          </w:p>
        </w:tc>
        <w:tc>
          <w:tcPr>
            <w:tcW w:w="900" w:type="dxa"/>
            <w:vAlign w:val="center"/>
          </w:tcPr>
          <w:p w:rsidR="00FD37A3" w:rsidRDefault="0072500C">
            <w:pPr>
              <w:ind w:left="-482"/>
              <w:jc w:val="center"/>
              <w:rPr>
                <w:noProof/>
              </w:rPr>
            </w:pPr>
            <w:r>
              <w:rPr>
                <w:noProof/>
                <w:sz w:val="22"/>
              </w:rPr>
              <w:t>DA</w:t>
            </w:r>
          </w:p>
        </w:tc>
        <w:tc>
          <w:tcPr>
            <w:tcW w:w="990" w:type="dxa"/>
            <w:vAlign w:val="center"/>
          </w:tcPr>
          <w:p w:rsidR="00FD37A3" w:rsidRDefault="0072500C">
            <w:pPr>
              <w:ind w:left="-482"/>
              <w:jc w:val="center"/>
              <w:rPr>
                <w:noProof/>
                <w:color w:val="0000FF"/>
                <w:sz w:val="18"/>
              </w:rPr>
            </w:pPr>
            <w:r>
              <w:rPr>
                <w:noProof/>
                <w:sz w:val="22"/>
              </w:rPr>
              <w:t>DA</w:t>
            </w:r>
          </w:p>
        </w:tc>
        <w:tc>
          <w:tcPr>
            <w:tcW w:w="900" w:type="dxa"/>
            <w:vAlign w:val="center"/>
          </w:tcPr>
          <w:p w:rsidR="00FD37A3" w:rsidRDefault="0072500C">
            <w:pPr>
              <w:ind w:left="-482"/>
              <w:jc w:val="center"/>
              <w:rPr>
                <w:noProof/>
                <w:color w:val="0000FF"/>
                <w:sz w:val="18"/>
              </w:rPr>
            </w:pPr>
            <w:r>
              <w:rPr>
                <w:noProof/>
                <w:sz w:val="22"/>
              </w:rPr>
              <w:t>DA</w:t>
            </w:r>
          </w:p>
        </w:tc>
        <w:tc>
          <w:tcPr>
            <w:tcW w:w="1530" w:type="dxa"/>
            <w:vAlign w:val="center"/>
          </w:tcPr>
          <w:p w:rsidR="00FD37A3" w:rsidRDefault="0072500C">
            <w:pPr>
              <w:ind w:left="-482"/>
              <w:jc w:val="center"/>
              <w:rPr>
                <w:noProof/>
              </w:rPr>
            </w:pPr>
            <w:r>
              <w:rPr>
                <w:noProof/>
                <w:sz w:val="22"/>
              </w:rPr>
              <w:t>NE</w:t>
            </w:r>
          </w:p>
        </w:tc>
      </w:tr>
      <w:tr w:rsidR="00FD37A3">
        <w:trPr>
          <w:jc w:val="center"/>
        </w:trPr>
        <w:tc>
          <w:tcPr>
            <w:tcW w:w="1080" w:type="dxa"/>
            <w:vAlign w:val="center"/>
          </w:tcPr>
          <w:p w:rsidR="00FD37A3" w:rsidRDefault="0072500C">
            <w:pPr>
              <w:ind w:left="-482"/>
              <w:jc w:val="center"/>
              <w:rPr>
                <w:noProof/>
              </w:rPr>
            </w:pPr>
            <w:r>
              <w:rPr>
                <w:noProof/>
              </w:rPr>
              <w:t>2</w:t>
            </w:r>
          </w:p>
        </w:tc>
        <w:tc>
          <w:tcPr>
            <w:tcW w:w="3798" w:type="dxa"/>
            <w:vAlign w:val="center"/>
          </w:tcPr>
          <w:p w:rsidR="00FD37A3" w:rsidRDefault="0072500C">
            <w:pPr>
              <w:spacing w:before="60"/>
              <w:ind w:left="-48"/>
              <w:rPr>
                <w:noProof/>
              </w:rPr>
            </w:pPr>
            <w:r>
              <w:rPr>
                <w:noProof/>
                <w:sz w:val="22"/>
              </w:rPr>
              <w:t>Nova proračunska vrstica: 14 04 01 Program EU za zdravje</w:t>
            </w:r>
          </w:p>
        </w:tc>
        <w:tc>
          <w:tcPr>
            <w:tcW w:w="1080" w:type="dxa"/>
          </w:tcPr>
          <w:p w:rsidR="00FD37A3" w:rsidRDefault="0072500C">
            <w:pPr>
              <w:ind w:left="-482"/>
              <w:jc w:val="center"/>
              <w:rPr>
                <w:noProof/>
                <w:color w:val="0000FF"/>
              </w:rPr>
            </w:pPr>
            <w:r>
              <w:rPr>
                <w:noProof/>
                <w:sz w:val="22"/>
              </w:rPr>
              <w:t>dif.</w:t>
            </w:r>
          </w:p>
        </w:tc>
        <w:tc>
          <w:tcPr>
            <w:tcW w:w="900" w:type="dxa"/>
            <w:vAlign w:val="center"/>
          </w:tcPr>
          <w:p w:rsidR="00FD37A3" w:rsidRDefault="0072500C">
            <w:pPr>
              <w:ind w:left="-482"/>
              <w:jc w:val="center"/>
              <w:rPr>
                <w:noProof/>
                <w:sz w:val="22"/>
              </w:rPr>
            </w:pPr>
            <w:r>
              <w:rPr>
                <w:noProof/>
                <w:sz w:val="22"/>
              </w:rPr>
              <w:t>DA</w:t>
            </w:r>
          </w:p>
        </w:tc>
        <w:tc>
          <w:tcPr>
            <w:tcW w:w="990" w:type="dxa"/>
            <w:vAlign w:val="center"/>
          </w:tcPr>
          <w:p w:rsidR="00FD37A3" w:rsidRDefault="0072500C">
            <w:pPr>
              <w:ind w:left="-482"/>
              <w:jc w:val="center"/>
              <w:rPr>
                <w:noProof/>
                <w:sz w:val="22"/>
              </w:rPr>
            </w:pPr>
            <w:r>
              <w:rPr>
                <w:noProof/>
                <w:sz w:val="22"/>
              </w:rPr>
              <w:t>DA</w:t>
            </w:r>
          </w:p>
        </w:tc>
        <w:tc>
          <w:tcPr>
            <w:tcW w:w="900" w:type="dxa"/>
            <w:vAlign w:val="center"/>
          </w:tcPr>
          <w:p w:rsidR="00FD37A3" w:rsidRDefault="0072500C">
            <w:pPr>
              <w:ind w:left="-482"/>
              <w:jc w:val="center"/>
              <w:rPr>
                <w:noProof/>
                <w:sz w:val="22"/>
              </w:rPr>
            </w:pPr>
            <w:r>
              <w:rPr>
                <w:noProof/>
                <w:sz w:val="22"/>
              </w:rPr>
              <w:t>DA</w:t>
            </w:r>
          </w:p>
        </w:tc>
        <w:tc>
          <w:tcPr>
            <w:tcW w:w="1530" w:type="dxa"/>
            <w:vAlign w:val="center"/>
          </w:tcPr>
          <w:p w:rsidR="00FD37A3" w:rsidRDefault="0072500C">
            <w:pPr>
              <w:ind w:left="-482"/>
              <w:jc w:val="center"/>
              <w:rPr>
                <w:noProof/>
                <w:sz w:val="22"/>
              </w:rPr>
            </w:pPr>
            <w:r>
              <w:rPr>
                <w:noProof/>
                <w:sz w:val="22"/>
              </w:rPr>
              <w:t>NE</w:t>
            </w:r>
          </w:p>
        </w:tc>
      </w:tr>
    </w:tbl>
    <w:p w:rsidR="00FD37A3" w:rsidRDefault="00FD37A3">
      <w:pPr>
        <w:rPr>
          <w:noProof/>
        </w:rPr>
        <w:sectPr w:rsidR="00FD37A3">
          <w:pgSz w:w="11907" w:h="16840" w:code="1"/>
          <w:pgMar w:top="1134" w:right="1418" w:bottom="1134" w:left="1418" w:header="709" w:footer="709" w:gutter="0"/>
          <w:cols w:space="708"/>
          <w:docGrid w:linePitch="360"/>
        </w:sectPr>
      </w:pPr>
    </w:p>
    <w:p w:rsidR="00FD37A3" w:rsidRDefault="0072500C">
      <w:pPr>
        <w:pStyle w:val="Point0"/>
        <w:rPr>
          <w:b/>
          <w:bCs/>
          <w:noProof/>
          <w:szCs w:val="24"/>
        </w:rPr>
      </w:pPr>
      <w:r>
        <w:rPr>
          <w:b/>
          <w:noProof/>
        </w:rPr>
        <w:t>3.2.</w:t>
      </w:r>
      <w:r>
        <w:rPr>
          <w:b/>
          <w:noProof/>
        </w:rPr>
        <w:tab/>
      </w:r>
      <w:r>
        <w:rPr>
          <w:b/>
          <w:noProof/>
        </w:rPr>
        <w:t xml:space="preserve">Ocenjene posledice za odhodke </w:t>
      </w:r>
    </w:p>
    <w:p w:rsidR="00FD37A3" w:rsidRDefault="0072500C">
      <w:pPr>
        <w:pStyle w:val="Point1"/>
        <w:rPr>
          <w:i/>
          <w:noProof/>
          <w:u w:val="single"/>
        </w:rPr>
      </w:pPr>
      <w:r>
        <w:rPr>
          <w:i/>
          <w:noProof/>
        </w:rPr>
        <w:t>3.2.1.</w:t>
      </w:r>
      <w:r>
        <w:rPr>
          <w:i/>
          <w:noProof/>
        </w:rPr>
        <w:tab/>
        <w:t xml:space="preserve">Povzetek ocenjenih posledic za odhodke </w:t>
      </w:r>
    </w:p>
    <w:p w:rsidR="00FD37A3" w:rsidRDefault="0072500C">
      <w:pPr>
        <w:jc w:val="right"/>
        <w:rPr>
          <w:noProof/>
          <w:sz w:val="20"/>
        </w:rPr>
      </w:pPr>
      <w:r>
        <w:rPr>
          <w:noProof/>
          <w:sz w:val="20"/>
        </w:rPr>
        <w:t>v mio. EUR (na tri decimalna mesta natančno)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FD37A3">
        <w:trPr>
          <w:jc w:val="center"/>
        </w:trPr>
        <w:tc>
          <w:tcPr>
            <w:tcW w:w="4744" w:type="dxa"/>
            <w:shd w:val="thinDiagStripe" w:color="C0C0C0" w:fill="auto"/>
            <w:vAlign w:val="center"/>
          </w:tcPr>
          <w:p w:rsidR="00FD37A3" w:rsidRDefault="0072500C">
            <w:pPr>
              <w:spacing w:before="60" w:after="60"/>
              <w:jc w:val="center"/>
              <w:rPr>
                <w:b/>
                <w:noProof/>
              </w:rPr>
            </w:pPr>
            <w:r>
              <w:rPr>
                <w:b/>
                <w:noProof/>
                <w:sz w:val="22"/>
              </w:rPr>
              <w:t xml:space="preserve">Razdelek </w:t>
            </w:r>
            <w:r>
              <w:rPr>
                <w:noProof/>
                <w:sz w:val="22"/>
              </w:rPr>
              <w:br/>
            </w:r>
            <w:r>
              <w:rPr>
                <w:b/>
                <w:noProof/>
                <w:sz w:val="22"/>
              </w:rPr>
              <w:t xml:space="preserve">večletnega finančnega okvira </w:t>
            </w:r>
          </w:p>
        </w:tc>
        <w:tc>
          <w:tcPr>
            <w:tcW w:w="1080" w:type="dxa"/>
            <w:vAlign w:val="center"/>
          </w:tcPr>
          <w:p w:rsidR="00FD37A3" w:rsidRDefault="0072500C">
            <w:pPr>
              <w:spacing w:before="60" w:after="60"/>
              <w:jc w:val="center"/>
              <w:rPr>
                <w:noProof/>
              </w:rPr>
            </w:pPr>
            <w:r>
              <w:rPr>
                <w:b/>
                <w:noProof/>
                <w:sz w:val="22"/>
              </w:rPr>
              <w:t>5</w:t>
            </w:r>
          </w:p>
        </w:tc>
        <w:tc>
          <w:tcPr>
            <w:tcW w:w="7817" w:type="dxa"/>
            <w:vAlign w:val="center"/>
          </w:tcPr>
          <w:p w:rsidR="00FD37A3" w:rsidRDefault="0072500C">
            <w:pPr>
              <w:spacing w:before="60" w:after="60"/>
              <w:rPr>
                <w:noProof/>
              </w:rPr>
            </w:pPr>
            <w:r>
              <w:rPr>
                <w:noProof/>
                <w:sz w:val="20"/>
              </w:rPr>
              <w:t>Odpornost, varnost in obramba</w:t>
            </w:r>
          </w:p>
        </w:tc>
      </w:tr>
    </w:tbl>
    <w:p w:rsidR="00FD37A3" w:rsidRDefault="00FD37A3">
      <w:pPr>
        <w:rPr>
          <w:noProof/>
          <w:sz w:val="16"/>
        </w:rPr>
      </w:pPr>
    </w:p>
    <w:tbl>
      <w:tblPr>
        <w:tblW w:w="146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20"/>
        <w:gridCol w:w="60"/>
        <w:gridCol w:w="1260"/>
        <w:gridCol w:w="540"/>
        <w:gridCol w:w="990"/>
        <w:gridCol w:w="990"/>
        <w:gridCol w:w="990"/>
        <w:gridCol w:w="976"/>
        <w:gridCol w:w="1004"/>
        <w:gridCol w:w="990"/>
        <w:gridCol w:w="990"/>
        <w:gridCol w:w="1033"/>
        <w:gridCol w:w="1127"/>
      </w:tblGrid>
      <w:tr w:rsidR="00FD37A3">
        <w:tc>
          <w:tcPr>
            <w:tcW w:w="3780" w:type="dxa"/>
            <w:gridSpan w:val="2"/>
            <w:vAlign w:val="center"/>
          </w:tcPr>
          <w:p w:rsidR="00FD37A3" w:rsidRDefault="0072500C">
            <w:pPr>
              <w:jc w:val="center"/>
              <w:rPr>
                <w:noProof/>
              </w:rPr>
            </w:pPr>
            <w:r>
              <w:rPr>
                <w:noProof/>
                <w:sz w:val="22"/>
              </w:rPr>
              <w:t>GD SANTE</w:t>
            </w:r>
          </w:p>
        </w:tc>
        <w:tc>
          <w:tcPr>
            <w:tcW w:w="1260" w:type="dxa"/>
          </w:tcPr>
          <w:p w:rsidR="00FD37A3" w:rsidRDefault="00FD37A3">
            <w:pPr>
              <w:rPr>
                <w:noProof/>
                <w:sz w:val="20"/>
              </w:rPr>
            </w:pPr>
          </w:p>
        </w:tc>
        <w:tc>
          <w:tcPr>
            <w:tcW w:w="540" w:type="dxa"/>
          </w:tcPr>
          <w:p w:rsidR="00FD37A3" w:rsidRDefault="00FD37A3">
            <w:pPr>
              <w:jc w:val="center"/>
              <w:rPr>
                <w:noProof/>
                <w:sz w:val="20"/>
              </w:rPr>
            </w:pPr>
          </w:p>
        </w:tc>
        <w:tc>
          <w:tcPr>
            <w:tcW w:w="990" w:type="dxa"/>
            <w:vAlign w:val="center"/>
          </w:tcPr>
          <w:p w:rsidR="00FD37A3" w:rsidRDefault="0072500C">
            <w:pPr>
              <w:jc w:val="center"/>
              <w:rPr>
                <w:noProof/>
                <w:sz w:val="20"/>
              </w:rPr>
            </w:pPr>
            <w:r>
              <w:rPr>
                <w:b/>
                <w:noProof/>
                <w:sz w:val="20"/>
              </w:rPr>
              <w:t>2021</w:t>
            </w:r>
          </w:p>
        </w:tc>
        <w:tc>
          <w:tcPr>
            <w:tcW w:w="990" w:type="dxa"/>
            <w:vAlign w:val="center"/>
          </w:tcPr>
          <w:p w:rsidR="00FD37A3" w:rsidRDefault="0072500C">
            <w:pPr>
              <w:jc w:val="center"/>
              <w:rPr>
                <w:noProof/>
                <w:sz w:val="20"/>
              </w:rPr>
            </w:pPr>
            <w:r>
              <w:rPr>
                <w:b/>
                <w:noProof/>
                <w:sz w:val="20"/>
              </w:rPr>
              <w:t>2022</w:t>
            </w:r>
          </w:p>
        </w:tc>
        <w:tc>
          <w:tcPr>
            <w:tcW w:w="990" w:type="dxa"/>
            <w:vAlign w:val="center"/>
          </w:tcPr>
          <w:p w:rsidR="00FD37A3" w:rsidRDefault="0072500C">
            <w:pPr>
              <w:jc w:val="center"/>
              <w:rPr>
                <w:noProof/>
                <w:sz w:val="20"/>
              </w:rPr>
            </w:pPr>
            <w:r>
              <w:rPr>
                <w:b/>
                <w:noProof/>
                <w:sz w:val="20"/>
              </w:rPr>
              <w:t>2023</w:t>
            </w:r>
          </w:p>
        </w:tc>
        <w:tc>
          <w:tcPr>
            <w:tcW w:w="976" w:type="dxa"/>
            <w:vAlign w:val="center"/>
          </w:tcPr>
          <w:p w:rsidR="00FD37A3" w:rsidRDefault="0072500C">
            <w:pPr>
              <w:jc w:val="center"/>
              <w:rPr>
                <w:noProof/>
                <w:sz w:val="20"/>
              </w:rPr>
            </w:pPr>
            <w:r>
              <w:rPr>
                <w:b/>
                <w:noProof/>
                <w:sz w:val="20"/>
              </w:rPr>
              <w:t>2024</w:t>
            </w:r>
          </w:p>
        </w:tc>
        <w:tc>
          <w:tcPr>
            <w:tcW w:w="1004" w:type="dxa"/>
            <w:vAlign w:val="center"/>
          </w:tcPr>
          <w:p w:rsidR="00FD37A3" w:rsidRDefault="0072500C">
            <w:pPr>
              <w:jc w:val="center"/>
              <w:rPr>
                <w:b/>
                <w:noProof/>
                <w:sz w:val="18"/>
              </w:rPr>
            </w:pPr>
            <w:r>
              <w:rPr>
                <w:b/>
                <w:noProof/>
                <w:sz w:val="18"/>
              </w:rPr>
              <w:t>2025</w:t>
            </w:r>
          </w:p>
        </w:tc>
        <w:tc>
          <w:tcPr>
            <w:tcW w:w="990" w:type="dxa"/>
            <w:vAlign w:val="center"/>
          </w:tcPr>
          <w:p w:rsidR="00FD37A3" w:rsidRDefault="0072500C">
            <w:pPr>
              <w:jc w:val="center"/>
              <w:rPr>
                <w:b/>
                <w:noProof/>
                <w:sz w:val="18"/>
              </w:rPr>
            </w:pPr>
            <w:r>
              <w:rPr>
                <w:b/>
                <w:noProof/>
                <w:sz w:val="18"/>
              </w:rPr>
              <w:t>2026</w:t>
            </w:r>
          </w:p>
        </w:tc>
        <w:tc>
          <w:tcPr>
            <w:tcW w:w="990" w:type="dxa"/>
            <w:vAlign w:val="center"/>
          </w:tcPr>
          <w:p w:rsidR="00FD37A3" w:rsidRDefault="0072500C">
            <w:pPr>
              <w:jc w:val="center"/>
              <w:rPr>
                <w:b/>
                <w:noProof/>
                <w:sz w:val="18"/>
              </w:rPr>
            </w:pPr>
            <w:r>
              <w:rPr>
                <w:b/>
                <w:noProof/>
                <w:sz w:val="18"/>
              </w:rPr>
              <w:t>2027</w:t>
            </w:r>
          </w:p>
        </w:tc>
        <w:tc>
          <w:tcPr>
            <w:tcW w:w="1033" w:type="dxa"/>
          </w:tcPr>
          <w:p w:rsidR="00FD37A3" w:rsidRDefault="0072500C">
            <w:pPr>
              <w:jc w:val="center"/>
              <w:rPr>
                <w:b/>
                <w:noProof/>
                <w:sz w:val="20"/>
              </w:rPr>
            </w:pPr>
            <w:r>
              <w:rPr>
                <w:b/>
                <w:i/>
                <w:noProof/>
                <w:sz w:val="20"/>
              </w:rPr>
              <w:t>Po letu 2027</w:t>
            </w:r>
          </w:p>
        </w:tc>
        <w:tc>
          <w:tcPr>
            <w:tcW w:w="1127" w:type="dxa"/>
            <w:vAlign w:val="center"/>
          </w:tcPr>
          <w:p w:rsidR="00FD37A3" w:rsidRDefault="0072500C">
            <w:pPr>
              <w:jc w:val="center"/>
              <w:rPr>
                <w:b/>
                <w:noProof/>
                <w:sz w:val="20"/>
              </w:rPr>
            </w:pPr>
            <w:r>
              <w:rPr>
                <w:b/>
                <w:noProof/>
                <w:sz w:val="20"/>
              </w:rPr>
              <w:t>SKUPAJ</w:t>
            </w:r>
          </w:p>
        </w:tc>
      </w:tr>
      <w:tr w:rsidR="00FD37A3">
        <w:trPr>
          <w:trHeight w:val="213"/>
        </w:trPr>
        <w:tc>
          <w:tcPr>
            <w:tcW w:w="5580" w:type="dxa"/>
            <w:gridSpan w:val="4"/>
            <w:vAlign w:val="center"/>
          </w:tcPr>
          <w:p w:rsidR="00FD37A3" w:rsidRDefault="0072500C">
            <w:pPr>
              <w:spacing w:before="20" w:after="20"/>
              <w:rPr>
                <w:noProof/>
                <w:sz w:val="21"/>
              </w:rPr>
            </w:pPr>
            <w:r>
              <w:rPr>
                <w:noProof/>
                <w:sz w:val="21"/>
              </w:rPr>
              <w:sym w:font="Wingdings" w:char="F09F"/>
            </w:r>
            <w:r>
              <w:rPr>
                <w:noProof/>
                <w:sz w:val="21"/>
              </w:rPr>
              <w:t xml:space="preserve"> Odobritve za poslovanje </w:t>
            </w:r>
          </w:p>
        </w:tc>
        <w:tc>
          <w:tcPr>
            <w:tcW w:w="990" w:type="dxa"/>
            <w:vAlign w:val="center"/>
          </w:tcPr>
          <w:p w:rsidR="00FD37A3" w:rsidRDefault="00FD37A3">
            <w:pPr>
              <w:rPr>
                <w:noProof/>
                <w:sz w:val="20"/>
              </w:rPr>
            </w:pPr>
          </w:p>
        </w:tc>
        <w:tc>
          <w:tcPr>
            <w:tcW w:w="990" w:type="dxa"/>
            <w:vAlign w:val="center"/>
          </w:tcPr>
          <w:p w:rsidR="00FD37A3" w:rsidRDefault="00FD37A3">
            <w:pPr>
              <w:rPr>
                <w:noProof/>
                <w:sz w:val="20"/>
              </w:rPr>
            </w:pPr>
          </w:p>
        </w:tc>
        <w:tc>
          <w:tcPr>
            <w:tcW w:w="990" w:type="dxa"/>
            <w:vAlign w:val="center"/>
          </w:tcPr>
          <w:p w:rsidR="00FD37A3" w:rsidRDefault="00FD37A3">
            <w:pPr>
              <w:rPr>
                <w:noProof/>
                <w:sz w:val="20"/>
              </w:rPr>
            </w:pPr>
          </w:p>
        </w:tc>
        <w:tc>
          <w:tcPr>
            <w:tcW w:w="976" w:type="dxa"/>
            <w:vAlign w:val="center"/>
          </w:tcPr>
          <w:p w:rsidR="00FD37A3" w:rsidRDefault="00FD37A3">
            <w:pPr>
              <w:rPr>
                <w:noProof/>
                <w:sz w:val="20"/>
              </w:rPr>
            </w:pPr>
          </w:p>
        </w:tc>
        <w:tc>
          <w:tcPr>
            <w:tcW w:w="1004" w:type="dxa"/>
            <w:vAlign w:val="center"/>
          </w:tcPr>
          <w:p w:rsidR="00FD37A3" w:rsidRDefault="00FD37A3">
            <w:pPr>
              <w:rPr>
                <w:noProof/>
                <w:sz w:val="20"/>
              </w:rPr>
            </w:pPr>
          </w:p>
        </w:tc>
        <w:tc>
          <w:tcPr>
            <w:tcW w:w="990" w:type="dxa"/>
            <w:vAlign w:val="center"/>
          </w:tcPr>
          <w:p w:rsidR="00FD37A3" w:rsidRDefault="00FD37A3">
            <w:pPr>
              <w:rPr>
                <w:noProof/>
                <w:sz w:val="20"/>
              </w:rPr>
            </w:pPr>
          </w:p>
        </w:tc>
        <w:tc>
          <w:tcPr>
            <w:tcW w:w="990" w:type="dxa"/>
            <w:vAlign w:val="center"/>
          </w:tcPr>
          <w:p w:rsidR="00FD37A3" w:rsidRDefault="00FD37A3">
            <w:pPr>
              <w:rPr>
                <w:b/>
                <w:noProof/>
                <w:sz w:val="20"/>
              </w:rPr>
            </w:pPr>
          </w:p>
        </w:tc>
        <w:tc>
          <w:tcPr>
            <w:tcW w:w="1033" w:type="dxa"/>
          </w:tcPr>
          <w:p w:rsidR="00FD37A3" w:rsidRDefault="00FD37A3">
            <w:pPr>
              <w:rPr>
                <w:b/>
                <w:noProof/>
                <w:sz w:val="20"/>
              </w:rPr>
            </w:pPr>
          </w:p>
        </w:tc>
        <w:tc>
          <w:tcPr>
            <w:tcW w:w="1127" w:type="dxa"/>
            <w:vAlign w:val="center"/>
          </w:tcPr>
          <w:p w:rsidR="00FD37A3" w:rsidRDefault="00FD37A3">
            <w:pPr>
              <w:rPr>
                <w:b/>
                <w:noProof/>
                <w:sz w:val="20"/>
              </w:rPr>
            </w:pPr>
          </w:p>
        </w:tc>
      </w:tr>
      <w:tr w:rsidR="00FD37A3">
        <w:trPr>
          <w:trHeight w:val="277"/>
        </w:trPr>
        <w:tc>
          <w:tcPr>
            <w:tcW w:w="3780" w:type="dxa"/>
            <w:gridSpan w:val="2"/>
            <w:vMerge w:val="restart"/>
            <w:vAlign w:val="center"/>
          </w:tcPr>
          <w:p w:rsidR="00FD37A3" w:rsidRDefault="0072500C">
            <w:pPr>
              <w:rPr>
                <w:noProof/>
              </w:rPr>
            </w:pPr>
            <w:r>
              <w:rPr>
                <w:rFonts w:ascii="Tahoma" w:hAnsi="Tahoma"/>
                <w:noProof/>
                <w:color w:val="000000"/>
                <w:sz w:val="16"/>
                <w:szCs w:val="16"/>
              </w:rPr>
              <w:t>14 04 01</w:t>
            </w:r>
            <w:r>
              <w:rPr>
                <w:noProof/>
                <w:sz w:val="20"/>
              </w:rPr>
              <w:t xml:space="preserve"> – letni proračunski postopki</w:t>
            </w:r>
          </w:p>
        </w:tc>
        <w:tc>
          <w:tcPr>
            <w:tcW w:w="1260" w:type="dxa"/>
            <w:vAlign w:val="center"/>
          </w:tcPr>
          <w:p w:rsidR="00FD37A3" w:rsidRDefault="0072500C">
            <w:pPr>
              <w:spacing w:before="20" w:after="20"/>
              <w:rPr>
                <w:noProof/>
                <w:sz w:val="18"/>
              </w:rPr>
            </w:pPr>
            <w:r>
              <w:rPr>
                <w:noProof/>
                <w:sz w:val="18"/>
              </w:rPr>
              <w:t>obveznosti</w:t>
            </w:r>
          </w:p>
        </w:tc>
        <w:tc>
          <w:tcPr>
            <w:tcW w:w="540" w:type="dxa"/>
            <w:vAlign w:val="center"/>
          </w:tcPr>
          <w:p w:rsidR="00FD37A3" w:rsidRDefault="0072500C">
            <w:pPr>
              <w:spacing w:before="20" w:after="20"/>
              <w:jc w:val="center"/>
              <w:rPr>
                <w:noProof/>
                <w:sz w:val="14"/>
              </w:rPr>
            </w:pPr>
            <w:r>
              <w:rPr>
                <w:noProof/>
                <w:sz w:val="14"/>
              </w:rPr>
              <w:t>(1)</w:t>
            </w:r>
          </w:p>
        </w:tc>
        <w:tc>
          <w:tcPr>
            <w:tcW w:w="990" w:type="dxa"/>
            <w:vAlign w:val="center"/>
          </w:tcPr>
          <w:p w:rsidR="00FD37A3" w:rsidRDefault="0072500C">
            <w:pPr>
              <w:spacing w:before="20" w:after="20"/>
              <w:jc w:val="right"/>
              <w:rPr>
                <w:noProof/>
                <w:sz w:val="20"/>
              </w:rPr>
            </w:pPr>
            <w:r>
              <w:rPr>
                <w:noProof/>
                <w:sz w:val="20"/>
              </w:rPr>
              <w:t>20,163</w:t>
            </w:r>
          </w:p>
        </w:tc>
        <w:tc>
          <w:tcPr>
            <w:tcW w:w="990" w:type="dxa"/>
            <w:vAlign w:val="center"/>
          </w:tcPr>
          <w:p w:rsidR="00FD37A3" w:rsidRDefault="0072500C">
            <w:pPr>
              <w:spacing w:before="20" w:after="20"/>
              <w:jc w:val="right"/>
              <w:rPr>
                <w:noProof/>
                <w:sz w:val="20"/>
              </w:rPr>
            </w:pPr>
            <w:r>
              <w:rPr>
                <w:noProof/>
                <w:sz w:val="20"/>
              </w:rPr>
              <w:t>30,849</w:t>
            </w:r>
          </w:p>
        </w:tc>
        <w:tc>
          <w:tcPr>
            <w:tcW w:w="990" w:type="dxa"/>
            <w:vAlign w:val="center"/>
          </w:tcPr>
          <w:p w:rsidR="00FD37A3" w:rsidRDefault="0072500C">
            <w:pPr>
              <w:spacing w:before="20" w:after="20"/>
              <w:jc w:val="right"/>
              <w:rPr>
                <w:noProof/>
                <w:sz w:val="20"/>
              </w:rPr>
            </w:pPr>
            <w:r>
              <w:rPr>
                <w:noProof/>
                <w:sz w:val="20"/>
              </w:rPr>
              <w:t>52,444</w:t>
            </w:r>
          </w:p>
        </w:tc>
        <w:tc>
          <w:tcPr>
            <w:tcW w:w="976" w:type="dxa"/>
            <w:vAlign w:val="center"/>
          </w:tcPr>
          <w:p w:rsidR="00FD37A3" w:rsidRDefault="0072500C">
            <w:pPr>
              <w:spacing w:before="20" w:after="20"/>
              <w:jc w:val="right"/>
              <w:rPr>
                <w:noProof/>
                <w:sz w:val="20"/>
              </w:rPr>
            </w:pPr>
            <w:r>
              <w:rPr>
                <w:noProof/>
                <w:sz w:val="20"/>
              </w:rPr>
              <w:t>85,588</w:t>
            </w:r>
          </w:p>
        </w:tc>
        <w:tc>
          <w:tcPr>
            <w:tcW w:w="1004" w:type="dxa"/>
            <w:vAlign w:val="center"/>
          </w:tcPr>
          <w:p w:rsidR="00FD37A3" w:rsidRDefault="0072500C">
            <w:pPr>
              <w:spacing w:before="20" w:after="20"/>
              <w:jc w:val="right"/>
              <w:rPr>
                <w:noProof/>
                <w:sz w:val="20"/>
              </w:rPr>
            </w:pPr>
            <w:r>
              <w:rPr>
                <w:noProof/>
                <w:sz w:val="20"/>
              </w:rPr>
              <w:t>491,064</w:t>
            </w:r>
          </w:p>
        </w:tc>
        <w:tc>
          <w:tcPr>
            <w:tcW w:w="990" w:type="dxa"/>
            <w:vAlign w:val="center"/>
          </w:tcPr>
          <w:p w:rsidR="00FD37A3" w:rsidRDefault="0072500C">
            <w:pPr>
              <w:spacing w:before="20" w:after="20"/>
              <w:jc w:val="right"/>
              <w:rPr>
                <w:noProof/>
                <w:sz w:val="20"/>
              </w:rPr>
            </w:pPr>
            <w:r>
              <w:rPr>
                <w:noProof/>
                <w:sz w:val="20"/>
              </w:rPr>
              <w:t>578,800</w:t>
            </w:r>
          </w:p>
        </w:tc>
        <w:tc>
          <w:tcPr>
            <w:tcW w:w="990" w:type="dxa"/>
            <w:vAlign w:val="center"/>
          </w:tcPr>
          <w:p w:rsidR="00FD37A3" w:rsidRDefault="0072500C">
            <w:pPr>
              <w:spacing w:before="20" w:after="20"/>
              <w:jc w:val="right"/>
              <w:rPr>
                <w:noProof/>
                <w:sz w:val="20"/>
              </w:rPr>
            </w:pPr>
            <w:r>
              <w:rPr>
                <w:noProof/>
                <w:sz w:val="20"/>
              </w:rPr>
              <w:t>590,376</w:t>
            </w:r>
          </w:p>
        </w:tc>
        <w:tc>
          <w:tcPr>
            <w:tcW w:w="1033" w:type="dxa"/>
          </w:tcPr>
          <w:p w:rsidR="00FD37A3" w:rsidRDefault="00FD37A3">
            <w:pPr>
              <w:spacing w:before="20" w:after="20"/>
              <w:jc w:val="right"/>
              <w:rPr>
                <w:noProof/>
                <w:sz w:val="20"/>
              </w:rPr>
            </w:pPr>
          </w:p>
        </w:tc>
        <w:tc>
          <w:tcPr>
            <w:tcW w:w="1127" w:type="dxa"/>
            <w:vAlign w:val="center"/>
          </w:tcPr>
          <w:p w:rsidR="00FD37A3" w:rsidRDefault="0072500C">
            <w:pPr>
              <w:spacing w:before="0" w:after="0"/>
              <w:jc w:val="right"/>
              <w:rPr>
                <w:b/>
                <w:bCs/>
                <w:noProof/>
                <w:color w:val="000000"/>
                <w:sz w:val="20"/>
                <w:szCs w:val="20"/>
              </w:rPr>
            </w:pPr>
            <w:r>
              <w:rPr>
                <w:b/>
                <w:bCs/>
                <w:noProof/>
                <w:color w:val="000000"/>
                <w:sz w:val="20"/>
                <w:szCs w:val="20"/>
              </w:rPr>
              <w:t>1 849,284</w:t>
            </w:r>
          </w:p>
        </w:tc>
      </w:tr>
      <w:tr w:rsidR="00FD37A3">
        <w:tc>
          <w:tcPr>
            <w:tcW w:w="3780" w:type="dxa"/>
            <w:gridSpan w:val="2"/>
            <w:vMerge/>
          </w:tcPr>
          <w:p w:rsidR="00FD37A3" w:rsidRDefault="00FD37A3">
            <w:pPr>
              <w:jc w:val="center"/>
              <w:rPr>
                <w:noProof/>
                <w:sz w:val="20"/>
              </w:rPr>
            </w:pPr>
          </w:p>
        </w:tc>
        <w:tc>
          <w:tcPr>
            <w:tcW w:w="1260" w:type="dxa"/>
            <w:vAlign w:val="center"/>
          </w:tcPr>
          <w:p w:rsidR="00FD37A3" w:rsidRDefault="0072500C">
            <w:pPr>
              <w:spacing w:before="20" w:after="20"/>
              <w:rPr>
                <w:noProof/>
                <w:sz w:val="18"/>
              </w:rPr>
            </w:pPr>
            <w:r>
              <w:rPr>
                <w:noProof/>
                <w:sz w:val="18"/>
              </w:rPr>
              <w:t>plačila</w:t>
            </w:r>
          </w:p>
        </w:tc>
        <w:tc>
          <w:tcPr>
            <w:tcW w:w="540" w:type="dxa"/>
            <w:vAlign w:val="center"/>
          </w:tcPr>
          <w:p w:rsidR="00FD37A3" w:rsidRDefault="0072500C">
            <w:pPr>
              <w:spacing w:before="20" w:after="20"/>
              <w:jc w:val="center"/>
              <w:rPr>
                <w:noProof/>
                <w:sz w:val="14"/>
              </w:rPr>
            </w:pPr>
            <w:r>
              <w:rPr>
                <w:noProof/>
                <w:sz w:val="14"/>
              </w:rPr>
              <w:t>(2)</w:t>
            </w:r>
          </w:p>
        </w:tc>
        <w:tc>
          <w:tcPr>
            <w:tcW w:w="990" w:type="dxa"/>
            <w:vAlign w:val="center"/>
          </w:tcPr>
          <w:p w:rsidR="00FD37A3" w:rsidRDefault="0072500C">
            <w:pPr>
              <w:spacing w:before="20" w:after="20"/>
              <w:jc w:val="right"/>
              <w:rPr>
                <w:noProof/>
                <w:sz w:val="20"/>
              </w:rPr>
            </w:pPr>
            <w:r>
              <w:rPr>
                <w:noProof/>
                <w:sz w:val="20"/>
              </w:rPr>
              <w:t>4,056</w:t>
            </w:r>
          </w:p>
        </w:tc>
        <w:tc>
          <w:tcPr>
            <w:tcW w:w="990" w:type="dxa"/>
            <w:vAlign w:val="center"/>
          </w:tcPr>
          <w:p w:rsidR="00FD37A3" w:rsidRDefault="0072500C">
            <w:pPr>
              <w:spacing w:before="20" w:after="20"/>
              <w:jc w:val="right"/>
              <w:rPr>
                <w:noProof/>
                <w:sz w:val="20"/>
              </w:rPr>
            </w:pPr>
            <w:r>
              <w:rPr>
                <w:noProof/>
                <w:sz w:val="20"/>
              </w:rPr>
              <w:t>12,928</w:t>
            </w:r>
          </w:p>
        </w:tc>
        <w:tc>
          <w:tcPr>
            <w:tcW w:w="990" w:type="dxa"/>
            <w:vAlign w:val="center"/>
          </w:tcPr>
          <w:p w:rsidR="00FD37A3" w:rsidRDefault="0072500C">
            <w:pPr>
              <w:spacing w:before="20" w:after="20"/>
              <w:jc w:val="right"/>
              <w:rPr>
                <w:noProof/>
                <w:sz w:val="20"/>
              </w:rPr>
            </w:pPr>
            <w:r>
              <w:rPr>
                <w:noProof/>
                <w:sz w:val="20"/>
              </w:rPr>
              <w:t>24,360</w:t>
            </w:r>
          </w:p>
        </w:tc>
        <w:tc>
          <w:tcPr>
            <w:tcW w:w="976" w:type="dxa"/>
            <w:vAlign w:val="center"/>
          </w:tcPr>
          <w:p w:rsidR="00FD37A3" w:rsidRDefault="0072500C">
            <w:pPr>
              <w:spacing w:before="20" w:after="20"/>
              <w:jc w:val="right"/>
              <w:rPr>
                <w:noProof/>
                <w:sz w:val="20"/>
              </w:rPr>
            </w:pPr>
            <w:r>
              <w:rPr>
                <w:noProof/>
                <w:sz w:val="20"/>
              </w:rPr>
              <w:t>42,368</w:t>
            </w:r>
          </w:p>
        </w:tc>
        <w:tc>
          <w:tcPr>
            <w:tcW w:w="1004" w:type="dxa"/>
            <w:vAlign w:val="center"/>
          </w:tcPr>
          <w:p w:rsidR="00FD37A3" w:rsidRDefault="0072500C">
            <w:pPr>
              <w:spacing w:before="20" w:after="20"/>
              <w:jc w:val="right"/>
              <w:rPr>
                <w:noProof/>
                <w:sz w:val="20"/>
              </w:rPr>
            </w:pPr>
            <w:r>
              <w:rPr>
                <w:noProof/>
                <w:sz w:val="20"/>
              </w:rPr>
              <w:t>140,831</w:t>
            </w:r>
          </w:p>
        </w:tc>
        <w:tc>
          <w:tcPr>
            <w:tcW w:w="990" w:type="dxa"/>
            <w:vAlign w:val="center"/>
          </w:tcPr>
          <w:p w:rsidR="00FD37A3" w:rsidRDefault="0072500C">
            <w:pPr>
              <w:spacing w:before="20" w:after="20"/>
              <w:jc w:val="right"/>
              <w:rPr>
                <w:noProof/>
                <w:sz w:val="20"/>
              </w:rPr>
            </w:pPr>
            <w:r>
              <w:rPr>
                <w:noProof/>
                <w:sz w:val="20"/>
              </w:rPr>
              <w:t>303,186</w:t>
            </w:r>
          </w:p>
        </w:tc>
        <w:tc>
          <w:tcPr>
            <w:tcW w:w="990" w:type="dxa"/>
            <w:vAlign w:val="center"/>
          </w:tcPr>
          <w:p w:rsidR="00FD37A3" w:rsidRDefault="0072500C">
            <w:pPr>
              <w:spacing w:before="20" w:after="20"/>
              <w:jc w:val="right"/>
              <w:rPr>
                <w:noProof/>
                <w:sz w:val="20"/>
              </w:rPr>
            </w:pPr>
            <w:r>
              <w:rPr>
                <w:noProof/>
                <w:sz w:val="20"/>
              </w:rPr>
              <w:t>411,044</w:t>
            </w:r>
          </w:p>
        </w:tc>
        <w:tc>
          <w:tcPr>
            <w:tcW w:w="1033" w:type="dxa"/>
            <w:vAlign w:val="center"/>
          </w:tcPr>
          <w:p w:rsidR="00FD37A3" w:rsidRDefault="0072500C">
            <w:pPr>
              <w:spacing w:before="20" w:after="20"/>
              <w:jc w:val="right"/>
              <w:rPr>
                <w:noProof/>
                <w:sz w:val="20"/>
              </w:rPr>
            </w:pPr>
            <w:r>
              <w:rPr>
                <w:noProof/>
                <w:sz w:val="20"/>
              </w:rPr>
              <w:t>910,511</w:t>
            </w:r>
          </w:p>
        </w:tc>
        <w:tc>
          <w:tcPr>
            <w:tcW w:w="1127" w:type="dxa"/>
            <w:vAlign w:val="center"/>
          </w:tcPr>
          <w:p w:rsidR="00FD37A3" w:rsidRDefault="0072500C">
            <w:pPr>
              <w:spacing w:before="20" w:after="20"/>
              <w:jc w:val="right"/>
              <w:rPr>
                <w:b/>
                <w:noProof/>
                <w:sz w:val="20"/>
              </w:rPr>
            </w:pPr>
            <w:r>
              <w:rPr>
                <w:b/>
                <w:noProof/>
                <w:sz w:val="20"/>
              </w:rPr>
              <w:t>1 849,284</w:t>
            </w:r>
          </w:p>
        </w:tc>
      </w:tr>
      <w:tr w:rsidR="00FD37A3">
        <w:trPr>
          <w:trHeight w:val="231"/>
        </w:trPr>
        <w:tc>
          <w:tcPr>
            <w:tcW w:w="3720" w:type="dxa"/>
            <w:vAlign w:val="center"/>
          </w:tcPr>
          <w:p w:rsidR="00FD37A3" w:rsidRDefault="0072500C">
            <w:pPr>
              <w:spacing w:before="20" w:after="20"/>
              <w:rPr>
                <w:noProof/>
              </w:rPr>
            </w:pPr>
            <w:r>
              <w:rPr>
                <w:noProof/>
                <w:sz w:val="21"/>
              </w:rPr>
              <w:sym w:font="Wingdings" w:char="F09F"/>
            </w:r>
            <w:r>
              <w:rPr>
                <w:noProof/>
                <w:sz w:val="21"/>
              </w:rPr>
              <w:t xml:space="preserve"> Odobritve za upravne zadeve, ki se financirajo iz sredstev določenih programov</w:t>
            </w:r>
            <w:r>
              <w:rPr>
                <w:rStyle w:val="FootnoteReference"/>
                <w:noProof/>
                <w:sz w:val="21"/>
              </w:rPr>
              <w:footnoteReference w:id="31"/>
            </w:r>
            <w:r>
              <w:rPr>
                <w:noProof/>
                <w:sz w:val="21"/>
              </w:rPr>
              <w:t xml:space="preserve"> </w:t>
            </w:r>
          </w:p>
        </w:tc>
        <w:tc>
          <w:tcPr>
            <w:tcW w:w="1320" w:type="dxa"/>
            <w:gridSpan w:val="2"/>
            <w:vAlign w:val="center"/>
          </w:tcPr>
          <w:p w:rsidR="00FD37A3" w:rsidRDefault="00FD37A3">
            <w:pPr>
              <w:spacing w:before="0" w:after="0"/>
              <w:rPr>
                <w:noProof/>
              </w:rPr>
            </w:pPr>
          </w:p>
        </w:tc>
        <w:tc>
          <w:tcPr>
            <w:tcW w:w="540" w:type="dxa"/>
            <w:vAlign w:val="center"/>
          </w:tcPr>
          <w:p w:rsidR="00FD37A3" w:rsidRDefault="00FD37A3">
            <w:pPr>
              <w:spacing w:before="20" w:after="20"/>
              <w:jc w:val="center"/>
              <w:rPr>
                <w:noProof/>
              </w:rPr>
            </w:pPr>
          </w:p>
        </w:tc>
        <w:tc>
          <w:tcPr>
            <w:tcW w:w="990" w:type="dxa"/>
            <w:vAlign w:val="center"/>
          </w:tcPr>
          <w:p w:rsidR="00FD37A3" w:rsidRDefault="00FD37A3">
            <w:pPr>
              <w:rPr>
                <w:b/>
                <w:noProof/>
                <w:sz w:val="20"/>
              </w:rPr>
            </w:pPr>
          </w:p>
        </w:tc>
        <w:tc>
          <w:tcPr>
            <w:tcW w:w="990" w:type="dxa"/>
            <w:vAlign w:val="center"/>
          </w:tcPr>
          <w:p w:rsidR="00FD37A3" w:rsidRDefault="00FD37A3">
            <w:pPr>
              <w:rPr>
                <w:b/>
                <w:noProof/>
                <w:sz w:val="20"/>
              </w:rPr>
            </w:pPr>
          </w:p>
        </w:tc>
        <w:tc>
          <w:tcPr>
            <w:tcW w:w="990" w:type="dxa"/>
            <w:vAlign w:val="center"/>
          </w:tcPr>
          <w:p w:rsidR="00FD37A3" w:rsidRDefault="00FD37A3">
            <w:pPr>
              <w:rPr>
                <w:b/>
                <w:noProof/>
                <w:sz w:val="20"/>
              </w:rPr>
            </w:pPr>
          </w:p>
        </w:tc>
        <w:tc>
          <w:tcPr>
            <w:tcW w:w="976" w:type="dxa"/>
            <w:vAlign w:val="center"/>
          </w:tcPr>
          <w:p w:rsidR="00FD37A3" w:rsidRDefault="00FD37A3">
            <w:pPr>
              <w:rPr>
                <w:b/>
                <w:noProof/>
                <w:sz w:val="20"/>
              </w:rPr>
            </w:pPr>
          </w:p>
        </w:tc>
        <w:tc>
          <w:tcPr>
            <w:tcW w:w="1004" w:type="dxa"/>
            <w:vAlign w:val="center"/>
          </w:tcPr>
          <w:p w:rsidR="00FD37A3" w:rsidRDefault="00FD37A3">
            <w:pPr>
              <w:rPr>
                <w:b/>
                <w:noProof/>
                <w:sz w:val="20"/>
              </w:rPr>
            </w:pPr>
          </w:p>
        </w:tc>
        <w:tc>
          <w:tcPr>
            <w:tcW w:w="990" w:type="dxa"/>
            <w:vAlign w:val="center"/>
          </w:tcPr>
          <w:p w:rsidR="00FD37A3" w:rsidRDefault="00FD37A3">
            <w:pPr>
              <w:rPr>
                <w:b/>
                <w:noProof/>
                <w:sz w:val="20"/>
              </w:rPr>
            </w:pPr>
          </w:p>
        </w:tc>
        <w:tc>
          <w:tcPr>
            <w:tcW w:w="990" w:type="dxa"/>
            <w:vAlign w:val="center"/>
          </w:tcPr>
          <w:p w:rsidR="00FD37A3" w:rsidRDefault="00FD37A3">
            <w:pPr>
              <w:rPr>
                <w:b/>
                <w:noProof/>
                <w:sz w:val="20"/>
              </w:rPr>
            </w:pPr>
          </w:p>
        </w:tc>
        <w:tc>
          <w:tcPr>
            <w:tcW w:w="1033" w:type="dxa"/>
          </w:tcPr>
          <w:p w:rsidR="00FD37A3" w:rsidRDefault="00FD37A3">
            <w:pPr>
              <w:rPr>
                <w:b/>
                <w:noProof/>
                <w:sz w:val="20"/>
              </w:rPr>
            </w:pPr>
          </w:p>
        </w:tc>
        <w:tc>
          <w:tcPr>
            <w:tcW w:w="1127" w:type="dxa"/>
            <w:vAlign w:val="center"/>
          </w:tcPr>
          <w:p w:rsidR="00FD37A3" w:rsidRDefault="00FD37A3">
            <w:pPr>
              <w:spacing w:before="0" w:after="0"/>
              <w:jc w:val="right"/>
              <w:rPr>
                <w:b/>
                <w:noProof/>
                <w:sz w:val="20"/>
              </w:rPr>
            </w:pPr>
          </w:p>
        </w:tc>
      </w:tr>
      <w:tr w:rsidR="00FD37A3">
        <w:trPr>
          <w:trHeight w:val="319"/>
        </w:trPr>
        <w:tc>
          <w:tcPr>
            <w:tcW w:w="3780" w:type="dxa"/>
            <w:gridSpan w:val="2"/>
            <w:vAlign w:val="center"/>
          </w:tcPr>
          <w:p w:rsidR="00FD37A3" w:rsidRDefault="0072500C">
            <w:pPr>
              <w:spacing w:before="60" w:after="60"/>
              <w:rPr>
                <w:noProof/>
              </w:rPr>
            </w:pPr>
            <w:r>
              <w:rPr>
                <w:rFonts w:ascii="Tahoma" w:hAnsi="Tahoma"/>
                <w:noProof/>
                <w:color w:val="000000"/>
                <w:sz w:val="16"/>
                <w:szCs w:val="16"/>
              </w:rPr>
              <w:t>14 01 xx – podpora</w:t>
            </w:r>
          </w:p>
        </w:tc>
        <w:tc>
          <w:tcPr>
            <w:tcW w:w="1260" w:type="dxa"/>
            <w:vAlign w:val="center"/>
          </w:tcPr>
          <w:p w:rsidR="00FD37A3" w:rsidRDefault="0072500C">
            <w:pPr>
              <w:spacing w:before="40" w:after="40"/>
              <w:jc w:val="right"/>
              <w:rPr>
                <w:noProof/>
                <w:sz w:val="18"/>
              </w:rPr>
            </w:pPr>
            <w:r>
              <w:rPr>
                <w:noProof/>
                <w:sz w:val="18"/>
              </w:rPr>
              <w:t>obveznosti = plačila</w:t>
            </w:r>
          </w:p>
        </w:tc>
        <w:tc>
          <w:tcPr>
            <w:tcW w:w="540" w:type="dxa"/>
            <w:vAlign w:val="center"/>
          </w:tcPr>
          <w:p w:rsidR="00FD37A3" w:rsidRDefault="0072500C">
            <w:pPr>
              <w:spacing w:before="40" w:after="40"/>
              <w:jc w:val="center"/>
              <w:rPr>
                <w:noProof/>
                <w:sz w:val="14"/>
              </w:rPr>
            </w:pPr>
            <w:r>
              <w:rPr>
                <w:noProof/>
                <w:sz w:val="14"/>
              </w:rPr>
              <w:t>(3)</w:t>
            </w:r>
          </w:p>
        </w:tc>
        <w:tc>
          <w:tcPr>
            <w:tcW w:w="990" w:type="dxa"/>
            <w:vAlign w:val="center"/>
          </w:tcPr>
          <w:p w:rsidR="00FD37A3" w:rsidRDefault="0072500C">
            <w:pPr>
              <w:spacing w:before="40" w:after="40"/>
              <w:jc w:val="right"/>
              <w:rPr>
                <w:b/>
                <w:noProof/>
                <w:sz w:val="20"/>
              </w:rPr>
            </w:pPr>
            <w:r>
              <w:rPr>
                <w:noProof/>
                <w:sz w:val="20"/>
              </w:rPr>
              <w:t>1,061</w:t>
            </w:r>
          </w:p>
        </w:tc>
        <w:tc>
          <w:tcPr>
            <w:tcW w:w="990" w:type="dxa"/>
            <w:vAlign w:val="center"/>
          </w:tcPr>
          <w:p w:rsidR="00FD37A3" w:rsidRDefault="0072500C">
            <w:pPr>
              <w:spacing w:before="40" w:after="40"/>
              <w:jc w:val="right"/>
              <w:rPr>
                <w:b/>
                <w:noProof/>
                <w:sz w:val="20"/>
              </w:rPr>
            </w:pPr>
            <w:r>
              <w:rPr>
                <w:noProof/>
                <w:sz w:val="20"/>
              </w:rPr>
              <w:t>1,624</w:t>
            </w:r>
          </w:p>
        </w:tc>
        <w:tc>
          <w:tcPr>
            <w:tcW w:w="990" w:type="dxa"/>
            <w:vAlign w:val="center"/>
          </w:tcPr>
          <w:p w:rsidR="00FD37A3" w:rsidRDefault="0072500C">
            <w:pPr>
              <w:spacing w:before="40" w:after="40"/>
              <w:jc w:val="right"/>
              <w:rPr>
                <w:b/>
                <w:noProof/>
                <w:sz w:val="20"/>
              </w:rPr>
            </w:pPr>
            <w:r>
              <w:rPr>
                <w:noProof/>
                <w:sz w:val="20"/>
              </w:rPr>
              <w:t>2,760</w:t>
            </w:r>
          </w:p>
        </w:tc>
        <w:tc>
          <w:tcPr>
            <w:tcW w:w="976" w:type="dxa"/>
            <w:vAlign w:val="center"/>
          </w:tcPr>
          <w:p w:rsidR="00FD37A3" w:rsidRDefault="0072500C">
            <w:pPr>
              <w:spacing w:before="40" w:after="40"/>
              <w:jc w:val="right"/>
              <w:rPr>
                <w:b/>
                <w:noProof/>
                <w:sz w:val="20"/>
              </w:rPr>
            </w:pPr>
            <w:r>
              <w:rPr>
                <w:noProof/>
                <w:sz w:val="20"/>
              </w:rPr>
              <w:t>4,505</w:t>
            </w:r>
          </w:p>
        </w:tc>
        <w:tc>
          <w:tcPr>
            <w:tcW w:w="1004" w:type="dxa"/>
            <w:vAlign w:val="center"/>
          </w:tcPr>
          <w:p w:rsidR="00FD37A3" w:rsidRDefault="0072500C">
            <w:pPr>
              <w:spacing w:before="40" w:after="40"/>
              <w:jc w:val="right"/>
              <w:rPr>
                <w:b/>
                <w:noProof/>
                <w:sz w:val="20"/>
              </w:rPr>
            </w:pPr>
            <w:r>
              <w:rPr>
                <w:noProof/>
                <w:sz w:val="20"/>
              </w:rPr>
              <w:t>25,845</w:t>
            </w:r>
          </w:p>
        </w:tc>
        <w:tc>
          <w:tcPr>
            <w:tcW w:w="990" w:type="dxa"/>
            <w:vAlign w:val="center"/>
          </w:tcPr>
          <w:p w:rsidR="00FD37A3" w:rsidRDefault="0072500C">
            <w:pPr>
              <w:spacing w:before="40" w:after="40"/>
              <w:jc w:val="right"/>
              <w:rPr>
                <w:b/>
                <w:noProof/>
                <w:sz w:val="20"/>
              </w:rPr>
            </w:pPr>
            <w:r>
              <w:rPr>
                <w:noProof/>
                <w:sz w:val="20"/>
              </w:rPr>
              <w:t>30,463</w:t>
            </w:r>
          </w:p>
        </w:tc>
        <w:tc>
          <w:tcPr>
            <w:tcW w:w="990" w:type="dxa"/>
            <w:vAlign w:val="center"/>
          </w:tcPr>
          <w:p w:rsidR="00FD37A3" w:rsidRDefault="0072500C">
            <w:pPr>
              <w:spacing w:before="40" w:after="40"/>
              <w:jc w:val="right"/>
              <w:rPr>
                <w:noProof/>
                <w:sz w:val="20"/>
              </w:rPr>
            </w:pPr>
            <w:r>
              <w:rPr>
                <w:noProof/>
                <w:sz w:val="20"/>
              </w:rPr>
              <w:t>31,072</w:t>
            </w:r>
          </w:p>
        </w:tc>
        <w:tc>
          <w:tcPr>
            <w:tcW w:w="1033" w:type="dxa"/>
            <w:vAlign w:val="center"/>
          </w:tcPr>
          <w:p w:rsidR="00FD37A3" w:rsidRDefault="00FD37A3">
            <w:pPr>
              <w:spacing w:before="40" w:after="40"/>
              <w:jc w:val="right"/>
              <w:rPr>
                <w:noProof/>
                <w:sz w:val="20"/>
              </w:rPr>
            </w:pPr>
          </w:p>
        </w:tc>
        <w:tc>
          <w:tcPr>
            <w:tcW w:w="1127" w:type="dxa"/>
            <w:vAlign w:val="center"/>
          </w:tcPr>
          <w:p w:rsidR="00FD37A3" w:rsidRDefault="0072500C">
            <w:pPr>
              <w:spacing w:before="40" w:after="40"/>
              <w:jc w:val="right"/>
              <w:rPr>
                <w:b/>
                <w:noProof/>
                <w:sz w:val="20"/>
              </w:rPr>
            </w:pPr>
            <w:r>
              <w:rPr>
                <w:b/>
                <w:noProof/>
                <w:sz w:val="20"/>
              </w:rPr>
              <w:t>97,330</w:t>
            </w:r>
          </w:p>
        </w:tc>
      </w:tr>
      <w:tr w:rsidR="00FD37A3">
        <w:tc>
          <w:tcPr>
            <w:tcW w:w="3780" w:type="dxa"/>
            <w:gridSpan w:val="2"/>
            <w:vMerge w:val="restart"/>
            <w:vAlign w:val="center"/>
          </w:tcPr>
          <w:p w:rsidR="00FD37A3" w:rsidRDefault="0072500C">
            <w:pPr>
              <w:jc w:val="center"/>
              <w:rPr>
                <w:b/>
                <w:noProof/>
              </w:rPr>
            </w:pPr>
            <w:r>
              <w:rPr>
                <w:b/>
                <w:noProof/>
                <w:sz w:val="22"/>
              </w:rPr>
              <w:t>Odobritve za sredstva programa</w:t>
            </w:r>
            <w:r>
              <w:rPr>
                <w:noProof/>
                <w:sz w:val="22"/>
              </w:rPr>
              <w:br/>
            </w:r>
            <w:r>
              <w:rPr>
                <w:b/>
                <w:noProof/>
                <w:sz w:val="22"/>
              </w:rPr>
              <w:t>iz proračunskih postopkov SKUPAJ</w:t>
            </w:r>
          </w:p>
        </w:tc>
        <w:tc>
          <w:tcPr>
            <w:tcW w:w="1260" w:type="dxa"/>
            <w:vAlign w:val="center"/>
          </w:tcPr>
          <w:p w:rsidR="00FD37A3" w:rsidRDefault="0072500C">
            <w:pPr>
              <w:rPr>
                <w:noProof/>
                <w:sz w:val="18"/>
              </w:rPr>
            </w:pPr>
            <w:r>
              <w:rPr>
                <w:noProof/>
                <w:sz w:val="18"/>
              </w:rPr>
              <w:t>obveznosti</w:t>
            </w:r>
          </w:p>
        </w:tc>
        <w:tc>
          <w:tcPr>
            <w:tcW w:w="540" w:type="dxa"/>
            <w:vAlign w:val="center"/>
          </w:tcPr>
          <w:p w:rsidR="00FD37A3" w:rsidRDefault="0072500C">
            <w:pPr>
              <w:jc w:val="center"/>
              <w:rPr>
                <w:noProof/>
                <w:sz w:val="14"/>
              </w:rPr>
            </w:pPr>
            <w:r>
              <w:rPr>
                <w:noProof/>
                <w:sz w:val="14"/>
              </w:rPr>
              <w:t>= 1 + 1a + 3</w:t>
            </w:r>
          </w:p>
        </w:tc>
        <w:tc>
          <w:tcPr>
            <w:tcW w:w="990" w:type="dxa"/>
            <w:vAlign w:val="center"/>
          </w:tcPr>
          <w:p w:rsidR="00FD37A3" w:rsidRDefault="0072500C">
            <w:pPr>
              <w:spacing w:before="20" w:after="20"/>
              <w:jc w:val="right"/>
              <w:rPr>
                <w:noProof/>
                <w:sz w:val="20"/>
              </w:rPr>
            </w:pPr>
            <w:r>
              <w:rPr>
                <w:noProof/>
                <w:sz w:val="20"/>
              </w:rPr>
              <w:t>21,224</w:t>
            </w:r>
          </w:p>
        </w:tc>
        <w:tc>
          <w:tcPr>
            <w:tcW w:w="990" w:type="dxa"/>
            <w:vAlign w:val="center"/>
          </w:tcPr>
          <w:p w:rsidR="00FD37A3" w:rsidRDefault="0072500C">
            <w:pPr>
              <w:spacing w:before="20" w:after="20"/>
              <w:jc w:val="right"/>
              <w:rPr>
                <w:noProof/>
                <w:sz w:val="20"/>
              </w:rPr>
            </w:pPr>
            <w:r>
              <w:rPr>
                <w:noProof/>
                <w:sz w:val="20"/>
              </w:rPr>
              <w:t>32,473</w:t>
            </w:r>
          </w:p>
        </w:tc>
        <w:tc>
          <w:tcPr>
            <w:tcW w:w="990" w:type="dxa"/>
            <w:vAlign w:val="center"/>
          </w:tcPr>
          <w:p w:rsidR="00FD37A3" w:rsidRDefault="0072500C">
            <w:pPr>
              <w:spacing w:before="20" w:after="20"/>
              <w:jc w:val="right"/>
              <w:rPr>
                <w:noProof/>
                <w:sz w:val="20"/>
              </w:rPr>
            </w:pPr>
            <w:r>
              <w:rPr>
                <w:noProof/>
                <w:sz w:val="20"/>
              </w:rPr>
              <w:t>55,204</w:t>
            </w:r>
          </w:p>
        </w:tc>
        <w:tc>
          <w:tcPr>
            <w:tcW w:w="976" w:type="dxa"/>
            <w:vAlign w:val="center"/>
          </w:tcPr>
          <w:p w:rsidR="00FD37A3" w:rsidRDefault="0072500C">
            <w:pPr>
              <w:spacing w:before="20" w:after="20"/>
              <w:jc w:val="right"/>
              <w:rPr>
                <w:noProof/>
                <w:sz w:val="20"/>
              </w:rPr>
            </w:pPr>
            <w:r>
              <w:rPr>
                <w:noProof/>
                <w:sz w:val="20"/>
              </w:rPr>
              <w:t>90,093</w:t>
            </w:r>
          </w:p>
        </w:tc>
        <w:tc>
          <w:tcPr>
            <w:tcW w:w="1004" w:type="dxa"/>
            <w:vAlign w:val="center"/>
          </w:tcPr>
          <w:p w:rsidR="00FD37A3" w:rsidRDefault="0072500C">
            <w:pPr>
              <w:spacing w:before="20" w:after="20"/>
              <w:jc w:val="right"/>
              <w:rPr>
                <w:noProof/>
                <w:sz w:val="20"/>
              </w:rPr>
            </w:pPr>
            <w:r>
              <w:rPr>
                <w:noProof/>
                <w:sz w:val="20"/>
              </w:rPr>
              <w:t>516,909</w:t>
            </w:r>
          </w:p>
        </w:tc>
        <w:tc>
          <w:tcPr>
            <w:tcW w:w="990" w:type="dxa"/>
            <w:vAlign w:val="center"/>
          </w:tcPr>
          <w:p w:rsidR="00FD37A3" w:rsidRDefault="0072500C">
            <w:pPr>
              <w:spacing w:before="20" w:after="20"/>
              <w:jc w:val="right"/>
              <w:rPr>
                <w:noProof/>
                <w:sz w:val="20"/>
              </w:rPr>
            </w:pPr>
            <w:r>
              <w:rPr>
                <w:noProof/>
                <w:sz w:val="20"/>
              </w:rPr>
              <w:t>609,263</w:t>
            </w:r>
          </w:p>
        </w:tc>
        <w:tc>
          <w:tcPr>
            <w:tcW w:w="990" w:type="dxa"/>
            <w:vAlign w:val="center"/>
          </w:tcPr>
          <w:p w:rsidR="00FD37A3" w:rsidRDefault="0072500C">
            <w:pPr>
              <w:spacing w:before="20" w:after="20"/>
              <w:jc w:val="right"/>
              <w:rPr>
                <w:noProof/>
                <w:sz w:val="20"/>
              </w:rPr>
            </w:pPr>
            <w:r>
              <w:rPr>
                <w:noProof/>
                <w:sz w:val="20"/>
              </w:rPr>
              <w:t>621,448</w:t>
            </w:r>
          </w:p>
        </w:tc>
        <w:tc>
          <w:tcPr>
            <w:tcW w:w="1033" w:type="dxa"/>
          </w:tcPr>
          <w:p w:rsidR="00FD37A3" w:rsidRDefault="00FD37A3">
            <w:pPr>
              <w:spacing w:before="20" w:after="20"/>
              <w:jc w:val="right"/>
              <w:rPr>
                <w:noProof/>
                <w:sz w:val="20"/>
              </w:rPr>
            </w:pPr>
          </w:p>
        </w:tc>
        <w:tc>
          <w:tcPr>
            <w:tcW w:w="1127" w:type="dxa"/>
            <w:vAlign w:val="center"/>
          </w:tcPr>
          <w:p w:rsidR="00FD37A3" w:rsidRDefault="0072500C">
            <w:pPr>
              <w:spacing w:before="20" w:after="20"/>
              <w:jc w:val="right"/>
              <w:rPr>
                <w:b/>
                <w:noProof/>
                <w:sz w:val="20"/>
              </w:rPr>
            </w:pPr>
            <w:r>
              <w:rPr>
                <w:b/>
                <w:bCs/>
                <w:noProof/>
                <w:color w:val="000000"/>
                <w:sz w:val="20"/>
                <w:szCs w:val="20"/>
              </w:rPr>
              <w:t>1 946,614</w:t>
            </w:r>
          </w:p>
        </w:tc>
      </w:tr>
      <w:tr w:rsidR="00FD37A3">
        <w:tc>
          <w:tcPr>
            <w:tcW w:w="3780" w:type="dxa"/>
            <w:gridSpan w:val="2"/>
            <w:vMerge/>
          </w:tcPr>
          <w:p w:rsidR="00FD37A3" w:rsidRDefault="00FD37A3">
            <w:pPr>
              <w:rPr>
                <w:noProof/>
                <w:sz w:val="20"/>
              </w:rPr>
            </w:pPr>
          </w:p>
        </w:tc>
        <w:tc>
          <w:tcPr>
            <w:tcW w:w="1260" w:type="dxa"/>
            <w:vAlign w:val="center"/>
          </w:tcPr>
          <w:p w:rsidR="00FD37A3" w:rsidRDefault="0072500C">
            <w:pPr>
              <w:rPr>
                <w:noProof/>
                <w:sz w:val="18"/>
              </w:rPr>
            </w:pPr>
            <w:r>
              <w:rPr>
                <w:noProof/>
                <w:sz w:val="18"/>
              </w:rPr>
              <w:t>plačila</w:t>
            </w:r>
          </w:p>
        </w:tc>
        <w:tc>
          <w:tcPr>
            <w:tcW w:w="540" w:type="dxa"/>
            <w:vAlign w:val="center"/>
          </w:tcPr>
          <w:p w:rsidR="00FD37A3" w:rsidRDefault="0072500C">
            <w:pPr>
              <w:jc w:val="center"/>
              <w:rPr>
                <w:noProof/>
                <w:sz w:val="14"/>
              </w:rPr>
            </w:pPr>
            <w:r>
              <w:rPr>
                <w:noProof/>
                <w:sz w:val="14"/>
              </w:rPr>
              <w:t>= 2 + 2a</w:t>
            </w:r>
          </w:p>
          <w:p w:rsidR="00FD37A3" w:rsidRDefault="0072500C">
            <w:pPr>
              <w:jc w:val="center"/>
              <w:rPr>
                <w:noProof/>
                <w:sz w:val="14"/>
              </w:rPr>
            </w:pPr>
            <w:r>
              <w:rPr>
                <w:noProof/>
                <w:sz w:val="14"/>
              </w:rPr>
              <w:t>+ 3</w:t>
            </w:r>
          </w:p>
        </w:tc>
        <w:tc>
          <w:tcPr>
            <w:tcW w:w="990" w:type="dxa"/>
            <w:vAlign w:val="center"/>
          </w:tcPr>
          <w:p w:rsidR="00FD37A3" w:rsidRDefault="0072500C">
            <w:pPr>
              <w:spacing w:before="20" w:after="20"/>
              <w:jc w:val="right"/>
              <w:rPr>
                <w:noProof/>
                <w:sz w:val="20"/>
              </w:rPr>
            </w:pPr>
            <w:r>
              <w:rPr>
                <w:noProof/>
                <w:sz w:val="20"/>
              </w:rPr>
              <w:t>5,117</w:t>
            </w:r>
          </w:p>
        </w:tc>
        <w:tc>
          <w:tcPr>
            <w:tcW w:w="990" w:type="dxa"/>
            <w:vAlign w:val="center"/>
          </w:tcPr>
          <w:p w:rsidR="00FD37A3" w:rsidRDefault="0072500C">
            <w:pPr>
              <w:spacing w:before="20" w:after="20"/>
              <w:jc w:val="right"/>
              <w:rPr>
                <w:noProof/>
                <w:sz w:val="20"/>
              </w:rPr>
            </w:pPr>
            <w:r>
              <w:rPr>
                <w:noProof/>
                <w:sz w:val="20"/>
              </w:rPr>
              <w:t>14,552</w:t>
            </w:r>
          </w:p>
        </w:tc>
        <w:tc>
          <w:tcPr>
            <w:tcW w:w="990" w:type="dxa"/>
            <w:vAlign w:val="center"/>
          </w:tcPr>
          <w:p w:rsidR="00FD37A3" w:rsidRDefault="0072500C">
            <w:pPr>
              <w:spacing w:before="20" w:after="20"/>
              <w:jc w:val="right"/>
              <w:rPr>
                <w:noProof/>
                <w:sz w:val="20"/>
              </w:rPr>
            </w:pPr>
            <w:r>
              <w:rPr>
                <w:noProof/>
                <w:sz w:val="20"/>
              </w:rPr>
              <w:t>27,120</w:t>
            </w:r>
          </w:p>
        </w:tc>
        <w:tc>
          <w:tcPr>
            <w:tcW w:w="976" w:type="dxa"/>
            <w:vAlign w:val="center"/>
          </w:tcPr>
          <w:p w:rsidR="00FD37A3" w:rsidRDefault="0072500C">
            <w:pPr>
              <w:spacing w:before="20" w:after="20"/>
              <w:jc w:val="right"/>
              <w:rPr>
                <w:noProof/>
                <w:sz w:val="20"/>
              </w:rPr>
            </w:pPr>
            <w:r>
              <w:rPr>
                <w:noProof/>
                <w:sz w:val="20"/>
              </w:rPr>
              <w:t>46,873</w:t>
            </w:r>
          </w:p>
        </w:tc>
        <w:tc>
          <w:tcPr>
            <w:tcW w:w="1004" w:type="dxa"/>
            <w:vAlign w:val="center"/>
          </w:tcPr>
          <w:p w:rsidR="00FD37A3" w:rsidRDefault="0072500C">
            <w:pPr>
              <w:spacing w:before="20" w:after="20"/>
              <w:jc w:val="right"/>
              <w:rPr>
                <w:noProof/>
                <w:sz w:val="20"/>
              </w:rPr>
            </w:pPr>
            <w:r>
              <w:rPr>
                <w:noProof/>
                <w:sz w:val="20"/>
              </w:rPr>
              <w:t>166,676</w:t>
            </w:r>
          </w:p>
        </w:tc>
        <w:tc>
          <w:tcPr>
            <w:tcW w:w="990" w:type="dxa"/>
            <w:vAlign w:val="center"/>
          </w:tcPr>
          <w:p w:rsidR="00FD37A3" w:rsidRDefault="0072500C">
            <w:pPr>
              <w:spacing w:before="20" w:after="20"/>
              <w:jc w:val="right"/>
              <w:rPr>
                <w:noProof/>
                <w:sz w:val="20"/>
              </w:rPr>
            </w:pPr>
            <w:r>
              <w:rPr>
                <w:noProof/>
                <w:sz w:val="20"/>
              </w:rPr>
              <w:t>333,649</w:t>
            </w:r>
          </w:p>
        </w:tc>
        <w:tc>
          <w:tcPr>
            <w:tcW w:w="990" w:type="dxa"/>
            <w:vAlign w:val="center"/>
          </w:tcPr>
          <w:p w:rsidR="00FD37A3" w:rsidRDefault="0072500C">
            <w:pPr>
              <w:spacing w:before="20" w:after="20"/>
              <w:jc w:val="right"/>
              <w:rPr>
                <w:noProof/>
                <w:sz w:val="20"/>
              </w:rPr>
            </w:pPr>
            <w:r>
              <w:rPr>
                <w:noProof/>
                <w:sz w:val="20"/>
              </w:rPr>
              <w:t>442,116</w:t>
            </w:r>
          </w:p>
        </w:tc>
        <w:tc>
          <w:tcPr>
            <w:tcW w:w="1033" w:type="dxa"/>
            <w:vAlign w:val="center"/>
          </w:tcPr>
          <w:p w:rsidR="00FD37A3" w:rsidRDefault="0072500C">
            <w:pPr>
              <w:spacing w:before="20" w:after="20"/>
              <w:jc w:val="right"/>
              <w:rPr>
                <w:noProof/>
                <w:sz w:val="20"/>
              </w:rPr>
            </w:pPr>
            <w:r>
              <w:rPr>
                <w:noProof/>
                <w:sz w:val="20"/>
              </w:rPr>
              <w:t>910,511</w:t>
            </w:r>
          </w:p>
        </w:tc>
        <w:tc>
          <w:tcPr>
            <w:tcW w:w="1127" w:type="dxa"/>
            <w:vAlign w:val="center"/>
          </w:tcPr>
          <w:p w:rsidR="00FD37A3" w:rsidRDefault="0072500C">
            <w:pPr>
              <w:spacing w:before="20" w:after="20"/>
              <w:jc w:val="right"/>
              <w:rPr>
                <w:b/>
                <w:noProof/>
                <w:sz w:val="20"/>
              </w:rPr>
            </w:pPr>
            <w:r>
              <w:rPr>
                <w:b/>
                <w:noProof/>
                <w:sz w:val="20"/>
              </w:rPr>
              <w:t>1 946,614</w:t>
            </w:r>
          </w:p>
        </w:tc>
      </w:tr>
    </w:tbl>
    <w:p w:rsidR="00FD37A3" w:rsidRDefault="0072500C">
      <w:pPr>
        <w:rPr>
          <w:noProof/>
        </w:rPr>
      </w:pPr>
      <w:r>
        <w:rPr>
          <w:noProof/>
        </w:rPr>
        <w:t xml:space="preserve">Program se lahko (delno) prenese na izvajalsko agencijo, odvisno od izida </w:t>
      </w:r>
      <w:r>
        <w:rPr>
          <w:noProof/>
        </w:rPr>
        <w:t>analize stroškov in koristi. Na podlagi tega bodo s tem povezane upravne odobritve za izvajanje Programa v Komisiji in izvajalskih agencijah ustrezno prilagojene.</w:t>
      </w:r>
    </w:p>
    <w:p w:rsidR="00FD37A3" w:rsidRDefault="0072500C">
      <w:pPr>
        <w:rPr>
          <w:iCs/>
          <w:noProof/>
        </w:rPr>
      </w:pPr>
      <w:r>
        <w:rPr>
          <w:noProof/>
        </w:rPr>
        <w:t xml:space="preserve">Poleg finančnih sredstev, določenih v členu 5 predlagane uredbe o Programu EU za zdravje, bo </w:t>
      </w:r>
      <w:r>
        <w:rPr>
          <w:noProof/>
        </w:rPr>
        <w:t xml:space="preserve">na voljo 8 451 000 000 EUR (v tekočih cenah) kot zunanjih namenskih prejemkov v skladu s členom 21(5) finančne uredbe, ki izhajajo iz najemanja posojil Unije, kot je določeno v Uredbi (EU) XXX/XX (uredba EURI). </w:t>
      </w:r>
    </w:p>
    <w:p w:rsidR="00FD37A3" w:rsidRDefault="0072500C">
      <w:pPr>
        <w:rPr>
          <w:iCs/>
          <w:noProof/>
        </w:rPr>
      </w:pPr>
      <w:r>
        <w:rPr>
          <w:noProof/>
        </w:rPr>
        <w:t>Od tega se lahko do 433 560 000 EUR nameni z</w:t>
      </w:r>
      <w:r>
        <w:rPr>
          <w:noProof/>
        </w:rPr>
        <w:t>a upravne odhodke, vključno s stroški za zunanje sodelavce.</w:t>
      </w:r>
    </w:p>
    <w:p w:rsidR="00FD37A3" w:rsidRDefault="0072500C">
      <w:pPr>
        <w:rPr>
          <w:iCs/>
          <w:noProof/>
        </w:rPr>
      </w:pPr>
      <w:r>
        <w:rPr>
          <w:noProof/>
        </w:rPr>
        <w:t xml:space="preserve">V skladu z določbami uredbe EURI se pravne obveznosti, ki se krijejo z zunanjimi namenskimi prejemki, ki izhajajo iz najemanja posojil, prevzamejo do 31. decembra 2024.  </w:t>
      </w:r>
    </w:p>
    <w:p w:rsidR="00FD37A3" w:rsidRDefault="0072500C">
      <w:pPr>
        <w:rPr>
          <w:iCs/>
          <w:noProof/>
        </w:rPr>
      </w:pPr>
      <w:r>
        <w:rPr>
          <w:noProof/>
        </w:rPr>
        <w:t>Okvirna razčlenitev odhod</w:t>
      </w:r>
      <w:r>
        <w:rPr>
          <w:noProof/>
        </w:rPr>
        <w:t>kov za zunanje namenske prejemke je naslednja (v tekočih cenah):</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1260"/>
        <w:gridCol w:w="540"/>
        <w:gridCol w:w="990"/>
        <w:gridCol w:w="990"/>
        <w:gridCol w:w="990"/>
        <w:gridCol w:w="976"/>
        <w:gridCol w:w="1004"/>
        <w:gridCol w:w="990"/>
        <w:gridCol w:w="990"/>
        <w:gridCol w:w="1033"/>
        <w:gridCol w:w="1127"/>
      </w:tblGrid>
      <w:tr w:rsidR="00FD37A3">
        <w:tc>
          <w:tcPr>
            <w:tcW w:w="3780" w:type="dxa"/>
            <w:vAlign w:val="center"/>
          </w:tcPr>
          <w:p w:rsidR="00FD37A3" w:rsidRDefault="0072500C">
            <w:pPr>
              <w:jc w:val="center"/>
              <w:rPr>
                <w:noProof/>
              </w:rPr>
            </w:pPr>
            <w:r>
              <w:rPr>
                <w:noProof/>
                <w:sz w:val="22"/>
              </w:rPr>
              <w:t>Program EU za zdravje</w:t>
            </w:r>
          </w:p>
        </w:tc>
        <w:tc>
          <w:tcPr>
            <w:tcW w:w="1260" w:type="dxa"/>
          </w:tcPr>
          <w:p w:rsidR="00FD37A3" w:rsidRDefault="00FD37A3">
            <w:pPr>
              <w:rPr>
                <w:noProof/>
                <w:sz w:val="20"/>
              </w:rPr>
            </w:pPr>
          </w:p>
        </w:tc>
        <w:tc>
          <w:tcPr>
            <w:tcW w:w="540" w:type="dxa"/>
          </w:tcPr>
          <w:p w:rsidR="00FD37A3" w:rsidRDefault="00FD37A3">
            <w:pPr>
              <w:jc w:val="center"/>
              <w:rPr>
                <w:noProof/>
                <w:sz w:val="20"/>
              </w:rPr>
            </w:pPr>
          </w:p>
        </w:tc>
        <w:tc>
          <w:tcPr>
            <w:tcW w:w="990" w:type="dxa"/>
            <w:vAlign w:val="center"/>
          </w:tcPr>
          <w:p w:rsidR="00FD37A3" w:rsidRDefault="0072500C">
            <w:pPr>
              <w:jc w:val="center"/>
              <w:rPr>
                <w:noProof/>
                <w:sz w:val="20"/>
              </w:rPr>
            </w:pPr>
            <w:r>
              <w:rPr>
                <w:b/>
                <w:noProof/>
                <w:sz w:val="20"/>
              </w:rPr>
              <w:t>2021</w:t>
            </w:r>
          </w:p>
        </w:tc>
        <w:tc>
          <w:tcPr>
            <w:tcW w:w="990" w:type="dxa"/>
            <w:vAlign w:val="center"/>
          </w:tcPr>
          <w:p w:rsidR="00FD37A3" w:rsidRDefault="0072500C">
            <w:pPr>
              <w:jc w:val="center"/>
              <w:rPr>
                <w:noProof/>
                <w:sz w:val="20"/>
              </w:rPr>
            </w:pPr>
            <w:r>
              <w:rPr>
                <w:b/>
                <w:noProof/>
                <w:sz w:val="20"/>
              </w:rPr>
              <w:t>2022</w:t>
            </w:r>
          </w:p>
        </w:tc>
        <w:tc>
          <w:tcPr>
            <w:tcW w:w="990" w:type="dxa"/>
            <w:vAlign w:val="center"/>
          </w:tcPr>
          <w:p w:rsidR="00FD37A3" w:rsidRDefault="0072500C">
            <w:pPr>
              <w:jc w:val="center"/>
              <w:rPr>
                <w:noProof/>
                <w:sz w:val="20"/>
              </w:rPr>
            </w:pPr>
            <w:r>
              <w:rPr>
                <w:b/>
                <w:noProof/>
                <w:sz w:val="20"/>
              </w:rPr>
              <w:t>2023</w:t>
            </w:r>
          </w:p>
        </w:tc>
        <w:tc>
          <w:tcPr>
            <w:tcW w:w="976" w:type="dxa"/>
            <w:vAlign w:val="center"/>
          </w:tcPr>
          <w:p w:rsidR="00FD37A3" w:rsidRDefault="0072500C">
            <w:pPr>
              <w:jc w:val="center"/>
              <w:rPr>
                <w:noProof/>
                <w:sz w:val="20"/>
              </w:rPr>
            </w:pPr>
            <w:r>
              <w:rPr>
                <w:b/>
                <w:noProof/>
                <w:sz w:val="20"/>
              </w:rPr>
              <w:t>2024</w:t>
            </w:r>
          </w:p>
        </w:tc>
        <w:tc>
          <w:tcPr>
            <w:tcW w:w="1004" w:type="dxa"/>
            <w:vAlign w:val="center"/>
          </w:tcPr>
          <w:p w:rsidR="00FD37A3" w:rsidRDefault="0072500C">
            <w:pPr>
              <w:jc w:val="center"/>
              <w:rPr>
                <w:b/>
                <w:noProof/>
                <w:sz w:val="18"/>
              </w:rPr>
            </w:pPr>
            <w:r>
              <w:rPr>
                <w:b/>
                <w:noProof/>
                <w:sz w:val="18"/>
              </w:rPr>
              <w:t>2025</w:t>
            </w:r>
          </w:p>
        </w:tc>
        <w:tc>
          <w:tcPr>
            <w:tcW w:w="990" w:type="dxa"/>
            <w:vAlign w:val="center"/>
          </w:tcPr>
          <w:p w:rsidR="00FD37A3" w:rsidRDefault="0072500C">
            <w:pPr>
              <w:jc w:val="center"/>
              <w:rPr>
                <w:b/>
                <w:noProof/>
                <w:sz w:val="18"/>
              </w:rPr>
            </w:pPr>
            <w:r>
              <w:rPr>
                <w:b/>
                <w:noProof/>
                <w:sz w:val="18"/>
              </w:rPr>
              <w:t>2026</w:t>
            </w:r>
          </w:p>
        </w:tc>
        <w:tc>
          <w:tcPr>
            <w:tcW w:w="990" w:type="dxa"/>
            <w:vAlign w:val="center"/>
          </w:tcPr>
          <w:p w:rsidR="00FD37A3" w:rsidRDefault="0072500C">
            <w:pPr>
              <w:jc w:val="center"/>
              <w:rPr>
                <w:b/>
                <w:noProof/>
                <w:sz w:val="18"/>
              </w:rPr>
            </w:pPr>
            <w:r>
              <w:rPr>
                <w:b/>
                <w:noProof/>
                <w:sz w:val="18"/>
              </w:rPr>
              <w:t>2027</w:t>
            </w:r>
          </w:p>
        </w:tc>
        <w:tc>
          <w:tcPr>
            <w:tcW w:w="1033" w:type="dxa"/>
          </w:tcPr>
          <w:p w:rsidR="00FD37A3" w:rsidRDefault="0072500C">
            <w:pPr>
              <w:jc w:val="center"/>
              <w:rPr>
                <w:b/>
                <w:noProof/>
                <w:sz w:val="20"/>
              </w:rPr>
            </w:pPr>
            <w:r>
              <w:rPr>
                <w:b/>
                <w:i/>
                <w:noProof/>
                <w:sz w:val="20"/>
              </w:rPr>
              <w:t>Po letu 2027</w:t>
            </w:r>
          </w:p>
        </w:tc>
        <w:tc>
          <w:tcPr>
            <w:tcW w:w="1127" w:type="dxa"/>
            <w:vAlign w:val="center"/>
          </w:tcPr>
          <w:p w:rsidR="00FD37A3" w:rsidRDefault="0072500C">
            <w:pPr>
              <w:jc w:val="center"/>
              <w:rPr>
                <w:b/>
                <w:noProof/>
                <w:sz w:val="20"/>
              </w:rPr>
            </w:pPr>
            <w:r>
              <w:rPr>
                <w:b/>
                <w:noProof/>
                <w:sz w:val="20"/>
              </w:rPr>
              <w:t>SKUPAJ</w:t>
            </w:r>
          </w:p>
        </w:tc>
      </w:tr>
      <w:tr w:rsidR="00FD37A3">
        <w:tc>
          <w:tcPr>
            <w:tcW w:w="3780" w:type="dxa"/>
            <w:vMerge w:val="restart"/>
            <w:tcBorders>
              <w:top w:val="single" w:sz="4" w:space="0" w:color="auto"/>
              <w:left w:val="single" w:sz="4" w:space="0" w:color="auto"/>
              <w:right w:val="single" w:sz="4" w:space="0" w:color="auto"/>
            </w:tcBorders>
            <w:vAlign w:val="center"/>
          </w:tcPr>
          <w:p w:rsidR="00FD37A3" w:rsidRDefault="0072500C">
            <w:pPr>
              <w:jc w:val="center"/>
              <w:rPr>
                <w:noProof/>
                <w:sz w:val="22"/>
              </w:rPr>
            </w:pPr>
            <w:r>
              <w:rPr>
                <w:noProof/>
                <w:sz w:val="22"/>
              </w:rPr>
              <w:t>14 04 01 – zunanji namenski prejemki</w:t>
            </w:r>
          </w:p>
        </w:tc>
        <w:tc>
          <w:tcPr>
            <w:tcW w:w="1260" w:type="dxa"/>
            <w:tcBorders>
              <w:top w:val="single" w:sz="4" w:space="0" w:color="auto"/>
              <w:left w:val="single" w:sz="4" w:space="0" w:color="auto"/>
              <w:bottom w:val="single" w:sz="4" w:space="0" w:color="auto"/>
              <w:right w:val="single" w:sz="4" w:space="0" w:color="auto"/>
            </w:tcBorders>
          </w:tcPr>
          <w:p w:rsidR="00FD37A3" w:rsidRDefault="0072500C">
            <w:pPr>
              <w:rPr>
                <w:noProof/>
                <w:sz w:val="20"/>
              </w:rPr>
            </w:pPr>
            <w:r>
              <w:rPr>
                <w:noProof/>
                <w:sz w:val="20"/>
              </w:rPr>
              <w:t>obveznosti</w:t>
            </w:r>
          </w:p>
        </w:tc>
        <w:tc>
          <w:tcPr>
            <w:tcW w:w="540" w:type="dxa"/>
            <w:tcBorders>
              <w:top w:val="single" w:sz="4" w:space="0" w:color="auto"/>
              <w:left w:val="single" w:sz="4" w:space="0" w:color="auto"/>
              <w:bottom w:val="single" w:sz="4" w:space="0" w:color="auto"/>
              <w:right w:val="single" w:sz="4" w:space="0" w:color="auto"/>
            </w:tcBorders>
          </w:tcPr>
          <w:p w:rsidR="00FD37A3" w:rsidRDefault="0072500C">
            <w:pPr>
              <w:jc w:val="center"/>
              <w:rPr>
                <w:noProof/>
                <w:sz w:val="20"/>
              </w:rPr>
            </w:pPr>
            <w:r>
              <w:rPr>
                <w:noProof/>
                <w:sz w:val="14"/>
              </w:rPr>
              <w:t>(1)</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1 108,630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2 467,470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2 622,280</w:t>
            </w:r>
          </w:p>
        </w:tc>
        <w:tc>
          <w:tcPr>
            <w:tcW w:w="976"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1 819,060</w:t>
            </w:r>
          </w:p>
        </w:tc>
        <w:tc>
          <w:tcPr>
            <w:tcW w:w="1004"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18"/>
              </w:rPr>
            </w:pPr>
            <w:r>
              <w:rPr>
                <w:noProof/>
                <w:sz w:val="18"/>
              </w:rPr>
              <w:t>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18"/>
              </w:rPr>
            </w:pPr>
            <w:r>
              <w:rPr>
                <w:noProof/>
                <w:sz w:val="18"/>
              </w:rPr>
              <w:t>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18"/>
              </w:rPr>
            </w:pPr>
            <w:r>
              <w:rPr>
                <w:noProof/>
                <w:sz w:val="18"/>
              </w:rPr>
              <w:t>0</w:t>
            </w:r>
          </w:p>
        </w:tc>
        <w:tc>
          <w:tcPr>
            <w:tcW w:w="1033" w:type="dxa"/>
            <w:tcBorders>
              <w:top w:val="single" w:sz="4" w:space="0" w:color="auto"/>
              <w:left w:val="single" w:sz="4" w:space="0" w:color="auto"/>
              <w:bottom w:val="single" w:sz="4" w:space="0" w:color="auto"/>
              <w:right w:val="single" w:sz="4" w:space="0" w:color="auto"/>
            </w:tcBorders>
          </w:tcPr>
          <w:p w:rsidR="00FD37A3" w:rsidRDefault="0072500C">
            <w:pPr>
              <w:jc w:val="center"/>
              <w:rPr>
                <w:i/>
                <w:noProof/>
                <w:sz w:val="20"/>
              </w:rPr>
            </w:pPr>
            <w:r>
              <w:rPr>
                <w:noProof/>
                <w:sz w:val="20"/>
              </w:rPr>
              <w:t>0</w:t>
            </w:r>
          </w:p>
        </w:tc>
        <w:tc>
          <w:tcPr>
            <w:tcW w:w="1127"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8 017,440</w:t>
            </w:r>
          </w:p>
        </w:tc>
      </w:tr>
      <w:tr w:rsidR="00FD37A3">
        <w:tc>
          <w:tcPr>
            <w:tcW w:w="3780" w:type="dxa"/>
            <w:vMerge/>
            <w:tcBorders>
              <w:left w:val="single" w:sz="4" w:space="0" w:color="auto"/>
              <w:bottom w:val="single" w:sz="4" w:space="0" w:color="auto"/>
              <w:right w:val="single" w:sz="4" w:space="0" w:color="auto"/>
            </w:tcBorders>
            <w:vAlign w:val="center"/>
          </w:tcPr>
          <w:p w:rsidR="00FD37A3" w:rsidRDefault="00FD37A3">
            <w:pPr>
              <w:jc w:val="center"/>
              <w:rPr>
                <w:noProof/>
                <w:sz w:val="22"/>
              </w:rPr>
            </w:pPr>
          </w:p>
        </w:tc>
        <w:tc>
          <w:tcPr>
            <w:tcW w:w="1260" w:type="dxa"/>
            <w:tcBorders>
              <w:top w:val="single" w:sz="4" w:space="0" w:color="auto"/>
              <w:left w:val="single" w:sz="4" w:space="0" w:color="auto"/>
              <w:bottom w:val="single" w:sz="4" w:space="0" w:color="auto"/>
              <w:right w:val="single" w:sz="4" w:space="0" w:color="auto"/>
            </w:tcBorders>
          </w:tcPr>
          <w:p w:rsidR="00FD37A3" w:rsidRDefault="0072500C">
            <w:pPr>
              <w:rPr>
                <w:noProof/>
                <w:sz w:val="20"/>
              </w:rPr>
            </w:pPr>
            <w:r>
              <w:rPr>
                <w:noProof/>
                <w:sz w:val="20"/>
              </w:rPr>
              <w:t>plačila</w:t>
            </w:r>
          </w:p>
        </w:tc>
        <w:tc>
          <w:tcPr>
            <w:tcW w:w="540" w:type="dxa"/>
            <w:tcBorders>
              <w:top w:val="single" w:sz="4" w:space="0" w:color="auto"/>
              <w:left w:val="single" w:sz="4" w:space="0" w:color="auto"/>
              <w:bottom w:val="single" w:sz="4" w:space="0" w:color="auto"/>
              <w:right w:val="single" w:sz="4" w:space="0" w:color="auto"/>
            </w:tcBorders>
          </w:tcPr>
          <w:p w:rsidR="00FD37A3" w:rsidRDefault="0072500C">
            <w:pPr>
              <w:jc w:val="center"/>
              <w:rPr>
                <w:noProof/>
                <w:sz w:val="20"/>
              </w:rPr>
            </w:pPr>
            <w:r>
              <w:rPr>
                <w:noProof/>
                <w:sz w:val="14"/>
              </w:rPr>
              <w:t>(2)</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138,205</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712,667</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1 440,778</w:t>
            </w:r>
          </w:p>
        </w:tc>
        <w:tc>
          <w:tcPr>
            <w:tcW w:w="976"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1 794,434</w:t>
            </w:r>
          </w:p>
        </w:tc>
        <w:tc>
          <w:tcPr>
            <w:tcW w:w="1004"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1 524,367</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838,302</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475,867</w:t>
            </w:r>
          </w:p>
        </w:tc>
        <w:tc>
          <w:tcPr>
            <w:tcW w:w="1033" w:type="dxa"/>
            <w:tcBorders>
              <w:top w:val="single" w:sz="4" w:space="0" w:color="auto"/>
              <w:left w:val="single" w:sz="4" w:space="0" w:color="auto"/>
              <w:bottom w:val="single" w:sz="4" w:space="0" w:color="auto"/>
              <w:right w:val="single" w:sz="4" w:space="0" w:color="auto"/>
            </w:tcBorders>
          </w:tcPr>
          <w:p w:rsidR="00FD37A3" w:rsidRDefault="0072500C">
            <w:pPr>
              <w:jc w:val="center"/>
              <w:rPr>
                <w:noProof/>
                <w:sz w:val="20"/>
              </w:rPr>
            </w:pPr>
            <w:r>
              <w:rPr>
                <w:noProof/>
                <w:sz w:val="20"/>
              </w:rPr>
              <w:t>1 092,820</w:t>
            </w:r>
          </w:p>
        </w:tc>
        <w:tc>
          <w:tcPr>
            <w:tcW w:w="1127"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8 017,440</w:t>
            </w:r>
          </w:p>
        </w:tc>
      </w:tr>
      <w:tr w:rsidR="00FD37A3">
        <w:tc>
          <w:tcPr>
            <w:tcW w:w="378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2"/>
              </w:rPr>
            </w:pPr>
            <w:r>
              <w:rPr>
                <w:noProof/>
                <w:sz w:val="22"/>
              </w:rPr>
              <w:t>14 01 xx– podpora zunanji namenski prejemki</w:t>
            </w:r>
          </w:p>
        </w:tc>
        <w:tc>
          <w:tcPr>
            <w:tcW w:w="1260" w:type="dxa"/>
            <w:tcBorders>
              <w:top w:val="single" w:sz="4" w:space="0" w:color="auto"/>
              <w:left w:val="single" w:sz="4" w:space="0" w:color="auto"/>
              <w:bottom w:val="single" w:sz="4" w:space="0" w:color="auto"/>
              <w:right w:val="single" w:sz="4" w:space="0" w:color="auto"/>
            </w:tcBorders>
            <w:vAlign w:val="center"/>
          </w:tcPr>
          <w:p w:rsidR="00FD37A3" w:rsidRDefault="0072500C">
            <w:pPr>
              <w:rPr>
                <w:noProof/>
                <w:sz w:val="20"/>
              </w:rPr>
            </w:pPr>
            <w:r>
              <w:rPr>
                <w:noProof/>
                <w:sz w:val="18"/>
              </w:rPr>
              <w:t>obveznosti = plačila</w:t>
            </w:r>
          </w:p>
        </w:tc>
        <w:tc>
          <w:tcPr>
            <w:tcW w:w="54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14"/>
              </w:rPr>
              <w:t>(3)</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58,370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59,530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60,720</w:t>
            </w:r>
          </w:p>
        </w:tc>
        <w:tc>
          <w:tcPr>
            <w:tcW w:w="976"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rPr>
            </w:pPr>
            <w:r>
              <w:rPr>
                <w:noProof/>
                <w:sz w:val="20"/>
              </w:rPr>
              <w:t>61,940</w:t>
            </w:r>
          </w:p>
        </w:tc>
        <w:tc>
          <w:tcPr>
            <w:tcW w:w="1004"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szCs w:val="20"/>
              </w:rPr>
            </w:pPr>
            <w:r>
              <w:rPr>
                <w:noProof/>
                <w:sz w:val="20"/>
                <w:szCs w:val="20"/>
              </w:rPr>
              <w:t>63,000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szCs w:val="20"/>
              </w:rPr>
            </w:pPr>
            <w:r>
              <w:rPr>
                <w:noProof/>
                <w:sz w:val="20"/>
                <w:szCs w:val="20"/>
              </w:rPr>
              <w:t>64,000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noProof/>
                <w:sz w:val="20"/>
                <w:szCs w:val="20"/>
              </w:rPr>
            </w:pPr>
            <w:r>
              <w:rPr>
                <w:noProof/>
                <w:sz w:val="20"/>
                <w:szCs w:val="20"/>
              </w:rPr>
              <w:t>66,000</w:t>
            </w:r>
          </w:p>
        </w:tc>
        <w:tc>
          <w:tcPr>
            <w:tcW w:w="1033" w:type="dxa"/>
            <w:tcBorders>
              <w:top w:val="single" w:sz="4" w:space="0" w:color="auto"/>
              <w:left w:val="single" w:sz="4" w:space="0" w:color="auto"/>
              <w:bottom w:val="single" w:sz="4" w:space="0" w:color="auto"/>
              <w:right w:val="single" w:sz="4" w:space="0" w:color="auto"/>
            </w:tcBorders>
          </w:tcPr>
          <w:p w:rsidR="00FD37A3" w:rsidRDefault="00FD37A3">
            <w:pPr>
              <w:jc w:val="center"/>
              <w:rPr>
                <w:noProof/>
                <w:sz w:val="20"/>
                <w:szCs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433,560</w:t>
            </w:r>
          </w:p>
        </w:tc>
      </w:tr>
      <w:tr w:rsidR="00FD37A3">
        <w:tc>
          <w:tcPr>
            <w:tcW w:w="3780" w:type="dxa"/>
            <w:vMerge w:val="restart"/>
            <w:tcBorders>
              <w:top w:val="single" w:sz="4" w:space="0" w:color="auto"/>
              <w:left w:val="single" w:sz="4" w:space="0" w:color="auto"/>
              <w:right w:val="single" w:sz="4" w:space="0" w:color="auto"/>
            </w:tcBorders>
            <w:vAlign w:val="center"/>
          </w:tcPr>
          <w:p w:rsidR="00FD37A3" w:rsidRDefault="0072500C">
            <w:pPr>
              <w:jc w:val="center"/>
              <w:rPr>
                <w:noProof/>
                <w:sz w:val="22"/>
              </w:rPr>
            </w:pPr>
            <w:r>
              <w:rPr>
                <w:noProof/>
                <w:sz w:val="22"/>
              </w:rPr>
              <w:t>Skupni zunanji namenski prejemki</w:t>
            </w:r>
          </w:p>
        </w:tc>
        <w:tc>
          <w:tcPr>
            <w:tcW w:w="1260" w:type="dxa"/>
            <w:tcBorders>
              <w:top w:val="single" w:sz="4" w:space="0" w:color="auto"/>
              <w:left w:val="single" w:sz="4" w:space="0" w:color="auto"/>
              <w:bottom w:val="single" w:sz="4" w:space="0" w:color="auto"/>
              <w:right w:val="single" w:sz="4" w:space="0" w:color="auto"/>
            </w:tcBorders>
          </w:tcPr>
          <w:p w:rsidR="00FD37A3" w:rsidRDefault="0072500C">
            <w:pPr>
              <w:rPr>
                <w:noProof/>
                <w:sz w:val="20"/>
              </w:rPr>
            </w:pPr>
            <w:r>
              <w:rPr>
                <w:noProof/>
                <w:sz w:val="20"/>
              </w:rPr>
              <w:t>obveznosti</w:t>
            </w:r>
          </w:p>
        </w:tc>
        <w:tc>
          <w:tcPr>
            <w:tcW w:w="540" w:type="dxa"/>
            <w:tcBorders>
              <w:top w:val="single" w:sz="4" w:space="0" w:color="auto"/>
              <w:left w:val="single" w:sz="4" w:space="0" w:color="auto"/>
              <w:bottom w:val="single" w:sz="4" w:space="0" w:color="auto"/>
              <w:right w:val="single" w:sz="4" w:space="0" w:color="auto"/>
            </w:tcBorders>
          </w:tcPr>
          <w:p w:rsidR="00FD37A3" w:rsidRDefault="0072500C">
            <w:pPr>
              <w:jc w:val="center"/>
              <w:rPr>
                <w:noProof/>
                <w:sz w:val="20"/>
              </w:rPr>
            </w:pPr>
            <w:r>
              <w:rPr>
                <w:noProof/>
                <w:sz w:val="14"/>
              </w:rPr>
              <w:t>= 1 + 3</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1 167,000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2 527,000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2 683,000</w:t>
            </w:r>
          </w:p>
        </w:tc>
        <w:tc>
          <w:tcPr>
            <w:tcW w:w="976"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1 881,000</w:t>
            </w:r>
          </w:p>
        </w:tc>
        <w:tc>
          <w:tcPr>
            <w:tcW w:w="1004"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szCs w:val="20"/>
              </w:rPr>
            </w:pPr>
            <w:r>
              <w:rPr>
                <w:b/>
                <w:noProof/>
                <w:sz w:val="20"/>
                <w:szCs w:val="20"/>
              </w:rPr>
              <w:t>63,000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szCs w:val="20"/>
              </w:rPr>
            </w:pPr>
            <w:r>
              <w:rPr>
                <w:b/>
                <w:noProof/>
                <w:sz w:val="20"/>
                <w:szCs w:val="20"/>
              </w:rPr>
              <w:t>64,000</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szCs w:val="20"/>
              </w:rPr>
            </w:pPr>
            <w:r>
              <w:rPr>
                <w:b/>
                <w:noProof/>
                <w:sz w:val="20"/>
                <w:szCs w:val="20"/>
              </w:rPr>
              <w:t>66,000</w:t>
            </w:r>
          </w:p>
        </w:tc>
        <w:tc>
          <w:tcPr>
            <w:tcW w:w="1033" w:type="dxa"/>
            <w:tcBorders>
              <w:top w:val="single" w:sz="4" w:space="0" w:color="auto"/>
              <w:left w:val="single" w:sz="4" w:space="0" w:color="auto"/>
              <w:bottom w:val="single" w:sz="4" w:space="0" w:color="auto"/>
              <w:right w:val="single" w:sz="4" w:space="0" w:color="auto"/>
            </w:tcBorders>
          </w:tcPr>
          <w:p w:rsidR="00FD37A3" w:rsidRDefault="00FD37A3">
            <w:pPr>
              <w:jc w:val="center"/>
              <w:rPr>
                <w:b/>
                <w:i/>
                <w:noProof/>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8 451,000</w:t>
            </w:r>
          </w:p>
        </w:tc>
      </w:tr>
      <w:tr w:rsidR="00FD37A3">
        <w:tc>
          <w:tcPr>
            <w:tcW w:w="3780" w:type="dxa"/>
            <w:vMerge/>
            <w:tcBorders>
              <w:left w:val="single" w:sz="4" w:space="0" w:color="auto"/>
              <w:bottom w:val="single" w:sz="4" w:space="0" w:color="auto"/>
              <w:right w:val="single" w:sz="4" w:space="0" w:color="auto"/>
            </w:tcBorders>
            <w:vAlign w:val="center"/>
          </w:tcPr>
          <w:p w:rsidR="00FD37A3" w:rsidRDefault="00FD37A3">
            <w:pPr>
              <w:jc w:val="center"/>
              <w:rPr>
                <w:noProof/>
                <w:sz w:val="22"/>
              </w:rPr>
            </w:pPr>
          </w:p>
        </w:tc>
        <w:tc>
          <w:tcPr>
            <w:tcW w:w="1260" w:type="dxa"/>
            <w:tcBorders>
              <w:top w:val="single" w:sz="4" w:space="0" w:color="auto"/>
              <w:left w:val="single" w:sz="4" w:space="0" w:color="auto"/>
              <w:bottom w:val="single" w:sz="4" w:space="0" w:color="auto"/>
              <w:right w:val="single" w:sz="4" w:space="0" w:color="auto"/>
            </w:tcBorders>
          </w:tcPr>
          <w:p w:rsidR="00FD37A3" w:rsidRDefault="0072500C">
            <w:pPr>
              <w:rPr>
                <w:noProof/>
                <w:sz w:val="20"/>
              </w:rPr>
            </w:pPr>
            <w:r>
              <w:rPr>
                <w:noProof/>
                <w:sz w:val="20"/>
              </w:rPr>
              <w:t>plačila</w:t>
            </w:r>
          </w:p>
        </w:tc>
        <w:tc>
          <w:tcPr>
            <w:tcW w:w="540" w:type="dxa"/>
            <w:tcBorders>
              <w:top w:val="single" w:sz="4" w:space="0" w:color="auto"/>
              <w:left w:val="single" w:sz="4" w:space="0" w:color="auto"/>
              <w:bottom w:val="single" w:sz="4" w:space="0" w:color="auto"/>
              <w:right w:val="single" w:sz="4" w:space="0" w:color="auto"/>
            </w:tcBorders>
          </w:tcPr>
          <w:p w:rsidR="00FD37A3" w:rsidRDefault="0072500C">
            <w:pPr>
              <w:jc w:val="center"/>
              <w:rPr>
                <w:noProof/>
                <w:sz w:val="14"/>
              </w:rPr>
            </w:pPr>
            <w:r>
              <w:rPr>
                <w:noProof/>
                <w:sz w:val="14"/>
              </w:rPr>
              <w:t>= 2 + 3</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196,575</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772,197</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1 501,498</w:t>
            </w:r>
          </w:p>
        </w:tc>
        <w:tc>
          <w:tcPr>
            <w:tcW w:w="976"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1 856,374</w:t>
            </w:r>
          </w:p>
        </w:tc>
        <w:tc>
          <w:tcPr>
            <w:tcW w:w="1004"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1 587,367</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902,302</w:t>
            </w:r>
          </w:p>
        </w:tc>
        <w:tc>
          <w:tcPr>
            <w:tcW w:w="990"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541,867</w:t>
            </w:r>
          </w:p>
        </w:tc>
        <w:tc>
          <w:tcPr>
            <w:tcW w:w="1033" w:type="dxa"/>
            <w:tcBorders>
              <w:top w:val="single" w:sz="4" w:space="0" w:color="auto"/>
              <w:left w:val="single" w:sz="4" w:space="0" w:color="auto"/>
              <w:bottom w:val="single" w:sz="4" w:space="0" w:color="auto"/>
              <w:right w:val="single" w:sz="4" w:space="0" w:color="auto"/>
            </w:tcBorders>
          </w:tcPr>
          <w:p w:rsidR="00FD37A3" w:rsidRDefault="0072500C">
            <w:pPr>
              <w:jc w:val="center"/>
              <w:rPr>
                <w:b/>
                <w:noProof/>
                <w:sz w:val="20"/>
              </w:rPr>
            </w:pPr>
            <w:r>
              <w:rPr>
                <w:b/>
                <w:noProof/>
                <w:sz w:val="20"/>
              </w:rPr>
              <w:t>1 092,820</w:t>
            </w:r>
          </w:p>
        </w:tc>
        <w:tc>
          <w:tcPr>
            <w:tcW w:w="1127" w:type="dxa"/>
            <w:tcBorders>
              <w:top w:val="single" w:sz="4" w:space="0" w:color="auto"/>
              <w:left w:val="single" w:sz="4" w:space="0" w:color="auto"/>
              <w:bottom w:val="single" w:sz="4" w:space="0" w:color="auto"/>
              <w:right w:val="single" w:sz="4" w:space="0" w:color="auto"/>
            </w:tcBorders>
            <w:vAlign w:val="center"/>
          </w:tcPr>
          <w:p w:rsidR="00FD37A3" w:rsidRDefault="0072500C">
            <w:pPr>
              <w:jc w:val="center"/>
              <w:rPr>
                <w:b/>
                <w:noProof/>
                <w:sz w:val="20"/>
              </w:rPr>
            </w:pPr>
            <w:r>
              <w:rPr>
                <w:b/>
                <w:noProof/>
                <w:sz w:val="20"/>
              </w:rPr>
              <w:t>8 451,000</w:t>
            </w:r>
          </w:p>
        </w:tc>
      </w:tr>
    </w:tbl>
    <w:p w:rsidR="00FD37A3" w:rsidRDefault="00FD37A3">
      <w:pPr>
        <w:rPr>
          <w:iCs/>
          <w:noProof/>
        </w:rPr>
      </w:pPr>
    </w:p>
    <w:p w:rsidR="00FD37A3" w:rsidRDefault="00FD37A3">
      <w:pPr>
        <w:rPr>
          <w:iCs/>
          <w:noProof/>
        </w:rPr>
      </w:pPr>
    </w:p>
    <w:p w:rsidR="00FD37A3" w:rsidRDefault="00FD37A3">
      <w:pPr>
        <w:rPr>
          <w:noProof/>
        </w:rPr>
      </w:pPr>
    </w:p>
    <w:p w:rsidR="00FD37A3" w:rsidRDefault="00FD37A3">
      <w:pP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rsidR="00FD37A3">
        <w:trPr>
          <w:jc w:val="center"/>
        </w:trPr>
        <w:tc>
          <w:tcPr>
            <w:tcW w:w="4744" w:type="dxa"/>
            <w:shd w:val="thinDiagStripe" w:color="C0C0C0" w:fill="auto"/>
            <w:vAlign w:val="center"/>
          </w:tcPr>
          <w:p w:rsidR="00FD37A3" w:rsidRDefault="0072500C">
            <w:pPr>
              <w:spacing w:before="60" w:after="60"/>
              <w:jc w:val="center"/>
              <w:rPr>
                <w:b/>
                <w:noProof/>
              </w:rPr>
            </w:pPr>
            <w:r>
              <w:rPr>
                <w:noProof/>
              </w:rPr>
              <w:br w:type="page"/>
            </w:r>
            <w:r>
              <w:rPr>
                <w:b/>
                <w:noProof/>
                <w:sz w:val="22"/>
              </w:rPr>
              <w:t xml:space="preserve">Razdelek </w:t>
            </w:r>
            <w:r>
              <w:rPr>
                <w:noProof/>
                <w:sz w:val="22"/>
              </w:rPr>
              <w:br/>
            </w:r>
            <w:r>
              <w:rPr>
                <w:b/>
                <w:noProof/>
                <w:sz w:val="22"/>
              </w:rPr>
              <w:t xml:space="preserve">večletnega finančnega okvira </w:t>
            </w:r>
          </w:p>
        </w:tc>
        <w:tc>
          <w:tcPr>
            <w:tcW w:w="1080" w:type="dxa"/>
            <w:shd w:val="thinDiagStripe" w:color="C0C0C0" w:fill="auto"/>
            <w:vAlign w:val="center"/>
          </w:tcPr>
          <w:p w:rsidR="00FD37A3" w:rsidRDefault="0072500C">
            <w:pPr>
              <w:spacing w:before="60" w:after="60"/>
              <w:jc w:val="center"/>
              <w:rPr>
                <w:noProof/>
              </w:rPr>
            </w:pPr>
            <w:r>
              <w:rPr>
                <w:b/>
                <w:noProof/>
                <w:sz w:val="22"/>
              </w:rPr>
              <w:t>7</w:t>
            </w:r>
          </w:p>
        </w:tc>
        <w:tc>
          <w:tcPr>
            <w:tcW w:w="7817" w:type="dxa"/>
            <w:vAlign w:val="center"/>
          </w:tcPr>
          <w:p w:rsidR="00FD37A3" w:rsidRDefault="0072500C">
            <w:pPr>
              <w:spacing w:before="60" w:after="60"/>
              <w:rPr>
                <w:noProof/>
              </w:rPr>
            </w:pPr>
            <w:r>
              <w:rPr>
                <w:noProof/>
                <w:sz w:val="22"/>
              </w:rPr>
              <w:t xml:space="preserve">„Upravni </w:t>
            </w:r>
            <w:r>
              <w:rPr>
                <w:noProof/>
                <w:sz w:val="22"/>
              </w:rPr>
              <w:t>odhodki“</w:t>
            </w:r>
          </w:p>
        </w:tc>
      </w:tr>
    </w:tbl>
    <w:p w:rsidR="00FD37A3" w:rsidRDefault="0072500C">
      <w:pPr>
        <w:jc w:val="right"/>
        <w:rPr>
          <w:noProof/>
          <w:sz w:val="20"/>
        </w:rPr>
      </w:pPr>
      <w:r>
        <w:rPr>
          <w:noProof/>
          <w:sz w:val="20"/>
        </w:rPr>
        <w:t>v mio. EUR (na tri decimalna mesta natančno)</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2370"/>
        <w:gridCol w:w="240"/>
        <w:gridCol w:w="1170"/>
        <w:gridCol w:w="900"/>
        <w:gridCol w:w="828"/>
        <w:gridCol w:w="868"/>
        <w:gridCol w:w="868"/>
        <w:gridCol w:w="868"/>
        <w:gridCol w:w="1068"/>
        <w:gridCol w:w="1577"/>
      </w:tblGrid>
      <w:tr w:rsidR="00FD37A3">
        <w:tc>
          <w:tcPr>
            <w:tcW w:w="3150" w:type="dxa"/>
            <w:tcBorders>
              <w:top w:val="nil"/>
              <w:left w:val="nil"/>
              <w:right w:val="nil"/>
            </w:tcBorders>
            <w:vAlign w:val="center"/>
          </w:tcPr>
          <w:p w:rsidR="00FD37A3" w:rsidRDefault="00FD37A3">
            <w:pPr>
              <w:jc w:val="center"/>
              <w:rPr>
                <w:noProof/>
              </w:rPr>
            </w:pPr>
          </w:p>
        </w:tc>
        <w:tc>
          <w:tcPr>
            <w:tcW w:w="2370" w:type="dxa"/>
            <w:tcBorders>
              <w:top w:val="nil"/>
              <w:left w:val="nil"/>
              <w:right w:val="nil"/>
            </w:tcBorders>
          </w:tcPr>
          <w:p w:rsidR="00FD37A3" w:rsidRDefault="00FD37A3">
            <w:pPr>
              <w:rPr>
                <w:noProof/>
                <w:sz w:val="20"/>
              </w:rPr>
            </w:pPr>
          </w:p>
        </w:tc>
        <w:tc>
          <w:tcPr>
            <w:tcW w:w="240" w:type="dxa"/>
            <w:tcBorders>
              <w:top w:val="nil"/>
              <w:left w:val="nil"/>
            </w:tcBorders>
          </w:tcPr>
          <w:p w:rsidR="00FD37A3" w:rsidRDefault="00FD37A3">
            <w:pPr>
              <w:jc w:val="center"/>
              <w:rPr>
                <w:noProof/>
                <w:sz w:val="20"/>
              </w:rPr>
            </w:pPr>
          </w:p>
        </w:tc>
        <w:tc>
          <w:tcPr>
            <w:tcW w:w="1170" w:type="dxa"/>
            <w:vAlign w:val="center"/>
          </w:tcPr>
          <w:p w:rsidR="00FD37A3" w:rsidRDefault="0072500C">
            <w:pPr>
              <w:jc w:val="center"/>
              <w:rPr>
                <w:noProof/>
                <w:sz w:val="20"/>
              </w:rPr>
            </w:pPr>
            <w:r>
              <w:rPr>
                <w:b/>
                <w:noProof/>
                <w:sz w:val="20"/>
              </w:rPr>
              <w:t>2021</w:t>
            </w:r>
          </w:p>
        </w:tc>
        <w:tc>
          <w:tcPr>
            <w:tcW w:w="900" w:type="dxa"/>
            <w:vAlign w:val="center"/>
          </w:tcPr>
          <w:p w:rsidR="00FD37A3" w:rsidRDefault="0072500C">
            <w:pPr>
              <w:jc w:val="center"/>
              <w:rPr>
                <w:noProof/>
                <w:sz w:val="20"/>
              </w:rPr>
            </w:pPr>
            <w:r>
              <w:rPr>
                <w:b/>
                <w:noProof/>
                <w:sz w:val="20"/>
              </w:rPr>
              <w:t>2022</w:t>
            </w:r>
          </w:p>
        </w:tc>
        <w:tc>
          <w:tcPr>
            <w:tcW w:w="828" w:type="dxa"/>
            <w:vAlign w:val="center"/>
          </w:tcPr>
          <w:p w:rsidR="00FD37A3" w:rsidRDefault="0072500C">
            <w:pPr>
              <w:jc w:val="center"/>
              <w:rPr>
                <w:noProof/>
                <w:sz w:val="20"/>
              </w:rPr>
            </w:pPr>
            <w:r>
              <w:rPr>
                <w:b/>
                <w:noProof/>
                <w:sz w:val="20"/>
              </w:rPr>
              <w:t>2023</w:t>
            </w:r>
          </w:p>
        </w:tc>
        <w:tc>
          <w:tcPr>
            <w:tcW w:w="868" w:type="dxa"/>
            <w:vAlign w:val="center"/>
          </w:tcPr>
          <w:p w:rsidR="00FD37A3" w:rsidRDefault="0072500C">
            <w:pPr>
              <w:jc w:val="center"/>
              <w:rPr>
                <w:noProof/>
                <w:sz w:val="20"/>
              </w:rPr>
            </w:pPr>
            <w:r>
              <w:rPr>
                <w:b/>
                <w:noProof/>
                <w:sz w:val="20"/>
              </w:rPr>
              <w:t>2024</w:t>
            </w:r>
          </w:p>
        </w:tc>
        <w:tc>
          <w:tcPr>
            <w:tcW w:w="868" w:type="dxa"/>
            <w:vAlign w:val="center"/>
          </w:tcPr>
          <w:p w:rsidR="00FD37A3" w:rsidRDefault="0072500C">
            <w:pPr>
              <w:jc w:val="center"/>
              <w:rPr>
                <w:b/>
                <w:noProof/>
                <w:sz w:val="18"/>
              </w:rPr>
            </w:pPr>
            <w:r>
              <w:rPr>
                <w:b/>
                <w:noProof/>
                <w:sz w:val="18"/>
              </w:rPr>
              <w:t>2025</w:t>
            </w:r>
          </w:p>
        </w:tc>
        <w:tc>
          <w:tcPr>
            <w:tcW w:w="868" w:type="dxa"/>
            <w:vAlign w:val="center"/>
          </w:tcPr>
          <w:p w:rsidR="00FD37A3" w:rsidRDefault="0072500C">
            <w:pPr>
              <w:jc w:val="center"/>
              <w:rPr>
                <w:b/>
                <w:noProof/>
                <w:sz w:val="18"/>
              </w:rPr>
            </w:pPr>
            <w:r>
              <w:rPr>
                <w:b/>
                <w:noProof/>
                <w:sz w:val="18"/>
              </w:rPr>
              <w:t>2026</w:t>
            </w:r>
          </w:p>
        </w:tc>
        <w:tc>
          <w:tcPr>
            <w:tcW w:w="1068" w:type="dxa"/>
            <w:vAlign w:val="center"/>
          </w:tcPr>
          <w:p w:rsidR="00FD37A3" w:rsidRDefault="0072500C">
            <w:pPr>
              <w:jc w:val="center"/>
              <w:rPr>
                <w:b/>
                <w:noProof/>
                <w:sz w:val="18"/>
              </w:rPr>
            </w:pPr>
            <w:r>
              <w:rPr>
                <w:b/>
                <w:noProof/>
                <w:sz w:val="18"/>
              </w:rPr>
              <w:t>2027</w:t>
            </w:r>
          </w:p>
        </w:tc>
        <w:tc>
          <w:tcPr>
            <w:tcW w:w="1577" w:type="dxa"/>
            <w:vAlign w:val="center"/>
          </w:tcPr>
          <w:p w:rsidR="00FD37A3" w:rsidRDefault="0072500C">
            <w:pPr>
              <w:jc w:val="center"/>
              <w:rPr>
                <w:b/>
                <w:noProof/>
                <w:sz w:val="20"/>
              </w:rPr>
            </w:pPr>
            <w:r>
              <w:rPr>
                <w:b/>
                <w:noProof/>
                <w:sz w:val="20"/>
              </w:rPr>
              <w:t>SKUPAJ</w:t>
            </w:r>
          </w:p>
        </w:tc>
      </w:tr>
      <w:tr w:rsidR="00FD37A3">
        <w:trPr>
          <w:gridAfter w:val="10"/>
          <w:wAfter w:w="10757" w:type="dxa"/>
        </w:trPr>
        <w:tc>
          <w:tcPr>
            <w:tcW w:w="3150" w:type="dxa"/>
            <w:vAlign w:val="center"/>
          </w:tcPr>
          <w:p w:rsidR="00FD37A3" w:rsidRDefault="0072500C">
            <w:pPr>
              <w:spacing w:before="60" w:after="60"/>
              <w:jc w:val="center"/>
              <w:rPr>
                <w:noProof/>
              </w:rPr>
            </w:pPr>
            <w:r>
              <w:rPr>
                <w:b/>
                <w:noProof/>
                <w:sz w:val="28"/>
                <w:szCs w:val="28"/>
              </w:rPr>
              <w:t>GD SANTE</w:t>
            </w:r>
          </w:p>
        </w:tc>
      </w:tr>
      <w:tr w:rsidR="00FD37A3">
        <w:trPr>
          <w:trHeight w:val="313"/>
        </w:trPr>
        <w:tc>
          <w:tcPr>
            <w:tcW w:w="5760" w:type="dxa"/>
            <w:gridSpan w:val="3"/>
            <w:vAlign w:val="center"/>
          </w:tcPr>
          <w:p w:rsidR="00FD37A3" w:rsidRDefault="0072500C">
            <w:pPr>
              <w:spacing w:before="20" w:after="20"/>
              <w:rPr>
                <w:noProof/>
              </w:rPr>
            </w:pPr>
            <w:r>
              <w:rPr>
                <w:noProof/>
                <w:sz w:val="22"/>
              </w:rPr>
              <w:sym w:font="Wingdings" w:char="F09F"/>
            </w:r>
            <w:r>
              <w:rPr>
                <w:noProof/>
                <w:sz w:val="22"/>
              </w:rPr>
              <w:t xml:space="preserve"> Človeški viri </w:t>
            </w:r>
          </w:p>
        </w:tc>
        <w:tc>
          <w:tcPr>
            <w:tcW w:w="1170" w:type="dxa"/>
            <w:vAlign w:val="bottom"/>
          </w:tcPr>
          <w:p w:rsidR="00FD37A3" w:rsidRDefault="0072500C">
            <w:pPr>
              <w:spacing w:before="20" w:after="20"/>
              <w:jc w:val="right"/>
              <w:rPr>
                <w:noProof/>
                <w:sz w:val="20"/>
              </w:rPr>
            </w:pPr>
            <w:r>
              <w:rPr>
                <w:noProof/>
                <w:color w:val="000000"/>
                <w:sz w:val="20"/>
                <w:szCs w:val="20"/>
              </w:rPr>
              <w:t>1,500</w:t>
            </w:r>
          </w:p>
        </w:tc>
        <w:tc>
          <w:tcPr>
            <w:tcW w:w="900" w:type="dxa"/>
            <w:vAlign w:val="bottom"/>
          </w:tcPr>
          <w:p w:rsidR="00FD37A3" w:rsidRDefault="0072500C">
            <w:pPr>
              <w:spacing w:before="20" w:after="20"/>
              <w:jc w:val="right"/>
              <w:rPr>
                <w:noProof/>
                <w:sz w:val="20"/>
              </w:rPr>
            </w:pPr>
            <w:r>
              <w:rPr>
                <w:noProof/>
                <w:color w:val="000000"/>
                <w:sz w:val="20"/>
                <w:szCs w:val="20"/>
              </w:rPr>
              <w:t>1,500</w:t>
            </w:r>
          </w:p>
        </w:tc>
        <w:tc>
          <w:tcPr>
            <w:tcW w:w="828" w:type="dxa"/>
            <w:vAlign w:val="bottom"/>
          </w:tcPr>
          <w:p w:rsidR="00FD37A3" w:rsidRDefault="0072500C">
            <w:pPr>
              <w:spacing w:before="20" w:after="20"/>
              <w:jc w:val="right"/>
              <w:rPr>
                <w:noProof/>
                <w:sz w:val="20"/>
              </w:rPr>
            </w:pPr>
            <w:r>
              <w:rPr>
                <w:noProof/>
                <w:color w:val="000000"/>
                <w:sz w:val="20"/>
                <w:szCs w:val="20"/>
              </w:rPr>
              <w:t>1,500</w:t>
            </w:r>
          </w:p>
        </w:tc>
        <w:tc>
          <w:tcPr>
            <w:tcW w:w="868" w:type="dxa"/>
            <w:vAlign w:val="bottom"/>
          </w:tcPr>
          <w:p w:rsidR="00FD37A3" w:rsidRDefault="0072500C">
            <w:pPr>
              <w:spacing w:before="20" w:after="20"/>
              <w:jc w:val="right"/>
              <w:rPr>
                <w:noProof/>
                <w:sz w:val="20"/>
              </w:rPr>
            </w:pPr>
            <w:r>
              <w:rPr>
                <w:noProof/>
                <w:color w:val="000000"/>
                <w:sz w:val="20"/>
                <w:szCs w:val="20"/>
              </w:rPr>
              <w:t>1,500</w:t>
            </w:r>
          </w:p>
        </w:tc>
        <w:tc>
          <w:tcPr>
            <w:tcW w:w="868" w:type="dxa"/>
            <w:vAlign w:val="bottom"/>
          </w:tcPr>
          <w:p w:rsidR="00FD37A3" w:rsidRDefault="0072500C">
            <w:pPr>
              <w:spacing w:before="20" w:after="20"/>
              <w:jc w:val="right"/>
              <w:rPr>
                <w:noProof/>
                <w:sz w:val="20"/>
              </w:rPr>
            </w:pPr>
            <w:r>
              <w:rPr>
                <w:noProof/>
                <w:color w:val="000000"/>
                <w:sz w:val="20"/>
                <w:szCs w:val="20"/>
              </w:rPr>
              <w:t>1,500</w:t>
            </w:r>
          </w:p>
        </w:tc>
        <w:tc>
          <w:tcPr>
            <w:tcW w:w="868" w:type="dxa"/>
            <w:vAlign w:val="bottom"/>
          </w:tcPr>
          <w:p w:rsidR="00FD37A3" w:rsidRDefault="0072500C">
            <w:pPr>
              <w:spacing w:before="20" w:after="20"/>
              <w:jc w:val="right"/>
              <w:rPr>
                <w:noProof/>
                <w:sz w:val="20"/>
              </w:rPr>
            </w:pPr>
            <w:r>
              <w:rPr>
                <w:noProof/>
                <w:color w:val="000000"/>
                <w:sz w:val="20"/>
                <w:szCs w:val="20"/>
              </w:rPr>
              <w:t>1,500</w:t>
            </w:r>
          </w:p>
        </w:tc>
        <w:tc>
          <w:tcPr>
            <w:tcW w:w="1068" w:type="dxa"/>
            <w:vAlign w:val="bottom"/>
          </w:tcPr>
          <w:p w:rsidR="00FD37A3" w:rsidRDefault="0072500C">
            <w:pPr>
              <w:spacing w:before="20" w:after="20"/>
              <w:jc w:val="right"/>
              <w:rPr>
                <w:b/>
                <w:noProof/>
                <w:sz w:val="20"/>
              </w:rPr>
            </w:pPr>
            <w:r>
              <w:rPr>
                <w:noProof/>
                <w:color w:val="000000"/>
                <w:sz w:val="20"/>
                <w:szCs w:val="20"/>
              </w:rPr>
              <w:t>1,500</w:t>
            </w:r>
          </w:p>
        </w:tc>
        <w:tc>
          <w:tcPr>
            <w:tcW w:w="1577" w:type="dxa"/>
            <w:vAlign w:val="bottom"/>
          </w:tcPr>
          <w:p w:rsidR="00FD37A3" w:rsidRDefault="0072500C">
            <w:pPr>
              <w:spacing w:before="0" w:after="0"/>
              <w:jc w:val="right"/>
              <w:rPr>
                <w:b/>
                <w:noProof/>
                <w:color w:val="000000"/>
                <w:sz w:val="20"/>
                <w:szCs w:val="20"/>
              </w:rPr>
            </w:pPr>
            <w:r>
              <w:rPr>
                <w:b/>
                <w:noProof/>
                <w:color w:val="000000"/>
                <w:sz w:val="20"/>
                <w:szCs w:val="20"/>
              </w:rPr>
              <w:t>10,500</w:t>
            </w:r>
          </w:p>
        </w:tc>
      </w:tr>
      <w:tr w:rsidR="00FD37A3">
        <w:trPr>
          <w:trHeight w:val="351"/>
        </w:trPr>
        <w:tc>
          <w:tcPr>
            <w:tcW w:w="5760" w:type="dxa"/>
            <w:gridSpan w:val="3"/>
            <w:vAlign w:val="center"/>
          </w:tcPr>
          <w:p w:rsidR="00FD37A3" w:rsidRDefault="0072500C">
            <w:pPr>
              <w:spacing w:before="20" w:after="20"/>
              <w:rPr>
                <w:noProof/>
              </w:rPr>
            </w:pPr>
            <w:r>
              <w:rPr>
                <w:noProof/>
                <w:sz w:val="22"/>
              </w:rPr>
              <w:sym w:font="Wingdings" w:char="F09F"/>
            </w:r>
            <w:r>
              <w:rPr>
                <w:noProof/>
                <w:sz w:val="22"/>
              </w:rPr>
              <w:t xml:space="preserve"> Drugi upravni odhodki </w:t>
            </w:r>
          </w:p>
        </w:tc>
        <w:tc>
          <w:tcPr>
            <w:tcW w:w="1170" w:type="dxa"/>
            <w:vAlign w:val="center"/>
          </w:tcPr>
          <w:p w:rsidR="00FD37A3" w:rsidRDefault="00FD37A3">
            <w:pPr>
              <w:spacing w:before="20" w:after="20"/>
              <w:jc w:val="right"/>
              <w:rPr>
                <w:b/>
                <w:noProof/>
                <w:sz w:val="20"/>
              </w:rPr>
            </w:pPr>
          </w:p>
        </w:tc>
        <w:tc>
          <w:tcPr>
            <w:tcW w:w="900" w:type="dxa"/>
            <w:vAlign w:val="center"/>
          </w:tcPr>
          <w:p w:rsidR="00FD37A3" w:rsidRDefault="00FD37A3">
            <w:pPr>
              <w:spacing w:before="20" w:after="20"/>
              <w:jc w:val="right"/>
              <w:rPr>
                <w:b/>
                <w:noProof/>
                <w:sz w:val="20"/>
              </w:rPr>
            </w:pPr>
          </w:p>
        </w:tc>
        <w:tc>
          <w:tcPr>
            <w:tcW w:w="828" w:type="dxa"/>
            <w:vAlign w:val="center"/>
          </w:tcPr>
          <w:p w:rsidR="00FD37A3" w:rsidRDefault="00FD37A3">
            <w:pPr>
              <w:spacing w:before="20" w:after="20"/>
              <w:jc w:val="right"/>
              <w:rPr>
                <w:b/>
                <w:noProof/>
                <w:sz w:val="20"/>
              </w:rPr>
            </w:pPr>
          </w:p>
        </w:tc>
        <w:tc>
          <w:tcPr>
            <w:tcW w:w="868" w:type="dxa"/>
            <w:vAlign w:val="center"/>
          </w:tcPr>
          <w:p w:rsidR="00FD37A3" w:rsidRDefault="00FD37A3">
            <w:pPr>
              <w:spacing w:before="20" w:after="20"/>
              <w:jc w:val="right"/>
              <w:rPr>
                <w:b/>
                <w:noProof/>
                <w:sz w:val="20"/>
              </w:rPr>
            </w:pPr>
          </w:p>
        </w:tc>
        <w:tc>
          <w:tcPr>
            <w:tcW w:w="868" w:type="dxa"/>
            <w:vAlign w:val="center"/>
          </w:tcPr>
          <w:p w:rsidR="00FD37A3" w:rsidRDefault="00FD37A3">
            <w:pPr>
              <w:spacing w:before="20" w:after="20"/>
              <w:jc w:val="right"/>
              <w:rPr>
                <w:b/>
                <w:noProof/>
                <w:sz w:val="20"/>
              </w:rPr>
            </w:pPr>
          </w:p>
        </w:tc>
        <w:tc>
          <w:tcPr>
            <w:tcW w:w="868" w:type="dxa"/>
            <w:vAlign w:val="center"/>
          </w:tcPr>
          <w:p w:rsidR="00FD37A3" w:rsidRDefault="00FD37A3">
            <w:pPr>
              <w:spacing w:before="20" w:after="20"/>
              <w:jc w:val="right"/>
              <w:rPr>
                <w:b/>
                <w:noProof/>
                <w:sz w:val="20"/>
              </w:rPr>
            </w:pPr>
          </w:p>
        </w:tc>
        <w:tc>
          <w:tcPr>
            <w:tcW w:w="1068" w:type="dxa"/>
            <w:vAlign w:val="center"/>
          </w:tcPr>
          <w:p w:rsidR="00FD37A3" w:rsidRDefault="00FD37A3">
            <w:pPr>
              <w:spacing w:before="20" w:after="20"/>
              <w:jc w:val="right"/>
              <w:rPr>
                <w:b/>
                <w:noProof/>
                <w:sz w:val="20"/>
              </w:rPr>
            </w:pPr>
          </w:p>
        </w:tc>
        <w:tc>
          <w:tcPr>
            <w:tcW w:w="1577" w:type="dxa"/>
            <w:vAlign w:val="center"/>
          </w:tcPr>
          <w:p w:rsidR="00FD37A3" w:rsidRDefault="00FD37A3">
            <w:pPr>
              <w:spacing w:before="20" w:after="20"/>
              <w:jc w:val="right"/>
              <w:rPr>
                <w:b/>
                <w:noProof/>
                <w:sz w:val="20"/>
              </w:rPr>
            </w:pPr>
          </w:p>
        </w:tc>
      </w:tr>
      <w:tr w:rsidR="00FD37A3">
        <w:tc>
          <w:tcPr>
            <w:tcW w:w="3150" w:type="dxa"/>
            <w:vAlign w:val="center"/>
          </w:tcPr>
          <w:p w:rsidR="00FD37A3" w:rsidRDefault="0072500C">
            <w:pPr>
              <w:jc w:val="center"/>
              <w:rPr>
                <w:b/>
                <w:noProof/>
              </w:rPr>
            </w:pPr>
            <w:r>
              <w:rPr>
                <w:b/>
                <w:noProof/>
                <w:sz w:val="22"/>
              </w:rPr>
              <w:t>Odobritve iz RAZDELKA 7 – GD SANTE SKUPAJ</w:t>
            </w:r>
          </w:p>
        </w:tc>
        <w:tc>
          <w:tcPr>
            <w:tcW w:w="2610" w:type="dxa"/>
            <w:gridSpan w:val="2"/>
            <w:vAlign w:val="center"/>
          </w:tcPr>
          <w:p w:rsidR="00FD37A3" w:rsidRDefault="0072500C">
            <w:pPr>
              <w:rPr>
                <w:noProof/>
                <w:sz w:val="14"/>
              </w:rPr>
            </w:pPr>
            <w:r>
              <w:rPr>
                <w:noProof/>
                <w:sz w:val="18"/>
              </w:rPr>
              <w:t xml:space="preserve">odobritve </w:t>
            </w:r>
          </w:p>
        </w:tc>
        <w:tc>
          <w:tcPr>
            <w:tcW w:w="1170" w:type="dxa"/>
            <w:vAlign w:val="bottom"/>
          </w:tcPr>
          <w:p w:rsidR="00FD37A3" w:rsidRDefault="0072500C">
            <w:pPr>
              <w:spacing w:before="60" w:after="60"/>
              <w:jc w:val="center"/>
              <w:rPr>
                <w:b/>
                <w:noProof/>
                <w:sz w:val="20"/>
              </w:rPr>
            </w:pPr>
            <w:r>
              <w:rPr>
                <w:b/>
                <w:noProof/>
                <w:color w:val="000000"/>
                <w:sz w:val="20"/>
                <w:szCs w:val="20"/>
              </w:rPr>
              <w:t>1,500</w:t>
            </w:r>
          </w:p>
        </w:tc>
        <w:tc>
          <w:tcPr>
            <w:tcW w:w="900" w:type="dxa"/>
            <w:vAlign w:val="bottom"/>
          </w:tcPr>
          <w:p w:rsidR="00FD37A3" w:rsidRDefault="0072500C">
            <w:pPr>
              <w:spacing w:before="20" w:after="20"/>
              <w:jc w:val="right"/>
              <w:rPr>
                <w:b/>
                <w:noProof/>
                <w:sz w:val="20"/>
              </w:rPr>
            </w:pPr>
            <w:r>
              <w:rPr>
                <w:b/>
                <w:noProof/>
                <w:color w:val="000000"/>
                <w:sz w:val="20"/>
                <w:szCs w:val="20"/>
              </w:rPr>
              <w:t>1,500</w:t>
            </w:r>
          </w:p>
        </w:tc>
        <w:tc>
          <w:tcPr>
            <w:tcW w:w="828" w:type="dxa"/>
            <w:vAlign w:val="bottom"/>
          </w:tcPr>
          <w:p w:rsidR="00FD37A3" w:rsidRDefault="0072500C">
            <w:pPr>
              <w:spacing w:before="20" w:after="20"/>
              <w:jc w:val="right"/>
              <w:rPr>
                <w:b/>
                <w:noProof/>
                <w:sz w:val="20"/>
              </w:rPr>
            </w:pPr>
            <w:r>
              <w:rPr>
                <w:b/>
                <w:noProof/>
                <w:color w:val="000000"/>
                <w:sz w:val="20"/>
                <w:szCs w:val="20"/>
              </w:rPr>
              <w:t>1,500</w:t>
            </w:r>
          </w:p>
        </w:tc>
        <w:tc>
          <w:tcPr>
            <w:tcW w:w="868" w:type="dxa"/>
            <w:vAlign w:val="bottom"/>
          </w:tcPr>
          <w:p w:rsidR="00FD37A3" w:rsidRDefault="0072500C">
            <w:pPr>
              <w:spacing w:before="20" w:after="20"/>
              <w:jc w:val="right"/>
              <w:rPr>
                <w:b/>
                <w:noProof/>
                <w:sz w:val="20"/>
              </w:rPr>
            </w:pPr>
            <w:r>
              <w:rPr>
                <w:b/>
                <w:noProof/>
                <w:color w:val="000000"/>
                <w:sz w:val="20"/>
                <w:szCs w:val="20"/>
              </w:rPr>
              <w:t>1,500</w:t>
            </w:r>
          </w:p>
        </w:tc>
        <w:tc>
          <w:tcPr>
            <w:tcW w:w="868" w:type="dxa"/>
            <w:vAlign w:val="bottom"/>
          </w:tcPr>
          <w:p w:rsidR="00FD37A3" w:rsidRDefault="0072500C">
            <w:pPr>
              <w:spacing w:before="20" w:after="20"/>
              <w:jc w:val="right"/>
              <w:rPr>
                <w:b/>
                <w:noProof/>
                <w:sz w:val="20"/>
              </w:rPr>
            </w:pPr>
            <w:r>
              <w:rPr>
                <w:b/>
                <w:noProof/>
                <w:color w:val="000000"/>
                <w:sz w:val="20"/>
                <w:szCs w:val="20"/>
              </w:rPr>
              <w:t>1,500</w:t>
            </w:r>
          </w:p>
        </w:tc>
        <w:tc>
          <w:tcPr>
            <w:tcW w:w="868" w:type="dxa"/>
            <w:vAlign w:val="bottom"/>
          </w:tcPr>
          <w:p w:rsidR="00FD37A3" w:rsidRDefault="0072500C">
            <w:pPr>
              <w:spacing w:before="20" w:after="20"/>
              <w:jc w:val="right"/>
              <w:rPr>
                <w:b/>
                <w:noProof/>
                <w:sz w:val="20"/>
              </w:rPr>
            </w:pPr>
            <w:r>
              <w:rPr>
                <w:b/>
                <w:noProof/>
                <w:color w:val="000000"/>
                <w:sz w:val="20"/>
                <w:szCs w:val="20"/>
              </w:rPr>
              <w:t>1,500</w:t>
            </w:r>
          </w:p>
        </w:tc>
        <w:tc>
          <w:tcPr>
            <w:tcW w:w="1068" w:type="dxa"/>
            <w:vAlign w:val="bottom"/>
          </w:tcPr>
          <w:p w:rsidR="00FD37A3" w:rsidRDefault="0072500C">
            <w:pPr>
              <w:spacing w:before="20" w:after="20"/>
              <w:jc w:val="right"/>
              <w:rPr>
                <w:b/>
                <w:noProof/>
                <w:sz w:val="20"/>
              </w:rPr>
            </w:pPr>
            <w:r>
              <w:rPr>
                <w:b/>
                <w:noProof/>
                <w:color w:val="000000"/>
                <w:sz w:val="20"/>
                <w:szCs w:val="20"/>
              </w:rPr>
              <w:t>1,500</w:t>
            </w:r>
          </w:p>
        </w:tc>
        <w:tc>
          <w:tcPr>
            <w:tcW w:w="1577" w:type="dxa"/>
            <w:vAlign w:val="bottom"/>
          </w:tcPr>
          <w:p w:rsidR="00FD37A3" w:rsidRDefault="0072500C">
            <w:pPr>
              <w:spacing w:before="20" w:after="20"/>
              <w:jc w:val="right"/>
              <w:rPr>
                <w:b/>
                <w:noProof/>
                <w:sz w:val="20"/>
              </w:rPr>
            </w:pPr>
            <w:r>
              <w:rPr>
                <w:b/>
                <w:noProof/>
                <w:color w:val="000000"/>
                <w:sz w:val="20"/>
                <w:szCs w:val="20"/>
              </w:rPr>
              <w:t>10,500</w:t>
            </w:r>
          </w:p>
        </w:tc>
      </w:tr>
    </w:tbl>
    <w:p w:rsidR="00FD37A3" w:rsidRDefault="00FD37A3">
      <w:pPr>
        <w:rPr>
          <w:noProof/>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2610"/>
        <w:gridCol w:w="1170"/>
        <w:gridCol w:w="900"/>
        <w:gridCol w:w="810"/>
        <w:gridCol w:w="900"/>
        <w:gridCol w:w="810"/>
        <w:gridCol w:w="900"/>
        <w:gridCol w:w="1080"/>
        <w:gridCol w:w="1530"/>
      </w:tblGrid>
      <w:tr w:rsidR="00FD37A3">
        <w:tc>
          <w:tcPr>
            <w:tcW w:w="3150" w:type="dxa"/>
            <w:shd w:val="thinDiagStripe" w:color="C0C0C0" w:fill="auto"/>
            <w:vAlign w:val="center"/>
          </w:tcPr>
          <w:p w:rsidR="00FD37A3" w:rsidRDefault="0072500C">
            <w:pPr>
              <w:jc w:val="center"/>
              <w:rPr>
                <w:b/>
                <w:noProof/>
              </w:rPr>
            </w:pPr>
            <w:r>
              <w:rPr>
                <w:b/>
                <w:noProof/>
                <w:sz w:val="22"/>
              </w:rPr>
              <w:t>Odobritve iz RAZDELKA 7</w:t>
            </w:r>
            <w:r>
              <w:rPr>
                <w:noProof/>
                <w:sz w:val="22"/>
              </w:rPr>
              <w:br/>
              <w:t>večletnega finančnega okvira</w:t>
            </w:r>
            <w:r>
              <w:rPr>
                <w:noProof/>
                <w:sz w:val="22"/>
              </w:rPr>
              <w:br/>
            </w:r>
            <w:r>
              <w:rPr>
                <w:b/>
                <w:noProof/>
                <w:sz w:val="22"/>
              </w:rPr>
              <w:t xml:space="preserve">SKUPAJ </w:t>
            </w:r>
          </w:p>
        </w:tc>
        <w:tc>
          <w:tcPr>
            <w:tcW w:w="2610" w:type="dxa"/>
            <w:vAlign w:val="center"/>
          </w:tcPr>
          <w:p w:rsidR="00FD37A3" w:rsidRDefault="0072500C">
            <w:pPr>
              <w:spacing w:before="40" w:after="40"/>
              <w:rPr>
                <w:noProof/>
              </w:rPr>
            </w:pPr>
            <w:r>
              <w:rPr>
                <w:noProof/>
                <w:sz w:val="18"/>
              </w:rPr>
              <w:t>(obveznosti skupaj = plačila skupaj)</w:t>
            </w:r>
          </w:p>
        </w:tc>
        <w:tc>
          <w:tcPr>
            <w:tcW w:w="1170" w:type="dxa"/>
            <w:vAlign w:val="bottom"/>
          </w:tcPr>
          <w:p w:rsidR="00FD37A3" w:rsidRDefault="0072500C">
            <w:pPr>
              <w:spacing w:before="20" w:after="20"/>
              <w:jc w:val="right"/>
              <w:rPr>
                <w:noProof/>
                <w:sz w:val="20"/>
              </w:rPr>
            </w:pPr>
            <w:r>
              <w:rPr>
                <w:b/>
                <w:noProof/>
                <w:color w:val="000000"/>
                <w:sz w:val="20"/>
                <w:szCs w:val="20"/>
              </w:rPr>
              <w:t>1,500</w:t>
            </w:r>
          </w:p>
        </w:tc>
        <w:tc>
          <w:tcPr>
            <w:tcW w:w="900" w:type="dxa"/>
            <w:vAlign w:val="bottom"/>
          </w:tcPr>
          <w:p w:rsidR="00FD37A3" w:rsidRDefault="0072500C">
            <w:pPr>
              <w:spacing w:before="20" w:after="20"/>
              <w:jc w:val="right"/>
              <w:rPr>
                <w:noProof/>
                <w:sz w:val="20"/>
              </w:rPr>
            </w:pPr>
            <w:r>
              <w:rPr>
                <w:b/>
                <w:noProof/>
                <w:color w:val="000000"/>
                <w:sz w:val="20"/>
                <w:szCs w:val="20"/>
              </w:rPr>
              <w:t>1,500</w:t>
            </w:r>
          </w:p>
        </w:tc>
        <w:tc>
          <w:tcPr>
            <w:tcW w:w="810" w:type="dxa"/>
            <w:vAlign w:val="bottom"/>
          </w:tcPr>
          <w:p w:rsidR="00FD37A3" w:rsidRDefault="0072500C">
            <w:pPr>
              <w:spacing w:before="20" w:after="20"/>
              <w:jc w:val="right"/>
              <w:rPr>
                <w:noProof/>
                <w:sz w:val="20"/>
              </w:rPr>
            </w:pPr>
            <w:r>
              <w:rPr>
                <w:b/>
                <w:noProof/>
                <w:color w:val="000000"/>
                <w:sz w:val="20"/>
                <w:szCs w:val="20"/>
              </w:rPr>
              <w:t>1,500</w:t>
            </w:r>
          </w:p>
        </w:tc>
        <w:tc>
          <w:tcPr>
            <w:tcW w:w="900" w:type="dxa"/>
            <w:vAlign w:val="bottom"/>
          </w:tcPr>
          <w:p w:rsidR="00FD37A3" w:rsidRDefault="0072500C">
            <w:pPr>
              <w:spacing w:before="20" w:after="20"/>
              <w:jc w:val="right"/>
              <w:rPr>
                <w:noProof/>
                <w:sz w:val="20"/>
              </w:rPr>
            </w:pPr>
            <w:r>
              <w:rPr>
                <w:b/>
                <w:noProof/>
                <w:color w:val="000000"/>
                <w:sz w:val="20"/>
                <w:szCs w:val="20"/>
              </w:rPr>
              <w:t>1,500</w:t>
            </w:r>
          </w:p>
        </w:tc>
        <w:tc>
          <w:tcPr>
            <w:tcW w:w="810" w:type="dxa"/>
            <w:vAlign w:val="bottom"/>
          </w:tcPr>
          <w:p w:rsidR="00FD37A3" w:rsidRDefault="0072500C">
            <w:pPr>
              <w:spacing w:before="20" w:after="20"/>
              <w:jc w:val="right"/>
              <w:rPr>
                <w:noProof/>
                <w:sz w:val="20"/>
              </w:rPr>
            </w:pPr>
            <w:r>
              <w:rPr>
                <w:b/>
                <w:noProof/>
                <w:color w:val="000000"/>
                <w:sz w:val="20"/>
                <w:szCs w:val="20"/>
              </w:rPr>
              <w:t>1,500</w:t>
            </w:r>
          </w:p>
        </w:tc>
        <w:tc>
          <w:tcPr>
            <w:tcW w:w="900" w:type="dxa"/>
            <w:vAlign w:val="bottom"/>
          </w:tcPr>
          <w:p w:rsidR="00FD37A3" w:rsidRDefault="0072500C">
            <w:pPr>
              <w:spacing w:before="20" w:after="20"/>
              <w:jc w:val="right"/>
              <w:rPr>
                <w:noProof/>
                <w:sz w:val="20"/>
              </w:rPr>
            </w:pPr>
            <w:r>
              <w:rPr>
                <w:b/>
                <w:noProof/>
                <w:color w:val="000000"/>
                <w:sz w:val="20"/>
                <w:szCs w:val="20"/>
              </w:rPr>
              <w:t>1,500</w:t>
            </w:r>
          </w:p>
        </w:tc>
        <w:tc>
          <w:tcPr>
            <w:tcW w:w="1080" w:type="dxa"/>
            <w:vAlign w:val="bottom"/>
          </w:tcPr>
          <w:p w:rsidR="00FD37A3" w:rsidRDefault="0072500C">
            <w:pPr>
              <w:spacing w:before="20" w:after="20"/>
              <w:jc w:val="right"/>
              <w:rPr>
                <w:b/>
                <w:noProof/>
                <w:sz w:val="20"/>
              </w:rPr>
            </w:pPr>
            <w:r>
              <w:rPr>
                <w:b/>
                <w:noProof/>
                <w:color w:val="000000"/>
                <w:sz w:val="20"/>
                <w:szCs w:val="20"/>
              </w:rPr>
              <w:t>1,500</w:t>
            </w:r>
          </w:p>
        </w:tc>
        <w:tc>
          <w:tcPr>
            <w:tcW w:w="1530" w:type="dxa"/>
            <w:vAlign w:val="bottom"/>
          </w:tcPr>
          <w:p w:rsidR="00FD37A3" w:rsidRDefault="0072500C">
            <w:pPr>
              <w:spacing w:before="20" w:after="20"/>
              <w:jc w:val="right"/>
              <w:rPr>
                <w:b/>
                <w:noProof/>
                <w:sz w:val="20"/>
              </w:rPr>
            </w:pPr>
            <w:r>
              <w:rPr>
                <w:b/>
                <w:noProof/>
                <w:color w:val="000000"/>
                <w:sz w:val="20"/>
                <w:szCs w:val="20"/>
              </w:rPr>
              <w:t>10,500</w:t>
            </w:r>
          </w:p>
        </w:tc>
      </w:tr>
    </w:tbl>
    <w:p w:rsidR="00FD37A3" w:rsidRDefault="0072500C">
      <w:pPr>
        <w:jc w:val="right"/>
        <w:rPr>
          <w:noProof/>
          <w:sz w:val="20"/>
        </w:rPr>
      </w:pPr>
      <w:r>
        <w:rPr>
          <w:noProof/>
          <w:sz w:val="20"/>
        </w:rPr>
        <w:t>v mio. EUR (na tri decimalna mesta natančno)</w:t>
      </w:r>
    </w:p>
    <w:tbl>
      <w:tblPr>
        <w:tblW w:w="1514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1829"/>
        <w:gridCol w:w="153"/>
        <w:gridCol w:w="83"/>
        <w:gridCol w:w="998"/>
        <w:gridCol w:w="1040"/>
        <w:gridCol w:w="1029"/>
        <w:gridCol w:w="1080"/>
        <w:gridCol w:w="1080"/>
        <w:gridCol w:w="1170"/>
        <w:gridCol w:w="1080"/>
        <w:gridCol w:w="1170"/>
        <w:gridCol w:w="1284"/>
      </w:tblGrid>
      <w:tr w:rsidR="00FD37A3">
        <w:tc>
          <w:tcPr>
            <w:tcW w:w="3148" w:type="dxa"/>
            <w:tcBorders>
              <w:top w:val="nil"/>
              <w:left w:val="nil"/>
              <w:right w:val="nil"/>
            </w:tcBorders>
            <w:vAlign w:val="center"/>
          </w:tcPr>
          <w:p w:rsidR="00FD37A3" w:rsidRDefault="00FD37A3">
            <w:pPr>
              <w:jc w:val="center"/>
              <w:rPr>
                <w:noProof/>
              </w:rPr>
            </w:pPr>
          </w:p>
        </w:tc>
        <w:tc>
          <w:tcPr>
            <w:tcW w:w="1829" w:type="dxa"/>
            <w:tcBorders>
              <w:top w:val="nil"/>
              <w:left w:val="nil"/>
              <w:right w:val="nil"/>
            </w:tcBorders>
          </w:tcPr>
          <w:p w:rsidR="00FD37A3" w:rsidRDefault="00FD37A3">
            <w:pPr>
              <w:rPr>
                <w:noProof/>
                <w:sz w:val="20"/>
              </w:rPr>
            </w:pPr>
          </w:p>
        </w:tc>
        <w:tc>
          <w:tcPr>
            <w:tcW w:w="236" w:type="dxa"/>
            <w:gridSpan w:val="2"/>
            <w:tcBorders>
              <w:top w:val="nil"/>
              <w:left w:val="nil"/>
            </w:tcBorders>
          </w:tcPr>
          <w:p w:rsidR="00FD37A3" w:rsidRDefault="00FD37A3">
            <w:pPr>
              <w:jc w:val="center"/>
              <w:rPr>
                <w:noProof/>
                <w:sz w:val="20"/>
              </w:rPr>
            </w:pPr>
          </w:p>
        </w:tc>
        <w:tc>
          <w:tcPr>
            <w:tcW w:w="998" w:type="dxa"/>
            <w:vAlign w:val="center"/>
          </w:tcPr>
          <w:p w:rsidR="00FD37A3" w:rsidRDefault="0072500C">
            <w:pPr>
              <w:jc w:val="center"/>
              <w:rPr>
                <w:noProof/>
                <w:sz w:val="20"/>
              </w:rPr>
            </w:pPr>
            <w:r>
              <w:rPr>
                <w:b/>
                <w:noProof/>
                <w:sz w:val="20"/>
              </w:rPr>
              <w:t>2021</w:t>
            </w:r>
          </w:p>
        </w:tc>
        <w:tc>
          <w:tcPr>
            <w:tcW w:w="1040" w:type="dxa"/>
            <w:vAlign w:val="center"/>
          </w:tcPr>
          <w:p w:rsidR="00FD37A3" w:rsidRDefault="0072500C">
            <w:pPr>
              <w:jc w:val="center"/>
              <w:rPr>
                <w:noProof/>
                <w:sz w:val="20"/>
              </w:rPr>
            </w:pPr>
            <w:r>
              <w:rPr>
                <w:b/>
                <w:noProof/>
                <w:sz w:val="20"/>
              </w:rPr>
              <w:t>2022</w:t>
            </w:r>
          </w:p>
        </w:tc>
        <w:tc>
          <w:tcPr>
            <w:tcW w:w="1029" w:type="dxa"/>
            <w:vAlign w:val="center"/>
          </w:tcPr>
          <w:p w:rsidR="00FD37A3" w:rsidRDefault="0072500C">
            <w:pPr>
              <w:jc w:val="center"/>
              <w:rPr>
                <w:noProof/>
                <w:sz w:val="20"/>
              </w:rPr>
            </w:pPr>
            <w:r>
              <w:rPr>
                <w:b/>
                <w:noProof/>
                <w:sz w:val="20"/>
              </w:rPr>
              <w:t>2023</w:t>
            </w:r>
          </w:p>
        </w:tc>
        <w:tc>
          <w:tcPr>
            <w:tcW w:w="1080" w:type="dxa"/>
            <w:vAlign w:val="center"/>
          </w:tcPr>
          <w:p w:rsidR="00FD37A3" w:rsidRDefault="0072500C">
            <w:pPr>
              <w:jc w:val="center"/>
              <w:rPr>
                <w:noProof/>
                <w:sz w:val="20"/>
              </w:rPr>
            </w:pPr>
            <w:r>
              <w:rPr>
                <w:b/>
                <w:noProof/>
                <w:sz w:val="20"/>
              </w:rPr>
              <w:t>2024</w:t>
            </w:r>
          </w:p>
        </w:tc>
        <w:tc>
          <w:tcPr>
            <w:tcW w:w="1080" w:type="dxa"/>
            <w:vAlign w:val="center"/>
          </w:tcPr>
          <w:p w:rsidR="00FD37A3" w:rsidRDefault="0072500C">
            <w:pPr>
              <w:jc w:val="center"/>
              <w:rPr>
                <w:b/>
                <w:noProof/>
                <w:sz w:val="18"/>
              </w:rPr>
            </w:pPr>
            <w:r>
              <w:rPr>
                <w:b/>
                <w:noProof/>
                <w:sz w:val="18"/>
              </w:rPr>
              <w:t>2025</w:t>
            </w:r>
          </w:p>
        </w:tc>
        <w:tc>
          <w:tcPr>
            <w:tcW w:w="1170" w:type="dxa"/>
            <w:vAlign w:val="center"/>
          </w:tcPr>
          <w:p w:rsidR="00FD37A3" w:rsidRDefault="0072500C">
            <w:pPr>
              <w:jc w:val="center"/>
              <w:rPr>
                <w:b/>
                <w:noProof/>
                <w:sz w:val="18"/>
              </w:rPr>
            </w:pPr>
            <w:r>
              <w:rPr>
                <w:b/>
                <w:noProof/>
                <w:sz w:val="18"/>
              </w:rPr>
              <w:t>2026</w:t>
            </w:r>
          </w:p>
        </w:tc>
        <w:tc>
          <w:tcPr>
            <w:tcW w:w="1080" w:type="dxa"/>
            <w:vAlign w:val="center"/>
          </w:tcPr>
          <w:p w:rsidR="00FD37A3" w:rsidRDefault="0072500C">
            <w:pPr>
              <w:jc w:val="center"/>
              <w:rPr>
                <w:b/>
                <w:noProof/>
                <w:sz w:val="18"/>
              </w:rPr>
            </w:pPr>
            <w:r>
              <w:rPr>
                <w:b/>
                <w:noProof/>
                <w:sz w:val="18"/>
              </w:rPr>
              <w:t>2027</w:t>
            </w:r>
          </w:p>
        </w:tc>
        <w:tc>
          <w:tcPr>
            <w:tcW w:w="1170" w:type="dxa"/>
          </w:tcPr>
          <w:p w:rsidR="00FD37A3" w:rsidRDefault="0072500C">
            <w:pPr>
              <w:jc w:val="center"/>
              <w:rPr>
                <w:b/>
                <w:noProof/>
                <w:sz w:val="20"/>
              </w:rPr>
            </w:pPr>
            <w:r>
              <w:rPr>
                <w:b/>
                <w:i/>
                <w:noProof/>
                <w:sz w:val="20"/>
              </w:rPr>
              <w:t>Po letu 2027</w:t>
            </w:r>
          </w:p>
        </w:tc>
        <w:tc>
          <w:tcPr>
            <w:tcW w:w="1284" w:type="dxa"/>
            <w:vAlign w:val="center"/>
          </w:tcPr>
          <w:p w:rsidR="00FD37A3" w:rsidRDefault="0072500C">
            <w:pPr>
              <w:jc w:val="center"/>
              <w:rPr>
                <w:b/>
                <w:noProof/>
                <w:sz w:val="20"/>
              </w:rPr>
            </w:pPr>
            <w:r>
              <w:rPr>
                <w:b/>
                <w:noProof/>
                <w:sz w:val="20"/>
              </w:rPr>
              <w:t>SKUPAJ</w:t>
            </w:r>
          </w:p>
        </w:tc>
      </w:tr>
      <w:tr w:rsidR="00FD37A3">
        <w:tc>
          <w:tcPr>
            <w:tcW w:w="3148" w:type="dxa"/>
            <w:vMerge w:val="restart"/>
            <w:shd w:val="clear" w:color="auto" w:fill="C0C0C0"/>
            <w:vAlign w:val="center"/>
          </w:tcPr>
          <w:p w:rsidR="00FD37A3" w:rsidRDefault="0072500C">
            <w:pPr>
              <w:jc w:val="center"/>
              <w:rPr>
                <w:b/>
                <w:noProof/>
              </w:rPr>
            </w:pPr>
            <w:r>
              <w:rPr>
                <w:b/>
                <w:noProof/>
                <w:sz w:val="22"/>
              </w:rPr>
              <w:t xml:space="preserve">Odobritve iz RAZDELKOV </w:t>
            </w:r>
            <w:r>
              <w:rPr>
                <w:noProof/>
                <w:sz w:val="22"/>
              </w:rPr>
              <w:br/>
              <w:t xml:space="preserve">večletnega finančnega okvira – </w:t>
            </w:r>
            <w:r>
              <w:rPr>
                <w:b/>
                <w:noProof/>
                <w:sz w:val="22"/>
              </w:rPr>
              <w:t>iz proračunskih postopkov SKUPAJ</w:t>
            </w:r>
          </w:p>
        </w:tc>
        <w:tc>
          <w:tcPr>
            <w:tcW w:w="1982" w:type="dxa"/>
            <w:gridSpan w:val="2"/>
            <w:vAlign w:val="center"/>
          </w:tcPr>
          <w:p w:rsidR="00FD37A3" w:rsidRDefault="0072500C">
            <w:pPr>
              <w:rPr>
                <w:noProof/>
                <w:sz w:val="14"/>
              </w:rPr>
            </w:pPr>
            <w:r>
              <w:rPr>
                <w:noProof/>
                <w:sz w:val="18"/>
              </w:rPr>
              <w:t>obveznosti</w:t>
            </w:r>
          </w:p>
        </w:tc>
        <w:tc>
          <w:tcPr>
            <w:tcW w:w="1081" w:type="dxa"/>
            <w:gridSpan w:val="2"/>
            <w:vAlign w:val="center"/>
          </w:tcPr>
          <w:p w:rsidR="00FD37A3" w:rsidRDefault="0072500C">
            <w:pPr>
              <w:spacing w:before="60" w:after="60"/>
              <w:jc w:val="right"/>
              <w:rPr>
                <w:noProof/>
                <w:sz w:val="20"/>
              </w:rPr>
            </w:pPr>
            <w:r>
              <w:rPr>
                <w:noProof/>
                <w:sz w:val="20"/>
              </w:rPr>
              <w:t>22,724</w:t>
            </w:r>
          </w:p>
        </w:tc>
        <w:tc>
          <w:tcPr>
            <w:tcW w:w="1040" w:type="dxa"/>
            <w:vAlign w:val="center"/>
          </w:tcPr>
          <w:p w:rsidR="00FD37A3" w:rsidRDefault="0072500C">
            <w:pPr>
              <w:spacing w:before="60" w:after="60"/>
              <w:jc w:val="right"/>
              <w:rPr>
                <w:noProof/>
                <w:sz w:val="20"/>
              </w:rPr>
            </w:pPr>
            <w:r>
              <w:rPr>
                <w:noProof/>
                <w:sz w:val="20"/>
              </w:rPr>
              <w:t>33,973</w:t>
            </w:r>
          </w:p>
        </w:tc>
        <w:tc>
          <w:tcPr>
            <w:tcW w:w="1029" w:type="dxa"/>
            <w:vAlign w:val="center"/>
          </w:tcPr>
          <w:p w:rsidR="00FD37A3" w:rsidRDefault="0072500C">
            <w:pPr>
              <w:spacing w:before="60" w:after="60"/>
              <w:jc w:val="right"/>
              <w:rPr>
                <w:noProof/>
                <w:sz w:val="20"/>
              </w:rPr>
            </w:pPr>
            <w:r>
              <w:rPr>
                <w:noProof/>
                <w:sz w:val="20"/>
              </w:rPr>
              <w:t>56,704</w:t>
            </w:r>
          </w:p>
        </w:tc>
        <w:tc>
          <w:tcPr>
            <w:tcW w:w="1080" w:type="dxa"/>
            <w:vAlign w:val="center"/>
          </w:tcPr>
          <w:p w:rsidR="00FD37A3" w:rsidRDefault="0072500C">
            <w:pPr>
              <w:spacing w:before="60" w:after="60"/>
              <w:jc w:val="right"/>
              <w:rPr>
                <w:noProof/>
                <w:sz w:val="20"/>
              </w:rPr>
            </w:pPr>
            <w:r>
              <w:rPr>
                <w:noProof/>
                <w:sz w:val="20"/>
              </w:rPr>
              <w:t>91,593</w:t>
            </w:r>
          </w:p>
        </w:tc>
        <w:tc>
          <w:tcPr>
            <w:tcW w:w="1080" w:type="dxa"/>
            <w:vAlign w:val="center"/>
          </w:tcPr>
          <w:p w:rsidR="00FD37A3" w:rsidRDefault="0072500C">
            <w:pPr>
              <w:spacing w:before="60" w:after="60"/>
              <w:jc w:val="right"/>
              <w:rPr>
                <w:noProof/>
                <w:sz w:val="20"/>
              </w:rPr>
            </w:pPr>
            <w:r>
              <w:rPr>
                <w:noProof/>
                <w:sz w:val="20"/>
              </w:rPr>
              <w:t>518,409</w:t>
            </w:r>
          </w:p>
        </w:tc>
        <w:tc>
          <w:tcPr>
            <w:tcW w:w="1170" w:type="dxa"/>
            <w:vAlign w:val="center"/>
          </w:tcPr>
          <w:p w:rsidR="00FD37A3" w:rsidRDefault="0072500C">
            <w:pPr>
              <w:spacing w:before="60" w:after="60"/>
              <w:jc w:val="right"/>
              <w:rPr>
                <w:noProof/>
                <w:sz w:val="20"/>
              </w:rPr>
            </w:pPr>
            <w:r>
              <w:rPr>
                <w:noProof/>
                <w:sz w:val="20"/>
              </w:rPr>
              <w:t>610,763</w:t>
            </w:r>
          </w:p>
        </w:tc>
        <w:tc>
          <w:tcPr>
            <w:tcW w:w="1080" w:type="dxa"/>
            <w:vAlign w:val="center"/>
          </w:tcPr>
          <w:p w:rsidR="00FD37A3" w:rsidRDefault="0072500C">
            <w:pPr>
              <w:spacing w:before="60" w:after="60"/>
              <w:jc w:val="right"/>
              <w:rPr>
                <w:noProof/>
                <w:sz w:val="20"/>
              </w:rPr>
            </w:pPr>
            <w:r>
              <w:rPr>
                <w:noProof/>
                <w:sz w:val="20"/>
              </w:rPr>
              <w:t>622,948</w:t>
            </w:r>
          </w:p>
        </w:tc>
        <w:tc>
          <w:tcPr>
            <w:tcW w:w="1170" w:type="dxa"/>
          </w:tcPr>
          <w:p w:rsidR="00FD37A3" w:rsidRDefault="0072500C">
            <w:pPr>
              <w:spacing w:before="60" w:after="60"/>
              <w:jc w:val="right"/>
              <w:rPr>
                <w:noProof/>
                <w:sz w:val="20"/>
              </w:rPr>
            </w:pPr>
            <w:r>
              <w:rPr>
                <w:noProof/>
                <w:sz w:val="20"/>
              </w:rPr>
              <w:t>0</w:t>
            </w:r>
          </w:p>
        </w:tc>
        <w:tc>
          <w:tcPr>
            <w:tcW w:w="1284" w:type="dxa"/>
            <w:vAlign w:val="center"/>
          </w:tcPr>
          <w:p w:rsidR="00FD37A3" w:rsidRDefault="0072500C">
            <w:pPr>
              <w:spacing w:before="0" w:after="0"/>
              <w:jc w:val="right"/>
              <w:rPr>
                <w:b/>
                <w:bCs/>
                <w:noProof/>
                <w:color w:val="000000"/>
                <w:sz w:val="20"/>
                <w:szCs w:val="20"/>
              </w:rPr>
            </w:pPr>
            <w:r>
              <w:rPr>
                <w:b/>
                <w:bCs/>
                <w:noProof/>
                <w:color w:val="000000"/>
                <w:sz w:val="20"/>
                <w:szCs w:val="20"/>
              </w:rPr>
              <w:t>1 957,114</w:t>
            </w:r>
          </w:p>
        </w:tc>
      </w:tr>
      <w:tr w:rsidR="00FD37A3">
        <w:tc>
          <w:tcPr>
            <w:tcW w:w="3148" w:type="dxa"/>
            <w:vMerge/>
            <w:shd w:val="clear" w:color="auto" w:fill="C0C0C0"/>
          </w:tcPr>
          <w:p w:rsidR="00FD37A3" w:rsidRDefault="00FD37A3">
            <w:pPr>
              <w:rPr>
                <w:noProof/>
                <w:sz w:val="20"/>
              </w:rPr>
            </w:pPr>
          </w:p>
        </w:tc>
        <w:tc>
          <w:tcPr>
            <w:tcW w:w="1982" w:type="dxa"/>
            <w:gridSpan w:val="2"/>
            <w:vAlign w:val="center"/>
          </w:tcPr>
          <w:p w:rsidR="00FD37A3" w:rsidRDefault="0072500C">
            <w:pPr>
              <w:rPr>
                <w:noProof/>
                <w:sz w:val="14"/>
              </w:rPr>
            </w:pPr>
            <w:r>
              <w:rPr>
                <w:noProof/>
                <w:sz w:val="18"/>
              </w:rPr>
              <w:t>plačila</w:t>
            </w:r>
          </w:p>
        </w:tc>
        <w:tc>
          <w:tcPr>
            <w:tcW w:w="1081" w:type="dxa"/>
            <w:gridSpan w:val="2"/>
            <w:vAlign w:val="center"/>
          </w:tcPr>
          <w:p w:rsidR="00FD37A3" w:rsidRDefault="0072500C">
            <w:pPr>
              <w:spacing w:before="60" w:after="60"/>
              <w:jc w:val="right"/>
              <w:rPr>
                <w:noProof/>
                <w:sz w:val="20"/>
              </w:rPr>
            </w:pPr>
            <w:r>
              <w:rPr>
                <w:noProof/>
                <w:sz w:val="20"/>
              </w:rPr>
              <w:t>6,617</w:t>
            </w:r>
          </w:p>
        </w:tc>
        <w:tc>
          <w:tcPr>
            <w:tcW w:w="1040" w:type="dxa"/>
            <w:vAlign w:val="center"/>
          </w:tcPr>
          <w:p w:rsidR="00FD37A3" w:rsidRDefault="0072500C">
            <w:pPr>
              <w:spacing w:before="60" w:after="60"/>
              <w:jc w:val="right"/>
              <w:rPr>
                <w:noProof/>
                <w:sz w:val="20"/>
              </w:rPr>
            </w:pPr>
            <w:r>
              <w:rPr>
                <w:noProof/>
                <w:sz w:val="20"/>
              </w:rPr>
              <w:t>16,052</w:t>
            </w:r>
          </w:p>
        </w:tc>
        <w:tc>
          <w:tcPr>
            <w:tcW w:w="1029" w:type="dxa"/>
            <w:vAlign w:val="center"/>
          </w:tcPr>
          <w:p w:rsidR="00FD37A3" w:rsidRDefault="0072500C">
            <w:pPr>
              <w:spacing w:before="60" w:after="60"/>
              <w:jc w:val="right"/>
              <w:rPr>
                <w:noProof/>
                <w:sz w:val="20"/>
              </w:rPr>
            </w:pPr>
            <w:r>
              <w:rPr>
                <w:noProof/>
                <w:sz w:val="20"/>
              </w:rPr>
              <w:t>28,620</w:t>
            </w:r>
          </w:p>
        </w:tc>
        <w:tc>
          <w:tcPr>
            <w:tcW w:w="1080" w:type="dxa"/>
            <w:vAlign w:val="center"/>
          </w:tcPr>
          <w:p w:rsidR="00FD37A3" w:rsidRDefault="0072500C">
            <w:pPr>
              <w:spacing w:before="60" w:after="60"/>
              <w:jc w:val="right"/>
              <w:rPr>
                <w:noProof/>
                <w:sz w:val="20"/>
              </w:rPr>
            </w:pPr>
            <w:r>
              <w:rPr>
                <w:noProof/>
                <w:sz w:val="20"/>
              </w:rPr>
              <w:t>48,373</w:t>
            </w:r>
          </w:p>
        </w:tc>
        <w:tc>
          <w:tcPr>
            <w:tcW w:w="1080" w:type="dxa"/>
            <w:vAlign w:val="center"/>
          </w:tcPr>
          <w:p w:rsidR="00FD37A3" w:rsidRDefault="0072500C">
            <w:pPr>
              <w:spacing w:before="60" w:after="60"/>
              <w:jc w:val="right"/>
              <w:rPr>
                <w:noProof/>
                <w:sz w:val="20"/>
              </w:rPr>
            </w:pPr>
            <w:r>
              <w:rPr>
                <w:noProof/>
                <w:sz w:val="20"/>
              </w:rPr>
              <w:t>168,176</w:t>
            </w:r>
          </w:p>
        </w:tc>
        <w:tc>
          <w:tcPr>
            <w:tcW w:w="1170" w:type="dxa"/>
            <w:vAlign w:val="center"/>
          </w:tcPr>
          <w:p w:rsidR="00FD37A3" w:rsidRDefault="0072500C">
            <w:pPr>
              <w:spacing w:before="60" w:after="60"/>
              <w:jc w:val="right"/>
              <w:rPr>
                <w:noProof/>
                <w:sz w:val="20"/>
              </w:rPr>
            </w:pPr>
            <w:r>
              <w:rPr>
                <w:noProof/>
                <w:sz w:val="20"/>
              </w:rPr>
              <w:t>335,149</w:t>
            </w:r>
          </w:p>
        </w:tc>
        <w:tc>
          <w:tcPr>
            <w:tcW w:w="1080" w:type="dxa"/>
            <w:vAlign w:val="center"/>
          </w:tcPr>
          <w:p w:rsidR="00FD37A3" w:rsidRDefault="0072500C">
            <w:pPr>
              <w:spacing w:before="60" w:after="60"/>
              <w:jc w:val="right"/>
              <w:rPr>
                <w:noProof/>
                <w:sz w:val="20"/>
              </w:rPr>
            </w:pPr>
            <w:r>
              <w:rPr>
                <w:noProof/>
                <w:sz w:val="20"/>
              </w:rPr>
              <w:t>443,616</w:t>
            </w:r>
          </w:p>
        </w:tc>
        <w:tc>
          <w:tcPr>
            <w:tcW w:w="1170" w:type="dxa"/>
            <w:vAlign w:val="center"/>
          </w:tcPr>
          <w:p w:rsidR="00FD37A3" w:rsidRDefault="0072500C">
            <w:pPr>
              <w:spacing w:before="60" w:after="60"/>
              <w:jc w:val="right"/>
              <w:rPr>
                <w:noProof/>
                <w:sz w:val="20"/>
              </w:rPr>
            </w:pPr>
            <w:r>
              <w:rPr>
                <w:noProof/>
                <w:sz w:val="20"/>
              </w:rPr>
              <w:t>910,511</w:t>
            </w:r>
          </w:p>
        </w:tc>
        <w:tc>
          <w:tcPr>
            <w:tcW w:w="1284" w:type="dxa"/>
            <w:vAlign w:val="center"/>
          </w:tcPr>
          <w:p w:rsidR="00FD37A3" w:rsidRDefault="0072500C">
            <w:pPr>
              <w:spacing w:before="60" w:after="60"/>
              <w:jc w:val="right"/>
              <w:rPr>
                <w:b/>
                <w:noProof/>
                <w:sz w:val="20"/>
              </w:rPr>
            </w:pPr>
            <w:r>
              <w:rPr>
                <w:b/>
                <w:noProof/>
                <w:sz w:val="20"/>
              </w:rPr>
              <w:t>1 957,114</w:t>
            </w:r>
          </w:p>
        </w:tc>
      </w:tr>
      <w:tr w:rsidR="00FD37A3">
        <w:tc>
          <w:tcPr>
            <w:tcW w:w="3148" w:type="dxa"/>
            <w:shd w:val="clear" w:color="auto" w:fill="C0C0C0"/>
          </w:tcPr>
          <w:p w:rsidR="00FD37A3" w:rsidRDefault="00FD37A3">
            <w:pPr>
              <w:rPr>
                <w:noProof/>
                <w:sz w:val="20"/>
              </w:rPr>
            </w:pPr>
          </w:p>
        </w:tc>
        <w:tc>
          <w:tcPr>
            <w:tcW w:w="1982" w:type="dxa"/>
            <w:gridSpan w:val="2"/>
            <w:vAlign w:val="center"/>
          </w:tcPr>
          <w:p w:rsidR="00FD37A3" w:rsidRDefault="00FD37A3">
            <w:pPr>
              <w:rPr>
                <w:noProof/>
                <w:sz w:val="18"/>
              </w:rPr>
            </w:pPr>
          </w:p>
        </w:tc>
        <w:tc>
          <w:tcPr>
            <w:tcW w:w="1081" w:type="dxa"/>
            <w:gridSpan w:val="2"/>
            <w:vAlign w:val="center"/>
          </w:tcPr>
          <w:p w:rsidR="00FD37A3" w:rsidRDefault="00FD37A3">
            <w:pPr>
              <w:spacing w:before="60" w:after="60"/>
              <w:jc w:val="right"/>
              <w:rPr>
                <w:noProof/>
                <w:color w:val="000000"/>
                <w:sz w:val="20"/>
                <w:szCs w:val="20"/>
              </w:rPr>
            </w:pPr>
          </w:p>
        </w:tc>
        <w:tc>
          <w:tcPr>
            <w:tcW w:w="1040" w:type="dxa"/>
            <w:vAlign w:val="center"/>
          </w:tcPr>
          <w:p w:rsidR="00FD37A3" w:rsidRDefault="00FD37A3">
            <w:pPr>
              <w:spacing w:before="60" w:after="60"/>
              <w:jc w:val="right"/>
              <w:rPr>
                <w:noProof/>
                <w:color w:val="000000"/>
                <w:sz w:val="20"/>
                <w:szCs w:val="20"/>
              </w:rPr>
            </w:pPr>
          </w:p>
        </w:tc>
        <w:tc>
          <w:tcPr>
            <w:tcW w:w="1029" w:type="dxa"/>
            <w:vAlign w:val="center"/>
          </w:tcPr>
          <w:p w:rsidR="00FD37A3" w:rsidRDefault="00FD37A3">
            <w:pPr>
              <w:spacing w:before="60" w:after="60"/>
              <w:jc w:val="right"/>
              <w:rPr>
                <w:noProof/>
                <w:color w:val="000000"/>
                <w:sz w:val="20"/>
                <w:szCs w:val="20"/>
              </w:rPr>
            </w:pPr>
          </w:p>
        </w:tc>
        <w:tc>
          <w:tcPr>
            <w:tcW w:w="1080" w:type="dxa"/>
            <w:vAlign w:val="center"/>
          </w:tcPr>
          <w:p w:rsidR="00FD37A3" w:rsidRDefault="00FD37A3">
            <w:pPr>
              <w:spacing w:before="60" w:after="60"/>
              <w:jc w:val="right"/>
              <w:rPr>
                <w:noProof/>
                <w:color w:val="000000"/>
                <w:sz w:val="20"/>
                <w:szCs w:val="20"/>
              </w:rPr>
            </w:pPr>
          </w:p>
        </w:tc>
        <w:tc>
          <w:tcPr>
            <w:tcW w:w="1080" w:type="dxa"/>
            <w:vAlign w:val="center"/>
          </w:tcPr>
          <w:p w:rsidR="00FD37A3" w:rsidRDefault="00FD37A3">
            <w:pPr>
              <w:spacing w:before="60" w:after="60"/>
              <w:jc w:val="right"/>
              <w:rPr>
                <w:noProof/>
                <w:color w:val="000000"/>
                <w:sz w:val="20"/>
                <w:szCs w:val="20"/>
              </w:rPr>
            </w:pPr>
          </w:p>
        </w:tc>
        <w:tc>
          <w:tcPr>
            <w:tcW w:w="1170" w:type="dxa"/>
            <w:vAlign w:val="center"/>
          </w:tcPr>
          <w:p w:rsidR="00FD37A3" w:rsidRDefault="00FD37A3">
            <w:pPr>
              <w:spacing w:before="60" w:after="60"/>
              <w:jc w:val="right"/>
              <w:rPr>
                <w:noProof/>
                <w:color w:val="000000"/>
                <w:sz w:val="20"/>
                <w:szCs w:val="20"/>
              </w:rPr>
            </w:pPr>
          </w:p>
        </w:tc>
        <w:tc>
          <w:tcPr>
            <w:tcW w:w="1080" w:type="dxa"/>
            <w:vAlign w:val="center"/>
          </w:tcPr>
          <w:p w:rsidR="00FD37A3" w:rsidRDefault="00FD37A3">
            <w:pPr>
              <w:spacing w:before="60" w:after="60"/>
              <w:jc w:val="right"/>
              <w:rPr>
                <w:noProof/>
                <w:color w:val="000000"/>
                <w:sz w:val="20"/>
                <w:szCs w:val="20"/>
              </w:rPr>
            </w:pPr>
          </w:p>
        </w:tc>
        <w:tc>
          <w:tcPr>
            <w:tcW w:w="1170" w:type="dxa"/>
            <w:vAlign w:val="center"/>
          </w:tcPr>
          <w:p w:rsidR="00FD37A3" w:rsidRDefault="00FD37A3">
            <w:pPr>
              <w:spacing w:before="60" w:after="60"/>
              <w:jc w:val="right"/>
              <w:rPr>
                <w:noProof/>
                <w:color w:val="000000"/>
                <w:sz w:val="20"/>
                <w:szCs w:val="20"/>
              </w:rPr>
            </w:pPr>
          </w:p>
        </w:tc>
        <w:tc>
          <w:tcPr>
            <w:tcW w:w="1284" w:type="dxa"/>
            <w:vAlign w:val="center"/>
          </w:tcPr>
          <w:p w:rsidR="00FD37A3" w:rsidRDefault="00FD37A3">
            <w:pPr>
              <w:spacing w:before="60" w:after="60"/>
              <w:jc w:val="right"/>
              <w:rPr>
                <w:b/>
                <w:bCs/>
                <w:noProof/>
                <w:color w:val="000000"/>
                <w:sz w:val="20"/>
                <w:szCs w:val="20"/>
              </w:rPr>
            </w:pPr>
          </w:p>
        </w:tc>
      </w:tr>
    </w:tbl>
    <w:p w:rsidR="00FD37A3" w:rsidRDefault="00FD37A3">
      <w:pPr>
        <w:rPr>
          <w:noProof/>
        </w:rPr>
        <w:sectPr w:rsidR="00FD37A3">
          <w:headerReference w:type="default" r:id="rId12"/>
          <w:footerReference w:type="default" r:id="rId13"/>
          <w:headerReference w:type="first" r:id="rId14"/>
          <w:footerReference w:type="first" r:id="rId15"/>
          <w:pgSz w:w="16840" w:h="11907" w:orient="landscape" w:code="9"/>
          <w:pgMar w:top="1134" w:right="1418" w:bottom="1134" w:left="1418" w:header="709" w:footer="709" w:gutter="0"/>
          <w:cols w:space="708"/>
          <w:docGrid w:linePitch="360"/>
        </w:sectPr>
      </w:pPr>
    </w:p>
    <w:p w:rsidR="00FD37A3" w:rsidRDefault="0072500C">
      <w:pPr>
        <w:pStyle w:val="Point1"/>
        <w:rPr>
          <w:bCs/>
          <w:i/>
          <w:noProof/>
          <w:szCs w:val="24"/>
        </w:rPr>
      </w:pPr>
      <w:r>
        <w:rPr>
          <w:i/>
          <w:noProof/>
        </w:rPr>
        <w:t>3.2.2.</w:t>
      </w:r>
      <w:r>
        <w:rPr>
          <w:i/>
          <w:noProof/>
        </w:rPr>
        <w:tab/>
        <w:t>Ocenjene posledice za odobritve za upravne zadeve</w:t>
      </w:r>
    </w:p>
    <w:p w:rsidR="00FD37A3" w:rsidRDefault="0072500C">
      <w:pPr>
        <w:pStyle w:val="Point1"/>
        <w:rPr>
          <w:noProof/>
        </w:rPr>
      </w:pPr>
      <w:r>
        <w:rPr>
          <w:noProof/>
        </w:rPr>
        <w:t>3.2.2.1.</w:t>
      </w:r>
      <w:r>
        <w:rPr>
          <w:noProof/>
        </w:rPr>
        <w:tab/>
        <w:t xml:space="preserve">Povzetek </w:t>
      </w:r>
    </w:p>
    <w:p w:rsidR="00FD37A3" w:rsidRDefault="0072500C">
      <w:pPr>
        <w:pStyle w:val="Tiret1"/>
        <w:numPr>
          <w:ilvl w:val="0"/>
          <w:numId w:val="20"/>
        </w:numPr>
        <w:rPr>
          <w:noProof/>
        </w:rPr>
      </w:pPr>
      <w:r>
        <w:rPr>
          <w:noProof/>
        </w:rPr>
        <w:sym w:font="Wingdings" w:char="F0A8"/>
      </w:r>
      <w:r>
        <w:rPr>
          <w:noProof/>
        </w:rPr>
        <w:t xml:space="preserve"> Za predlog/pobudo niso potrebne odobritve za upravne zadeve. </w:t>
      </w:r>
    </w:p>
    <w:p w:rsidR="00FD37A3" w:rsidRDefault="0072500C">
      <w:pPr>
        <w:pStyle w:val="Tiret1"/>
        <w:numPr>
          <w:ilvl w:val="0"/>
          <w:numId w:val="20"/>
        </w:numPr>
        <w:rPr>
          <w:noProof/>
        </w:rPr>
      </w:pPr>
      <w:r>
        <w:rPr>
          <w:noProof/>
        </w:rPr>
        <w:sym w:font="Wingdings" w:char="F0FE"/>
      </w:r>
      <w:r>
        <w:rPr>
          <w:noProof/>
        </w:rPr>
        <w:t xml:space="preserve"> Za predlog/pobudo so potrebne odobritve za upravne zadeve, kot je pojasnjeno v nadaljevanju:</w:t>
      </w:r>
    </w:p>
    <w:p w:rsidR="00FD37A3" w:rsidRDefault="0072500C">
      <w:pPr>
        <w:pStyle w:val="Text1"/>
        <w:rPr>
          <w:noProof/>
          <w:sz w:val="20"/>
          <w:szCs w:val="20"/>
        </w:rPr>
      </w:pPr>
      <w:r>
        <w:rPr>
          <w:noProof/>
          <w:sz w:val="20"/>
          <w:szCs w:val="20"/>
        </w:rPr>
        <w:t>v mio. EUR (na tri decimalna mesta natančno)</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FD37A3">
        <w:trPr>
          <w:trHeight w:val="585"/>
        </w:trPr>
        <w:tc>
          <w:tcPr>
            <w:tcW w:w="1980" w:type="dxa"/>
          </w:tcPr>
          <w:p w:rsidR="00FD37A3" w:rsidRDefault="00FD37A3">
            <w:pPr>
              <w:spacing w:before="60" w:after="60" w:line="200" w:lineRule="exact"/>
              <w:rPr>
                <w:noProof/>
                <w:sz w:val="16"/>
                <w:szCs w:val="16"/>
              </w:rPr>
            </w:pPr>
          </w:p>
        </w:tc>
        <w:tc>
          <w:tcPr>
            <w:tcW w:w="1080" w:type="dxa"/>
            <w:vAlign w:val="center"/>
          </w:tcPr>
          <w:p w:rsidR="00FD37A3" w:rsidRDefault="0072500C">
            <w:pPr>
              <w:spacing w:before="60" w:after="60" w:line="200" w:lineRule="exact"/>
              <w:jc w:val="center"/>
              <w:rPr>
                <w:noProof/>
                <w:sz w:val="16"/>
                <w:szCs w:val="16"/>
              </w:rPr>
            </w:pPr>
            <w:r>
              <w:rPr>
                <w:b/>
                <w:noProof/>
                <w:sz w:val="20"/>
              </w:rPr>
              <w:t>2021</w:t>
            </w:r>
          </w:p>
        </w:tc>
        <w:tc>
          <w:tcPr>
            <w:tcW w:w="1080" w:type="dxa"/>
            <w:vAlign w:val="center"/>
          </w:tcPr>
          <w:p w:rsidR="00FD37A3" w:rsidRDefault="0072500C">
            <w:pPr>
              <w:spacing w:before="60" w:after="60" w:line="200" w:lineRule="exact"/>
              <w:jc w:val="center"/>
              <w:rPr>
                <w:noProof/>
                <w:sz w:val="16"/>
                <w:szCs w:val="16"/>
              </w:rPr>
            </w:pPr>
            <w:r>
              <w:rPr>
                <w:b/>
                <w:noProof/>
                <w:sz w:val="20"/>
              </w:rPr>
              <w:t>2022</w:t>
            </w:r>
          </w:p>
        </w:tc>
        <w:tc>
          <w:tcPr>
            <w:tcW w:w="1080" w:type="dxa"/>
            <w:vAlign w:val="center"/>
          </w:tcPr>
          <w:p w:rsidR="00FD37A3" w:rsidRDefault="0072500C">
            <w:pPr>
              <w:spacing w:before="60" w:after="60" w:line="200" w:lineRule="exact"/>
              <w:jc w:val="center"/>
              <w:rPr>
                <w:noProof/>
                <w:sz w:val="16"/>
                <w:szCs w:val="16"/>
              </w:rPr>
            </w:pPr>
            <w:r>
              <w:rPr>
                <w:b/>
                <w:noProof/>
                <w:sz w:val="20"/>
              </w:rPr>
              <w:t>2023</w:t>
            </w:r>
          </w:p>
        </w:tc>
        <w:tc>
          <w:tcPr>
            <w:tcW w:w="1080" w:type="dxa"/>
            <w:vAlign w:val="center"/>
          </w:tcPr>
          <w:p w:rsidR="00FD37A3" w:rsidRDefault="0072500C">
            <w:pPr>
              <w:spacing w:before="60" w:after="60" w:line="200" w:lineRule="exact"/>
              <w:jc w:val="center"/>
              <w:rPr>
                <w:noProof/>
                <w:sz w:val="16"/>
                <w:szCs w:val="16"/>
              </w:rPr>
            </w:pPr>
            <w:r>
              <w:rPr>
                <w:b/>
                <w:noProof/>
                <w:sz w:val="20"/>
              </w:rPr>
              <w:t>2024</w:t>
            </w:r>
          </w:p>
        </w:tc>
        <w:tc>
          <w:tcPr>
            <w:tcW w:w="1080" w:type="dxa"/>
            <w:vAlign w:val="center"/>
          </w:tcPr>
          <w:p w:rsidR="00FD37A3" w:rsidRDefault="0072500C">
            <w:pPr>
              <w:spacing w:line="200" w:lineRule="exact"/>
              <w:jc w:val="center"/>
              <w:rPr>
                <w:b/>
                <w:noProof/>
                <w:sz w:val="16"/>
                <w:szCs w:val="16"/>
              </w:rPr>
            </w:pPr>
            <w:r>
              <w:rPr>
                <w:b/>
                <w:noProof/>
                <w:sz w:val="18"/>
              </w:rPr>
              <w:t>2025</w:t>
            </w:r>
          </w:p>
        </w:tc>
        <w:tc>
          <w:tcPr>
            <w:tcW w:w="1080" w:type="dxa"/>
            <w:vAlign w:val="center"/>
          </w:tcPr>
          <w:p w:rsidR="00FD37A3" w:rsidRDefault="0072500C">
            <w:pPr>
              <w:spacing w:line="200" w:lineRule="exact"/>
              <w:jc w:val="center"/>
              <w:rPr>
                <w:b/>
                <w:noProof/>
                <w:sz w:val="16"/>
                <w:szCs w:val="16"/>
              </w:rPr>
            </w:pPr>
            <w:r>
              <w:rPr>
                <w:b/>
                <w:noProof/>
                <w:sz w:val="18"/>
              </w:rPr>
              <w:t>2026</w:t>
            </w:r>
          </w:p>
        </w:tc>
        <w:tc>
          <w:tcPr>
            <w:tcW w:w="1080" w:type="dxa"/>
            <w:vAlign w:val="center"/>
          </w:tcPr>
          <w:p w:rsidR="00FD37A3" w:rsidRDefault="0072500C">
            <w:pPr>
              <w:spacing w:line="200" w:lineRule="exact"/>
              <w:jc w:val="center"/>
              <w:rPr>
                <w:b/>
                <w:noProof/>
                <w:sz w:val="16"/>
                <w:szCs w:val="16"/>
              </w:rPr>
            </w:pPr>
            <w:r>
              <w:rPr>
                <w:b/>
                <w:noProof/>
                <w:sz w:val="18"/>
              </w:rPr>
              <w:t>2027</w:t>
            </w:r>
          </w:p>
        </w:tc>
        <w:tc>
          <w:tcPr>
            <w:tcW w:w="1080" w:type="dxa"/>
            <w:vAlign w:val="center"/>
          </w:tcPr>
          <w:p w:rsidR="00FD37A3" w:rsidRDefault="0072500C">
            <w:pPr>
              <w:spacing w:before="60" w:after="60" w:line="200" w:lineRule="exact"/>
              <w:jc w:val="center"/>
              <w:rPr>
                <w:b/>
                <w:noProof/>
                <w:sz w:val="16"/>
                <w:szCs w:val="16"/>
              </w:rPr>
            </w:pPr>
            <w:r>
              <w:rPr>
                <w:b/>
                <w:noProof/>
                <w:sz w:val="16"/>
              </w:rPr>
              <w:t>SKUPAJ</w:t>
            </w:r>
          </w:p>
        </w:tc>
      </w:tr>
    </w:tbl>
    <w:p w:rsidR="00FD37A3" w:rsidRDefault="00FD37A3">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FD37A3">
        <w:trPr>
          <w:trHeight w:val="585"/>
        </w:trPr>
        <w:tc>
          <w:tcPr>
            <w:tcW w:w="1980" w:type="dxa"/>
            <w:shd w:val="clear" w:color="auto" w:fill="CCCCCC"/>
            <w:vAlign w:val="center"/>
          </w:tcPr>
          <w:p w:rsidR="00FD37A3" w:rsidRDefault="0072500C">
            <w:pPr>
              <w:spacing w:before="60" w:after="60" w:line="200" w:lineRule="exact"/>
              <w:jc w:val="center"/>
              <w:rPr>
                <w:b/>
                <w:noProof/>
                <w:sz w:val="16"/>
                <w:szCs w:val="16"/>
              </w:rPr>
            </w:pPr>
            <w:r>
              <w:rPr>
                <w:b/>
                <w:noProof/>
                <w:sz w:val="16"/>
              </w:rPr>
              <w:t>RAZDELEK</w:t>
            </w:r>
            <w:r>
              <w:rPr>
                <w:b/>
                <w:noProof/>
                <w:sz w:val="16"/>
              </w:rPr>
              <w:t xml:space="preserve"> 7</w:t>
            </w:r>
            <w:r>
              <w:rPr>
                <w:noProof/>
                <w:sz w:val="22"/>
              </w:rPr>
              <w:br/>
            </w:r>
            <w:r>
              <w:rPr>
                <w:b/>
                <w:noProof/>
                <w:sz w:val="16"/>
              </w:rPr>
              <w:t>večletnega finančnega okvira</w:t>
            </w: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b/>
                <w:noProof/>
                <w:sz w:val="16"/>
                <w:szCs w:val="16"/>
              </w:rPr>
            </w:pPr>
          </w:p>
        </w:tc>
        <w:tc>
          <w:tcPr>
            <w:tcW w:w="1080" w:type="dxa"/>
            <w:vAlign w:val="center"/>
          </w:tcPr>
          <w:p w:rsidR="00FD37A3" w:rsidRDefault="00FD37A3">
            <w:pPr>
              <w:spacing w:before="60" w:after="60" w:line="200" w:lineRule="exact"/>
              <w:jc w:val="right"/>
              <w:rPr>
                <w:b/>
                <w:noProof/>
                <w:sz w:val="16"/>
                <w:szCs w:val="16"/>
              </w:rPr>
            </w:pPr>
          </w:p>
        </w:tc>
      </w:tr>
      <w:tr w:rsidR="00FD37A3">
        <w:trPr>
          <w:trHeight w:val="585"/>
        </w:trPr>
        <w:tc>
          <w:tcPr>
            <w:tcW w:w="1980" w:type="dxa"/>
            <w:vAlign w:val="center"/>
          </w:tcPr>
          <w:p w:rsidR="00FD37A3" w:rsidRDefault="0072500C">
            <w:pPr>
              <w:spacing w:before="60" w:after="60" w:line="200" w:lineRule="exact"/>
              <w:ind w:left="72"/>
              <w:jc w:val="left"/>
              <w:rPr>
                <w:noProof/>
                <w:sz w:val="16"/>
                <w:szCs w:val="16"/>
              </w:rPr>
            </w:pPr>
            <w:r>
              <w:rPr>
                <w:noProof/>
                <w:sz w:val="16"/>
              </w:rPr>
              <w:t xml:space="preserve">Človeški viri </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b/>
                <w:noProof/>
                <w:sz w:val="20"/>
                <w:szCs w:val="20"/>
              </w:rPr>
            </w:pPr>
            <w:r>
              <w:rPr>
                <w:b/>
                <w:noProof/>
                <w:color w:val="000000"/>
                <w:sz w:val="20"/>
                <w:szCs w:val="20"/>
              </w:rPr>
              <w:t>1,500</w:t>
            </w:r>
          </w:p>
        </w:tc>
        <w:tc>
          <w:tcPr>
            <w:tcW w:w="1080" w:type="dxa"/>
            <w:vAlign w:val="bottom"/>
          </w:tcPr>
          <w:p w:rsidR="00FD37A3" w:rsidRDefault="0072500C">
            <w:pPr>
              <w:spacing w:before="0" w:after="0"/>
              <w:jc w:val="right"/>
              <w:rPr>
                <w:noProof/>
                <w:color w:val="000000"/>
                <w:sz w:val="20"/>
                <w:szCs w:val="20"/>
              </w:rPr>
            </w:pPr>
            <w:r>
              <w:rPr>
                <w:b/>
                <w:noProof/>
                <w:color w:val="000000"/>
                <w:sz w:val="20"/>
                <w:szCs w:val="20"/>
              </w:rPr>
              <w:t>10,500</w:t>
            </w:r>
          </w:p>
        </w:tc>
      </w:tr>
      <w:tr w:rsidR="00FD37A3">
        <w:trPr>
          <w:trHeight w:val="585"/>
        </w:trPr>
        <w:tc>
          <w:tcPr>
            <w:tcW w:w="1980" w:type="dxa"/>
            <w:vAlign w:val="center"/>
          </w:tcPr>
          <w:p w:rsidR="00FD37A3" w:rsidRDefault="0072500C">
            <w:pPr>
              <w:spacing w:before="60" w:after="60" w:line="200" w:lineRule="exact"/>
              <w:ind w:left="72"/>
              <w:jc w:val="left"/>
              <w:rPr>
                <w:noProof/>
                <w:sz w:val="16"/>
                <w:szCs w:val="16"/>
              </w:rPr>
            </w:pPr>
            <w:r>
              <w:rPr>
                <w:noProof/>
                <w:sz w:val="16"/>
              </w:rPr>
              <w:t>Drugi upravni odhodki (službena potovanja, sestanki)</w:t>
            </w: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b/>
                <w:noProof/>
                <w:sz w:val="16"/>
                <w:szCs w:val="16"/>
              </w:rPr>
            </w:pPr>
          </w:p>
        </w:tc>
        <w:tc>
          <w:tcPr>
            <w:tcW w:w="1080" w:type="dxa"/>
            <w:vAlign w:val="center"/>
          </w:tcPr>
          <w:p w:rsidR="00FD37A3" w:rsidRDefault="00FD37A3">
            <w:pPr>
              <w:spacing w:before="60" w:after="60" w:line="200" w:lineRule="exact"/>
              <w:jc w:val="right"/>
              <w:rPr>
                <w:b/>
                <w:noProof/>
                <w:sz w:val="16"/>
                <w:szCs w:val="16"/>
              </w:rPr>
            </w:pPr>
          </w:p>
        </w:tc>
      </w:tr>
      <w:tr w:rsidR="00FD37A3">
        <w:trPr>
          <w:trHeight w:val="585"/>
        </w:trPr>
        <w:tc>
          <w:tcPr>
            <w:tcW w:w="1980" w:type="dxa"/>
            <w:shd w:val="clear" w:color="auto" w:fill="CCCCCC"/>
            <w:vAlign w:val="center"/>
          </w:tcPr>
          <w:p w:rsidR="00FD37A3" w:rsidRDefault="0072500C">
            <w:pPr>
              <w:spacing w:before="60" w:after="60" w:line="200" w:lineRule="exact"/>
              <w:jc w:val="center"/>
              <w:rPr>
                <w:b/>
                <w:noProof/>
                <w:sz w:val="16"/>
                <w:szCs w:val="16"/>
              </w:rPr>
            </w:pPr>
            <w:r>
              <w:rPr>
                <w:b/>
                <w:noProof/>
                <w:sz w:val="16"/>
              </w:rPr>
              <w:t>Seštevek za RAZDELEK 7</w:t>
            </w:r>
            <w:r>
              <w:rPr>
                <w:noProof/>
                <w:sz w:val="22"/>
              </w:rPr>
              <w:br/>
            </w:r>
            <w:r>
              <w:rPr>
                <w:b/>
                <w:noProof/>
                <w:sz w:val="16"/>
              </w:rPr>
              <w:t>večletnega finančnega okvira</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b/>
                <w:noProof/>
                <w:sz w:val="20"/>
                <w:szCs w:val="20"/>
              </w:rPr>
            </w:pPr>
            <w:r>
              <w:rPr>
                <w:b/>
                <w:noProof/>
                <w:color w:val="000000"/>
                <w:sz w:val="20"/>
                <w:szCs w:val="20"/>
              </w:rPr>
              <w:t>1,500</w:t>
            </w:r>
          </w:p>
        </w:tc>
        <w:tc>
          <w:tcPr>
            <w:tcW w:w="1080" w:type="dxa"/>
            <w:vAlign w:val="bottom"/>
          </w:tcPr>
          <w:p w:rsidR="00FD37A3" w:rsidRDefault="0072500C">
            <w:pPr>
              <w:spacing w:before="60" w:after="60" w:line="200" w:lineRule="exact"/>
              <w:jc w:val="right"/>
              <w:rPr>
                <w:b/>
                <w:noProof/>
                <w:sz w:val="20"/>
                <w:szCs w:val="20"/>
              </w:rPr>
            </w:pPr>
            <w:r>
              <w:rPr>
                <w:b/>
                <w:noProof/>
                <w:color w:val="000000"/>
                <w:sz w:val="20"/>
                <w:szCs w:val="20"/>
              </w:rPr>
              <w:t>10,500</w:t>
            </w:r>
          </w:p>
        </w:tc>
      </w:tr>
    </w:tbl>
    <w:p w:rsidR="00FD37A3" w:rsidRDefault="00FD37A3">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FD37A3">
        <w:trPr>
          <w:trHeight w:val="585"/>
        </w:trPr>
        <w:tc>
          <w:tcPr>
            <w:tcW w:w="1980" w:type="dxa"/>
            <w:shd w:val="clear" w:color="auto" w:fill="CCCCCC"/>
            <w:vAlign w:val="center"/>
          </w:tcPr>
          <w:p w:rsidR="00FD37A3" w:rsidRDefault="0072500C">
            <w:pPr>
              <w:spacing w:before="60" w:after="60" w:line="200" w:lineRule="exact"/>
              <w:jc w:val="center"/>
              <w:rPr>
                <w:noProof/>
                <w:sz w:val="16"/>
                <w:szCs w:val="16"/>
              </w:rPr>
            </w:pPr>
            <w:r>
              <w:rPr>
                <w:b/>
                <w:noProof/>
                <w:sz w:val="16"/>
              </w:rPr>
              <w:t>Odobritve zunaj RAZDELKA 7</w:t>
            </w:r>
            <w:r>
              <w:rPr>
                <w:rStyle w:val="FootnoteReference"/>
                <w:b/>
                <w:noProof/>
                <w:sz w:val="16"/>
              </w:rPr>
              <w:footnoteReference w:id="32"/>
            </w:r>
            <w:r>
              <w:rPr>
                <w:noProof/>
                <w:sz w:val="22"/>
              </w:rPr>
              <w:br/>
            </w:r>
            <w:r>
              <w:rPr>
                <w:b/>
                <w:noProof/>
                <w:sz w:val="16"/>
              </w:rPr>
              <w:t>večletnega finančnega okvira</w:t>
            </w:r>
          </w:p>
          <w:p w:rsidR="00FD37A3" w:rsidRDefault="00FD37A3">
            <w:pPr>
              <w:spacing w:before="0" w:after="0" w:line="200" w:lineRule="exact"/>
              <w:jc w:val="center"/>
              <w:rPr>
                <w:b/>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noProof/>
                <w:sz w:val="16"/>
                <w:szCs w:val="16"/>
              </w:rPr>
            </w:pPr>
          </w:p>
        </w:tc>
        <w:tc>
          <w:tcPr>
            <w:tcW w:w="1080" w:type="dxa"/>
            <w:vAlign w:val="center"/>
          </w:tcPr>
          <w:p w:rsidR="00FD37A3" w:rsidRDefault="00FD37A3">
            <w:pPr>
              <w:spacing w:before="60" w:after="60" w:line="200" w:lineRule="exact"/>
              <w:jc w:val="right"/>
              <w:rPr>
                <w:b/>
                <w:noProof/>
                <w:sz w:val="16"/>
                <w:szCs w:val="16"/>
              </w:rPr>
            </w:pPr>
          </w:p>
        </w:tc>
        <w:tc>
          <w:tcPr>
            <w:tcW w:w="1080" w:type="dxa"/>
            <w:vAlign w:val="center"/>
          </w:tcPr>
          <w:p w:rsidR="00FD37A3" w:rsidRDefault="00FD37A3">
            <w:pPr>
              <w:spacing w:before="60" w:after="60" w:line="200" w:lineRule="exact"/>
              <w:jc w:val="right"/>
              <w:rPr>
                <w:b/>
                <w:noProof/>
                <w:sz w:val="16"/>
                <w:szCs w:val="16"/>
              </w:rPr>
            </w:pPr>
          </w:p>
        </w:tc>
      </w:tr>
      <w:tr w:rsidR="00FD37A3">
        <w:trPr>
          <w:trHeight w:val="585"/>
        </w:trPr>
        <w:tc>
          <w:tcPr>
            <w:tcW w:w="1980" w:type="dxa"/>
            <w:vAlign w:val="center"/>
          </w:tcPr>
          <w:p w:rsidR="00FD37A3" w:rsidRDefault="0072500C">
            <w:pPr>
              <w:spacing w:before="60" w:after="60" w:line="200" w:lineRule="exact"/>
              <w:ind w:left="72"/>
              <w:jc w:val="left"/>
              <w:rPr>
                <w:noProof/>
                <w:sz w:val="16"/>
                <w:szCs w:val="16"/>
              </w:rPr>
            </w:pPr>
            <w:r>
              <w:rPr>
                <w:noProof/>
                <w:sz w:val="16"/>
              </w:rPr>
              <w:t>Človeški viri</w:t>
            </w:r>
            <w:r>
              <w:rPr>
                <w:rStyle w:val="FootnoteReference"/>
                <w:noProof/>
                <w:sz w:val="16"/>
              </w:rPr>
              <w:footnoteReference w:id="33"/>
            </w:r>
            <w:r>
              <w:rPr>
                <w:noProof/>
                <w:sz w:val="16"/>
              </w:rPr>
              <w:t xml:space="preserve"> </w:t>
            </w:r>
          </w:p>
        </w:tc>
        <w:tc>
          <w:tcPr>
            <w:tcW w:w="1080" w:type="dxa"/>
            <w:vAlign w:val="bottom"/>
          </w:tcPr>
          <w:p w:rsidR="00FD37A3" w:rsidRDefault="0072500C">
            <w:pPr>
              <w:spacing w:before="60" w:after="60" w:line="200" w:lineRule="exact"/>
              <w:jc w:val="right"/>
              <w:rPr>
                <w:noProof/>
                <w:sz w:val="20"/>
                <w:szCs w:val="20"/>
              </w:rPr>
            </w:pPr>
            <w:r>
              <w:rPr>
                <w:noProof/>
                <w:color w:val="000000"/>
                <w:sz w:val="20"/>
                <w:szCs w:val="20"/>
              </w:rPr>
              <w:t>4,000</w:t>
            </w:r>
          </w:p>
        </w:tc>
        <w:tc>
          <w:tcPr>
            <w:tcW w:w="1080" w:type="dxa"/>
            <w:vAlign w:val="bottom"/>
          </w:tcPr>
          <w:p w:rsidR="00FD37A3" w:rsidRDefault="0072500C">
            <w:pPr>
              <w:spacing w:before="60" w:after="60" w:line="200" w:lineRule="exact"/>
              <w:jc w:val="right"/>
              <w:rPr>
                <w:noProof/>
                <w:sz w:val="20"/>
                <w:szCs w:val="20"/>
              </w:rPr>
            </w:pPr>
            <w:r>
              <w:rPr>
                <w:noProof/>
                <w:color w:val="000000"/>
                <w:sz w:val="20"/>
                <w:szCs w:val="20"/>
              </w:rPr>
              <w:t>4,000</w:t>
            </w:r>
          </w:p>
        </w:tc>
        <w:tc>
          <w:tcPr>
            <w:tcW w:w="1080" w:type="dxa"/>
            <w:vAlign w:val="bottom"/>
          </w:tcPr>
          <w:p w:rsidR="00FD37A3" w:rsidRDefault="0072500C">
            <w:pPr>
              <w:spacing w:before="60" w:after="60" w:line="200" w:lineRule="exact"/>
              <w:jc w:val="right"/>
              <w:rPr>
                <w:noProof/>
                <w:sz w:val="20"/>
                <w:szCs w:val="20"/>
              </w:rPr>
            </w:pPr>
            <w:r>
              <w:rPr>
                <w:noProof/>
                <w:color w:val="000000"/>
                <w:sz w:val="20"/>
                <w:szCs w:val="20"/>
              </w:rPr>
              <w:t>4,000</w:t>
            </w:r>
          </w:p>
        </w:tc>
        <w:tc>
          <w:tcPr>
            <w:tcW w:w="1080" w:type="dxa"/>
            <w:vAlign w:val="bottom"/>
          </w:tcPr>
          <w:p w:rsidR="00FD37A3" w:rsidRDefault="0072500C">
            <w:pPr>
              <w:spacing w:before="60" w:after="60" w:line="200" w:lineRule="exact"/>
              <w:jc w:val="right"/>
              <w:rPr>
                <w:noProof/>
                <w:sz w:val="20"/>
                <w:szCs w:val="20"/>
              </w:rPr>
            </w:pPr>
            <w:r>
              <w:rPr>
                <w:noProof/>
                <w:color w:val="000000"/>
                <w:sz w:val="20"/>
                <w:szCs w:val="20"/>
              </w:rPr>
              <w:t>4,000</w:t>
            </w:r>
          </w:p>
        </w:tc>
        <w:tc>
          <w:tcPr>
            <w:tcW w:w="1080" w:type="dxa"/>
            <w:vAlign w:val="bottom"/>
          </w:tcPr>
          <w:p w:rsidR="00FD37A3" w:rsidRDefault="0072500C">
            <w:pPr>
              <w:spacing w:before="60" w:after="60" w:line="200" w:lineRule="exact"/>
              <w:jc w:val="right"/>
              <w:rPr>
                <w:noProof/>
                <w:sz w:val="20"/>
                <w:szCs w:val="20"/>
              </w:rPr>
            </w:pPr>
            <w:r>
              <w:rPr>
                <w:noProof/>
                <w:color w:val="000000"/>
                <w:sz w:val="20"/>
                <w:szCs w:val="20"/>
              </w:rPr>
              <w:t>4,000</w:t>
            </w:r>
          </w:p>
        </w:tc>
        <w:tc>
          <w:tcPr>
            <w:tcW w:w="1080" w:type="dxa"/>
            <w:vAlign w:val="bottom"/>
          </w:tcPr>
          <w:p w:rsidR="00FD37A3" w:rsidRDefault="0072500C">
            <w:pPr>
              <w:spacing w:before="60" w:after="60" w:line="200" w:lineRule="exact"/>
              <w:jc w:val="right"/>
              <w:rPr>
                <w:noProof/>
                <w:sz w:val="20"/>
                <w:szCs w:val="20"/>
              </w:rPr>
            </w:pPr>
            <w:r>
              <w:rPr>
                <w:noProof/>
                <w:color w:val="000000"/>
                <w:sz w:val="20"/>
                <w:szCs w:val="20"/>
              </w:rPr>
              <w:t>4,000</w:t>
            </w:r>
          </w:p>
        </w:tc>
        <w:tc>
          <w:tcPr>
            <w:tcW w:w="1080" w:type="dxa"/>
            <w:vAlign w:val="bottom"/>
          </w:tcPr>
          <w:p w:rsidR="00FD37A3" w:rsidRDefault="0072500C">
            <w:pPr>
              <w:spacing w:before="60" w:after="60" w:line="200" w:lineRule="exact"/>
              <w:jc w:val="right"/>
              <w:rPr>
                <w:b/>
                <w:noProof/>
                <w:sz w:val="20"/>
                <w:szCs w:val="20"/>
              </w:rPr>
            </w:pPr>
            <w:r>
              <w:rPr>
                <w:noProof/>
                <w:color w:val="000000"/>
                <w:sz w:val="20"/>
                <w:szCs w:val="20"/>
              </w:rPr>
              <w:t>4,000</w:t>
            </w:r>
          </w:p>
        </w:tc>
        <w:tc>
          <w:tcPr>
            <w:tcW w:w="1080" w:type="dxa"/>
            <w:vAlign w:val="bottom"/>
          </w:tcPr>
          <w:p w:rsidR="00FD37A3" w:rsidRDefault="0072500C">
            <w:pPr>
              <w:spacing w:before="60" w:after="60" w:line="200" w:lineRule="exact"/>
              <w:jc w:val="right"/>
              <w:rPr>
                <w:b/>
                <w:noProof/>
                <w:sz w:val="20"/>
                <w:szCs w:val="20"/>
              </w:rPr>
            </w:pPr>
            <w:r>
              <w:rPr>
                <w:b/>
                <w:noProof/>
                <w:color w:val="000000"/>
                <w:sz w:val="20"/>
                <w:szCs w:val="20"/>
              </w:rPr>
              <w:t>28,000</w:t>
            </w:r>
          </w:p>
        </w:tc>
      </w:tr>
      <w:tr w:rsidR="00FD37A3">
        <w:trPr>
          <w:trHeight w:val="585"/>
        </w:trPr>
        <w:tc>
          <w:tcPr>
            <w:tcW w:w="1980" w:type="dxa"/>
            <w:vAlign w:val="center"/>
          </w:tcPr>
          <w:p w:rsidR="00FD37A3" w:rsidRDefault="0072500C">
            <w:pPr>
              <w:spacing w:before="60" w:after="60" w:line="200" w:lineRule="exact"/>
              <w:ind w:left="72"/>
              <w:jc w:val="left"/>
              <w:rPr>
                <w:noProof/>
                <w:sz w:val="16"/>
                <w:szCs w:val="16"/>
              </w:rPr>
            </w:pPr>
            <w:r>
              <w:rPr>
                <w:noProof/>
                <w:sz w:val="16"/>
              </w:rPr>
              <w:t xml:space="preserve">Drugi </w:t>
            </w:r>
            <w:r>
              <w:rPr>
                <w:noProof/>
                <w:sz w:val="22"/>
              </w:rPr>
              <w:br/>
            </w:r>
            <w:r>
              <w:rPr>
                <w:noProof/>
                <w:sz w:val="16"/>
              </w:rPr>
              <w:t>upravni odhodki</w:t>
            </w:r>
          </w:p>
        </w:tc>
        <w:tc>
          <w:tcPr>
            <w:tcW w:w="1080" w:type="dxa"/>
            <w:vAlign w:val="center"/>
          </w:tcPr>
          <w:p w:rsidR="00FD37A3" w:rsidRDefault="0072500C">
            <w:pPr>
              <w:spacing w:before="60" w:after="60" w:line="200" w:lineRule="exact"/>
              <w:jc w:val="right"/>
              <w:rPr>
                <w:noProof/>
                <w:sz w:val="16"/>
                <w:szCs w:val="16"/>
              </w:rPr>
            </w:pPr>
            <w:r>
              <w:rPr>
                <w:noProof/>
                <w:sz w:val="20"/>
              </w:rPr>
              <w:t>1,061</w:t>
            </w:r>
          </w:p>
        </w:tc>
        <w:tc>
          <w:tcPr>
            <w:tcW w:w="1080" w:type="dxa"/>
            <w:vAlign w:val="center"/>
          </w:tcPr>
          <w:p w:rsidR="00FD37A3" w:rsidRDefault="0072500C">
            <w:pPr>
              <w:spacing w:before="60" w:after="60" w:line="200" w:lineRule="exact"/>
              <w:jc w:val="right"/>
              <w:rPr>
                <w:noProof/>
                <w:sz w:val="16"/>
                <w:szCs w:val="16"/>
              </w:rPr>
            </w:pPr>
            <w:r>
              <w:rPr>
                <w:noProof/>
                <w:sz w:val="20"/>
              </w:rPr>
              <w:t>1,624</w:t>
            </w:r>
          </w:p>
        </w:tc>
        <w:tc>
          <w:tcPr>
            <w:tcW w:w="1080" w:type="dxa"/>
            <w:vAlign w:val="center"/>
          </w:tcPr>
          <w:p w:rsidR="00FD37A3" w:rsidRDefault="0072500C">
            <w:pPr>
              <w:spacing w:before="60" w:after="60" w:line="200" w:lineRule="exact"/>
              <w:jc w:val="right"/>
              <w:rPr>
                <w:noProof/>
                <w:sz w:val="16"/>
                <w:szCs w:val="16"/>
              </w:rPr>
            </w:pPr>
            <w:r>
              <w:rPr>
                <w:noProof/>
                <w:sz w:val="20"/>
              </w:rPr>
              <w:t>2,760</w:t>
            </w:r>
          </w:p>
        </w:tc>
        <w:tc>
          <w:tcPr>
            <w:tcW w:w="1080" w:type="dxa"/>
            <w:vAlign w:val="center"/>
          </w:tcPr>
          <w:p w:rsidR="00FD37A3" w:rsidRDefault="0072500C">
            <w:pPr>
              <w:spacing w:before="60" w:after="60" w:line="200" w:lineRule="exact"/>
              <w:jc w:val="right"/>
              <w:rPr>
                <w:noProof/>
                <w:sz w:val="16"/>
                <w:szCs w:val="16"/>
              </w:rPr>
            </w:pPr>
            <w:r>
              <w:rPr>
                <w:noProof/>
                <w:sz w:val="20"/>
              </w:rPr>
              <w:t>4,505</w:t>
            </w:r>
          </w:p>
        </w:tc>
        <w:tc>
          <w:tcPr>
            <w:tcW w:w="1080" w:type="dxa"/>
            <w:vAlign w:val="center"/>
          </w:tcPr>
          <w:p w:rsidR="00FD37A3" w:rsidRDefault="0072500C">
            <w:pPr>
              <w:spacing w:before="60" w:after="60" w:line="200" w:lineRule="exact"/>
              <w:jc w:val="right"/>
              <w:rPr>
                <w:noProof/>
                <w:sz w:val="16"/>
                <w:szCs w:val="16"/>
              </w:rPr>
            </w:pPr>
            <w:r>
              <w:rPr>
                <w:noProof/>
                <w:sz w:val="20"/>
              </w:rPr>
              <w:t>25,845</w:t>
            </w:r>
          </w:p>
        </w:tc>
        <w:tc>
          <w:tcPr>
            <w:tcW w:w="1080" w:type="dxa"/>
            <w:vAlign w:val="center"/>
          </w:tcPr>
          <w:p w:rsidR="00FD37A3" w:rsidRDefault="0072500C">
            <w:pPr>
              <w:spacing w:before="60" w:after="60" w:line="200" w:lineRule="exact"/>
              <w:jc w:val="right"/>
              <w:rPr>
                <w:noProof/>
                <w:sz w:val="16"/>
                <w:szCs w:val="16"/>
              </w:rPr>
            </w:pPr>
            <w:r>
              <w:rPr>
                <w:noProof/>
                <w:sz w:val="20"/>
              </w:rPr>
              <w:t>30,463</w:t>
            </w:r>
          </w:p>
        </w:tc>
        <w:tc>
          <w:tcPr>
            <w:tcW w:w="1080" w:type="dxa"/>
            <w:vAlign w:val="center"/>
          </w:tcPr>
          <w:p w:rsidR="00FD37A3" w:rsidRDefault="0072500C">
            <w:pPr>
              <w:spacing w:before="60" w:after="60" w:line="200" w:lineRule="exact"/>
              <w:jc w:val="right"/>
              <w:rPr>
                <w:b/>
                <w:noProof/>
                <w:sz w:val="16"/>
                <w:szCs w:val="16"/>
              </w:rPr>
            </w:pPr>
            <w:r>
              <w:rPr>
                <w:noProof/>
                <w:sz w:val="20"/>
              </w:rPr>
              <w:t>31,072</w:t>
            </w:r>
          </w:p>
        </w:tc>
        <w:tc>
          <w:tcPr>
            <w:tcW w:w="1080" w:type="dxa"/>
            <w:vAlign w:val="center"/>
          </w:tcPr>
          <w:p w:rsidR="00FD37A3" w:rsidRDefault="0072500C">
            <w:pPr>
              <w:spacing w:before="60" w:after="60" w:line="200" w:lineRule="exact"/>
              <w:jc w:val="right"/>
              <w:rPr>
                <w:b/>
                <w:noProof/>
                <w:sz w:val="20"/>
                <w:szCs w:val="20"/>
              </w:rPr>
            </w:pPr>
            <w:r>
              <w:rPr>
                <w:b/>
                <w:noProof/>
                <w:sz w:val="20"/>
                <w:szCs w:val="20"/>
              </w:rPr>
              <w:t>97,330</w:t>
            </w:r>
          </w:p>
        </w:tc>
      </w:tr>
      <w:tr w:rsidR="00FD37A3">
        <w:trPr>
          <w:trHeight w:val="585"/>
        </w:trPr>
        <w:tc>
          <w:tcPr>
            <w:tcW w:w="1980" w:type="dxa"/>
            <w:shd w:val="clear" w:color="auto" w:fill="CCCCCC"/>
            <w:vAlign w:val="center"/>
          </w:tcPr>
          <w:p w:rsidR="00FD37A3" w:rsidRDefault="0072500C">
            <w:pPr>
              <w:spacing w:before="60" w:after="60" w:line="200" w:lineRule="exact"/>
              <w:jc w:val="center"/>
              <w:rPr>
                <w:b/>
                <w:noProof/>
                <w:sz w:val="16"/>
                <w:szCs w:val="16"/>
              </w:rPr>
            </w:pPr>
            <w:r>
              <w:rPr>
                <w:b/>
                <w:noProof/>
                <w:sz w:val="16"/>
              </w:rPr>
              <w:t>Seštevek za odobritve</w:t>
            </w:r>
            <w:r>
              <w:rPr>
                <w:noProof/>
                <w:sz w:val="22"/>
              </w:rPr>
              <w:br/>
            </w:r>
            <w:r>
              <w:rPr>
                <w:b/>
                <w:noProof/>
                <w:sz w:val="16"/>
              </w:rPr>
              <w:t xml:space="preserve">zunaj </w:t>
            </w:r>
            <w:r>
              <w:rPr>
                <w:b/>
                <w:noProof/>
                <w:sz w:val="16"/>
              </w:rPr>
              <w:t>RAZDELKA 7</w:t>
            </w:r>
            <w:r>
              <w:rPr>
                <w:noProof/>
                <w:sz w:val="22"/>
              </w:rPr>
              <w:br/>
            </w:r>
            <w:r>
              <w:rPr>
                <w:b/>
                <w:noProof/>
                <w:sz w:val="16"/>
              </w:rPr>
              <w:t xml:space="preserve">večletnega finančnega okvira </w:t>
            </w:r>
          </w:p>
        </w:tc>
        <w:tc>
          <w:tcPr>
            <w:tcW w:w="1080" w:type="dxa"/>
            <w:vAlign w:val="center"/>
          </w:tcPr>
          <w:p w:rsidR="00FD37A3" w:rsidRDefault="0072500C">
            <w:pPr>
              <w:spacing w:before="60" w:after="60" w:line="200" w:lineRule="exact"/>
              <w:jc w:val="right"/>
              <w:rPr>
                <w:noProof/>
                <w:sz w:val="16"/>
                <w:szCs w:val="16"/>
              </w:rPr>
            </w:pPr>
            <w:r>
              <w:rPr>
                <w:noProof/>
                <w:sz w:val="20"/>
              </w:rPr>
              <w:t>5,061</w:t>
            </w:r>
          </w:p>
        </w:tc>
        <w:tc>
          <w:tcPr>
            <w:tcW w:w="1080" w:type="dxa"/>
            <w:vAlign w:val="center"/>
          </w:tcPr>
          <w:p w:rsidR="00FD37A3" w:rsidRDefault="0072500C">
            <w:pPr>
              <w:spacing w:before="60" w:after="60" w:line="200" w:lineRule="exact"/>
              <w:jc w:val="right"/>
              <w:rPr>
                <w:noProof/>
                <w:sz w:val="16"/>
                <w:szCs w:val="16"/>
              </w:rPr>
            </w:pPr>
            <w:r>
              <w:rPr>
                <w:noProof/>
                <w:sz w:val="20"/>
              </w:rPr>
              <w:t>5,624</w:t>
            </w:r>
          </w:p>
        </w:tc>
        <w:tc>
          <w:tcPr>
            <w:tcW w:w="1080" w:type="dxa"/>
            <w:vAlign w:val="center"/>
          </w:tcPr>
          <w:p w:rsidR="00FD37A3" w:rsidRDefault="0072500C">
            <w:pPr>
              <w:spacing w:before="60" w:after="60" w:line="200" w:lineRule="exact"/>
              <w:jc w:val="right"/>
              <w:rPr>
                <w:noProof/>
                <w:sz w:val="16"/>
                <w:szCs w:val="16"/>
              </w:rPr>
            </w:pPr>
            <w:r>
              <w:rPr>
                <w:noProof/>
                <w:sz w:val="20"/>
              </w:rPr>
              <w:t>7,760</w:t>
            </w:r>
          </w:p>
        </w:tc>
        <w:tc>
          <w:tcPr>
            <w:tcW w:w="1080" w:type="dxa"/>
            <w:vAlign w:val="center"/>
          </w:tcPr>
          <w:p w:rsidR="00FD37A3" w:rsidRDefault="0072500C">
            <w:pPr>
              <w:spacing w:before="60" w:after="60" w:line="200" w:lineRule="exact"/>
              <w:jc w:val="right"/>
              <w:rPr>
                <w:noProof/>
                <w:sz w:val="16"/>
                <w:szCs w:val="16"/>
              </w:rPr>
            </w:pPr>
            <w:r>
              <w:rPr>
                <w:noProof/>
                <w:sz w:val="20"/>
              </w:rPr>
              <w:t>8,505</w:t>
            </w:r>
          </w:p>
        </w:tc>
        <w:tc>
          <w:tcPr>
            <w:tcW w:w="1080" w:type="dxa"/>
            <w:vAlign w:val="center"/>
          </w:tcPr>
          <w:p w:rsidR="00FD37A3" w:rsidRDefault="0072500C">
            <w:pPr>
              <w:spacing w:before="60" w:after="60" w:line="200" w:lineRule="exact"/>
              <w:jc w:val="right"/>
              <w:rPr>
                <w:noProof/>
                <w:sz w:val="16"/>
                <w:szCs w:val="16"/>
              </w:rPr>
            </w:pPr>
            <w:r>
              <w:rPr>
                <w:noProof/>
                <w:sz w:val="20"/>
              </w:rPr>
              <w:t>29,845</w:t>
            </w:r>
          </w:p>
        </w:tc>
        <w:tc>
          <w:tcPr>
            <w:tcW w:w="1080" w:type="dxa"/>
            <w:vAlign w:val="center"/>
          </w:tcPr>
          <w:p w:rsidR="00FD37A3" w:rsidRDefault="0072500C">
            <w:pPr>
              <w:spacing w:before="60" w:after="60" w:line="200" w:lineRule="exact"/>
              <w:jc w:val="right"/>
              <w:rPr>
                <w:noProof/>
                <w:sz w:val="16"/>
                <w:szCs w:val="16"/>
              </w:rPr>
            </w:pPr>
            <w:r>
              <w:rPr>
                <w:noProof/>
                <w:sz w:val="20"/>
              </w:rPr>
              <w:t>34,463</w:t>
            </w:r>
          </w:p>
        </w:tc>
        <w:tc>
          <w:tcPr>
            <w:tcW w:w="1080" w:type="dxa"/>
            <w:vAlign w:val="center"/>
          </w:tcPr>
          <w:p w:rsidR="00FD37A3" w:rsidRDefault="0072500C">
            <w:pPr>
              <w:spacing w:before="60" w:after="60" w:line="200" w:lineRule="exact"/>
              <w:jc w:val="right"/>
              <w:rPr>
                <w:b/>
                <w:noProof/>
                <w:sz w:val="16"/>
                <w:szCs w:val="16"/>
              </w:rPr>
            </w:pPr>
            <w:r>
              <w:rPr>
                <w:noProof/>
                <w:sz w:val="20"/>
              </w:rPr>
              <w:t>35,072</w:t>
            </w:r>
          </w:p>
        </w:tc>
        <w:tc>
          <w:tcPr>
            <w:tcW w:w="1080" w:type="dxa"/>
            <w:vAlign w:val="center"/>
          </w:tcPr>
          <w:p w:rsidR="00FD37A3" w:rsidRDefault="0072500C">
            <w:pPr>
              <w:spacing w:before="60" w:after="60" w:line="200" w:lineRule="exact"/>
              <w:jc w:val="right"/>
              <w:rPr>
                <w:b/>
                <w:noProof/>
                <w:sz w:val="16"/>
                <w:szCs w:val="16"/>
              </w:rPr>
            </w:pPr>
            <w:r>
              <w:rPr>
                <w:b/>
                <w:noProof/>
                <w:sz w:val="20"/>
                <w:szCs w:val="20"/>
              </w:rPr>
              <w:t>125,330</w:t>
            </w:r>
          </w:p>
        </w:tc>
      </w:tr>
    </w:tbl>
    <w:p w:rsidR="00FD37A3" w:rsidRDefault="00FD37A3">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rsidR="00FD37A3">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rsidR="00FD37A3" w:rsidRDefault="0072500C">
            <w:pPr>
              <w:spacing w:before="60" w:after="60" w:line="200" w:lineRule="exact"/>
              <w:jc w:val="center"/>
              <w:rPr>
                <w:noProof/>
                <w:sz w:val="16"/>
                <w:szCs w:val="16"/>
              </w:rPr>
            </w:pPr>
            <w:r>
              <w:rPr>
                <w:b/>
                <w:noProof/>
                <w:sz w:val="16"/>
              </w:rPr>
              <w:t>SKUPAJ</w:t>
            </w:r>
          </w:p>
        </w:tc>
        <w:tc>
          <w:tcPr>
            <w:tcW w:w="1080" w:type="dxa"/>
            <w:tcBorders>
              <w:top w:val="single" w:sz="12" w:space="0" w:color="auto"/>
              <w:left w:val="single" w:sz="2" w:space="0" w:color="auto"/>
              <w:bottom w:val="single" w:sz="12" w:space="0" w:color="auto"/>
              <w:right w:val="single" w:sz="2" w:space="0" w:color="auto"/>
            </w:tcBorders>
            <w:vAlign w:val="center"/>
          </w:tcPr>
          <w:p w:rsidR="00FD37A3" w:rsidRDefault="0072500C">
            <w:pPr>
              <w:spacing w:before="60" w:after="60" w:line="200" w:lineRule="exact"/>
              <w:jc w:val="right"/>
              <w:rPr>
                <w:b/>
                <w:noProof/>
                <w:sz w:val="20"/>
                <w:szCs w:val="20"/>
              </w:rPr>
            </w:pPr>
            <w:r>
              <w:rPr>
                <w:b/>
                <w:noProof/>
                <w:sz w:val="20"/>
                <w:szCs w:val="20"/>
              </w:rPr>
              <w:t>6,561</w:t>
            </w:r>
          </w:p>
        </w:tc>
        <w:tc>
          <w:tcPr>
            <w:tcW w:w="1080" w:type="dxa"/>
            <w:tcBorders>
              <w:top w:val="single" w:sz="12" w:space="0" w:color="auto"/>
              <w:left w:val="single" w:sz="2" w:space="0" w:color="auto"/>
              <w:bottom w:val="single" w:sz="12" w:space="0" w:color="auto"/>
              <w:right w:val="single" w:sz="2" w:space="0" w:color="auto"/>
            </w:tcBorders>
            <w:vAlign w:val="center"/>
          </w:tcPr>
          <w:p w:rsidR="00FD37A3" w:rsidRDefault="0072500C">
            <w:pPr>
              <w:spacing w:before="60" w:after="60" w:line="200" w:lineRule="exact"/>
              <w:jc w:val="right"/>
              <w:rPr>
                <w:b/>
                <w:noProof/>
                <w:color w:val="000000"/>
                <w:sz w:val="20"/>
                <w:szCs w:val="20"/>
              </w:rPr>
            </w:pPr>
            <w:r>
              <w:rPr>
                <w:b/>
                <w:bCs/>
                <w:noProof/>
                <w:color w:val="000000"/>
                <w:sz w:val="20"/>
                <w:szCs w:val="20"/>
              </w:rPr>
              <w:t>7,124</w:t>
            </w:r>
          </w:p>
        </w:tc>
        <w:tc>
          <w:tcPr>
            <w:tcW w:w="1080" w:type="dxa"/>
            <w:tcBorders>
              <w:top w:val="single" w:sz="12" w:space="0" w:color="auto"/>
              <w:left w:val="single" w:sz="2" w:space="0" w:color="auto"/>
              <w:bottom w:val="single" w:sz="12" w:space="0" w:color="auto"/>
              <w:right w:val="single" w:sz="2" w:space="0" w:color="auto"/>
            </w:tcBorders>
            <w:vAlign w:val="center"/>
          </w:tcPr>
          <w:p w:rsidR="00FD37A3" w:rsidRDefault="0072500C">
            <w:pPr>
              <w:spacing w:before="60" w:after="60" w:line="200" w:lineRule="exact"/>
              <w:jc w:val="center"/>
              <w:rPr>
                <w:b/>
                <w:noProof/>
                <w:color w:val="000000"/>
                <w:sz w:val="20"/>
                <w:szCs w:val="20"/>
              </w:rPr>
            </w:pPr>
            <w:r>
              <w:rPr>
                <w:b/>
                <w:bCs/>
                <w:noProof/>
                <w:color w:val="000000"/>
                <w:sz w:val="20"/>
                <w:szCs w:val="20"/>
              </w:rPr>
              <w:t>8,260</w:t>
            </w:r>
          </w:p>
        </w:tc>
        <w:tc>
          <w:tcPr>
            <w:tcW w:w="1080" w:type="dxa"/>
            <w:tcBorders>
              <w:top w:val="single" w:sz="12" w:space="0" w:color="auto"/>
              <w:left w:val="single" w:sz="2" w:space="0" w:color="auto"/>
              <w:bottom w:val="single" w:sz="12" w:space="0" w:color="auto"/>
              <w:right w:val="single" w:sz="2" w:space="0" w:color="auto"/>
            </w:tcBorders>
            <w:vAlign w:val="center"/>
          </w:tcPr>
          <w:p w:rsidR="00FD37A3" w:rsidRDefault="0072500C">
            <w:pPr>
              <w:spacing w:before="60" w:after="60" w:line="200" w:lineRule="exact"/>
              <w:jc w:val="right"/>
              <w:rPr>
                <w:b/>
                <w:noProof/>
                <w:color w:val="000000"/>
                <w:sz w:val="20"/>
                <w:szCs w:val="20"/>
              </w:rPr>
            </w:pPr>
            <w:r>
              <w:rPr>
                <w:b/>
                <w:bCs/>
                <w:noProof/>
                <w:color w:val="000000"/>
                <w:sz w:val="20"/>
                <w:szCs w:val="20"/>
              </w:rPr>
              <w:t>10,005</w:t>
            </w:r>
          </w:p>
        </w:tc>
        <w:tc>
          <w:tcPr>
            <w:tcW w:w="1080" w:type="dxa"/>
            <w:tcBorders>
              <w:top w:val="single" w:sz="12" w:space="0" w:color="auto"/>
              <w:left w:val="single" w:sz="2" w:space="0" w:color="auto"/>
              <w:bottom w:val="single" w:sz="12" w:space="0" w:color="auto"/>
              <w:right w:val="single" w:sz="2" w:space="0" w:color="auto"/>
            </w:tcBorders>
            <w:vAlign w:val="center"/>
          </w:tcPr>
          <w:p w:rsidR="00FD37A3" w:rsidRDefault="0072500C">
            <w:pPr>
              <w:spacing w:before="60" w:after="60" w:line="200" w:lineRule="exact"/>
              <w:jc w:val="right"/>
              <w:rPr>
                <w:b/>
                <w:noProof/>
                <w:color w:val="000000"/>
                <w:sz w:val="20"/>
                <w:szCs w:val="20"/>
              </w:rPr>
            </w:pPr>
            <w:r>
              <w:rPr>
                <w:b/>
                <w:bCs/>
                <w:noProof/>
                <w:color w:val="000000"/>
                <w:sz w:val="20"/>
                <w:szCs w:val="20"/>
              </w:rPr>
              <w:t>31,345</w:t>
            </w:r>
          </w:p>
        </w:tc>
        <w:tc>
          <w:tcPr>
            <w:tcW w:w="1080" w:type="dxa"/>
            <w:tcBorders>
              <w:top w:val="single" w:sz="12" w:space="0" w:color="auto"/>
              <w:left w:val="single" w:sz="2" w:space="0" w:color="auto"/>
              <w:bottom w:val="single" w:sz="12" w:space="0" w:color="auto"/>
              <w:right w:val="single" w:sz="2" w:space="0" w:color="auto"/>
            </w:tcBorders>
            <w:vAlign w:val="center"/>
          </w:tcPr>
          <w:p w:rsidR="00FD37A3" w:rsidRDefault="0072500C">
            <w:pPr>
              <w:spacing w:before="60" w:after="60" w:line="200" w:lineRule="exact"/>
              <w:jc w:val="right"/>
              <w:rPr>
                <w:b/>
                <w:noProof/>
                <w:color w:val="000000"/>
                <w:sz w:val="20"/>
                <w:szCs w:val="20"/>
              </w:rPr>
            </w:pPr>
            <w:r>
              <w:rPr>
                <w:b/>
                <w:bCs/>
                <w:noProof/>
                <w:color w:val="000000"/>
                <w:sz w:val="20"/>
                <w:szCs w:val="20"/>
              </w:rPr>
              <w:t>35,963</w:t>
            </w:r>
          </w:p>
        </w:tc>
        <w:tc>
          <w:tcPr>
            <w:tcW w:w="1080" w:type="dxa"/>
            <w:tcBorders>
              <w:top w:val="single" w:sz="12" w:space="0" w:color="auto"/>
              <w:left w:val="single" w:sz="2" w:space="0" w:color="auto"/>
              <w:bottom w:val="single" w:sz="12" w:space="0" w:color="auto"/>
              <w:right w:val="single" w:sz="2" w:space="0" w:color="auto"/>
            </w:tcBorders>
            <w:vAlign w:val="center"/>
          </w:tcPr>
          <w:p w:rsidR="00FD37A3" w:rsidRDefault="0072500C">
            <w:pPr>
              <w:spacing w:before="60" w:after="60" w:line="200" w:lineRule="exact"/>
              <w:jc w:val="right"/>
              <w:rPr>
                <w:b/>
                <w:noProof/>
                <w:color w:val="000000"/>
                <w:sz w:val="20"/>
                <w:szCs w:val="20"/>
              </w:rPr>
            </w:pPr>
            <w:r>
              <w:rPr>
                <w:b/>
                <w:bCs/>
                <w:noProof/>
                <w:color w:val="000000"/>
                <w:sz w:val="20"/>
                <w:szCs w:val="20"/>
              </w:rPr>
              <w:t>36,572</w:t>
            </w:r>
          </w:p>
        </w:tc>
        <w:tc>
          <w:tcPr>
            <w:tcW w:w="1080" w:type="dxa"/>
            <w:tcBorders>
              <w:top w:val="single" w:sz="12" w:space="0" w:color="auto"/>
              <w:left w:val="single" w:sz="2" w:space="0" w:color="auto"/>
              <w:bottom w:val="single" w:sz="12" w:space="0" w:color="auto"/>
              <w:right w:val="single" w:sz="2" w:space="0" w:color="auto"/>
            </w:tcBorders>
            <w:vAlign w:val="center"/>
          </w:tcPr>
          <w:p w:rsidR="00FD37A3" w:rsidRDefault="0072500C">
            <w:pPr>
              <w:spacing w:before="60" w:after="60" w:line="200" w:lineRule="exact"/>
              <w:jc w:val="right"/>
              <w:rPr>
                <w:b/>
                <w:noProof/>
                <w:color w:val="000000"/>
                <w:sz w:val="20"/>
                <w:szCs w:val="20"/>
              </w:rPr>
            </w:pPr>
            <w:r>
              <w:rPr>
                <w:b/>
                <w:bCs/>
                <w:noProof/>
                <w:color w:val="000000"/>
                <w:sz w:val="20"/>
                <w:szCs w:val="20"/>
              </w:rPr>
              <w:t>135,830</w:t>
            </w:r>
          </w:p>
        </w:tc>
      </w:tr>
    </w:tbl>
    <w:p w:rsidR="00FD37A3" w:rsidRDefault="0072500C">
      <w:pPr>
        <w:rPr>
          <w:noProof/>
          <w:sz w:val="18"/>
        </w:rPr>
      </w:pPr>
      <w:r>
        <w:rPr>
          <w:noProof/>
          <w:sz w:val="18"/>
        </w:rPr>
        <w:t>Potrebe po odobritvah za človeške vire in druge upravne odhodke se krijejo z odobritvami GD, ki so</w:t>
      </w:r>
      <w:r>
        <w:rPr>
          <w:noProof/>
          <w:sz w:val="18"/>
        </w:rPr>
        <w:t xml:space="preserve"> že dodeljene za upravljanje ukrepa in/ali so bile prerazporejene znotraj GD, po potrebi skupaj z dodatnimi viri, ki se lahko pristojnemu GD dodelijo v postopku letne dodelitve virov glede na proračunske omejitve.</w:t>
      </w:r>
    </w:p>
    <w:p w:rsidR="00FD37A3" w:rsidRDefault="00FD37A3">
      <w:pPr>
        <w:rPr>
          <w:noProof/>
          <w:sz w:val="18"/>
        </w:rPr>
      </w:pPr>
    </w:p>
    <w:p w:rsidR="00FD37A3" w:rsidRDefault="0072500C">
      <w:pPr>
        <w:rPr>
          <w:noProof/>
          <w:sz w:val="18"/>
        </w:rPr>
      </w:pPr>
      <w:r>
        <w:rPr>
          <w:noProof/>
          <w:sz w:val="18"/>
        </w:rPr>
        <w:t>Izjava o omejitvi odgovornosti: To so oce</w:t>
      </w:r>
      <w:r>
        <w:rPr>
          <w:noProof/>
          <w:sz w:val="18"/>
        </w:rPr>
        <w:t xml:space="preserve">njena sredstva za GD SANTE za izvajanje </w:t>
      </w:r>
      <w:r>
        <w:rPr>
          <w:noProof/>
          <w:sz w:val="18"/>
          <w:szCs w:val="18"/>
          <w:shd w:val="clear" w:color="auto" w:fill="FFFFFF"/>
        </w:rPr>
        <w:t>Programa EU za zdravje</w:t>
      </w:r>
      <w:r>
        <w:rPr>
          <w:noProof/>
          <w:sz w:val="18"/>
        </w:rPr>
        <w:t>. Ne zajemajo sredstev, ki so potrebna za prenose ukrepov na decentralizirane agencije v pristojnosti GD SANTE (EMA, ECDC, EFSA, ECHA).</w:t>
      </w:r>
    </w:p>
    <w:p w:rsidR="00FD37A3" w:rsidRDefault="00FD37A3">
      <w:pPr>
        <w:rPr>
          <w:noProof/>
          <w:sz w:val="18"/>
        </w:rPr>
        <w:sectPr w:rsidR="00FD37A3">
          <w:headerReference w:type="default" r:id="rId16"/>
          <w:footerReference w:type="default" r:id="rId17"/>
          <w:headerReference w:type="first" r:id="rId18"/>
          <w:footerReference w:type="first" r:id="rId19"/>
          <w:pgSz w:w="11907" w:h="16840"/>
          <w:pgMar w:top="1134" w:right="1418" w:bottom="1134" w:left="1418" w:header="709" w:footer="709" w:gutter="0"/>
          <w:cols w:space="708"/>
          <w:docGrid w:linePitch="360"/>
        </w:sectPr>
      </w:pPr>
    </w:p>
    <w:p w:rsidR="00FD37A3" w:rsidRDefault="0072500C">
      <w:pPr>
        <w:pStyle w:val="Point1"/>
        <w:rPr>
          <w:bCs/>
          <w:noProof/>
          <w:szCs w:val="24"/>
        </w:rPr>
      </w:pPr>
      <w:r>
        <w:rPr>
          <w:noProof/>
        </w:rPr>
        <w:t>3.2.2.2.</w:t>
      </w:r>
      <w:r>
        <w:rPr>
          <w:noProof/>
        </w:rPr>
        <w:tab/>
        <w:t>Ocenjene potrebe po človeških virih</w:t>
      </w:r>
    </w:p>
    <w:p w:rsidR="00FD37A3" w:rsidRDefault="0072500C">
      <w:pPr>
        <w:pStyle w:val="Tiret1"/>
        <w:numPr>
          <w:ilvl w:val="0"/>
          <w:numId w:val="20"/>
        </w:numPr>
        <w:rPr>
          <w:noProof/>
        </w:rPr>
      </w:pPr>
      <w:r>
        <w:rPr>
          <w:noProof/>
        </w:rPr>
        <w:sym w:font="Wingdings" w:char="F0A8"/>
      </w:r>
      <w:r>
        <w:rPr>
          <w:noProof/>
        </w:rPr>
        <w:t xml:space="preserve"> Za predlog/pobudo niso potrebni človeški viri. </w:t>
      </w:r>
    </w:p>
    <w:p w:rsidR="00FD37A3" w:rsidRDefault="0072500C">
      <w:pPr>
        <w:pStyle w:val="Tiret1"/>
        <w:numPr>
          <w:ilvl w:val="0"/>
          <w:numId w:val="20"/>
        </w:numPr>
        <w:rPr>
          <w:noProof/>
        </w:rPr>
      </w:pPr>
      <w:r>
        <w:rPr>
          <w:noProof/>
        </w:rPr>
        <w:sym w:font="Wingdings" w:char="F0FE"/>
      </w:r>
      <w:r>
        <w:rPr>
          <w:noProof/>
        </w:rPr>
        <w:t xml:space="preserve"> Za predlog/pobudo so potrebni človeški viri, kot je pojasnjeno v nadaljevanju:</w:t>
      </w:r>
    </w:p>
    <w:p w:rsidR="00FD37A3" w:rsidRDefault="0072500C">
      <w:pPr>
        <w:spacing w:after="60"/>
        <w:jc w:val="right"/>
        <w:rPr>
          <w:i/>
          <w:noProof/>
          <w:sz w:val="20"/>
        </w:rPr>
      </w:pPr>
      <w:r>
        <w:rPr>
          <w:i/>
          <w:noProof/>
          <w:sz w:val="20"/>
        </w:rPr>
        <w:t>ocena, izražena v ekvivalentu polnega delovnega časa</w:t>
      </w:r>
    </w:p>
    <w:tbl>
      <w:tblPr>
        <w:tblW w:w="507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1"/>
        <w:gridCol w:w="1955"/>
        <w:gridCol w:w="1955"/>
        <w:gridCol w:w="655"/>
        <w:gridCol w:w="655"/>
        <w:gridCol w:w="713"/>
        <w:gridCol w:w="709"/>
        <w:gridCol w:w="811"/>
        <w:gridCol w:w="117"/>
        <w:gridCol w:w="872"/>
        <w:gridCol w:w="58"/>
        <w:gridCol w:w="923"/>
      </w:tblGrid>
      <w:tr w:rsidR="00FD37A3">
        <w:trPr>
          <w:gridBefore w:val="1"/>
          <w:wBefore w:w="6" w:type="pct"/>
          <w:trHeight w:val="289"/>
          <w:jc w:val="center"/>
        </w:trPr>
        <w:tc>
          <w:tcPr>
            <w:tcW w:w="2072" w:type="pct"/>
            <w:gridSpan w:val="2"/>
            <w:shd w:val="clear" w:color="auto" w:fill="auto"/>
          </w:tcPr>
          <w:p w:rsidR="00FD37A3" w:rsidRDefault="00FD37A3">
            <w:pPr>
              <w:pStyle w:val="Text1"/>
              <w:spacing w:before="40" w:after="40"/>
              <w:ind w:left="0"/>
              <w:jc w:val="center"/>
              <w:rPr>
                <w:i/>
                <w:noProof/>
                <w:sz w:val="16"/>
                <w:szCs w:val="16"/>
              </w:rPr>
            </w:pPr>
          </w:p>
        </w:tc>
        <w:tc>
          <w:tcPr>
            <w:tcW w:w="347" w:type="pct"/>
            <w:shd w:val="clear" w:color="auto" w:fill="auto"/>
            <w:vAlign w:val="center"/>
          </w:tcPr>
          <w:p w:rsidR="00FD37A3" w:rsidRDefault="0072500C">
            <w:pPr>
              <w:spacing w:before="20" w:after="20"/>
              <w:jc w:val="center"/>
              <w:rPr>
                <w:noProof/>
                <w:sz w:val="16"/>
                <w:szCs w:val="16"/>
              </w:rPr>
            </w:pPr>
            <w:r>
              <w:rPr>
                <w:b/>
                <w:noProof/>
                <w:sz w:val="20"/>
              </w:rPr>
              <w:t>2021</w:t>
            </w:r>
          </w:p>
        </w:tc>
        <w:tc>
          <w:tcPr>
            <w:tcW w:w="347" w:type="pct"/>
            <w:shd w:val="clear" w:color="auto" w:fill="auto"/>
            <w:vAlign w:val="center"/>
          </w:tcPr>
          <w:p w:rsidR="00FD37A3" w:rsidRDefault="0072500C">
            <w:pPr>
              <w:spacing w:before="20" w:after="20"/>
              <w:jc w:val="center"/>
              <w:rPr>
                <w:noProof/>
                <w:sz w:val="16"/>
                <w:szCs w:val="16"/>
              </w:rPr>
            </w:pPr>
            <w:r>
              <w:rPr>
                <w:b/>
                <w:noProof/>
                <w:sz w:val="20"/>
              </w:rPr>
              <w:t>2022</w:t>
            </w:r>
          </w:p>
        </w:tc>
        <w:tc>
          <w:tcPr>
            <w:tcW w:w="378" w:type="pct"/>
            <w:shd w:val="clear" w:color="auto" w:fill="auto"/>
            <w:vAlign w:val="center"/>
          </w:tcPr>
          <w:p w:rsidR="00FD37A3" w:rsidRDefault="0072500C">
            <w:pPr>
              <w:spacing w:before="20" w:after="20"/>
              <w:jc w:val="center"/>
              <w:rPr>
                <w:noProof/>
                <w:sz w:val="16"/>
                <w:szCs w:val="16"/>
              </w:rPr>
            </w:pPr>
            <w:r>
              <w:rPr>
                <w:b/>
                <w:noProof/>
                <w:sz w:val="20"/>
              </w:rPr>
              <w:t>2023</w:t>
            </w:r>
          </w:p>
        </w:tc>
        <w:tc>
          <w:tcPr>
            <w:tcW w:w="376" w:type="pct"/>
            <w:shd w:val="clear" w:color="auto" w:fill="auto"/>
            <w:vAlign w:val="center"/>
          </w:tcPr>
          <w:p w:rsidR="00FD37A3" w:rsidRDefault="0072500C">
            <w:pPr>
              <w:spacing w:before="20" w:after="20"/>
              <w:jc w:val="center"/>
              <w:rPr>
                <w:noProof/>
                <w:sz w:val="16"/>
                <w:szCs w:val="16"/>
              </w:rPr>
            </w:pPr>
            <w:r>
              <w:rPr>
                <w:b/>
                <w:noProof/>
                <w:sz w:val="20"/>
              </w:rPr>
              <w:t>2024</w:t>
            </w:r>
          </w:p>
        </w:tc>
        <w:tc>
          <w:tcPr>
            <w:tcW w:w="492" w:type="pct"/>
            <w:gridSpan w:val="2"/>
            <w:shd w:val="clear" w:color="auto" w:fill="auto"/>
            <w:vAlign w:val="center"/>
          </w:tcPr>
          <w:p w:rsidR="00FD37A3" w:rsidRDefault="0072500C">
            <w:pPr>
              <w:jc w:val="center"/>
              <w:rPr>
                <w:b/>
                <w:noProof/>
                <w:sz w:val="16"/>
                <w:szCs w:val="16"/>
              </w:rPr>
            </w:pPr>
            <w:r>
              <w:rPr>
                <w:b/>
                <w:noProof/>
                <w:sz w:val="20"/>
              </w:rPr>
              <w:t>2025</w:t>
            </w:r>
          </w:p>
        </w:tc>
        <w:tc>
          <w:tcPr>
            <w:tcW w:w="493" w:type="pct"/>
            <w:gridSpan w:val="2"/>
            <w:shd w:val="clear" w:color="auto" w:fill="auto"/>
            <w:vAlign w:val="center"/>
          </w:tcPr>
          <w:p w:rsidR="00FD37A3" w:rsidRDefault="0072500C">
            <w:pPr>
              <w:jc w:val="center"/>
              <w:rPr>
                <w:b/>
                <w:noProof/>
                <w:sz w:val="16"/>
                <w:szCs w:val="16"/>
              </w:rPr>
            </w:pPr>
            <w:r>
              <w:rPr>
                <w:b/>
                <w:noProof/>
                <w:sz w:val="20"/>
              </w:rPr>
              <w:t>2026</w:t>
            </w:r>
          </w:p>
        </w:tc>
        <w:tc>
          <w:tcPr>
            <w:tcW w:w="489" w:type="pct"/>
            <w:shd w:val="clear" w:color="auto" w:fill="auto"/>
            <w:vAlign w:val="center"/>
          </w:tcPr>
          <w:p w:rsidR="00FD37A3" w:rsidRDefault="0072500C">
            <w:pPr>
              <w:jc w:val="center"/>
              <w:rPr>
                <w:b/>
                <w:noProof/>
                <w:sz w:val="16"/>
                <w:szCs w:val="16"/>
              </w:rPr>
            </w:pPr>
            <w:r>
              <w:rPr>
                <w:b/>
                <w:noProof/>
                <w:sz w:val="20"/>
              </w:rPr>
              <w:t>2027</w:t>
            </w:r>
          </w:p>
        </w:tc>
      </w:tr>
      <w:tr w:rsidR="00FD37A3">
        <w:trPr>
          <w:gridBefore w:val="1"/>
          <w:wBefore w:w="6" w:type="pct"/>
          <w:trHeight w:val="289"/>
          <w:jc w:val="center"/>
        </w:trPr>
        <w:tc>
          <w:tcPr>
            <w:tcW w:w="3144" w:type="pct"/>
            <w:gridSpan w:val="5"/>
            <w:shd w:val="clear" w:color="auto" w:fill="auto"/>
          </w:tcPr>
          <w:p w:rsidR="00FD37A3" w:rsidRDefault="0072500C">
            <w:pPr>
              <w:spacing w:before="20" w:after="20"/>
              <w:rPr>
                <w:noProof/>
                <w:sz w:val="16"/>
                <w:szCs w:val="16"/>
              </w:rPr>
            </w:pPr>
            <w:r>
              <w:rPr>
                <w:b/>
                <w:noProof/>
                <w:sz w:val="16"/>
              </w:rPr>
              <w:sym w:font="Wingdings" w:char="F09F"/>
            </w:r>
            <w:r>
              <w:rPr>
                <w:b/>
                <w:noProof/>
                <w:sz w:val="16"/>
              </w:rPr>
              <w:t xml:space="preserve"> Delovna mesta v skladu s kadrovskim načrtom (uradniki in začasni uslužbenci)</w:t>
            </w:r>
          </w:p>
        </w:tc>
        <w:tc>
          <w:tcPr>
            <w:tcW w:w="376" w:type="pct"/>
            <w:shd w:val="clear" w:color="auto" w:fill="auto"/>
            <w:vAlign w:val="center"/>
          </w:tcPr>
          <w:p w:rsidR="00FD37A3" w:rsidRDefault="00FD37A3">
            <w:pPr>
              <w:spacing w:before="20" w:after="20"/>
              <w:jc w:val="center"/>
              <w:rPr>
                <w:noProof/>
                <w:sz w:val="16"/>
                <w:szCs w:val="16"/>
              </w:rPr>
            </w:pPr>
          </w:p>
        </w:tc>
        <w:tc>
          <w:tcPr>
            <w:tcW w:w="1474" w:type="pct"/>
            <w:gridSpan w:val="5"/>
            <w:shd w:val="clear" w:color="auto" w:fill="auto"/>
            <w:vAlign w:val="center"/>
          </w:tcPr>
          <w:p w:rsidR="00FD37A3" w:rsidRDefault="00FD37A3">
            <w:pPr>
              <w:jc w:val="center"/>
              <w:rPr>
                <w:noProof/>
                <w:sz w:val="16"/>
                <w:szCs w:val="16"/>
              </w:rPr>
            </w:pPr>
          </w:p>
        </w:tc>
      </w:tr>
      <w:tr w:rsidR="00FD37A3">
        <w:trPr>
          <w:gridBefore w:val="1"/>
          <w:wBefore w:w="6" w:type="pct"/>
          <w:trHeight w:val="289"/>
          <w:jc w:val="center"/>
        </w:trPr>
        <w:tc>
          <w:tcPr>
            <w:tcW w:w="2072" w:type="pct"/>
            <w:gridSpan w:val="2"/>
            <w:shd w:val="clear" w:color="auto" w:fill="auto"/>
          </w:tcPr>
          <w:p w:rsidR="00FD37A3" w:rsidRDefault="0072500C">
            <w:pPr>
              <w:pStyle w:val="Text1"/>
              <w:spacing w:beforeLines="20" w:before="48" w:afterLines="20" w:after="48"/>
              <w:ind w:left="134"/>
              <w:jc w:val="left"/>
              <w:rPr>
                <w:b/>
                <w:noProof/>
                <w:sz w:val="16"/>
                <w:szCs w:val="16"/>
              </w:rPr>
            </w:pPr>
            <w:r>
              <w:rPr>
                <w:noProof/>
                <w:sz w:val="16"/>
              </w:rPr>
              <w:t xml:space="preserve">Sedež in predstavništva Komisije </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10</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10</w:t>
            </w:r>
          </w:p>
        </w:tc>
        <w:tc>
          <w:tcPr>
            <w:tcW w:w="378"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10</w:t>
            </w:r>
          </w:p>
        </w:tc>
        <w:tc>
          <w:tcPr>
            <w:tcW w:w="376"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10</w:t>
            </w:r>
          </w:p>
        </w:tc>
        <w:tc>
          <w:tcPr>
            <w:tcW w:w="430"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10</w:t>
            </w:r>
          </w:p>
        </w:tc>
        <w:tc>
          <w:tcPr>
            <w:tcW w:w="524" w:type="pct"/>
            <w:gridSpan w:val="2"/>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10</w:t>
            </w:r>
          </w:p>
        </w:tc>
        <w:tc>
          <w:tcPr>
            <w:tcW w:w="520" w:type="pct"/>
            <w:gridSpan w:val="2"/>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10</w:t>
            </w:r>
          </w:p>
        </w:tc>
      </w:tr>
      <w:tr w:rsidR="00FD37A3">
        <w:trPr>
          <w:gridBefore w:val="1"/>
          <w:wBefore w:w="6" w:type="pct"/>
          <w:trHeight w:val="289"/>
          <w:jc w:val="center"/>
        </w:trPr>
        <w:tc>
          <w:tcPr>
            <w:tcW w:w="2072" w:type="pct"/>
            <w:gridSpan w:val="2"/>
            <w:shd w:val="clear" w:color="auto" w:fill="auto"/>
          </w:tcPr>
          <w:p w:rsidR="00FD37A3" w:rsidRDefault="0072500C">
            <w:pPr>
              <w:pStyle w:val="Text1"/>
              <w:spacing w:beforeLines="20" w:before="48" w:afterLines="20" w:after="48"/>
              <w:ind w:left="134"/>
              <w:jc w:val="left"/>
              <w:rPr>
                <w:noProof/>
                <w:sz w:val="16"/>
                <w:szCs w:val="16"/>
              </w:rPr>
            </w:pPr>
            <w:r>
              <w:rPr>
                <w:noProof/>
                <w:sz w:val="16"/>
              </w:rPr>
              <w:t>Delegacije</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378"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376"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430"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524" w:type="pct"/>
            <w:gridSpan w:val="2"/>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520" w:type="pct"/>
            <w:gridSpan w:val="2"/>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r>
      <w:tr w:rsidR="00FD37A3">
        <w:trPr>
          <w:gridBefore w:val="1"/>
          <w:wBefore w:w="6" w:type="pct"/>
          <w:trHeight w:val="289"/>
          <w:jc w:val="center"/>
        </w:trPr>
        <w:tc>
          <w:tcPr>
            <w:tcW w:w="2072" w:type="pct"/>
            <w:gridSpan w:val="2"/>
            <w:shd w:val="clear" w:color="auto" w:fill="auto"/>
          </w:tcPr>
          <w:p w:rsidR="00FD37A3" w:rsidRDefault="0072500C">
            <w:pPr>
              <w:pStyle w:val="Text1"/>
              <w:spacing w:beforeLines="20" w:before="48" w:afterLines="20" w:after="48"/>
              <w:ind w:left="134"/>
              <w:jc w:val="left"/>
              <w:rPr>
                <w:noProof/>
                <w:sz w:val="16"/>
                <w:szCs w:val="16"/>
              </w:rPr>
            </w:pPr>
            <w:r>
              <w:rPr>
                <w:noProof/>
                <w:sz w:val="16"/>
              </w:rPr>
              <w:t>Raziskave</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378"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376"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430"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524" w:type="pct"/>
            <w:gridSpan w:val="2"/>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c>
          <w:tcPr>
            <w:tcW w:w="520" w:type="pct"/>
            <w:gridSpan w:val="2"/>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0</w:t>
            </w:r>
          </w:p>
        </w:tc>
      </w:tr>
      <w:tr w:rsidR="00FD37A3">
        <w:trPr>
          <w:gridAfter w:val="6"/>
          <w:wAfter w:w="1850" w:type="pct"/>
          <w:trHeight w:val="248"/>
          <w:jc w:val="center"/>
        </w:trPr>
        <w:tc>
          <w:tcPr>
            <w:tcW w:w="3150" w:type="pct"/>
            <w:gridSpan w:val="6"/>
            <w:shd w:val="clear" w:color="auto" w:fill="auto"/>
            <w:vAlign w:val="center"/>
          </w:tcPr>
          <w:p w:rsidR="00FD37A3" w:rsidRDefault="0072500C">
            <w:pPr>
              <w:pStyle w:val="Text1"/>
              <w:spacing w:before="60" w:after="60"/>
              <w:ind w:left="0"/>
              <w:jc w:val="left"/>
              <w:rPr>
                <w:b/>
                <w:noProof/>
                <w:sz w:val="16"/>
                <w:szCs w:val="16"/>
              </w:rPr>
            </w:pPr>
            <w:r>
              <w:rPr>
                <w:b/>
                <w:noProof/>
                <w:sz w:val="16"/>
              </w:rPr>
              <w:sym w:font="Wingdings" w:char="F09F"/>
            </w:r>
            <w:r>
              <w:rPr>
                <w:b/>
                <w:noProof/>
                <w:sz w:val="16"/>
              </w:rPr>
              <w:t xml:space="preserve"> Zunanji sodelavci (v ekvivalentu polnega delovnega časa: EPDČ)</w:t>
            </w:r>
            <w:r>
              <w:rPr>
                <w:rStyle w:val="FootnoteReference"/>
                <w:b/>
                <w:noProof/>
                <w:sz w:val="16"/>
              </w:rPr>
              <w:footnoteReference w:id="34"/>
            </w:r>
          </w:p>
          <w:p w:rsidR="00FD37A3" w:rsidRDefault="00FD37A3">
            <w:pPr>
              <w:pStyle w:val="Text1"/>
              <w:spacing w:before="0" w:after="0"/>
              <w:ind w:left="0"/>
              <w:jc w:val="left"/>
              <w:rPr>
                <w:noProof/>
                <w:sz w:val="16"/>
                <w:szCs w:val="16"/>
              </w:rPr>
            </w:pPr>
          </w:p>
        </w:tc>
      </w:tr>
      <w:tr w:rsidR="00FD37A3">
        <w:trPr>
          <w:gridBefore w:val="1"/>
          <w:wBefore w:w="6" w:type="pct"/>
          <w:trHeight w:val="289"/>
          <w:jc w:val="center"/>
        </w:trPr>
        <w:tc>
          <w:tcPr>
            <w:tcW w:w="1036" w:type="pct"/>
            <w:vMerge w:val="restart"/>
            <w:shd w:val="clear" w:color="auto" w:fill="auto"/>
            <w:vAlign w:val="center"/>
          </w:tcPr>
          <w:p w:rsidR="00FD37A3" w:rsidRDefault="0072500C">
            <w:pPr>
              <w:pStyle w:val="Text1"/>
              <w:spacing w:beforeLines="20" w:before="48" w:afterLines="20" w:after="48"/>
              <w:ind w:left="136"/>
              <w:jc w:val="left"/>
              <w:rPr>
                <w:b/>
                <w:noProof/>
                <w:sz w:val="16"/>
                <w:szCs w:val="16"/>
              </w:rPr>
            </w:pPr>
            <w:r>
              <w:rPr>
                <w:noProof/>
                <w:sz w:val="16"/>
                <w:szCs w:val="16"/>
              </w:rPr>
              <w:t>Financirano iz RAZDELKA 7 večletnega finančnega okvira</w:t>
            </w:r>
            <w:r>
              <w:rPr>
                <w:b/>
                <w:noProof/>
                <w:sz w:val="16"/>
              </w:rPr>
              <w:t xml:space="preserve"> </w:t>
            </w:r>
          </w:p>
        </w:tc>
        <w:tc>
          <w:tcPr>
            <w:tcW w:w="1036" w:type="pct"/>
            <w:shd w:val="clear" w:color="auto" w:fill="auto"/>
            <w:vAlign w:val="center"/>
          </w:tcPr>
          <w:p w:rsidR="00FD37A3" w:rsidRDefault="0072500C">
            <w:pPr>
              <w:pStyle w:val="Text1"/>
              <w:spacing w:beforeLines="20" w:before="48" w:afterLines="20" w:after="48"/>
              <w:ind w:left="136"/>
              <w:jc w:val="left"/>
              <w:rPr>
                <w:b/>
                <w:noProof/>
                <w:sz w:val="16"/>
                <w:szCs w:val="16"/>
              </w:rPr>
            </w:pPr>
            <w:r>
              <w:rPr>
                <w:noProof/>
                <w:sz w:val="16"/>
              </w:rPr>
              <w:t>– na sedežu</w:t>
            </w:r>
          </w:p>
        </w:tc>
        <w:tc>
          <w:tcPr>
            <w:tcW w:w="347" w:type="pct"/>
            <w:shd w:val="clear" w:color="auto" w:fill="auto"/>
          </w:tcPr>
          <w:p w:rsidR="00FD37A3" w:rsidRDefault="0072500C">
            <w:pPr>
              <w:pStyle w:val="Text1"/>
              <w:spacing w:beforeLines="20" w:before="48" w:afterLines="20" w:after="48"/>
              <w:ind w:left="0"/>
              <w:rPr>
                <w:noProof/>
                <w:sz w:val="16"/>
                <w:szCs w:val="16"/>
              </w:rPr>
            </w:pPr>
            <w:r>
              <w:rPr>
                <w:noProof/>
                <w:sz w:val="16"/>
                <w:szCs w:val="16"/>
              </w:rPr>
              <w:t>n. r.</w:t>
            </w:r>
          </w:p>
        </w:tc>
        <w:tc>
          <w:tcPr>
            <w:tcW w:w="347"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8"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6"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430"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4"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0"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r>
      <w:tr w:rsidR="00FD37A3">
        <w:trPr>
          <w:gridBefore w:val="1"/>
          <w:wBefore w:w="6" w:type="pct"/>
          <w:trHeight w:val="289"/>
          <w:jc w:val="center"/>
        </w:trPr>
        <w:tc>
          <w:tcPr>
            <w:tcW w:w="1036" w:type="pct"/>
            <w:vMerge/>
            <w:shd w:val="clear" w:color="auto" w:fill="auto"/>
            <w:vAlign w:val="center"/>
          </w:tcPr>
          <w:p w:rsidR="00FD37A3" w:rsidRDefault="00FD37A3">
            <w:pPr>
              <w:pStyle w:val="Text1"/>
              <w:spacing w:beforeLines="20" w:before="48" w:afterLines="20" w:after="48"/>
              <w:ind w:left="136"/>
              <w:jc w:val="left"/>
              <w:rPr>
                <w:b/>
                <w:noProof/>
                <w:sz w:val="16"/>
                <w:szCs w:val="16"/>
              </w:rPr>
            </w:pPr>
          </w:p>
        </w:tc>
        <w:tc>
          <w:tcPr>
            <w:tcW w:w="1036" w:type="pct"/>
            <w:shd w:val="clear" w:color="auto" w:fill="auto"/>
            <w:vAlign w:val="center"/>
          </w:tcPr>
          <w:p w:rsidR="00FD37A3" w:rsidRDefault="0072500C">
            <w:pPr>
              <w:pStyle w:val="Text1"/>
              <w:spacing w:beforeLines="20" w:before="48" w:afterLines="20" w:after="48"/>
              <w:ind w:left="136"/>
              <w:jc w:val="left"/>
              <w:rPr>
                <w:b/>
                <w:noProof/>
                <w:sz w:val="16"/>
                <w:szCs w:val="16"/>
              </w:rPr>
            </w:pPr>
            <w:r>
              <w:rPr>
                <w:noProof/>
                <w:sz w:val="16"/>
              </w:rPr>
              <w:t xml:space="preserve">– na delegacijah </w:t>
            </w:r>
          </w:p>
        </w:tc>
        <w:tc>
          <w:tcPr>
            <w:tcW w:w="347" w:type="pct"/>
            <w:shd w:val="clear" w:color="auto" w:fill="auto"/>
          </w:tcPr>
          <w:p w:rsidR="00FD37A3" w:rsidRDefault="0072500C">
            <w:pPr>
              <w:pStyle w:val="Text1"/>
              <w:spacing w:beforeLines="20" w:before="48" w:afterLines="20" w:after="48"/>
              <w:ind w:left="0"/>
              <w:rPr>
                <w:noProof/>
                <w:sz w:val="16"/>
                <w:szCs w:val="16"/>
              </w:rPr>
            </w:pPr>
            <w:r>
              <w:rPr>
                <w:noProof/>
                <w:sz w:val="16"/>
                <w:szCs w:val="16"/>
              </w:rPr>
              <w:t>n. r.</w:t>
            </w:r>
          </w:p>
        </w:tc>
        <w:tc>
          <w:tcPr>
            <w:tcW w:w="347"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8"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6"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430"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4"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0"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r>
      <w:tr w:rsidR="00FD37A3">
        <w:trPr>
          <w:gridBefore w:val="1"/>
          <w:wBefore w:w="6" w:type="pct"/>
          <w:trHeight w:val="289"/>
          <w:jc w:val="center"/>
        </w:trPr>
        <w:tc>
          <w:tcPr>
            <w:tcW w:w="1036" w:type="pct"/>
            <w:vMerge w:val="restart"/>
            <w:shd w:val="clear" w:color="auto" w:fill="auto"/>
            <w:vAlign w:val="center"/>
          </w:tcPr>
          <w:p w:rsidR="00FD37A3" w:rsidRDefault="0072500C">
            <w:pPr>
              <w:pStyle w:val="Text1"/>
              <w:spacing w:beforeLines="20" w:before="48" w:afterLines="20" w:after="48"/>
              <w:ind w:left="136"/>
              <w:jc w:val="left"/>
              <w:rPr>
                <w:noProof/>
                <w:sz w:val="16"/>
                <w:szCs w:val="16"/>
              </w:rPr>
            </w:pPr>
            <w:r>
              <w:rPr>
                <w:noProof/>
                <w:sz w:val="16"/>
                <w:szCs w:val="16"/>
              </w:rPr>
              <w:t xml:space="preserve">Financirano iz </w:t>
            </w:r>
            <w:r>
              <w:rPr>
                <w:noProof/>
                <w:sz w:val="16"/>
                <w:szCs w:val="16"/>
              </w:rPr>
              <w:t>sredstev Programa</w:t>
            </w:r>
            <w:r>
              <w:rPr>
                <w:b/>
                <w:noProof/>
                <w:sz w:val="16"/>
                <w:szCs w:val="16"/>
              </w:rPr>
              <w:t xml:space="preserve"> </w:t>
            </w:r>
            <w:r>
              <w:rPr>
                <w:rStyle w:val="FootnoteReference"/>
                <w:b/>
                <w:noProof/>
                <w:sz w:val="16"/>
              </w:rPr>
              <w:footnoteReference w:id="35"/>
            </w:r>
          </w:p>
        </w:tc>
        <w:tc>
          <w:tcPr>
            <w:tcW w:w="1036" w:type="pct"/>
            <w:shd w:val="clear" w:color="auto" w:fill="auto"/>
            <w:vAlign w:val="center"/>
          </w:tcPr>
          <w:p w:rsidR="00FD37A3" w:rsidRDefault="0072500C">
            <w:pPr>
              <w:pStyle w:val="Text1"/>
              <w:spacing w:beforeLines="20" w:before="48" w:afterLines="20" w:after="48"/>
              <w:ind w:left="136"/>
              <w:jc w:val="left"/>
              <w:rPr>
                <w:noProof/>
                <w:sz w:val="16"/>
                <w:szCs w:val="16"/>
              </w:rPr>
            </w:pPr>
            <w:r>
              <w:rPr>
                <w:noProof/>
                <w:sz w:val="16"/>
              </w:rPr>
              <w:t>– na sedežu</w:t>
            </w:r>
          </w:p>
        </w:tc>
        <w:tc>
          <w:tcPr>
            <w:tcW w:w="347" w:type="pct"/>
            <w:shd w:val="clear" w:color="auto" w:fill="auto"/>
          </w:tcPr>
          <w:p w:rsidR="00FD37A3" w:rsidRDefault="0072500C">
            <w:pPr>
              <w:spacing w:beforeLines="20" w:before="48" w:afterLines="20" w:after="48"/>
              <w:jc w:val="center"/>
              <w:rPr>
                <w:noProof/>
                <w:sz w:val="16"/>
              </w:rPr>
            </w:pPr>
            <w:r>
              <w:rPr>
                <w:noProof/>
                <w:sz w:val="16"/>
                <w:szCs w:val="16"/>
              </w:rPr>
              <w:t>n. r.</w:t>
            </w:r>
          </w:p>
        </w:tc>
        <w:tc>
          <w:tcPr>
            <w:tcW w:w="347"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8"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6"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430"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4"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0"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r>
      <w:tr w:rsidR="00FD37A3">
        <w:trPr>
          <w:gridBefore w:val="1"/>
          <w:wBefore w:w="6" w:type="pct"/>
          <w:trHeight w:val="289"/>
          <w:jc w:val="center"/>
        </w:trPr>
        <w:tc>
          <w:tcPr>
            <w:tcW w:w="1036" w:type="pct"/>
            <w:vMerge/>
            <w:shd w:val="clear" w:color="auto" w:fill="auto"/>
          </w:tcPr>
          <w:p w:rsidR="00FD37A3" w:rsidRDefault="00FD37A3">
            <w:pPr>
              <w:pStyle w:val="Text1"/>
              <w:spacing w:beforeLines="20" w:before="48" w:afterLines="20" w:after="48"/>
              <w:ind w:left="136"/>
              <w:jc w:val="left"/>
              <w:rPr>
                <w:noProof/>
                <w:sz w:val="16"/>
                <w:szCs w:val="16"/>
              </w:rPr>
            </w:pPr>
          </w:p>
        </w:tc>
        <w:tc>
          <w:tcPr>
            <w:tcW w:w="1036" w:type="pct"/>
            <w:shd w:val="clear" w:color="auto" w:fill="auto"/>
            <w:vAlign w:val="center"/>
          </w:tcPr>
          <w:p w:rsidR="00FD37A3" w:rsidRDefault="0072500C">
            <w:pPr>
              <w:pStyle w:val="Text1"/>
              <w:spacing w:beforeLines="20" w:before="48" w:afterLines="20" w:after="48"/>
              <w:ind w:left="136"/>
              <w:jc w:val="left"/>
              <w:rPr>
                <w:noProof/>
                <w:sz w:val="16"/>
                <w:szCs w:val="16"/>
              </w:rPr>
            </w:pPr>
            <w:r>
              <w:rPr>
                <w:noProof/>
                <w:sz w:val="16"/>
              </w:rPr>
              <w:t xml:space="preserve">– na delegacijah </w:t>
            </w:r>
          </w:p>
        </w:tc>
        <w:tc>
          <w:tcPr>
            <w:tcW w:w="347" w:type="pct"/>
            <w:shd w:val="clear" w:color="auto" w:fill="auto"/>
          </w:tcPr>
          <w:p w:rsidR="00FD37A3" w:rsidRDefault="0072500C">
            <w:pPr>
              <w:spacing w:beforeLines="20" w:before="48" w:afterLines="20" w:after="48"/>
              <w:jc w:val="center"/>
              <w:rPr>
                <w:noProof/>
                <w:sz w:val="16"/>
              </w:rPr>
            </w:pPr>
            <w:r>
              <w:rPr>
                <w:noProof/>
                <w:sz w:val="16"/>
                <w:szCs w:val="16"/>
              </w:rPr>
              <w:t>n. r.</w:t>
            </w:r>
          </w:p>
        </w:tc>
        <w:tc>
          <w:tcPr>
            <w:tcW w:w="347"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8"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6"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430"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4"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0"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r>
      <w:tr w:rsidR="00FD37A3">
        <w:trPr>
          <w:gridBefore w:val="1"/>
          <w:wBefore w:w="6" w:type="pct"/>
          <w:trHeight w:val="289"/>
          <w:jc w:val="center"/>
        </w:trPr>
        <w:tc>
          <w:tcPr>
            <w:tcW w:w="2072" w:type="pct"/>
            <w:gridSpan w:val="2"/>
            <w:shd w:val="clear" w:color="auto" w:fill="auto"/>
          </w:tcPr>
          <w:p w:rsidR="00FD37A3" w:rsidRDefault="0072500C">
            <w:pPr>
              <w:pStyle w:val="Text1"/>
              <w:spacing w:beforeLines="20" w:before="48" w:afterLines="20" w:after="48"/>
              <w:ind w:left="136"/>
              <w:jc w:val="left"/>
              <w:rPr>
                <w:noProof/>
                <w:sz w:val="16"/>
                <w:szCs w:val="16"/>
              </w:rPr>
            </w:pPr>
            <w:r>
              <w:rPr>
                <w:noProof/>
                <w:sz w:val="16"/>
                <w:szCs w:val="16"/>
              </w:rPr>
              <w:t>Raziskave</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sz w:val="16"/>
                <w:szCs w:val="16"/>
              </w:rPr>
              <w:t>n. r.</w:t>
            </w:r>
          </w:p>
        </w:tc>
        <w:tc>
          <w:tcPr>
            <w:tcW w:w="347"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8"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376"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430" w:type="pct"/>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4"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c>
          <w:tcPr>
            <w:tcW w:w="520" w:type="pct"/>
            <w:gridSpan w:val="2"/>
            <w:shd w:val="clear" w:color="auto" w:fill="auto"/>
          </w:tcPr>
          <w:p w:rsidR="00FD37A3" w:rsidRDefault="0072500C">
            <w:pPr>
              <w:spacing w:beforeLines="20" w:before="48" w:afterLines="20" w:after="48"/>
              <w:jc w:val="center"/>
              <w:rPr>
                <w:noProof/>
                <w:sz w:val="16"/>
                <w:szCs w:val="16"/>
              </w:rPr>
            </w:pPr>
            <w:r>
              <w:rPr>
                <w:noProof/>
                <w:sz w:val="16"/>
                <w:szCs w:val="16"/>
              </w:rPr>
              <w:t>n. r.</w:t>
            </w:r>
          </w:p>
        </w:tc>
      </w:tr>
      <w:tr w:rsidR="00FD37A3">
        <w:trPr>
          <w:gridBefore w:val="1"/>
          <w:wBefore w:w="6" w:type="pct"/>
          <w:trHeight w:val="289"/>
          <w:jc w:val="center"/>
        </w:trPr>
        <w:tc>
          <w:tcPr>
            <w:tcW w:w="2072" w:type="pct"/>
            <w:gridSpan w:val="2"/>
            <w:shd w:val="clear" w:color="auto" w:fill="auto"/>
          </w:tcPr>
          <w:p w:rsidR="00FD37A3" w:rsidRDefault="0072500C">
            <w:pPr>
              <w:pStyle w:val="Text1"/>
              <w:spacing w:beforeLines="20" w:before="48" w:afterLines="20" w:after="48"/>
              <w:ind w:left="136"/>
              <w:jc w:val="left"/>
              <w:rPr>
                <w:noProof/>
                <w:sz w:val="16"/>
                <w:szCs w:val="16"/>
              </w:rPr>
            </w:pPr>
            <w:r>
              <w:rPr>
                <w:noProof/>
                <w:sz w:val="16"/>
              </w:rPr>
              <w:t>Drugo (namenski prejemki)</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50</w:t>
            </w:r>
          </w:p>
        </w:tc>
        <w:tc>
          <w:tcPr>
            <w:tcW w:w="347"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50</w:t>
            </w:r>
          </w:p>
        </w:tc>
        <w:tc>
          <w:tcPr>
            <w:tcW w:w="378"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50</w:t>
            </w:r>
          </w:p>
        </w:tc>
        <w:tc>
          <w:tcPr>
            <w:tcW w:w="376"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50</w:t>
            </w:r>
          </w:p>
        </w:tc>
        <w:tc>
          <w:tcPr>
            <w:tcW w:w="430" w:type="pct"/>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50</w:t>
            </w:r>
          </w:p>
        </w:tc>
        <w:tc>
          <w:tcPr>
            <w:tcW w:w="524" w:type="pct"/>
            <w:gridSpan w:val="2"/>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50</w:t>
            </w:r>
          </w:p>
        </w:tc>
        <w:tc>
          <w:tcPr>
            <w:tcW w:w="520" w:type="pct"/>
            <w:gridSpan w:val="2"/>
            <w:shd w:val="clear" w:color="auto" w:fill="auto"/>
            <w:vAlign w:val="center"/>
          </w:tcPr>
          <w:p w:rsidR="00FD37A3" w:rsidRDefault="0072500C">
            <w:pPr>
              <w:spacing w:beforeLines="20" w:before="48" w:afterLines="20" w:after="48"/>
              <w:jc w:val="center"/>
              <w:rPr>
                <w:noProof/>
                <w:sz w:val="16"/>
                <w:szCs w:val="16"/>
              </w:rPr>
            </w:pPr>
            <w:r>
              <w:rPr>
                <w:noProof/>
                <w:color w:val="000000"/>
                <w:sz w:val="16"/>
                <w:szCs w:val="16"/>
              </w:rPr>
              <w:t>50</w:t>
            </w:r>
          </w:p>
        </w:tc>
      </w:tr>
      <w:tr w:rsidR="00FD37A3">
        <w:trPr>
          <w:gridBefore w:val="1"/>
          <w:wBefore w:w="6" w:type="pct"/>
          <w:trHeight w:val="289"/>
          <w:jc w:val="center"/>
        </w:trPr>
        <w:tc>
          <w:tcPr>
            <w:tcW w:w="2072" w:type="pct"/>
            <w:gridSpan w:val="2"/>
            <w:tcBorders>
              <w:top w:val="double" w:sz="4" w:space="0" w:color="auto"/>
            </w:tcBorders>
            <w:shd w:val="clear" w:color="auto" w:fill="auto"/>
            <w:vAlign w:val="center"/>
          </w:tcPr>
          <w:p w:rsidR="00FD37A3" w:rsidRDefault="0072500C">
            <w:pPr>
              <w:pStyle w:val="Text1"/>
              <w:spacing w:beforeLines="20" w:before="48" w:afterLines="20" w:after="48"/>
              <w:ind w:left="136"/>
              <w:jc w:val="left"/>
              <w:rPr>
                <w:noProof/>
                <w:sz w:val="16"/>
                <w:szCs w:val="16"/>
              </w:rPr>
            </w:pPr>
            <w:r>
              <w:rPr>
                <w:b/>
                <w:noProof/>
                <w:sz w:val="16"/>
              </w:rPr>
              <w:t>SKUPAJ</w:t>
            </w:r>
          </w:p>
        </w:tc>
        <w:tc>
          <w:tcPr>
            <w:tcW w:w="347" w:type="pct"/>
            <w:tcBorders>
              <w:top w:val="double" w:sz="4" w:space="0" w:color="auto"/>
            </w:tcBorders>
            <w:shd w:val="clear" w:color="auto" w:fill="auto"/>
            <w:vAlign w:val="center"/>
          </w:tcPr>
          <w:p w:rsidR="00FD37A3" w:rsidRDefault="0072500C">
            <w:pPr>
              <w:spacing w:beforeLines="20" w:before="48" w:afterLines="20" w:after="48"/>
              <w:jc w:val="center"/>
              <w:rPr>
                <w:b/>
                <w:noProof/>
                <w:sz w:val="16"/>
                <w:szCs w:val="16"/>
              </w:rPr>
            </w:pPr>
            <w:r>
              <w:rPr>
                <w:b/>
                <w:bCs/>
                <w:noProof/>
                <w:color w:val="000000"/>
                <w:sz w:val="16"/>
                <w:szCs w:val="16"/>
              </w:rPr>
              <w:t>60</w:t>
            </w:r>
          </w:p>
        </w:tc>
        <w:tc>
          <w:tcPr>
            <w:tcW w:w="347" w:type="pct"/>
            <w:tcBorders>
              <w:top w:val="double" w:sz="4" w:space="0" w:color="auto"/>
            </w:tcBorders>
            <w:shd w:val="clear" w:color="auto" w:fill="auto"/>
            <w:vAlign w:val="center"/>
          </w:tcPr>
          <w:p w:rsidR="00FD37A3" w:rsidRDefault="0072500C">
            <w:pPr>
              <w:spacing w:beforeLines="20" w:before="48" w:afterLines="20" w:after="48"/>
              <w:jc w:val="center"/>
              <w:rPr>
                <w:b/>
                <w:noProof/>
                <w:sz w:val="16"/>
                <w:szCs w:val="16"/>
              </w:rPr>
            </w:pPr>
            <w:r>
              <w:rPr>
                <w:b/>
                <w:bCs/>
                <w:noProof/>
                <w:color w:val="000000"/>
                <w:sz w:val="16"/>
                <w:szCs w:val="16"/>
              </w:rPr>
              <w:t>60</w:t>
            </w:r>
          </w:p>
        </w:tc>
        <w:tc>
          <w:tcPr>
            <w:tcW w:w="378" w:type="pct"/>
            <w:tcBorders>
              <w:top w:val="double" w:sz="4" w:space="0" w:color="auto"/>
            </w:tcBorders>
            <w:shd w:val="clear" w:color="auto" w:fill="auto"/>
            <w:vAlign w:val="center"/>
          </w:tcPr>
          <w:p w:rsidR="00FD37A3" w:rsidRDefault="0072500C">
            <w:pPr>
              <w:spacing w:beforeLines="20" w:before="48" w:afterLines="20" w:after="48"/>
              <w:jc w:val="center"/>
              <w:rPr>
                <w:b/>
                <w:noProof/>
                <w:sz w:val="16"/>
                <w:szCs w:val="16"/>
              </w:rPr>
            </w:pPr>
            <w:r>
              <w:rPr>
                <w:b/>
                <w:bCs/>
                <w:noProof/>
                <w:color w:val="000000"/>
                <w:sz w:val="16"/>
                <w:szCs w:val="16"/>
              </w:rPr>
              <w:t>60</w:t>
            </w:r>
          </w:p>
        </w:tc>
        <w:tc>
          <w:tcPr>
            <w:tcW w:w="376" w:type="pct"/>
            <w:tcBorders>
              <w:top w:val="double" w:sz="4" w:space="0" w:color="auto"/>
            </w:tcBorders>
            <w:shd w:val="clear" w:color="auto" w:fill="auto"/>
            <w:vAlign w:val="center"/>
          </w:tcPr>
          <w:p w:rsidR="00FD37A3" w:rsidRDefault="0072500C">
            <w:pPr>
              <w:spacing w:beforeLines="20" w:before="48" w:afterLines="20" w:after="48"/>
              <w:jc w:val="center"/>
              <w:rPr>
                <w:b/>
                <w:noProof/>
                <w:sz w:val="16"/>
                <w:szCs w:val="16"/>
              </w:rPr>
            </w:pPr>
            <w:r>
              <w:rPr>
                <w:b/>
                <w:bCs/>
                <w:noProof/>
                <w:color w:val="000000"/>
                <w:sz w:val="16"/>
                <w:szCs w:val="16"/>
              </w:rPr>
              <w:t>60</w:t>
            </w:r>
          </w:p>
        </w:tc>
        <w:tc>
          <w:tcPr>
            <w:tcW w:w="430" w:type="pct"/>
            <w:tcBorders>
              <w:top w:val="double" w:sz="4" w:space="0" w:color="auto"/>
            </w:tcBorders>
            <w:shd w:val="clear" w:color="auto" w:fill="auto"/>
            <w:vAlign w:val="center"/>
          </w:tcPr>
          <w:p w:rsidR="00FD37A3" w:rsidRDefault="0072500C">
            <w:pPr>
              <w:spacing w:beforeLines="20" w:before="48" w:afterLines="20" w:after="48"/>
              <w:jc w:val="center"/>
              <w:rPr>
                <w:b/>
                <w:noProof/>
                <w:sz w:val="16"/>
                <w:szCs w:val="16"/>
              </w:rPr>
            </w:pPr>
            <w:r>
              <w:rPr>
                <w:b/>
                <w:bCs/>
                <w:noProof/>
                <w:color w:val="000000"/>
                <w:sz w:val="16"/>
                <w:szCs w:val="16"/>
              </w:rPr>
              <w:t>60</w:t>
            </w:r>
          </w:p>
        </w:tc>
        <w:tc>
          <w:tcPr>
            <w:tcW w:w="524" w:type="pct"/>
            <w:gridSpan w:val="2"/>
            <w:tcBorders>
              <w:top w:val="double" w:sz="4" w:space="0" w:color="auto"/>
            </w:tcBorders>
            <w:shd w:val="clear" w:color="auto" w:fill="auto"/>
            <w:vAlign w:val="center"/>
          </w:tcPr>
          <w:p w:rsidR="00FD37A3" w:rsidRDefault="0072500C">
            <w:pPr>
              <w:spacing w:beforeLines="20" w:before="48" w:afterLines="20" w:after="48"/>
              <w:jc w:val="center"/>
              <w:rPr>
                <w:b/>
                <w:noProof/>
                <w:sz w:val="16"/>
                <w:szCs w:val="16"/>
              </w:rPr>
            </w:pPr>
            <w:r>
              <w:rPr>
                <w:b/>
                <w:bCs/>
                <w:noProof/>
                <w:color w:val="000000"/>
                <w:sz w:val="16"/>
                <w:szCs w:val="16"/>
              </w:rPr>
              <w:t>60</w:t>
            </w:r>
          </w:p>
        </w:tc>
        <w:tc>
          <w:tcPr>
            <w:tcW w:w="520" w:type="pct"/>
            <w:gridSpan w:val="2"/>
            <w:tcBorders>
              <w:top w:val="double" w:sz="4" w:space="0" w:color="auto"/>
            </w:tcBorders>
            <w:shd w:val="clear" w:color="auto" w:fill="auto"/>
            <w:vAlign w:val="center"/>
          </w:tcPr>
          <w:p w:rsidR="00FD37A3" w:rsidRDefault="0072500C">
            <w:pPr>
              <w:spacing w:beforeLines="20" w:before="48" w:afterLines="20" w:after="48"/>
              <w:jc w:val="center"/>
              <w:rPr>
                <w:b/>
                <w:noProof/>
                <w:sz w:val="16"/>
                <w:szCs w:val="16"/>
              </w:rPr>
            </w:pPr>
            <w:r>
              <w:rPr>
                <w:b/>
                <w:bCs/>
                <w:noProof/>
                <w:color w:val="000000"/>
                <w:sz w:val="16"/>
                <w:szCs w:val="16"/>
              </w:rPr>
              <w:t>60</w:t>
            </w:r>
          </w:p>
        </w:tc>
      </w:tr>
    </w:tbl>
    <w:p w:rsidR="00FD37A3" w:rsidRDefault="00FD37A3">
      <w:pPr>
        <w:rPr>
          <w:noProof/>
          <w:sz w:val="18"/>
          <w:szCs w:val="18"/>
        </w:rPr>
      </w:pPr>
    </w:p>
    <w:p w:rsidR="00FD37A3" w:rsidRDefault="0072500C">
      <w:pPr>
        <w:rPr>
          <w:noProof/>
          <w:sz w:val="18"/>
        </w:rPr>
      </w:pPr>
      <w:r>
        <w:rPr>
          <w:noProof/>
          <w:sz w:val="18"/>
        </w:rPr>
        <w:t xml:space="preserve">Potrebe po človeških virih se krijejo z osebjem GD, ki je že dodeljeno za upravljanje ukrepa in/ali je bilo prerazporejeno znotraj GD, po potrebi skupaj z dodatnimi viri, ki se lahko pristojnemu GD dodelijo v postopku letne dodelitve virov </w:t>
      </w:r>
      <w:r>
        <w:rPr>
          <w:noProof/>
          <w:sz w:val="18"/>
        </w:rPr>
        <w:t>glede na proračunske omejitve.</w:t>
      </w:r>
    </w:p>
    <w:p w:rsidR="00FD37A3" w:rsidRDefault="00FD37A3">
      <w:pPr>
        <w:rPr>
          <w:noProof/>
          <w:sz w:val="18"/>
        </w:rPr>
      </w:pPr>
    </w:p>
    <w:p w:rsidR="00FD37A3" w:rsidRDefault="0072500C">
      <w:pPr>
        <w:rPr>
          <w:noProof/>
          <w:sz w:val="18"/>
        </w:rPr>
      </w:pPr>
      <w:r>
        <w:rPr>
          <w:noProof/>
          <w:sz w:val="18"/>
        </w:rPr>
        <w:t xml:space="preserve">Izjava o omejitvi odgovornosti: To so ocenjena sredstva za GD SANTE za izvajanje </w:t>
      </w:r>
      <w:r>
        <w:rPr>
          <w:noProof/>
          <w:sz w:val="18"/>
          <w:szCs w:val="18"/>
          <w:shd w:val="clear" w:color="auto" w:fill="FFFFFF"/>
        </w:rPr>
        <w:t>Programa EU za zdravje</w:t>
      </w:r>
      <w:r>
        <w:rPr>
          <w:noProof/>
          <w:sz w:val="18"/>
        </w:rPr>
        <w:t>. Ne zajemajo sredstev, ki so potrebna za prenose ukrepov na decentralizirane agencije v pristojnosti GD SANTE (EMA, ECDC</w:t>
      </w:r>
      <w:r>
        <w:rPr>
          <w:noProof/>
          <w:sz w:val="18"/>
        </w:rPr>
        <w:t>, EFSA, ECHA).</w:t>
      </w:r>
    </w:p>
    <w:p w:rsidR="00FD37A3" w:rsidRDefault="00FD37A3">
      <w:pPr>
        <w:rPr>
          <w:noProof/>
          <w:sz w:val="18"/>
        </w:rPr>
        <w:sectPr w:rsidR="00FD37A3">
          <w:pgSz w:w="11907" w:h="16840"/>
          <w:pgMar w:top="1134" w:right="1418" w:bottom="1134" w:left="1418" w:header="709" w:footer="709" w:gutter="0"/>
          <w:cols w:space="708"/>
          <w:docGrid w:linePitch="360"/>
        </w:sectPr>
      </w:pPr>
    </w:p>
    <w:p w:rsidR="00FD37A3" w:rsidRDefault="00FD37A3">
      <w:pPr>
        <w:rPr>
          <w:noProof/>
          <w:sz w:val="18"/>
          <w:szCs w:val="18"/>
        </w:rPr>
      </w:pPr>
    </w:p>
    <w:p w:rsidR="00FD37A3" w:rsidRDefault="0072500C">
      <w:pPr>
        <w:rPr>
          <w:noProof/>
          <w:sz w:val="20"/>
        </w:rPr>
      </w:pPr>
      <w:r>
        <w:rPr>
          <w:noProof/>
          <w:sz w:val="20"/>
        </w:rPr>
        <w:t>Opis nalog:</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FD37A3">
        <w:tc>
          <w:tcPr>
            <w:tcW w:w="3240" w:type="dxa"/>
          </w:tcPr>
          <w:p w:rsidR="00FD37A3" w:rsidRDefault="0072500C">
            <w:pPr>
              <w:rPr>
                <w:noProof/>
                <w:sz w:val="20"/>
              </w:rPr>
            </w:pPr>
            <w:r>
              <w:rPr>
                <w:noProof/>
                <w:sz w:val="20"/>
              </w:rPr>
              <w:t>Uradniki in začasni uslužbenci</w:t>
            </w:r>
          </w:p>
        </w:tc>
        <w:tc>
          <w:tcPr>
            <w:tcW w:w="7200" w:type="dxa"/>
          </w:tcPr>
          <w:p w:rsidR="00FD37A3" w:rsidRDefault="0072500C">
            <w:pPr>
              <w:rPr>
                <w:noProof/>
                <w:sz w:val="20"/>
              </w:rPr>
            </w:pPr>
            <w:r>
              <w:rPr>
                <w:noProof/>
                <w:sz w:val="20"/>
              </w:rPr>
              <w:t>Razvoj politik in strategije, upravljanje in vodenje Programa, finančni in pravni vidiki, javna naročila, revizije ali usklajevanje</w:t>
            </w:r>
          </w:p>
        </w:tc>
      </w:tr>
      <w:tr w:rsidR="00FD37A3">
        <w:tc>
          <w:tcPr>
            <w:tcW w:w="3240" w:type="dxa"/>
          </w:tcPr>
          <w:p w:rsidR="00FD37A3" w:rsidRDefault="0072500C">
            <w:pPr>
              <w:spacing w:before="60" w:after="60"/>
              <w:rPr>
                <w:noProof/>
                <w:sz w:val="20"/>
              </w:rPr>
            </w:pPr>
            <w:r>
              <w:rPr>
                <w:noProof/>
                <w:sz w:val="20"/>
              </w:rPr>
              <w:t>Zunanji sodelavci</w:t>
            </w:r>
          </w:p>
        </w:tc>
        <w:tc>
          <w:tcPr>
            <w:tcW w:w="7200" w:type="dxa"/>
          </w:tcPr>
          <w:p w:rsidR="00FD37A3" w:rsidRDefault="0072500C">
            <w:pPr>
              <w:rPr>
                <w:noProof/>
                <w:sz w:val="20"/>
              </w:rPr>
            </w:pPr>
            <w:r>
              <w:rPr>
                <w:noProof/>
                <w:sz w:val="20"/>
              </w:rPr>
              <w:t xml:space="preserve">Naloge upravne in </w:t>
            </w:r>
            <w:r>
              <w:rPr>
                <w:noProof/>
                <w:sz w:val="20"/>
              </w:rPr>
              <w:t>finančne podpore</w:t>
            </w:r>
          </w:p>
        </w:tc>
      </w:tr>
    </w:tbl>
    <w:p w:rsidR="00FD37A3" w:rsidRDefault="00FD37A3">
      <w:pPr>
        <w:rPr>
          <w:noProof/>
        </w:rPr>
        <w:sectPr w:rsidR="00FD37A3">
          <w:pgSz w:w="11907" w:h="16840"/>
          <w:pgMar w:top="1134" w:right="1418" w:bottom="1134" w:left="1418" w:header="709" w:footer="709" w:gutter="0"/>
          <w:cols w:space="708"/>
          <w:docGrid w:linePitch="360"/>
        </w:sectPr>
      </w:pPr>
    </w:p>
    <w:p w:rsidR="00FD37A3" w:rsidRDefault="0072500C">
      <w:pPr>
        <w:pStyle w:val="Point1"/>
        <w:rPr>
          <w:bCs/>
          <w:i/>
          <w:noProof/>
          <w:szCs w:val="24"/>
        </w:rPr>
      </w:pPr>
      <w:r>
        <w:rPr>
          <w:i/>
          <w:noProof/>
        </w:rPr>
        <w:t>3.2.3.</w:t>
      </w:r>
      <w:r>
        <w:rPr>
          <w:i/>
          <w:noProof/>
        </w:rPr>
        <w:tab/>
        <w:t xml:space="preserve">Udeležba tretjih oseb pri financiranju </w:t>
      </w:r>
    </w:p>
    <w:p w:rsidR="00FD37A3" w:rsidRDefault="0072500C">
      <w:pPr>
        <w:pStyle w:val="Tiret1"/>
        <w:numPr>
          <w:ilvl w:val="0"/>
          <w:numId w:val="20"/>
        </w:numPr>
        <w:rPr>
          <w:noProof/>
        </w:rPr>
      </w:pPr>
      <w:r>
        <w:rPr>
          <w:noProof/>
        </w:rPr>
        <w:sym w:font="Wingdings" w:char="F0A8"/>
      </w:r>
      <w:r>
        <w:rPr>
          <w:noProof/>
        </w:rPr>
        <w:t xml:space="preserve"> V predlogu/pobudi ni načrtovano sofinanciranje tretjih oseb. </w:t>
      </w:r>
    </w:p>
    <w:p w:rsidR="00FD37A3" w:rsidRDefault="0072500C">
      <w:pPr>
        <w:pStyle w:val="Tiret1"/>
        <w:numPr>
          <w:ilvl w:val="0"/>
          <w:numId w:val="20"/>
        </w:numPr>
        <w:rPr>
          <w:noProof/>
        </w:rPr>
      </w:pPr>
      <w:r>
        <w:rPr>
          <w:noProof/>
        </w:rPr>
        <w:sym w:font="Wingdings" w:char="F0FE"/>
      </w:r>
      <w:r>
        <w:rPr>
          <w:noProof/>
        </w:rPr>
        <w:t xml:space="preserve"> V predlogu/pobudi je načrtovano sofinanciranje, kot je ocenjeno v nadaljevanju:</w:t>
      </w:r>
    </w:p>
    <w:p w:rsidR="00FD37A3" w:rsidRDefault="0072500C">
      <w:pPr>
        <w:pStyle w:val="Text1"/>
        <w:rPr>
          <w:noProof/>
          <w:sz w:val="20"/>
          <w:szCs w:val="20"/>
        </w:rPr>
      </w:pPr>
      <w:r>
        <w:rPr>
          <w:noProof/>
          <w:sz w:val="20"/>
          <w:szCs w:val="20"/>
        </w:rPr>
        <w:t xml:space="preserve">odobritve v mio. EUR </w:t>
      </w:r>
      <w:r>
        <w:rPr>
          <w:noProof/>
          <w:sz w:val="20"/>
          <w:szCs w:val="20"/>
        </w:rPr>
        <w:t>(na tri decimalna mesta natančno)</w:t>
      </w:r>
    </w:p>
    <w:tbl>
      <w:tblPr>
        <w:tblW w:w="10246"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rsidR="00FD37A3">
        <w:trPr>
          <w:cantSplit/>
        </w:trPr>
        <w:tc>
          <w:tcPr>
            <w:tcW w:w="2340" w:type="dxa"/>
          </w:tcPr>
          <w:p w:rsidR="00FD37A3" w:rsidRDefault="00FD37A3">
            <w:pPr>
              <w:spacing w:before="60" w:after="60"/>
              <w:rPr>
                <w:noProof/>
                <w:sz w:val="20"/>
              </w:rPr>
            </w:pPr>
          </w:p>
        </w:tc>
        <w:tc>
          <w:tcPr>
            <w:tcW w:w="964" w:type="dxa"/>
            <w:vAlign w:val="center"/>
          </w:tcPr>
          <w:p w:rsidR="00FD37A3" w:rsidRDefault="0072500C">
            <w:pPr>
              <w:jc w:val="center"/>
              <w:rPr>
                <w:noProof/>
                <w:sz w:val="20"/>
              </w:rPr>
            </w:pPr>
            <w:r>
              <w:rPr>
                <w:b/>
                <w:noProof/>
                <w:sz w:val="20"/>
              </w:rPr>
              <w:t>2021</w:t>
            </w:r>
          </w:p>
        </w:tc>
        <w:tc>
          <w:tcPr>
            <w:tcW w:w="964" w:type="dxa"/>
            <w:vAlign w:val="center"/>
          </w:tcPr>
          <w:p w:rsidR="00FD37A3" w:rsidRDefault="0072500C">
            <w:pPr>
              <w:jc w:val="center"/>
              <w:rPr>
                <w:noProof/>
                <w:sz w:val="20"/>
              </w:rPr>
            </w:pPr>
            <w:r>
              <w:rPr>
                <w:b/>
                <w:noProof/>
                <w:sz w:val="20"/>
              </w:rPr>
              <w:t>2022</w:t>
            </w:r>
          </w:p>
        </w:tc>
        <w:tc>
          <w:tcPr>
            <w:tcW w:w="964" w:type="dxa"/>
            <w:vAlign w:val="center"/>
          </w:tcPr>
          <w:p w:rsidR="00FD37A3" w:rsidRDefault="0072500C">
            <w:pPr>
              <w:jc w:val="center"/>
              <w:rPr>
                <w:noProof/>
                <w:sz w:val="20"/>
              </w:rPr>
            </w:pPr>
            <w:r>
              <w:rPr>
                <w:b/>
                <w:noProof/>
                <w:sz w:val="20"/>
              </w:rPr>
              <w:t>2023</w:t>
            </w:r>
          </w:p>
        </w:tc>
        <w:tc>
          <w:tcPr>
            <w:tcW w:w="964" w:type="dxa"/>
            <w:vAlign w:val="center"/>
          </w:tcPr>
          <w:p w:rsidR="00FD37A3" w:rsidRDefault="0072500C">
            <w:pPr>
              <w:jc w:val="center"/>
              <w:rPr>
                <w:noProof/>
                <w:sz w:val="20"/>
              </w:rPr>
            </w:pPr>
            <w:r>
              <w:rPr>
                <w:b/>
                <w:noProof/>
                <w:sz w:val="20"/>
              </w:rPr>
              <w:t>2024</w:t>
            </w:r>
          </w:p>
        </w:tc>
        <w:tc>
          <w:tcPr>
            <w:tcW w:w="964" w:type="dxa"/>
            <w:vAlign w:val="center"/>
          </w:tcPr>
          <w:p w:rsidR="00FD37A3" w:rsidRDefault="0072500C">
            <w:pPr>
              <w:jc w:val="center"/>
              <w:rPr>
                <w:b/>
                <w:noProof/>
                <w:sz w:val="20"/>
              </w:rPr>
            </w:pPr>
            <w:r>
              <w:rPr>
                <w:b/>
                <w:noProof/>
                <w:sz w:val="20"/>
              </w:rPr>
              <w:t>2025</w:t>
            </w:r>
          </w:p>
        </w:tc>
        <w:tc>
          <w:tcPr>
            <w:tcW w:w="964" w:type="dxa"/>
            <w:vAlign w:val="center"/>
          </w:tcPr>
          <w:p w:rsidR="00FD37A3" w:rsidRDefault="0072500C">
            <w:pPr>
              <w:jc w:val="center"/>
              <w:rPr>
                <w:b/>
                <w:noProof/>
                <w:sz w:val="20"/>
              </w:rPr>
            </w:pPr>
            <w:r>
              <w:rPr>
                <w:b/>
                <w:noProof/>
                <w:sz w:val="20"/>
              </w:rPr>
              <w:t>2026</w:t>
            </w:r>
          </w:p>
        </w:tc>
        <w:tc>
          <w:tcPr>
            <w:tcW w:w="964" w:type="dxa"/>
            <w:vAlign w:val="center"/>
          </w:tcPr>
          <w:p w:rsidR="00FD37A3" w:rsidRDefault="0072500C">
            <w:pPr>
              <w:jc w:val="center"/>
              <w:rPr>
                <w:b/>
                <w:noProof/>
                <w:sz w:val="20"/>
              </w:rPr>
            </w:pPr>
            <w:r>
              <w:rPr>
                <w:b/>
                <w:noProof/>
                <w:sz w:val="20"/>
              </w:rPr>
              <w:t>2027</w:t>
            </w:r>
          </w:p>
        </w:tc>
        <w:tc>
          <w:tcPr>
            <w:tcW w:w="1158" w:type="dxa"/>
            <w:vAlign w:val="center"/>
          </w:tcPr>
          <w:p w:rsidR="00FD37A3" w:rsidRDefault="0072500C">
            <w:pPr>
              <w:spacing w:before="60" w:after="60"/>
              <w:jc w:val="center"/>
              <w:rPr>
                <w:noProof/>
                <w:sz w:val="20"/>
              </w:rPr>
            </w:pPr>
            <w:r>
              <w:rPr>
                <w:noProof/>
                <w:sz w:val="20"/>
              </w:rPr>
              <w:t>Skupaj</w:t>
            </w:r>
          </w:p>
        </w:tc>
      </w:tr>
      <w:tr w:rsidR="00FD37A3">
        <w:trPr>
          <w:cantSplit/>
        </w:trPr>
        <w:tc>
          <w:tcPr>
            <w:tcW w:w="2340" w:type="dxa"/>
          </w:tcPr>
          <w:p w:rsidR="00FD37A3" w:rsidRDefault="0072500C">
            <w:pPr>
              <w:rPr>
                <w:noProof/>
              </w:rPr>
            </w:pPr>
            <w:r>
              <w:rPr>
                <w:noProof/>
                <w:sz w:val="20"/>
              </w:rPr>
              <w:t>EGS/EFTA</w:t>
            </w:r>
            <w:r>
              <w:rPr>
                <w:i/>
                <w:noProof/>
                <w:sz w:val="20"/>
              </w:rPr>
              <w:t xml:space="preserve"> </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1158" w:type="dxa"/>
            <w:vAlign w:val="center"/>
          </w:tcPr>
          <w:p w:rsidR="00FD37A3" w:rsidRDefault="0072500C">
            <w:pPr>
              <w:spacing w:before="60" w:after="60"/>
              <w:jc w:val="center"/>
              <w:rPr>
                <w:noProof/>
                <w:sz w:val="20"/>
              </w:rPr>
            </w:pPr>
            <w:r>
              <w:rPr>
                <w:noProof/>
                <w:sz w:val="20"/>
              </w:rPr>
              <w:t>p. m.</w:t>
            </w:r>
          </w:p>
        </w:tc>
      </w:tr>
      <w:tr w:rsidR="00FD37A3">
        <w:trPr>
          <w:cantSplit/>
        </w:trPr>
        <w:tc>
          <w:tcPr>
            <w:tcW w:w="2340" w:type="dxa"/>
          </w:tcPr>
          <w:p w:rsidR="00FD37A3" w:rsidRDefault="0072500C">
            <w:pPr>
              <w:rPr>
                <w:noProof/>
                <w:sz w:val="20"/>
              </w:rPr>
            </w:pPr>
            <w:r>
              <w:rPr>
                <w:noProof/>
                <w:sz w:val="20"/>
              </w:rPr>
              <w:t>Države kandidatke</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1158" w:type="dxa"/>
            <w:vAlign w:val="center"/>
          </w:tcPr>
          <w:p w:rsidR="00FD37A3" w:rsidRDefault="0072500C">
            <w:pPr>
              <w:spacing w:before="60" w:after="60"/>
              <w:jc w:val="center"/>
              <w:rPr>
                <w:noProof/>
                <w:sz w:val="20"/>
              </w:rPr>
            </w:pPr>
            <w:r>
              <w:rPr>
                <w:noProof/>
                <w:sz w:val="20"/>
              </w:rPr>
              <w:t>p. m.</w:t>
            </w:r>
          </w:p>
        </w:tc>
      </w:tr>
      <w:tr w:rsidR="00FD37A3">
        <w:trPr>
          <w:cantSplit/>
        </w:trPr>
        <w:tc>
          <w:tcPr>
            <w:tcW w:w="2340" w:type="dxa"/>
          </w:tcPr>
          <w:p w:rsidR="00FD37A3" w:rsidRDefault="0072500C">
            <w:pPr>
              <w:rPr>
                <w:noProof/>
                <w:sz w:val="20"/>
              </w:rPr>
            </w:pPr>
            <w:r>
              <w:rPr>
                <w:noProof/>
                <w:sz w:val="20"/>
              </w:rPr>
              <w:t>Tretje države, vključno s sosednjimi državami</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1158" w:type="dxa"/>
            <w:vAlign w:val="center"/>
          </w:tcPr>
          <w:p w:rsidR="00FD37A3" w:rsidRDefault="0072500C">
            <w:pPr>
              <w:spacing w:before="60" w:after="60"/>
              <w:jc w:val="center"/>
              <w:rPr>
                <w:noProof/>
                <w:sz w:val="20"/>
              </w:rPr>
            </w:pPr>
            <w:r>
              <w:rPr>
                <w:noProof/>
                <w:sz w:val="20"/>
              </w:rPr>
              <w:t>p. m.</w:t>
            </w:r>
          </w:p>
        </w:tc>
      </w:tr>
      <w:tr w:rsidR="00FD37A3">
        <w:trPr>
          <w:cantSplit/>
        </w:trPr>
        <w:tc>
          <w:tcPr>
            <w:tcW w:w="2340" w:type="dxa"/>
          </w:tcPr>
          <w:p w:rsidR="00FD37A3" w:rsidRDefault="0072500C">
            <w:pPr>
              <w:spacing w:before="60" w:after="60"/>
              <w:jc w:val="left"/>
              <w:rPr>
                <w:noProof/>
                <w:sz w:val="20"/>
              </w:rPr>
            </w:pPr>
            <w:r>
              <w:rPr>
                <w:noProof/>
                <w:sz w:val="20"/>
              </w:rPr>
              <w:t xml:space="preserve">Sofinancirane odobritve SKUPAJ </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964" w:type="dxa"/>
            <w:vAlign w:val="center"/>
          </w:tcPr>
          <w:p w:rsidR="00FD37A3" w:rsidRDefault="0072500C">
            <w:pPr>
              <w:spacing w:before="60" w:after="60"/>
              <w:jc w:val="center"/>
              <w:rPr>
                <w:noProof/>
                <w:sz w:val="20"/>
              </w:rPr>
            </w:pPr>
            <w:r>
              <w:rPr>
                <w:noProof/>
                <w:sz w:val="20"/>
              </w:rPr>
              <w:t>p. m.</w:t>
            </w:r>
          </w:p>
        </w:tc>
        <w:tc>
          <w:tcPr>
            <w:tcW w:w="1158" w:type="dxa"/>
            <w:vAlign w:val="center"/>
          </w:tcPr>
          <w:p w:rsidR="00FD37A3" w:rsidRDefault="0072500C">
            <w:pPr>
              <w:spacing w:before="60" w:after="60"/>
              <w:jc w:val="center"/>
              <w:rPr>
                <w:noProof/>
                <w:sz w:val="20"/>
              </w:rPr>
            </w:pPr>
            <w:r>
              <w:rPr>
                <w:noProof/>
                <w:sz w:val="20"/>
              </w:rPr>
              <w:t>p. m.</w:t>
            </w:r>
          </w:p>
        </w:tc>
      </w:tr>
    </w:tbl>
    <w:p w:rsidR="00FD37A3" w:rsidRDefault="00FD37A3">
      <w:pPr>
        <w:rPr>
          <w:noProof/>
        </w:rPr>
      </w:pPr>
    </w:p>
    <w:p w:rsidR="00FD37A3" w:rsidRDefault="0072500C">
      <w:pPr>
        <w:pStyle w:val="Point0"/>
        <w:rPr>
          <w:b/>
          <w:bCs/>
          <w:noProof/>
          <w:szCs w:val="24"/>
        </w:rPr>
      </w:pPr>
      <w:r>
        <w:rPr>
          <w:noProof/>
        </w:rPr>
        <w:br w:type="page"/>
      </w:r>
      <w:r>
        <w:rPr>
          <w:b/>
          <w:noProof/>
        </w:rPr>
        <w:t>3.3.</w:t>
      </w:r>
      <w:r>
        <w:rPr>
          <w:b/>
          <w:noProof/>
        </w:rPr>
        <w:tab/>
        <w:t xml:space="preserve">Ocenjene posledice za prihodke </w:t>
      </w:r>
    </w:p>
    <w:p w:rsidR="00FD37A3" w:rsidRDefault="0072500C">
      <w:pPr>
        <w:pStyle w:val="Tiret1"/>
        <w:numPr>
          <w:ilvl w:val="0"/>
          <w:numId w:val="20"/>
        </w:numPr>
        <w:rPr>
          <w:noProof/>
        </w:rPr>
      </w:pPr>
      <w:r>
        <w:rPr>
          <w:noProof/>
        </w:rPr>
        <w:sym w:font="Wingdings" w:char="F0FE"/>
      </w:r>
      <w:r>
        <w:rPr>
          <w:noProof/>
        </w:rPr>
        <w:t xml:space="preserve"> Predlog/pobuda nima finančnih posledic za prihodke.</w:t>
      </w:r>
    </w:p>
    <w:p w:rsidR="00FD37A3" w:rsidRDefault="0072500C">
      <w:pPr>
        <w:pStyle w:val="Tiret1"/>
        <w:numPr>
          <w:ilvl w:val="0"/>
          <w:numId w:val="20"/>
        </w:numPr>
        <w:rPr>
          <w:noProof/>
        </w:rPr>
      </w:pPr>
      <w:r>
        <w:rPr>
          <w:noProof/>
        </w:rPr>
        <w:sym w:font="Wingdings" w:char="F0A8"/>
      </w:r>
      <w:r>
        <w:rPr>
          <w:noProof/>
        </w:rPr>
        <w:t xml:space="preserve"> Predlog/pobuda ima finančne posledice, kot je pojasnjeno v nadaljevanju:</w:t>
      </w:r>
    </w:p>
    <w:p w:rsidR="00FD37A3" w:rsidRDefault="0072500C">
      <w:pPr>
        <w:pStyle w:val="Tiret2"/>
        <w:numPr>
          <w:ilvl w:val="0"/>
          <w:numId w:val="21"/>
        </w:numPr>
        <w:rPr>
          <w:noProof/>
        </w:rPr>
      </w:pPr>
      <w:r>
        <w:rPr>
          <w:noProof/>
        </w:rPr>
        <w:sym w:font="Wingdings" w:char="F0A8"/>
      </w:r>
      <w:r>
        <w:rPr>
          <w:noProof/>
        </w:rPr>
        <w:t xml:space="preserve"> za lastna sredstva, </w:t>
      </w:r>
    </w:p>
    <w:p w:rsidR="00FD37A3" w:rsidRDefault="0072500C">
      <w:pPr>
        <w:pStyle w:val="Tiret2"/>
        <w:numPr>
          <w:ilvl w:val="0"/>
          <w:numId w:val="21"/>
        </w:numPr>
        <w:rPr>
          <w:noProof/>
        </w:rPr>
      </w:pPr>
      <w:r>
        <w:rPr>
          <w:noProof/>
        </w:rPr>
        <w:sym w:font="Wingdings" w:char="F0A8"/>
      </w:r>
      <w:r>
        <w:rPr>
          <w:noProof/>
        </w:rPr>
        <w:t xml:space="preserve"> za razne prihodke. </w:t>
      </w:r>
    </w:p>
    <w:p w:rsidR="00FD37A3" w:rsidRDefault="0072500C">
      <w:pPr>
        <w:pStyle w:val="Text1"/>
        <w:rPr>
          <w:noProof/>
          <w:sz w:val="20"/>
        </w:rPr>
      </w:pPr>
      <w:r>
        <w:rPr>
          <w:noProof/>
          <w:sz w:val="20"/>
        </w:rPr>
        <w:t>Za razne namenske prejemke navedite zadevne odhodkovne proračunske vrstice.</w:t>
      </w:r>
    </w:p>
    <w:p w:rsidR="00FD37A3" w:rsidRDefault="00FD37A3">
      <w:pPr>
        <w:pStyle w:val="Text1"/>
        <w:pBdr>
          <w:top w:val="single" w:sz="4" w:space="1" w:color="auto"/>
          <w:left w:val="single" w:sz="4" w:space="4" w:color="auto"/>
          <w:bottom w:val="single" w:sz="4" w:space="1" w:color="auto"/>
          <w:right w:val="single" w:sz="4" w:space="4" w:color="auto"/>
        </w:pBdr>
        <w:rPr>
          <w:noProof/>
        </w:rPr>
      </w:pPr>
    </w:p>
    <w:p w:rsidR="00FD37A3" w:rsidRDefault="0072500C">
      <w:pPr>
        <w:pStyle w:val="Text1"/>
        <w:rPr>
          <w:noProof/>
          <w:sz w:val="20"/>
        </w:rPr>
      </w:pPr>
      <w:r>
        <w:rPr>
          <w:noProof/>
          <w:sz w:val="20"/>
        </w:rPr>
        <w:t>Navedite metodo za izračun posledic za prihodke.</w:t>
      </w:r>
    </w:p>
    <w:p w:rsidR="00FD37A3" w:rsidRDefault="00FD37A3">
      <w:pPr>
        <w:pStyle w:val="Text1"/>
        <w:pBdr>
          <w:top w:val="single" w:sz="4" w:space="1" w:color="auto"/>
          <w:left w:val="single" w:sz="4" w:space="4" w:color="auto"/>
          <w:bottom w:val="single" w:sz="4" w:space="1" w:color="auto"/>
          <w:right w:val="single" w:sz="4" w:space="4" w:color="auto"/>
        </w:pBdr>
        <w:rPr>
          <w:noProof/>
        </w:rPr>
      </w:pPr>
    </w:p>
    <w:p w:rsidR="00FD37A3" w:rsidRDefault="00FD37A3">
      <w:pPr>
        <w:ind w:left="709" w:hanging="709"/>
        <w:jc w:val="left"/>
        <w:rPr>
          <w:noProof/>
        </w:rPr>
      </w:pPr>
    </w:p>
    <w:sectPr w:rsidR="00FD37A3">
      <w:pgSz w:w="11907" w:h="16840" w:code="9"/>
      <w:pgMar w:top="1134" w:right="1418"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7A3" w:rsidRDefault="0072500C">
      <w:pPr>
        <w:spacing w:before="0" w:after="0"/>
      </w:pPr>
      <w:r>
        <w:separator/>
      </w:r>
    </w:p>
  </w:endnote>
  <w:endnote w:type="continuationSeparator" w:id="0">
    <w:p w:rsidR="00FD37A3" w:rsidRDefault="0072500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EU Albertina">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72500C">
    <w:pPr>
      <w:pStyle w:val="Footer"/>
      <w:rPr>
        <w:rFonts w:ascii="Arial" w:hAnsi="Arial" w:cs="Arial"/>
        <w:b/>
        <w:sz w:val="48"/>
      </w:rPr>
    </w:pPr>
    <w:r>
      <w:rPr>
        <w:rFonts w:ascii="Arial" w:hAnsi="Arial" w:cs="Arial"/>
        <w:b/>
        <w:sz w:val="48"/>
      </w:rPr>
      <w:t>SL</w:t>
    </w:r>
    <w:r>
      <w:rPr>
        <w:rFonts w:ascii="Arial" w:hAnsi="Arial" w:cs="Arial"/>
        <w:b/>
        <w:sz w:val="48"/>
      </w:rPr>
      <w:tab/>
    </w:r>
    <w:r>
      <w:rPr>
        <w:rFonts w:ascii="Arial" w:hAnsi="Arial" w:cs="Arial"/>
        <w:b/>
        <w:sz w:val="48"/>
      </w:rPr>
      <w:tab/>
    </w:r>
    <w:r>
      <w:tab/>
    </w:r>
    <w:r>
      <w:rPr>
        <w:rFonts w:ascii="Arial" w:hAnsi="Arial" w:cs="Arial"/>
        <w:b/>
        <w:sz w:val="48"/>
      </w:rPr>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72500C">
    <w:pPr>
      <w:pStyle w:val="Footer"/>
      <w:rPr>
        <w:rFonts w:ascii="Arial" w:hAnsi="Arial" w:cs="Arial"/>
        <w:b/>
        <w:sz w:val="48"/>
      </w:rPr>
    </w:pPr>
    <w:r>
      <w:rPr>
        <w:rFonts w:ascii="Arial" w:hAnsi="Arial" w:cs="Arial"/>
        <w:b/>
        <w:sz w:val="48"/>
      </w:rPr>
      <w:t>SL</w:t>
    </w:r>
    <w:r>
      <w:rPr>
        <w:rFonts w:ascii="Arial" w:hAnsi="Arial" w:cs="Arial"/>
        <w:b/>
        <w:sz w:val="48"/>
      </w:rPr>
      <w:tab/>
    </w:r>
    <w:r>
      <w:fldChar w:fldCharType="begin"/>
    </w:r>
    <w:r>
      <w:instrText xml:space="preserve"> PAGE  \* MERGEFORMAT </w:instrText>
    </w:r>
    <w:r>
      <w:fldChar w:fldCharType="separate"/>
    </w:r>
    <w:r>
      <w:rPr>
        <w:noProof/>
      </w:rPr>
      <w:t>8</w:t>
    </w:r>
    <w:r>
      <w:fldChar w:fldCharType="end"/>
    </w:r>
    <w:r>
      <w:tab/>
    </w:r>
    <w:r>
      <w:tab/>
    </w:r>
    <w:r>
      <w:rPr>
        <w:rFonts w:ascii="Arial" w:hAnsi="Arial" w:cs="Arial"/>
        <w:b/>
        <w:sz w:val="48"/>
      </w:rPr>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FD37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72500C">
    <w:pPr>
      <w:pStyle w:val="FooterLandscape"/>
      <w:rPr>
        <w:rFonts w:ascii="Arial" w:hAnsi="Arial" w:cs="Arial"/>
        <w:b/>
        <w:sz w:val="48"/>
      </w:rPr>
    </w:pPr>
    <w:r>
      <w:rPr>
        <w:rFonts w:ascii="Arial" w:hAnsi="Arial" w:cs="Arial"/>
        <w:b/>
        <w:sz w:val="48"/>
      </w:rPr>
      <w:t>SL</w:t>
    </w:r>
    <w:r>
      <w:rPr>
        <w:rFonts w:ascii="Arial" w:hAnsi="Arial" w:cs="Arial"/>
        <w:b/>
        <w:sz w:val="48"/>
      </w:rPr>
      <w:tab/>
    </w:r>
    <w:r>
      <w:fldChar w:fldCharType="begin"/>
    </w:r>
    <w:r>
      <w:instrText xml:space="preserve"> PAGE  \* MERGEFORMAT </w:instrText>
    </w:r>
    <w:r>
      <w:fldChar w:fldCharType="separate"/>
    </w:r>
    <w:r>
      <w:rPr>
        <w:noProof/>
      </w:rPr>
      <w:t>47</w:t>
    </w:r>
    <w:r>
      <w:fldChar w:fldCharType="end"/>
    </w:r>
    <w:r>
      <w:tab/>
    </w:r>
    <w:r>
      <w:tab/>
    </w:r>
    <w:r>
      <w:rPr>
        <w:rFonts w:ascii="Arial" w:hAnsi="Arial" w:cs="Arial"/>
        <w:b/>
        <w:sz w:val="48"/>
      </w:rPr>
      <w:t>SL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FD37A3">
    <w:pPr>
      <w:pStyle w:val="FooterLandscape"/>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72500C">
    <w:pPr>
      <w:pStyle w:val="Footer"/>
      <w:rPr>
        <w:rFonts w:ascii="Arial" w:hAnsi="Arial" w:cs="Arial"/>
        <w:b/>
        <w:sz w:val="48"/>
      </w:rPr>
    </w:pPr>
    <w:r>
      <w:rPr>
        <w:rFonts w:ascii="Arial" w:hAnsi="Arial" w:cs="Arial"/>
        <w:b/>
        <w:sz w:val="48"/>
      </w:rPr>
      <w:t>SL</w:t>
    </w:r>
    <w:r>
      <w:rPr>
        <w:rFonts w:ascii="Arial" w:hAnsi="Arial" w:cs="Arial"/>
        <w:b/>
        <w:sz w:val="48"/>
      </w:rPr>
      <w:tab/>
    </w:r>
    <w:r>
      <w:fldChar w:fldCharType="begin"/>
    </w:r>
    <w:r>
      <w:instrText xml:space="preserve"> PAGE  \* MERGEFORMAT </w:instrText>
    </w:r>
    <w:r>
      <w:fldChar w:fldCharType="separate"/>
    </w:r>
    <w:r>
      <w:rPr>
        <w:noProof/>
      </w:rPr>
      <w:t>52</w:t>
    </w:r>
    <w:r>
      <w:fldChar w:fldCharType="end"/>
    </w:r>
    <w:r>
      <w:tab/>
    </w:r>
    <w:r>
      <w:tab/>
    </w:r>
    <w:r>
      <w:rPr>
        <w:rFonts w:ascii="Arial" w:hAnsi="Arial" w:cs="Arial"/>
        <w:b/>
        <w:sz w:val="48"/>
      </w:rPr>
      <w:t>SL</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FD3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7A3" w:rsidRDefault="0072500C">
      <w:pPr>
        <w:spacing w:before="0" w:after="0"/>
      </w:pPr>
      <w:r>
        <w:separator/>
      </w:r>
    </w:p>
  </w:footnote>
  <w:footnote w:type="continuationSeparator" w:id="0">
    <w:p w:rsidR="00FD37A3" w:rsidRDefault="0072500C">
      <w:pPr>
        <w:spacing w:before="0" w:after="0"/>
      </w:pPr>
      <w:r>
        <w:continuationSeparator/>
      </w:r>
    </w:p>
  </w:footnote>
  <w:footnote w:id="1">
    <w:p w:rsidR="00FD37A3" w:rsidRDefault="0072500C">
      <w:pPr>
        <w:pStyle w:val="FootnoteText"/>
        <w:ind w:left="397" w:hanging="397"/>
      </w:pPr>
      <w:r>
        <w:rPr>
          <w:rStyle w:val="FootnoteReference"/>
        </w:rPr>
        <w:footnoteRef/>
      </w:r>
      <w:r>
        <w:tab/>
      </w:r>
      <w:r>
        <w:rPr>
          <w:szCs w:val="24"/>
          <w:shd w:val="clear" w:color="auto" w:fill="FFFFFF"/>
        </w:rPr>
        <w:t>Mednarodni zdravstveni pravilnik (2005), Svetovna zdravstvena organizacija.</w:t>
      </w:r>
    </w:p>
  </w:footnote>
  <w:footnote w:id="2">
    <w:p w:rsidR="00FD37A3" w:rsidRDefault="0072500C">
      <w:pPr>
        <w:pStyle w:val="FootnoteText"/>
        <w:ind w:left="397" w:hanging="397"/>
      </w:pPr>
      <w:r>
        <w:rPr>
          <w:rStyle w:val="FootnoteReference"/>
        </w:rPr>
        <w:footnoteRef/>
      </w:r>
      <w:r>
        <w:tab/>
      </w:r>
      <w:hyperlink r:id="rId1" w:history="1">
        <w:r>
          <w:rPr>
            <w:rStyle w:val="Hyperlink"/>
          </w:rPr>
          <w:t>https://eur-lex.europa.eu/legal-content/SL/TXT/?uri=COM:2017:251:FIN</w:t>
        </w:r>
      </w:hyperlink>
      <w:r>
        <w:t>.</w:t>
      </w:r>
    </w:p>
  </w:footnote>
  <w:footnote w:id="3">
    <w:p w:rsidR="00FD37A3" w:rsidRDefault="0072500C">
      <w:pPr>
        <w:pStyle w:val="FootnoteText"/>
        <w:ind w:left="397" w:hanging="397"/>
      </w:pPr>
      <w:r>
        <w:rPr>
          <w:rStyle w:val="FootnoteReference"/>
        </w:rPr>
        <w:footnoteRef/>
      </w:r>
      <w:r>
        <w:tab/>
        <w:t>Program Obzorje Evrop</w:t>
      </w:r>
      <w:r>
        <w:t>a; skupna kmetijska politika; Evropski sklad za regionalni razvoj; Evropski socialni sklad plus; program za enotni trg; program za okoljske in podnebne ukrepe; Instrument za povezovanje Evrope; program za digitalno Evropo; program Erasmus; sklad InvestEU t</w:t>
      </w:r>
      <w:r>
        <w:t>er instrumenti za zunanje delovanje (instrument za sosedstvo ter razvojno in mednarodno sodelovanje ter instrument za predpristopno pomoč).</w:t>
      </w:r>
    </w:p>
  </w:footnote>
  <w:footnote w:id="4">
    <w:p w:rsidR="00FD37A3" w:rsidRDefault="0072500C">
      <w:pPr>
        <w:pStyle w:val="FootnoteText"/>
        <w:spacing w:after="120"/>
        <w:ind w:left="397" w:hanging="397"/>
      </w:pPr>
      <w:r>
        <w:rPr>
          <w:rStyle w:val="FootnoteReference"/>
        </w:rPr>
        <w:footnoteRef/>
      </w:r>
      <w:r>
        <w:tab/>
        <w:t>UL C […], […], str. […].</w:t>
      </w:r>
    </w:p>
  </w:footnote>
  <w:footnote w:id="5">
    <w:p w:rsidR="00FD37A3" w:rsidRDefault="0072500C">
      <w:pPr>
        <w:pStyle w:val="FootnoteText"/>
        <w:spacing w:after="120"/>
        <w:ind w:left="397" w:hanging="397"/>
      </w:pPr>
      <w:r>
        <w:rPr>
          <w:rStyle w:val="FootnoteReference"/>
        </w:rPr>
        <w:footnoteRef/>
      </w:r>
      <w:r>
        <w:tab/>
        <w:t>UL C […], […], str. […].</w:t>
      </w:r>
    </w:p>
  </w:footnote>
  <w:footnote w:id="6">
    <w:p w:rsidR="00FD37A3" w:rsidRDefault="0072500C">
      <w:pPr>
        <w:pStyle w:val="FootnoteText"/>
        <w:spacing w:after="120"/>
        <w:ind w:left="397" w:hanging="397"/>
      </w:pPr>
      <w:r>
        <w:rPr>
          <w:rStyle w:val="FootnoteReference"/>
        </w:rPr>
        <w:footnoteRef/>
      </w:r>
      <w:r>
        <w:tab/>
        <w:t xml:space="preserve">Stališče Evropskega parlamenta z dne .... in sklep Sveta z </w:t>
      </w:r>
      <w:r>
        <w:t>dne ….</w:t>
      </w:r>
    </w:p>
  </w:footnote>
  <w:footnote w:id="7">
    <w:p w:rsidR="00FD37A3" w:rsidRDefault="0072500C">
      <w:pPr>
        <w:pStyle w:val="FootnoteText"/>
        <w:spacing w:after="120"/>
        <w:ind w:left="397" w:hanging="397"/>
      </w:pPr>
      <w:r>
        <w:rPr>
          <w:rStyle w:val="FootnoteReference"/>
        </w:rPr>
        <w:footnoteRef/>
      </w:r>
      <w:r>
        <w:tab/>
        <w:t>Sklep št. 1786/2002/ES Evropskega parlamenta in Sveta z dne 23. septembra 2002 o sprejetju programa ukrepov Skupnosti na področju javnega zdravja (2003–2008) (UL L 271, 9.10.2002, str. 1); Sklep št. 1350/2007/ES Evropskega parlamenta in Sveta z dn</w:t>
      </w:r>
      <w:r>
        <w:t>e 23. oktobra 2007 o uvedbi drugega programa ukrepov Skupnosti na področju zdravja (2008–2013) (</w:t>
      </w:r>
      <w:hyperlink r:id="rId2" w:history="1">
        <w:r>
          <w:t>UL L 301, 20.11.2007, str. 3</w:t>
        </w:r>
      </w:hyperlink>
      <w:r>
        <w:t>); Uredba (EU) št. 282/2014 Evropskega parlame</w:t>
      </w:r>
      <w:r>
        <w:t>nta in Sveta z dne 11. marca 2014 o vzpostavitvi tretjega programa za ukrepe Unije na področju zdravja (2014–2020) in razveljavitvi Sklepa št. 1350/2007/ES (UL L 86, 21.3.2014, str. 1).</w:t>
      </w:r>
    </w:p>
  </w:footnote>
  <w:footnote w:id="8">
    <w:p w:rsidR="00FD37A3" w:rsidRDefault="0072500C">
      <w:pPr>
        <w:pStyle w:val="FootnoteText"/>
        <w:spacing w:after="120"/>
        <w:ind w:left="397" w:hanging="397"/>
      </w:pPr>
      <w:r>
        <w:rPr>
          <w:rStyle w:val="FootnoteReference"/>
        </w:rPr>
        <w:footnoteRef/>
      </w:r>
      <w:r>
        <w:tab/>
        <w:t>Sporočilo Komisije Evropskemu parlamentu, Evropskemu svetu, Svetu, E</w:t>
      </w:r>
      <w:r>
        <w:t>vropski centralni banki, Evropski investicijski banki in Euroskupini o usklajenem gospodarskem odzivu na izbruh virusa COVID-19 (COM(2020) 112 final z dne 13. marca 2020).</w:t>
      </w:r>
    </w:p>
  </w:footnote>
  <w:footnote w:id="9">
    <w:p w:rsidR="00FD37A3" w:rsidRDefault="0072500C">
      <w:pPr>
        <w:pStyle w:val="FootnoteText"/>
        <w:spacing w:after="120"/>
        <w:ind w:left="397" w:hanging="397"/>
      </w:pPr>
      <w:r>
        <w:rPr>
          <w:rStyle w:val="FootnoteReference"/>
        </w:rPr>
        <w:footnoteRef/>
      </w:r>
      <w:r>
        <w:rPr>
          <w:vertAlign w:val="superscript"/>
        </w:rPr>
        <w:tab/>
      </w:r>
      <w:r>
        <w:t xml:space="preserve">COM(2018) 323 final. </w:t>
      </w:r>
    </w:p>
  </w:footnote>
  <w:footnote w:id="10">
    <w:p w:rsidR="00FD37A3" w:rsidRDefault="0072500C">
      <w:pPr>
        <w:pStyle w:val="FootnoteText"/>
        <w:spacing w:after="120"/>
        <w:ind w:left="397" w:hanging="397"/>
      </w:pPr>
      <w:r>
        <w:rPr>
          <w:rStyle w:val="FootnoteReference"/>
        </w:rPr>
        <w:footnoteRef/>
      </w:r>
      <w:r>
        <w:tab/>
        <w:t>Sklep št. 1082/2013/EU Evropskega parlamenta in Sveta z dn</w:t>
      </w:r>
      <w:r>
        <w:t>e 22. oktobra 2013 o resnih čezmejnih nevarnostih za zdravje in o razveljavitvi Odločbe št. 2119/98/ES (</w:t>
      </w:r>
      <w:hyperlink r:id="rId3" w:history="1">
        <w:r>
          <w:rPr>
            <w:rStyle w:val="Hyperlink"/>
          </w:rPr>
          <w:t>UL L 293, 5.11.2013, str. 1</w:t>
        </w:r>
      </w:hyperlink>
      <w:r>
        <w:t>).</w:t>
      </w:r>
    </w:p>
  </w:footnote>
  <w:footnote w:id="11">
    <w:p w:rsidR="00FD37A3" w:rsidRDefault="0072500C">
      <w:pPr>
        <w:pStyle w:val="FootnoteText"/>
        <w:spacing w:after="120"/>
        <w:ind w:left="397" w:hanging="397"/>
      </w:pPr>
      <w:r>
        <w:rPr>
          <w:rStyle w:val="FootnoteReference"/>
        </w:rPr>
        <w:footnoteRef/>
      </w:r>
      <w:r>
        <w:tab/>
        <w:t>Predlog uredbe Evropskega parlame</w:t>
      </w:r>
      <w:r>
        <w:t>nta in Sveta o vrednotenju zdravstvenih tehnologij in spremembi Direktive 2011/24/EU,</w:t>
      </w:r>
      <w:r>
        <w:rPr>
          <w:rFonts w:ascii="Arial" w:hAnsi="Arial"/>
          <w:sz w:val="30"/>
          <w:szCs w:val="30"/>
        </w:rPr>
        <w:t xml:space="preserve"> </w:t>
      </w:r>
      <w:r>
        <w:t>COM(2018) 51 final z dne 31. januarja 2018.</w:t>
      </w:r>
    </w:p>
  </w:footnote>
  <w:footnote w:id="12">
    <w:p w:rsidR="00FD37A3" w:rsidRDefault="0072500C">
      <w:pPr>
        <w:spacing w:before="0"/>
        <w:ind w:left="397" w:hanging="397"/>
        <w:rPr>
          <w:sz w:val="20"/>
          <w:szCs w:val="20"/>
        </w:rPr>
      </w:pPr>
      <w:r>
        <w:rPr>
          <w:rStyle w:val="FootnoteReference"/>
        </w:rPr>
        <w:footnoteRef/>
      </w:r>
      <w:r>
        <w:rPr>
          <w:sz w:val="20"/>
        </w:rPr>
        <w:tab/>
      </w:r>
      <w:r>
        <w:rPr>
          <w:sz w:val="20"/>
          <w:szCs w:val="20"/>
        </w:rPr>
        <w:t>Sklepi Sveta o skupnih vrednotah in načelih zdravstvenih sistemov Evropske unije (</w:t>
      </w:r>
      <w:hyperlink r:id="rId4" w:history="1">
        <w:r>
          <w:rPr>
            <w:rStyle w:val="Hyperlink"/>
            <w:sz w:val="20"/>
          </w:rPr>
          <w:t>UL C 146, 22.6.2006, str. 1</w:t>
        </w:r>
      </w:hyperlink>
      <w:r>
        <w:rPr>
          <w:sz w:val="20"/>
          <w:szCs w:val="20"/>
        </w:rPr>
        <w:t>).</w:t>
      </w:r>
    </w:p>
  </w:footnote>
  <w:footnote w:id="13">
    <w:p w:rsidR="00FD37A3" w:rsidRDefault="0072500C">
      <w:pPr>
        <w:pStyle w:val="NoSpacing"/>
        <w:spacing w:after="120"/>
        <w:ind w:left="397" w:hanging="397"/>
        <w:rPr>
          <w:lang w:val="sl-SI"/>
        </w:rPr>
      </w:pPr>
      <w:r>
        <w:rPr>
          <w:rStyle w:val="FootnoteReference"/>
        </w:rPr>
        <w:footnoteRef/>
      </w:r>
      <w:r>
        <w:rPr>
          <w:sz w:val="20"/>
          <w:lang w:val="sl-SI"/>
        </w:rPr>
        <w:tab/>
        <w:t>Sporočilo Komisije Evropskemu parlamentu, Svetu, Evropskemu ekonomsko-socialnemu odboru in Odboru regij o novih ukrepih za trajnostno priho</w:t>
      </w:r>
      <w:r>
        <w:rPr>
          <w:sz w:val="20"/>
          <w:lang w:val="sl-SI"/>
        </w:rPr>
        <w:t>dnost Evrope. Evropsko ukrepanje za trajnost COM(2016) 739 final z dne 22. novembra 2016</w:t>
      </w:r>
      <w:r>
        <w:rPr>
          <w:sz w:val="20"/>
          <w:szCs w:val="20"/>
          <w:lang w:val="sl-SI"/>
        </w:rPr>
        <w:t>.</w:t>
      </w:r>
    </w:p>
  </w:footnote>
  <w:footnote w:id="14">
    <w:p w:rsidR="00FD37A3" w:rsidRDefault="0072500C">
      <w:pPr>
        <w:pStyle w:val="NormalWeb"/>
        <w:spacing w:before="0" w:beforeAutospacing="0" w:after="120" w:afterAutospacing="0"/>
        <w:ind w:left="397" w:hanging="397"/>
        <w:jc w:val="both"/>
      </w:pPr>
      <w:r>
        <w:rPr>
          <w:rStyle w:val="FootnoteReference"/>
        </w:rPr>
        <w:footnoteRef/>
      </w:r>
      <w:r>
        <w:tab/>
      </w:r>
      <w:r>
        <w:rPr>
          <w:sz w:val="20"/>
          <w:szCs w:val="20"/>
        </w:rPr>
        <w:t>Sporočilo Komisije Svetu in Evropskemu parlamentu o evropskem akcijskem načrtu „eno zdravje“ zoper odpornost proti antimikrobikom, COM(2017) 339 final z dne 29. jun</w:t>
      </w:r>
      <w:r>
        <w:rPr>
          <w:sz w:val="20"/>
          <w:szCs w:val="20"/>
        </w:rPr>
        <w:t>ija 2017.</w:t>
      </w:r>
    </w:p>
    <w:p w:rsidR="00FD37A3" w:rsidRDefault="00FD37A3">
      <w:pPr>
        <w:pStyle w:val="FootnoteText"/>
        <w:ind w:left="397" w:hanging="397"/>
      </w:pPr>
    </w:p>
  </w:footnote>
  <w:footnote w:id="15">
    <w:p w:rsidR="00FD37A3" w:rsidRDefault="0072500C">
      <w:pPr>
        <w:pStyle w:val="FootnoteText"/>
        <w:spacing w:after="120"/>
        <w:ind w:left="397" w:hanging="397"/>
      </w:pPr>
      <w:r>
        <w:rPr>
          <w:rStyle w:val="FootnoteReference"/>
        </w:rPr>
        <w:footnoteRef/>
      </w:r>
      <w:r>
        <w:tab/>
        <w:t>Sporočilo Komisije Evropskemu parlamentu, Svetu in Evropskemu ekonomsko-socialnemu odboru o strateškem pristopu Evropske unije k farmacevtskim izdelkom v okolju, COM(2019) 128 final z dne 11. marca 2019.</w:t>
      </w:r>
    </w:p>
  </w:footnote>
  <w:footnote w:id="16">
    <w:p w:rsidR="00FD37A3" w:rsidRDefault="0072500C">
      <w:pPr>
        <w:pStyle w:val="NoSpacing"/>
        <w:spacing w:after="120"/>
        <w:ind w:left="397" w:hanging="397"/>
        <w:rPr>
          <w:sz w:val="20"/>
          <w:szCs w:val="20"/>
          <w:lang w:val="sl-SI"/>
        </w:rPr>
      </w:pPr>
      <w:r>
        <w:rPr>
          <w:rStyle w:val="FootnoteReference"/>
        </w:rPr>
        <w:footnoteRef/>
      </w:r>
      <w:r>
        <w:rPr>
          <w:sz w:val="20"/>
          <w:szCs w:val="20"/>
          <w:lang w:val="sl-SI"/>
        </w:rPr>
        <w:tab/>
        <w:t>Direktiva 2011/24/EU Evropskega parla</w:t>
      </w:r>
      <w:r>
        <w:rPr>
          <w:sz w:val="20"/>
          <w:szCs w:val="20"/>
          <w:lang w:val="sl-SI"/>
        </w:rPr>
        <w:t>menta in Sveta z dne 9. marca 2011 o uveljavljanju pravic pacientov pri čezmejnem zdravstvenem varstvu (UL L 88, 4.4.2011, str. 45).</w:t>
      </w:r>
    </w:p>
  </w:footnote>
  <w:footnote w:id="17">
    <w:p w:rsidR="00FD37A3" w:rsidRDefault="0072500C">
      <w:pPr>
        <w:pStyle w:val="FootnoteText"/>
        <w:spacing w:after="120"/>
        <w:ind w:left="397" w:hanging="397"/>
      </w:pPr>
      <w:r>
        <w:rPr>
          <w:rStyle w:val="FootnoteReference"/>
        </w:rPr>
        <w:footnoteRef/>
      </w:r>
      <w:r>
        <w:tab/>
        <w:t>Uredba (EU, Euratom) 2018/1046 Evropskega parlamenta in Sveta z dne 18. julija 2018 o finančnih pravilih, ki se uporablja</w:t>
      </w:r>
      <w:r>
        <w:t>jo za splošni proračun Unije, spremembi uredb (EU) št. 1296/2013, (EU) št. 1301/2013, (EU) št. 1303/2013, (EU) št. 1304/2013, (EU) št. 1309/2013, (EU) št. 1316/2013, (EU) št. 223/2014, (EU) št. 283/2014 in Sklepa št. 541/2014/EU ter razveljavitvi Uredbe (E</w:t>
      </w:r>
      <w:r>
        <w:t>U, Euratom) št. 966/2012 (UL L 193, 30.7.2018, str. 1).</w:t>
      </w:r>
    </w:p>
  </w:footnote>
  <w:footnote w:id="18">
    <w:p w:rsidR="00FD37A3" w:rsidRDefault="0072500C">
      <w:pPr>
        <w:pStyle w:val="NormalWeb"/>
        <w:spacing w:before="0" w:beforeAutospacing="0" w:after="120" w:afterAutospacing="0"/>
        <w:ind w:left="397" w:hanging="397"/>
        <w:jc w:val="both"/>
      </w:pPr>
      <w:r>
        <w:rPr>
          <w:rStyle w:val="FootnoteReference"/>
          <w:rFonts w:eastAsiaTheme="majorEastAsia"/>
        </w:rPr>
        <w:footnoteRef/>
      </w:r>
      <w:r>
        <w:rPr>
          <w:sz w:val="20"/>
          <w:szCs w:val="20"/>
        </w:rPr>
        <w:tab/>
        <w:t>Izvedbeni sklep Komisije 2014/287/EU z dne 10. marca 2014 o določitvi meril za ustanavljanje in vrednotenje evropskih referenčnih mrež in njihovih članov ter za lažjo izmenjavo informacij in strokov</w:t>
      </w:r>
      <w:r>
        <w:rPr>
          <w:sz w:val="20"/>
          <w:szCs w:val="20"/>
        </w:rPr>
        <w:t>nega znanja o ustanavljanju in vrednotenju takih mrež (UL L 147, 17.5.2014, str. 79).</w:t>
      </w:r>
    </w:p>
  </w:footnote>
  <w:footnote w:id="19">
    <w:p w:rsidR="00FD37A3" w:rsidRDefault="0072500C">
      <w:pPr>
        <w:pStyle w:val="FootnoteText"/>
        <w:spacing w:after="120"/>
        <w:ind w:left="397" w:hanging="397"/>
      </w:pPr>
      <w:r>
        <w:rPr>
          <w:rStyle w:val="FootnoteReference"/>
        </w:rPr>
        <w:footnoteRef/>
      </w:r>
      <w:r>
        <w:tab/>
        <w:t>Sklepi Sveta o vlogi EU na področju zdravja v svetu, 3011. seja Sveta za zunanje zadeve, Bruselj, 10. maj 2010.</w:t>
      </w:r>
    </w:p>
  </w:footnote>
  <w:footnote w:id="20">
    <w:p w:rsidR="00FD37A3" w:rsidRDefault="0072500C">
      <w:pPr>
        <w:pStyle w:val="FootnoteText"/>
        <w:spacing w:after="120"/>
        <w:ind w:left="397" w:hanging="397"/>
      </w:pPr>
      <w:r>
        <w:rPr>
          <w:rStyle w:val="FootnoteReference"/>
        </w:rPr>
        <w:footnoteRef/>
      </w:r>
      <w:r>
        <w:tab/>
        <w:t>Sklep Sveta 2013/755/EU z dne 25. novembra 2013 o prid</w:t>
      </w:r>
      <w:r>
        <w:t>ružitvi čezmorskih držav in ozemelj Evropski uniji (Sklep o pridružitvi čezmorskih držav in ozemelj) (UL L 344, 19.12.2013, str. 1).</w:t>
      </w:r>
    </w:p>
  </w:footnote>
  <w:footnote w:id="21">
    <w:p w:rsidR="00FD37A3" w:rsidRDefault="0072500C">
      <w:pPr>
        <w:pStyle w:val="FootnoteText"/>
        <w:spacing w:after="120"/>
        <w:ind w:left="397" w:hanging="397"/>
      </w:pPr>
      <w:r>
        <w:rPr>
          <w:rStyle w:val="FootnoteReference"/>
        </w:rPr>
        <w:footnoteRef/>
      </w:r>
      <w:r>
        <w:tab/>
        <w:t xml:space="preserve">Uredba (EU, Euratom) št. 883/2013 Evropskega parlamenta in Sveta z dne 11. septembra 2013 o preiskavah, ki jih izvaja </w:t>
      </w:r>
      <w:r>
        <w:t>Evropski urad za boj proti goljufijam (OLAF), ter razveljavitvi Uredbe (ES) št. 1073/1999 Evropskega parlamenta in Sveta in Uredbe Sveta (Euratom) št. 1074/1999 (UL L 248, 18.9.2013, str. 1).</w:t>
      </w:r>
    </w:p>
  </w:footnote>
  <w:footnote w:id="22">
    <w:p w:rsidR="00FD37A3" w:rsidRDefault="0072500C">
      <w:pPr>
        <w:pStyle w:val="FootnoteText"/>
        <w:spacing w:after="120"/>
        <w:ind w:left="397" w:hanging="397"/>
      </w:pPr>
      <w:r>
        <w:rPr>
          <w:rStyle w:val="FootnoteReference"/>
        </w:rPr>
        <w:footnoteRef/>
      </w:r>
      <w:r>
        <w:tab/>
        <w:t>Uredba Sveta (ES, Euratom) št. 2988/95 z dne 18. decembra 1995</w:t>
      </w:r>
      <w:r>
        <w:t xml:space="preserve"> o zaščiti finančnih interesov Evropskih skupnosti (UL L 312, 23.12.1995, str. 1).</w:t>
      </w:r>
    </w:p>
  </w:footnote>
  <w:footnote w:id="23">
    <w:p w:rsidR="00FD37A3" w:rsidRDefault="0072500C">
      <w:pPr>
        <w:pStyle w:val="FootnoteText"/>
        <w:spacing w:after="120"/>
        <w:ind w:left="397" w:hanging="397"/>
      </w:pPr>
      <w:r>
        <w:rPr>
          <w:rStyle w:val="FootnoteReference"/>
        </w:rPr>
        <w:footnoteRef/>
      </w:r>
      <w:r>
        <w:tab/>
        <w:t>Uredba Sveta (Euratom, ES) št. 2185/96 z dne 11. novembra 1996 o pregledih in inšpekcijah na kraju samem, ki jih opravlja Komisija za zaščito finančnih interesov Evropskih</w:t>
      </w:r>
      <w:r>
        <w:t xml:space="preserve"> skupnosti pred goljufijami in drugimi nepravilnostmi (UL L 292, 15.11.1996, str. 2).</w:t>
      </w:r>
    </w:p>
  </w:footnote>
  <w:footnote w:id="24">
    <w:p w:rsidR="00FD37A3" w:rsidRDefault="0072500C">
      <w:pPr>
        <w:pStyle w:val="FootnoteText"/>
        <w:spacing w:after="120"/>
        <w:ind w:left="397" w:hanging="397"/>
      </w:pPr>
      <w:r>
        <w:rPr>
          <w:rStyle w:val="FootnoteReference"/>
        </w:rPr>
        <w:footnoteRef/>
      </w:r>
      <w:r>
        <w:tab/>
        <w:t>Uredba Sveta (EU) 2017/1939 z dne 12. oktobra 2017 o izvajanju okrepljenega sodelovanja v zvezi z ustanovitvijo Evropskega javnega tožilstva (EJT) (UL L 283, 31.10.2017</w:t>
      </w:r>
      <w:r>
        <w:t>, str. 1).</w:t>
      </w:r>
    </w:p>
  </w:footnote>
  <w:footnote w:id="25">
    <w:p w:rsidR="00FD37A3" w:rsidRDefault="0072500C">
      <w:pPr>
        <w:pStyle w:val="FootnoteText"/>
        <w:spacing w:after="120"/>
        <w:ind w:left="397" w:hanging="397"/>
      </w:pPr>
      <w:r>
        <w:rPr>
          <w:rStyle w:val="FootnoteReference"/>
        </w:rPr>
        <w:footnoteRef/>
      </w:r>
      <w:r>
        <w:tab/>
        <w:t>Direktiva (EU) 2017/1371 Evropskega parlamenta in Sveta z dne 5. julija 2017 o boju proti goljufijam, ki škodijo finančnim interesom Unije, z uporabo kazenskega prava (UL L 198, 28.7.2017, str. 29).</w:t>
      </w:r>
    </w:p>
  </w:footnote>
  <w:footnote w:id="26">
    <w:p w:rsidR="00FD37A3" w:rsidRDefault="0072500C">
      <w:pPr>
        <w:pStyle w:val="FootnoteText"/>
        <w:spacing w:after="120"/>
        <w:ind w:left="397" w:hanging="397"/>
      </w:pPr>
      <w:r>
        <w:rPr>
          <w:rStyle w:val="FootnoteReference"/>
        </w:rPr>
        <w:footnoteRef/>
      </w:r>
      <w:r>
        <w:tab/>
        <w:t>UL L 123, 12.5.2016, str. 13.</w:t>
      </w:r>
    </w:p>
  </w:footnote>
  <w:footnote w:id="27">
    <w:p w:rsidR="00FD37A3" w:rsidRDefault="0072500C">
      <w:pPr>
        <w:pStyle w:val="FootnoteText"/>
        <w:spacing w:after="120"/>
        <w:ind w:left="397" w:hanging="397"/>
      </w:pPr>
      <w:r>
        <w:rPr>
          <w:rStyle w:val="FootnoteReference"/>
        </w:rPr>
        <w:footnoteRef/>
      </w:r>
      <w:r>
        <w:tab/>
        <w:t>Uredba (EU</w:t>
      </w:r>
      <w:r>
        <w:t>) št. 182/2011 Evropskega parlamenta in Sveta z dne 16. februarja 2011 o določitvi splošnih pravil in načel, na podlagi katerih države članice nadzirajo izvajanje izvedbenih pooblastil Komisije (UL L 55, 28.2.2011, str. 13).</w:t>
      </w:r>
    </w:p>
  </w:footnote>
  <w:footnote w:id="28">
    <w:p w:rsidR="00FD37A3" w:rsidRDefault="0072500C">
      <w:pPr>
        <w:pStyle w:val="FootnoteText"/>
        <w:ind w:left="397" w:hanging="397"/>
      </w:pPr>
      <w:r>
        <w:rPr>
          <w:rStyle w:val="FootnoteReference"/>
        </w:rPr>
        <w:footnoteRef/>
      </w:r>
      <w:r>
        <w:tab/>
        <w:t>………..</w:t>
      </w:r>
    </w:p>
  </w:footnote>
  <w:footnote w:id="29">
    <w:p w:rsidR="00FD37A3" w:rsidRDefault="0072500C">
      <w:pPr>
        <w:pStyle w:val="FootnoteText"/>
        <w:rPr>
          <w:szCs w:val="24"/>
        </w:rPr>
      </w:pPr>
      <w:r>
        <w:rPr>
          <w:rStyle w:val="FootnoteReference"/>
        </w:rPr>
        <w:footnoteRef/>
      </w:r>
      <w:r>
        <w:tab/>
        <w:t>Po členu 54(2)(a) oz.</w:t>
      </w:r>
      <w:r>
        <w:t xml:space="preserve"> (b) finančne uredbe.</w:t>
      </w:r>
    </w:p>
  </w:footnote>
  <w:footnote w:id="30">
    <w:p w:rsidR="00FD37A3" w:rsidRDefault="0072500C">
      <w:pPr>
        <w:pStyle w:val="FootnoteText"/>
        <w:jc w:val="left"/>
        <w:rPr>
          <w:szCs w:val="24"/>
        </w:rPr>
      </w:pPr>
      <w:r>
        <w:rPr>
          <w:rStyle w:val="FootnoteReference"/>
        </w:rPr>
        <w:footnoteRef/>
      </w:r>
      <w:r>
        <w:tab/>
        <w:t xml:space="preserve">Pojasnila o načinih upravljanja in sklici na finančno uredbo so na voljo na spletišču BudgWeb: </w:t>
      </w:r>
      <w:hyperlink r:id="rId5" w:history="1">
        <w:r>
          <w:rPr>
            <w:rStyle w:val="Hyperlink"/>
          </w:rPr>
          <w:t>https://myintracomm.ec.europa.eu/budgweb/E</w:t>
        </w:r>
        <w:r>
          <w:rPr>
            <w:rStyle w:val="Hyperlink"/>
          </w:rPr>
          <w:t>N/man/budgmanag/Pages/budgmanag.aspx</w:t>
        </w:r>
      </w:hyperlink>
      <w:r>
        <w:t xml:space="preserve">. </w:t>
      </w:r>
    </w:p>
  </w:footnote>
  <w:footnote w:id="31">
    <w:p w:rsidR="00FD37A3" w:rsidRDefault="0072500C">
      <w:pPr>
        <w:pStyle w:val="FootnoteText"/>
        <w:rPr>
          <w:szCs w:val="24"/>
        </w:rPr>
      </w:pPr>
      <w:r>
        <w:rPr>
          <w:rStyle w:val="FootnoteReference"/>
        </w:rPr>
        <w:footnoteRef/>
      </w:r>
      <w:r>
        <w:tab/>
        <w:t>Tehnična in/ali upravna pomoč ter odhodki za podporo izvajanja programov in/ali ukrepov EU (prej vrstice BA), posredne raziskave, neposredne raziskave. Ta znesek vključuje morebitni prispevek za izvajalsko agencijo.</w:t>
      </w:r>
      <w:r>
        <w:t xml:space="preserve"> </w:t>
      </w:r>
    </w:p>
  </w:footnote>
  <w:footnote w:id="32">
    <w:p w:rsidR="00FD37A3" w:rsidRDefault="0072500C">
      <w:pPr>
        <w:pStyle w:val="FootnoteText"/>
        <w:rPr>
          <w:szCs w:val="24"/>
        </w:rPr>
      </w:pPr>
      <w:r>
        <w:rPr>
          <w:rStyle w:val="FootnoteReference"/>
        </w:rPr>
        <w:footnoteRef/>
      </w:r>
      <w:r>
        <w:tab/>
        <w:t>Tehnična in/ali upravna pomoč ter odhodki za podporo izvajanja programov in/ali ukrepov EU (prej vrstice BA), posredne raziskave, neposredne raziskave.</w:t>
      </w:r>
    </w:p>
  </w:footnote>
  <w:footnote w:id="33">
    <w:p w:rsidR="00FD37A3" w:rsidRDefault="0072500C">
      <w:pPr>
        <w:pStyle w:val="FootnoteText"/>
      </w:pPr>
      <w:r>
        <w:rPr>
          <w:rStyle w:val="FootnoteReference"/>
        </w:rPr>
        <w:footnoteRef/>
      </w:r>
      <w:r>
        <w:tab/>
        <w:t>Namenski prejemki.</w:t>
      </w:r>
    </w:p>
  </w:footnote>
  <w:footnote w:id="34">
    <w:p w:rsidR="00FD37A3" w:rsidRDefault="0072500C">
      <w:pPr>
        <w:pStyle w:val="FootnoteText"/>
        <w:rPr>
          <w:szCs w:val="24"/>
        </w:rPr>
      </w:pPr>
      <w:r>
        <w:rPr>
          <w:rStyle w:val="FootnoteReference"/>
        </w:rPr>
        <w:footnoteRef/>
      </w:r>
      <w:r>
        <w:tab/>
      </w:r>
      <w:r>
        <w:t xml:space="preserve">PU = pogodbeni uslužbenec; LU = lokalni uslužbenec; NNS = napoteni nacionalni strokovnjak; ZU = začasni uslužbenec; MSD = mladi strokovnjak na delegaciji. </w:t>
      </w:r>
    </w:p>
  </w:footnote>
  <w:footnote w:id="35">
    <w:p w:rsidR="00FD37A3" w:rsidRDefault="0072500C">
      <w:pPr>
        <w:pStyle w:val="FootnoteText"/>
        <w:rPr>
          <w:szCs w:val="24"/>
        </w:rPr>
      </w:pPr>
      <w:r>
        <w:rPr>
          <w:rStyle w:val="FootnoteReference"/>
        </w:rPr>
        <w:footnoteRef/>
      </w:r>
      <w:r>
        <w:tab/>
        <w:t>Dodatna zgornja meja za zunanje sodelavce v okviru odobritev za poslovanje (prej vrstice BA).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FD37A3">
    <w:pPr>
      <w:pStyle w:val="HeaderLandscap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FD37A3">
    <w:pPr>
      <w:pStyle w:val="HeaderLandscap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FD37A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7A3" w:rsidRDefault="00FD37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8"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0"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4"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5"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6"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19"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3"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5"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7"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2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18"/>
  </w:num>
  <w:num w:numId="3">
    <w:abstractNumId w:val="7"/>
  </w:num>
  <w:num w:numId="4">
    <w:abstractNumId w:val="15"/>
  </w:num>
  <w:num w:numId="5">
    <w:abstractNumId w:val="14"/>
  </w:num>
  <w:num w:numId="6">
    <w:abstractNumId w:val="25"/>
  </w:num>
  <w:num w:numId="7">
    <w:abstractNumId w:val="22"/>
  </w:num>
  <w:num w:numId="8">
    <w:abstractNumId w:val="26"/>
  </w:num>
  <w:num w:numId="9">
    <w:abstractNumId w:val="27"/>
  </w:num>
  <w:num w:numId="10">
    <w:abstractNumId w:val="1"/>
  </w:num>
  <w:num w:numId="11">
    <w:abstractNumId w:val="9"/>
  </w:num>
  <w:num w:numId="12">
    <w:abstractNumId w:val="2"/>
  </w:num>
  <w:num w:numId="13">
    <w:abstractNumId w:val="10"/>
  </w:num>
  <w:num w:numId="14">
    <w:abstractNumId w:val="8"/>
  </w:num>
  <w:num w:numId="15">
    <w:abstractNumId w:val="16"/>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num>
  <w:num w:numId="18">
    <w:abstractNumId w:val="28"/>
    <w:lvlOverride w:ilvl="0">
      <w:startOverride w:val="1"/>
    </w:lvlOverride>
  </w:num>
  <w:num w:numId="19">
    <w:abstractNumId w:val="11"/>
    <w:lvlOverride w:ilvl="0">
      <w:startOverride w:val="1"/>
    </w:lvlOverride>
  </w:num>
  <w:num w:numId="20">
    <w:abstractNumId w:val="11"/>
  </w:num>
  <w:num w:numId="21">
    <w:abstractNumId w:val="24"/>
  </w:num>
  <w:num w:numId="22">
    <w:abstractNumId w:val="23"/>
  </w:num>
  <w:num w:numId="23">
    <w:abstractNumId w:val="28"/>
  </w:num>
  <w:num w:numId="24">
    <w:abstractNumId w:val="21"/>
  </w:num>
  <w:num w:numId="25">
    <w:abstractNumId w:val="11"/>
  </w:num>
  <w:num w:numId="26">
    <w:abstractNumId w:val="24"/>
  </w:num>
  <w:num w:numId="27">
    <w:abstractNumId w:val="6"/>
  </w:num>
  <w:num w:numId="28">
    <w:abstractNumId w:val="12"/>
  </w:num>
  <w:num w:numId="29">
    <w:abstractNumId w:val="4"/>
  </w:num>
  <w:num w:numId="30">
    <w:abstractNumId w:val="23"/>
  </w:num>
  <w:num w:numId="31">
    <w:abstractNumId w:val="3"/>
  </w:num>
  <w:num w:numId="32">
    <w:abstractNumId w:val="13"/>
  </w:num>
  <w:num w:numId="33">
    <w:abstractNumId w:val="19"/>
  </w:num>
  <w:num w:numId="34">
    <w:abstractNumId w:val="20"/>
  </w:num>
  <w:num w:numId="35">
    <w:abstractNumId w:val="5"/>
  </w:num>
  <w:num w:numId="36">
    <w:abstractNumId w:val="17"/>
  </w:num>
  <w:num w:numId="37">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defaultTabStop w:val="720"/>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0-06-02 09:18:08"/>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29"/>
    <w:docVar w:name="DQCResult_ModifiedMarkers" w:val="0;0"/>
    <w:docVar w:name="DQCResult_ModifiedNumbering" w:val="0;0"/>
    <w:docVar w:name="DQCResult_Objects" w:val="0;0"/>
    <w:docVar w:name="DQCResult_Sections" w:val="0;0"/>
    <w:docVar w:name="DQCResult_StructureCheck" w:val="0;0"/>
    <w:docVar w:name="DQCResult_SuperfluousWhitespace" w:val="0;44"/>
    <w:docVar w:name="DQCResult_UnknownFonts" w:val="0;0"/>
    <w:docVar w:name="DQCResult_UnknownStyles" w:val="0;5"/>
    <w:docVar w:name="DQCStatus" w:val="Yellow"/>
    <w:docVar w:name="DQCVersion" w:val="3"/>
    <w:docVar w:name="DQCWithWarnings" w:val="0"/>
    <w:docVar w:name="LW_CORRIGENDUM" w:val="&lt;UNUSED&gt;"/>
    <w:docVar w:name="LW_COVERPAGE_EXISTS" w:val="True"/>
    <w:docVar w:name="LW_COVERPAGE_GUID" w:val="A50E6DBA-2239-4391-86B5-BC2B9D8A94F2"/>
    <w:docVar w:name="LW_COVERPAGE_TYPE" w:val="1"/>
    <w:docVar w:name="LW_CROSSREFERENCE" w:val="&lt;UNUSED&gt;"/>
    <w:docVar w:name="LW_DocType" w:val="COM"/>
    <w:docVar w:name="LW_EMISSION" w:val="28.5.2020"/>
    <w:docVar w:name="LW_EMISSION_ISODATE" w:val="2020-05-28"/>
    <w:docVar w:name="LW_EMISSION_LOCATION" w:val="BRX"/>
    <w:docVar w:name="LW_EMISSION_PREFIX" w:val="Bruselj, "/>
    <w:docVar w:name="LW_EMISSION_SUFFIX" w:val=" "/>
    <w:docVar w:name="LW_ID_DOCMODEL" w:val="SJ-023"/>
    <w:docVar w:name="LW_ID_DOCSIGNATURE" w:val="SJ-023"/>
    <w:docVar w:name="LW_ID_DOCSTRUCTURE" w:val="COM/PL/ORG"/>
    <w:docVar w:name="LW_ID_DOCTYPE" w:val="SJ-023"/>
    <w:docVar w:name="LW_ID_EXP.MOTIFS.NEW" w:val="EM_PL_"/>
    <w:docVar w:name="LW_ID_STATUT" w:val="SJ-023"/>
    <w:docVar w:name="LW_INTERETEEE.CP" w:val="(Besedilo velja za EGP)"/>
    <w:docVar w:name="LW_LANGUE" w:val="SL"/>
    <w:docVar w:name="LW_LEVEL_OF_SENSITIVITY" w:val="Standard treatment"/>
    <w:docVar w:name="LW_NOM.INST" w:val="EVROPSKA KOMISIJA"/>
    <w:docVar w:name="LW_NOM.INST_JOINTDOC" w:val="&lt;EMPTY&gt;"/>
    <w:docVar w:name="LW_PART_NBR" w:val="1"/>
    <w:docVar w:name="LW_PART_NBR_TOTAL" w:val="1"/>
    <w:docVar w:name="LW_REF.II.NEW.CP" w:val="COD"/>
    <w:docVar w:name="LW_REF.II.NEW.CP_NUMBER" w:val="0102"/>
    <w:docVar w:name="LW_REF.II.NEW.CP_YEAR" w:val="2020"/>
    <w:docVar w:name="LW_REF.INST.NEW" w:val="COM"/>
    <w:docVar w:name="LW_REF.INST.NEW_ADOPTED" w:val="final"/>
    <w:docVar w:name="LW_REF.INST.NEW_TEXT" w:val="(2020) 40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edlog"/>
    <w:docVar w:name="LW_SUPERTITRE" w:val="&lt;UNUSED&gt;"/>
    <w:docVar w:name="LW_TITRE.OBJ.CP" w:val="o vzpostavitvi programa za ukrepe Unije na podro\u269?ju zdravja za obdobje 2021\u8211?2027 in razveljavitvi Uredbe (EU) \u353?t. 282/2014 (\u8222?Program EU za zdravje\u8220?)"/>
    <w:docVar w:name="LW_TYPE.DOC.CP" w:val="UREDBA EVROPSKEGA PARLAMENTA IN SVETA"/>
  </w:docVars>
  <w:rsids>
    <w:rsidRoot w:val="00FD37A3"/>
    <w:rsid w:val="0072500C"/>
    <w:rsid w:val="00FD3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DC62510B-EDDB-4791-A38F-19520B34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l-SI"/>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pPr>
      <w:numPr>
        <w:numId w:val="2"/>
      </w:numPr>
    </w:pPr>
    <w:rPr>
      <w:rFonts w:eastAsia="Times New Roman"/>
      <w:lang w:eastAsia="de-DE"/>
    </w:rPr>
  </w:style>
  <w:style w:type="paragraph" w:styleId="ListNumber">
    <w:name w:val="List Number"/>
    <w:basedOn w:val="Normal"/>
    <w:pPr>
      <w:numPr>
        <w:numId w:val="6"/>
      </w:numPr>
    </w:pPr>
    <w:rPr>
      <w:rFonts w:eastAsia="Times New Roman"/>
      <w:lang w:eastAsia="de-DE"/>
    </w:rPr>
  </w:style>
  <w:style w:type="paragraph" w:customStyle="1" w:styleId="ListBullet1">
    <w:name w:val="List Bullet 1"/>
    <w:basedOn w:val="Normal"/>
    <w:pPr>
      <w:numPr>
        <w:numId w:val="1"/>
      </w:numPr>
    </w:pPr>
    <w:rPr>
      <w:rFonts w:eastAsia="Times New Roman"/>
      <w:lang w:eastAsia="de-DE"/>
    </w:rPr>
  </w:style>
  <w:style w:type="paragraph" w:customStyle="1" w:styleId="ListDash">
    <w:name w:val="List Dash"/>
    <w:basedOn w:val="Normal"/>
    <w:pPr>
      <w:numPr>
        <w:numId w:val="3"/>
      </w:numPr>
    </w:pPr>
    <w:rPr>
      <w:rFonts w:eastAsia="Times New Roman"/>
      <w:lang w:eastAsia="de-DE"/>
    </w:rPr>
  </w:style>
  <w:style w:type="paragraph" w:customStyle="1" w:styleId="ListDash1">
    <w:name w:val="List Dash 1"/>
    <w:basedOn w:val="Normal"/>
    <w:pPr>
      <w:numPr>
        <w:numId w:val="4"/>
      </w:numPr>
    </w:pPr>
    <w:rPr>
      <w:rFonts w:eastAsia="Times New Roman"/>
      <w:lang w:eastAsia="de-DE"/>
    </w:rPr>
  </w:style>
  <w:style w:type="paragraph" w:customStyle="1" w:styleId="ListDash2">
    <w:name w:val="List Dash 2"/>
    <w:basedOn w:val="Normal"/>
    <w:pPr>
      <w:numPr>
        <w:numId w:val="5"/>
      </w:numPr>
    </w:pPr>
    <w:rPr>
      <w:rFonts w:eastAsia="Times New Roman"/>
      <w:lang w:eastAsia="de-DE"/>
    </w:rPr>
  </w:style>
  <w:style w:type="paragraph" w:customStyle="1" w:styleId="ListNumberLevel2">
    <w:name w:val="List Number (Level 2)"/>
    <w:basedOn w:val="Normal"/>
    <w:pPr>
      <w:numPr>
        <w:ilvl w:val="1"/>
        <w:numId w:val="6"/>
      </w:numPr>
    </w:pPr>
    <w:rPr>
      <w:rFonts w:eastAsia="Times New Roman"/>
      <w:lang w:eastAsia="de-DE"/>
    </w:rPr>
  </w:style>
  <w:style w:type="paragraph" w:customStyle="1" w:styleId="ListNumberLevel3">
    <w:name w:val="List Number (Level 3)"/>
    <w:basedOn w:val="Normal"/>
    <w:pPr>
      <w:numPr>
        <w:ilvl w:val="2"/>
        <w:numId w:val="6"/>
      </w:numPr>
    </w:pPr>
    <w:rPr>
      <w:rFonts w:eastAsia="Times New Roman"/>
      <w:lang w:eastAsia="de-DE"/>
    </w:rPr>
  </w:style>
  <w:style w:type="paragraph" w:customStyle="1" w:styleId="ListNumberLevel4">
    <w:name w:val="List Number (Level 4)"/>
    <w:basedOn w:val="Normal"/>
    <w:pPr>
      <w:numPr>
        <w:ilvl w:val="3"/>
        <w:numId w:val="6"/>
      </w:numPr>
    </w:pPr>
    <w:rPr>
      <w:rFonts w:eastAsia="Times New Roman"/>
      <w:lang w:eastAsia="de-DE"/>
    </w:rPr>
  </w:style>
  <w:style w:type="table" w:styleId="TableGrid">
    <w:name w:val="Table Grid"/>
    <w:basedOn w:val="TableNormal"/>
    <w:pPr>
      <w:spacing w:before="120" w:after="12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ListBullet">
    <w:name w:val="List Bullet"/>
    <w:basedOn w:val="Normal"/>
    <w:pPr>
      <w:numPr>
        <w:numId w:val="7"/>
      </w:numPr>
    </w:pPr>
    <w:rPr>
      <w:rFonts w:eastAsia="Times New Roman"/>
      <w:lang w:eastAsia="en-GB"/>
    </w:rPr>
  </w:style>
  <w:style w:type="paragraph" w:styleId="ListBullet2">
    <w:name w:val="List Bullet 2"/>
    <w:basedOn w:val="Normal"/>
    <w:pPr>
      <w:numPr>
        <w:numId w:val="8"/>
      </w:numPr>
    </w:pPr>
    <w:rPr>
      <w:rFonts w:eastAsia="Times New Roman"/>
      <w:lang w:eastAsia="en-GB"/>
    </w:rPr>
  </w:style>
  <w:style w:type="paragraph" w:styleId="ListBullet3">
    <w:name w:val="List Bullet 3"/>
    <w:basedOn w:val="Normal"/>
    <w:pPr>
      <w:numPr>
        <w:numId w:val="9"/>
      </w:numPr>
    </w:pPr>
    <w:rPr>
      <w:rFonts w:eastAsia="Times New Roman"/>
      <w:lang w:eastAsia="en-GB"/>
    </w:rPr>
  </w:style>
  <w:style w:type="paragraph" w:styleId="ListNumber2">
    <w:name w:val="List Number 2"/>
    <w:basedOn w:val="Normal"/>
    <w:pPr>
      <w:numPr>
        <w:numId w:val="13"/>
      </w:numPr>
    </w:pPr>
    <w:rPr>
      <w:rFonts w:eastAsia="Times New Roman"/>
      <w:lang w:eastAsia="en-GB"/>
    </w:rPr>
  </w:style>
  <w:style w:type="paragraph" w:styleId="ListNumber3">
    <w:name w:val="List Number 3"/>
    <w:basedOn w:val="Normal"/>
    <w:pPr>
      <w:numPr>
        <w:numId w:val="14"/>
      </w:numPr>
    </w:pPr>
    <w:rPr>
      <w:rFonts w:eastAsia="Times New Roman"/>
      <w:lang w:eastAsia="en-GB"/>
    </w:rPr>
  </w:style>
  <w:style w:type="paragraph" w:styleId="ListNumber4">
    <w:name w:val="List Number 4"/>
    <w:basedOn w:val="Normal"/>
    <w:pPr>
      <w:numPr>
        <w:numId w:val="15"/>
      </w:numPr>
    </w:pPr>
    <w:rPr>
      <w:rFonts w:eastAsia="Times New Roman"/>
      <w:lang w:eastAsia="en-GB"/>
    </w:rPr>
  </w:style>
  <w:style w:type="paragraph" w:customStyle="1" w:styleId="ListDash3">
    <w:name w:val="List Dash 3"/>
    <w:basedOn w:val="Normal"/>
    <w:pPr>
      <w:numPr>
        <w:numId w:val="10"/>
      </w:numPr>
    </w:pPr>
    <w:rPr>
      <w:rFonts w:eastAsia="Times New Roman"/>
      <w:lang w:eastAsia="en-GB"/>
    </w:rPr>
  </w:style>
  <w:style w:type="paragraph" w:customStyle="1" w:styleId="ListDash4">
    <w:name w:val="List Dash 4"/>
    <w:basedOn w:val="Normal"/>
    <w:pPr>
      <w:numPr>
        <w:numId w:val="11"/>
      </w:numPr>
    </w:pPr>
    <w:rPr>
      <w:rFonts w:eastAsia="Times New Roman"/>
      <w:lang w:eastAsia="en-GB"/>
    </w:rPr>
  </w:style>
  <w:style w:type="paragraph" w:customStyle="1" w:styleId="ListNumber1">
    <w:name w:val="List Number 1"/>
    <w:basedOn w:val="Text1"/>
    <w:pPr>
      <w:numPr>
        <w:numId w:val="12"/>
      </w:numPr>
    </w:pPr>
    <w:rPr>
      <w:rFonts w:eastAsia="Times New Roman"/>
      <w:lang w:eastAsia="en-GB"/>
    </w:rPr>
  </w:style>
  <w:style w:type="paragraph" w:customStyle="1" w:styleId="ListNumber1Level2">
    <w:name w:val="List Number 1 (Level 2)"/>
    <w:basedOn w:val="Text1"/>
    <w:pPr>
      <w:numPr>
        <w:ilvl w:val="1"/>
        <w:numId w:val="12"/>
      </w:numPr>
    </w:pPr>
    <w:rPr>
      <w:rFonts w:eastAsia="Times New Roman"/>
      <w:lang w:eastAsia="en-GB"/>
    </w:rPr>
  </w:style>
  <w:style w:type="paragraph" w:customStyle="1" w:styleId="ListNumber2Level2">
    <w:name w:val="List Number 2 (Level 2)"/>
    <w:basedOn w:val="Text2"/>
    <w:pPr>
      <w:numPr>
        <w:ilvl w:val="1"/>
        <w:numId w:val="13"/>
      </w:numPr>
    </w:pPr>
    <w:rPr>
      <w:rFonts w:eastAsia="Times New Roman"/>
      <w:lang w:eastAsia="en-GB"/>
    </w:rPr>
  </w:style>
  <w:style w:type="paragraph" w:customStyle="1" w:styleId="ListNumber3Level2">
    <w:name w:val="List Number 3 (Level 2)"/>
    <w:basedOn w:val="Text3"/>
    <w:pPr>
      <w:numPr>
        <w:ilvl w:val="1"/>
        <w:numId w:val="14"/>
      </w:numPr>
    </w:pPr>
    <w:rPr>
      <w:rFonts w:eastAsia="Times New Roman"/>
      <w:lang w:eastAsia="en-GB"/>
    </w:rPr>
  </w:style>
  <w:style w:type="paragraph" w:customStyle="1" w:styleId="ListNumber4Level2">
    <w:name w:val="List Number 4 (Level 2)"/>
    <w:basedOn w:val="Text4"/>
    <w:pPr>
      <w:numPr>
        <w:ilvl w:val="1"/>
        <w:numId w:val="15"/>
      </w:numPr>
    </w:pPr>
    <w:rPr>
      <w:rFonts w:eastAsia="Times New Roman"/>
      <w:lang w:eastAsia="en-GB"/>
    </w:rPr>
  </w:style>
  <w:style w:type="paragraph" w:customStyle="1" w:styleId="ListNumber1Level3">
    <w:name w:val="List Number 1 (Level 3)"/>
    <w:basedOn w:val="Text1"/>
    <w:pPr>
      <w:numPr>
        <w:ilvl w:val="2"/>
        <w:numId w:val="12"/>
      </w:numPr>
    </w:pPr>
    <w:rPr>
      <w:rFonts w:eastAsia="Times New Roman"/>
      <w:lang w:eastAsia="en-GB"/>
    </w:rPr>
  </w:style>
  <w:style w:type="paragraph" w:customStyle="1" w:styleId="ListNumber2Level3">
    <w:name w:val="List Number 2 (Level 3)"/>
    <w:basedOn w:val="Text2"/>
    <w:pPr>
      <w:numPr>
        <w:ilvl w:val="2"/>
        <w:numId w:val="13"/>
      </w:numPr>
    </w:pPr>
    <w:rPr>
      <w:rFonts w:eastAsia="Times New Roman"/>
      <w:lang w:eastAsia="en-GB"/>
    </w:rPr>
  </w:style>
  <w:style w:type="paragraph" w:customStyle="1" w:styleId="ListNumber3Level3">
    <w:name w:val="List Number 3 (Level 3)"/>
    <w:basedOn w:val="Text3"/>
    <w:pPr>
      <w:numPr>
        <w:ilvl w:val="2"/>
        <w:numId w:val="14"/>
      </w:numPr>
    </w:pPr>
    <w:rPr>
      <w:rFonts w:eastAsia="Times New Roman"/>
      <w:lang w:eastAsia="en-GB"/>
    </w:rPr>
  </w:style>
  <w:style w:type="paragraph" w:customStyle="1" w:styleId="ListNumber4Level3">
    <w:name w:val="List Number 4 (Level 3)"/>
    <w:basedOn w:val="Text4"/>
    <w:pPr>
      <w:numPr>
        <w:ilvl w:val="2"/>
        <w:numId w:val="15"/>
      </w:numPr>
    </w:pPr>
    <w:rPr>
      <w:rFonts w:eastAsia="Times New Roman"/>
      <w:lang w:eastAsia="en-GB"/>
    </w:rPr>
  </w:style>
  <w:style w:type="paragraph" w:customStyle="1" w:styleId="ListNumber1Level4">
    <w:name w:val="List Number 1 (Level 4)"/>
    <w:basedOn w:val="Text1"/>
    <w:pPr>
      <w:numPr>
        <w:ilvl w:val="3"/>
        <w:numId w:val="12"/>
      </w:numPr>
    </w:pPr>
    <w:rPr>
      <w:rFonts w:eastAsia="Times New Roman"/>
      <w:lang w:eastAsia="en-GB"/>
    </w:rPr>
  </w:style>
  <w:style w:type="paragraph" w:customStyle="1" w:styleId="ListNumber2Level4">
    <w:name w:val="List Number 2 (Level 4)"/>
    <w:basedOn w:val="Text2"/>
    <w:pPr>
      <w:numPr>
        <w:ilvl w:val="3"/>
        <w:numId w:val="13"/>
      </w:numPr>
    </w:pPr>
    <w:rPr>
      <w:rFonts w:eastAsia="Times New Roman"/>
      <w:lang w:eastAsia="en-GB"/>
    </w:rPr>
  </w:style>
  <w:style w:type="paragraph" w:customStyle="1" w:styleId="ListNumber3Level4">
    <w:name w:val="List Number 3 (Level 4)"/>
    <w:basedOn w:val="Text3"/>
    <w:pPr>
      <w:numPr>
        <w:ilvl w:val="3"/>
        <w:numId w:val="14"/>
      </w:numPr>
    </w:pPr>
    <w:rPr>
      <w:rFonts w:eastAsia="Times New Roman"/>
      <w:lang w:eastAsia="en-GB"/>
    </w:rPr>
  </w:style>
  <w:style w:type="paragraph" w:customStyle="1" w:styleId="ListNumber4Level4">
    <w:name w:val="List Number 4 (Level 4)"/>
    <w:basedOn w:val="Text4"/>
    <w:pPr>
      <w:numPr>
        <w:ilvl w:val="3"/>
        <w:numId w:val="15"/>
      </w:numPr>
    </w:pPr>
    <w:rPr>
      <w:rFonts w:eastAsia="Times New Roman"/>
      <w:lang w:eastAsia="en-GB"/>
    </w:rPr>
  </w:style>
  <w:style w:type="paragraph" w:customStyle="1" w:styleId="Annexetitreacte">
    <w:name w:val="Annexe titre (acte)"/>
    <w:basedOn w:val="Normal"/>
    <w:next w:val="Normal"/>
    <w:pPr>
      <w:jc w:val="center"/>
    </w:pPr>
    <w:rPr>
      <w:rFonts w:eastAsia="Times New Roman"/>
      <w:b/>
      <w:u w:val="single"/>
      <w:lang w:eastAsia="en-GB"/>
    </w:rPr>
  </w:style>
  <w:style w:type="paragraph" w:customStyle="1" w:styleId="Annexetitreexposglobal">
    <w:name w:val="Annexe titre (exposé global)"/>
    <w:basedOn w:val="Normal"/>
    <w:next w:val="Normal"/>
    <w:pPr>
      <w:jc w:val="center"/>
    </w:pPr>
    <w:rPr>
      <w:rFonts w:eastAsia="Times New Roman"/>
      <w:b/>
      <w:u w:val="single"/>
      <w:lang w:eastAsia="en-GB"/>
    </w:rPr>
  </w:style>
  <w:style w:type="paragraph" w:customStyle="1" w:styleId="Annexetitrefichefinacte">
    <w:name w:val="Annexe titre (fiche fin. acte)"/>
    <w:basedOn w:val="Normal"/>
    <w:next w:val="Normal"/>
    <w:pPr>
      <w:jc w:val="center"/>
    </w:pPr>
    <w:rPr>
      <w:rFonts w:eastAsia="Times New Roman"/>
      <w:b/>
      <w:u w:val="single"/>
      <w:lang w:eastAsia="en-GB"/>
    </w:rPr>
  </w:style>
  <w:style w:type="paragraph" w:customStyle="1" w:styleId="Annexetitrefichefinglobale">
    <w:name w:val="Annexe titre (fiche fin. globale)"/>
    <w:basedOn w:val="Normal"/>
    <w:next w:val="Normal"/>
    <w:pPr>
      <w:jc w:val="center"/>
    </w:pPr>
    <w:rPr>
      <w:rFonts w:eastAsia="Times New Roman"/>
      <w:b/>
      <w:u w:val="single"/>
      <w:lang w:eastAsia="en-GB"/>
    </w:rPr>
  </w:style>
  <w:style w:type="paragraph" w:customStyle="1" w:styleId="Annexetitreglobale">
    <w:name w:val="Annexe titre (globale)"/>
    <w:basedOn w:val="Normal"/>
    <w:next w:val="Normal"/>
    <w:pPr>
      <w:jc w:val="center"/>
    </w:pPr>
    <w:rPr>
      <w:rFonts w:eastAsia="Times New Roman"/>
      <w:b/>
      <w:u w:val="single"/>
      <w:lang w:eastAsia="en-GB"/>
    </w:rPr>
  </w:style>
  <w:style w:type="paragraph" w:customStyle="1" w:styleId="Exposdesmotifstitreglobal">
    <w:name w:val="Exposé des motifs titre (global)"/>
    <w:basedOn w:val="Normal"/>
    <w:next w:val="Normal"/>
    <w:pPr>
      <w:jc w:val="center"/>
    </w:pPr>
    <w:rPr>
      <w:rFonts w:eastAsia="Times New Roman"/>
      <w:b/>
      <w:u w:val="single"/>
      <w:lang w:eastAsia="en-GB"/>
    </w:rPr>
  </w:style>
  <w:style w:type="paragraph" w:customStyle="1" w:styleId="Langueoriginale">
    <w:name w:val="Langue originale"/>
    <w:basedOn w:val="Normal"/>
    <w:pPr>
      <w:spacing w:before="360"/>
      <w:jc w:val="center"/>
    </w:pPr>
    <w:rPr>
      <w:rFonts w:eastAsia="Times New Roman"/>
      <w:caps/>
      <w:lang w:eastAsia="en-GB"/>
    </w:rPr>
  </w:style>
  <w:style w:type="paragraph" w:customStyle="1" w:styleId="Phrasefinale">
    <w:name w:val="Phrase finale"/>
    <w:basedOn w:val="Normal"/>
    <w:next w:val="Normal"/>
    <w:pPr>
      <w:spacing w:before="360" w:after="0"/>
      <w:jc w:val="center"/>
    </w:pPr>
    <w:rPr>
      <w:rFonts w:eastAsia="Times New Roman"/>
      <w:lang w:eastAsia="en-GB"/>
    </w:rPr>
  </w:style>
  <w:style w:type="paragraph" w:customStyle="1" w:styleId="Prliminairetitre">
    <w:name w:val="Préliminaire titre"/>
    <w:basedOn w:val="Normal"/>
    <w:next w:val="Normal"/>
    <w:pPr>
      <w:spacing w:before="360" w:after="360"/>
      <w:jc w:val="center"/>
    </w:pPr>
    <w:rPr>
      <w:rFonts w:eastAsia="Times New Roman"/>
      <w:b/>
      <w:lang w:eastAsia="en-GB"/>
    </w:rPr>
  </w:style>
  <w:style w:type="paragraph" w:customStyle="1" w:styleId="Prliminairetype">
    <w:name w:val="Préliminaire type"/>
    <w:basedOn w:val="Normal"/>
    <w:next w:val="Normal"/>
    <w:pPr>
      <w:spacing w:before="360" w:after="0"/>
      <w:jc w:val="center"/>
    </w:pPr>
    <w:rPr>
      <w:rFonts w:eastAsia="Times New Roman"/>
      <w:b/>
      <w:lang w:eastAsia="en-GB"/>
    </w:rPr>
  </w:style>
  <w:style w:type="paragraph" w:customStyle="1" w:styleId="Rfrenceinstitutionelle">
    <w:name w:val="Référence institutionelle"/>
    <w:basedOn w:val="Normal"/>
    <w:next w:val="Statut"/>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lang w:eastAsia="en-GB"/>
    </w:rPr>
  </w:style>
  <w:style w:type="paragraph" w:customStyle="1" w:styleId="Sous-titreobjetprliminaire">
    <w:name w:val="Sous-titre objet (préliminaire)"/>
    <w:basedOn w:val="Normal"/>
    <w:pPr>
      <w:spacing w:before="0" w:after="0"/>
      <w:jc w:val="center"/>
    </w:pPr>
    <w:rPr>
      <w:rFonts w:eastAsia="Times New Roman"/>
      <w:b/>
      <w:lang w:eastAsia="en-GB"/>
    </w:rPr>
  </w:style>
  <w:style w:type="paragraph" w:customStyle="1" w:styleId="Statutprliminaire">
    <w:name w:val="Statut (préliminaire)"/>
    <w:basedOn w:val="Normal"/>
    <w:next w:val="Normal"/>
    <w:pPr>
      <w:spacing w:before="360" w:after="0"/>
      <w:jc w:val="center"/>
    </w:pPr>
    <w:rPr>
      <w:rFonts w:eastAsia="Times New Roman"/>
      <w:lang w:eastAsia="en-GB"/>
    </w:rPr>
  </w:style>
  <w:style w:type="paragraph" w:customStyle="1" w:styleId="Titreobjetprliminaire">
    <w:name w:val="Titre objet (préliminaire)"/>
    <w:basedOn w:val="Normal"/>
    <w:next w:val="Normal"/>
    <w:pPr>
      <w:spacing w:before="360" w:after="360"/>
      <w:jc w:val="center"/>
    </w:pPr>
    <w:rPr>
      <w:rFonts w:eastAsia="Times New Roman"/>
      <w:b/>
      <w:lang w:eastAsia="en-GB"/>
    </w:rPr>
  </w:style>
  <w:style w:type="paragraph" w:customStyle="1" w:styleId="Typedudocumentprliminaire">
    <w:name w:val="Type du document (préliminaire)"/>
    <w:basedOn w:val="Normal"/>
    <w:next w:val="Normal"/>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pPr>
      <w:jc w:val="center"/>
    </w:pPr>
    <w:rPr>
      <w:rFonts w:eastAsia="Times New Roman"/>
      <w:b/>
      <w:u w:val="single"/>
      <w:lang w:eastAsia="en-GB"/>
    </w:rPr>
  </w:style>
  <w:style w:type="paragraph" w:customStyle="1" w:styleId="Fichefinancirestandardtitreacte">
    <w:name w:val="Fiche financière (standard) titre (acte)"/>
    <w:basedOn w:val="Normal"/>
    <w:next w:val="Normal"/>
    <w:pPr>
      <w:jc w:val="center"/>
    </w:pPr>
    <w:rPr>
      <w:rFonts w:eastAsia="Times New Roman"/>
      <w:b/>
      <w:u w:val="single"/>
      <w:lang w:eastAsia="en-GB"/>
    </w:rPr>
  </w:style>
  <w:style w:type="paragraph" w:customStyle="1" w:styleId="Fichefinanciretravailtitre">
    <w:name w:val="Fiche financière (travail) titre"/>
    <w:basedOn w:val="Normal"/>
    <w:next w:val="Normal"/>
    <w:pPr>
      <w:jc w:val="center"/>
    </w:pPr>
    <w:rPr>
      <w:rFonts w:eastAsia="Times New Roman"/>
      <w:b/>
      <w:u w:val="single"/>
      <w:lang w:eastAsia="en-GB"/>
    </w:rPr>
  </w:style>
  <w:style w:type="paragraph" w:customStyle="1" w:styleId="Fichefinanciretravailtitreacte">
    <w:name w:val="Fiche financière (travail) titre (acte)"/>
    <w:basedOn w:val="Normal"/>
    <w:next w:val="Normal"/>
    <w:pPr>
      <w:jc w:val="center"/>
    </w:pPr>
    <w:rPr>
      <w:rFonts w:eastAsia="Times New Roman"/>
      <w:b/>
      <w:u w:val="single"/>
      <w:lang w:eastAsia="en-GB"/>
    </w:rPr>
  </w:style>
  <w:style w:type="paragraph" w:customStyle="1" w:styleId="Fichefinancireattributiontitre">
    <w:name w:val="Fiche financière (attribution) titre"/>
    <w:basedOn w:val="Normal"/>
    <w:next w:val="Normal"/>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pPr>
      <w:jc w:val="center"/>
    </w:pPr>
    <w:rPr>
      <w:rFonts w:eastAsia="Times New Roman"/>
      <w:b/>
      <w:u w:val="single"/>
      <w:lang w:eastAsia="en-GB"/>
    </w:rPr>
  </w:style>
  <w:style w:type="character" w:styleId="CommentReference">
    <w:name w:val="annotation reference"/>
    <w:uiPriority w:val="99"/>
    <w:rPr>
      <w:rFonts w:cs="Times New Roman"/>
      <w:sz w:val="16"/>
      <w:szCs w:val="16"/>
    </w:rPr>
  </w:style>
  <w:style w:type="paragraph" w:styleId="CommentText">
    <w:name w:val="annotation text"/>
    <w:basedOn w:val="Normal"/>
    <w:link w:val="CommentTextChar"/>
    <w:uiPriority w:val="99"/>
    <w:rPr>
      <w:rFonts w:eastAsia="Times New Roman"/>
      <w:sz w:val="20"/>
      <w:szCs w:val="20"/>
      <w:lang w:eastAsia="en-GB"/>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sl-SI" w:eastAsia="en-GB"/>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sl-SI" w:eastAsia="en-GB"/>
    </w:rPr>
  </w:style>
  <w:style w:type="paragraph" w:styleId="BalloonText">
    <w:name w:val="Balloon Text"/>
    <w:basedOn w:val="Normal"/>
    <w:link w:val="BalloonTextChar"/>
    <w:rPr>
      <w:rFonts w:ascii="Tahoma" w:eastAsia="Times New Roman" w:hAnsi="Tahoma" w:cs="Tahoma"/>
      <w:sz w:val="16"/>
      <w:szCs w:val="16"/>
      <w:lang w:eastAsia="en-GB"/>
    </w:rPr>
  </w:style>
  <w:style w:type="character" w:customStyle="1" w:styleId="BalloonTextChar">
    <w:name w:val="Balloon Text Char"/>
    <w:basedOn w:val="DefaultParagraphFont"/>
    <w:link w:val="BalloonText"/>
    <w:rPr>
      <w:rFonts w:ascii="Tahoma" w:eastAsia="Times New Roman" w:hAnsi="Tahoma" w:cs="Tahoma"/>
      <w:sz w:val="16"/>
      <w:szCs w:val="16"/>
      <w:lang w:val="sl-SI" w:eastAsia="en-GB"/>
    </w:rPr>
  </w:style>
  <w:style w:type="paragraph" w:styleId="Caption">
    <w:name w:val="caption"/>
    <w:basedOn w:val="Normal"/>
    <w:next w:val="Normal"/>
    <w:qFormat/>
    <w:rPr>
      <w:rFonts w:eastAsia="Times New Roman"/>
      <w:b/>
      <w:bCs/>
      <w:sz w:val="20"/>
      <w:szCs w:val="20"/>
      <w:lang w:eastAsia="en-GB"/>
    </w:rPr>
  </w:style>
  <w:style w:type="paragraph" w:styleId="TableofFigures">
    <w:name w:val="table of figures"/>
    <w:basedOn w:val="Normal"/>
    <w:next w:val="Normal"/>
    <w:rPr>
      <w:rFonts w:eastAsia="Times New Roman"/>
      <w:lang w:eastAsia="en-GB"/>
    </w:rPr>
  </w:style>
  <w:style w:type="character" w:styleId="PageNumber">
    <w:name w:val="page number"/>
  </w:style>
  <w:style w:type="character" w:customStyle="1" w:styleId="tw4winMark">
    <w:name w:val="tw4winMark"/>
    <w:rPr>
      <w:vanish/>
      <w:color w:val="800080"/>
      <w:vertAlign w:val="subscript"/>
    </w:rPr>
  </w:style>
  <w:style w:type="character" w:styleId="FollowedHyperlink">
    <w:name w:val="FollowedHyperlink"/>
    <w:rPr>
      <w:color w:val="800080"/>
      <w:u w:val="single"/>
    </w:rPr>
  </w:style>
  <w:style w:type="paragraph" w:customStyle="1" w:styleId="Sous-titreobjet">
    <w:name w:val="Sous-titre objet"/>
    <w:basedOn w:val="Normal"/>
    <w:pPr>
      <w:spacing w:before="0" w:after="0"/>
      <w:jc w:val="center"/>
    </w:pPr>
    <w:rPr>
      <w:rFonts w:eastAsia="Times New Roman"/>
      <w:b/>
      <w:lang w:eastAsia="en-GB"/>
    </w:rPr>
  </w:style>
  <w:style w:type="paragraph" w:customStyle="1" w:styleId="Sous-titreobjetPagedecouverture">
    <w:name w:val="Sous-titre objet (Page de couverture)"/>
    <w:basedOn w:val="Sous-titreobjet"/>
  </w:style>
  <w:style w:type="character" w:customStyle="1" w:styleId="st">
    <w:name w:val="st"/>
    <w:basedOn w:val="DefaultParagraphFont"/>
  </w:style>
  <w:style w:type="character" w:styleId="Emphasis">
    <w:name w:val="Emphasis"/>
    <w:basedOn w:val="DefaultParagraphFont"/>
    <w:uiPriority w:val="20"/>
    <w:qFormat/>
    <w:rPr>
      <w:i/>
      <w:iCs/>
    </w:rPr>
  </w:style>
  <w:style w:type="character" w:customStyle="1" w:styleId="highlight">
    <w:name w:val="highlight"/>
    <w:basedOn w:val="DefaultParagraphFont"/>
  </w:style>
  <w:style w:type="character" w:customStyle="1" w:styleId="rte-paragraph">
    <w:name w:val="rte-paragraph"/>
    <w:basedOn w:val="DefaultParagraphFont"/>
  </w:style>
  <w:style w:type="paragraph" w:styleId="NormalWeb">
    <w:name w:val="Normal (Web)"/>
    <w:basedOn w:val="Normal"/>
    <w:uiPriority w:val="99"/>
    <w:unhideWhenUsed/>
    <w:pPr>
      <w:spacing w:before="100" w:beforeAutospacing="1" w:after="100" w:afterAutospacing="1"/>
      <w:jc w:val="left"/>
    </w:pPr>
    <w:rPr>
      <w:rFonts w:eastAsia="Times New Roman"/>
      <w:szCs w:val="24"/>
    </w:rPr>
  </w:style>
  <w:style w:type="paragraph" w:styleId="NoSpacing">
    <w:name w:val="No Spacing"/>
    <w:uiPriority w:val="1"/>
    <w:qFormat/>
    <w:pPr>
      <w:spacing w:after="0" w:line="240" w:lineRule="auto"/>
      <w:jc w:val="both"/>
    </w:pPr>
    <w:rPr>
      <w:rFonts w:ascii="Times New Roman" w:hAnsi="Times New Roman" w:cs="Times New Roman"/>
      <w:sz w:val="24"/>
    </w:rPr>
  </w:style>
  <w:style w:type="paragraph" w:styleId="ListParagraph">
    <w:name w:val="List Paragraph"/>
    <w:basedOn w:val="Normal"/>
    <w:uiPriority w:val="34"/>
    <w:qFormat/>
    <w:pPr>
      <w:ind w:left="720"/>
      <w:contextualSpacing/>
    </w:pPr>
  </w:style>
  <w:style w:type="paragraph" w:customStyle="1" w:styleId="Normal1">
    <w:name w:val="Normal1"/>
    <w:basedOn w:val="Normal"/>
    <w:pPr>
      <w:spacing w:before="100" w:beforeAutospacing="1" w:after="100" w:afterAutospacing="1"/>
      <w:jc w:val="left"/>
    </w:pPr>
    <w:rPr>
      <w:rFonts w:eastAsia="Times New Roman"/>
      <w:szCs w:val="24"/>
      <w:lang w:eastAsia="en-GB"/>
    </w:rPr>
  </w:style>
  <w:style w:type="paragraph" w:customStyle="1" w:styleId="Normal3">
    <w:name w:val="Normal3"/>
    <w:basedOn w:val="Normal"/>
    <w:pPr>
      <w:spacing w:before="100" w:beforeAutospacing="1" w:after="100" w:afterAutospacing="1"/>
      <w:jc w:val="left"/>
    </w:pPr>
    <w:rPr>
      <w:rFonts w:eastAsia="Times New Roman"/>
      <w:szCs w:val="24"/>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italic1">
    <w:name w:val="italic1"/>
    <w:basedOn w:val="DefaultParagraphFont"/>
    <w:rPr>
      <w:i/>
      <w:iCs/>
    </w:rPr>
  </w:style>
  <w:style w:type="paragraph" w:customStyle="1" w:styleId="CM1">
    <w:name w:val="CM1"/>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3">
    <w:name w:val="CM3"/>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title-article-norm">
    <w:name w:val="title-article-norm"/>
    <w:basedOn w:val="Normal"/>
    <w:pPr>
      <w:spacing w:before="100" w:beforeAutospacing="1" w:after="100" w:afterAutospacing="1"/>
      <w:jc w:val="left"/>
    </w:pPr>
    <w:rPr>
      <w:rFonts w:eastAsia="Times New Roman"/>
      <w:szCs w:val="24"/>
      <w:lang w:eastAsia="en-GB"/>
    </w:rPr>
  </w:style>
  <w:style w:type="paragraph" w:customStyle="1" w:styleId="stitle-article-norm">
    <w:name w:val="stitle-article-norm"/>
    <w:basedOn w:val="Normal"/>
    <w:pPr>
      <w:spacing w:before="100" w:beforeAutospacing="1" w:after="100" w:afterAutospacing="1"/>
      <w:jc w:val="left"/>
    </w:pPr>
    <w:rPr>
      <w:rFonts w:eastAsia="Times New Roman"/>
      <w:szCs w:val="24"/>
      <w:lang w:eastAsia="en-GB"/>
    </w:rPr>
  </w:style>
  <w:style w:type="paragraph" w:customStyle="1" w:styleId="norm">
    <w:name w:val="norm"/>
    <w:basedOn w:val="Normal"/>
    <w:pPr>
      <w:spacing w:before="100" w:beforeAutospacing="1" w:after="100" w:afterAutospacing="1"/>
      <w:jc w:val="left"/>
    </w:pPr>
    <w:rPr>
      <w:rFonts w:eastAsia="Times New Roman"/>
      <w:szCs w:val="24"/>
      <w:lang w:eastAsia="en-GB"/>
    </w:rPr>
  </w:style>
  <w:style w:type="paragraph" w:customStyle="1" w:styleId="CM4">
    <w:name w:val="CM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Default">
    <w:name w:val="Default"/>
    <w:pPr>
      <w:autoSpaceDE w:val="0"/>
      <w:autoSpaceDN w:val="0"/>
      <w:adjustRightInd w:val="0"/>
      <w:spacing w:after="0" w:line="240" w:lineRule="auto"/>
    </w:pPr>
    <w:rPr>
      <w:rFonts w:ascii="EU Albertina" w:hAnsi="EU Albertina" w:cs="EU Albertina"/>
      <w:color w:val="000000"/>
      <w:sz w:val="24"/>
      <w:szCs w:val="24"/>
    </w:rPr>
  </w:style>
  <w:style w:type="paragraph" w:customStyle="1" w:styleId="sti-art">
    <w:name w:val="sti-art"/>
    <w:basedOn w:val="Normal"/>
    <w:pPr>
      <w:spacing w:before="100" w:beforeAutospacing="1" w:after="100" w:afterAutospacing="1"/>
      <w:jc w:val="left"/>
    </w:pPr>
    <w:rPr>
      <w:rFonts w:eastAsia="Times New Roman"/>
      <w:szCs w:val="24"/>
      <w:lang w:eastAsia="fr-BE"/>
    </w:rPr>
  </w:style>
  <w:style w:type="character" w:customStyle="1" w:styleId="ecl-u-type-capitalize">
    <w:name w:val="ecl-u-type-capitalize"/>
    <w:basedOn w:val="DefaultParagraphFont"/>
  </w:style>
  <w:style w:type="paragraph" w:customStyle="1" w:styleId="PSParagraphTitle">
    <w:name w:val="PS_Paragraph_Title"/>
    <w:basedOn w:val="Normal"/>
    <w:link w:val="PSParagraphTitleChar"/>
    <w:qFormat/>
    <w:rPr>
      <w:rFonts w:eastAsia="Times New Roman"/>
      <w:b/>
      <w:i/>
      <w:sz w:val="20"/>
      <w:szCs w:val="20"/>
      <w:lang w:eastAsia="en-GB"/>
    </w:rPr>
  </w:style>
  <w:style w:type="character" w:customStyle="1" w:styleId="PSParagraphTitleChar">
    <w:name w:val="PS_Paragraph_Title Char"/>
    <w:basedOn w:val="DefaultParagraphFont"/>
    <w:link w:val="PSParagraphTitle"/>
    <w:rPr>
      <w:rFonts w:ascii="Times New Roman" w:eastAsia="Times New Roman" w:hAnsi="Times New Roman" w:cs="Times New Roman"/>
      <w:b/>
      <w:i/>
      <w:sz w:val="20"/>
      <w:szCs w:val="20"/>
      <w:lang w:val="sl-SI" w:eastAsia="en-GB"/>
    </w:rPr>
  </w:style>
  <w:style w:type="paragraph" w:customStyle="1" w:styleId="titrearticle">
    <w:name w:val="titrearticle"/>
    <w:basedOn w:val="Normal"/>
    <w:pPr>
      <w:spacing w:before="100" w:beforeAutospacing="1" w:after="100" w:afterAutospacing="1"/>
      <w:jc w:val="left"/>
    </w:pPr>
    <w:rPr>
      <w:rFonts w:eastAsia="Times New Roman"/>
      <w:szCs w:val="24"/>
      <w:lang w:eastAsia="fr-BE"/>
    </w:rPr>
  </w:style>
  <w:style w:type="paragraph" w:customStyle="1" w:styleId="Normal2">
    <w:name w:val="Normal2"/>
    <w:basedOn w:val="Normal"/>
    <w:pPr>
      <w:spacing w:before="100" w:beforeAutospacing="1" w:after="100" w:afterAutospacing="1"/>
      <w:jc w:val="left"/>
    </w:pPr>
    <w:rPr>
      <w:rFonts w:eastAsia="Times New Roman"/>
      <w:szCs w:val="24"/>
      <w:lang w:eastAsia="fr-BE"/>
    </w:rPr>
  </w:style>
  <w:style w:type="paragraph" w:customStyle="1" w:styleId="li">
    <w:name w:val="li"/>
    <w:basedOn w:val="Normal"/>
    <w:pPr>
      <w:spacing w:before="100" w:beforeAutospacing="1" w:after="100" w:afterAutospacing="1"/>
      <w:jc w:val="left"/>
    </w:pPr>
    <w:rPr>
      <w:rFonts w:eastAsia="Times New Roman"/>
      <w:szCs w:val="24"/>
      <w:lang w:eastAsia="fr-BE"/>
    </w:rPr>
  </w:style>
  <w:style w:type="character" w:customStyle="1" w:styleId="num">
    <w:name w:val="num"/>
    <w:basedOn w:val="DefaultParagraphFont"/>
  </w:style>
  <w:style w:type="paragraph" w:customStyle="1" w:styleId="note">
    <w:name w:val="note"/>
    <w:basedOn w:val="Normal"/>
    <w:pPr>
      <w:spacing w:before="100" w:beforeAutospacing="1" w:after="100" w:afterAutospacing="1"/>
      <w:jc w:val="left"/>
    </w:pPr>
    <w:rPr>
      <w:szCs w:val="24"/>
    </w:rPr>
  </w:style>
  <w:style w:type="character" w:styleId="Strong">
    <w:name w:val="Strong"/>
    <w:basedOn w:val="DefaultParagraphFont"/>
    <w:uiPriority w:val="22"/>
    <w:qFormat/>
    <w:rPr>
      <w:b/>
      <w:bCs/>
    </w:rPr>
  </w:style>
  <w:style w:type="paragraph" w:customStyle="1" w:styleId="Titrearticle0">
    <w:name w:val="Titre article"/>
    <w:basedOn w:val="Normal"/>
    <w:next w:val="Normal"/>
    <w:pPr>
      <w:keepNext/>
      <w:spacing w:before="360"/>
      <w:jc w:val="center"/>
    </w:pPr>
    <w:rPr>
      <w:i/>
    </w:rPr>
  </w:style>
  <w:style w:type="paragraph" w:customStyle="1" w:styleId="Titrearticle1">
    <w:name w:val="Titre article"/>
    <w:basedOn w:val="Normal"/>
    <w:next w:val="Normal"/>
    <w:pPr>
      <w:keepNext/>
      <w:spacing w:before="360"/>
      <w:jc w:val="center"/>
    </w:pPr>
    <w:rPr>
      <w:i/>
    </w:rPr>
  </w:style>
  <w:style w:type="paragraph" w:customStyle="1" w:styleId="Titrearticle2">
    <w:name w:val="Titre article"/>
    <w:basedOn w:val="Normal"/>
    <w:next w:val="Normal"/>
    <w:pPr>
      <w:keepNext/>
      <w:spacing w:before="360"/>
      <w:jc w:val="center"/>
    </w:pPr>
    <w:rPr>
      <w:i/>
    </w:rPr>
  </w:style>
  <w:style w:type="paragraph" w:customStyle="1" w:styleId="Titrearticle3">
    <w:name w:val="Titre article"/>
    <w:basedOn w:val="Normal"/>
    <w:next w:val="Normal"/>
    <w:pPr>
      <w:keepNext/>
      <w:spacing w:before="360"/>
      <w:jc w:val="center"/>
    </w:pPr>
    <w:rPr>
      <w:i/>
    </w:rPr>
  </w:style>
  <w:style w:type="paragraph" w:customStyle="1" w:styleId="Titrearticle4">
    <w:name w:val="Titre article"/>
    <w:basedOn w:val="Normal"/>
    <w:next w:val="Normal"/>
    <w:pPr>
      <w:keepNext/>
      <w:spacing w:before="360"/>
      <w:jc w:val="center"/>
    </w:pPr>
    <w:rPr>
      <w:i/>
    </w:rPr>
  </w:style>
  <w:style w:type="paragraph" w:customStyle="1" w:styleId="Titrearticle5">
    <w:name w:val="Titre article"/>
    <w:basedOn w:val="Normal"/>
    <w:next w:val="Normal"/>
    <w:pPr>
      <w:keepNext/>
      <w:spacing w:before="360"/>
      <w:jc w:val="center"/>
    </w:pPr>
    <w:rPr>
      <w:i/>
    </w:rPr>
  </w:style>
  <w:style w:type="paragraph" w:customStyle="1" w:styleId="Titrearticle6">
    <w:name w:val="Titre article"/>
    <w:basedOn w:val="Normal"/>
    <w:next w:val="Normal"/>
    <w:pPr>
      <w:keepNext/>
      <w:spacing w:before="360"/>
      <w:jc w:val="center"/>
    </w:pPr>
    <w:rPr>
      <w:i/>
    </w:rPr>
  </w:style>
  <w:style w:type="paragraph" w:customStyle="1" w:styleId="Titrearticle7">
    <w:name w:val="Titre article"/>
    <w:basedOn w:val="Normal"/>
    <w:next w:val="Normal"/>
    <w:pPr>
      <w:keepNext/>
      <w:spacing w:before="360"/>
      <w:jc w:val="center"/>
    </w:pPr>
    <w:rPr>
      <w:i/>
    </w:rPr>
  </w:style>
  <w:style w:type="paragraph" w:customStyle="1" w:styleId="Titrearticle8">
    <w:name w:val="Titre article"/>
    <w:basedOn w:val="Normal"/>
    <w:next w:val="Normal"/>
    <w:pPr>
      <w:keepNext/>
      <w:spacing w:before="360"/>
      <w:jc w:val="center"/>
    </w:pPr>
    <w:rPr>
      <w:i/>
    </w:rPr>
  </w:style>
  <w:style w:type="paragraph" w:customStyle="1" w:styleId="Titrearticle9">
    <w:name w:val="Titre article"/>
    <w:basedOn w:val="Normal"/>
    <w:next w:val="Normal"/>
    <w:pPr>
      <w:keepNext/>
      <w:spacing w:before="360"/>
      <w:jc w:val="center"/>
    </w:pPr>
    <w:rPr>
      <w:i/>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l-SI"/>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l-S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a"/>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a">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a"/>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health/non_communicable_diseases/rare_diseases_en" TargetMode="Externa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3.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SL/AUTO/?uri=OJ:L:2013:293:TOC" TargetMode="External"/><Relationship Id="rId2" Type="http://schemas.openxmlformats.org/officeDocument/2006/relationships/hyperlink" Target="https://eur-lex.europa.eu/legal-content/SL/TXT/?uri=OJ:L:2007:301:TOC" TargetMode="External"/><Relationship Id="rId1" Type="http://schemas.openxmlformats.org/officeDocument/2006/relationships/hyperlink" Target="https://eur-lex.europa.eu/legal-content/SL/TXT/?uri=COM:2017:251:FIN" TargetMode="External"/><Relationship Id="rId5" Type="http://schemas.openxmlformats.org/officeDocument/2006/relationships/hyperlink" Target="https://myintracomm.ec.europa.eu/budgweb/EN/man/budgmanag/Pages/budgmanag.aspx" TargetMode="External"/><Relationship Id="rId4" Type="http://schemas.openxmlformats.org/officeDocument/2006/relationships/hyperlink" Target="https://eur-lex.europa.eu/legal-content/SL/AUTO/?uri=OJ:C:2006:146:T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Template>
  <TotalTime>5</TotalTime>
  <Pages>53</Pages>
  <Words>15905</Words>
  <Characters>97344</Characters>
  <Application>Microsoft Office Word</Application>
  <DocSecurity>0</DocSecurity>
  <Lines>2374</Lines>
  <Paragraphs>1204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cp:revision>
  <dcterms:created xsi:type="dcterms:W3CDTF">2020-06-01T06:10:00Z</dcterms:created>
  <dcterms:modified xsi:type="dcterms:W3CDTF">2020-06-02T09:16:00Z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7.0.8.0</vt:lpwstr>
  </property>
  <property fmtid="{D5CDD505-2E9C-101B-9397-08002B2CF9AE}" pid="4" name="Last edited using">
    <vt:lpwstr>LW 7.0, Build 20190717</vt:lpwstr>
  </property>
  <property fmtid="{D5CDD505-2E9C-101B-9397-08002B2CF9AE}" pid="5" name="Created using">
    <vt:lpwstr>LW 7.0, Build 20190717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DQCStatus">
    <vt:lpwstr>Yellow (DQC version 03)</vt:lpwstr>
  </property>
  <property name="OP_sanitized" fmtid="{D5CDD505-2E9C-101B-9397-08002B2CF9AE}" pid="11">
    <vt:lpwstr>True</vt:lpwstr>
  </property>
</Properties>
</file>