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alt="A647C902379C4141B0EFF9A7E7F0BBB7" style="width:450.75pt;height:456pt">
            <v:imagedata r:id="rId8" o:title=""/>
          </v:shape>
        </w:pict>
      </w:r>
    </w:p>
    <w:p>
      <w:pPr>
        <w:rPr>
          <w:noProof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>
      <w:pPr>
        <w:pStyle w:val="Typedudocument"/>
        <w:rPr>
          <w:noProof/>
        </w:rPr>
      </w:pPr>
      <w:bookmarkStart w:id="0" w:name="_GoBack"/>
      <w:bookmarkEnd w:id="0"/>
      <w:r>
        <w:rPr>
          <w:noProof/>
        </w:rPr>
        <w:t>ANNESSI</w:t>
      </w:r>
    </w:p>
    <w:p>
      <w:pPr>
        <w:pStyle w:val="Titreobjet"/>
        <w:rPr>
          <w:noProof/>
        </w:rPr>
      </w:pPr>
      <w:r>
        <w:rPr>
          <w:rStyle w:val="Marker"/>
          <w:noProof/>
        </w:rPr>
        <w:t>[…]</w:t>
      </w:r>
    </w:p>
    <w:p>
      <w:pPr>
        <w:pStyle w:val="Accompagnant"/>
        <w:rPr>
          <w:noProof/>
        </w:rPr>
      </w:pPr>
      <w:r>
        <w:rPr>
          <w:noProof/>
        </w:rPr>
        <w:t>tal-</w:t>
      </w:r>
    </w:p>
    <w:p>
      <w:pPr>
        <w:pStyle w:val="Typeacteprincipal"/>
        <w:rPr>
          <w:noProof/>
        </w:rPr>
      </w:pPr>
      <w:r>
        <w:rPr>
          <w:noProof/>
        </w:rPr>
        <w:t xml:space="preserve">Proposta għal REGOLAMENT TAL-PARLAMENT EWROPEW U TAL-KUNSILL </w:t>
      </w:r>
    </w:p>
    <w:p>
      <w:pPr>
        <w:pStyle w:val="Objetacteprincipal"/>
        <w:rPr>
          <w:noProof/>
        </w:rPr>
      </w:pPr>
      <w:r>
        <w:rPr>
          <w:noProof/>
        </w:rPr>
        <w:t>dwar l-istabbiliment ta’ pjan pluriennali għall-istokkijiet demersali fil-Baħar tat-Tramuntana u s-sajd li jisfrutta dawk l-istokkijiet u li jħassar ir-Regolament tal-Kunsill (KE) Nru 676/2007 u r-Regolament tal-Kunsill (KE) Nru 1342/2008</w:t>
      </w:r>
    </w:p>
    <w:p>
      <w:pPr>
        <w:pStyle w:val="Annexetitre"/>
        <w:rPr>
          <w:noProof/>
        </w:rPr>
      </w:pPr>
      <w:r>
        <w:rPr>
          <w:noProof/>
        </w:rPr>
        <w:t>ANNESS I</w:t>
      </w:r>
    </w:p>
    <w:p>
      <w:pPr>
        <w:pStyle w:val="Annexetitreexpos"/>
        <w:rPr>
          <w:noProof/>
        </w:rPr>
      </w:pPr>
      <w:r>
        <w:rPr>
          <w:noProof/>
        </w:rPr>
        <w:t>Il-mira tal-mortalità mis-sajd</w:t>
      </w:r>
    </w:p>
    <w:p>
      <w:pPr>
        <w:jc w:val="center"/>
        <w:rPr>
          <w:b/>
          <w:noProof/>
        </w:rPr>
      </w:pPr>
      <w:r>
        <w:rPr>
          <w:b/>
          <w:noProof/>
        </w:rPr>
        <w:t>(kif imsemmi fl-Artikolu 4)</w:t>
      </w:r>
    </w:p>
    <w:p>
      <w:pPr>
        <w:rPr>
          <w:rFonts w:eastAsia="Times New Roman"/>
          <w:noProof/>
          <w:color w:val="000000"/>
          <w:szCs w:val="24"/>
        </w:rPr>
      </w:pPr>
      <w:r>
        <w:rPr>
          <w:b/>
          <w:noProof/>
        </w:rPr>
        <w:t xml:space="preserve">1. </w:t>
      </w:r>
      <w:r>
        <w:rPr>
          <w:b/>
          <w:noProof/>
          <w:color w:val="000000"/>
        </w:rPr>
        <w:t>Grupp 1</w:t>
      </w:r>
    </w:p>
    <w:tbl>
      <w:tblPr>
        <w:tblW w:w="9154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75"/>
        <w:gridCol w:w="3260"/>
        <w:gridCol w:w="3119"/>
      </w:tblGrid>
      <w:tr>
        <w:tc>
          <w:tcPr>
            <w:tcW w:w="2775" w:type="dxa"/>
            <w:vMerge w:val="restart"/>
          </w:tcPr>
          <w:p>
            <w:pPr>
              <w:spacing w:before="0" w:after="0"/>
              <w:jc w:val="center"/>
              <w:rPr>
                <w:rFonts w:eastAsia="Times New Roman"/>
                <w:b/>
                <w:noProof/>
                <w:color w:val="000000"/>
                <w:szCs w:val="24"/>
              </w:rPr>
            </w:pPr>
            <w:r>
              <w:rPr>
                <w:b/>
                <w:noProof/>
                <w:color w:val="000000"/>
              </w:rPr>
              <w:t>Stokk</w:t>
            </w:r>
          </w:p>
        </w:tc>
        <w:tc>
          <w:tcPr>
            <w:tcW w:w="6379" w:type="dxa"/>
            <w:gridSpan w:val="2"/>
          </w:tcPr>
          <w:p>
            <w:pPr>
              <w:spacing w:before="0" w:after="0"/>
              <w:jc w:val="center"/>
              <w:rPr>
                <w:rFonts w:eastAsia="Times New Roman"/>
                <w:b/>
                <w:noProof/>
                <w:color w:val="000000"/>
                <w:szCs w:val="24"/>
              </w:rPr>
            </w:pPr>
            <w:r>
              <w:rPr>
                <w:b/>
                <w:noProof/>
                <w:color w:val="000000"/>
              </w:rPr>
              <w:t>Medda tal-mira tal-mortalità mis-sajd li tippermetti li jinkiseb ir-rendiment massimu sostenibbli</w:t>
            </w:r>
            <w:r>
              <w:rPr>
                <w:b/>
                <w:noProof/>
                <w:sz w:val="22"/>
              </w:rPr>
              <w:t xml:space="preserve"> (F</w:t>
            </w:r>
            <w:r>
              <w:rPr>
                <w:b/>
                <w:noProof/>
                <w:sz w:val="22"/>
                <w:vertAlign w:val="subscript"/>
              </w:rPr>
              <w:t>MSY</w:t>
            </w:r>
            <w:r>
              <w:rPr>
                <w:b/>
                <w:noProof/>
                <w:sz w:val="22"/>
              </w:rPr>
              <w:t>)</w:t>
            </w:r>
          </w:p>
        </w:tc>
      </w:tr>
      <w:tr>
        <w:trPr>
          <w:trHeight w:hRule="exact" w:val="454"/>
        </w:trPr>
        <w:tc>
          <w:tcPr>
            <w:tcW w:w="2775" w:type="dxa"/>
            <w:vMerge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</w:p>
        </w:tc>
        <w:tc>
          <w:tcPr>
            <w:tcW w:w="3260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b/>
                <w:noProof/>
                <w:color w:val="000000"/>
                <w:szCs w:val="24"/>
              </w:rPr>
            </w:pPr>
            <w:r>
              <w:rPr>
                <w:b/>
                <w:noProof/>
                <w:color w:val="000000"/>
              </w:rPr>
              <w:t>Kolonna A</w:t>
            </w:r>
          </w:p>
        </w:tc>
        <w:tc>
          <w:tcPr>
            <w:tcW w:w="3119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b/>
                <w:noProof/>
                <w:color w:val="000000"/>
              </w:rPr>
              <w:t>Kolonna B</w:t>
            </w:r>
          </w:p>
        </w:tc>
      </w:tr>
      <w:tr>
        <w:trPr>
          <w:trHeight w:hRule="exact" w:val="454"/>
        </w:trPr>
        <w:tc>
          <w:tcPr>
            <w:tcW w:w="2775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 xml:space="preserve">Bakkaljaw tal-Baħar tat-Tramuntana </w:t>
            </w:r>
          </w:p>
        </w:tc>
        <w:tc>
          <w:tcPr>
            <w:tcW w:w="3260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0,22 – 0,33</w:t>
            </w:r>
          </w:p>
        </w:tc>
        <w:tc>
          <w:tcPr>
            <w:tcW w:w="3119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0,33 – 0,49</w:t>
            </w:r>
          </w:p>
        </w:tc>
      </w:tr>
      <w:tr>
        <w:trPr>
          <w:trHeight w:hRule="exact" w:val="454"/>
        </w:trPr>
        <w:tc>
          <w:tcPr>
            <w:tcW w:w="2775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 xml:space="preserve">Merluzz tal-linja sewda </w:t>
            </w:r>
          </w:p>
        </w:tc>
        <w:tc>
          <w:tcPr>
            <w:tcW w:w="3260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0,25 – 0,37</w:t>
            </w:r>
          </w:p>
        </w:tc>
        <w:tc>
          <w:tcPr>
            <w:tcW w:w="3119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0,37 – 0,52</w:t>
            </w:r>
          </w:p>
        </w:tc>
      </w:tr>
      <w:tr>
        <w:trPr>
          <w:trHeight w:hRule="exact" w:val="454"/>
        </w:trPr>
        <w:tc>
          <w:tcPr>
            <w:tcW w:w="2775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 xml:space="preserve">Barbun tat-tbajja’ tal-Baħar tat-Tramuntana </w:t>
            </w:r>
          </w:p>
        </w:tc>
        <w:tc>
          <w:tcPr>
            <w:tcW w:w="3260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0,13 – 0,19</w:t>
            </w:r>
          </w:p>
        </w:tc>
        <w:tc>
          <w:tcPr>
            <w:tcW w:w="3119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0,19 – 0,27</w:t>
            </w:r>
          </w:p>
        </w:tc>
      </w:tr>
      <w:tr>
        <w:trPr>
          <w:trHeight w:hRule="exact" w:val="454"/>
        </w:trPr>
        <w:tc>
          <w:tcPr>
            <w:tcW w:w="2775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 xml:space="preserve">Pollakkju iswed </w:t>
            </w:r>
          </w:p>
        </w:tc>
        <w:tc>
          <w:tcPr>
            <w:tcW w:w="3260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0,20 – 0,32</w:t>
            </w:r>
          </w:p>
        </w:tc>
        <w:tc>
          <w:tcPr>
            <w:tcW w:w="3119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0,32 – 0,43</w:t>
            </w:r>
          </w:p>
        </w:tc>
      </w:tr>
      <w:tr>
        <w:trPr>
          <w:trHeight w:hRule="exact" w:val="454"/>
        </w:trPr>
        <w:tc>
          <w:tcPr>
            <w:tcW w:w="2775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Lingwata tal-Baħar tat-Tramuntana</w:t>
            </w:r>
          </w:p>
        </w:tc>
        <w:tc>
          <w:tcPr>
            <w:tcW w:w="3260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0,11 – 0,20</w:t>
            </w:r>
          </w:p>
        </w:tc>
        <w:tc>
          <w:tcPr>
            <w:tcW w:w="3119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0,20 – 0,37</w:t>
            </w:r>
          </w:p>
        </w:tc>
      </w:tr>
      <w:tr>
        <w:trPr>
          <w:trHeight w:hRule="exact" w:val="454"/>
        </w:trPr>
        <w:tc>
          <w:tcPr>
            <w:tcW w:w="2775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Lingwata tal-Kattegat</w:t>
            </w:r>
          </w:p>
        </w:tc>
        <w:tc>
          <w:tcPr>
            <w:tcW w:w="3260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0,19 – 0,22</w:t>
            </w:r>
          </w:p>
        </w:tc>
        <w:tc>
          <w:tcPr>
            <w:tcW w:w="3119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0,22 – 0,26</w:t>
            </w:r>
          </w:p>
        </w:tc>
      </w:tr>
      <w:tr>
        <w:trPr>
          <w:trHeight w:hRule="exact" w:val="454"/>
        </w:trPr>
        <w:tc>
          <w:tcPr>
            <w:tcW w:w="2775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 xml:space="preserve">Merlangu tal-Baħar tat-Tramuntana </w:t>
            </w:r>
          </w:p>
        </w:tc>
        <w:tc>
          <w:tcPr>
            <w:tcW w:w="3260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Mhux definit</w:t>
            </w:r>
          </w:p>
        </w:tc>
        <w:tc>
          <w:tcPr>
            <w:tcW w:w="3119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Mhux definit</w:t>
            </w:r>
          </w:p>
        </w:tc>
      </w:tr>
    </w:tbl>
    <w:p>
      <w:pPr>
        <w:rPr>
          <w:rFonts w:eastAsia="Times New Roman"/>
          <w:noProof/>
          <w:color w:val="000000"/>
          <w:szCs w:val="24"/>
        </w:rPr>
      </w:pPr>
    </w:p>
    <w:p>
      <w:pPr>
        <w:rPr>
          <w:rFonts w:eastAsia="Times New Roman"/>
          <w:noProof/>
          <w:color w:val="000000"/>
          <w:szCs w:val="24"/>
        </w:rPr>
      </w:pPr>
      <w:r>
        <w:rPr>
          <w:b/>
          <w:noProof/>
          <w:color w:val="000000"/>
        </w:rPr>
        <w:t>2. Grupp 2</w:t>
      </w:r>
    </w:p>
    <w:tbl>
      <w:tblPr>
        <w:tblW w:w="907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94"/>
        <w:gridCol w:w="3260"/>
        <w:gridCol w:w="3119"/>
      </w:tblGrid>
      <w:tr>
        <w:tc>
          <w:tcPr>
            <w:tcW w:w="2694" w:type="dxa"/>
            <w:vMerge w:val="restart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b/>
                <w:noProof/>
                <w:color w:val="000000"/>
              </w:rPr>
              <w:t xml:space="preserve"> Unità funzjonali tal-iskampu (FU)</w:t>
            </w:r>
          </w:p>
        </w:tc>
        <w:tc>
          <w:tcPr>
            <w:tcW w:w="6379" w:type="dxa"/>
            <w:gridSpan w:val="2"/>
          </w:tcPr>
          <w:p>
            <w:pPr>
              <w:spacing w:before="0" w:after="0"/>
              <w:jc w:val="center"/>
              <w:rPr>
                <w:rFonts w:eastAsia="Times New Roman"/>
                <w:b/>
                <w:noProof/>
                <w:color w:val="000000"/>
                <w:szCs w:val="24"/>
              </w:rPr>
            </w:pPr>
            <w:r>
              <w:rPr>
                <w:b/>
                <w:noProof/>
                <w:color w:val="000000"/>
              </w:rPr>
              <w:t>Il-medda tal-mira tal-mortalità mis-sajd li tippermetti li jinkiseb ir-rendiment massimu sostenibbli (F</w:t>
            </w:r>
            <w:r>
              <w:rPr>
                <w:b/>
                <w:noProof/>
                <w:color w:val="000000"/>
                <w:vertAlign w:val="subscript"/>
              </w:rPr>
              <w:t>MSY</w:t>
            </w:r>
            <w:r>
              <w:rPr>
                <w:b/>
                <w:noProof/>
                <w:color w:val="000000"/>
              </w:rPr>
              <w:t>) (bħala rata ta’ qbid)</w:t>
            </w:r>
          </w:p>
        </w:tc>
      </w:tr>
      <w:tr>
        <w:trPr>
          <w:trHeight w:hRule="exact" w:val="454"/>
        </w:trPr>
        <w:tc>
          <w:tcPr>
            <w:tcW w:w="2694" w:type="dxa"/>
            <w:vMerge/>
          </w:tcPr>
          <w:p>
            <w:pPr>
              <w:spacing w:before="0" w:after="0"/>
              <w:jc w:val="center"/>
              <w:rPr>
                <w:rFonts w:eastAsia="Times New Roman"/>
                <w:b/>
                <w:noProof/>
                <w:color w:val="000000"/>
                <w:szCs w:val="24"/>
              </w:rPr>
            </w:pPr>
          </w:p>
        </w:tc>
        <w:tc>
          <w:tcPr>
            <w:tcW w:w="3260" w:type="dxa"/>
          </w:tcPr>
          <w:p>
            <w:pPr>
              <w:spacing w:before="0" w:after="0"/>
              <w:jc w:val="center"/>
              <w:rPr>
                <w:rFonts w:eastAsia="Times New Roman"/>
                <w:b/>
                <w:noProof/>
                <w:color w:val="000000"/>
                <w:szCs w:val="24"/>
              </w:rPr>
            </w:pPr>
            <w:r>
              <w:rPr>
                <w:b/>
                <w:noProof/>
                <w:color w:val="000000"/>
              </w:rPr>
              <w:t>Kolonna A</w:t>
            </w:r>
          </w:p>
        </w:tc>
        <w:tc>
          <w:tcPr>
            <w:tcW w:w="3119" w:type="dxa"/>
          </w:tcPr>
          <w:p>
            <w:pPr>
              <w:spacing w:before="0" w:after="0"/>
              <w:jc w:val="center"/>
              <w:rPr>
                <w:rFonts w:eastAsia="Times New Roman"/>
                <w:b/>
                <w:noProof/>
                <w:color w:val="000000"/>
                <w:szCs w:val="24"/>
              </w:rPr>
            </w:pPr>
            <w:r>
              <w:rPr>
                <w:b/>
                <w:noProof/>
                <w:color w:val="000000"/>
              </w:rPr>
              <w:t xml:space="preserve">Kolonna B </w:t>
            </w:r>
          </w:p>
        </w:tc>
      </w:tr>
      <w:tr>
        <w:trPr>
          <w:trHeight w:hRule="exact" w:val="454"/>
        </w:trPr>
        <w:tc>
          <w:tcPr>
            <w:tcW w:w="2694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Diviżjoni IIIa FU 3 u 4</w:t>
            </w:r>
          </w:p>
        </w:tc>
        <w:tc>
          <w:tcPr>
            <w:tcW w:w="3260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0,056 – 0,079</w:t>
            </w:r>
          </w:p>
        </w:tc>
        <w:tc>
          <w:tcPr>
            <w:tcW w:w="3119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0,079 – 0,079</w:t>
            </w:r>
          </w:p>
        </w:tc>
      </w:tr>
      <w:tr>
        <w:trPr>
          <w:trHeight w:hRule="exact" w:val="454"/>
        </w:trPr>
        <w:tc>
          <w:tcPr>
            <w:tcW w:w="2694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</w:rPr>
              <w:t xml:space="preserve">Farn Deeps </w:t>
            </w:r>
            <w:r>
              <w:rPr>
                <w:noProof/>
                <w:color w:val="000000"/>
              </w:rPr>
              <w:t>FU 6</w:t>
            </w:r>
          </w:p>
        </w:tc>
        <w:tc>
          <w:tcPr>
            <w:tcW w:w="3260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0,07 – 0,081</w:t>
            </w:r>
          </w:p>
        </w:tc>
        <w:tc>
          <w:tcPr>
            <w:tcW w:w="3119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0,081 – 0,081</w:t>
            </w:r>
          </w:p>
        </w:tc>
      </w:tr>
      <w:tr>
        <w:trPr>
          <w:trHeight w:hRule="exact" w:val="454"/>
        </w:trPr>
        <w:tc>
          <w:tcPr>
            <w:tcW w:w="2694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</w:rPr>
              <w:t>Fladen Ground</w:t>
            </w:r>
            <w:r>
              <w:rPr>
                <w:noProof/>
                <w:color w:val="000000"/>
              </w:rPr>
              <w:t xml:space="preserve"> FU 7</w:t>
            </w:r>
          </w:p>
        </w:tc>
        <w:tc>
          <w:tcPr>
            <w:tcW w:w="3260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0,066 – 0,075</w:t>
            </w:r>
          </w:p>
        </w:tc>
        <w:tc>
          <w:tcPr>
            <w:tcW w:w="3119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0,075 – 0,075</w:t>
            </w:r>
          </w:p>
        </w:tc>
      </w:tr>
      <w:tr>
        <w:trPr>
          <w:trHeight w:hRule="exact" w:val="454"/>
        </w:trPr>
        <w:tc>
          <w:tcPr>
            <w:tcW w:w="2694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</w:rPr>
              <w:t xml:space="preserve">Firth of Forth </w:t>
            </w:r>
            <w:r>
              <w:rPr>
                <w:noProof/>
                <w:color w:val="000000"/>
              </w:rPr>
              <w:t>FU 8</w:t>
            </w:r>
          </w:p>
        </w:tc>
        <w:tc>
          <w:tcPr>
            <w:tcW w:w="3260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0,106 – 0,163</w:t>
            </w:r>
          </w:p>
        </w:tc>
        <w:tc>
          <w:tcPr>
            <w:tcW w:w="3119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0,163 – 0,163</w:t>
            </w:r>
          </w:p>
        </w:tc>
      </w:tr>
      <w:tr>
        <w:trPr>
          <w:trHeight w:hRule="exact" w:val="454"/>
        </w:trPr>
        <w:tc>
          <w:tcPr>
            <w:tcW w:w="2694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</w:rPr>
              <w:t xml:space="preserve">Moray Firth </w:t>
            </w:r>
            <w:r>
              <w:rPr>
                <w:noProof/>
                <w:color w:val="000000"/>
              </w:rPr>
              <w:t>FU 9</w:t>
            </w:r>
          </w:p>
        </w:tc>
        <w:tc>
          <w:tcPr>
            <w:tcW w:w="3260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0,091 – 0,118</w:t>
            </w:r>
          </w:p>
        </w:tc>
        <w:tc>
          <w:tcPr>
            <w:tcW w:w="3119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0,118 – 0,118</w:t>
            </w:r>
          </w:p>
        </w:tc>
      </w:tr>
    </w:tbl>
    <w:p>
      <w:pPr>
        <w:rPr>
          <w:noProof/>
        </w:rPr>
      </w:pPr>
    </w:p>
    <w:p>
      <w:pPr>
        <w:pStyle w:val="Annexetitre"/>
        <w:rPr>
          <w:noProof/>
        </w:rPr>
      </w:pPr>
      <w:r>
        <w:rPr>
          <w:noProof/>
        </w:rPr>
        <w:t>ANNESS II</w:t>
      </w:r>
    </w:p>
    <w:p>
      <w:pPr>
        <w:pStyle w:val="Annexetitreexpos"/>
        <w:rPr>
          <w:noProof/>
        </w:rPr>
      </w:pPr>
      <w:r>
        <w:rPr>
          <w:noProof/>
        </w:rPr>
        <w:t>Punti ta’ referenza ta’ konservazzjoni</w:t>
      </w:r>
    </w:p>
    <w:p>
      <w:pPr>
        <w:spacing w:before="0" w:after="0"/>
        <w:jc w:val="center"/>
        <w:rPr>
          <w:b/>
          <w:noProof/>
          <w:szCs w:val="24"/>
          <w:u w:val="single"/>
        </w:rPr>
      </w:pPr>
      <w:r>
        <w:rPr>
          <w:b/>
          <w:noProof/>
        </w:rPr>
        <w:t>(kif imsemmi fl-Artikolu 7)</w:t>
      </w:r>
    </w:p>
    <w:p>
      <w:pPr>
        <w:rPr>
          <w:b/>
          <w:noProof/>
        </w:rPr>
      </w:pPr>
      <w:r>
        <w:rPr>
          <w:b/>
          <w:noProof/>
        </w:rPr>
        <w:t xml:space="preserve">1. Grupp 1 </w:t>
      </w:r>
    </w:p>
    <w:tbl>
      <w:tblPr>
        <w:tblW w:w="9289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15"/>
        <w:gridCol w:w="3544"/>
        <w:gridCol w:w="3530"/>
      </w:tblGrid>
      <w:tr>
        <w:tc>
          <w:tcPr>
            <w:tcW w:w="2215" w:type="dxa"/>
          </w:tcPr>
          <w:p>
            <w:pPr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b/>
                <w:noProof/>
                <w:color w:val="000000"/>
              </w:rPr>
              <w:t>Stokk</w:t>
            </w:r>
          </w:p>
        </w:tc>
        <w:tc>
          <w:tcPr>
            <w:tcW w:w="3544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b/>
                <w:noProof/>
                <w:color w:val="000000"/>
              </w:rPr>
              <w:t>Punt ta’ referenza minimu ta’ bijomassa ta' stokk riproduttiv (f’tunnellati) (MSY B</w:t>
            </w:r>
            <w:r>
              <w:rPr>
                <w:b/>
                <w:noProof/>
                <w:color w:val="000000"/>
                <w:vertAlign w:val="subscript"/>
              </w:rPr>
              <w:t>trigger</w:t>
            </w:r>
            <w:r>
              <w:rPr>
                <w:b/>
                <w:noProof/>
                <w:color w:val="000000"/>
              </w:rPr>
              <w:t>)</w:t>
            </w:r>
          </w:p>
        </w:tc>
        <w:tc>
          <w:tcPr>
            <w:tcW w:w="3530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b/>
                <w:noProof/>
                <w:color w:val="000000"/>
              </w:rPr>
              <w:t>Punt ta’ referenza tal-limitu tal-bijomassa (f’tunnellati) (B</w:t>
            </w:r>
            <w:r>
              <w:rPr>
                <w:b/>
                <w:noProof/>
                <w:color w:val="000000"/>
                <w:vertAlign w:val="subscript"/>
              </w:rPr>
              <w:t>lim</w:t>
            </w:r>
            <w:r>
              <w:rPr>
                <w:b/>
                <w:noProof/>
                <w:color w:val="000000"/>
              </w:rPr>
              <w:t>)</w:t>
            </w:r>
          </w:p>
        </w:tc>
      </w:tr>
      <w:tr>
        <w:trPr>
          <w:trHeight w:hRule="exact" w:val="454"/>
        </w:trPr>
        <w:tc>
          <w:tcPr>
            <w:tcW w:w="2215" w:type="dxa"/>
          </w:tcPr>
          <w:p>
            <w:pPr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 xml:space="preserve">Bakkaljaw tal-Baħar tat-Tramuntana </w:t>
            </w:r>
          </w:p>
        </w:tc>
        <w:tc>
          <w:tcPr>
            <w:tcW w:w="3544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165 000</w:t>
            </w:r>
          </w:p>
        </w:tc>
        <w:tc>
          <w:tcPr>
            <w:tcW w:w="3530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118 000</w:t>
            </w:r>
          </w:p>
        </w:tc>
      </w:tr>
      <w:tr>
        <w:trPr>
          <w:trHeight w:hRule="exact" w:val="454"/>
        </w:trPr>
        <w:tc>
          <w:tcPr>
            <w:tcW w:w="2215" w:type="dxa"/>
          </w:tcPr>
          <w:p>
            <w:pPr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 xml:space="preserve">Merluzz tal-linja sewda </w:t>
            </w:r>
          </w:p>
        </w:tc>
        <w:tc>
          <w:tcPr>
            <w:tcW w:w="3544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88 000</w:t>
            </w:r>
          </w:p>
        </w:tc>
        <w:tc>
          <w:tcPr>
            <w:tcW w:w="3530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63 000</w:t>
            </w:r>
          </w:p>
        </w:tc>
      </w:tr>
      <w:tr>
        <w:trPr>
          <w:trHeight w:hRule="exact" w:val="454"/>
        </w:trPr>
        <w:tc>
          <w:tcPr>
            <w:tcW w:w="2215" w:type="dxa"/>
          </w:tcPr>
          <w:p>
            <w:pPr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 xml:space="preserve">Barbun tat-tbajja’ tal-Baħar tat-Tramuntana </w:t>
            </w:r>
          </w:p>
        </w:tc>
        <w:tc>
          <w:tcPr>
            <w:tcW w:w="3544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230 000</w:t>
            </w:r>
          </w:p>
        </w:tc>
        <w:tc>
          <w:tcPr>
            <w:tcW w:w="3530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160 000</w:t>
            </w:r>
          </w:p>
        </w:tc>
      </w:tr>
      <w:tr>
        <w:trPr>
          <w:trHeight w:hRule="exact" w:val="454"/>
        </w:trPr>
        <w:tc>
          <w:tcPr>
            <w:tcW w:w="2215" w:type="dxa"/>
          </w:tcPr>
          <w:p>
            <w:pPr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 xml:space="preserve">Pollakkju iswed </w:t>
            </w:r>
          </w:p>
        </w:tc>
        <w:tc>
          <w:tcPr>
            <w:tcW w:w="3544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200 000</w:t>
            </w:r>
          </w:p>
        </w:tc>
        <w:tc>
          <w:tcPr>
            <w:tcW w:w="3530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106 000</w:t>
            </w:r>
          </w:p>
        </w:tc>
      </w:tr>
      <w:tr>
        <w:trPr>
          <w:trHeight w:hRule="exact" w:val="454"/>
        </w:trPr>
        <w:tc>
          <w:tcPr>
            <w:tcW w:w="2215" w:type="dxa"/>
          </w:tcPr>
          <w:p>
            <w:pPr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Lingwata tal-Baħar tat-Tramuntana</w:t>
            </w:r>
          </w:p>
        </w:tc>
        <w:tc>
          <w:tcPr>
            <w:tcW w:w="3544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37 000</w:t>
            </w:r>
          </w:p>
        </w:tc>
        <w:tc>
          <w:tcPr>
            <w:tcW w:w="3530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26 300</w:t>
            </w:r>
          </w:p>
        </w:tc>
      </w:tr>
      <w:tr>
        <w:trPr>
          <w:trHeight w:hRule="exact" w:val="454"/>
        </w:trPr>
        <w:tc>
          <w:tcPr>
            <w:tcW w:w="2215" w:type="dxa"/>
          </w:tcPr>
          <w:p>
            <w:pPr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Lingwata tal-Kattegat</w:t>
            </w:r>
          </w:p>
        </w:tc>
        <w:tc>
          <w:tcPr>
            <w:tcW w:w="3544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2 600</w:t>
            </w:r>
          </w:p>
        </w:tc>
        <w:tc>
          <w:tcPr>
            <w:tcW w:w="3530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1 850</w:t>
            </w:r>
          </w:p>
        </w:tc>
      </w:tr>
      <w:tr>
        <w:trPr>
          <w:trHeight w:hRule="exact" w:val="454"/>
        </w:trPr>
        <w:tc>
          <w:tcPr>
            <w:tcW w:w="2215" w:type="dxa"/>
          </w:tcPr>
          <w:p>
            <w:pPr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 xml:space="preserve">Merlangu tal-Baħar tat-Tramuntana </w:t>
            </w:r>
          </w:p>
        </w:tc>
        <w:tc>
          <w:tcPr>
            <w:tcW w:w="3544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 xml:space="preserve">Mhux definit </w:t>
            </w:r>
          </w:p>
        </w:tc>
        <w:tc>
          <w:tcPr>
            <w:tcW w:w="3530" w:type="dxa"/>
          </w:tcPr>
          <w:p>
            <w:pPr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 xml:space="preserve">Mhux definit </w:t>
            </w:r>
          </w:p>
        </w:tc>
      </w:tr>
    </w:tbl>
    <w:p>
      <w:pPr>
        <w:rPr>
          <w:noProof/>
        </w:rPr>
      </w:pPr>
    </w:p>
    <w:p>
      <w:pPr>
        <w:rPr>
          <w:b/>
          <w:noProof/>
        </w:rPr>
      </w:pPr>
      <w:r>
        <w:rPr>
          <w:b/>
          <w:noProof/>
        </w:rPr>
        <w:t xml:space="preserve">2. Grupp 2 </w:t>
      </w: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20"/>
        <w:gridCol w:w="3058"/>
        <w:gridCol w:w="3402"/>
      </w:tblGrid>
      <w:tr>
        <w:tc>
          <w:tcPr>
            <w:tcW w:w="2720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b/>
                <w:noProof/>
                <w:color w:val="000000"/>
              </w:rPr>
              <w:t>Unità funzjonali tal-iskampju</w:t>
            </w:r>
          </w:p>
        </w:tc>
        <w:tc>
          <w:tcPr>
            <w:tcW w:w="3058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b/>
                <w:noProof/>
                <w:color w:val="000000"/>
                <w:szCs w:val="24"/>
              </w:rPr>
            </w:pPr>
            <w:r>
              <w:rPr>
                <w:b/>
                <w:noProof/>
                <w:color w:val="000000"/>
              </w:rPr>
              <w:t>Punt ta’ referenza ta’ abbundanza minimu (f’miljuni) (Abundance</w:t>
            </w:r>
            <w:r>
              <w:rPr>
                <w:b/>
                <w:noProof/>
                <w:color w:val="000000"/>
                <w:vertAlign w:val="subscript"/>
              </w:rPr>
              <w:t>buffer</w:t>
            </w:r>
            <w:r>
              <w:rPr>
                <w:b/>
                <w:noProof/>
                <w:color w:val="000000"/>
              </w:rPr>
              <w:t>)</w:t>
            </w:r>
          </w:p>
        </w:tc>
        <w:tc>
          <w:tcPr>
            <w:tcW w:w="3402" w:type="dxa"/>
          </w:tcPr>
          <w:p>
            <w:pPr>
              <w:spacing w:before="0" w:after="0"/>
              <w:jc w:val="center"/>
              <w:rPr>
                <w:rFonts w:eastAsia="Times New Roman"/>
                <w:b/>
                <w:noProof/>
                <w:color w:val="000000"/>
                <w:szCs w:val="24"/>
              </w:rPr>
            </w:pPr>
            <w:r>
              <w:rPr>
                <w:b/>
                <w:noProof/>
                <w:color w:val="000000"/>
              </w:rPr>
              <w:t>Punt ta’ referenza limitu ta’ abbundanza (f’miljuni) (Abundance</w:t>
            </w:r>
            <w:r>
              <w:rPr>
                <w:b/>
                <w:noProof/>
                <w:color w:val="000000"/>
                <w:vertAlign w:val="subscript"/>
              </w:rPr>
              <w:t>limit</w:t>
            </w:r>
            <w:r>
              <w:rPr>
                <w:b/>
                <w:noProof/>
                <w:color w:val="000000"/>
              </w:rPr>
              <w:t>)</w:t>
            </w:r>
          </w:p>
        </w:tc>
      </w:tr>
      <w:tr>
        <w:trPr>
          <w:trHeight w:hRule="exact" w:val="454"/>
        </w:trPr>
        <w:tc>
          <w:tcPr>
            <w:tcW w:w="2720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Diviżjoni IIIa FU 3 u 4</w:t>
            </w:r>
          </w:p>
        </w:tc>
        <w:tc>
          <w:tcPr>
            <w:tcW w:w="3058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NA</w:t>
            </w:r>
          </w:p>
        </w:tc>
        <w:tc>
          <w:tcPr>
            <w:tcW w:w="3402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NA</w:t>
            </w:r>
          </w:p>
        </w:tc>
      </w:tr>
      <w:tr>
        <w:trPr>
          <w:trHeight w:hRule="exact" w:val="454"/>
        </w:trPr>
        <w:tc>
          <w:tcPr>
            <w:tcW w:w="2720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</w:rPr>
              <w:t xml:space="preserve">Farn Deeps </w:t>
            </w:r>
            <w:r>
              <w:rPr>
                <w:noProof/>
                <w:color w:val="000000"/>
              </w:rPr>
              <w:t>FU 6</w:t>
            </w:r>
          </w:p>
        </w:tc>
        <w:tc>
          <w:tcPr>
            <w:tcW w:w="3058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999</w:t>
            </w:r>
          </w:p>
        </w:tc>
        <w:tc>
          <w:tcPr>
            <w:tcW w:w="3402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858</w:t>
            </w:r>
          </w:p>
        </w:tc>
      </w:tr>
      <w:tr>
        <w:trPr>
          <w:trHeight w:hRule="exact" w:val="454"/>
        </w:trPr>
        <w:tc>
          <w:tcPr>
            <w:tcW w:w="2720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</w:rPr>
              <w:t>Fladen Ground</w:t>
            </w:r>
            <w:r>
              <w:rPr>
                <w:noProof/>
                <w:color w:val="000000"/>
              </w:rPr>
              <w:t xml:space="preserve"> FU 7</w:t>
            </w:r>
          </w:p>
        </w:tc>
        <w:tc>
          <w:tcPr>
            <w:tcW w:w="3058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3583</w:t>
            </w:r>
          </w:p>
        </w:tc>
        <w:tc>
          <w:tcPr>
            <w:tcW w:w="3402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2767</w:t>
            </w:r>
          </w:p>
        </w:tc>
      </w:tr>
      <w:tr>
        <w:trPr>
          <w:trHeight w:hRule="exact" w:val="454"/>
        </w:trPr>
        <w:tc>
          <w:tcPr>
            <w:tcW w:w="2720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</w:rPr>
              <w:t xml:space="preserve">Firth of Forth </w:t>
            </w:r>
            <w:r>
              <w:rPr>
                <w:noProof/>
                <w:color w:val="000000"/>
              </w:rPr>
              <w:t>FU 8</w:t>
            </w:r>
          </w:p>
        </w:tc>
        <w:tc>
          <w:tcPr>
            <w:tcW w:w="3058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362</w:t>
            </w:r>
          </w:p>
        </w:tc>
        <w:tc>
          <w:tcPr>
            <w:tcW w:w="3402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292</w:t>
            </w:r>
          </w:p>
        </w:tc>
      </w:tr>
      <w:tr>
        <w:trPr>
          <w:trHeight w:hRule="exact" w:val="454"/>
        </w:trPr>
        <w:tc>
          <w:tcPr>
            <w:tcW w:w="2720" w:type="dxa"/>
            <w:vAlign w:val="center"/>
          </w:tcPr>
          <w:p>
            <w:pPr>
              <w:spacing w:before="0" w:after="0"/>
              <w:jc w:val="left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</w:rPr>
              <w:t xml:space="preserve">Moray Firth </w:t>
            </w:r>
            <w:r>
              <w:rPr>
                <w:noProof/>
                <w:color w:val="000000"/>
              </w:rPr>
              <w:t>FU 9</w:t>
            </w:r>
          </w:p>
        </w:tc>
        <w:tc>
          <w:tcPr>
            <w:tcW w:w="3058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262</w:t>
            </w:r>
          </w:p>
        </w:tc>
        <w:tc>
          <w:tcPr>
            <w:tcW w:w="3402" w:type="dxa"/>
            <w:vAlign w:val="center"/>
          </w:tcPr>
          <w:p>
            <w:pPr>
              <w:spacing w:before="0" w:after="0"/>
              <w:jc w:val="center"/>
              <w:rPr>
                <w:rFonts w:eastAsia="Times New Roman"/>
                <w:noProof/>
                <w:color w:val="000000"/>
                <w:szCs w:val="24"/>
              </w:rPr>
            </w:pPr>
            <w:r>
              <w:rPr>
                <w:noProof/>
                <w:color w:val="000000"/>
              </w:rPr>
              <w:t>262</w:t>
            </w:r>
          </w:p>
        </w:tc>
      </w:tr>
    </w:tbl>
    <w:p>
      <w:pPr>
        <w:rPr>
          <w:noProof/>
        </w:rPr>
      </w:pPr>
    </w:p>
    <w:sectPr>
      <w:footerReference w:type="default" r:id="rId15"/>
      <w:footerReference w:type="first" r:id="rId16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MT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MT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MT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  <w: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MT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A0F8E7D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2B965D6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1960E26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A8741E9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1B54A4C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2722C56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8C2E5F2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FA58A25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8"/>
  </w:num>
  <w:num w:numId="10">
    <w:abstractNumId w:val="12"/>
  </w:num>
  <w:num w:numId="11">
    <w:abstractNumId w:val="20"/>
  </w:num>
  <w:num w:numId="12">
    <w:abstractNumId w:val="11"/>
  </w:num>
  <w:num w:numId="13">
    <w:abstractNumId w:val="13"/>
  </w:num>
  <w:num w:numId="14">
    <w:abstractNumId w:val="9"/>
  </w:num>
  <w:num w:numId="15">
    <w:abstractNumId w:val="19"/>
  </w:num>
  <w:num w:numId="16">
    <w:abstractNumId w:val="8"/>
  </w:num>
  <w:num w:numId="17">
    <w:abstractNumId w:val="14"/>
  </w:num>
  <w:num w:numId="18">
    <w:abstractNumId w:val="16"/>
  </w:num>
  <w:num w:numId="19">
    <w:abstractNumId w:val="17"/>
  </w:num>
  <w:num w:numId="20">
    <w:abstractNumId w:val="10"/>
  </w:num>
  <w:num w:numId="21">
    <w:abstractNumId w:val="15"/>
  </w:num>
  <w:num w:numId="22">
    <w:abstractNumId w:val="21"/>
  </w:num>
  <w:num w:numId="23">
    <w:abstractNumId w:val="18"/>
  </w:num>
  <w:num w:numId="24">
    <w:abstractNumId w:val="12"/>
  </w:num>
  <w:num w:numId="25">
    <w:abstractNumId w:val="20"/>
  </w:num>
  <w:num w:numId="26">
    <w:abstractNumId w:val="11"/>
  </w:num>
  <w:num w:numId="27">
    <w:abstractNumId w:val="13"/>
  </w:num>
  <w:num w:numId="28">
    <w:abstractNumId w:val="9"/>
  </w:num>
  <w:num w:numId="29">
    <w:abstractNumId w:val="19"/>
  </w:num>
  <w:num w:numId="30">
    <w:abstractNumId w:val="8"/>
  </w:num>
  <w:num w:numId="31">
    <w:abstractNumId w:val="14"/>
  </w:num>
  <w:num w:numId="32">
    <w:abstractNumId w:val="16"/>
  </w:num>
  <w:num w:numId="33">
    <w:abstractNumId w:val="17"/>
  </w:num>
  <w:num w:numId="34">
    <w:abstractNumId w:val="10"/>
  </w:num>
  <w:num w:numId="35">
    <w:abstractNumId w:val="15"/>
  </w:num>
  <w:num w:numId="36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hideSpellingErrors/>
  <w:hideGrammaticalErrors/>
  <w:attachedTemplate r:id="rId1"/>
  <w:revisionView w:markup="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VERPAGE_EXISTS" w:val="True"/>
    <w:docVar w:name="DQCDateTime" w:val="2016-07-29 09:14:13"/>
    <w:docVar w:name="DQCHighlighting" w:val="0"/>
    <w:docVar w:name="DQCResult_Distribution" w:val="0;1"/>
    <w:docVar w:name="DQCResult_DocumentContent" w:val="0;0"/>
    <w:docVar w:name="DQCResult_DocumentSize" w:val="0;0"/>
    <w:docVar w:name="DQCResult_DocumentVersions" w:val="0;0"/>
    <w:docVar w:name="DQCResult_ExistenceOfMacro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0"/>
    <w:docVar w:name="DQCResult_UnknownFonts" w:val="0;0"/>
    <w:docVar w:name="DQCResult_UnknownStyles" w:val="0;0"/>
    <w:docVar w:name="DQCStatus" w:val="Yellow"/>
    <w:docVar w:name="DQCVersion" w:val="3"/>
    <w:docVar w:name="DQCWithWarnings" w:val="1"/>
    <w:docVar w:name="LW_ACCOMPAGNANT.CP" w:val="tal-"/>
    <w:docVar w:name="LW_ANNEX_NBR_FIRST" w:val="1"/>
    <w:docVar w:name="LW_ANNEX_NBR_LAST" w:val="2"/>
    <w:docVar w:name="LW_CONFIDENCE" w:val=" "/>
    <w:docVar w:name="LW_CONST_RESTREINT_UE" w:val="RESTREINT UE"/>
    <w:docVar w:name="LW_CORRIGENDUM" w:val="&lt;UNUSED&gt;"/>
    <w:docVar w:name="LW_COVERPAGE_GUID" w:val="A647C902379C4141B0EFF9A7E7F0BBB7"/>
    <w:docVar w:name="LW_CROSSREFERENCE" w:val="{SWD(2016) 267 final}_x000b_{SWD(2016) 272 final}"/>
    <w:docVar w:name="LW_DocType" w:val="ANNEX"/>
    <w:docVar w:name="LW_EMISSION" w:val="3.8.2016"/>
    <w:docVar w:name="LW_EMISSION_ISODATE" w:val="2016-08-03"/>
    <w:docVar w:name="LW_EMISSION_LOCATION" w:val="BRX"/>
    <w:docVar w:name="LW_EMISSION_PREFIX" w:val="Brussell, "/>
    <w:docVar w:name="LW_EMISSION_SUFFIX" w:val=" "/>
    <w:docVar w:name="LW_ID_DOCSTRUCTURE" w:val="COM/ANNEX"/>
    <w:docVar w:name="LW_ID_DOCTYPE" w:val="SG-017"/>
    <w:docVar w:name="LW_LANGUE" w:val="MT"/>
    <w:docVar w:name="LW_MARKING" w:val="&lt;UNUSED&gt;"/>
    <w:docVar w:name="LW_NOM.INST" w:val="IL-KUMMISSJONI EWROPEA"/>
    <w:docVar w:name="LW_NOM.INST_JOINTDOC" w:val="&lt;EMPTY&gt;"/>
    <w:docVar w:name="LW_OBJETACTEPRINCIPAL.CP" w:val="dwar l-istabbiliment ta\u8217? pjan pluriennali g\u295?all-istokkijiet demersali fil-Ba\u295?ar tat-Tramuntana u s-sajd li jisfrutta dawk l-istokkijiet u li j\u295?assar ir-Regolament tal-Kunsill (KE) Nru 676/2007 u r-Regolament tal-Kunsill (KE) Nru 1342/2008"/>
    <w:docVar w:name="LW_PART_NBR" w:val="&lt;UNUSED&gt;"/>
    <w:docVar w:name="LW_PART_NBR_TOTAL" w:val="&lt;UNUSED&gt;"/>
    <w:docVar w:name="LW_REF.INST.NEW" w:val="COM"/>
    <w:docVar w:name="LW_REF.INST.NEW_ADOPTED" w:val="final"/>
    <w:docVar w:name="LW_REF.INST.NEW_TEXT" w:val="(2016) 493"/>
    <w:docVar w:name="LW_REF.INTERNE" w:val="&lt;UNUSED&gt;"/>
    <w:docVar w:name="LW_SUPERTITRE" w:val="&lt;UNUSED&gt;"/>
    <w:docVar w:name="LW_TITRE.OBJ.CP" w:val="[\u8230?]"/>
    <w:docVar w:name="LW_TYPE.DOC.CP" w:val="ANNESSI"/>
    <w:docVar w:name="LW_TYPEACTEPRINCIPAL.CP" w:val="Proposta g\u295?al REGOLAMENT TAL-PARLAMENT EWROPEW U TAL-KUNSILL 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mt-MT" w:eastAsia="mt-MT" w:bidi="mt-MT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9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9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9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9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3"/>
      </w:numPr>
    </w:pPr>
  </w:style>
  <w:style w:type="paragraph" w:customStyle="1" w:styleId="Tiret1">
    <w:name w:val="Tiret 1"/>
    <w:basedOn w:val="Point1"/>
    <w:pPr>
      <w:numPr>
        <w:numId w:val="24"/>
      </w:numPr>
    </w:pPr>
  </w:style>
  <w:style w:type="paragraph" w:customStyle="1" w:styleId="Tiret2">
    <w:name w:val="Tiret 2"/>
    <w:basedOn w:val="Point2"/>
    <w:pPr>
      <w:numPr>
        <w:numId w:val="25"/>
      </w:numPr>
    </w:pPr>
  </w:style>
  <w:style w:type="paragraph" w:customStyle="1" w:styleId="Tiret3">
    <w:name w:val="Tiret 3"/>
    <w:basedOn w:val="Point3"/>
    <w:pPr>
      <w:numPr>
        <w:numId w:val="26"/>
      </w:numPr>
    </w:pPr>
  </w:style>
  <w:style w:type="paragraph" w:customStyle="1" w:styleId="Tiret4">
    <w:name w:val="Tiret 4"/>
    <w:basedOn w:val="Point4"/>
    <w:pPr>
      <w:numPr>
        <w:numId w:val="27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8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8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8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8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0"/>
      </w:numPr>
    </w:pPr>
  </w:style>
  <w:style w:type="paragraph" w:customStyle="1" w:styleId="Point1number">
    <w:name w:val="Point 1 (number)"/>
    <w:basedOn w:val="Normal"/>
    <w:pPr>
      <w:numPr>
        <w:ilvl w:val="2"/>
        <w:numId w:val="30"/>
      </w:numPr>
    </w:pPr>
  </w:style>
  <w:style w:type="paragraph" w:customStyle="1" w:styleId="Point2number">
    <w:name w:val="Point 2 (number)"/>
    <w:basedOn w:val="Normal"/>
    <w:pPr>
      <w:numPr>
        <w:ilvl w:val="4"/>
        <w:numId w:val="30"/>
      </w:numPr>
    </w:pPr>
  </w:style>
  <w:style w:type="paragraph" w:customStyle="1" w:styleId="Point3number">
    <w:name w:val="Point 3 (number)"/>
    <w:basedOn w:val="Normal"/>
    <w:pPr>
      <w:numPr>
        <w:ilvl w:val="6"/>
        <w:numId w:val="30"/>
      </w:numPr>
    </w:pPr>
  </w:style>
  <w:style w:type="paragraph" w:customStyle="1" w:styleId="Point0letter">
    <w:name w:val="Point 0 (letter)"/>
    <w:basedOn w:val="Normal"/>
    <w:pPr>
      <w:numPr>
        <w:ilvl w:val="1"/>
        <w:numId w:val="30"/>
      </w:numPr>
    </w:pPr>
  </w:style>
  <w:style w:type="paragraph" w:customStyle="1" w:styleId="Point1letter">
    <w:name w:val="Point 1 (letter)"/>
    <w:basedOn w:val="Normal"/>
    <w:pPr>
      <w:numPr>
        <w:ilvl w:val="3"/>
        <w:numId w:val="30"/>
      </w:numPr>
    </w:pPr>
  </w:style>
  <w:style w:type="paragraph" w:customStyle="1" w:styleId="Point2letter">
    <w:name w:val="Point 2 (letter)"/>
    <w:basedOn w:val="Normal"/>
    <w:pPr>
      <w:numPr>
        <w:ilvl w:val="5"/>
        <w:numId w:val="30"/>
      </w:numPr>
    </w:pPr>
  </w:style>
  <w:style w:type="paragraph" w:customStyle="1" w:styleId="Point3letter">
    <w:name w:val="Point 3 (letter)"/>
    <w:basedOn w:val="Normal"/>
    <w:pPr>
      <w:numPr>
        <w:ilvl w:val="7"/>
        <w:numId w:val="30"/>
      </w:numPr>
    </w:pPr>
  </w:style>
  <w:style w:type="paragraph" w:customStyle="1" w:styleId="Point4letter">
    <w:name w:val="Point 4 (letter)"/>
    <w:basedOn w:val="Normal"/>
    <w:pPr>
      <w:numPr>
        <w:ilvl w:val="8"/>
        <w:numId w:val="30"/>
      </w:numPr>
    </w:pPr>
  </w:style>
  <w:style w:type="paragraph" w:customStyle="1" w:styleId="Bullet0">
    <w:name w:val="Bullet 0"/>
    <w:basedOn w:val="Normal"/>
    <w:pPr>
      <w:numPr>
        <w:numId w:val="31"/>
      </w:numPr>
    </w:pPr>
  </w:style>
  <w:style w:type="paragraph" w:customStyle="1" w:styleId="Bullet1">
    <w:name w:val="Bullet 1"/>
    <w:basedOn w:val="Normal"/>
    <w:pPr>
      <w:numPr>
        <w:numId w:val="32"/>
      </w:numPr>
    </w:pPr>
  </w:style>
  <w:style w:type="paragraph" w:customStyle="1" w:styleId="Bullet2">
    <w:name w:val="Bullet 2"/>
    <w:basedOn w:val="Normal"/>
    <w:pPr>
      <w:numPr>
        <w:numId w:val="33"/>
      </w:numPr>
    </w:pPr>
  </w:style>
  <w:style w:type="paragraph" w:customStyle="1" w:styleId="Bullet3">
    <w:name w:val="Bullet 3"/>
    <w:basedOn w:val="Normal"/>
    <w:pPr>
      <w:numPr>
        <w:numId w:val="34"/>
      </w:numPr>
    </w:pPr>
  </w:style>
  <w:style w:type="paragraph" w:customStyle="1" w:styleId="Bullet4">
    <w:name w:val="Bullet 4"/>
    <w:basedOn w:val="Normal"/>
    <w:pPr>
      <w:numPr>
        <w:numId w:val="35"/>
      </w:numPr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6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mt-MT" w:eastAsia="mt-MT" w:bidi="mt-MT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9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9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9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9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3"/>
      </w:numPr>
    </w:pPr>
  </w:style>
  <w:style w:type="paragraph" w:customStyle="1" w:styleId="Tiret1">
    <w:name w:val="Tiret 1"/>
    <w:basedOn w:val="Point1"/>
    <w:pPr>
      <w:numPr>
        <w:numId w:val="24"/>
      </w:numPr>
    </w:pPr>
  </w:style>
  <w:style w:type="paragraph" w:customStyle="1" w:styleId="Tiret2">
    <w:name w:val="Tiret 2"/>
    <w:basedOn w:val="Point2"/>
    <w:pPr>
      <w:numPr>
        <w:numId w:val="25"/>
      </w:numPr>
    </w:pPr>
  </w:style>
  <w:style w:type="paragraph" w:customStyle="1" w:styleId="Tiret3">
    <w:name w:val="Tiret 3"/>
    <w:basedOn w:val="Point3"/>
    <w:pPr>
      <w:numPr>
        <w:numId w:val="26"/>
      </w:numPr>
    </w:pPr>
  </w:style>
  <w:style w:type="paragraph" w:customStyle="1" w:styleId="Tiret4">
    <w:name w:val="Tiret 4"/>
    <w:basedOn w:val="Point4"/>
    <w:pPr>
      <w:numPr>
        <w:numId w:val="27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8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8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8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8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0"/>
      </w:numPr>
    </w:pPr>
  </w:style>
  <w:style w:type="paragraph" w:customStyle="1" w:styleId="Point1number">
    <w:name w:val="Point 1 (number)"/>
    <w:basedOn w:val="Normal"/>
    <w:pPr>
      <w:numPr>
        <w:ilvl w:val="2"/>
        <w:numId w:val="30"/>
      </w:numPr>
    </w:pPr>
  </w:style>
  <w:style w:type="paragraph" w:customStyle="1" w:styleId="Point2number">
    <w:name w:val="Point 2 (number)"/>
    <w:basedOn w:val="Normal"/>
    <w:pPr>
      <w:numPr>
        <w:ilvl w:val="4"/>
        <w:numId w:val="30"/>
      </w:numPr>
    </w:pPr>
  </w:style>
  <w:style w:type="paragraph" w:customStyle="1" w:styleId="Point3number">
    <w:name w:val="Point 3 (number)"/>
    <w:basedOn w:val="Normal"/>
    <w:pPr>
      <w:numPr>
        <w:ilvl w:val="6"/>
        <w:numId w:val="30"/>
      </w:numPr>
    </w:pPr>
  </w:style>
  <w:style w:type="paragraph" w:customStyle="1" w:styleId="Point0letter">
    <w:name w:val="Point 0 (letter)"/>
    <w:basedOn w:val="Normal"/>
    <w:pPr>
      <w:numPr>
        <w:ilvl w:val="1"/>
        <w:numId w:val="30"/>
      </w:numPr>
    </w:pPr>
  </w:style>
  <w:style w:type="paragraph" w:customStyle="1" w:styleId="Point1letter">
    <w:name w:val="Point 1 (letter)"/>
    <w:basedOn w:val="Normal"/>
    <w:pPr>
      <w:numPr>
        <w:ilvl w:val="3"/>
        <w:numId w:val="30"/>
      </w:numPr>
    </w:pPr>
  </w:style>
  <w:style w:type="paragraph" w:customStyle="1" w:styleId="Point2letter">
    <w:name w:val="Point 2 (letter)"/>
    <w:basedOn w:val="Normal"/>
    <w:pPr>
      <w:numPr>
        <w:ilvl w:val="5"/>
        <w:numId w:val="30"/>
      </w:numPr>
    </w:pPr>
  </w:style>
  <w:style w:type="paragraph" w:customStyle="1" w:styleId="Point3letter">
    <w:name w:val="Point 3 (letter)"/>
    <w:basedOn w:val="Normal"/>
    <w:pPr>
      <w:numPr>
        <w:ilvl w:val="7"/>
        <w:numId w:val="30"/>
      </w:numPr>
    </w:pPr>
  </w:style>
  <w:style w:type="paragraph" w:customStyle="1" w:styleId="Point4letter">
    <w:name w:val="Point 4 (letter)"/>
    <w:basedOn w:val="Normal"/>
    <w:pPr>
      <w:numPr>
        <w:ilvl w:val="8"/>
        <w:numId w:val="30"/>
      </w:numPr>
    </w:pPr>
  </w:style>
  <w:style w:type="paragraph" w:customStyle="1" w:styleId="Bullet0">
    <w:name w:val="Bullet 0"/>
    <w:basedOn w:val="Normal"/>
    <w:pPr>
      <w:numPr>
        <w:numId w:val="31"/>
      </w:numPr>
    </w:pPr>
  </w:style>
  <w:style w:type="paragraph" w:customStyle="1" w:styleId="Bullet1">
    <w:name w:val="Bullet 1"/>
    <w:basedOn w:val="Normal"/>
    <w:pPr>
      <w:numPr>
        <w:numId w:val="32"/>
      </w:numPr>
    </w:pPr>
  </w:style>
  <w:style w:type="paragraph" w:customStyle="1" w:styleId="Bullet2">
    <w:name w:val="Bullet 2"/>
    <w:basedOn w:val="Normal"/>
    <w:pPr>
      <w:numPr>
        <w:numId w:val="33"/>
      </w:numPr>
    </w:pPr>
  </w:style>
  <w:style w:type="paragraph" w:customStyle="1" w:styleId="Bullet3">
    <w:name w:val="Bullet 3"/>
    <w:basedOn w:val="Normal"/>
    <w:pPr>
      <w:numPr>
        <w:numId w:val="34"/>
      </w:numPr>
    </w:pPr>
  </w:style>
  <w:style w:type="paragraph" w:customStyle="1" w:styleId="Bullet4">
    <w:name w:val="Bullet 4"/>
    <w:basedOn w:val="Normal"/>
    <w:pPr>
      <w:numPr>
        <w:numId w:val="35"/>
      </w:numPr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6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0</TotalTime>
  <Pages>2</Pages>
  <Words>334</Words>
  <Characters>1951</Characters>
  <Application>Microsoft Office Word</Application>
  <DocSecurity>0</DocSecurity>
  <Lines>139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9</cp:revision>
  <dcterms:created xsi:type="dcterms:W3CDTF">2016-07-29T07:13:00Z</dcterms:created>
  <dcterms:modified xsi:type="dcterms:W3CDTF">2016-08-02T13:33:00Z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Classification">
    <vt:lpwstr> </vt:lpwstr>
  </property>
  <property fmtid="{D5CDD505-2E9C-101B-9397-08002B2CF9AE}" pid="4" name="Version">
    <vt:lpwstr>5.84.2.0</vt:lpwstr>
  </property>
  <property fmtid="{D5CDD505-2E9C-101B-9397-08002B2CF9AE}" pid="5" name="Last edited using">
    <vt:lpwstr>LW 5.8.4, Build 20150407</vt:lpwstr>
  </property>
  <property fmtid="{D5CDD505-2E9C-101B-9397-08002B2CF9AE}" pid="6" name="Created using">
    <vt:lpwstr>LW 5.8.4, Build 20150407</vt:lpwstr>
  </property>
  <property fmtid="{D5CDD505-2E9C-101B-9397-08002B2CF9AE}" pid="7" name="First annex">
    <vt:lpwstr>1</vt:lpwstr>
  </property>
  <property fmtid="{D5CDD505-2E9C-101B-9397-08002B2CF9AE}" pid="8" name="Last annex">
    <vt:lpwstr>2</vt:lpwstr>
  </property>
  <property fmtid="{D5CDD505-2E9C-101B-9397-08002B2CF9AE}" pid="9" name="Part">
    <vt:lpwstr>&lt;UNUSED&gt;</vt:lpwstr>
  </property>
  <property fmtid="{D5CDD505-2E9C-101B-9397-08002B2CF9AE}" pid="10" name="Total parts">
    <vt:lpwstr>&lt;UNUSED&gt;</vt:lpwstr>
  </property>
  <property fmtid="{D5CDD505-2E9C-101B-9397-08002B2CF9AE}" pid="11" name="LWTemplateID">
    <vt:lpwstr>SG-017</vt:lpwstr>
  </property>
  <property fmtid="{D5CDD505-2E9C-101B-9397-08002B2CF9AE}" pid="12" name="DQCStatus">
    <vt:lpwstr>Yellow (DQC version 03)</vt:lpwstr>
  </property>
  <property name="OP_sanitized" fmtid="{D5CDD505-2E9C-101B-9397-08002B2CF9AE}" pid="13">
    <vt:lpwstr>True</vt:lpwstr>
  </property>
</Properties>
</file>