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76A1FC60-E1BF-446A-AE45-6A79A971BDB9" style="width:450.4pt;height:452.1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Annexetitre"/>
        <w:spacing w:after="480"/>
        <w:rPr>
          <w:noProof/>
        </w:rPr>
      </w:pPr>
      <w:bookmarkStart w:id="0" w:name="_GoBack"/>
      <w:bookmarkEnd w:id="0"/>
      <w:r>
        <w:rPr>
          <w:noProof/>
        </w:rPr>
        <w:lastRenderedPageBreak/>
        <w:t>ANEXĂ</w:t>
      </w:r>
    </w:p>
    <w:p>
      <w:pPr>
        <w:jc w:val="center"/>
        <w:rPr>
          <w:noProof/>
        </w:rPr>
      </w:pPr>
      <w:r>
        <w:rPr>
          <w:b/>
          <w:noProof/>
        </w:rPr>
        <w:t>PROIECT DE</w:t>
      </w:r>
    </w:p>
    <w:p>
      <w:pPr>
        <w:jc w:val="center"/>
        <w:rPr>
          <w:b/>
          <w:caps/>
          <w:noProof/>
          <w:szCs w:val="24"/>
        </w:rPr>
      </w:pPr>
      <w:r>
        <w:rPr>
          <w:b/>
          <w:caps/>
          <w:noProof/>
        </w:rPr>
        <w:t xml:space="preserve">DECIZIE NR. X/2017 A CONSILIULUI DE ASOCIERE UE-UCRAINA </w:t>
      </w:r>
    </w:p>
    <w:p>
      <w:pPr>
        <w:jc w:val="center"/>
        <w:rPr>
          <w:b/>
          <w:noProof/>
          <w:szCs w:val="24"/>
        </w:rPr>
      </w:pPr>
      <w:r>
        <w:rPr>
          <w:b/>
          <w:noProof/>
        </w:rPr>
        <w:t xml:space="preserve">din … 2017 </w:t>
      </w:r>
    </w:p>
    <w:p>
      <w:pPr>
        <w:spacing w:after="240"/>
        <w:jc w:val="center"/>
        <w:rPr>
          <w:b/>
          <w:noProof/>
          <w:szCs w:val="24"/>
        </w:rPr>
      </w:pPr>
      <w:r>
        <w:rPr>
          <w:b/>
          <w:noProof/>
        </w:rPr>
        <w:t xml:space="preserve">de completare a anexei I-A la Acordul de asociere </w:t>
      </w:r>
    </w:p>
    <w:p>
      <w:pPr>
        <w:spacing w:line="276" w:lineRule="auto"/>
        <w:rPr>
          <w:noProof/>
        </w:rPr>
      </w:pPr>
      <w:r>
        <w:rPr>
          <w:noProof/>
        </w:rPr>
        <w:t>CONSILIUL DE ASOCIERE UE-UCRAINA,</w:t>
      </w:r>
    </w:p>
    <w:p>
      <w:pPr>
        <w:rPr>
          <w:noProof/>
        </w:rPr>
      </w:pPr>
      <w:r>
        <w:rPr>
          <w:noProof/>
        </w:rPr>
        <w:t xml:space="preserve">având în vedere </w:t>
      </w:r>
      <w:r>
        <w:rPr>
          <w:noProof/>
          <w:color w:val="000000"/>
        </w:rPr>
        <w:t>Acordul de asociere între Uniunea Europeană</w:t>
      </w:r>
      <w:r>
        <w:rPr>
          <w:noProof/>
        </w:rPr>
        <w:t>, Comunitatea Europeană a Energiei Atomice și statele membre ale acestora, pe de o parte, și Ucraina, pe de altă parte, semnat la Bruxelles la 27 iunie 2014,</w:t>
      </w:r>
    </w:p>
    <w:p>
      <w:pPr>
        <w:rPr>
          <w:noProof/>
        </w:rPr>
      </w:pPr>
      <w:r>
        <w:rPr>
          <w:noProof/>
        </w:rPr>
        <w:t>întrucât:</w:t>
      </w:r>
    </w:p>
    <w:p>
      <w:pPr>
        <w:pStyle w:val="ManualConsidrant"/>
        <w:rPr>
          <w:noProof/>
        </w:rPr>
      </w:pPr>
      <w:r>
        <w:rPr>
          <w:noProof/>
        </w:rPr>
        <w:t>(1)</w:t>
      </w:r>
      <w:r>
        <w:rPr>
          <w:noProof/>
        </w:rPr>
        <w:tab/>
        <w:t xml:space="preserve">În conformitate cu articolul 486 din Acordul de asociere între Uniunea Europeană și Comunitatea Europeană a Energiei Atomice și statele membre ale acestora, pe de o parte, și Ucraina, pe de altă parte (denumit în continuare „acordul”), anumite părți ale acordului, inclusiv dispozițiile referitoare la eliminarea taxelor vamale și anexa I-A corespunzătoare, se aplică cu titlu provizoriu de la 1 ianuarie 2016. </w:t>
      </w:r>
    </w:p>
    <w:p>
      <w:pPr>
        <w:pStyle w:val="ManualConsidrant"/>
        <w:rPr>
          <w:noProof/>
        </w:rPr>
      </w:pPr>
      <w:r>
        <w:rPr>
          <w:noProof/>
        </w:rPr>
        <w:t>(2)</w:t>
      </w:r>
      <w:r>
        <w:rPr>
          <w:noProof/>
        </w:rPr>
        <w:tab/>
        <w:t>Regulamentul (UE) nr. 374/2014 al Parlamentului European și al Consiliului din 16 aprilie 2014 a stabilit în mod unilateral un acord preferențial care a permis reducerea sau eliminarea taxelor vamale aplicabile mărfurilor originare din Ucraina în conformitate cu anexa I din regulamentul menționat.</w:t>
      </w:r>
    </w:p>
    <w:p>
      <w:pPr>
        <w:pStyle w:val="ManualConsidrant"/>
        <w:rPr>
          <w:noProof/>
        </w:rPr>
      </w:pPr>
      <w:r>
        <w:rPr>
          <w:noProof/>
        </w:rPr>
        <w:t>(3)</w:t>
      </w:r>
      <w:r>
        <w:rPr>
          <w:noProof/>
        </w:rPr>
        <w:tab/>
        <w:t xml:space="preserve">Un astfel de regim preferențial corespundea concesiilor tarifare care urmau să fie aplicate în cursul primului an de punere în aplicare a acordului de asociere UE-Ucraina în conformitate cu anexa I-A la acord. </w:t>
      </w:r>
    </w:p>
    <w:p>
      <w:pPr>
        <w:pStyle w:val="ManualConsidrant"/>
        <w:rPr>
          <w:noProof/>
        </w:rPr>
      </w:pPr>
      <w:r>
        <w:rPr>
          <w:noProof/>
        </w:rPr>
        <w:t>(4)</w:t>
      </w:r>
      <w:r>
        <w:rPr>
          <w:noProof/>
        </w:rPr>
        <w:tab/>
        <w:t xml:space="preserve">Regulamentul (UE) nr. 1150/2014 al Parlamentului European și al Consiliului din 29 octombrie 2014 de modificare a Regulamentului (UE) nr. 374/2014 a introdus, printre altele, o clarificare cu privire la reducerea specifică care trebuie aplicată la nivelul de bază al taxelor vamale pentru fiecare „categorie în etapa eliminării” prevăzută în anexa I la regulamentul respectiv. </w:t>
      </w:r>
    </w:p>
    <w:p>
      <w:pPr>
        <w:pStyle w:val="ManualConsidrant"/>
        <w:rPr>
          <w:noProof/>
          <w:color w:val="000000"/>
        </w:rPr>
      </w:pPr>
      <w:r>
        <w:rPr>
          <w:noProof/>
        </w:rPr>
        <w:t>(5)</w:t>
      </w:r>
      <w:r>
        <w:rPr>
          <w:noProof/>
        </w:rPr>
        <w:tab/>
        <w:t xml:space="preserve">Din motive de claritate a acordului, o clarificare echivalentă este necesară pentru a preciza reducerea care trebuie aplicată la nivelul de bază al taxelor vamale pentru toți anii următori pentru fiecare „categorie în etapa eliminării” prevăzută în anexa I-A la acord. Aceste modalități de eliminare a tarifelor corespund cu înțelegerea reciprocă la care s-a ajuns cu Ucraina în cursul negocierilor și vor fi aplicate de ambele părți la acord. </w:t>
      </w:r>
    </w:p>
    <w:p>
      <w:pPr>
        <w:pStyle w:val="ManualConsidrant"/>
        <w:rPr>
          <w:noProof/>
        </w:rPr>
      </w:pPr>
      <w:r>
        <w:rPr>
          <w:noProof/>
        </w:rPr>
        <w:t>(6)</w:t>
      </w:r>
      <w:r>
        <w:rPr>
          <w:noProof/>
        </w:rPr>
        <w:tab/>
        <w:t>Conform articolului 463 alineatul (2) din acord, Consiliul de asociere reprezintă un forum pentru schimbul de informații cu privire la punerea în aplicare și la măsurile de executare.</w:t>
      </w:r>
    </w:p>
    <w:p>
      <w:pPr>
        <w:pStyle w:val="ManualConsidrant"/>
        <w:rPr>
          <w:noProof/>
        </w:rPr>
      </w:pPr>
      <w:r>
        <w:rPr>
          <w:noProof/>
        </w:rPr>
        <w:t>(7)</w:t>
      </w:r>
      <w:r>
        <w:rPr>
          <w:noProof/>
        </w:rPr>
        <w:tab/>
        <w:t>Conform articolului 463 alineatul (3) din acord, Consiliul de asociere este împuternicit să actualizeze sau să modifice anexele la acord.</w:t>
      </w:r>
    </w:p>
    <w:p>
      <w:pPr>
        <w:pStyle w:val="ManualConsidrant"/>
        <w:rPr>
          <w:noProof/>
        </w:rPr>
      </w:pPr>
      <w:r>
        <w:rPr>
          <w:noProof/>
        </w:rPr>
        <w:t>(8)</w:t>
      </w:r>
      <w:r>
        <w:rPr>
          <w:noProof/>
        </w:rPr>
        <w:tab/>
        <w:t>Prin urmare, este oportun ca Consiliul de asociere UE-Ucraina să adopte o decizie care să completeze anexa I-A la Acordul de asociere,</w:t>
      </w:r>
    </w:p>
    <w:p>
      <w:pPr>
        <w:rPr>
          <w:noProof/>
        </w:rPr>
      </w:pPr>
      <w:r>
        <w:rPr>
          <w:noProof/>
        </w:rPr>
        <w:t>ADOPTĂ PREZENTA DECIZIE:</w:t>
      </w:r>
    </w:p>
    <w:p>
      <w:pPr>
        <w:pStyle w:val="Titrearticle1"/>
        <w:rPr>
          <w:noProof/>
        </w:rPr>
      </w:pPr>
      <w:r>
        <w:rPr>
          <w:noProof/>
        </w:rPr>
        <w:lastRenderedPageBreak/>
        <w:t>Articolul 1</w:t>
      </w:r>
    </w:p>
    <w:p>
      <w:pPr>
        <w:rPr>
          <w:noProof/>
        </w:rPr>
      </w:pPr>
      <w:r>
        <w:rPr>
          <w:noProof/>
        </w:rPr>
        <w:t>Se adaugă un nou apendice C la anexa I-A la Acordul de asociere între Uniunea Europeană și Comunitatea Europeană a Energiei Atomice și statele membre ale acestora, pe de o parte, și Ucraina, pe de altă parte, astfel cum figurează în anexa la prezenta decizie, pentru a clarifica punerea în aplicare a reducerii la nivelul de bază al taxelor vamale care urmează a fi aplicată pentru toți anii următori pentru fiecare „categorie în etapa eliminării” prevăzută în anexa I-A.</w:t>
      </w:r>
    </w:p>
    <w:p>
      <w:pPr>
        <w:pStyle w:val="Titrearticle1"/>
        <w:rPr>
          <w:i w:val="0"/>
          <w:noProof/>
        </w:rPr>
      </w:pPr>
      <w:r>
        <w:rPr>
          <w:noProof/>
        </w:rPr>
        <w:t>Articolul</w:t>
      </w:r>
      <w:r>
        <w:rPr>
          <w:i w:val="0"/>
          <w:noProof/>
        </w:rPr>
        <w:t xml:space="preserve"> 2</w:t>
      </w:r>
    </w:p>
    <w:p>
      <w:pPr>
        <w:rPr>
          <w:noProof/>
        </w:rPr>
      </w:pPr>
      <w:r>
        <w:rPr>
          <w:noProof/>
        </w:rPr>
        <w:t>Prezenta decizie intră în vigoare la data adoptării sale.</w:t>
      </w:r>
    </w:p>
    <w:p>
      <w:pPr>
        <w:pStyle w:val="Fait"/>
        <w:rPr>
          <w:noProof/>
        </w:rPr>
      </w:pPr>
      <w:r>
        <w:rPr>
          <w:noProof/>
        </w:rPr>
        <w:t>Adoptată la …, …</w:t>
      </w:r>
    </w:p>
    <w:tbl>
      <w:tblPr>
        <w:tblW w:w="0" w:type="auto"/>
        <w:tblLook w:val="04A0" w:firstRow="1" w:lastRow="0" w:firstColumn="1" w:lastColumn="0" w:noHBand="0" w:noVBand="1"/>
      </w:tblPr>
      <w:tblGrid>
        <w:gridCol w:w="4643"/>
        <w:gridCol w:w="4644"/>
      </w:tblGrid>
      <w:tr>
        <w:tc>
          <w:tcPr>
            <w:tcW w:w="4643" w:type="dxa"/>
            <w:shd w:val="clear" w:color="auto" w:fill="auto"/>
          </w:tcPr>
          <w:p>
            <w:pPr>
              <w:ind w:left="2160" w:firstLine="720"/>
              <w:jc w:val="center"/>
              <w:rPr>
                <w:rFonts w:eastAsia="Times New Roman"/>
                <w:noProof/>
                <w:szCs w:val="24"/>
              </w:rPr>
            </w:pPr>
          </w:p>
        </w:tc>
        <w:tc>
          <w:tcPr>
            <w:tcW w:w="4644" w:type="dxa"/>
            <w:shd w:val="clear" w:color="auto" w:fill="auto"/>
          </w:tcPr>
          <w:p>
            <w:pPr>
              <w:spacing w:before="0" w:after="0"/>
              <w:rPr>
                <w:i/>
                <w:noProof/>
              </w:rPr>
            </w:pPr>
            <w:r>
              <w:rPr>
                <w:i/>
                <w:noProof/>
              </w:rPr>
              <w:t>Pentru Consiliul de asociere</w:t>
            </w:r>
          </w:p>
        </w:tc>
      </w:tr>
      <w:tr>
        <w:tc>
          <w:tcPr>
            <w:tcW w:w="4643" w:type="dxa"/>
            <w:shd w:val="clear" w:color="auto" w:fill="auto"/>
          </w:tcPr>
          <w:p>
            <w:pPr>
              <w:rPr>
                <w:rFonts w:eastAsia="Times New Roman"/>
                <w:noProof/>
                <w:szCs w:val="24"/>
              </w:rPr>
            </w:pPr>
          </w:p>
        </w:tc>
        <w:tc>
          <w:tcPr>
            <w:tcW w:w="4644" w:type="dxa"/>
            <w:shd w:val="clear" w:color="auto" w:fill="auto"/>
          </w:tcPr>
          <w:p>
            <w:pPr>
              <w:rPr>
                <w:i/>
                <w:noProof/>
              </w:rPr>
            </w:pPr>
            <w:r>
              <w:rPr>
                <w:i/>
                <w:noProof/>
              </w:rPr>
              <w:t>Președintele</w:t>
            </w:r>
          </w:p>
          <w:p>
            <w:pPr>
              <w:rPr>
                <w:rFonts w:eastAsia="Times New Roman"/>
                <w:i/>
                <w:noProof/>
                <w:szCs w:val="24"/>
              </w:rPr>
            </w:pPr>
          </w:p>
        </w:tc>
      </w:tr>
    </w:tbl>
    <w:p>
      <w:pPr>
        <w:spacing w:before="0" w:after="200" w:line="276" w:lineRule="auto"/>
        <w:jc w:val="left"/>
        <w:rPr>
          <w:noProof/>
        </w:rPr>
        <w:sectPr>
          <w:footerReference w:type="default" r:id="rId16"/>
          <w:footerReference w:type="first" r:id="rId17"/>
          <w:pgSz w:w="11906" w:h="16838"/>
          <w:pgMar w:top="1417" w:right="1417" w:bottom="1417" w:left="1417" w:header="708" w:footer="708" w:gutter="0"/>
          <w:pgNumType w:start="2"/>
          <w:cols w:space="708"/>
          <w:docGrid w:linePitch="360"/>
        </w:sectPr>
      </w:pPr>
    </w:p>
    <w:p>
      <w:pPr>
        <w:spacing w:after="200" w:line="276" w:lineRule="auto"/>
        <w:jc w:val="center"/>
        <w:rPr>
          <w:b/>
          <w:caps/>
          <w:noProof/>
        </w:rPr>
      </w:pPr>
      <w:r>
        <w:rPr>
          <w:b/>
          <w:caps/>
          <w:noProof/>
        </w:rPr>
        <w:t>Anexă</w:t>
      </w:r>
    </w:p>
    <w:p>
      <w:pPr>
        <w:spacing w:after="200" w:line="276" w:lineRule="auto"/>
        <w:jc w:val="center"/>
        <w:rPr>
          <w:noProof/>
        </w:rPr>
      </w:pPr>
      <w:r>
        <w:rPr>
          <w:b/>
          <w:caps/>
          <w:noProof/>
        </w:rPr>
        <w:t>Apendicele C la ANEXA I-A LA ACORDUL DE ASOCIERE</w:t>
      </w:r>
    </w:p>
    <w:p>
      <w:pPr>
        <w:spacing w:after="200" w:line="276" w:lineRule="auto"/>
        <w:jc w:val="center"/>
        <w:rPr>
          <w:noProof/>
        </w:rPr>
      </w:pPr>
      <w:r>
        <w:rPr>
          <w:noProof/>
        </w:rPr>
        <w:t>ELIMINAREA TAXELOR VAMALE</w:t>
      </w:r>
    </w:p>
    <w:p>
      <w:pPr>
        <w:spacing w:after="200" w:line="276" w:lineRule="auto"/>
        <w:rPr>
          <w:noProof/>
        </w:rPr>
      </w:pPr>
      <w:r>
        <w:rPr>
          <w:noProof/>
        </w:rPr>
        <w:t>PROGRAME DE ELIMINARE A TARIFELOR ALE PĂRȚILOR PENTRU MĂRFURI ORIGINARE DIN CEALALTĂ PARTE</w:t>
      </w:r>
    </w:p>
    <w:p>
      <w:pPr>
        <w:spacing w:after="200" w:line="276" w:lineRule="auto"/>
        <w:rPr>
          <w:noProof/>
        </w:rPr>
      </w:pPr>
      <w:r>
        <w:rPr>
          <w:noProof/>
        </w:rPr>
        <w:t>Prezentul apendice clarifică reducerea la nivelul de bază al taxelor vamale care trebuie aplicată pentru fiecare „categorie în etapa eliminării”</w:t>
      </w:r>
    </w:p>
    <w:p>
      <w:pPr>
        <w:pStyle w:val="ManualNumPar10"/>
        <w:rPr>
          <w:noProof/>
        </w:rPr>
      </w:pPr>
      <w:r>
        <w:rPr>
          <w:noProof/>
        </w:rPr>
        <w:t>1.</w:t>
      </w:r>
      <w:r>
        <w:rPr>
          <w:noProof/>
        </w:rPr>
        <w:tab/>
        <w:t>În lipsa unor dispoziții contrare prevăzute în programele de eliminare a tarifelor ale părților incluse în anexa I-A la capitolul 1 (denumite în continuare „programe”), se aplică următoarele clarificări în cazul eliminării taxelor vamale de către părți, în conformitate cu articolul 29 (Eliminarea taxelor vamale asupra importurilor) de la titlul IV (Comerțul și aspectele legate de comerț) din prezentul acord:</w:t>
      </w:r>
    </w:p>
    <w:p>
      <w:pPr>
        <w:pStyle w:val="Point10"/>
        <w:rPr>
          <w:noProof/>
        </w:rPr>
      </w:pPr>
      <w:r>
        <w:rPr>
          <w:noProof/>
        </w:rPr>
        <w:t>(a)</w:t>
      </w:r>
      <w:r>
        <w:rPr>
          <w:noProof/>
        </w:rPr>
        <w:tab/>
        <w:t>taxele vamale pentru mărfurile originare din Ucraina sau din UE (denumite în continuare „mărfuri originare”) prevăzute la liniile tarifare din categoria în etapa eliminării „0” din programe se elimină în întregime și aceste mărfuri sunt scutite de orice taxe vamale la data intrării în vigoare a prezentului acord;</w:t>
      </w:r>
    </w:p>
    <w:p>
      <w:pPr>
        <w:pStyle w:val="Point10"/>
        <w:rPr>
          <w:noProof/>
        </w:rPr>
      </w:pPr>
      <w:r>
        <w:rPr>
          <w:noProof/>
        </w:rPr>
        <w:t>(b)</w:t>
      </w:r>
      <w:r>
        <w:rPr>
          <w:noProof/>
        </w:rPr>
        <w:tab/>
        <w:t>taxele vamale pentru mărfurile originare prevăzute la liniile tarifare din categoria în etapa eliminării „1” din programe se elimină în două etape egale, începând de la data intrării în vigoare a prezentului acord, iar aceste mărfuri sunt scutite de orice taxe vamale după această dată;</w:t>
      </w:r>
    </w:p>
    <w:p>
      <w:pPr>
        <w:pStyle w:val="Point10"/>
        <w:rPr>
          <w:noProof/>
        </w:rPr>
      </w:pPr>
      <w:r>
        <w:rPr>
          <w:noProof/>
        </w:rPr>
        <w:t>(c)</w:t>
      </w:r>
      <w:r>
        <w:rPr>
          <w:noProof/>
        </w:rPr>
        <w:tab/>
        <w:t>taxele vamale pentru mărfurile originare prevăzute la liniile tarifare din categoria în etapa eliminării „2” din programe se elimină în trei etape egale, începând de la data intrării în vigoare a prezentului acord, iar aceste mărfuri sunt scutite de orice taxe vamale după această dată;</w:t>
      </w:r>
    </w:p>
    <w:p>
      <w:pPr>
        <w:pStyle w:val="Point10"/>
        <w:rPr>
          <w:noProof/>
        </w:rPr>
      </w:pPr>
      <w:r>
        <w:rPr>
          <w:noProof/>
        </w:rPr>
        <w:t>(d)</w:t>
      </w:r>
      <w:r>
        <w:rPr>
          <w:noProof/>
        </w:rPr>
        <w:tab/>
        <w:t>taxele vamale pentru mărfurile originare prevăzute la liniile tarifare din categoria în etapa eliminării „3” din programe se elimină în patru etape egale, începând de la data intrării în vigoare a prezentului acord, iar aceste mărfuri sunt scutite de orice taxe vamale după această dată;</w:t>
      </w:r>
    </w:p>
    <w:p>
      <w:pPr>
        <w:pStyle w:val="Point10"/>
        <w:rPr>
          <w:noProof/>
        </w:rPr>
      </w:pPr>
      <w:r>
        <w:rPr>
          <w:noProof/>
        </w:rPr>
        <w:t>(e)</w:t>
      </w:r>
      <w:r>
        <w:rPr>
          <w:noProof/>
        </w:rPr>
        <w:tab/>
        <w:t>taxele vamale pentru mărfurile originare prevăzute la liniile tarifare din categoria în etapa eliminării „5” din programe se elimină în șase etape egale, începând de la data intrării în vigoare a prezentului acord, iar aceste mărfuri sunt scutite de orice taxe vamale după această dată;</w:t>
      </w:r>
    </w:p>
    <w:p>
      <w:pPr>
        <w:pStyle w:val="Point10"/>
        <w:rPr>
          <w:noProof/>
        </w:rPr>
      </w:pPr>
      <w:r>
        <w:rPr>
          <w:noProof/>
        </w:rPr>
        <w:t>(f)</w:t>
      </w:r>
      <w:r>
        <w:rPr>
          <w:noProof/>
        </w:rPr>
        <w:tab/>
        <w:t>taxele vamale pentru mărfurile originare prevăzute la liniile tarifare din categoria în etapa eliminării „7” din programe se elimină în opt etape egale, începând de la data intrării în vigoare a prezentului acord, iar aceste mărfuri sunt scutite de orice taxe vamale după această dată;</w:t>
      </w:r>
    </w:p>
    <w:p>
      <w:pPr>
        <w:pStyle w:val="Point10"/>
        <w:rPr>
          <w:noProof/>
        </w:rPr>
      </w:pPr>
      <w:r>
        <w:rPr>
          <w:noProof/>
        </w:rPr>
        <w:t>(g)</w:t>
      </w:r>
      <w:r>
        <w:rPr>
          <w:noProof/>
        </w:rPr>
        <w:tab/>
        <w:t>taxele vamale pentru mărfurile originare prevăzute la liniile tarifare din categoria în etapa eliminării „10” din programe se elimină în unsprezece etape egale, începând de la data intrării în vigoare a prezentului acord, iar aceste mărfuri sunt scutite de orice taxe vamale după această dată;</w:t>
      </w:r>
    </w:p>
    <w:p>
      <w:pPr>
        <w:pStyle w:val="Point10"/>
        <w:rPr>
          <w:noProof/>
        </w:rPr>
      </w:pPr>
      <w:r>
        <w:rPr>
          <w:noProof/>
        </w:rPr>
        <w:t>(h)</w:t>
      </w:r>
      <w:r>
        <w:rPr>
          <w:noProof/>
        </w:rPr>
        <w:tab/>
        <w:t>taxele vamale pentru mărfurile originare prevăzute la liniile tarifare marcate cu mențiunea „20 % în 5 ani” din programe se reduc cu 20 % în șase etape egale, începând de la data intrării în vigoare a prezentului acord, iar aceste mărfuri sunt supuse ulterior unei taxe vamale echivalente cu rata de bază redusă cu 20 %;</w:t>
      </w:r>
    </w:p>
    <w:p>
      <w:pPr>
        <w:pStyle w:val="Point10"/>
        <w:rPr>
          <w:noProof/>
        </w:rPr>
      </w:pPr>
      <w:r>
        <w:rPr>
          <w:noProof/>
        </w:rPr>
        <w:t>(i)</w:t>
      </w:r>
      <w:r>
        <w:rPr>
          <w:noProof/>
        </w:rPr>
        <w:tab/>
        <w:t>taxele vamale pentru mărfurile originare prevăzute la liniile tarifare marcate cu mențiunea „20 % în 10 ani” din programe se reduc cu 20 % în unsprezece etape egale, începând de la data intrării în vigoare a prezentului acord, iar aceste mărfuri sunt supuse ulterior unei taxe vamale echivalente cu rata de bază redusă cu 20 %;</w:t>
      </w:r>
    </w:p>
    <w:p>
      <w:pPr>
        <w:pStyle w:val="Point10"/>
        <w:rPr>
          <w:noProof/>
        </w:rPr>
      </w:pPr>
      <w:r>
        <w:rPr>
          <w:noProof/>
        </w:rPr>
        <w:t>(j)</w:t>
      </w:r>
      <w:r>
        <w:rPr>
          <w:noProof/>
        </w:rPr>
        <w:tab/>
        <w:t>taxele vamale pentru mărfurile originare prevăzute la liniile tarifare marcate cu mențiunea „30 % în 5 ani” din programe se reduc cu 30 % în șase etape egale, începând de la data intrării în vigoare a prezentului acord, iar aceste mărfuri sunt supuse ulterior unei taxe vamale echivalente cu rata de bază redusă cu 30 %;</w:t>
      </w:r>
    </w:p>
    <w:p>
      <w:pPr>
        <w:pStyle w:val="Point10"/>
        <w:rPr>
          <w:noProof/>
        </w:rPr>
      </w:pPr>
      <w:r>
        <w:rPr>
          <w:noProof/>
        </w:rPr>
        <w:t>(k)</w:t>
      </w:r>
      <w:r>
        <w:rPr>
          <w:noProof/>
        </w:rPr>
        <w:tab/>
        <w:t>taxele vamale pentru mărfurile originare prevăzute la liniile tarifare marcate cu mențiunea „50 % în 5 ani” din programe se reduc cu 50 % în șase etape egale, începând de la data intrării în vigoare a prezentului acord, iar aceste mărfuri sunt supuse ulterior unei taxe vamale echivalente cu rata de bază redusă cu 50 %;</w:t>
      </w:r>
    </w:p>
    <w:p>
      <w:pPr>
        <w:pStyle w:val="Point10"/>
        <w:rPr>
          <w:noProof/>
        </w:rPr>
      </w:pPr>
      <w:r>
        <w:rPr>
          <w:noProof/>
        </w:rPr>
        <w:t>(l)</w:t>
      </w:r>
      <w:r>
        <w:rPr>
          <w:noProof/>
        </w:rPr>
        <w:tab/>
        <w:t>taxele vamale pentru mărfurile originare prevăzute la liniile tarifare marcate cu mențiunea „50 % în 7 ani” din programe se reduc cu 50 % în opt etape egale, începând de la data intrării în vigoare a prezentului acord, iar aceste mărfuri sunt supuse ulterior unei taxe vamale echivalente cu rata de bază redusă cu 50 %;</w:t>
      </w:r>
    </w:p>
    <w:p>
      <w:pPr>
        <w:pStyle w:val="Point10"/>
        <w:rPr>
          <w:noProof/>
        </w:rPr>
      </w:pPr>
      <w:r>
        <w:rPr>
          <w:noProof/>
        </w:rPr>
        <w:t>(m)</w:t>
      </w:r>
      <w:r>
        <w:rPr>
          <w:noProof/>
        </w:rPr>
        <w:tab/>
        <w:t>taxele vamale pentru mărfurile originare prevăzute la liniile tarifare marcate cu mențiunea „50 % în 10 ani” din programe se reduc cu 50 % în unsprezece etape egale, începând de la data intrării în vigoare a prezentului acord, iar aceste mărfuri sunt supuse ulterior unei taxe vamale echivalente cu rata de bază redusă cu 50 %;</w:t>
      </w:r>
    </w:p>
    <w:p>
      <w:pPr>
        <w:pStyle w:val="Point10"/>
        <w:rPr>
          <w:noProof/>
        </w:rPr>
      </w:pPr>
      <w:r>
        <w:rPr>
          <w:noProof/>
        </w:rPr>
        <w:t>(n)</w:t>
      </w:r>
      <w:r>
        <w:rPr>
          <w:noProof/>
        </w:rPr>
        <w:tab/>
        <w:t>taxele vamale pentru mărfurile originare prevăzute la liniile tarifare marcate cu mențiunea „60 % în 5 ani” din programe se reduc cu 60 % în șase etape egale, începând de la data intrării în vigoare a prezentului acord, iar aceste mărfuri sunt supuse ulterior unei taxe vamale echivalente cu rata de bază redusă cu 60 %;</w:t>
      </w:r>
    </w:p>
    <w:p>
      <w:pPr>
        <w:pStyle w:val="Point10"/>
        <w:rPr>
          <w:noProof/>
        </w:rPr>
      </w:pPr>
      <w:r>
        <w:rPr>
          <w:noProof/>
        </w:rPr>
        <w:t>(o)</w:t>
      </w:r>
      <w:r>
        <w:rPr>
          <w:noProof/>
        </w:rPr>
        <w:tab/>
        <w:t>taxele vamale pentru mărfurile originare prevăzute la liniile tarifare în etapa eliminării „Scutire ad valorem (preț de intrare</w:t>
      </w:r>
      <w:r>
        <w:rPr>
          <w:rStyle w:val="FootnoteReference"/>
          <w:noProof/>
        </w:rPr>
        <w:footnoteReference w:id="1"/>
      </w:r>
      <w:r>
        <w:rPr>
          <w:noProof/>
        </w:rPr>
        <w:t>)” din programe se elimină la data intrării în vigoare a prezentului acord; liberalizarea privește exclusiv taxa ad valorem; se menține taxa specifică legată de sistemul prețului de intrare aplicabil acestor mărfuri originare.</w:t>
      </w:r>
    </w:p>
    <w:p>
      <w:pPr>
        <w:pStyle w:val="ManualNumPar10"/>
        <w:rPr>
          <w:noProof/>
          <w:szCs w:val="24"/>
        </w:rPr>
      </w:pPr>
      <w:r>
        <w:rPr>
          <w:noProof/>
        </w:rPr>
        <w:t>2.</w:t>
      </w:r>
      <w:r>
        <w:rPr>
          <w:noProof/>
        </w:rPr>
        <w:tab/>
        <w:t>Rata de bază și categoria în etapa eliminării care permit determinarea ratei taxei vamale aplicabile în fiecare fază de reducere pentru o linie tarifară sunt indicate în linia tarifară corespunzătoare din program.</w:t>
      </w:r>
    </w:p>
    <w:p>
      <w:pPr>
        <w:pStyle w:val="ManualNumPar10"/>
        <w:rPr>
          <w:noProof/>
          <w:szCs w:val="24"/>
        </w:rPr>
      </w:pPr>
      <w:r>
        <w:rPr>
          <w:noProof/>
        </w:rPr>
        <w:t>3.</w:t>
      </w:r>
      <w:r>
        <w:rPr>
          <w:noProof/>
        </w:rPr>
        <w:tab/>
        <w:t>În scopul eliminării taxelor vamale, rata taxelor vamale aplicată în fiecare etapă se rotunjește în jos, cel puțin până la zecimea de punct procentual cea mai apropiată sau, în cazul în care rata taxei este exprimată în unități monetare, cel puțin până la cea mai apropiată zecime din unitatea monetară oficială a părții.</w:t>
      </w:r>
    </w:p>
    <w:p>
      <w:pPr>
        <w:pStyle w:val="ManualNumPar10"/>
        <w:rPr>
          <w:noProof/>
          <w:szCs w:val="24"/>
        </w:rPr>
      </w:pPr>
      <w:r>
        <w:rPr>
          <w:noProof/>
        </w:rPr>
        <w:t>4.</w:t>
      </w:r>
      <w:r>
        <w:rPr>
          <w:noProof/>
        </w:rPr>
        <w:tab/>
        <w:t>În sensul prezentului apendice, prima reducere se efectuează la data intrării în vigoare a prezentului acord și fiecare reducere ulterioară intră în vigoare la data de 1 ianuarie a anului corespunzător.</w:t>
      </w:r>
    </w:p>
    <w:p>
      <w:pPr>
        <w:pStyle w:val="ManualNumPar10"/>
        <w:rPr>
          <w:noProof/>
          <w:szCs w:val="24"/>
        </w:rPr>
      </w:pPr>
      <w:r>
        <w:rPr>
          <w:noProof/>
        </w:rPr>
        <w:t>5.</w:t>
      </w:r>
      <w:r>
        <w:rPr>
          <w:noProof/>
        </w:rPr>
        <w:tab/>
        <w:t>În cazul în care intrarea în vigoare a prezentului acord corespunde unei date ulterioare datei de 1 ianuarie și anterioare datei de 31 decembrie din același an, cantitatea contingentară va fi calculată pro rata în mod proporțional pentru restul anului calendaristic.</w:t>
      </w:r>
    </w:p>
    <w:p>
      <w:pPr>
        <w:rPr>
          <w:noProof/>
        </w:rPr>
        <w:sectPr>
          <w:pgSz w:w="11906" w:h="16838"/>
          <w:pgMar w:top="1417" w:right="1417" w:bottom="1417" w:left="1417" w:header="708" w:footer="708" w:gutter="0"/>
          <w:cols w:space="708"/>
          <w:docGrid w:linePitch="360"/>
        </w:sectPr>
      </w:pPr>
    </w:p>
    <w:p>
      <w:pPr>
        <w:jc w:val="center"/>
        <w:rPr>
          <w:b/>
          <w:noProof/>
          <w:u w:val="single"/>
        </w:rPr>
      </w:pPr>
      <w:r>
        <w:rPr>
          <w:b/>
          <w:noProof/>
          <w:u w:val="single"/>
        </w:rPr>
        <w:t>PROIECT DE</w:t>
      </w:r>
    </w:p>
    <w:p>
      <w:pPr>
        <w:jc w:val="center"/>
        <w:rPr>
          <w:b/>
          <w:caps/>
          <w:noProof/>
        </w:rPr>
      </w:pPr>
      <w:r>
        <w:rPr>
          <w:b/>
          <w:caps/>
          <w:noProof/>
        </w:rPr>
        <w:t>Decizie Nr. x/2017 A COMITETULUI de asociere UE-Ucraina REUNIT ÎN CONFIGURAȚIA COMERȚ</w:t>
      </w:r>
    </w:p>
    <w:p>
      <w:pPr>
        <w:jc w:val="center"/>
        <w:rPr>
          <w:b/>
          <w:noProof/>
        </w:rPr>
      </w:pPr>
      <w:r>
        <w:rPr>
          <w:b/>
          <w:noProof/>
        </w:rPr>
        <w:t xml:space="preserve">din …2017 </w:t>
      </w:r>
    </w:p>
    <w:p>
      <w:pPr>
        <w:spacing w:after="240"/>
        <w:jc w:val="center"/>
        <w:rPr>
          <w:b/>
          <w:noProof/>
          <w:sz w:val="22"/>
        </w:rPr>
      </w:pPr>
      <w:r>
        <w:rPr>
          <w:b/>
          <w:noProof/>
          <w:sz w:val="22"/>
        </w:rPr>
        <w:t xml:space="preserve">privind recalcularea programului de eliminare a taxelor la export și de modificare a anexelor I-C și I-D la Acordul de asociere </w:t>
      </w:r>
    </w:p>
    <w:p>
      <w:pPr>
        <w:spacing w:line="276" w:lineRule="auto"/>
        <w:rPr>
          <w:noProof/>
        </w:rPr>
      </w:pPr>
      <w:r>
        <w:rPr>
          <w:noProof/>
        </w:rPr>
        <w:t>COMITETUL DE ASOCIERE REUNIT ÎN CONFIGURAȚIA COMERȚ,</w:t>
      </w:r>
    </w:p>
    <w:p>
      <w:pPr>
        <w:rPr>
          <w:noProof/>
        </w:rPr>
      </w:pPr>
      <w:r>
        <w:rPr>
          <w:noProof/>
        </w:rPr>
        <w:t xml:space="preserve">având în vedere </w:t>
      </w:r>
      <w:r>
        <w:rPr>
          <w:noProof/>
          <w:color w:val="000000"/>
        </w:rPr>
        <w:t>Acordul de asociere între Uniunea Europeană</w:t>
      </w:r>
      <w:r>
        <w:rPr>
          <w:noProof/>
        </w:rPr>
        <w:t>, Comunitatea Europeană a Energiei Atomice și statele membre ale acestora, pe de o parte, și Ucraina, pe de altă parte, semnat la Bruxelles la 27 iunie 2014,</w:t>
      </w:r>
    </w:p>
    <w:p>
      <w:pPr>
        <w:rPr>
          <w:noProof/>
        </w:rPr>
      </w:pPr>
      <w:r>
        <w:rPr>
          <w:noProof/>
        </w:rPr>
        <w:t>întrucât:</w:t>
      </w:r>
    </w:p>
    <w:p>
      <w:pPr>
        <w:pStyle w:val="ManualConsidrant"/>
        <w:rPr>
          <w:noProof/>
        </w:rPr>
      </w:pPr>
      <w:r>
        <w:rPr>
          <w:noProof/>
        </w:rPr>
        <w:t>(1)</w:t>
      </w:r>
      <w:r>
        <w:rPr>
          <w:noProof/>
        </w:rPr>
        <w:tab/>
        <w:t>În conformitate cu articolul 486 din Acordul de asociere între Uniunea Europeană și Comunitatea Europeană a Energiei Atomice și statele membre ale acestora, pe de o parte, și Ucraina, pe de altă parte (denumit în continuare „acordul”), anumite părți ale acordului, inclusiv dispozițiile referitoare la eliminarea taxelor vamale și anexele I-C și I-D corespunzătoare, se aplică cu titlu provizoriu de la 1 ianuarie 2016.</w:t>
      </w:r>
    </w:p>
    <w:p>
      <w:pPr>
        <w:pStyle w:val="ManualConsidrant"/>
        <w:rPr>
          <w:noProof/>
        </w:rPr>
      </w:pPr>
      <w:r>
        <w:rPr>
          <w:noProof/>
        </w:rPr>
        <w:t>(2)</w:t>
      </w:r>
      <w:r>
        <w:rPr>
          <w:noProof/>
        </w:rPr>
        <w:tab/>
        <w:t>Anexa I-C la capitolul 1 din acord, de stabilire a programelor de eliminare a taxelor la export pentru Ucraina, prevede că recalcularea tabelului este necesară pentru a menține preferința relativă (aceeași proporție) în comparație cu nivelurile taxei la export în conformitate cu OMC aplicabile pentru fiecare perioadă în cazul în care dispozițiile comerciale ale acordului vor intra în vigoare după 15 mai 2014.</w:t>
      </w:r>
    </w:p>
    <w:p>
      <w:pPr>
        <w:pStyle w:val="ManualConsidrant"/>
        <w:rPr>
          <w:noProof/>
        </w:rPr>
      </w:pPr>
      <w:r>
        <w:rPr>
          <w:noProof/>
        </w:rPr>
        <w:t>(3)</w:t>
      </w:r>
      <w:r>
        <w:rPr>
          <w:noProof/>
        </w:rPr>
        <w:tab/>
        <w:t>Anexa I-D la capitolul 1 din acord, de stabilire a măsurilor de salvgardare sub forma unei suprataxe care trebuie aplicată taxei la export pentru anumite produse prevede, de asemenea, că recalcularea tabelului este necesară pentru a menține preferința relativă (aceeași proporție) în comparație cu nivelurile taxei la export în conformitate cu OMC aplicabile pentru fiecare perioadă în cazul în care dispozițiile comerciale ale acordului vor intra în vigoare după 15 mai 2014.</w:t>
      </w:r>
    </w:p>
    <w:p>
      <w:pPr>
        <w:pStyle w:val="ManualConsidrant"/>
        <w:rPr>
          <w:noProof/>
        </w:rPr>
      </w:pPr>
      <w:r>
        <w:rPr>
          <w:noProof/>
        </w:rPr>
        <w:t>(4)</w:t>
      </w:r>
      <w:r>
        <w:rPr>
          <w:noProof/>
        </w:rPr>
        <w:tab/>
        <w:t>O modificare de ordin tehnic în anexa I-C este necesară pentru codul tarifar 1207 99 97 00 pentru a reflecta descrierea corectă în conformitate cu Clasificatorul unificat al mărfurilor (UKTZED) din Ucraina.</w:t>
      </w:r>
    </w:p>
    <w:p>
      <w:pPr>
        <w:pStyle w:val="ManualConsidrant"/>
        <w:rPr>
          <w:noProof/>
        </w:rPr>
      </w:pPr>
      <w:r>
        <w:rPr>
          <w:noProof/>
        </w:rPr>
        <w:t>(7)</w:t>
      </w:r>
      <w:r>
        <w:rPr>
          <w:noProof/>
        </w:rPr>
        <w:tab/>
        <w:t>Conform articolului 463 alineatul (3) din acord, Consiliul de asociere este împuternicit să actualizeze sau să modifice anexele la acord.</w:t>
      </w:r>
    </w:p>
    <w:p>
      <w:pPr>
        <w:pStyle w:val="ManualConsidrant"/>
        <w:rPr>
          <w:noProof/>
        </w:rPr>
      </w:pPr>
      <w:r>
        <w:rPr>
          <w:noProof/>
        </w:rPr>
        <w:t>(8)</w:t>
      </w:r>
      <w:r>
        <w:rPr>
          <w:noProof/>
        </w:rPr>
        <w:tab/>
        <w:t>Articolul 465 alineatele (2) și (4) din acord prevăd că Consiliul de asociere poate delega oricare dintre competențele sale, inclusiv competența de a lua decizii cu caracter obligatoriu, către Comitetul de asociere care se reunește într-o configurație specifică pentru a aborda toate aspectele legate de titlul IV (Comerț și aspecte legate de comerț) din acord.</w:t>
      </w:r>
    </w:p>
    <w:p>
      <w:pPr>
        <w:pStyle w:val="ManualConsidrant"/>
        <w:rPr>
          <w:noProof/>
        </w:rPr>
      </w:pPr>
      <w:r>
        <w:rPr>
          <w:noProof/>
        </w:rPr>
        <w:t>(9)</w:t>
      </w:r>
      <w:r>
        <w:rPr>
          <w:noProof/>
        </w:rPr>
        <w:tab/>
        <w:t>Consiliul de asociere UE-Ucraina a împuternicit Comitetul de asociere reunit în configurația comerț (denumit în continuare „Comitetul pentru comerț”) în Decizia sa nr. 3/2014 din 15 decembrie 2014 să actualizeze sau să modifice anumite anexe care se referă la comerț, inclusiv anexele I-C și I-D la acord.</w:t>
      </w:r>
    </w:p>
    <w:p>
      <w:pPr>
        <w:pStyle w:val="ManualConsidrant"/>
        <w:rPr>
          <w:noProof/>
        </w:rPr>
      </w:pPr>
      <w:r>
        <w:rPr>
          <w:noProof/>
        </w:rPr>
        <w:t>(11)</w:t>
      </w:r>
      <w:r>
        <w:rPr>
          <w:noProof/>
        </w:rPr>
        <w:tab/>
        <w:t>Prin urmare, este necesar ca Comitetul pentru comerț să adopte o decizie de recalculare a programului de eliminare a taxelor la export prevăzut în anexele I-C și I-D la Acordul de asociere,</w:t>
      </w:r>
    </w:p>
    <w:p>
      <w:pPr>
        <w:rPr>
          <w:noProof/>
        </w:rPr>
      </w:pPr>
      <w:r>
        <w:rPr>
          <w:noProof/>
        </w:rPr>
        <w:t>ADOPTĂ PREZENTA DECIZIE:</w:t>
      </w:r>
    </w:p>
    <w:p>
      <w:pPr>
        <w:pStyle w:val="Titrearticle8"/>
        <w:rPr>
          <w:noProof/>
        </w:rPr>
      </w:pPr>
      <w:r>
        <w:rPr>
          <w:noProof/>
        </w:rPr>
        <w:t>Articolul 1</w:t>
      </w:r>
    </w:p>
    <w:p>
      <w:pPr>
        <w:rPr>
          <w:noProof/>
        </w:rPr>
      </w:pPr>
      <w:r>
        <w:rPr>
          <w:noProof/>
        </w:rPr>
        <w:t>Anexa I-C la Acordul de asociere între Uniunea Europeană și Comunitatea Europeană a Energiei Atomice și statele membre ale acestora, pe de o parte, și Ucraina, pe de altă parte, se înlocuiește cu textul prevăzut în anexa la prezenta decizie.</w:t>
      </w:r>
    </w:p>
    <w:p>
      <w:pPr>
        <w:pStyle w:val="Titrearticle8"/>
        <w:rPr>
          <w:noProof/>
        </w:rPr>
      </w:pPr>
      <w:r>
        <w:rPr>
          <w:noProof/>
        </w:rPr>
        <w:t>Articolul 2</w:t>
      </w:r>
    </w:p>
    <w:p>
      <w:pPr>
        <w:rPr>
          <w:noProof/>
        </w:rPr>
      </w:pPr>
      <w:r>
        <w:rPr>
          <w:noProof/>
        </w:rPr>
        <w:t xml:space="preserve">Anexa I-D la Acordul de asociere între Uniunea Europeană și Comunitatea Europeană a Energiei Atomice și statele membre ale acestora, pe de o parte, și Ucraina, pe de altă parte, se înlocuiește cu textul prevăzut în anexa la prezenta decizie. </w:t>
      </w:r>
    </w:p>
    <w:p>
      <w:pPr>
        <w:pStyle w:val="Titrearticle8"/>
        <w:rPr>
          <w:i w:val="0"/>
          <w:noProof/>
        </w:rPr>
      </w:pPr>
      <w:r>
        <w:rPr>
          <w:noProof/>
        </w:rPr>
        <w:t>Articolul</w:t>
      </w:r>
      <w:r>
        <w:rPr>
          <w:i w:val="0"/>
          <w:noProof/>
        </w:rPr>
        <w:t xml:space="preserve"> 3</w:t>
      </w:r>
    </w:p>
    <w:p>
      <w:pPr>
        <w:rPr>
          <w:noProof/>
        </w:rPr>
      </w:pPr>
      <w:r>
        <w:rPr>
          <w:noProof/>
        </w:rPr>
        <w:t>Prezenta decizie intră în vigoare la data adoptării sale.</w:t>
      </w:r>
    </w:p>
    <w:p>
      <w:pPr>
        <w:pStyle w:val="Fait"/>
        <w:rPr>
          <w:noProof/>
        </w:rPr>
      </w:pPr>
      <w:r>
        <w:rPr>
          <w:noProof/>
        </w:rPr>
        <w:t>Adoptată la …, …</w:t>
      </w:r>
    </w:p>
    <w:tbl>
      <w:tblPr>
        <w:tblW w:w="0" w:type="auto"/>
        <w:tblLook w:val="04A0" w:firstRow="1" w:lastRow="0" w:firstColumn="1" w:lastColumn="0" w:noHBand="0" w:noVBand="1"/>
      </w:tblPr>
      <w:tblGrid>
        <w:gridCol w:w="4643"/>
        <w:gridCol w:w="4644"/>
      </w:tblGrid>
      <w:tr>
        <w:tc>
          <w:tcPr>
            <w:tcW w:w="4643" w:type="dxa"/>
            <w:shd w:val="clear" w:color="auto" w:fill="auto"/>
          </w:tcPr>
          <w:p>
            <w:pPr>
              <w:ind w:left="2160" w:firstLine="720"/>
              <w:jc w:val="center"/>
              <w:rPr>
                <w:rFonts w:eastAsia="Times New Roman"/>
                <w:noProof/>
                <w:szCs w:val="24"/>
              </w:rPr>
            </w:pPr>
          </w:p>
        </w:tc>
        <w:tc>
          <w:tcPr>
            <w:tcW w:w="4644" w:type="dxa"/>
            <w:shd w:val="clear" w:color="auto" w:fill="auto"/>
          </w:tcPr>
          <w:p>
            <w:pPr>
              <w:spacing w:before="0" w:after="0"/>
              <w:rPr>
                <w:i/>
                <w:noProof/>
              </w:rPr>
            </w:pPr>
            <w:r>
              <w:rPr>
                <w:i/>
                <w:noProof/>
              </w:rPr>
              <w:t xml:space="preserve">Pentru Comitetul de asociere </w:t>
            </w:r>
          </w:p>
          <w:p>
            <w:pPr>
              <w:spacing w:before="0" w:after="0"/>
              <w:rPr>
                <w:i/>
                <w:noProof/>
              </w:rPr>
            </w:pPr>
            <w:r>
              <w:rPr>
                <w:i/>
                <w:noProof/>
              </w:rPr>
              <w:t>reunit în configurația comerț</w:t>
            </w:r>
          </w:p>
          <w:p>
            <w:pPr>
              <w:spacing w:before="0" w:after="0"/>
              <w:rPr>
                <w:i/>
                <w:noProof/>
              </w:rPr>
            </w:pPr>
          </w:p>
        </w:tc>
      </w:tr>
      <w:tr>
        <w:tc>
          <w:tcPr>
            <w:tcW w:w="4643" w:type="dxa"/>
            <w:shd w:val="clear" w:color="auto" w:fill="auto"/>
          </w:tcPr>
          <w:p>
            <w:pPr>
              <w:rPr>
                <w:rFonts w:eastAsia="Times New Roman"/>
                <w:noProof/>
                <w:szCs w:val="24"/>
              </w:rPr>
            </w:pPr>
          </w:p>
        </w:tc>
        <w:tc>
          <w:tcPr>
            <w:tcW w:w="4644" w:type="dxa"/>
            <w:shd w:val="clear" w:color="auto" w:fill="auto"/>
          </w:tcPr>
          <w:p>
            <w:pPr>
              <w:rPr>
                <w:i/>
                <w:noProof/>
              </w:rPr>
            </w:pPr>
            <w:r>
              <w:rPr>
                <w:i/>
                <w:noProof/>
              </w:rPr>
              <w:t>Președintele</w:t>
            </w:r>
          </w:p>
          <w:p>
            <w:pPr>
              <w:rPr>
                <w:rFonts w:eastAsia="Times New Roman"/>
                <w:i/>
                <w:noProof/>
                <w:szCs w:val="24"/>
              </w:rPr>
            </w:pPr>
          </w:p>
        </w:tc>
      </w:tr>
    </w:tbl>
    <w:p>
      <w:pPr>
        <w:spacing w:before="0" w:after="200" w:line="276" w:lineRule="auto"/>
        <w:jc w:val="left"/>
        <w:rPr>
          <w:noProof/>
        </w:rPr>
        <w:sectPr>
          <w:pgSz w:w="11906" w:h="16838"/>
          <w:pgMar w:top="1417" w:right="1417" w:bottom="1417" w:left="1417" w:header="708" w:footer="708" w:gutter="0"/>
          <w:cols w:space="708"/>
          <w:docGrid w:linePitch="360"/>
        </w:sectPr>
      </w:pPr>
    </w:p>
    <w:p>
      <w:pPr>
        <w:jc w:val="center"/>
        <w:rPr>
          <w:noProof/>
        </w:rPr>
      </w:pPr>
    </w:p>
    <w:p>
      <w:pPr>
        <w:jc w:val="center"/>
        <w:rPr>
          <w:b/>
          <w:noProof/>
        </w:rPr>
      </w:pPr>
      <w:r>
        <w:rPr>
          <w:b/>
          <w:noProof/>
        </w:rPr>
        <w:t xml:space="preserve">ANEXĂ </w:t>
      </w:r>
    </w:p>
    <w:p>
      <w:pPr>
        <w:jc w:val="center"/>
        <w:rPr>
          <w:b/>
          <w:noProof/>
        </w:rPr>
      </w:pPr>
      <w:r>
        <w:rPr>
          <w:b/>
          <w:noProof/>
        </w:rPr>
        <w:t>ANEXA I-C LA ACORDUL DE ASOCIERE</w:t>
      </w:r>
    </w:p>
    <w:p>
      <w:pPr>
        <w:jc w:val="center"/>
        <w:rPr>
          <w:b/>
          <w:caps/>
          <w:noProof/>
        </w:rPr>
      </w:pPr>
      <w:r>
        <w:rPr>
          <w:b/>
          <w:caps/>
          <w:noProof/>
        </w:rPr>
        <w:t>Programele de eliminare a taxelor la export</w:t>
      </w:r>
    </w:p>
    <w:p>
      <w:pPr>
        <w:rPr>
          <w:iCs/>
          <w:noProof/>
        </w:rPr>
      </w:pPr>
      <w:r>
        <w:rPr>
          <w:noProof/>
        </w:rPr>
        <w:t>Taxele se exprimă în %, cu excepția cazului în care se specifică altfel.</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2"/>
      </w:tblGrid>
      <w:tr>
        <w:trPr>
          <w:trHeight w:val="334"/>
        </w:trPr>
        <w:tc>
          <w:tcPr>
            <w:tcW w:w="14142" w:type="dxa"/>
          </w:tcPr>
          <w:p>
            <w:pPr>
              <w:jc w:val="center"/>
              <w:rPr>
                <w:noProof/>
                <w:u w:val="single"/>
              </w:rPr>
            </w:pPr>
            <w:r>
              <w:rPr>
                <w:noProof/>
              </w:rPr>
              <w:t>Șeptel și materiale din piei brute</w:t>
            </w:r>
          </w:p>
        </w:tc>
      </w:tr>
    </w:tbl>
    <w:p>
      <w:pPr>
        <w:rPr>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3355"/>
        <w:gridCol w:w="822"/>
        <w:gridCol w:w="742"/>
        <w:gridCol w:w="742"/>
        <w:gridCol w:w="742"/>
        <w:gridCol w:w="742"/>
        <w:gridCol w:w="742"/>
        <w:gridCol w:w="742"/>
        <w:gridCol w:w="742"/>
        <w:gridCol w:w="742"/>
        <w:gridCol w:w="742"/>
        <w:gridCol w:w="811"/>
        <w:gridCol w:w="1209"/>
      </w:tblGrid>
      <w:tr>
        <w:trPr>
          <w:tblHeader/>
        </w:trPr>
        <w:tc>
          <w:tcPr>
            <w:tcW w:w="488" w:type="pct"/>
            <w:shd w:val="clear" w:color="auto" w:fill="D9D9D9"/>
            <w:vAlign w:val="center"/>
          </w:tcPr>
          <w:p>
            <w:pPr>
              <w:pStyle w:val="NormalWeb"/>
              <w:spacing w:before="0" w:beforeAutospacing="0" w:after="0" w:afterAutospacing="0"/>
              <w:ind w:left="-85" w:right="-85"/>
              <w:jc w:val="center"/>
              <w:rPr>
                <w:noProof/>
                <w:sz w:val="22"/>
                <w:szCs w:val="22"/>
              </w:rPr>
            </w:pPr>
            <w:r>
              <w:rPr>
                <w:noProof/>
                <w:color w:val="000000"/>
                <w:sz w:val="22"/>
              </w:rPr>
              <w:t>Cod SA</w:t>
            </w:r>
          </w:p>
        </w:tc>
        <w:tc>
          <w:tcPr>
            <w:tcW w:w="1213" w:type="pct"/>
            <w:shd w:val="clear" w:color="auto" w:fill="D9D9D9"/>
            <w:vAlign w:val="center"/>
          </w:tcPr>
          <w:p>
            <w:pPr>
              <w:pStyle w:val="NormalWeb"/>
              <w:spacing w:before="0" w:beforeAutospacing="0" w:after="0" w:afterAutospacing="0"/>
              <w:ind w:left="-57" w:right="-57"/>
              <w:jc w:val="center"/>
              <w:rPr>
                <w:noProof/>
              </w:rPr>
            </w:pPr>
            <w:r>
              <w:rPr>
                <w:noProof/>
                <w:color w:val="000000"/>
              </w:rPr>
              <w:t>Descriere</w:t>
            </w:r>
          </w:p>
        </w:tc>
        <w:tc>
          <w:tcPr>
            <w:tcW w:w="262" w:type="pct"/>
            <w:shd w:val="clear" w:color="auto" w:fill="D9D9D9"/>
            <w:vAlign w:val="center"/>
          </w:tcPr>
          <w:p>
            <w:pPr>
              <w:ind w:left="-57" w:right="-57"/>
              <w:jc w:val="center"/>
              <w:rPr>
                <w:noProof/>
              </w:rPr>
            </w:pPr>
            <w:r>
              <w:rPr>
                <w:noProof/>
              </w:rPr>
              <w:t>IIV (2016</w:t>
            </w:r>
            <w:r>
              <w:rPr>
                <w:rStyle w:val="FootnoteReference"/>
                <w:noProof/>
              </w:rPr>
              <w:footnoteReference w:id="2"/>
            </w:r>
            <w:r>
              <w:rPr>
                <w:noProof/>
              </w:rPr>
              <w:t>)</w:t>
            </w:r>
          </w:p>
        </w:tc>
        <w:tc>
          <w:tcPr>
            <w:tcW w:w="267" w:type="pct"/>
            <w:shd w:val="clear" w:color="auto" w:fill="D9D9D9"/>
            <w:vAlign w:val="center"/>
          </w:tcPr>
          <w:p>
            <w:pPr>
              <w:ind w:left="-57" w:right="-57"/>
              <w:jc w:val="center"/>
              <w:rPr>
                <w:noProof/>
              </w:rPr>
            </w:pPr>
            <w:r>
              <w:rPr>
                <w:noProof/>
              </w:rPr>
              <w:t>IIV+1 (2017)</w:t>
            </w:r>
          </w:p>
        </w:tc>
        <w:tc>
          <w:tcPr>
            <w:tcW w:w="262" w:type="pct"/>
            <w:shd w:val="clear" w:color="auto" w:fill="D9D9D9"/>
            <w:vAlign w:val="center"/>
          </w:tcPr>
          <w:p>
            <w:pPr>
              <w:ind w:left="-57" w:right="-57"/>
              <w:jc w:val="center"/>
              <w:rPr>
                <w:noProof/>
              </w:rPr>
            </w:pPr>
            <w:r>
              <w:rPr>
                <w:noProof/>
              </w:rPr>
              <w:t>IIV+2 (2018)</w:t>
            </w:r>
          </w:p>
        </w:tc>
        <w:tc>
          <w:tcPr>
            <w:tcW w:w="262" w:type="pct"/>
            <w:shd w:val="clear" w:color="auto" w:fill="D9D9D9"/>
            <w:vAlign w:val="center"/>
          </w:tcPr>
          <w:p>
            <w:pPr>
              <w:ind w:left="-57" w:right="-57"/>
              <w:jc w:val="center"/>
              <w:rPr>
                <w:noProof/>
              </w:rPr>
            </w:pPr>
            <w:r>
              <w:rPr>
                <w:noProof/>
              </w:rPr>
              <w:t>IIV+3 (2019)</w:t>
            </w:r>
          </w:p>
        </w:tc>
        <w:tc>
          <w:tcPr>
            <w:tcW w:w="262" w:type="pct"/>
            <w:shd w:val="clear" w:color="auto" w:fill="D9D9D9"/>
            <w:vAlign w:val="center"/>
          </w:tcPr>
          <w:p>
            <w:pPr>
              <w:ind w:left="-57" w:right="-57"/>
              <w:jc w:val="center"/>
              <w:rPr>
                <w:noProof/>
              </w:rPr>
            </w:pPr>
            <w:r>
              <w:rPr>
                <w:noProof/>
              </w:rPr>
              <w:t>IIV+4 (2020)</w:t>
            </w:r>
          </w:p>
        </w:tc>
        <w:tc>
          <w:tcPr>
            <w:tcW w:w="262" w:type="pct"/>
            <w:shd w:val="clear" w:color="auto" w:fill="D9D9D9"/>
            <w:vAlign w:val="center"/>
          </w:tcPr>
          <w:p>
            <w:pPr>
              <w:ind w:left="-57" w:right="-57"/>
              <w:jc w:val="center"/>
              <w:rPr>
                <w:noProof/>
              </w:rPr>
            </w:pPr>
            <w:r>
              <w:rPr>
                <w:noProof/>
              </w:rPr>
              <w:t>IIV+5 (2021)</w:t>
            </w:r>
          </w:p>
        </w:tc>
        <w:tc>
          <w:tcPr>
            <w:tcW w:w="262" w:type="pct"/>
            <w:shd w:val="clear" w:color="auto" w:fill="D9D9D9"/>
            <w:vAlign w:val="center"/>
          </w:tcPr>
          <w:p>
            <w:pPr>
              <w:ind w:left="-57" w:right="-57"/>
              <w:jc w:val="center"/>
              <w:rPr>
                <w:noProof/>
              </w:rPr>
            </w:pPr>
            <w:r>
              <w:rPr>
                <w:noProof/>
              </w:rPr>
              <w:t>IIV+6 (2022)</w:t>
            </w:r>
          </w:p>
        </w:tc>
        <w:tc>
          <w:tcPr>
            <w:tcW w:w="262" w:type="pct"/>
            <w:shd w:val="clear" w:color="auto" w:fill="D9D9D9"/>
            <w:vAlign w:val="center"/>
          </w:tcPr>
          <w:p>
            <w:pPr>
              <w:ind w:left="-57" w:right="-57"/>
              <w:jc w:val="center"/>
              <w:rPr>
                <w:noProof/>
              </w:rPr>
            </w:pPr>
            <w:r>
              <w:rPr>
                <w:noProof/>
              </w:rPr>
              <w:t>IIV+7 (2023)</w:t>
            </w:r>
          </w:p>
        </w:tc>
        <w:tc>
          <w:tcPr>
            <w:tcW w:w="262" w:type="pct"/>
            <w:shd w:val="clear" w:color="auto" w:fill="D9D9D9"/>
            <w:vAlign w:val="center"/>
          </w:tcPr>
          <w:p>
            <w:pPr>
              <w:ind w:left="-57" w:right="-57"/>
              <w:jc w:val="center"/>
              <w:rPr>
                <w:noProof/>
              </w:rPr>
            </w:pPr>
            <w:r>
              <w:rPr>
                <w:noProof/>
              </w:rPr>
              <w:t>IIV+8 (2024)</w:t>
            </w:r>
          </w:p>
        </w:tc>
        <w:tc>
          <w:tcPr>
            <w:tcW w:w="262" w:type="pct"/>
            <w:shd w:val="clear" w:color="auto" w:fill="D9D9D9"/>
            <w:vAlign w:val="center"/>
          </w:tcPr>
          <w:p>
            <w:pPr>
              <w:ind w:left="-57" w:right="-57"/>
              <w:jc w:val="center"/>
              <w:rPr>
                <w:noProof/>
              </w:rPr>
            </w:pPr>
            <w:r>
              <w:rPr>
                <w:noProof/>
              </w:rPr>
              <w:t>IIV+9 (2025)</w:t>
            </w:r>
          </w:p>
        </w:tc>
        <w:tc>
          <w:tcPr>
            <w:tcW w:w="296" w:type="pct"/>
            <w:shd w:val="clear" w:color="auto" w:fill="D9D9D9"/>
            <w:vAlign w:val="center"/>
          </w:tcPr>
          <w:p>
            <w:pPr>
              <w:ind w:left="-57" w:right="-57"/>
              <w:jc w:val="center"/>
              <w:rPr>
                <w:noProof/>
              </w:rPr>
            </w:pPr>
            <w:r>
              <w:rPr>
                <w:noProof/>
              </w:rPr>
              <w:t>IIV+10 (2026)</w:t>
            </w:r>
          </w:p>
        </w:tc>
        <w:tc>
          <w:tcPr>
            <w:tcW w:w="379" w:type="pct"/>
            <w:shd w:val="clear" w:color="auto" w:fill="D9D9D9"/>
            <w:vAlign w:val="center"/>
          </w:tcPr>
          <w:p>
            <w:pPr>
              <w:ind w:left="-57" w:right="-57"/>
              <w:jc w:val="center"/>
              <w:rPr>
                <w:noProof/>
              </w:rPr>
            </w:pPr>
            <w:r>
              <w:rPr>
                <w:noProof/>
              </w:rPr>
              <w:t>Măsuri de salvgardare</w:t>
            </w:r>
          </w:p>
        </w:tc>
      </w:tr>
      <w:tr>
        <w:tc>
          <w:tcPr>
            <w:tcW w:w="488" w:type="pct"/>
          </w:tcPr>
          <w:p>
            <w:pPr>
              <w:pStyle w:val="NormalWeb"/>
              <w:spacing w:before="0" w:beforeAutospacing="0" w:after="0" w:afterAutospacing="0"/>
              <w:ind w:left="-85" w:right="-85"/>
              <w:rPr>
                <w:noProof/>
                <w:sz w:val="22"/>
                <w:szCs w:val="22"/>
              </w:rPr>
            </w:pPr>
          </w:p>
        </w:tc>
        <w:tc>
          <w:tcPr>
            <w:tcW w:w="1213" w:type="pct"/>
          </w:tcPr>
          <w:p>
            <w:pPr>
              <w:pStyle w:val="NormalWeb"/>
              <w:spacing w:before="0" w:beforeAutospacing="0" w:after="0" w:afterAutospacing="0"/>
              <w:ind w:left="-57" w:right="-57"/>
              <w:rPr>
                <w:noProof/>
              </w:rPr>
            </w:pPr>
            <w:r>
              <w:rPr>
                <w:noProof/>
                <w:color w:val="000000"/>
              </w:rPr>
              <w:t>Animale vii din specia bovină, de specie domestică, cu excepția reproducătorilor de rasă pură:</w:t>
            </w:r>
          </w:p>
        </w:tc>
        <w:tc>
          <w:tcPr>
            <w:tcW w:w="262" w:type="pct"/>
          </w:tcPr>
          <w:p>
            <w:pPr>
              <w:ind w:left="-57" w:right="-57"/>
              <w:jc w:val="right"/>
              <w:rPr>
                <w:noProof/>
              </w:rPr>
            </w:pPr>
          </w:p>
        </w:tc>
        <w:tc>
          <w:tcPr>
            <w:tcW w:w="267" w:type="pct"/>
          </w:tcPr>
          <w:p>
            <w:pPr>
              <w:ind w:left="-57" w:right="-57"/>
              <w:jc w:val="right"/>
              <w:rPr>
                <w:noProof/>
              </w:rPr>
            </w:pPr>
          </w:p>
        </w:tc>
        <w:tc>
          <w:tcPr>
            <w:tcW w:w="262" w:type="pct"/>
          </w:tcPr>
          <w:p>
            <w:pPr>
              <w:ind w:left="-57" w:right="-57"/>
              <w:jc w:val="right"/>
              <w:rPr>
                <w:noProof/>
              </w:rPr>
            </w:pPr>
          </w:p>
        </w:tc>
        <w:tc>
          <w:tcPr>
            <w:tcW w:w="262" w:type="pct"/>
          </w:tcPr>
          <w:p>
            <w:pPr>
              <w:ind w:left="-57" w:right="-57"/>
              <w:jc w:val="right"/>
              <w:rPr>
                <w:noProof/>
              </w:rPr>
            </w:pPr>
          </w:p>
        </w:tc>
        <w:tc>
          <w:tcPr>
            <w:tcW w:w="262" w:type="pct"/>
          </w:tcPr>
          <w:p>
            <w:pPr>
              <w:ind w:left="-57" w:right="-57"/>
              <w:jc w:val="right"/>
              <w:rPr>
                <w:noProof/>
              </w:rPr>
            </w:pPr>
          </w:p>
        </w:tc>
        <w:tc>
          <w:tcPr>
            <w:tcW w:w="262" w:type="pct"/>
          </w:tcPr>
          <w:p>
            <w:pPr>
              <w:ind w:left="-57" w:right="-57"/>
              <w:jc w:val="right"/>
              <w:rPr>
                <w:noProof/>
              </w:rPr>
            </w:pPr>
          </w:p>
        </w:tc>
        <w:tc>
          <w:tcPr>
            <w:tcW w:w="262" w:type="pct"/>
          </w:tcPr>
          <w:p>
            <w:pPr>
              <w:ind w:left="-57" w:right="-57"/>
              <w:jc w:val="right"/>
              <w:rPr>
                <w:noProof/>
              </w:rPr>
            </w:pPr>
          </w:p>
        </w:tc>
        <w:tc>
          <w:tcPr>
            <w:tcW w:w="262" w:type="pct"/>
          </w:tcPr>
          <w:p>
            <w:pPr>
              <w:ind w:left="-57" w:right="-57"/>
              <w:jc w:val="right"/>
              <w:rPr>
                <w:noProof/>
              </w:rPr>
            </w:pPr>
          </w:p>
        </w:tc>
        <w:tc>
          <w:tcPr>
            <w:tcW w:w="262" w:type="pct"/>
          </w:tcPr>
          <w:p>
            <w:pPr>
              <w:ind w:left="-57" w:right="-57"/>
              <w:jc w:val="right"/>
              <w:rPr>
                <w:noProof/>
              </w:rPr>
            </w:pPr>
          </w:p>
        </w:tc>
        <w:tc>
          <w:tcPr>
            <w:tcW w:w="262" w:type="pct"/>
          </w:tcPr>
          <w:p>
            <w:pPr>
              <w:ind w:left="-57" w:right="-57"/>
              <w:jc w:val="right"/>
              <w:rPr>
                <w:noProof/>
              </w:rPr>
            </w:pPr>
          </w:p>
        </w:tc>
        <w:tc>
          <w:tcPr>
            <w:tcW w:w="296" w:type="pct"/>
          </w:tcPr>
          <w:p>
            <w:pPr>
              <w:ind w:left="-57" w:right="-57"/>
              <w:jc w:val="right"/>
              <w:rPr>
                <w:noProof/>
              </w:rPr>
            </w:pP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0102 90 05 00 </w:t>
            </w:r>
          </w:p>
        </w:tc>
        <w:tc>
          <w:tcPr>
            <w:tcW w:w="1213" w:type="pct"/>
          </w:tcPr>
          <w:p>
            <w:pPr>
              <w:autoSpaceDE w:val="0"/>
              <w:autoSpaceDN w:val="0"/>
              <w:adjustRightInd w:val="0"/>
              <w:ind w:left="-57" w:right="-57"/>
              <w:rPr>
                <w:noProof/>
                <w:color w:val="000000"/>
              </w:rPr>
            </w:pPr>
            <w:r>
              <w:rPr>
                <w:noProof/>
                <w:color w:val="000000"/>
              </w:rPr>
              <w:t>De specie domestică</w:t>
            </w:r>
            <w:r>
              <w:rPr>
                <w:noProof/>
              </w:rPr>
              <w:t xml:space="preserve">, cu o greutate de maximum 80 kg </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0102 90 21 00 </w:t>
            </w:r>
          </w:p>
        </w:tc>
        <w:tc>
          <w:tcPr>
            <w:tcW w:w="1213" w:type="pct"/>
          </w:tcPr>
          <w:p>
            <w:pPr>
              <w:pStyle w:val="NormalWeb"/>
              <w:spacing w:before="0" w:beforeAutospacing="0" w:after="0" w:afterAutospacing="0"/>
              <w:ind w:left="-57" w:right="-57"/>
              <w:rPr>
                <w:noProof/>
              </w:rPr>
            </w:pPr>
            <w:r>
              <w:rPr>
                <w:noProof/>
                <w:color w:val="000000"/>
              </w:rPr>
              <w:t xml:space="preserve">De specie domestică, cu o greutate peste 80 kg, dar de maximum 160 kg, destinate sacrificării </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0102 90 29 00 </w:t>
            </w:r>
          </w:p>
        </w:tc>
        <w:tc>
          <w:tcPr>
            <w:tcW w:w="1213" w:type="pct"/>
          </w:tcPr>
          <w:p>
            <w:pPr>
              <w:pStyle w:val="NormalWeb"/>
              <w:spacing w:before="0" w:beforeAutospacing="0" w:after="0" w:afterAutospacing="0"/>
              <w:ind w:left="-57" w:right="-57"/>
              <w:rPr>
                <w:noProof/>
              </w:rPr>
            </w:pPr>
            <w:r>
              <w:rPr>
                <w:noProof/>
                <w:color w:val="000000"/>
              </w:rPr>
              <w:t>De specie domestică, cu o greutate peste 80 kg, dar de maximum 160 kg, nedestinate sacrificării</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0102 90 41 00 </w:t>
            </w:r>
          </w:p>
        </w:tc>
        <w:tc>
          <w:tcPr>
            <w:tcW w:w="1213" w:type="pct"/>
          </w:tcPr>
          <w:p>
            <w:pPr>
              <w:pStyle w:val="NormalWeb"/>
              <w:spacing w:before="0" w:beforeAutospacing="0" w:after="0" w:afterAutospacing="0"/>
              <w:ind w:left="-57" w:right="-57"/>
              <w:rPr>
                <w:noProof/>
              </w:rPr>
            </w:pPr>
            <w:r>
              <w:rPr>
                <w:noProof/>
              </w:rPr>
              <w:t xml:space="preserve">De specie domestică, cu o greutate peste 160 kg, dar de maximum 300 kg, destinate sacrificării </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0102 90 49 00 </w:t>
            </w:r>
          </w:p>
        </w:tc>
        <w:tc>
          <w:tcPr>
            <w:tcW w:w="1213" w:type="pct"/>
          </w:tcPr>
          <w:p>
            <w:pPr>
              <w:pStyle w:val="NormalWeb"/>
              <w:spacing w:before="0" w:beforeAutospacing="0" w:after="0" w:afterAutospacing="0"/>
              <w:ind w:left="-57" w:right="-57"/>
              <w:rPr>
                <w:noProof/>
              </w:rPr>
            </w:pPr>
            <w:r>
              <w:rPr>
                <w:noProof/>
              </w:rPr>
              <w:t xml:space="preserve">De specie domestică, cu o greutate peste 160 kg, dar de maximum 300 kg, </w:t>
            </w:r>
            <w:r>
              <w:rPr>
                <w:noProof/>
                <w:color w:val="000000"/>
              </w:rPr>
              <w:t>nedestinate sacrificării</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0102 90 51 00 </w:t>
            </w:r>
          </w:p>
        </w:tc>
        <w:tc>
          <w:tcPr>
            <w:tcW w:w="1213" w:type="pct"/>
          </w:tcPr>
          <w:p>
            <w:pPr>
              <w:pStyle w:val="NormalWeb"/>
              <w:spacing w:before="0" w:beforeAutospacing="0" w:after="0" w:afterAutospacing="0"/>
              <w:ind w:left="-57" w:right="-57"/>
              <w:rPr>
                <w:noProof/>
              </w:rPr>
            </w:pPr>
            <w:r>
              <w:rPr>
                <w:noProof/>
                <w:color w:val="000000"/>
              </w:rPr>
              <w:t xml:space="preserve">Juninci (care nu au fătat niciodată), cu o greutate peste 300 kg, destinate sacrificării </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0102 90 59 00 </w:t>
            </w:r>
          </w:p>
        </w:tc>
        <w:tc>
          <w:tcPr>
            <w:tcW w:w="1213" w:type="pct"/>
          </w:tcPr>
          <w:p>
            <w:pPr>
              <w:pStyle w:val="NormalWeb"/>
              <w:spacing w:before="0" w:beforeAutospacing="0" w:after="0" w:afterAutospacing="0"/>
              <w:ind w:left="-57" w:right="-57"/>
              <w:rPr>
                <w:noProof/>
              </w:rPr>
            </w:pPr>
            <w:r>
              <w:rPr>
                <w:noProof/>
                <w:color w:val="000000"/>
              </w:rPr>
              <w:t>Juninci (care nu au fătat niciodată), cu o greutate peste 300 kg, nedestinate sacrificării</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0102 90 61 00 </w:t>
            </w:r>
          </w:p>
        </w:tc>
        <w:tc>
          <w:tcPr>
            <w:tcW w:w="1213" w:type="pct"/>
          </w:tcPr>
          <w:p>
            <w:pPr>
              <w:pStyle w:val="CM4"/>
              <w:spacing w:before="0" w:after="0"/>
              <w:ind w:left="-57" w:right="-57"/>
              <w:rPr>
                <w:rFonts w:ascii="Times New Roman" w:hAnsi="Times New Roman"/>
                <w:noProof/>
              </w:rPr>
            </w:pPr>
            <w:r>
              <w:rPr>
                <w:rFonts w:ascii="Times New Roman" w:hAnsi="Times New Roman"/>
                <w:noProof/>
              </w:rPr>
              <w:t xml:space="preserve">Vaci cu o greutate peste 300 kg, destinate sacrificării </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0102 90 69 00 </w:t>
            </w:r>
          </w:p>
        </w:tc>
        <w:tc>
          <w:tcPr>
            <w:tcW w:w="1213" w:type="pct"/>
          </w:tcPr>
          <w:p>
            <w:pPr>
              <w:pStyle w:val="NormalWeb"/>
              <w:spacing w:before="0" w:beforeAutospacing="0" w:after="0" w:afterAutospacing="0"/>
              <w:ind w:left="-57" w:right="-57"/>
              <w:rPr>
                <w:noProof/>
                <w:color w:val="000000"/>
              </w:rPr>
            </w:pPr>
            <w:r>
              <w:rPr>
                <w:noProof/>
              </w:rPr>
              <w:t xml:space="preserve">Vaci </w:t>
            </w:r>
            <w:r>
              <w:rPr>
                <w:noProof/>
                <w:color w:val="000000"/>
              </w:rPr>
              <w:t>cu o greutate peste 300 kg, nedestinate sacrificării</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0102 90 71 00 </w:t>
            </w:r>
          </w:p>
        </w:tc>
        <w:tc>
          <w:tcPr>
            <w:tcW w:w="1213" w:type="pct"/>
          </w:tcPr>
          <w:p>
            <w:pPr>
              <w:pStyle w:val="NormalWeb"/>
              <w:spacing w:before="0" w:beforeAutospacing="0" w:after="0" w:afterAutospacing="0"/>
              <w:ind w:left="-57" w:right="-57"/>
              <w:rPr>
                <w:noProof/>
                <w:color w:val="000000"/>
              </w:rPr>
            </w:pPr>
            <w:r>
              <w:rPr>
                <w:noProof/>
                <w:color w:val="000000"/>
              </w:rPr>
              <w:t>De specie domestică, cu excepția junincilor și vacilor, cu o greutate peste</w:t>
            </w:r>
            <w:r>
              <w:rPr>
                <w:noProof/>
              </w:rPr>
              <w:t xml:space="preserve"> 300 kg, destinate sacrificării </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0102 90 79 00 </w:t>
            </w:r>
          </w:p>
        </w:tc>
        <w:tc>
          <w:tcPr>
            <w:tcW w:w="1213" w:type="pct"/>
          </w:tcPr>
          <w:p>
            <w:pPr>
              <w:pStyle w:val="NormalWeb"/>
              <w:spacing w:before="0" w:beforeAutospacing="0" w:after="0" w:afterAutospacing="0"/>
              <w:ind w:left="-57" w:right="-57"/>
              <w:rPr>
                <w:noProof/>
              </w:rPr>
            </w:pPr>
            <w:r>
              <w:rPr>
                <w:noProof/>
                <w:color w:val="000000"/>
              </w:rPr>
              <w:t>De specie domestică, cu excepția junincilor și vacilor, cu o greutate peste</w:t>
            </w:r>
            <w:r>
              <w:rPr>
                <w:noProof/>
              </w:rPr>
              <w:t xml:space="preserve"> 300 kg, </w:t>
            </w:r>
            <w:r>
              <w:rPr>
                <w:noProof/>
                <w:color w:val="000000"/>
              </w:rPr>
              <w:t>nedestinate sacrificării</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0102 90 90 00 </w:t>
            </w:r>
          </w:p>
        </w:tc>
        <w:tc>
          <w:tcPr>
            <w:tcW w:w="1213" w:type="pct"/>
          </w:tcPr>
          <w:p>
            <w:pPr>
              <w:pStyle w:val="NormalWeb"/>
              <w:spacing w:before="0" w:beforeAutospacing="0" w:after="0" w:afterAutospacing="0"/>
              <w:ind w:left="-57" w:right="-57"/>
              <w:rPr>
                <w:noProof/>
                <w:color w:val="000000"/>
              </w:rPr>
            </w:pPr>
            <w:r>
              <w:rPr>
                <w:noProof/>
                <w:color w:val="000000"/>
              </w:rPr>
              <w:t>Bovine nedomestice</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p>
        </w:tc>
        <w:tc>
          <w:tcPr>
            <w:tcW w:w="1213" w:type="pct"/>
          </w:tcPr>
          <w:p>
            <w:pPr>
              <w:autoSpaceDE w:val="0"/>
              <w:autoSpaceDN w:val="0"/>
              <w:adjustRightInd w:val="0"/>
              <w:ind w:left="-57" w:right="-57"/>
              <w:rPr>
                <w:noProof/>
              </w:rPr>
            </w:pPr>
            <w:r>
              <w:rPr>
                <w:noProof/>
              </w:rPr>
              <w:t xml:space="preserve">Animale vii din specia ovină: </w:t>
            </w:r>
          </w:p>
        </w:tc>
        <w:tc>
          <w:tcPr>
            <w:tcW w:w="262" w:type="pct"/>
          </w:tcPr>
          <w:p>
            <w:pPr>
              <w:ind w:left="-57" w:right="-57"/>
              <w:jc w:val="right"/>
              <w:rPr>
                <w:noProof/>
                <w:color w:val="000000"/>
              </w:rPr>
            </w:pPr>
          </w:p>
        </w:tc>
        <w:tc>
          <w:tcPr>
            <w:tcW w:w="267" w:type="pct"/>
          </w:tcPr>
          <w:p>
            <w:pPr>
              <w:ind w:left="-57" w:right="-57"/>
              <w:jc w:val="right"/>
              <w:rPr>
                <w:noProof/>
                <w:color w:val="000000"/>
              </w:rPr>
            </w:pPr>
          </w:p>
        </w:tc>
        <w:tc>
          <w:tcPr>
            <w:tcW w:w="262" w:type="pct"/>
          </w:tcPr>
          <w:p>
            <w:pPr>
              <w:ind w:left="-57" w:right="-57"/>
              <w:jc w:val="right"/>
              <w:rPr>
                <w:noProof/>
                <w:color w:val="000000"/>
              </w:rPr>
            </w:pPr>
          </w:p>
        </w:tc>
        <w:tc>
          <w:tcPr>
            <w:tcW w:w="262" w:type="pct"/>
          </w:tcPr>
          <w:p>
            <w:pPr>
              <w:ind w:left="-57" w:right="-57"/>
              <w:jc w:val="right"/>
              <w:rPr>
                <w:noProof/>
                <w:color w:val="000000"/>
              </w:rPr>
            </w:pPr>
          </w:p>
        </w:tc>
        <w:tc>
          <w:tcPr>
            <w:tcW w:w="262" w:type="pct"/>
          </w:tcPr>
          <w:p>
            <w:pPr>
              <w:ind w:left="-57" w:right="-57"/>
              <w:jc w:val="right"/>
              <w:rPr>
                <w:noProof/>
                <w:color w:val="000000"/>
              </w:rPr>
            </w:pPr>
          </w:p>
        </w:tc>
        <w:tc>
          <w:tcPr>
            <w:tcW w:w="262" w:type="pct"/>
          </w:tcPr>
          <w:p>
            <w:pPr>
              <w:ind w:left="-57" w:right="-57"/>
              <w:jc w:val="right"/>
              <w:rPr>
                <w:noProof/>
                <w:color w:val="000000"/>
              </w:rPr>
            </w:pPr>
          </w:p>
        </w:tc>
        <w:tc>
          <w:tcPr>
            <w:tcW w:w="262" w:type="pct"/>
          </w:tcPr>
          <w:p>
            <w:pPr>
              <w:ind w:left="-57" w:right="-57"/>
              <w:jc w:val="right"/>
              <w:rPr>
                <w:noProof/>
                <w:color w:val="000000"/>
              </w:rPr>
            </w:pPr>
          </w:p>
        </w:tc>
        <w:tc>
          <w:tcPr>
            <w:tcW w:w="262" w:type="pct"/>
          </w:tcPr>
          <w:p>
            <w:pPr>
              <w:ind w:left="-57" w:right="-57"/>
              <w:jc w:val="right"/>
              <w:rPr>
                <w:noProof/>
                <w:color w:val="000000"/>
              </w:rPr>
            </w:pPr>
          </w:p>
        </w:tc>
        <w:tc>
          <w:tcPr>
            <w:tcW w:w="262" w:type="pct"/>
          </w:tcPr>
          <w:p>
            <w:pPr>
              <w:ind w:left="-57" w:right="-57"/>
              <w:jc w:val="right"/>
              <w:rPr>
                <w:noProof/>
                <w:color w:val="000000"/>
              </w:rPr>
            </w:pPr>
          </w:p>
        </w:tc>
        <w:tc>
          <w:tcPr>
            <w:tcW w:w="262" w:type="pct"/>
          </w:tcPr>
          <w:p>
            <w:pPr>
              <w:ind w:left="-57" w:right="-57"/>
              <w:jc w:val="right"/>
              <w:rPr>
                <w:noProof/>
                <w:color w:val="000000"/>
              </w:rPr>
            </w:pPr>
          </w:p>
        </w:tc>
        <w:tc>
          <w:tcPr>
            <w:tcW w:w="296" w:type="pct"/>
          </w:tcPr>
          <w:p>
            <w:pPr>
              <w:ind w:left="-57" w:right="-57"/>
              <w:jc w:val="right"/>
              <w:rPr>
                <w:noProof/>
                <w:color w:val="000000"/>
              </w:rPr>
            </w:pPr>
          </w:p>
        </w:tc>
        <w:tc>
          <w:tcPr>
            <w:tcW w:w="379" w:type="pct"/>
          </w:tcPr>
          <w:p>
            <w:pPr>
              <w:ind w:left="-57" w:right="-57"/>
              <w:jc w:val="right"/>
              <w:rPr>
                <w:noProof/>
              </w:rPr>
            </w:pPr>
          </w:p>
        </w:tc>
      </w:tr>
      <w:tr>
        <w:tc>
          <w:tcPr>
            <w:tcW w:w="488" w:type="pct"/>
          </w:tcPr>
          <w:p>
            <w:pPr>
              <w:pStyle w:val="NormalWeb"/>
              <w:spacing w:before="0" w:beforeAutospacing="0" w:after="0" w:afterAutospacing="0"/>
              <w:ind w:left="-85" w:right="-85"/>
              <w:rPr>
                <w:noProof/>
                <w:sz w:val="22"/>
                <w:szCs w:val="22"/>
              </w:rPr>
            </w:pPr>
            <w:r>
              <w:rPr>
                <w:noProof/>
                <w:color w:val="000000"/>
                <w:sz w:val="22"/>
              </w:rPr>
              <w:t xml:space="preserve">0104 10 10 00 </w:t>
            </w:r>
          </w:p>
        </w:tc>
        <w:tc>
          <w:tcPr>
            <w:tcW w:w="1213" w:type="pct"/>
          </w:tcPr>
          <w:p>
            <w:pPr>
              <w:pStyle w:val="CM4"/>
              <w:spacing w:before="0" w:after="0"/>
              <w:ind w:left="-57" w:right="-57"/>
              <w:rPr>
                <w:rFonts w:ascii="Times New Roman" w:hAnsi="Times New Roman"/>
                <w:noProof/>
                <w:color w:val="000000"/>
              </w:rPr>
            </w:pPr>
            <w:r>
              <w:rPr>
                <w:rFonts w:ascii="Times New Roman" w:hAnsi="Times New Roman"/>
                <w:noProof/>
              </w:rPr>
              <w:t>Reproducători de rasă pură</w:t>
            </w:r>
          </w:p>
        </w:tc>
        <w:tc>
          <w:tcPr>
            <w:tcW w:w="262" w:type="pct"/>
          </w:tcPr>
          <w:p>
            <w:pPr>
              <w:jc w:val="right"/>
              <w:rPr>
                <w:noProof/>
              </w:rPr>
            </w:pPr>
            <w:r>
              <w:rPr>
                <w:noProof/>
              </w:rPr>
              <w:t>8,0</w:t>
            </w:r>
          </w:p>
        </w:tc>
        <w:tc>
          <w:tcPr>
            <w:tcW w:w="267" w:type="pct"/>
          </w:tcPr>
          <w:p>
            <w:pPr>
              <w:jc w:val="right"/>
              <w:rPr>
                <w:noProof/>
              </w:rPr>
            </w:pPr>
            <w:r>
              <w:rPr>
                <w:noProof/>
              </w:rPr>
              <w:t>7,2</w:t>
            </w:r>
          </w:p>
        </w:tc>
        <w:tc>
          <w:tcPr>
            <w:tcW w:w="262" w:type="pct"/>
          </w:tcPr>
          <w:p>
            <w:pPr>
              <w:jc w:val="right"/>
              <w:rPr>
                <w:noProof/>
              </w:rPr>
            </w:pPr>
            <w:r>
              <w:rPr>
                <w:noProof/>
              </w:rPr>
              <w:t>6,4</w:t>
            </w:r>
          </w:p>
        </w:tc>
        <w:tc>
          <w:tcPr>
            <w:tcW w:w="262" w:type="pct"/>
          </w:tcPr>
          <w:p>
            <w:pPr>
              <w:jc w:val="right"/>
              <w:rPr>
                <w:noProof/>
              </w:rPr>
            </w:pPr>
            <w:r>
              <w:rPr>
                <w:noProof/>
              </w:rPr>
              <w:t>5,6</w:t>
            </w:r>
          </w:p>
        </w:tc>
        <w:tc>
          <w:tcPr>
            <w:tcW w:w="262" w:type="pct"/>
          </w:tcPr>
          <w:p>
            <w:pPr>
              <w:jc w:val="right"/>
              <w:rPr>
                <w:noProof/>
              </w:rPr>
            </w:pPr>
            <w:r>
              <w:rPr>
                <w:noProof/>
              </w:rPr>
              <w:t>4,8</w:t>
            </w:r>
          </w:p>
        </w:tc>
        <w:tc>
          <w:tcPr>
            <w:tcW w:w="262" w:type="pct"/>
          </w:tcPr>
          <w:p>
            <w:pPr>
              <w:jc w:val="right"/>
              <w:rPr>
                <w:noProof/>
              </w:rPr>
            </w:pPr>
            <w:r>
              <w:rPr>
                <w:noProof/>
              </w:rPr>
              <w:t>4,0</w:t>
            </w:r>
          </w:p>
        </w:tc>
        <w:tc>
          <w:tcPr>
            <w:tcW w:w="262" w:type="pct"/>
          </w:tcPr>
          <w:p>
            <w:pPr>
              <w:jc w:val="right"/>
              <w:rPr>
                <w:noProof/>
              </w:rPr>
            </w:pPr>
            <w:r>
              <w:rPr>
                <w:noProof/>
              </w:rPr>
              <w:t>3,2</w:t>
            </w:r>
          </w:p>
        </w:tc>
        <w:tc>
          <w:tcPr>
            <w:tcW w:w="262" w:type="pct"/>
          </w:tcPr>
          <w:p>
            <w:pPr>
              <w:jc w:val="right"/>
              <w:rPr>
                <w:noProof/>
              </w:rPr>
            </w:pPr>
            <w:r>
              <w:rPr>
                <w:noProof/>
              </w:rPr>
              <w:t>2,4</w:t>
            </w:r>
          </w:p>
        </w:tc>
        <w:tc>
          <w:tcPr>
            <w:tcW w:w="262" w:type="pct"/>
          </w:tcPr>
          <w:p>
            <w:pPr>
              <w:jc w:val="right"/>
              <w:rPr>
                <w:noProof/>
              </w:rPr>
            </w:pPr>
            <w:r>
              <w:rPr>
                <w:noProof/>
              </w:rPr>
              <w:t>1,6</w:t>
            </w:r>
          </w:p>
        </w:tc>
        <w:tc>
          <w:tcPr>
            <w:tcW w:w="262" w:type="pct"/>
          </w:tcPr>
          <w:p>
            <w:pPr>
              <w:jc w:val="right"/>
              <w:rPr>
                <w:noProof/>
              </w:rPr>
            </w:pPr>
            <w:r>
              <w:rPr>
                <w:noProof/>
              </w:rPr>
              <w:t>0,8</w:t>
            </w:r>
          </w:p>
        </w:tc>
        <w:tc>
          <w:tcPr>
            <w:tcW w:w="296" w:type="pct"/>
          </w:tcPr>
          <w:p>
            <w:pPr>
              <w:jc w:val="right"/>
              <w:rPr>
                <w:noProof/>
              </w:rPr>
            </w:pPr>
            <w:r>
              <w:rPr>
                <w:noProof/>
              </w:rPr>
              <w:t>0,0</w:t>
            </w:r>
          </w:p>
        </w:tc>
        <w:tc>
          <w:tcPr>
            <w:tcW w:w="379" w:type="pct"/>
          </w:tcPr>
          <w:p>
            <w:pPr>
              <w:ind w:left="-57" w:right="-57"/>
              <w:jc w:val="right"/>
              <w:rPr>
                <w:noProof/>
              </w:rPr>
            </w:pPr>
          </w:p>
        </w:tc>
      </w:tr>
      <w:tr>
        <w:tc>
          <w:tcPr>
            <w:tcW w:w="488" w:type="pct"/>
            <w:tcBorders>
              <w:bottom w:val="single" w:sz="4" w:space="0" w:color="auto"/>
            </w:tcBorders>
          </w:tcPr>
          <w:p>
            <w:pPr>
              <w:pStyle w:val="NormalWeb"/>
              <w:spacing w:before="0" w:beforeAutospacing="0" w:after="0" w:afterAutospacing="0"/>
              <w:ind w:left="-85" w:right="-85"/>
              <w:rPr>
                <w:noProof/>
                <w:sz w:val="22"/>
                <w:szCs w:val="22"/>
              </w:rPr>
            </w:pPr>
            <w:r>
              <w:rPr>
                <w:noProof/>
                <w:color w:val="000000"/>
                <w:sz w:val="22"/>
              </w:rPr>
              <w:t xml:space="preserve">0104 10 30 00 </w:t>
            </w:r>
          </w:p>
        </w:tc>
        <w:tc>
          <w:tcPr>
            <w:tcW w:w="1213" w:type="pct"/>
            <w:tcBorders>
              <w:bottom w:val="single" w:sz="4" w:space="0" w:color="auto"/>
            </w:tcBorders>
          </w:tcPr>
          <w:p>
            <w:pPr>
              <w:autoSpaceDE w:val="0"/>
              <w:autoSpaceDN w:val="0"/>
              <w:adjustRightInd w:val="0"/>
              <w:ind w:left="-57" w:right="-57"/>
              <w:rPr>
                <w:noProof/>
                <w:color w:val="000000"/>
              </w:rPr>
            </w:pPr>
            <w:r>
              <w:rPr>
                <w:noProof/>
              </w:rPr>
              <w:t xml:space="preserve">Miei (până la 1 an) </w:t>
            </w:r>
          </w:p>
        </w:tc>
        <w:tc>
          <w:tcPr>
            <w:tcW w:w="262" w:type="pct"/>
            <w:tcBorders>
              <w:bottom w:val="single" w:sz="4" w:space="0" w:color="auto"/>
            </w:tcBorders>
          </w:tcPr>
          <w:p>
            <w:pPr>
              <w:jc w:val="right"/>
              <w:rPr>
                <w:noProof/>
              </w:rPr>
            </w:pPr>
            <w:r>
              <w:rPr>
                <w:noProof/>
              </w:rPr>
              <w:t>8,0</w:t>
            </w:r>
          </w:p>
        </w:tc>
        <w:tc>
          <w:tcPr>
            <w:tcW w:w="267" w:type="pct"/>
            <w:tcBorders>
              <w:bottom w:val="single" w:sz="4" w:space="0" w:color="auto"/>
            </w:tcBorders>
          </w:tcPr>
          <w:p>
            <w:pPr>
              <w:jc w:val="right"/>
              <w:rPr>
                <w:noProof/>
              </w:rPr>
            </w:pPr>
            <w:r>
              <w:rPr>
                <w:noProof/>
              </w:rPr>
              <w:t>7,2</w:t>
            </w:r>
          </w:p>
        </w:tc>
        <w:tc>
          <w:tcPr>
            <w:tcW w:w="262" w:type="pct"/>
            <w:tcBorders>
              <w:bottom w:val="single" w:sz="4" w:space="0" w:color="auto"/>
            </w:tcBorders>
          </w:tcPr>
          <w:p>
            <w:pPr>
              <w:jc w:val="right"/>
              <w:rPr>
                <w:noProof/>
              </w:rPr>
            </w:pPr>
            <w:r>
              <w:rPr>
                <w:noProof/>
              </w:rPr>
              <w:t>6,4</w:t>
            </w:r>
          </w:p>
        </w:tc>
        <w:tc>
          <w:tcPr>
            <w:tcW w:w="262" w:type="pct"/>
            <w:tcBorders>
              <w:bottom w:val="single" w:sz="4" w:space="0" w:color="auto"/>
            </w:tcBorders>
          </w:tcPr>
          <w:p>
            <w:pPr>
              <w:jc w:val="right"/>
              <w:rPr>
                <w:noProof/>
              </w:rPr>
            </w:pPr>
            <w:r>
              <w:rPr>
                <w:noProof/>
              </w:rPr>
              <w:t>5,6</w:t>
            </w:r>
          </w:p>
        </w:tc>
        <w:tc>
          <w:tcPr>
            <w:tcW w:w="262" w:type="pct"/>
            <w:tcBorders>
              <w:bottom w:val="single" w:sz="4" w:space="0" w:color="auto"/>
            </w:tcBorders>
          </w:tcPr>
          <w:p>
            <w:pPr>
              <w:jc w:val="right"/>
              <w:rPr>
                <w:noProof/>
              </w:rPr>
            </w:pPr>
            <w:r>
              <w:rPr>
                <w:noProof/>
              </w:rPr>
              <w:t>4,8</w:t>
            </w:r>
          </w:p>
        </w:tc>
        <w:tc>
          <w:tcPr>
            <w:tcW w:w="262" w:type="pct"/>
            <w:tcBorders>
              <w:bottom w:val="single" w:sz="4" w:space="0" w:color="auto"/>
            </w:tcBorders>
          </w:tcPr>
          <w:p>
            <w:pPr>
              <w:jc w:val="right"/>
              <w:rPr>
                <w:noProof/>
              </w:rPr>
            </w:pPr>
            <w:r>
              <w:rPr>
                <w:noProof/>
              </w:rPr>
              <w:t>4,0</w:t>
            </w:r>
          </w:p>
        </w:tc>
        <w:tc>
          <w:tcPr>
            <w:tcW w:w="262" w:type="pct"/>
            <w:tcBorders>
              <w:bottom w:val="single" w:sz="4" w:space="0" w:color="auto"/>
            </w:tcBorders>
          </w:tcPr>
          <w:p>
            <w:pPr>
              <w:jc w:val="right"/>
              <w:rPr>
                <w:noProof/>
              </w:rPr>
            </w:pPr>
            <w:r>
              <w:rPr>
                <w:noProof/>
              </w:rPr>
              <w:t>3,2</w:t>
            </w:r>
          </w:p>
        </w:tc>
        <w:tc>
          <w:tcPr>
            <w:tcW w:w="262" w:type="pct"/>
            <w:tcBorders>
              <w:bottom w:val="single" w:sz="4" w:space="0" w:color="auto"/>
            </w:tcBorders>
          </w:tcPr>
          <w:p>
            <w:pPr>
              <w:jc w:val="right"/>
              <w:rPr>
                <w:noProof/>
              </w:rPr>
            </w:pPr>
            <w:r>
              <w:rPr>
                <w:noProof/>
              </w:rPr>
              <w:t>2,4</w:t>
            </w:r>
          </w:p>
        </w:tc>
        <w:tc>
          <w:tcPr>
            <w:tcW w:w="262" w:type="pct"/>
            <w:tcBorders>
              <w:bottom w:val="single" w:sz="4" w:space="0" w:color="auto"/>
            </w:tcBorders>
          </w:tcPr>
          <w:p>
            <w:pPr>
              <w:jc w:val="right"/>
              <w:rPr>
                <w:noProof/>
              </w:rPr>
            </w:pPr>
            <w:r>
              <w:rPr>
                <w:noProof/>
              </w:rPr>
              <w:t>1,6</w:t>
            </w:r>
          </w:p>
        </w:tc>
        <w:tc>
          <w:tcPr>
            <w:tcW w:w="262" w:type="pct"/>
            <w:tcBorders>
              <w:bottom w:val="single" w:sz="4" w:space="0" w:color="auto"/>
            </w:tcBorders>
          </w:tcPr>
          <w:p>
            <w:pPr>
              <w:jc w:val="right"/>
              <w:rPr>
                <w:noProof/>
              </w:rPr>
            </w:pPr>
            <w:r>
              <w:rPr>
                <w:noProof/>
              </w:rPr>
              <w:t>0,8</w:t>
            </w:r>
          </w:p>
        </w:tc>
        <w:tc>
          <w:tcPr>
            <w:tcW w:w="296" w:type="pct"/>
            <w:tcBorders>
              <w:bottom w:val="single" w:sz="4" w:space="0" w:color="auto"/>
            </w:tcBorders>
          </w:tcPr>
          <w:p>
            <w:pPr>
              <w:jc w:val="right"/>
              <w:rPr>
                <w:noProof/>
              </w:rPr>
            </w:pPr>
            <w:r>
              <w:rPr>
                <w:noProof/>
              </w:rPr>
              <w:t>0,0</w:t>
            </w:r>
          </w:p>
        </w:tc>
        <w:tc>
          <w:tcPr>
            <w:tcW w:w="379" w:type="pct"/>
            <w:tcBorders>
              <w:bottom w:val="single" w:sz="4" w:space="0" w:color="auto"/>
            </w:tcBorders>
          </w:tcPr>
          <w:p>
            <w:pPr>
              <w:ind w:left="-57" w:right="-57"/>
              <w:jc w:val="right"/>
              <w:rPr>
                <w:noProof/>
              </w:rPr>
            </w:pPr>
          </w:p>
        </w:tc>
      </w:tr>
      <w:tr>
        <w:tc>
          <w:tcPr>
            <w:tcW w:w="488" w:type="pct"/>
            <w:tcBorders>
              <w:bottom w:val="single" w:sz="4" w:space="0" w:color="auto"/>
            </w:tcBorders>
          </w:tcPr>
          <w:p>
            <w:pPr>
              <w:pStyle w:val="NormalWeb"/>
              <w:spacing w:before="0" w:beforeAutospacing="0" w:after="0" w:afterAutospacing="0"/>
              <w:ind w:left="-85" w:right="-85"/>
              <w:rPr>
                <w:noProof/>
                <w:sz w:val="22"/>
                <w:szCs w:val="22"/>
              </w:rPr>
            </w:pPr>
            <w:r>
              <w:rPr>
                <w:noProof/>
                <w:color w:val="000000"/>
                <w:sz w:val="22"/>
              </w:rPr>
              <w:t xml:space="preserve">0104 10 80 00 </w:t>
            </w:r>
          </w:p>
        </w:tc>
        <w:tc>
          <w:tcPr>
            <w:tcW w:w="1213" w:type="pct"/>
            <w:tcBorders>
              <w:bottom w:val="single" w:sz="4" w:space="0" w:color="auto"/>
            </w:tcBorders>
          </w:tcPr>
          <w:p>
            <w:pPr>
              <w:pStyle w:val="NormalWeb"/>
              <w:spacing w:before="0" w:beforeAutospacing="0" w:after="0" w:afterAutospacing="0"/>
              <w:ind w:left="-57" w:right="-57"/>
              <w:rPr>
                <w:noProof/>
                <w:color w:val="000000"/>
              </w:rPr>
            </w:pPr>
            <w:r>
              <w:rPr>
                <w:noProof/>
                <w:color w:val="000000"/>
              </w:rPr>
              <w:t>alte</w:t>
            </w:r>
            <w:r>
              <w:rPr>
                <w:noProof/>
              </w:rPr>
              <w:t xml:space="preserve"> animale vii din specia ovină, cu excepția </w:t>
            </w:r>
            <w:r>
              <w:rPr>
                <w:noProof/>
                <w:color w:val="000000"/>
              </w:rPr>
              <w:t>reproducătorilor de rasă pură</w:t>
            </w:r>
            <w:r>
              <w:rPr>
                <w:noProof/>
              </w:rPr>
              <w:t xml:space="preserve"> și a mieilor (până la 1 an)</w:t>
            </w:r>
          </w:p>
        </w:tc>
        <w:tc>
          <w:tcPr>
            <w:tcW w:w="262" w:type="pct"/>
            <w:tcBorders>
              <w:bottom w:val="single" w:sz="4" w:space="0" w:color="auto"/>
            </w:tcBorders>
          </w:tcPr>
          <w:p>
            <w:pPr>
              <w:jc w:val="right"/>
              <w:rPr>
                <w:noProof/>
              </w:rPr>
            </w:pPr>
            <w:r>
              <w:rPr>
                <w:noProof/>
              </w:rPr>
              <w:t>8,0</w:t>
            </w:r>
          </w:p>
        </w:tc>
        <w:tc>
          <w:tcPr>
            <w:tcW w:w="267" w:type="pct"/>
            <w:tcBorders>
              <w:bottom w:val="single" w:sz="4" w:space="0" w:color="auto"/>
            </w:tcBorders>
          </w:tcPr>
          <w:p>
            <w:pPr>
              <w:jc w:val="right"/>
              <w:rPr>
                <w:noProof/>
              </w:rPr>
            </w:pPr>
            <w:r>
              <w:rPr>
                <w:noProof/>
              </w:rPr>
              <w:t>7,2</w:t>
            </w:r>
          </w:p>
        </w:tc>
        <w:tc>
          <w:tcPr>
            <w:tcW w:w="262" w:type="pct"/>
            <w:tcBorders>
              <w:bottom w:val="single" w:sz="4" w:space="0" w:color="auto"/>
            </w:tcBorders>
          </w:tcPr>
          <w:p>
            <w:pPr>
              <w:jc w:val="right"/>
              <w:rPr>
                <w:noProof/>
              </w:rPr>
            </w:pPr>
            <w:r>
              <w:rPr>
                <w:noProof/>
              </w:rPr>
              <w:t>6,4</w:t>
            </w:r>
          </w:p>
        </w:tc>
        <w:tc>
          <w:tcPr>
            <w:tcW w:w="262" w:type="pct"/>
            <w:tcBorders>
              <w:bottom w:val="single" w:sz="4" w:space="0" w:color="auto"/>
            </w:tcBorders>
          </w:tcPr>
          <w:p>
            <w:pPr>
              <w:jc w:val="right"/>
              <w:rPr>
                <w:noProof/>
              </w:rPr>
            </w:pPr>
            <w:r>
              <w:rPr>
                <w:noProof/>
              </w:rPr>
              <w:t>5,6</w:t>
            </w:r>
          </w:p>
        </w:tc>
        <w:tc>
          <w:tcPr>
            <w:tcW w:w="262" w:type="pct"/>
            <w:tcBorders>
              <w:bottom w:val="single" w:sz="4" w:space="0" w:color="auto"/>
            </w:tcBorders>
          </w:tcPr>
          <w:p>
            <w:pPr>
              <w:jc w:val="right"/>
              <w:rPr>
                <w:noProof/>
              </w:rPr>
            </w:pPr>
            <w:r>
              <w:rPr>
                <w:noProof/>
              </w:rPr>
              <w:t>4,8</w:t>
            </w:r>
          </w:p>
        </w:tc>
        <w:tc>
          <w:tcPr>
            <w:tcW w:w="262" w:type="pct"/>
            <w:tcBorders>
              <w:bottom w:val="single" w:sz="4" w:space="0" w:color="auto"/>
            </w:tcBorders>
          </w:tcPr>
          <w:p>
            <w:pPr>
              <w:jc w:val="right"/>
              <w:rPr>
                <w:noProof/>
              </w:rPr>
            </w:pPr>
            <w:r>
              <w:rPr>
                <w:noProof/>
              </w:rPr>
              <w:t>4,0</w:t>
            </w:r>
          </w:p>
        </w:tc>
        <w:tc>
          <w:tcPr>
            <w:tcW w:w="262" w:type="pct"/>
            <w:tcBorders>
              <w:bottom w:val="single" w:sz="4" w:space="0" w:color="auto"/>
            </w:tcBorders>
          </w:tcPr>
          <w:p>
            <w:pPr>
              <w:jc w:val="right"/>
              <w:rPr>
                <w:noProof/>
              </w:rPr>
            </w:pPr>
            <w:r>
              <w:rPr>
                <w:noProof/>
              </w:rPr>
              <w:t>3,2</w:t>
            </w:r>
          </w:p>
        </w:tc>
        <w:tc>
          <w:tcPr>
            <w:tcW w:w="262" w:type="pct"/>
            <w:tcBorders>
              <w:bottom w:val="single" w:sz="4" w:space="0" w:color="auto"/>
            </w:tcBorders>
          </w:tcPr>
          <w:p>
            <w:pPr>
              <w:jc w:val="right"/>
              <w:rPr>
                <w:noProof/>
              </w:rPr>
            </w:pPr>
            <w:r>
              <w:rPr>
                <w:noProof/>
              </w:rPr>
              <w:t>2,4</w:t>
            </w:r>
          </w:p>
        </w:tc>
        <w:tc>
          <w:tcPr>
            <w:tcW w:w="262" w:type="pct"/>
            <w:tcBorders>
              <w:bottom w:val="single" w:sz="4" w:space="0" w:color="auto"/>
            </w:tcBorders>
          </w:tcPr>
          <w:p>
            <w:pPr>
              <w:jc w:val="right"/>
              <w:rPr>
                <w:noProof/>
              </w:rPr>
            </w:pPr>
            <w:r>
              <w:rPr>
                <w:noProof/>
              </w:rPr>
              <w:t>1,6</w:t>
            </w:r>
          </w:p>
        </w:tc>
        <w:tc>
          <w:tcPr>
            <w:tcW w:w="262" w:type="pct"/>
            <w:tcBorders>
              <w:bottom w:val="single" w:sz="4" w:space="0" w:color="auto"/>
            </w:tcBorders>
          </w:tcPr>
          <w:p>
            <w:pPr>
              <w:jc w:val="right"/>
              <w:rPr>
                <w:noProof/>
              </w:rPr>
            </w:pPr>
            <w:r>
              <w:rPr>
                <w:noProof/>
              </w:rPr>
              <w:t>0,8</w:t>
            </w:r>
          </w:p>
        </w:tc>
        <w:tc>
          <w:tcPr>
            <w:tcW w:w="296" w:type="pct"/>
            <w:tcBorders>
              <w:bottom w:val="single" w:sz="4" w:space="0" w:color="auto"/>
            </w:tcBorders>
          </w:tcPr>
          <w:p>
            <w:pPr>
              <w:jc w:val="right"/>
              <w:rPr>
                <w:noProof/>
              </w:rPr>
            </w:pPr>
            <w:r>
              <w:rPr>
                <w:noProof/>
              </w:rPr>
              <w:t>0,0</w:t>
            </w:r>
          </w:p>
        </w:tc>
        <w:tc>
          <w:tcPr>
            <w:tcW w:w="379" w:type="pct"/>
            <w:tcBorders>
              <w:bottom w:val="single" w:sz="4" w:space="0" w:color="auto"/>
            </w:tcBorders>
          </w:tcPr>
          <w:p>
            <w:pPr>
              <w:ind w:left="-57" w:right="-57"/>
              <w:jc w:val="right"/>
              <w:rPr>
                <w:noProof/>
              </w:rPr>
            </w:pPr>
          </w:p>
        </w:tc>
      </w:tr>
      <w:tr>
        <w:tc>
          <w:tcPr>
            <w:tcW w:w="488" w:type="pct"/>
            <w:tcBorders>
              <w:bottom w:val="single" w:sz="4" w:space="0" w:color="auto"/>
            </w:tcBorders>
            <w:shd w:val="clear" w:color="auto" w:fill="auto"/>
          </w:tcPr>
          <w:p>
            <w:pPr>
              <w:pStyle w:val="NormalWeb"/>
              <w:spacing w:before="0" w:beforeAutospacing="0" w:after="0" w:afterAutospacing="0"/>
              <w:ind w:left="-85" w:right="-85"/>
              <w:rPr>
                <w:noProof/>
                <w:sz w:val="22"/>
                <w:szCs w:val="22"/>
              </w:rPr>
            </w:pPr>
            <w:r>
              <w:rPr>
                <w:noProof/>
                <w:color w:val="000000"/>
                <w:sz w:val="22"/>
              </w:rPr>
              <w:t xml:space="preserve">4101 </w:t>
            </w:r>
          </w:p>
        </w:tc>
        <w:tc>
          <w:tcPr>
            <w:tcW w:w="1213" w:type="pct"/>
            <w:tcBorders>
              <w:bottom w:val="single" w:sz="4" w:space="0" w:color="auto"/>
            </w:tcBorders>
            <w:shd w:val="clear" w:color="auto" w:fill="auto"/>
          </w:tcPr>
          <w:p>
            <w:pPr>
              <w:pStyle w:val="CM49"/>
              <w:spacing w:before="0" w:after="0"/>
              <w:ind w:left="-57" w:right="-57"/>
              <w:rPr>
                <w:rFonts w:ascii="Times New Roman" w:hAnsi="Times New Roman"/>
                <w:noProof/>
                <w:color w:val="000000"/>
              </w:rPr>
            </w:pPr>
            <w:r>
              <w:rPr>
                <w:rFonts w:ascii="Times New Roman" w:hAnsi="Times New Roman"/>
                <w:noProof/>
              </w:rPr>
              <w:t xml:space="preserve">Piei brute de bovine (inclusiv de bivoli) sau de ecvidee (proaspete sau sărate, uscate, cenușărite, piclate sau altfel conservate, dar netăbăcite, nepergamentate sau altfel preparate), chiar epilate sau șpăltuite </w:t>
            </w:r>
          </w:p>
        </w:tc>
        <w:tc>
          <w:tcPr>
            <w:tcW w:w="262" w:type="pct"/>
            <w:tcBorders>
              <w:bottom w:val="single" w:sz="4" w:space="0" w:color="auto"/>
            </w:tcBorders>
            <w:shd w:val="clear" w:color="auto" w:fill="auto"/>
          </w:tcPr>
          <w:p>
            <w:pPr>
              <w:jc w:val="center"/>
              <w:rPr>
                <w:noProof/>
              </w:rPr>
            </w:pPr>
            <w:r>
              <w:rPr>
                <w:noProof/>
              </w:rPr>
              <w:t>11</w:t>
            </w:r>
          </w:p>
        </w:tc>
        <w:tc>
          <w:tcPr>
            <w:tcW w:w="267" w:type="pct"/>
            <w:tcBorders>
              <w:bottom w:val="single" w:sz="4" w:space="0" w:color="auto"/>
            </w:tcBorders>
            <w:shd w:val="clear" w:color="auto" w:fill="auto"/>
          </w:tcPr>
          <w:p>
            <w:pPr>
              <w:jc w:val="center"/>
              <w:rPr>
                <w:noProof/>
              </w:rPr>
            </w:pPr>
            <w:r>
              <w:rPr>
                <w:noProof/>
              </w:rPr>
              <w:t>9,84</w:t>
            </w:r>
          </w:p>
        </w:tc>
        <w:tc>
          <w:tcPr>
            <w:tcW w:w="262" w:type="pct"/>
            <w:tcBorders>
              <w:bottom w:val="single" w:sz="4" w:space="0" w:color="auto"/>
            </w:tcBorders>
            <w:shd w:val="clear" w:color="auto" w:fill="auto"/>
          </w:tcPr>
          <w:p>
            <w:pPr>
              <w:jc w:val="center"/>
              <w:rPr>
                <w:noProof/>
              </w:rPr>
            </w:pPr>
            <w:r>
              <w:rPr>
                <w:noProof/>
              </w:rPr>
              <w:t>8,70</w:t>
            </w:r>
          </w:p>
        </w:tc>
        <w:tc>
          <w:tcPr>
            <w:tcW w:w="262" w:type="pct"/>
            <w:tcBorders>
              <w:bottom w:val="single" w:sz="4" w:space="0" w:color="auto"/>
            </w:tcBorders>
            <w:shd w:val="clear" w:color="auto" w:fill="auto"/>
          </w:tcPr>
          <w:p>
            <w:pPr>
              <w:jc w:val="center"/>
              <w:rPr>
                <w:noProof/>
              </w:rPr>
            </w:pPr>
            <w:r>
              <w:rPr>
                <w:noProof/>
              </w:rPr>
              <w:t>7,95</w:t>
            </w:r>
          </w:p>
        </w:tc>
        <w:tc>
          <w:tcPr>
            <w:tcW w:w="262" w:type="pct"/>
            <w:tcBorders>
              <w:bottom w:val="single" w:sz="4" w:space="0" w:color="auto"/>
            </w:tcBorders>
            <w:shd w:val="clear" w:color="auto" w:fill="auto"/>
          </w:tcPr>
          <w:p>
            <w:pPr>
              <w:jc w:val="center"/>
              <w:rPr>
                <w:noProof/>
              </w:rPr>
            </w:pPr>
            <w:r>
              <w:rPr>
                <w:noProof/>
              </w:rPr>
              <w:t>7,14</w:t>
            </w:r>
          </w:p>
        </w:tc>
        <w:tc>
          <w:tcPr>
            <w:tcW w:w="262" w:type="pct"/>
            <w:tcBorders>
              <w:bottom w:val="single" w:sz="4" w:space="0" w:color="auto"/>
            </w:tcBorders>
            <w:shd w:val="clear" w:color="auto" w:fill="auto"/>
          </w:tcPr>
          <w:p>
            <w:pPr>
              <w:jc w:val="center"/>
              <w:rPr>
                <w:noProof/>
              </w:rPr>
            </w:pPr>
            <w:r>
              <w:rPr>
                <w:noProof/>
              </w:rPr>
              <w:t>6,25</w:t>
            </w:r>
          </w:p>
        </w:tc>
        <w:tc>
          <w:tcPr>
            <w:tcW w:w="262" w:type="pct"/>
            <w:tcBorders>
              <w:bottom w:val="single" w:sz="4" w:space="0" w:color="auto"/>
            </w:tcBorders>
            <w:shd w:val="clear" w:color="auto" w:fill="auto"/>
          </w:tcPr>
          <w:p>
            <w:pPr>
              <w:jc w:val="center"/>
              <w:rPr>
                <w:noProof/>
              </w:rPr>
            </w:pPr>
            <w:r>
              <w:rPr>
                <w:noProof/>
              </w:rPr>
              <w:t>5,0</w:t>
            </w:r>
          </w:p>
        </w:tc>
        <w:tc>
          <w:tcPr>
            <w:tcW w:w="262" w:type="pct"/>
            <w:tcBorders>
              <w:bottom w:val="single" w:sz="4" w:space="0" w:color="auto"/>
            </w:tcBorders>
            <w:shd w:val="clear" w:color="auto" w:fill="auto"/>
          </w:tcPr>
          <w:p>
            <w:pPr>
              <w:jc w:val="center"/>
              <w:rPr>
                <w:noProof/>
              </w:rPr>
            </w:pPr>
            <w:r>
              <w:rPr>
                <w:noProof/>
              </w:rPr>
              <w:t>3,75</w:t>
            </w:r>
          </w:p>
        </w:tc>
        <w:tc>
          <w:tcPr>
            <w:tcW w:w="262" w:type="pct"/>
            <w:tcBorders>
              <w:bottom w:val="single" w:sz="4" w:space="0" w:color="auto"/>
            </w:tcBorders>
            <w:shd w:val="clear" w:color="auto" w:fill="auto"/>
          </w:tcPr>
          <w:p>
            <w:pPr>
              <w:jc w:val="center"/>
              <w:rPr>
                <w:noProof/>
              </w:rPr>
            </w:pPr>
            <w:r>
              <w:rPr>
                <w:noProof/>
              </w:rPr>
              <w:t>2,5</w:t>
            </w:r>
          </w:p>
        </w:tc>
        <w:tc>
          <w:tcPr>
            <w:tcW w:w="262" w:type="pct"/>
            <w:tcBorders>
              <w:bottom w:val="single" w:sz="4" w:space="0" w:color="auto"/>
            </w:tcBorders>
            <w:shd w:val="clear" w:color="auto" w:fill="auto"/>
          </w:tcPr>
          <w:p>
            <w:pPr>
              <w:jc w:val="center"/>
              <w:rPr>
                <w:noProof/>
              </w:rPr>
            </w:pPr>
            <w:r>
              <w:rPr>
                <w:noProof/>
              </w:rPr>
              <w:t>1,25</w:t>
            </w:r>
          </w:p>
        </w:tc>
        <w:tc>
          <w:tcPr>
            <w:tcW w:w="296" w:type="pct"/>
            <w:tcBorders>
              <w:bottom w:val="single" w:sz="4" w:space="0" w:color="auto"/>
            </w:tcBorders>
            <w:shd w:val="clear" w:color="auto" w:fill="auto"/>
          </w:tcPr>
          <w:p>
            <w:pPr>
              <w:jc w:val="center"/>
              <w:rPr>
                <w:noProof/>
              </w:rPr>
            </w:pPr>
            <w:r>
              <w:rPr>
                <w:noProof/>
              </w:rPr>
              <w:t>0,0</w:t>
            </w:r>
          </w:p>
        </w:tc>
        <w:tc>
          <w:tcPr>
            <w:tcW w:w="379" w:type="pct"/>
            <w:tcBorders>
              <w:bottom w:val="single" w:sz="4" w:space="0" w:color="auto"/>
            </w:tcBorders>
            <w:shd w:val="clear" w:color="auto" w:fill="auto"/>
          </w:tcPr>
          <w:p>
            <w:pPr>
              <w:ind w:left="-57" w:right="-57"/>
              <w:jc w:val="center"/>
              <w:rPr>
                <w:noProof/>
              </w:rPr>
            </w:pPr>
            <w:r>
              <w:rPr>
                <w:noProof/>
              </w:rPr>
              <w:t>a se vedea anexa I-D</w:t>
            </w:r>
          </w:p>
        </w:tc>
      </w:tr>
      <w:tr>
        <w:tc>
          <w:tcPr>
            <w:tcW w:w="488" w:type="pct"/>
            <w:shd w:val="clear" w:color="auto" w:fill="auto"/>
          </w:tcPr>
          <w:p>
            <w:pPr>
              <w:pStyle w:val="NormalWeb"/>
              <w:spacing w:before="0" w:beforeAutospacing="0" w:after="0" w:afterAutospacing="0"/>
              <w:ind w:left="-85" w:right="-85"/>
              <w:rPr>
                <w:noProof/>
                <w:sz w:val="22"/>
                <w:szCs w:val="22"/>
              </w:rPr>
            </w:pPr>
            <w:r>
              <w:rPr>
                <w:noProof/>
                <w:color w:val="000000"/>
                <w:sz w:val="22"/>
              </w:rPr>
              <w:t xml:space="preserve">4102 </w:t>
            </w:r>
          </w:p>
        </w:tc>
        <w:tc>
          <w:tcPr>
            <w:tcW w:w="1213" w:type="pct"/>
            <w:shd w:val="clear" w:color="auto" w:fill="auto"/>
          </w:tcPr>
          <w:p>
            <w:pPr>
              <w:pStyle w:val="CM49"/>
              <w:spacing w:before="0" w:after="0"/>
              <w:ind w:left="-57" w:right="-57"/>
              <w:rPr>
                <w:rFonts w:ascii="Times New Roman" w:hAnsi="Times New Roman"/>
                <w:noProof/>
                <w:color w:val="000000"/>
              </w:rPr>
            </w:pPr>
            <w:r>
              <w:rPr>
                <w:rFonts w:ascii="Times New Roman" w:hAnsi="Times New Roman"/>
                <w:noProof/>
              </w:rPr>
              <w:t xml:space="preserve">Piei brute de ovine (proaspete sau sărate, uscate, cenușărite, piclate sau altfel conservate, dar netăbăcite, nepergamentate sau altfel preparate) chiar epilate sau șpăltuite, altele decât cele excluse prin nota 1 litera (c) din prezentul capitol </w:t>
            </w:r>
          </w:p>
        </w:tc>
        <w:tc>
          <w:tcPr>
            <w:tcW w:w="262" w:type="pct"/>
            <w:shd w:val="clear" w:color="auto" w:fill="auto"/>
          </w:tcPr>
          <w:p>
            <w:pPr>
              <w:jc w:val="center"/>
              <w:rPr>
                <w:noProof/>
              </w:rPr>
            </w:pPr>
            <w:r>
              <w:rPr>
                <w:noProof/>
              </w:rPr>
              <w:t>11</w:t>
            </w:r>
          </w:p>
        </w:tc>
        <w:tc>
          <w:tcPr>
            <w:tcW w:w="267" w:type="pct"/>
            <w:shd w:val="clear" w:color="auto" w:fill="auto"/>
          </w:tcPr>
          <w:p>
            <w:pPr>
              <w:jc w:val="center"/>
              <w:rPr>
                <w:noProof/>
              </w:rPr>
            </w:pPr>
            <w:r>
              <w:rPr>
                <w:noProof/>
              </w:rPr>
              <w:t>9,84</w:t>
            </w:r>
          </w:p>
        </w:tc>
        <w:tc>
          <w:tcPr>
            <w:tcW w:w="262" w:type="pct"/>
            <w:shd w:val="clear" w:color="auto" w:fill="auto"/>
          </w:tcPr>
          <w:p>
            <w:pPr>
              <w:jc w:val="center"/>
              <w:rPr>
                <w:noProof/>
              </w:rPr>
            </w:pPr>
            <w:r>
              <w:rPr>
                <w:noProof/>
              </w:rPr>
              <w:t>8,70</w:t>
            </w:r>
          </w:p>
        </w:tc>
        <w:tc>
          <w:tcPr>
            <w:tcW w:w="262" w:type="pct"/>
            <w:shd w:val="clear" w:color="auto" w:fill="auto"/>
          </w:tcPr>
          <w:p>
            <w:pPr>
              <w:jc w:val="center"/>
              <w:rPr>
                <w:noProof/>
              </w:rPr>
            </w:pPr>
            <w:r>
              <w:rPr>
                <w:noProof/>
              </w:rPr>
              <w:t>7,95</w:t>
            </w:r>
          </w:p>
        </w:tc>
        <w:tc>
          <w:tcPr>
            <w:tcW w:w="262" w:type="pct"/>
            <w:shd w:val="clear" w:color="auto" w:fill="auto"/>
          </w:tcPr>
          <w:p>
            <w:pPr>
              <w:jc w:val="center"/>
              <w:rPr>
                <w:noProof/>
              </w:rPr>
            </w:pPr>
            <w:r>
              <w:rPr>
                <w:noProof/>
              </w:rPr>
              <w:t>7,14</w:t>
            </w:r>
          </w:p>
        </w:tc>
        <w:tc>
          <w:tcPr>
            <w:tcW w:w="262" w:type="pct"/>
            <w:shd w:val="clear" w:color="auto" w:fill="auto"/>
          </w:tcPr>
          <w:p>
            <w:pPr>
              <w:jc w:val="center"/>
              <w:rPr>
                <w:noProof/>
              </w:rPr>
            </w:pPr>
            <w:r>
              <w:rPr>
                <w:noProof/>
              </w:rPr>
              <w:t>6,25</w:t>
            </w:r>
          </w:p>
        </w:tc>
        <w:tc>
          <w:tcPr>
            <w:tcW w:w="262" w:type="pct"/>
            <w:shd w:val="clear" w:color="auto" w:fill="auto"/>
          </w:tcPr>
          <w:p>
            <w:pPr>
              <w:jc w:val="center"/>
              <w:rPr>
                <w:noProof/>
              </w:rPr>
            </w:pPr>
            <w:r>
              <w:rPr>
                <w:noProof/>
              </w:rPr>
              <w:t>5,0</w:t>
            </w:r>
          </w:p>
        </w:tc>
        <w:tc>
          <w:tcPr>
            <w:tcW w:w="262" w:type="pct"/>
            <w:shd w:val="clear" w:color="auto" w:fill="auto"/>
          </w:tcPr>
          <w:p>
            <w:pPr>
              <w:jc w:val="center"/>
              <w:rPr>
                <w:noProof/>
              </w:rPr>
            </w:pPr>
            <w:r>
              <w:rPr>
                <w:noProof/>
              </w:rPr>
              <w:t>3,75</w:t>
            </w:r>
          </w:p>
        </w:tc>
        <w:tc>
          <w:tcPr>
            <w:tcW w:w="262" w:type="pct"/>
            <w:shd w:val="clear" w:color="auto" w:fill="auto"/>
          </w:tcPr>
          <w:p>
            <w:pPr>
              <w:jc w:val="center"/>
              <w:rPr>
                <w:noProof/>
              </w:rPr>
            </w:pPr>
            <w:r>
              <w:rPr>
                <w:noProof/>
              </w:rPr>
              <w:t>2,5</w:t>
            </w:r>
          </w:p>
        </w:tc>
        <w:tc>
          <w:tcPr>
            <w:tcW w:w="262" w:type="pct"/>
            <w:shd w:val="clear" w:color="auto" w:fill="auto"/>
          </w:tcPr>
          <w:p>
            <w:pPr>
              <w:jc w:val="center"/>
              <w:rPr>
                <w:noProof/>
              </w:rPr>
            </w:pPr>
            <w:r>
              <w:rPr>
                <w:noProof/>
              </w:rPr>
              <w:t>1,25</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488" w:type="pct"/>
            <w:shd w:val="clear" w:color="auto" w:fill="auto"/>
          </w:tcPr>
          <w:p>
            <w:pPr>
              <w:pStyle w:val="NormalWeb"/>
              <w:spacing w:before="0" w:beforeAutospacing="0" w:after="0" w:afterAutospacing="0"/>
              <w:ind w:left="-85" w:right="-85"/>
              <w:rPr>
                <w:noProof/>
                <w:sz w:val="22"/>
                <w:szCs w:val="22"/>
              </w:rPr>
            </w:pPr>
            <w:r>
              <w:rPr>
                <w:noProof/>
                <w:color w:val="000000"/>
                <w:sz w:val="22"/>
              </w:rPr>
              <w:t xml:space="preserve">4103 90 </w:t>
            </w:r>
          </w:p>
        </w:tc>
        <w:tc>
          <w:tcPr>
            <w:tcW w:w="1213" w:type="pct"/>
            <w:shd w:val="clear" w:color="auto" w:fill="auto"/>
          </w:tcPr>
          <w:p>
            <w:pPr>
              <w:pStyle w:val="CM49"/>
              <w:spacing w:before="0" w:after="0"/>
              <w:ind w:left="-57" w:right="-57"/>
              <w:rPr>
                <w:rFonts w:ascii="Times New Roman" w:hAnsi="Times New Roman"/>
                <w:noProof/>
                <w:color w:val="000000"/>
              </w:rPr>
            </w:pPr>
            <w:r>
              <w:rPr>
                <w:rFonts w:ascii="Times New Roman" w:hAnsi="Times New Roman"/>
                <w:noProof/>
                <w:color w:val="000000"/>
              </w:rPr>
              <w:t xml:space="preserve">Alte piei brute (proaspete sau sărate, uscate, cenușărite, piclate sau altfel conservate, dar netăbăcite, nepergamentate sau altfel preparate), chiar epilate sau șpăltuite, altele decât cele excluse prin notele 1 litera (b) sau 1 litera (c) din prezentul capitol, cu excepția celor de reptile și porcine </w:t>
            </w:r>
          </w:p>
        </w:tc>
        <w:tc>
          <w:tcPr>
            <w:tcW w:w="262" w:type="pct"/>
            <w:shd w:val="clear" w:color="auto" w:fill="auto"/>
          </w:tcPr>
          <w:p>
            <w:pPr>
              <w:jc w:val="center"/>
              <w:rPr>
                <w:noProof/>
              </w:rPr>
            </w:pPr>
            <w:r>
              <w:rPr>
                <w:noProof/>
              </w:rPr>
              <w:t>11</w:t>
            </w:r>
          </w:p>
        </w:tc>
        <w:tc>
          <w:tcPr>
            <w:tcW w:w="267" w:type="pct"/>
            <w:shd w:val="clear" w:color="auto" w:fill="auto"/>
          </w:tcPr>
          <w:p>
            <w:pPr>
              <w:jc w:val="center"/>
              <w:rPr>
                <w:noProof/>
              </w:rPr>
            </w:pPr>
            <w:r>
              <w:rPr>
                <w:noProof/>
              </w:rPr>
              <w:t>9,84</w:t>
            </w:r>
          </w:p>
        </w:tc>
        <w:tc>
          <w:tcPr>
            <w:tcW w:w="262" w:type="pct"/>
            <w:shd w:val="clear" w:color="auto" w:fill="auto"/>
          </w:tcPr>
          <w:p>
            <w:pPr>
              <w:jc w:val="center"/>
              <w:rPr>
                <w:noProof/>
              </w:rPr>
            </w:pPr>
            <w:r>
              <w:rPr>
                <w:noProof/>
              </w:rPr>
              <w:t>8,70</w:t>
            </w:r>
          </w:p>
        </w:tc>
        <w:tc>
          <w:tcPr>
            <w:tcW w:w="262" w:type="pct"/>
            <w:shd w:val="clear" w:color="auto" w:fill="auto"/>
          </w:tcPr>
          <w:p>
            <w:pPr>
              <w:jc w:val="center"/>
              <w:rPr>
                <w:noProof/>
              </w:rPr>
            </w:pPr>
            <w:r>
              <w:rPr>
                <w:noProof/>
              </w:rPr>
              <w:t>7,95</w:t>
            </w:r>
          </w:p>
        </w:tc>
        <w:tc>
          <w:tcPr>
            <w:tcW w:w="262" w:type="pct"/>
            <w:shd w:val="clear" w:color="auto" w:fill="auto"/>
          </w:tcPr>
          <w:p>
            <w:pPr>
              <w:jc w:val="center"/>
              <w:rPr>
                <w:noProof/>
              </w:rPr>
            </w:pPr>
            <w:r>
              <w:rPr>
                <w:noProof/>
              </w:rPr>
              <w:t>7,14</w:t>
            </w:r>
          </w:p>
        </w:tc>
        <w:tc>
          <w:tcPr>
            <w:tcW w:w="262" w:type="pct"/>
            <w:shd w:val="clear" w:color="auto" w:fill="auto"/>
          </w:tcPr>
          <w:p>
            <w:pPr>
              <w:jc w:val="center"/>
              <w:rPr>
                <w:noProof/>
              </w:rPr>
            </w:pPr>
            <w:r>
              <w:rPr>
                <w:noProof/>
              </w:rPr>
              <w:t>6,25</w:t>
            </w:r>
          </w:p>
        </w:tc>
        <w:tc>
          <w:tcPr>
            <w:tcW w:w="262" w:type="pct"/>
            <w:shd w:val="clear" w:color="auto" w:fill="auto"/>
          </w:tcPr>
          <w:p>
            <w:pPr>
              <w:jc w:val="center"/>
              <w:rPr>
                <w:noProof/>
              </w:rPr>
            </w:pPr>
            <w:r>
              <w:rPr>
                <w:noProof/>
              </w:rPr>
              <w:t>5,0</w:t>
            </w:r>
          </w:p>
        </w:tc>
        <w:tc>
          <w:tcPr>
            <w:tcW w:w="262" w:type="pct"/>
            <w:shd w:val="clear" w:color="auto" w:fill="auto"/>
          </w:tcPr>
          <w:p>
            <w:pPr>
              <w:jc w:val="center"/>
              <w:rPr>
                <w:noProof/>
              </w:rPr>
            </w:pPr>
            <w:r>
              <w:rPr>
                <w:noProof/>
              </w:rPr>
              <w:t>3,75</w:t>
            </w:r>
          </w:p>
        </w:tc>
        <w:tc>
          <w:tcPr>
            <w:tcW w:w="262" w:type="pct"/>
            <w:shd w:val="clear" w:color="auto" w:fill="auto"/>
          </w:tcPr>
          <w:p>
            <w:pPr>
              <w:jc w:val="center"/>
              <w:rPr>
                <w:noProof/>
              </w:rPr>
            </w:pPr>
            <w:r>
              <w:rPr>
                <w:noProof/>
              </w:rPr>
              <w:t>2,5</w:t>
            </w:r>
          </w:p>
        </w:tc>
        <w:tc>
          <w:tcPr>
            <w:tcW w:w="262" w:type="pct"/>
            <w:shd w:val="clear" w:color="auto" w:fill="auto"/>
          </w:tcPr>
          <w:p>
            <w:pPr>
              <w:jc w:val="center"/>
              <w:rPr>
                <w:noProof/>
              </w:rPr>
            </w:pPr>
            <w:r>
              <w:rPr>
                <w:noProof/>
              </w:rPr>
              <w:t>1,25</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color w:val="FFFFFF"/>
              </w:rPr>
            </w:pPr>
            <w:r>
              <w:rPr>
                <w:noProof/>
              </w:rPr>
              <w:t>a se vedea anexa I-D</w:t>
            </w:r>
          </w:p>
        </w:tc>
      </w:tr>
    </w:tbl>
    <w:p>
      <w:pPr>
        <w:rPr>
          <w:noProof/>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4"/>
      </w:tblGrid>
      <w:tr>
        <w:tc>
          <w:tcPr>
            <w:tcW w:w="5000" w:type="pct"/>
          </w:tcPr>
          <w:p>
            <w:pPr>
              <w:jc w:val="center"/>
              <w:rPr>
                <w:noProof/>
                <w:u w:val="single"/>
              </w:rPr>
            </w:pPr>
            <w:r>
              <w:rPr>
                <w:noProof/>
              </w:rPr>
              <w:t>Semințe de anumite tipuri de culturi care conțin ulei</w:t>
            </w:r>
          </w:p>
        </w:tc>
      </w:tr>
    </w:tbl>
    <w:p>
      <w:pPr>
        <w:rPr>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3582"/>
        <w:gridCol w:w="846"/>
        <w:gridCol w:w="744"/>
        <w:gridCol w:w="744"/>
        <w:gridCol w:w="744"/>
        <w:gridCol w:w="744"/>
        <w:gridCol w:w="744"/>
        <w:gridCol w:w="745"/>
        <w:gridCol w:w="745"/>
        <w:gridCol w:w="745"/>
        <w:gridCol w:w="745"/>
        <w:gridCol w:w="841"/>
        <w:gridCol w:w="1209"/>
      </w:tblGrid>
      <w:tr>
        <w:trPr>
          <w:tblHeader/>
        </w:trPr>
        <w:tc>
          <w:tcPr>
            <w:tcW w:w="350" w:type="pct"/>
            <w:shd w:val="clear" w:color="auto" w:fill="D9D9D9"/>
            <w:vAlign w:val="center"/>
          </w:tcPr>
          <w:p>
            <w:pPr>
              <w:pStyle w:val="NormalWeb"/>
              <w:spacing w:before="0" w:beforeAutospacing="0" w:after="0" w:afterAutospacing="0"/>
              <w:ind w:left="-85" w:right="-85"/>
              <w:jc w:val="center"/>
              <w:rPr>
                <w:noProof/>
                <w:sz w:val="22"/>
                <w:szCs w:val="22"/>
              </w:rPr>
            </w:pPr>
            <w:r>
              <w:rPr>
                <w:noProof/>
                <w:color w:val="000000"/>
                <w:sz w:val="22"/>
              </w:rPr>
              <w:t>Cod SA</w:t>
            </w:r>
          </w:p>
        </w:tc>
        <w:tc>
          <w:tcPr>
            <w:tcW w:w="1250" w:type="pct"/>
            <w:shd w:val="clear" w:color="auto" w:fill="D9D9D9"/>
            <w:vAlign w:val="center"/>
          </w:tcPr>
          <w:p>
            <w:pPr>
              <w:pStyle w:val="NormalWeb"/>
              <w:spacing w:before="0" w:beforeAutospacing="0" w:after="0" w:afterAutospacing="0"/>
              <w:ind w:left="-57" w:right="-57"/>
              <w:jc w:val="center"/>
              <w:rPr>
                <w:noProof/>
              </w:rPr>
            </w:pPr>
            <w:r>
              <w:rPr>
                <w:noProof/>
                <w:color w:val="000000"/>
              </w:rPr>
              <w:t>Descriere</w:t>
            </w:r>
          </w:p>
        </w:tc>
        <w:tc>
          <w:tcPr>
            <w:tcW w:w="298" w:type="pct"/>
            <w:shd w:val="clear" w:color="auto" w:fill="D9D9D9"/>
            <w:vAlign w:val="center"/>
          </w:tcPr>
          <w:p>
            <w:pPr>
              <w:ind w:left="-57" w:right="-57"/>
              <w:jc w:val="center"/>
              <w:rPr>
                <w:noProof/>
              </w:rPr>
            </w:pPr>
            <w:r>
              <w:rPr>
                <w:noProof/>
              </w:rPr>
              <w:t>IIV (2016)</w:t>
            </w:r>
          </w:p>
        </w:tc>
        <w:tc>
          <w:tcPr>
            <w:tcW w:w="262" w:type="pct"/>
            <w:shd w:val="clear" w:color="auto" w:fill="D9D9D9"/>
            <w:vAlign w:val="center"/>
          </w:tcPr>
          <w:p>
            <w:pPr>
              <w:ind w:left="-57" w:right="-57"/>
              <w:jc w:val="center"/>
              <w:rPr>
                <w:noProof/>
              </w:rPr>
            </w:pPr>
            <w:r>
              <w:rPr>
                <w:noProof/>
              </w:rPr>
              <w:t>IIV+1 (2017)</w:t>
            </w:r>
          </w:p>
        </w:tc>
        <w:tc>
          <w:tcPr>
            <w:tcW w:w="262" w:type="pct"/>
            <w:shd w:val="clear" w:color="auto" w:fill="D9D9D9"/>
            <w:vAlign w:val="center"/>
          </w:tcPr>
          <w:p>
            <w:pPr>
              <w:ind w:left="-57" w:right="-57"/>
              <w:jc w:val="center"/>
              <w:rPr>
                <w:noProof/>
              </w:rPr>
            </w:pPr>
            <w:r>
              <w:rPr>
                <w:noProof/>
              </w:rPr>
              <w:t>IIV+2 (2018)</w:t>
            </w:r>
          </w:p>
        </w:tc>
        <w:tc>
          <w:tcPr>
            <w:tcW w:w="262" w:type="pct"/>
            <w:shd w:val="clear" w:color="auto" w:fill="D9D9D9"/>
            <w:vAlign w:val="center"/>
          </w:tcPr>
          <w:p>
            <w:pPr>
              <w:ind w:left="-57" w:right="-57"/>
              <w:jc w:val="center"/>
              <w:rPr>
                <w:noProof/>
              </w:rPr>
            </w:pPr>
            <w:r>
              <w:rPr>
                <w:noProof/>
              </w:rPr>
              <w:t>IIV+3 (2019)</w:t>
            </w:r>
          </w:p>
        </w:tc>
        <w:tc>
          <w:tcPr>
            <w:tcW w:w="262" w:type="pct"/>
            <w:shd w:val="clear" w:color="auto" w:fill="D9D9D9"/>
            <w:vAlign w:val="center"/>
          </w:tcPr>
          <w:p>
            <w:pPr>
              <w:ind w:left="-57" w:right="-57"/>
              <w:jc w:val="center"/>
              <w:rPr>
                <w:noProof/>
              </w:rPr>
            </w:pPr>
            <w:r>
              <w:rPr>
                <w:noProof/>
              </w:rPr>
              <w:t>IIV+4 (2020)</w:t>
            </w:r>
          </w:p>
        </w:tc>
        <w:tc>
          <w:tcPr>
            <w:tcW w:w="262" w:type="pct"/>
            <w:shd w:val="clear" w:color="auto" w:fill="D9D9D9"/>
            <w:vAlign w:val="center"/>
          </w:tcPr>
          <w:p>
            <w:pPr>
              <w:ind w:left="-57" w:right="-57"/>
              <w:jc w:val="center"/>
              <w:rPr>
                <w:noProof/>
              </w:rPr>
            </w:pPr>
            <w:r>
              <w:rPr>
                <w:noProof/>
              </w:rPr>
              <w:t>IIV+5 (2021)</w:t>
            </w:r>
          </w:p>
        </w:tc>
        <w:tc>
          <w:tcPr>
            <w:tcW w:w="262" w:type="pct"/>
            <w:shd w:val="clear" w:color="auto" w:fill="D9D9D9"/>
            <w:vAlign w:val="center"/>
          </w:tcPr>
          <w:p>
            <w:pPr>
              <w:ind w:left="-57" w:right="-57"/>
              <w:jc w:val="center"/>
              <w:rPr>
                <w:noProof/>
              </w:rPr>
            </w:pPr>
            <w:r>
              <w:rPr>
                <w:noProof/>
              </w:rPr>
              <w:t>IIV+6 (2022)</w:t>
            </w:r>
          </w:p>
        </w:tc>
        <w:tc>
          <w:tcPr>
            <w:tcW w:w="262" w:type="pct"/>
            <w:shd w:val="clear" w:color="auto" w:fill="D9D9D9"/>
            <w:vAlign w:val="center"/>
          </w:tcPr>
          <w:p>
            <w:pPr>
              <w:ind w:left="-57" w:right="-57"/>
              <w:jc w:val="center"/>
              <w:rPr>
                <w:noProof/>
              </w:rPr>
            </w:pPr>
            <w:r>
              <w:rPr>
                <w:noProof/>
              </w:rPr>
              <w:t>IIV+7 (2023)</w:t>
            </w:r>
          </w:p>
        </w:tc>
        <w:tc>
          <w:tcPr>
            <w:tcW w:w="262" w:type="pct"/>
            <w:shd w:val="clear" w:color="auto" w:fill="D9D9D9"/>
            <w:vAlign w:val="center"/>
          </w:tcPr>
          <w:p>
            <w:pPr>
              <w:ind w:left="-57" w:right="-57"/>
              <w:jc w:val="center"/>
              <w:rPr>
                <w:noProof/>
              </w:rPr>
            </w:pPr>
            <w:r>
              <w:rPr>
                <w:noProof/>
              </w:rPr>
              <w:t>IIV+8 (2024)</w:t>
            </w:r>
          </w:p>
        </w:tc>
        <w:tc>
          <w:tcPr>
            <w:tcW w:w="262" w:type="pct"/>
            <w:shd w:val="clear" w:color="auto" w:fill="D9D9D9"/>
            <w:vAlign w:val="center"/>
          </w:tcPr>
          <w:p>
            <w:pPr>
              <w:ind w:left="-57" w:right="-57"/>
              <w:jc w:val="center"/>
              <w:rPr>
                <w:noProof/>
              </w:rPr>
            </w:pPr>
            <w:r>
              <w:rPr>
                <w:noProof/>
              </w:rPr>
              <w:t>IIV+9 (2025)</w:t>
            </w:r>
          </w:p>
        </w:tc>
        <w:tc>
          <w:tcPr>
            <w:tcW w:w="296" w:type="pct"/>
            <w:shd w:val="clear" w:color="auto" w:fill="D9D9D9"/>
            <w:vAlign w:val="center"/>
          </w:tcPr>
          <w:p>
            <w:pPr>
              <w:ind w:left="-57" w:right="-57"/>
              <w:jc w:val="center"/>
              <w:rPr>
                <w:noProof/>
              </w:rPr>
            </w:pPr>
            <w:r>
              <w:rPr>
                <w:noProof/>
              </w:rPr>
              <w:t>IIV+10 (2026)</w:t>
            </w:r>
          </w:p>
        </w:tc>
        <w:tc>
          <w:tcPr>
            <w:tcW w:w="379" w:type="pct"/>
            <w:shd w:val="clear" w:color="auto" w:fill="D9D9D9"/>
            <w:vAlign w:val="center"/>
          </w:tcPr>
          <w:p>
            <w:pPr>
              <w:ind w:left="-57" w:right="-57"/>
              <w:jc w:val="center"/>
              <w:rPr>
                <w:noProof/>
              </w:rPr>
            </w:pPr>
            <w:r>
              <w:rPr>
                <w:noProof/>
              </w:rPr>
              <w:t>Măsuri de salvgardare</w:t>
            </w:r>
          </w:p>
        </w:tc>
      </w:tr>
      <w:tr>
        <w:tc>
          <w:tcPr>
            <w:tcW w:w="350" w:type="pct"/>
          </w:tcPr>
          <w:p>
            <w:pPr>
              <w:pStyle w:val="NormalWeb"/>
              <w:spacing w:after="0" w:afterAutospacing="0"/>
              <w:ind w:left="-85" w:right="-85"/>
              <w:rPr>
                <w:noProof/>
                <w:color w:val="000000"/>
                <w:sz w:val="16"/>
                <w:szCs w:val="16"/>
              </w:rPr>
            </w:pPr>
            <w:r>
              <w:rPr>
                <w:noProof/>
                <w:color w:val="000000"/>
                <w:sz w:val="16"/>
              </w:rPr>
              <w:t>1204 00</w:t>
            </w:r>
          </w:p>
        </w:tc>
        <w:tc>
          <w:tcPr>
            <w:tcW w:w="1250" w:type="pct"/>
          </w:tcPr>
          <w:p>
            <w:pPr>
              <w:pStyle w:val="CM43"/>
              <w:spacing w:before="0" w:after="0"/>
              <w:ind w:left="-57" w:right="-57"/>
              <w:rPr>
                <w:rFonts w:ascii="Times New Roman" w:hAnsi="Times New Roman"/>
                <w:noProof/>
                <w:color w:val="000000"/>
              </w:rPr>
            </w:pPr>
            <w:r>
              <w:rPr>
                <w:rFonts w:ascii="Times New Roman" w:hAnsi="Times New Roman"/>
                <w:noProof/>
              </w:rPr>
              <w:t xml:space="preserve">Semințe de in, chiar sfărâmate </w:t>
            </w:r>
          </w:p>
        </w:tc>
        <w:tc>
          <w:tcPr>
            <w:tcW w:w="298" w:type="pct"/>
          </w:tcPr>
          <w:p>
            <w:pPr>
              <w:jc w:val="center"/>
              <w:rPr>
                <w:noProof/>
              </w:rPr>
            </w:pPr>
            <w:r>
              <w:rPr>
                <w:noProof/>
              </w:rPr>
              <w:t>9,1</w:t>
            </w:r>
          </w:p>
        </w:tc>
        <w:tc>
          <w:tcPr>
            <w:tcW w:w="262" w:type="pct"/>
          </w:tcPr>
          <w:p>
            <w:pPr>
              <w:jc w:val="center"/>
              <w:rPr>
                <w:noProof/>
              </w:rPr>
            </w:pPr>
            <w:r>
              <w:rPr>
                <w:noProof/>
              </w:rPr>
              <w:t>8,2</w:t>
            </w:r>
          </w:p>
        </w:tc>
        <w:tc>
          <w:tcPr>
            <w:tcW w:w="262" w:type="pct"/>
          </w:tcPr>
          <w:p>
            <w:pPr>
              <w:jc w:val="center"/>
              <w:rPr>
                <w:noProof/>
              </w:rPr>
            </w:pPr>
            <w:r>
              <w:rPr>
                <w:noProof/>
              </w:rPr>
              <w:t>7,3</w:t>
            </w:r>
          </w:p>
        </w:tc>
        <w:tc>
          <w:tcPr>
            <w:tcW w:w="262" w:type="pct"/>
          </w:tcPr>
          <w:p>
            <w:pPr>
              <w:jc w:val="center"/>
              <w:rPr>
                <w:noProof/>
              </w:rPr>
            </w:pPr>
            <w:r>
              <w:rPr>
                <w:noProof/>
              </w:rPr>
              <w:t>6,4</w:t>
            </w:r>
          </w:p>
        </w:tc>
        <w:tc>
          <w:tcPr>
            <w:tcW w:w="262" w:type="pct"/>
          </w:tcPr>
          <w:p>
            <w:pPr>
              <w:jc w:val="center"/>
              <w:rPr>
                <w:noProof/>
              </w:rPr>
            </w:pPr>
            <w:r>
              <w:rPr>
                <w:noProof/>
              </w:rPr>
              <w:t>5,5</w:t>
            </w:r>
          </w:p>
        </w:tc>
        <w:tc>
          <w:tcPr>
            <w:tcW w:w="262" w:type="pct"/>
          </w:tcPr>
          <w:p>
            <w:pPr>
              <w:jc w:val="center"/>
              <w:rPr>
                <w:noProof/>
              </w:rPr>
            </w:pPr>
            <w:r>
              <w:rPr>
                <w:noProof/>
              </w:rPr>
              <w:t>4,5</w:t>
            </w:r>
          </w:p>
        </w:tc>
        <w:tc>
          <w:tcPr>
            <w:tcW w:w="262" w:type="pct"/>
          </w:tcPr>
          <w:p>
            <w:pPr>
              <w:jc w:val="center"/>
              <w:rPr>
                <w:noProof/>
              </w:rPr>
            </w:pPr>
            <w:r>
              <w:rPr>
                <w:noProof/>
              </w:rPr>
              <w:t>3,6</w:t>
            </w:r>
          </w:p>
        </w:tc>
        <w:tc>
          <w:tcPr>
            <w:tcW w:w="262" w:type="pct"/>
          </w:tcPr>
          <w:p>
            <w:pPr>
              <w:jc w:val="center"/>
              <w:rPr>
                <w:noProof/>
              </w:rPr>
            </w:pPr>
            <w:r>
              <w:rPr>
                <w:noProof/>
              </w:rPr>
              <w:t>2,7</w:t>
            </w:r>
          </w:p>
        </w:tc>
        <w:tc>
          <w:tcPr>
            <w:tcW w:w="262" w:type="pct"/>
          </w:tcPr>
          <w:p>
            <w:pPr>
              <w:jc w:val="center"/>
              <w:rPr>
                <w:noProof/>
              </w:rPr>
            </w:pPr>
            <w:r>
              <w:rPr>
                <w:noProof/>
              </w:rPr>
              <w:t>1,8</w:t>
            </w:r>
          </w:p>
        </w:tc>
        <w:tc>
          <w:tcPr>
            <w:tcW w:w="262" w:type="pct"/>
          </w:tcPr>
          <w:p>
            <w:pPr>
              <w:jc w:val="center"/>
              <w:rPr>
                <w:noProof/>
              </w:rPr>
            </w:pPr>
            <w:r>
              <w:rPr>
                <w:noProof/>
              </w:rPr>
              <w:t>0,9</w:t>
            </w:r>
          </w:p>
        </w:tc>
        <w:tc>
          <w:tcPr>
            <w:tcW w:w="296" w:type="pct"/>
          </w:tcPr>
          <w:p>
            <w:pPr>
              <w:jc w:val="center"/>
              <w:rPr>
                <w:noProof/>
              </w:rPr>
            </w:pPr>
            <w:r>
              <w:rPr>
                <w:noProof/>
              </w:rPr>
              <w:t>0,0</w:t>
            </w:r>
          </w:p>
        </w:tc>
        <w:tc>
          <w:tcPr>
            <w:tcW w:w="379" w:type="pct"/>
          </w:tcPr>
          <w:p>
            <w:pPr>
              <w:ind w:left="-57" w:right="-57"/>
              <w:jc w:val="right"/>
              <w:rPr>
                <w:noProof/>
              </w:rPr>
            </w:pPr>
          </w:p>
        </w:tc>
      </w:tr>
      <w:tr>
        <w:tc>
          <w:tcPr>
            <w:tcW w:w="350" w:type="pct"/>
          </w:tcPr>
          <w:p>
            <w:pPr>
              <w:pStyle w:val="NormalWeb"/>
              <w:spacing w:after="0" w:afterAutospacing="0"/>
              <w:ind w:left="-85" w:right="-85"/>
              <w:rPr>
                <w:noProof/>
                <w:color w:val="000000"/>
                <w:sz w:val="16"/>
                <w:szCs w:val="16"/>
              </w:rPr>
            </w:pPr>
            <w:r>
              <w:rPr>
                <w:noProof/>
                <w:color w:val="000000"/>
                <w:sz w:val="16"/>
              </w:rPr>
              <w:t>1206 00</w:t>
            </w:r>
          </w:p>
        </w:tc>
        <w:tc>
          <w:tcPr>
            <w:tcW w:w="1250" w:type="pct"/>
          </w:tcPr>
          <w:p>
            <w:pPr>
              <w:pStyle w:val="CM43"/>
              <w:spacing w:before="0" w:after="0"/>
              <w:ind w:left="-57" w:right="-57"/>
              <w:rPr>
                <w:rFonts w:ascii="Times New Roman" w:hAnsi="Times New Roman"/>
                <w:noProof/>
                <w:color w:val="000000"/>
              </w:rPr>
            </w:pPr>
            <w:r>
              <w:rPr>
                <w:rFonts w:ascii="Times New Roman" w:hAnsi="Times New Roman"/>
                <w:noProof/>
              </w:rPr>
              <w:t xml:space="preserve">Semințe de floarea-soarelui, chiar sfărâmate </w:t>
            </w:r>
          </w:p>
        </w:tc>
        <w:tc>
          <w:tcPr>
            <w:tcW w:w="298" w:type="pct"/>
          </w:tcPr>
          <w:p>
            <w:pPr>
              <w:jc w:val="center"/>
              <w:rPr>
                <w:noProof/>
              </w:rPr>
            </w:pPr>
            <w:r>
              <w:rPr>
                <w:noProof/>
              </w:rPr>
              <w:t>9,1</w:t>
            </w:r>
          </w:p>
        </w:tc>
        <w:tc>
          <w:tcPr>
            <w:tcW w:w="262" w:type="pct"/>
          </w:tcPr>
          <w:p>
            <w:pPr>
              <w:jc w:val="center"/>
              <w:rPr>
                <w:noProof/>
              </w:rPr>
            </w:pPr>
            <w:r>
              <w:rPr>
                <w:noProof/>
              </w:rPr>
              <w:t>8,2</w:t>
            </w:r>
          </w:p>
        </w:tc>
        <w:tc>
          <w:tcPr>
            <w:tcW w:w="262" w:type="pct"/>
          </w:tcPr>
          <w:p>
            <w:pPr>
              <w:jc w:val="center"/>
              <w:rPr>
                <w:noProof/>
              </w:rPr>
            </w:pPr>
            <w:r>
              <w:rPr>
                <w:noProof/>
              </w:rPr>
              <w:t>7,3</w:t>
            </w:r>
          </w:p>
        </w:tc>
        <w:tc>
          <w:tcPr>
            <w:tcW w:w="262" w:type="pct"/>
          </w:tcPr>
          <w:p>
            <w:pPr>
              <w:jc w:val="center"/>
              <w:rPr>
                <w:noProof/>
              </w:rPr>
            </w:pPr>
            <w:r>
              <w:rPr>
                <w:noProof/>
              </w:rPr>
              <w:t>6,4</w:t>
            </w:r>
          </w:p>
        </w:tc>
        <w:tc>
          <w:tcPr>
            <w:tcW w:w="262" w:type="pct"/>
          </w:tcPr>
          <w:p>
            <w:pPr>
              <w:jc w:val="center"/>
              <w:rPr>
                <w:noProof/>
              </w:rPr>
            </w:pPr>
            <w:r>
              <w:rPr>
                <w:noProof/>
              </w:rPr>
              <w:t>5,5</w:t>
            </w:r>
          </w:p>
        </w:tc>
        <w:tc>
          <w:tcPr>
            <w:tcW w:w="262" w:type="pct"/>
          </w:tcPr>
          <w:p>
            <w:pPr>
              <w:jc w:val="center"/>
              <w:rPr>
                <w:noProof/>
              </w:rPr>
            </w:pPr>
            <w:r>
              <w:rPr>
                <w:noProof/>
              </w:rPr>
              <w:t>4,5</w:t>
            </w:r>
          </w:p>
        </w:tc>
        <w:tc>
          <w:tcPr>
            <w:tcW w:w="262" w:type="pct"/>
          </w:tcPr>
          <w:p>
            <w:pPr>
              <w:jc w:val="center"/>
              <w:rPr>
                <w:noProof/>
              </w:rPr>
            </w:pPr>
            <w:r>
              <w:rPr>
                <w:noProof/>
              </w:rPr>
              <w:t>3,6</w:t>
            </w:r>
          </w:p>
        </w:tc>
        <w:tc>
          <w:tcPr>
            <w:tcW w:w="262" w:type="pct"/>
          </w:tcPr>
          <w:p>
            <w:pPr>
              <w:jc w:val="center"/>
              <w:rPr>
                <w:noProof/>
              </w:rPr>
            </w:pPr>
            <w:r>
              <w:rPr>
                <w:noProof/>
              </w:rPr>
              <w:t>2,7</w:t>
            </w:r>
          </w:p>
        </w:tc>
        <w:tc>
          <w:tcPr>
            <w:tcW w:w="262" w:type="pct"/>
          </w:tcPr>
          <w:p>
            <w:pPr>
              <w:jc w:val="center"/>
              <w:rPr>
                <w:noProof/>
              </w:rPr>
            </w:pPr>
            <w:r>
              <w:rPr>
                <w:noProof/>
              </w:rPr>
              <w:t>1,8</w:t>
            </w:r>
          </w:p>
        </w:tc>
        <w:tc>
          <w:tcPr>
            <w:tcW w:w="262" w:type="pct"/>
          </w:tcPr>
          <w:p>
            <w:pPr>
              <w:jc w:val="center"/>
              <w:rPr>
                <w:noProof/>
              </w:rPr>
            </w:pPr>
            <w:r>
              <w:rPr>
                <w:noProof/>
              </w:rPr>
              <w:t>0,9</w:t>
            </w:r>
          </w:p>
        </w:tc>
        <w:tc>
          <w:tcPr>
            <w:tcW w:w="296" w:type="pct"/>
          </w:tcPr>
          <w:p>
            <w:pPr>
              <w:jc w:val="center"/>
              <w:rPr>
                <w:noProof/>
              </w:rPr>
            </w:pPr>
            <w:r>
              <w:rPr>
                <w:noProof/>
              </w:rPr>
              <w:t>0,0</w:t>
            </w:r>
          </w:p>
        </w:tc>
        <w:tc>
          <w:tcPr>
            <w:tcW w:w="379" w:type="pct"/>
          </w:tcPr>
          <w:p>
            <w:pPr>
              <w:ind w:left="-57" w:right="-57"/>
              <w:jc w:val="center"/>
              <w:rPr>
                <w:noProof/>
              </w:rPr>
            </w:pPr>
            <w:r>
              <w:rPr>
                <w:noProof/>
              </w:rPr>
              <w:t>a se vedea anexa I-D</w:t>
            </w:r>
          </w:p>
        </w:tc>
      </w:tr>
      <w:tr>
        <w:tc>
          <w:tcPr>
            <w:tcW w:w="350" w:type="pct"/>
          </w:tcPr>
          <w:p>
            <w:pPr>
              <w:pStyle w:val="NormalWeb"/>
              <w:spacing w:after="0" w:afterAutospacing="0"/>
              <w:ind w:left="-85" w:right="-85"/>
              <w:rPr>
                <w:noProof/>
                <w:color w:val="000000"/>
                <w:sz w:val="16"/>
                <w:szCs w:val="16"/>
              </w:rPr>
            </w:pPr>
            <w:r>
              <w:rPr>
                <w:noProof/>
                <w:color w:val="000000"/>
                <w:sz w:val="16"/>
              </w:rPr>
              <w:t>1207 99 97 00</w:t>
            </w:r>
          </w:p>
        </w:tc>
        <w:tc>
          <w:tcPr>
            <w:tcW w:w="1250" w:type="pct"/>
          </w:tcPr>
          <w:p>
            <w:pPr>
              <w:pStyle w:val="NormalWeb"/>
              <w:spacing w:after="0" w:afterAutospacing="0"/>
              <w:ind w:left="-57" w:right="-57"/>
              <w:rPr>
                <w:noProof/>
              </w:rPr>
            </w:pPr>
            <w:r>
              <w:rPr>
                <w:noProof/>
              </w:rPr>
              <w:t>Semințe de camelină (Camelina spp.)</w:t>
            </w:r>
          </w:p>
        </w:tc>
        <w:tc>
          <w:tcPr>
            <w:tcW w:w="298" w:type="pct"/>
          </w:tcPr>
          <w:p>
            <w:pPr>
              <w:jc w:val="center"/>
              <w:rPr>
                <w:noProof/>
              </w:rPr>
            </w:pPr>
            <w:r>
              <w:rPr>
                <w:noProof/>
              </w:rPr>
              <w:t>9,1</w:t>
            </w:r>
          </w:p>
        </w:tc>
        <w:tc>
          <w:tcPr>
            <w:tcW w:w="262" w:type="pct"/>
          </w:tcPr>
          <w:p>
            <w:pPr>
              <w:jc w:val="center"/>
              <w:rPr>
                <w:noProof/>
              </w:rPr>
            </w:pPr>
            <w:r>
              <w:rPr>
                <w:noProof/>
              </w:rPr>
              <w:t>8,2</w:t>
            </w:r>
          </w:p>
        </w:tc>
        <w:tc>
          <w:tcPr>
            <w:tcW w:w="262" w:type="pct"/>
          </w:tcPr>
          <w:p>
            <w:pPr>
              <w:jc w:val="center"/>
              <w:rPr>
                <w:noProof/>
              </w:rPr>
            </w:pPr>
            <w:r>
              <w:rPr>
                <w:noProof/>
              </w:rPr>
              <w:t>7,3</w:t>
            </w:r>
          </w:p>
        </w:tc>
        <w:tc>
          <w:tcPr>
            <w:tcW w:w="262" w:type="pct"/>
          </w:tcPr>
          <w:p>
            <w:pPr>
              <w:jc w:val="center"/>
              <w:rPr>
                <w:noProof/>
              </w:rPr>
            </w:pPr>
            <w:r>
              <w:rPr>
                <w:noProof/>
              </w:rPr>
              <w:t>6,4</w:t>
            </w:r>
          </w:p>
        </w:tc>
        <w:tc>
          <w:tcPr>
            <w:tcW w:w="262" w:type="pct"/>
          </w:tcPr>
          <w:p>
            <w:pPr>
              <w:jc w:val="center"/>
              <w:rPr>
                <w:noProof/>
              </w:rPr>
            </w:pPr>
            <w:r>
              <w:rPr>
                <w:noProof/>
              </w:rPr>
              <w:t>5,5</w:t>
            </w:r>
          </w:p>
        </w:tc>
        <w:tc>
          <w:tcPr>
            <w:tcW w:w="262" w:type="pct"/>
          </w:tcPr>
          <w:p>
            <w:pPr>
              <w:jc w:val="center"/>
              <w:rPr>
                <w:noProof/>
              </w:rPr>
            </w:pPr>
            <w:r>
              <w:rPr>
                <w:noProof/>
              </w:rPr>
              <w:t>4,5</w:t>
            </w:r>
          </w:p>
        </w:tc>
        <w:tc>
          <w:tcPr>
            <w:tcW w:w="262" w:type="pct"/>
          </w:tcPr>
          <w:p>
            <w:pPr>
              <w:jc w:val="center"/>
              <w:rPr>
                <w:noProof/>
              </w:rPr>
            </w:pPr>
            <w:r>
              <w:rPr>
                <w:noProof/>
              </w:rPr>
              <w:t>3,6</w:t>
            </w:r>
          </w:p>
        </w:tc>
        <w:tc>
          <w:tcPr>
            <w:tcW w:w="262" w:type="pct"/>
          </w:tcPr>
          <w:p>
            <w:pPr>
              <w:jc w:val="center"/>
              <w:rPr>
                <w:noProof/>
              </w:rPr>
            </w:pPr>
            <w:r>
              <w:rPr>
                <w:noProof/>
              </w:rPr>
              <w:t>2,7</w:t>
            </w:r>
          </w:p>
        </w:tc>
        <w:tc>
          <w:tcPr>
            <w:tcW w:w="262" w:type="pct"/>
          </w:tcPr>
          <w:p>
            <w:pPr>
              <w:jc w:val="center"/>
              <w:rPr>
                <w:noProof/>
              </w:rPr>
            </w:pPr>
            <w:r>
              <w:rPr>
                <w:noProof/>
              </w:rPr>
              <w:t>1,8</w:t>
            </w:r>
          </w:p>
        </w:tc>
        <w:tc>
          <w:tcPr>
            <w:tcW w:w="262" w:type="pct"/>
          </w:tcPr>
          <w:p>
            <w:pPr>
              <w:jc w:val="center"/>
              <w:rPr>
                <w:noProof/>
              </w:rPr>
            </w:pPr>
            <w:r>
              <w:rPr>
                <w:noProof/>
              </w:rPr>
              <w:t>0,9</w:t>
            </w:r>
          </w:p>
        </w:tc>
        <w:tc>
          <w:tcPr>
            <w:tcW w:w="296" w:type="pct"/>
          </w:tcPr>
          <w:p>
            <w:pPr>
              <w:jc w:val="center"/>
              <w:rPr>
                <w:noProof/>
              </w:rPr>
            </w:pPr>
            <w:r>
              <w:rPr>
                <w:noProof/>
              </w:rPr>
              <w:t>0,0</w:t>
            </w:r>
          </w:p>
        </w:tc>
        <w:tc>
          <w:tcPr>
            <w:tcW w:w="379" w:type="pct"/>
          </w:tcPr>
          <w:p>
            <w:pPr>
              <w:ind w:left="-57" w:right="-57"/>
              <w:jc w:val="right"/>
              <w:rPr>
                <w:noProof/>
              </w:rPr>
            </w:pPr>
          </w:p>
        </w:tc>
      </w:tr>
    </w:tbl>
    <w:p>
      <w:pPr>
        <w:rPr>
          <w:noProof/>
        </w:rPr>
      </w:pPr>
    </w:p>
    <w:p>
      <w:pPr>
        <w:rPr>
          <w:noProof/>
        </w:rPr>
      </w:pPr>
      <w:r>
        <w:rPr>
          <w:noProof/>
        </w:rPr>
        <w:br w:type="page"/>
      </w:r>
    </w:p>
    <w:tbl>
      <w:tblPr>
        <w:tblStyle w:val="TableGrid"/>
        <w:tblW w:w="0" w:type="auto"/>
        <w:tblLook w:val="04A0" w:firstRow="1" w:lastRow="0" w:firstColumn="1" w:lastColumn="0" w:noHBand="0" w:noVBand="1"/>
      </w:tblPr>
      <w:tblGrid>
        <w:gridCol w:w="14174"/>
      </w:tblGrid>
      <w:tr>
        <w:tc>
          <w:tcPr>
            <w:tcW w:w="14174" w:type="dxa"/>
          </w:tcPr>
          <w:p>
            <w:pPr>
              <w:jc w:val="center"/>
              <w:rPr>
                <w:noProof/>
              </w:rPr>
            </w:pPr>
            <w:r>
              <w:rPr>
                <w:noProof/>
              </w:rPr>
              <w:t>Resturi de metale feroase aliate, resturi de metale neferoase și produse semiprelucrate din acestea</w:t>
            </w:r>
          </w:p>
        </w:tc>
      </w:tr>
    </w:tbl>
    <w:p>
      <w:pPr>
        <w:rPr>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6"/>
        <w:gridCol w:w="3248"/>
        <w:gridCol w:w="742"/>
        <w:gridCol w:w="742"/>
        <w:gridCol w:w="742"/>
        <w:gridCol w:w="742"/>
        <w:gridCol w:w="742"/>
        <w:gridCol w:w="742"/>
        <w:gridCol w:w="742"/>
        <w:gridCol w:w="742"/>
        <w:gridCol w:w="742"/>
        <w:gridCol w:w="742"/>
        <w:gridCol w:w="811"/>
        <w:gridCol w:w="1209"/>
      </w:tblGrid>
      <w:tr>
        <w:trPr>
          <w:tblHeader/>
        </w:trPr>
        <w:tc>
          <w:tcPr>
            <w:tcW w:w="524" w:type="pct"/>
            <w:shd w:val="clear" w:color="auto" w:fill="D9D9D9"/>
            <w:vAlign w:val="center"/>
          </w:tcPr>
          <w:p>
            <w:pPr>
              <w:pStyle w:val="NormalWeb"/>
              <w:spacing w:before="0" w:beforeAutospacing="0" w:after="0" w:afterAutospacing="0"/>
              <w:ind w:left="-85" w:right="-85"/>
              <w:jc w:val="center"/>
              <w:rPr>
                <w:noProof/>
              </w:rPr>
            </w:pPr>
            <w:r>
              <w:rPr>
                <w:noProof/>
                <w:color w:val="000000"/>
              </w:rPr>
              <w:t>Cod SA</w:t>
            </w:r>
          </w:p>
        </w:tc>
        <w:tc>
          <w:tcPr>
            <w:tcW w:w="1184" w:type="pct"/>
            <w:shd w:val="clear" w:color="auto" w:fill="D9D9D9"/>
            <w:vAlign w:val="center"/>
          </w:tcPr>
          <w:p>
            <w:pPr>
              <w:pStyle w:val="NormalWeb"/>
              <w:spacing w:before="0" w:beforeAutospacing="0" w:after="0" w:afterAutospacing="0"/>
              <w:ind w:left="-57" w:right="-57"/>
              <w:jc w:val="center"/>
              <w:rPr>
                <w:noProof/>
              </w:rPr>
            </w:pPr>
            <w:r>
              <w:rPr>
                <w:noProof/>
                <w:color w:val="000000"/>
              </w:rPr>
              <w:t>Descriere</w:t>
            </w:r>
          </w:p>
        </w:tc>
        <w:tc>
          <w:tcPr>
            <w:tcW w:w="262" w:type="pct"/>
            <w:shd w:val="clear" w:color="auto" w:fill="D9D9D9"/>
            <w:vAlign w:val="center"/>
          </w:tcPr>
          <w:p>
            <w:pPr>
              <w:ind w:left="-57" w:right="-57"/>
              <w:jc w:val="center"/>
              <w:rPr>
                <w:noProof/>
              </w:rPr>
            </w:pPr>
            <w:r>
              <w:rPr>
                <w:noProof/>
              </w:rPr>
              <w:t>IIV (2016)</w:t>
            </w:r>
          </w:p>
        </w:tc>
        <w:tc>
          <w:tcPr>
            <w:tcW w:w="262" w:type="pct"/>
            <w:shd w:val="clear" w:color="auto" w:fill="D9D9D9"/>
            <w:vAlign w:val="center"/>
          </w:tcPr>
          <w:p>
            <w:pPr>
              <w:ind w:left="-57" w:right="-57"/>
              <w:jc w:val="center"/>
              <w:rPr>
                <w:noProof/>
              </w:rPr>
            </w:pPr>
            <w:r>
              <w:rPr>
                <w:noProof/>
              </w:rPr>
              <w:t>IIV+1 (2017)</w:t>
            </w:r>
          </w:p>
        </w:tc>
        <w:tc>
          <w:tcPr>
            <w:tcW w:w="262" w:type="pct"/>
            <w:shd w:val="clear" w:color="auto" w:fill="D9D9D9"/>
            <w:vAlign w:val="center"/>
          </w:tcPr>
          <w:p>
            <w:pPr>
              <w:ind w:left="-57" w:right="-57"/>
              <w:jc w:val="center"/>
              <w:rPr>
                <w:noProof/>
              </w:rPr>
            </w:pPr>
            <w:r>
              <w:rPr>
                <w:noProof/>
              </w:rPr>
              <w:t>IIV+2 (2018)</w:t>
            </w:r>
          </w:p>
        </w:tc>
        <w:tc>
          <w:tcPr>
            <w:tcW w:w="262" w:type="pct"/>
            <w:shd w:val="clear" w:color="auto" w:fill="D9D9D9"/>
            <w:vAlign w:val="center"/>
          </w:tcPr>
          <w:p>
            <w:pPr>
              <w:ind w:left="-57" w:right="-57"/>
              <w:jc w:val="center"/>
              <w:rPr>
                <w:noProof/>
              </w:rPr>
            </w:pPr>
            <w:r>
              <w:rPr>
                <w:noProof/>
              </w:rPr>
              <w:t>IIV+3 (2019)</w:t>
            </w:r>
          </w:p>
        </w:tc>
        <w:tc>
          <w:tcPr>
            <w:tcW w:w="262" w:type="pct"/>
            <w:shd w:val="clear" w:color="auto" w:fill="D9D9D9"/>
            <w:vAlign w:val="center"/>
          </w:tcPr>
          <w:p>
            <w:pPr>
              <w:ind w:left="-57" w:right="-57"/>
              <w:jc w:val="center"/>
              <w:rPr>
                <w:noProof/>
              </w:rPr>
            </w:pPr>
            <w:r>
              <w:rPr>
                <w:noProof/>
              </w:rPr>
              <w:t>IIV+4 (2020)</w:t>
            </w:r>
          </w:p>
        </w:tc>
        <w:tc>
          <w:tcPr>
            <w:tcW w:w="262" w:type="pct"/>
            <w:shd w:val="clear" w:color="auto" w:fill="D9D9D9"/>
            <w:vAlign w:val="center"/>
          </w:tcPr>
          <w:p>
            <w:pPr>
              <w:ind w:left="-57" w:right="-57"/>
              <w:jc w:val="center"/>
              <w:rPr>
                <w:noProof/>
              </w:rPr>
            </w:pPr>
            <w:r>
              <w:rPr>
                <w:noProof/>
              </w:rPr>
              <w:t>IIV+5 (2021)</w:t>
            </w:r>
          </w:p>
        </w:tc>
        <w:tc>
          <w:tcPr>
            <w:tcW w:w="262" w:type="pct"/>
            <w:shd w:val="clear" w:color="auto" w:fill="D9D9D9"/>
            <w:vAlign w:val="center"/>
          </w:tcPr>
          <w:p>
            <w:pPr>
              <w:ind w:left="-57" w:right="-57"/>
              <w:jc w:val="center"/>
              <w:rPr>
                <w:noProof/>
              </w:rPr>
            </w:pPr>
            <w:r>
              <w:rPr>
                <w:noProof/>
              </w:rPr>
              <w:t>IIV+6 (2022)</w:t>
            </w:r>
          </w:p>
        </w:tc>
        <w:tc>
          <w:tcPr>
            <w:tcW w:w="262" w:type="pct"/>
            <w:shd w:val="clear" w:color="auto" w:fill="D9D9D9"/>
            <w:vAlign w:val="center"/>
          </w:tcPr>
          <w:p>
            <w:pPr>
              <w:ind w:left="-57" w:right="-57"/>
              <w:jc w:val="center"/>
              <w:rPr>
                <w:noProof/>
              </w:rPr>
            </w:pPr>
            <w:r>
              <w:rPr>
                <w:noProof/>
              </w:rPr>
              <w:t>IIV+7 (2023)</w:t>
            </w:r>
          </w:p>
        </w:tc>
        <w:tc>
          <w:tcPr>
            <w:tcW w:w="262" w:type="pct"/>
            <w:shd w:val="clear" w:color="auto" w:fill="D9D9D9"/>
            <w:vAlign w:val="center"/>
          </w:tcPr>
          <w:p>
            <w:pPr>
              <w:ind w:left="-57" w:right="-57"/>
              <w:jc w:val="center"/>
              <w:rPr>
                <w:noProof/>
              </w:rPr>
            </w:pPr>
            <w:r>
              <w:rPr>
                <w:noProof/>
              </w:rPr>
              <w:t>IIV+8 (2024)</w:t>
            </w:r>
          </w:p>
        </w:tc>
        <w:tc>
          <w:tcPr>
            <w:tcW w:w="262" w:type="pct"/>
            <w:shd w:val="clear" w:color="auto" w:fill="D9D9D9"/>
            <w:vAlign w:val="center"/>
          </w:tcPr>
          <w:p>
            <w:pPr>
              <w:ind w:left="-57" w:right="-57"/>
              <w:jc w:val="center"/>
              <w:rPr>
                <w:noProof/>
              </w:rPr>
            </w:pPr>
            <w:r>
              <w:rPr>
                <w:noProof/>
              </w:rPr>
              <w:t>IIV+9 (2025)</w:t>
            </w:r>
          </w:p>
        </w:tc>
        <w:tc>
          <w:tcPr>
            <w:tcW w:w="296" w:type="pct"/>
            <w:shd w:val="clear" w:color="auto" w:fill="D9D9D9"/>
            <w:vAlign w:val="center"/>
          </w:tcPr>
          <w:p>
            <w:pPr>
              <w:ind w:left="-57" w:right="-57"/>
              <w:jc w:val="center"/>
              <w:rPr>
                <w:noProof/>
              </w:rPr>
            </w:pPr>
            <w:r>
              <w:rPr>
                <w:noProof/>
              </w:rPr>
              <w:t>IIV+10 (2026)</w:t>
            </w:r>
          </w:p>
        </w:tc>
        <w:tc>
          <w:tcPr>
            <w:tcW w:w="379" w:type="pct"/>
            <w:shd w:val="clear" w:color="auto" w:fill="D9D9D9"/>
            <w:vAlign w:val="center"/>
          </w:tcPr>
          <w:p>
            <w:pPr>
              <w:ind w:left="-57" w:right="-57"/>
              <w:jc w:val="center"/>
              <w:rPr>
                <w:noProof/>
              </w:rPr>
            </w:pPr>
            <w:r>
              <w:rPr>
                <w:noProof/>
              </w:rPr>
              <w:t>Măsuri de salvgardare</w:t>
            </w:r>
          </w:p>
        </w:tc>
      </w:tr>
      <w:tr>
        <w:tc>
          <w:tcPr>
            <w:tcW w:w="524" w:type="pct"/>
            <w:tcBorders>
              <w:bottom w:val="single" w:sz="4" w:space="0" w:color="auto"/>
            </w:tcBorders>
          </w:tcPr>
          <w:p>
            <w:pPr>
              <w:pStyle w:val="NormalWeb"/>
              <w:spacing w:before="0" w:beforeAutospacing="0" w:after="0" w:afterAutospacing="0"/>
              <w:ind w:left="-85" w:right="-85"/>
              <w:rPr>
                <w:noProof/>
              </w:rPr>
            </w:pPr>
            <w:r>
              <w:rPr>
                <w:noProof/>
                <w:color w:val="000000"/>
              </w:rPr>
              <w:t>7202 99 80 00 </w:t>
            </w:r>
          </w:p>
        </w:tc>
        <w:tc>
          <w:tcPr>
            <w:tcW w:w="1184" w:type="pct"/>
            <w:tcBorders>
              <w:bottom w:val="single" w:sz="4" w:space="0" w:color="auto"/>
            </w:tcBorders>
          </w:tcPr>
          <w:p>
            <w:pPr>
              <w:pStyle w:val="NormalWeb"/>
              <w:spacing w:before="0" w:beforeAutospacing="0" w:after="0" w:afterAutospacing="0"/>
              <w:ind w:left="-57" w:right="-57"/>
              <w:rPr>
                <w:noProof/>
              </w:rPr>
            </w:pPr>
            <w:r>
              <w:rPr>
                <w:noProof/>
              </w:rPr>
              <w:t>ferocrom-nichel și alte feroaliaje</w:t>
            </w:r>
          </w:p>
        </w:tc>
        <w:tc>
          <w:tcPr>
            <w:tcW w:w="262" w:type="pct"/>
            <w:tcBorders>
              <w:bottom w:val="single" w:sz="4" w:space="0" w:color="auto"/>
            </w:tcBorders>
          </w:tcPr>
          <w:p>
            <w:pPr>
              <w:ind w:left="-57" w:right="-57"/>
              <w:jc w:val="center"/>
              <w:rPr>
                <w:noProof/>
                <w:color w:val="000000"/>
              </w:rPr>
            </w:pPr>
            <w:r>
              <w:rPr>
                <w:noProof/>
              </w:rPr>
              <w:t>13,64</w:t>
            </w:r>
          </w:p>
        </w:tc>
        <w:tc>
          <w:tcPr>
            <w:tcW w:w="262" w:type="pct"/>
            <w:tcBorders>
              <w:bottom w:val="single" w:sz="4" w:space="0" w:color="auto"/>
            </w:tcBorders>
          </w:tcPr>
          <w:p>
            <w:pPr>
              <w:ind w:left="-57" w:right="-57"/>
              <w:jc w:val="center"/>
              <w:rPr>
                <w:noProof/>
                <w:color w:val="000000"/>
              </w:rPr>
            </w:pPr>
            <w:r>
              <w:rPr>
                <w:noProof/>
              </w:rPr>
              <w:t>10,0</w:t>
            </w:r>
          </w:p>
        </w:tc>
        <w:tc>
          <w:tcPr>
            <w:tcW w:w="262" w:type="pct"/>
            <w:tcBorders>
              <w:bottom w:val="single" w:sz="4" w:space="0" w:color="auto"/>
            </w:tcBorders>
          </w:tcPr>
          <w:p>
            <w:pPr>
              <w:ind w:left="-57" w:right="-57"/>
              <w:jc w:val="center"/>
              <w:rPr>
                <w:noProof/>
                <w:color w:val="000000"/>
              </w:rPr>
            </w:pPr>
            <w:r>
              <w:rPr>
                <w:noProof/>
              </w:rPr>
              <w:t>9,0</w:t>
            </w:r>
          </w:p>
        </w:tc>
        <w:tc>
          <w:tcPr>
            <w:tcW w:w="262" w:type="pct"/>
            <w:tcBorders>
              <w:bottom w:val="single" w:sz="4" w:space="0" w:color="auto"/>
            </w:tcBorders>
          </w:tcPr>
          <w:p>
            <w:pPr>
              <w:ind w:left="-57" w:right="-57"/>
              <w:jc w:val="center"/>
              <w:rPr>
                <w:noProof/>
                <w:color w:val="000000"/>
              </w:rPr>
            </w:pPr>
            <w:r>
              <w:rPr>
                <w:noProof/>
              </w:rPr>
              <w:t>8,0</w:t>
            </w:r>
          </w:p>
        </w:tc>
        <w:tc>
          <w:tcPr>
            <w:tcW w:w="262" w:type="pct"/>
            <w:tcBorders>
              <w:bottom w:val="single" w:sz="4" w:space="0" w:color="auto"/>
            </w:tcBorders>
          </w:tcPr>
          <w:p>
            <w:pPr>
              <w:ind w:left="-57" w:right="-57"/>
              <w:jc w:val="center"/>
              <w:rPr>
                <w:noProof/>
                <w:color w:val="000000"/>
              </w:rPr>
            </w:pPr>
            <w:r>
              <w:rPr>
                <w:noProof/>
              </w:rPr>
              <w:t>7,0</w:t>
            </w:r>
          </w:p>
        </w:tc>
        <w:tc>
          <w:tcPr>
            <w:tcW w:w="262" w:type="pct"/>
            <w:tcBorders>
              <w:bottom w:val="single" w:sz="4" w:space="0" w:color="auto"/>
            </w:tcBorders>
          </w:tcPr>
          <w:p>
            <w:pPr>
              <w:ind w:left="-57" w:right="-57"/>
              <w:jc w:val="center"/>
              <w:rPr>
                <w:noProof/>
                <w:color w:val="000000"/>
              </w:rPr>
            </w:pPr>
            <w:r>
              <w:rPr>
                <w:noProof/>
              </w:rPr>
              <w:t>6,0</w:t>
            </w:r>
          </w:p>
        </w:tc>
        <w:tc>
          <w:tcPr>
            <w:tcW w:w="262" w:type="pct"/>
            <w:tcBorders>
              <w:bottom w:val="single" w:sz="4" w:space="0" w:color="auto"/>
            </w:tcBorders>
          </w:tcPr>
          <w:p>
            <w:pPr>
              <w:jc w:val="center"/>
              <w:rPr>
                <w:noProof/>
                <w:color w:val="000000"/>
              </w:rPr>
            </w:pPr>
            <w:r>
              <w:rPr>
                <w:noProof/>
              </w:rPr>
              <w:t>5,0</w:t>
            </w:r>
          </w:p>
        </w:tc>
        <w:tc>
          <w:tcPr>
            <w:tcW w:w="262" w:type="pct"/>
            <w:tcBorders>
              <w:bottom w:val="single" w:sz="4" w:space="0" w:color="auto"/>
            </w:tcBorders>
          </w:tcPr>
          <w:p>
            <w:pPr>
              <w:jc w:val="center"/>
              <w:rPr>
                <w:noProof/>
                <w:color w:val="000000"/>
              </w:rPr>
            </w:pPr>
            <w:r>
              <w:rPr>
                <w:noProof/>
              </w:rPr>
              <w:t>4,0</w:t>
            </w:r>
          </w:p>
        </w:tc>
        <w:tc>
          <w:tcPr>
            <w:tcW w:w="262" w:type="pct"/>
            <w:tcBorders>
              <w:bottom w:val="single" w:sz="4" w:space="0" w:color="auto"/>
            </w:tcBorders>
          </w:tcPr>
          <w:p>
            <w:pPr>
              <w:jc w:val="center"/>
              <w:rPr>
                <w:noProof/>
                <w:color w:val="000000"/>
              </w:rPr>
            </w:pPr>
            <w:r>
              <w:rPr>
                <w:noProof/>
                <w:color w:val="000000"/>
              </w:rPr>
              <w:t>3</w:t>
            </w:r>
            <w:r>
              <w:rPr>
                <w:noProof/>
              </w:rPr>
              <w:t>,0</w:t>
            </w:r>
          </w:p>
        </w:tc>
        <w:tc>
          <w:tcPr>
            <w:tcW w:w="262" w:type="pct"/>
            <w:tcBorders>
              <w:bottom w:val="single" w:sz="4" w:space="0" w:color="auto"/>
            </w:tcBorders>
          </w:tcPr>
          <w:p>
            <w:pPr>
              <w:jc w:val="center"/>
              <w:rPr>
                <w:noProof/>
                <w:color w:val="000000"/>
              </w:rPr>
            </w:pPr>
            <w:r>
              <w:rPr>
                <w:noProof/>
                <w:color w:val="000000"/>
              </w:rPr>
              <w:t>2</w:t>
            </w:r>
            <w:r>
              <w:rPr>
                <w:noProof/>
              </w:rPr>
              <w:t>,0</w:t>
            </w:r>
          </w:p>
        </w:tc>
        <w:tc>
          <w:tcPr>
            <w:tcW w:w="296" w:type="pct"/>
            <w:tcBorders>
              <w:bottom w:val="single" w:sz="4" w:space="0" w:color="auto"/>
            </w:tcBorders>
          </w:tcPr>
          <w:p>
            <w:pPr>
              <w:jc w:val="center"/>
              <w:rPr>
                <w:noProof/>
              </w:rPr>
            </w:pPr>
            <w:r>
              <w:rPr>
                <w:noProof/>
              </w:rPr>
              <w:t>0,0</w:t>
            </w:r>
          </w:p>
        </w:tc>
        <w:tc>
          <w:tcPr>
            <w:tcW w:w="379" w:type="pct"/>
            <w:tcBorders>
              <w:bottom w:val="single" w:sz="4" w:space="0" w:color="auto"/>
            </w:tcBorders>
          </w:tcPr>
          <w:p>
            <w:pPr>
              <w:ind w:left="-57" w:right="-57"/>
              <w:jc w:val="right"/>
              <w:rPr>
                <w:noProof/>
              </w:rPr>
            </w:pPr>
          </w:p>
        </w:tc>
      </w:tr>
      <w:tr>
        <w:tc>
          <w:tcPr>
            <w:tcW w:w="524" w:type="pct"/>
            <w:tcBorders>
              <w:bottom w:val="single" w:sz="4" w:space="0" w:color="auto"/>
            </w:tcBorders>
            <w:shd w:val="clear" w:color="auto" w:fill="auto"/>
          </w:tcPr>
          <w:p>
            <w:pPr>
              <w:pStyle w:val="NormalWeb"/>
              <w:spacing w:before="0" w:beforeAutospacing="0" w:after="0" w:afterAutospacing="0"/>
              <w:ind w:left="-85" w:right="-85"/>
              <w:rPr>
                <w:noProof/>
              </w:rPr>
            </w:pPr>
            <w:r>
              <w:rPr>
                <w:noProof/>
                <w:color w:val="000000"/>
              </w:rPr>
              <w:t>7204 21 </w:t>
            </w:r>
          </w:p>
        </w:tc>
        <w:tc>
          <w:tcPr>
            <w:tcW w:w="1184" w:type="pct"/>
            <w:tcBorders>
              <w:bottom w:val="single" w:sz="4" w:space="0" w:color="auto"/>
            </w:tcBorders>
            <w:shd w:val="clear" w:color="auto" w:fill="auto"/>
          </w:tcPr>
          <w:p>
            <w:pPr>
              <w:pStyle w:val="NormalWeb"/>
              <w:spacing w:before="0" w:beforeAutospacing="0" w:after="0" w:afterAutospacing="0"/>
              <w:ind w:left="-57" w:right="-57"/>
              <w:rPr>
                <w:noProof/>
              </w:rPr>
            </w:pPr>
            <w:r>
              <w:rPr>
                <w:noProof/>
              </w:rPr>
              <w:t>deșeuri și resturi de oțeluri inoxidabile</w:t>
            </w:r>
          </w:p>
        </w:tc>
        <w:tc>
          <w:tcPr>
            <w:tcW w:w="262" w:type="pct"/>
            <w:tcBorders>
              <w:bottom w:val="single" w:sz="4" w:space="0" w:color="auto"/>
            </w:tcBorders>
            <w:shd w:val="clear" w:color="auto" w:fill="auto"/>
          </w:tcPr>
          <w:p>
            <w:pPr>
              <w:ind w:left="-57" w:right="-57"/>
              <w:jc w:val="center"/>
              <w:rPr>
                <w:noProof/>
                <w:color w:val="000000"/>
              </w:rPr>
            </w:pPr>
            <w:r>
              <w:rPr>
                <w:noProof/>
              </w:rPr>
              <w:t>10,0</w:t>
            </w:r>
          </w:p>
        </w:tc>
        <w:tc>
          <w:tcPr>
            <w:tcW w:w="262" w:type="pct"/>
            <w:tcBorders>
              <w:bottom w:val="single" w:sz="4" w:space="0" w:color="auto"/>
            </w:tcBorders>
            <w:shd w:val="clear" w:color="auto" w:fill="auto"/>
          </w:tcPr>
          <w:p>
            <w:pPr>
              <w:ind w:left="-57" w:right="-57"/>
              <w:jc w:val="center"/>
              <w:rPr>
                <w:noProof/>
                <w:color w:val="000000"/>
              </w:rPr>
            </w:pPr>
            <w:r>
              <w:rPr>
                <w:noProof/>
              </w:rPr>
              <w:t>9,0</w:t>
            </w:r>
          </w:p>
        </w:tc>
        <w:tc>
          <w:tcPr>
            <w:tcW w:w="262" w:type="pct"/>
            <w:tcBorders>
              <w:bottom w:val="single" w:sz="4" w:space="0" w:color="auto"/>
            </w:tcBorders>
            <w:shd w:val="clear" w:color="auto" w:fill="auto"/>
          </w:tcPr>
          <w:p>
            <w:pPr>
              <w:ind w:left="-57" w:right="-57"/>
              <w:jc w:val="center"/>
              <w:rPr>
                <w:noProof/>
                <w:color w:val="000000"/>
              </w:rPr>
            </w:pPr>
            <w:r>
              <w:rPr>
                <w:noProof/>
              </w:rPr>
              <w:t>8,0</w:t>
            </w:r>
          </w:p>
        </w:tc>
        <w:tc>
          <w:tcPr>
            <w:tcW w:w="262" w:type="pct"/>
            <w:tcBorders>
              <w:bottom w:val="single" w:sz="4" w:space="0" w:color="auto"/>
            </w:tcBorders>
            <w:shd w:val="clear" w:color="auto" w:fill="auto"/>
          </w:tcPr>
          <w:p>
            <w:pPr>
              <w:ind w:left="-57" w:right="-57"/>
              <w:jc w:val="center"/>
              <w:rPr>
                <w:noProof/>
                <w:color w:val="000000"/>
              </w:rPr>
            </w:pPr>
            <w:r>
              <w:rPr>
                <w:noProof/>
              </w:rPr>
              <w:t>7,0</w:t>
            </w:r>
          </w:p>
        </w:tc>
        <w:tc>
          <w:tcPr>
            <w:tcW w:w="262" w:type="pct"/>
            <w:tcBorders>
              <w:bottom w:val="single" w:sz="4" w:space="0" w:color="auto"/>
            </w:tcBorders>
            <w:shd w:val="clear" w:color="auto" w:fill="auto"/>
          </w:tcPr>
          <w:p>
            <w:pPr>
              <w:ind w:left="-57" w:right="-57"/>
              <w:jc w:val="center"/>
              <w:rPr>
                <w:noProof/>
                <w:color w:val="000000"/>
              </w:rPr>
            </w:pPr>
            <w:r>
              <w:rPr>
                <w:noProof/>
              </w:rPr>
              <w:t>6,0</w:t>
            </w:r>
          </w:p>
        </w:tc>
        <w:tc>
          <w:tcPr>
            <w:tcW w:w="262" w:type="pct"/>
            <w:tcBorders>
              <w:bottom w:val="single" w:sz="4" w:space="0" w:color="auto"/>
            </w:tcBorders>
            <w:shd w:val="clear" w:color="auto" w:fill="auto"/>
          </w:tcPr>
          <w:p>
            <w:pPr>
              <w:ind w:left="-57" w:right="-57"/>
              <w:jc w:val="center"/>
              <w:rPr>
                <w:noProof/>
                <w:color w:val="000000"/>
              </w:rPr>
            </w:pPr>
            <w:r>
              <w:rPr>
                <w:noProof/>
              </w:rPr>
              <w:t>5,0</w:t>
            </w:r>
          </w:p>
        </w:tc>
        <w:tc>
          <w:tcPr>
            <w:tcW w:w="262" w:type="pct"/>
            <w:tcBorders>
              <w:bottom w:val="single" w:sz="4" w:space="0" w:color="auto"/>
            </w:tcBorders>
            <w:shd w:val="clear" w:color="auto" w:fill="auto"/>
          </w:tcPr>
          <w:p>
            <w:pPr>
              <w:jc w:val="center"/>
              <w:rPr>
                <w:noProof/>
                <w:color w:val="000000"/>
              </w:rPr>
            </w:pPr>
            <w:r>
              <w:rPr>
                <w:noProof/>
              </w:rPr>
              <w:t>4,0</w:t>
            </w:r>
          </w:p>
        </w:tc>
        <w:tc>
          <w:tcPr>
            <w:tcW w:w="262" w:type="pct"/>
            <w:tcBorders>
              <w:bottom w:val="single" w:sz="4" w:space="0" w:color="auto"/>
            </w:tcBorders>
            <w:shd w:val="clear" w:color="auto" w:fill="auto"/>
          </w:tcPr>
          <w:p>
            <w:pPr>
              <w:jc w:val="center"/>
              <w:rPr>
                <w:noProof/>
                <w:color w:val="000000"/>
              </w:rPr>
            </w:pPr>
            <w:r>
              <w:rPr>
                <w:noProof/>
              </w:rPr>
              <w:t>3,0</w:t>
            </w:r>
          </w:p>
        </w:tc>
        <w:tc>
          <w:tcPr>
            <w:tcW w:w="262" w:type="pct"/>
            <w:tcBorders>
              <w:bottom w:val="single" w:sz="4" w:space="0" w:color="auto"/>
            </w:tcBorders>
            <w:shd w:val="clear" w:color="auto" w:fill="auto"/>
          </w:tcPr>
          <w:p>
            <w:pPr>
              <w:jc w:val="center"/>
              <w:rPr>
                <w:noProof/>
                <w:color w:val="000000"/>
              </w:rPr>
            </w:pPr>
            <w:r>
              <w:rPr>
                <w:noProof/>
                <w:color w:val="000000"/>
              </w:rPr>
              <w:t>2</w:t>
            </w:r>
            <w:r>
              <w:rPr>
                <w:noProof/>
              </w:rPr>
              <w:t>,0</w:t>
            </w:r>
          </w:p>
        </w:tc>
        <w:tc>
          <w:tcPr>
            <w:tcW w:w="262" w:type="pct"/>
            <w:tcBorders>
              <w:bottom w:val="single" w:sz="4" w:space="0" w:color="auto"/>
            </w:tcBorders>
            <w:shd w:val="clear" w:color="auto" w:fill="auto"/>
          </w:tcPr>
          <w:p>
            <w:pPr>
              <w:jc w:val="center"/>
              <w:rPr>
                <w:noProof/>
                <w:color w:val="000000"/>
              </w:rPr>
            </w:pPr>
            <w:r>
              <w:rPr>
                <w:noProof/>
                <w:color w:val="000000"/>
              </w:rPr>
              <w:t>1</w:t>
            </w:r>
            <w:r>
              <w:rPr>
                <w:noProof/>
              </w:rPr>
              <w:t>,0</w:t>
            </w:r>
          </w:p>
        </w:tc>
        <w:tc>
          <w:tcPr>
            <w:tcW w:w="296" w:type="pct"/>
            <w:tcBorders>
              <w:bottom w:val="single" w:sz="4" w:space="0" w:color="auto"/>
            </w:tcBorders>
            <w:shd w:val="clear" w:color="auto" w:fill="auto"/>
          </w:tcPr>
          <w:p>
            <w:pPr>
              <w:jc w:val="center"/>
              <w:rPr>
                <w:noProof/>
              </w:rPr>
            </w:pPr>
            <w:r>
              <w:rPr>
                <w:noProof/>
              </w:rPr>
              <w:t>0,0</w:t>
            </w:r>
          </w:p>
        </w:tc>
        <w:tc>
          <w:tcPr>
            <w:tcW w:w="379" w:type="pct"/>
            <w:tcBorders>
              <w:bottom w:val="single" w:sz="4" w:space="0" w:color="auto"/>
            </w:tcBorders>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7204 29 00 00 </w:t>
            </w:r>
          </w:p>
        </w:tc>
        <w:tc>
          <w:tcPr>
            <w:tcW w:w="1184" w:type="pct"/>
            <w:shd w:val="clear" w:color="auto" w:fill="auto"/>
          </w:tcPr>
          <w:p>
            <w:pPr>
              <w:pStyle w:val="NormalWeb"/>
              <w:spacing w:before="0" w:beforeAutospacing="0" w:after="0" w:afterAutospacing="0"/>
              <w:ind w:left="-57" w:right="-57"/>
              <w:rPr>
                <w:noProof/>
              </w:rPr>
            </w:pPr>
            <w:r>
              <w:rPr>
                <w:noProof/>
              </w:rPr>
              <w:t xml:space="preserve">deșeuri și resturi de oțeluri aliate, altele </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7204 50 00 00 </w:t>
            </w:r>
          </w:p>
        </w:tc>
        <w:tc>
          <w:tcPr>
            <w:tcW w:w="1184" w:type="pct"/>
            <w:shd w:val="clear" w:color="auto" w:fill="auto"/>
          </w:tcPr>
          <w:p>
            <w:pPr>
              <w:pStyle w:val="NormalWeb"/>
              <w:spacing w:before="0" w:beforeAutospacing="0" w:after="0" w:afterAutospacing="0"/>
              <w:ind w:left="-57" w:right="-57"/>
              <w:rPr>
                <w:noProof/>
              </w:rPr>
            </w:pPr>
            <w:r>
              <w:rPr>
                <w:noProof/>
              </w:rPr>
              <w:t>deșeuri sub formă de lingouri (</w:t>
            </w:r>
            <w:r>
              <w:rPr>
                <w:i/>
                <w:noProof/>
              </w:rPr>
              <w:t>charge ingots</w:t>
            </w:r>
            <w:r>
              <w:rPr>
                <w:noProof/>
              </w:rPr>
              <w:t>) pentru lingotare, de oțeluri aliate</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7218 10 00 00 </w:t>
            </w:r>
          </w:p>
        </w:tc>
        <w:tc>
          <w:tcPr>
            <w:tcW w:w="1184" w:type="pct"/>
            <w:shd w:val="clear" w:color="auto" w:fill="auto"/>
          </w:tcPr>
          <w:p>
            <w:pPr>
              <w:pStyle w:val="NormalWeb"/>
              <w:spacing w:before="0" w:beforeAutospacing="0" w:after="0" w:afterAutospacing="0"/>
              <w:ind w:left="-57" w:right="-57"/>
              <w:rPr>
                <w:noProof/>
              </w:rPr>
            </w:pPr>
            <w:r>
              <w:rPr>
                <w:noProof/>
              </w:rPr>
              <w:t>oțeluri inoxidabile în lingouri și în alte forme primare</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tcBorders>
              <w:bottom w:val="single" w:sz="4" w:space="0" w:color="auto"/>
            </w:tcBorders>
            <w:shd w:val="clear" w:color="auto" w:fill="auto"/>
          </w:tcPr>
          <w:p>
            <w:pPr>
              <w:pStyle w:val="NormalWeb"/>
              <w:spacing w:before="0" w:beforeAutospacing="0" w:after="0" w:afterAutospacing="0"/>
              <w:ind w:left="-85" w:right="-85"/>
              <w:rPr>
                <w:noProof/>
              </w:rPr>
            </w:pPr>
            <w:r>
              <w:rPr>
                <w:noProof/>
                <w:color w:val="000000"/>
              </w:rPr>
              <w:t>7401 00 00 00</w:t>
            </w:r>
          </w:p>
        </w:tc>
        <w:tc>
          <w:tcPr>
            <w:tcW w:w="1184" w:type="pct"/>
            <w:tcBorders>
              <w:bottom w:val="single" w:sz="4" w:space="0" w:color="auto"/>
            </w:tcBorders>
            <w:shd w:val="clear" w:color="auto" w:fill="auto"/>
          </w:tcPr>
          <w:p>
            <w:pPr>
              <w:pStyle w:val="NormalWeb"/>
              <w:spacing w:before="0" w:beforeAutospacing="0" w:after="0" w:afterAutospacing="0"/>
              <w:ind w:left="-57" w:right="-57"/>
              <w:rPr>
                <w:noProof/>
              </w:rPr>
            </w:pPr>
            <w:r>
              <w:rPr>
                <w:noProof/>
              </w:rPr>
              <w:t>mate de cupru; cupru de cementare (precipitat de cupru)</w:t>
            </w:r>
          </w:p>
        </w:tc>
        <w:tc>
          <w:tcPr>
            <w:tcW w:w="262" w:type="pct"/>
            <w:tcBorders>
              <w:bottom w:val="single" w:sz="4" w:space="0" w:color="auto"/>
            </w:tcBorders>
            <w:shd w:val="clear" w:color="auto" w:fill="auto"/>
          </w:tcPr>
          <w:p>
            <w:pPr>
              <w:ind w:left="-57" w:right="-57"/>
              <w:jc w:val="center"/>
              <w:rPr>
                <w:noProof/>
                <w:color w:val="000000"/>
              </w:rPr>
            </w:pPr>
            <w:r>
              <w:rPr>
                <w:noProof/>
              </w:rPr>
              <w:t>10,0</w:t>
            </w:r>
          </w:p>
        </w:tc>
        <w:tc>
          <w:tcPr>
            <w:tcW w:w="262" w:type="pct"/>
            <w:tcBorders>
              <w:bottom w:val="single" w:sz="4" w:space="0" w:color="auto"/>
            </w:tcBorders>
            <w:shd w:val="clear" w:color="auto" w:fill="auto"/>
          </w:tcPr>
          <w:p>
            <w:pPr>
              <w:ind w:left="-57" w:right="-57"/>
              <w:jc w:val="center"/>
              <w:rPr>
                <w:noProof/>
                <w:color w:val="000000"/>
              </w:rPr>
            </w:pPr>
            <w:r>
              <w:rPr>
                <w:noProof/>
              </w:rPr>
              <w:t>9,0</w:t>
            </w:r>
          </w:p>
        </w:tc>
        <w:tc>
          <w:tcPr>
            <w:tcW w:w="262" w:type="pct"/>
            <w:tcBorders>
              <w:bottom w:val="single" w:sz="4" w:space="0" w:color="auto"/>
            </w:tcBorders>
            <w:shd w:val="clear" w:color="auto" w:fill="auto"/>
          </w:tcPr>
          <w:p>
            <w:pPr>
              <w:ind w:left="-57" w:right="-57"/>
              <w:jc w:val="center"/>
              <w:rPr>
                <w:noProof/>
                <w:color w:val="000000"/>
              </w:rPr>
            </w:pPr>
            <w:r>
              <w:rPr>
                <w:noProof/>
              </w:rPr>
              <w:t>8,0</w:t>
            </w:r>
          </w:p>
        </w:tc>
        <w:tc>
          <w:tcPr>
            <w:tcW w:w="262" w:type="pct"/>
            <w:tcBorders>
              <w:bottom w:val="single" w:sz="4" w:space="0" w:color="auto"/>
            </w:tcBorders>
            <w:shd w:val="clear" w:color="auto" w:fill="auto"/>
          </w:tcPr>
          <w:p>
            <w:pPr>
              <w:ind w:left="-57" w:right="-57"/>
              <w:jc w:val="center"/>
              <w:rPr>
                <w:noProof/>
                <w:color w:val="000000"/>
              </w:rPr>
            </w:pPr>
            <w:r>
              <w:rPr>
                <w:noProof/>
              </w:rPr>
              <w:t>7,0</w:t>
            </w:r>
          </w:p>
        </w:tc>
        <w:tc>
          <w:tcPr>
            <w:tcW w:w="262" w:type="pct"/>
            <w:tcBorders>
              <w:bottom w:val="single" w:sz="4" w:space="0" w:color="auto"/>
            </w:tcBorders>
            <w:shd w:val="clear" w:color="auto" w:fill="auto"/>
          </w:tcPr>
          <w:p>
            <w:pPr>
              <w:ind w:left="-57" w:right="-57"/>
              <w:jc w:val="center"/>
              <w:rPr>
                <w:noProof/>
                <w:color w:val="000000"/>
              </w:rPr>
            </w:pPr>
            <w:r>
              <w:rPr>
                <w:noProof/>
              </w:rPr>
              <w:t>6,0</w:t>
            </w:r>
          </w:p>
        </w:tc>
        <w:tc>
          <w:tcPr>
            <w:tcW w:w="262" w:type="pct"/>
            <w:tcBorders>
              <w:bottom w:val="single" w:sz="4" w:space="0" w:color="auto"/>
            </w:tcBorders>
            <w:shd w:val="clear" w:color="auto" w:fill="auto"/>
          </w:tcPr>
          <w:p>
            <w:pPr>
              <w:ind w:left="-57" w:right="-57"/>
              <w:jc w:val="center"/>
              <w:rPr>
                <w:noProof/>
                <w:color w:val="000000"/>
              </w:rPr>
            </w:pPr>
            <w:r>
              <w:rPr>
                <w:noProof/>
              </w:rPr>
              <w:t>5,0</w:t>
            </w:r>
          </w:p>
        </w:tc>
        <w:tc>
          <w:tcPr>
            <w:tcW w:w="262" w:type="pct"/>
            <w:tcBorders>
              <w:bottom w:val="single" w:sz="4" w:space="0" w:color="auto"/>
            </w:tcBorders>
            <w:shd w:val="clear" w:color="auto" w:fill="auto"/>
          </w:tcPr>
          <w:p>
            <w:pPr>
              <w:jc w:val="center"/>
              <w:rPr>
                <w:noProof/>
                <w:color w:val="000000"/>
              </w:rPr>
            </w:pPr>
            <w:r>
              <w:rPr>
                <w:noProof/>
              </w:rPr>
              <w:t>4,0</w:t>
            </w:r>
          </w:p>
        </w:tc>
        <w:tc>
          <w:tcPr>
            <w:tcW w:w="262" w:type="pct"/>
            <w:tcBorders>
              <w:bottom w:val="single" w:sz="4" w:space="0" w:color="auto"/>
            </w:tcBorders>
            <w:shd w:val="clear" w:color="auto" w:fill="auto"/>
          </w:tcPr>
          <w:p>
            <w:pPr>
              <w:jc w:val="center"/>
              <w:rPr>
                <w:noProof/>
                <w:color w:val="000000"/>
              </w:rPr>
            </w:pPr>
            <w:r>
              <w:rPr>
                <w:noProof/>
              </w:rPr>
              <w:t>3,0</w:t>
            </w:r>
          </w:p>
        </w:tc>
        <w:tc>
          <w:tcPr>
            <w:tcW w:w="262" w:type="pct"/>
            <w:tcBorders>
              <w:bottom w:val="single" w:sz="4" w:space="0" w:color="auto"/>
            </w:tcBorders>
            <w:shd w:val="clear" w:color="auto" w:fill="auto"/>
          </w:tcPr>
          <w:p>
            <w:pPr>
              <w:jc w:val="center"/>
              <w:rPr>
                <w:noProof/>
                <w:color w:val="000000"/>
              </w:rPr>
            </w:pPr>
            <w:r>
              <w:rPr>
                <w:noProof/>
                <w:color w:val="000000"/>
              </w:rPr>
              <w:t>2</w:t>
            </w:r>
            <w:r>
              <w:rPr>
                <w:noProof/>
              </w:rPr>
              <w:t>,0</w:t>
            </w:r>
          </w:p>
        </w:tc>
        <w:tc>
          <w:tcPr>
            <w:tcW w:w="262" w:type="pct"/>
            <w:tcBorders>
              <w:bottom w:val="single" w:sz="4" w:space="0" w:color="auto"/>
            </w:tcBorders>
            <w:shd w:val="clear" w:color="auto" w:fill="auto"/>
          </w:tcPr>
          <w:p>
            <w:pPr>
              <w:jc w:val="center"/>
              <w:rPr>
                <w:noProof/>
                <w:color w:val="000000"/>
              </w:rPr>
            </w:pPr>
            <w:r>
              <w:rPr>
                <w:noProof/>
                <w:color w:val="000000"/>
              </w:rPr>
              <w:t>1</w:t>
            </w:r>
            <w:r>
              <w:rPr>
                <w:noProof/>
              </w:rPr>
              <w:t>,0</w:t>
            </w:r>
          </w:p>
        </w:tc>
        <w:tc>
          <w:tcPr>
            <w:tcW w:w="296" w:type="pct"/>
            <w:tcBorders>
              <w:bottom w:val="single" w:sz="4" w:space="0" w:color="auto"/>
            </w:tcBorders>
            <w:shd w:val="clear" w:color="auto" w:fill="auto"/>
          </w:tcPr>
          <w:p>
            <w:pPr>
              <w:jc w:val="center"/>
              <w:rPr>
                <w:noProof/>
              </w:rPr>
            </w:pPr>
            <w:r>
              <w:rPr>
                <w:noProof/>
              </w:rPr>
              <w:t>0,0</w:t>
            </w:r>
          </w:p>
        </w:tc>
        <w:tc>
          <w:tcPr>
            <w:tcW w:w="379" w:type="pct"/>
            <w:tcBorders>
              <w:bottom w:val="single" w:sz="4" w:space="0" w:color="auto"/>
            </w:tcBorders>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7402 00 00 00 </w:t>
            </w:r>
          </w:p>
        </w:tc>
        <w:tc>
          <w:tcPr>
            <w:tcW w:w="1184" w:type="pct"/>
            <w:shd w:val="clear" w:color="auto" w:fill="auto"/>
          </w:tcPr>
          <w:p>
            <w:pPr>
              <w:pStyle w:val="NormalWeb"/>
              <w:spacing w:before="0" w:beforeAutospacing="0" w:after="0" w:afterAutospacing="0"/>
              <w:ind w:left="-57" w:right="-57"/>
              <w:rPr>
                <w:noProof/>
              </w:rPr>
            </w:pPr>
            <w:r>
              <w:rPr>
                <w:noProof/>
              </w:rPr>
              <w:t>cupru nerafinat; anozi din cupru pentru rafinare electrolitică</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7403 12 00 00 </w:t>
            </w:r>
          </w:p>
        </w:tc>
        <w:tc>
          <w:tcPr>
            <w:tcW w:w="1184" w:type="pct"/>
            <w:shd w:val="clear" w:color="auto" w:fill="auto"/>
          </w:tcPr>
          <w:p>
            <w:pPr>
              <w:pStyle w:val="NormalWeb"/>
              <w:spacing w:before="0" w:beforeAutospacing="0" w:after="0" w:afterAutospacing="0"/>
              <w:ind w:left="-57" w:right="-57"/>
              <w:rPr>
                <w:noProof/>
              </w:rPr>
            </w:pPr>
            <w:r>
              <w:rPr>
                <w:noProof/>
              </w:rPr>
              <w:t>bare turnate pentru fabricarea de sârmă (</w:t>
            </w:r>
            <w:r>
              <w:rPr>
                <w:i/>
                <w:noProof/>
              </w:rPr>
              <w:t>wire bars</w:t>
            </w:r>
            <w:r>
              <w:rPr>
                <w:noProof/>
              </w:rPr>
              <w:t>) din cupru rafinat</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7403 13 00 00 </w:t>
            </w:r>
          </w:p>
        </w:tc>
        <w:tc>
          <w:tcPr>
            <w:tcW w:w="1184" w:type="pct"/>
            <w:shd w:val="clear" w:color="auto" w:fill="auto"/>
          </w:tcPr>
          <w:p>
            <w:pPr>
              <w:pStyle w:val="NormalWeb"/>
              <w:spacing w:before="0" w:beforeAutospacing="0" w:after="0" w:afterAutospacing="0"/>
              <w:ind w:left="-57" w:right="-57"/>
              <w:rPr>
                <w:noProof/>
              </w:rPr>
            </w:pPr>
            <w:r>
              <w:rPr>
                <w:noProof/>
              </w:rPr>
              <w:t>țagle din cupru rafinat</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7403 19 00 00 </w:t>
            </w:r>
          </w:p>
        </w:tc>
        <w:tc>
          <w:tcPr>
            <w:tcW w:w="1184" w:type="pct"/>
            <w:shd w:val="clear" w:color="auto" w:fill="auto"/>
          </w:tcPr>
          <w:p>
            <w:pPr>
              <w:pStyle w:val="NormalWeb"/>
              <w:spacing w:before="0" w:beforeAutospacing="0" w:after="0" w:afterAutospacing="0"/>
              <w:ind w:left="-57" w:right="-57"/>
              <w:rPr>
                <w:noProof/>
              </w:rPr>
            </w:pPr>
            <w:r>
              <w:rPr>
                <w:noProof/>
              </w:rPr>
              <w:t>cupru rafinat, altele</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7403 21 00 00 </w:t>
            </w:r>
          </w:p>
        </w:tc>
        <w:tc>
          <w:tcPr>
            <w:tcW w:w="1184" w:type="pct"/>
            <w:shd w:val="clear" w:color="auto" w:fill="auto"/>
          </w:tcPr>
          <w:p>
            <w:pPr>
              <w:pStyle w:val="CM415"/>
              <w:spacing w:before="0" w:after="0"/>
              <w:ind w:left="-57" w:right="-57"/>
              <w:rPr>
                <w:rFonts w:ascii="Times New Roman" w:hAnsi="Times New Roman"/>
                <w:noProof/>
              </w:rPr>
            </w:pPr>
            <w:r>
              <w:rPr>
                <w:rFonts w:ascii="Times New Roman" w:hAnsi="Times New Roman"/>
                <w:noProof/>
              </w:rPr>
              <w:t>aliaje pe bază de cupru-zinc (alamă)</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7403 22 00 00 </w:t>
            </w:r>
          </w:p>
        </w:tc>
        <w:tc>
          <w:tcPr>
            <w:tcW w:w="1184" w:type="pct"/>
            <w:shd w:val="clear" w:color="auto" w:fill="auto"/>
          </w:tcPr>
          <w:p>
            <w:pPr>
              <w:pStyle w:val="CM415"/>
              <w:spacing w:before="0" w:after="0"/>
              <w:ind w:left="-57" w:right="-57"/>
              <w:rPr>
                <w:rFonts w:ascii="Times New Roman" w:hAnsi="Times New Roman"/>
                <w:noProof/>
              </w:rPr>
            </w:pPr>
            <w:r>
              <w:rPr>
                <w:rFonts w:ascii="Times New Roman" w:hAnsi="Times New Roman"/>
                <w:noProof/>
              </w:rPr>
              <w:t>aliaje pe bază de cupru-staniu (bronz)</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7403 29 00 00 </w:t>
            </w:r>
          </w:p>
        </w:tc>
        <w:tc>
          <w:tcPr>
            <w:tcW w:w="1184" w:type="pct"/>
            <w:shd w:val="clear" w:color="auto" w:fill="auto"/>
          </w:tcPr>
          <w:p>
            <w:pPr>
              <w:pStyle w:val="CM415"/>
              <w:spacing w:before="0" w:after="0"/>
              <w:ind w:left="-57" w:right="-57"/>
              <w:rPr>
                <w:rFonts w:ascii="Times New Roman" w:hAnsi="Times New Roman"/>
                <w:noProof/>
              </w:rPr>
            </w:pPr>
            <w:r>
              <w:rPr>
                <w:rFonts w:ascii="Times New Roman" w:hAnsi="Times New Roman"/>
                <w:noProof/>
              </w:rPr>
              <w:t>Alte aliaje de cupru (cu excepția aliajelor de bază de la poziția 7405); aliaje de cupru și de nichel (cupronichel) sau aliaje de cupru, de nichel și de zinc (alpaca)</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tcBorders>
              <w:bottom w:val="single" w:sz="4" w:space="0" w:color="auto"/>
            </w:tcBorders>
            <w:shd w:val="clear" w:color="auto" w:fill="auto"/>
          </w:tcPr>
          <w:p>
            <w:pPr>
              <w:pStyle w:val="NormalWeb"/>
              <w:spacing w:before="0" w:beforeAutospacing="0" w:after="0" w:afterAutospacing="0"/>
              <w:ind w:left="-85" w:right="-85"/>
              <w:rPr>
                <w:noProof/>
              </w:rPr>
            </w:pPr>
            <w:r>
              <w:rPr>
                <w:noProof/>
                <w:color w:val="000000"/>
              </w:rPr>
              <w:t>7404 00 </w:t>
            </w:r>
          </w:p>
        </w:tc>
        <w:tc>
          <w:tcPr>
            <w:tcW w:w="1184" w:type="pct"/>
            <w:tcBorders>
              <w:bottom w:val="single" w:sz="4" w:space="0" w:color="auto"/>
            </w:tcBorders>
            <w:shd w:val="clear" w:color="auto" w:fill="auto"/>
          </w:tcPr>
          <w:p>
            <w:pPr>
              <w:pStyle w:val="NormalWeb"/>
              <w:spacing w:before="0" w:beforeAutospacing="0" w:after="0" w:afterAutospacing="0"/>
              <w:ind w:left="-57" w:right="-57"/>
              <w:rPr>
                <w:noProof/>
              </w:rPr>
            </w:pPr>
            <w:r>
              <w:rPr>
                <w:noProof/>
              </w:rPr>
              <w:t>deșeuri și resturi de cupru</w:t>
            </w:r>
          </w:p>
        </w:tc>
        <w:tc>
          <w:tcPr>
            <w:tcW w:w="262" w:type="pct"/>
            <w:tcBorders>
              <w:bottom w:val="single" w:sz="4" w:space="0" w:color="auto"/>
            </w:tcBorders>
            <w:shd w:val="clear" w:color="auto" w:fill="auto"/>
          </w:tcPr>
          <w:p>
            <w:pPr>
              <w:ind w:left="-57" w:right="-57"/>
              <w:jc w:val="center"/>
              <w:rPr>
                <w:noProof/>
                <w:color w:val="000000"/>
              </w:rPr>
            </w:pPr>
            <w:r>
              <w:rPr>
                <w:noProof/>
              </w:rPr>
              <w:t>10,0</w:t>
            </w:r>
          </w:p>
        </w:tc>
        <w:tc>
          <w:tcPr>
            <w:tcW w:w="262" w:type="pct"/>
            <w:tcBorders>
              <w:bottom w:val="single" w:sz="4" w:space="0" w:color="auto"/>
            </w:tcBorders>
            <w:shd w:val="clear" w:color="auto" w:fill="auto"/>
          </w:tcPr>
          <w:p>
            <w:pPr>
              <w:ind w:left="-57" w:right="-57"/>
              <w:jc w:val="center"/>
              <w:rPr>
                <w:noProof/>
                <w:color w:val="000000"/>
              </w:rPr>
            </w:pPr>
            <w:r>
              <w:rPr>
                <w:noProof/>
              </w:rPr>
              <w:t>9,0</w:t>
            </w:r>
          </w:p>
        </w:tc>
        <w:tc>
          <w:tcPr>
            <w:tcW w:w="262" w:type="pct"/>
            <w:tcBorders>
              <w:bottom w:val="single" w:sz="4" w:space="0" w:color="auto"/>
            </w:tcBorders>
            <w:shd w:val="clear" w:color="auto" w:fill="auto"/>
          </w:tcPr>
          <w:p>
            <w:pPr>
              <w:ind w:left="-57" w:right="-57"/>
              <w:jc w:val="center"/>
              <w:rPr>
                <w:noProof/>
                <w:color w:val="000000"/>
              </w:rPr>
            </w:pPr>
            <w:r>
              <w:rPr>
                <w:noProof/>
              </w:rPr>
              <w:t>8,0</w:t>
            </w:r>
          </w:p>
        </w:tc>
        <w:tc>
          <w:tcPr>
            <w:tcW w:w="262" w:type="pct"/>
            <w:tcBorders>
              <w:bottom w:val="single" w:sz="4" w:space="0" w:color="auto"/>
            </w:tcBorders>
            <w:shd w:val="clear" w:color="auto" w:fill="auto"/>
          </w:tcPr>
          <w:p>
            <w:pPr>
              <w:ind w:left="-57" w:right="-57"/>
              <w:jc w:val="center"/>
              <w:rPr>
                <w:noProof/>
                <w:color w:val="000000"/>
              </w:rPr>
            </w:pPr>
            <w:r>
              <w:rPr>
                <w:noProof/>
              </w:rPr>
              <w:t>7,0</w:t>
            </w:r>
          </w:p>
        </w:tc>
        <w:tc>
          <w:tcPr>
            <w:tcW w:w="262" w:type="pct"/>
            <w:tcBorders>
              <w:bottom w:val="single" w:sz="4" w:space="0" w:color="auto"/>
            </w:tcBorders>
            <w:shd w:val="clear" w:color="auto" w:fill="auto"/>
          </w:tcPr>
          <w:p>
            <w:pPr>
              <w:ind w:left="-57" w:right="-57"/>
              <w:jc w:val="center"/>
              <w:rPr>
                <w:noProof/>
                <w:color w:val="000000"/>
              </w:rPr>
            </w:pPr>
            <w:r>
              <w:rPr>
                <w:noProof/>
              </w:rPr>
              <w:t>6,0</w:t>
            </w:r>
          </w:p>
        </w:tc>
        <w:tc>
          <w:tcPr>
            <w:tcW w:w="262" w:type="pct"/>
            <w:tcBorders>
              <w:bottom w:val="single" w:sz="4" w:space="0" w:color="auto"/>
            </w:tcBorders>
            <w:shd w:val="clear" w:color="auto" w:fill="auto"/>
          </w:tcPr>
          <w:p>
            <w:pPr>
              <w:ind w:left="-57" w:right="-57"/>
              <w:jc w:val="center"/>
              <w:rPr>
                <w:noProof/>
                <w:color w:val="000000"/>
              </w:rPr>
            </w:pPr>
            <w:r>
              <w:rPr>
                <w:noProof/>
              </w:rPr>
              <w:t>5,0</w:t>
            </w:r>
          </w:p>
        </w:tc>
        <w:tc>
          <w:tcPr>
            <w:tcW w:w="262" w:type="pct"/>
            <w:tcBorders>
              <w:bottom w:val="single" w:sz="4" w:space="0" w:color="auto"/>
            </w:tcBorders>
            <w:shd w:val="clear" w:color="auto" w:fill="auto"/>
          </w:tcPr>
          <w:p>
            <w:pPr>
              <w:jc w:val="center"/>
              <w:rPr>
                <w:noProof/>
                <w:color w:val="000000"/>
              </w:rPr>
            </w:pPr>
            <w:r>
              <w:rPr>
                <w:noProof/>
              </w:rPr>
              <w:t>4,0</w:t>
            </w:r>
          </w:p>
        </w:tc>
        <w:tc>
          <w:tcPr>
            <w:tcW w:w="262" w:type="pct"/>
            <w:tcBorders>
              <w:bottom w:val="single" w:sz="4" w:space="0" w:color="auto"/>
            </w:tcBorders>
            <w:shd w:val="clear" w:color="auto" w:fill="auto"/>
          </w:tcPr>
          <w:p>
            <w:pPr>
              <w:jc w:val="center"/>
              <w:rPr>
                <w:noProof/>
                <w:color w:val="000000"/>
              </w:rPr>
            </w:pPr>
            <w:r>
              <w:rPr>
                <w:noProof/>
              </w:rPr>
              <w:t>3,0</w:t>
            </w:r>
          </w:p>
        </w:tc>
        <w:tc>
          <w:tcPr>
            <w:tcW w:w="262" w:type="pct"/>
            <w:tcBorders>
              <w:bottom w:val="single" w:sz="4" w:space="0" w:color="auto"/>
            </w:tcBorders>
            <w:shd w:val="clear" w:color="auto" w:fill="auto"/>
          </w:tcPr>
          <w:p>
            <w:pPr>
              <w:jc w:val="center"/>
              <w:rPr>
                <w:noProof/>
                <w:color w:val="000000"/>
              </w:rPr>
            </w:pPr>
            <w:r>
              <w:rPr>
                <w:noProof/>
                <w:color w:val="000000"/>
              </w:rPr>
              <w:t>2</w:t>
            </w:r>
            <w:r>
              <w:rPr>
                <w:noProof/>
              </w:rPr>
              <w:t>,0</w:t>
            </w:r>
          </w:p>
        </w:tc>
        <w:tc>
          <w:tcPr>
            <w:tcW w:w="262" w:type="pct"/>
            <w:tcBorders>
              <w:bottom w:val="single" w:sz="4" w:space="0" w:color="auto"/>
            </w:tcBorders>
            <w:shd w:val="clear" w:color="auto" w:fill="auto"/>
          </w:tcPr>
          <w:p>
            <w:pPr>
              <w:jc w:val="center"/>
              <w:rPr>
                <w:noProof/>
                <w:color w:val="000000"/>
              </w:rPr>
            </w:pPr>
            <w:r>
              <w:rPr>
                <w:noProof/>
                <w:color w:val="000000"/>
              </w:rPr>
              <w:t>1</w:t>
            </w:r>
            <w:r>
              <w:rPr>
                <w:noProof/>
              </w:rPr>
              <w:t>,0</w:t>
            </w:r>
          </w:p>
        </w:tc>
        <w:tc>
          <w:tcPr>
            <w:tcW w:w="296" w:type="pct"/>
            <w:tcBorders>
              <w:bottom w:val="single" w:sz="4" w:space="0" w:color="auto"/>
            </w:tcBorders>
            <w:shd w:val="clear" w:color="auto" w:fill="auto"/>
          </w:tcPr>
          <w:p>
            <w:pPr>
              <w:jc w:val="center"/>
              <w:rPr>
                <w:noProof/>
              </w:rPr>
            </w:pPr>
            <w:r>
              <w:rPr>
                <w:noProof/>
              </w:rPr>
              <w:t>0,0</w:t>
            </w:r>
          </w:p>
        </w:tc>
        <w:tc>
          <w:tcPr>
            <w:tcW w:w="379" w:type="pct"/>
            <w:tcBorders>
              <w:bottom w:val="single" w:sz="4" w:space="0" w:color="auto"/>
            </w:tcBorders>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7405 00 00 00 </w:t>
            </w:r>
          </w:p>
        </w:tc>
        <w:tc>
          <w:tcPr>
            <w:tcW w:w="1184" w:type="pct"/>
            <w:shd w:val="clear" w:color="auto" w:fill="auto"/>
          </w:tcPr>
          <w:p>
            <w:pPr>
              <w:pStyle w:val="CM415"/>
              <w:spacing w:before="0" w:after="0"/>
              <w:ind w:left="-57" w:right="-57"/>
              <w:rPr>
                <w:rFonts w:ascii="Times New Roman" w:hAnsi="Times New Roman"/>
                <w:noProof/>
              </w:rPr>
            </w:pPr>
            <w:r>
              <w:rPr>
                <w:rFonts w:ascii="Times New Roman" w:hAnsi="Times New Roman"/>
                <w:noProof/>
              </w:rPr>
              <w:t>aliaje de bază din cupru</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7406 </w:t>
            </w:r>
          </w:p>
        </w:tc>
        <w:tc>
          <w:tcPr>
            <w:tcW w:w="1184" w:type="pct"/>
            <w:shd w:val="clear" w:color="auto" w:fill="auto"/>
          </w:tcPr>
          <w:p>
            <w:pPr>
              <w:pStyle w:val="CM415"/>
              <w:spacing w:before="0" w:after="0"/>
              <w:ind w:left="-57" w:right="-57"/>
              <w:rPr>
                <w:rFonts w:ascii="Times New Roman" w:hAnsi="Times New Roman"/>
                <w:noProof/>
              </w:rPr>
            </w:pPr>
            <w:r>
              <w:rPr>
                <w:rFonts w:ascii="Times New Roman" w:hAnsi="Times New Roman"/>
                <w:noProof/>
              </w:rPr>
              <w:t xml:space="preserve">pulberi și fulgi (paiete) din cupru </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tcPr>
          <w:p>
            <w:pPr>
              <w:pStyle w:val="NormalWeb"/>
              <w:spacing w:before="0" w:beforeAutospacing="0" w:after="0" w:afterAutospacing="0"/>
              <w:ind w:left="-85" w:right="-85"/>
              <w:rPr>
                <w:noProof/>
              </w:rPr>
            </w:pPr>
            <w:r>
              <w:rPr>
                <w:noProof/>
                <w:color w:val="000000"/>
              </w:rPr>
              <w:t>7419 99 10 00 </w:t>
            </w:r>
          </w:p>
        </w:tc>
        <w:tc>
          <w:tcPr>
            <w:tcW w:w="1184" w:type="pct"/>
          </w:tcPr>
          <w:p>
            <w:pPr>
              <w:pStyle w:val="NormalWeb"/>
              <w:spacing w:before="0" w:beforeAutospacing="0" w:after="0" w:afterAutospacing="0"/>
              <w:ind w:left="-57" w:right="-57"/>
              <w:rPr>
                <w:noProof/>
              </w:rPr>
            </w:pPr>
            <w:r>
              <w:rPr>
                <w:noProof/>
              </w:rPr>
              <w:t>grătare și ochiuri din sârmă de cupru</w:t>
            </w:r>
          </w:p>
        </w:tc>
        <w:tc>
          <w:tcPr>
            <w:tcW w:w="262" w:type="pct"/>
          </w:tcPr>
          <w:p>
            <w:pPr>
              <w:ind w:left="-57" w:right="-57"/>
              <w:jc w:val="center"/>
              <w:rPr>
                <w:noProof/>
                <w:color w:val="000000"/>
              </w:rPr>
            </w:pPr>
            <w:r>
              <w:rPr>
                <w:noProof/>
              </w:rPr>
              <w:t>13,64</w:t>
            </w:r>
          </w:p>
        </w:tc>
        <w:tc>
          <w:tcPr>
            <w:tcW w:w="262" w:type="pct"/>
          </w:tcPr>
          <w:p>
            <w:pPr>
              <w:ind w:left="-57" w:right="-57"/>
              <w:jc w:val="center"/>
              <w:rPr>
                <w:noProof/>
                <w:color w:val="000000"/>
              </w:rPr>
            </w:pPr>
            <w:r>
              <w:rPr>
                <w:noProof/>
              </w:rPr>
              <w:t>10,0</w:t>
            </w:r>
          </w:p>
        </w:tc>
        <w:tc>
          <w:tcPr>
            <w:tcW w:w="262" w:type="pct"/>
          </w:tcPr>
          <w:p>
            <w:pPr>
              <w:ind w:left="-57" w:right="-57"/>
              <w:jc w:val="center"/>
              <w:rPr>
                <w:noProof/>
                <w:color w:val="000000"/>
              </w:rPr>
            </w:pPr>
            <w:r>
              <w:rPr>
                <w:noProof/>
              </w:rPr>
              <w:t>9,0</w:t>
            </w:r>
          </w:p>
        </w:tc>
        <w:tc>
          <w:tcPr>
            <w:tcW w:w="262" w:type="pct"/>
          </w:tcPr>
          <w:p>
            <w:pPr>
              <w:ind w:left="-57" w:right="-57"/>
              <w:jc w:val="center"/>
              <w:rPr>
                <w:noProof/>
                <w:color w:val="000000"/>
              </w:rPr>
            </w:pPr>
            <w:r>
              <w:rPr>
                <w:noProof/>
              </w:rPr>
              <w:t>8,0</w:t>
            </w:r>
          </w:p>
        </w:tc>
        <w:tc>
          <w:tcPr>
            <w:tcW w:w="262" w:type="pct"/>
          </w:tcPr>
          <w:p>
            <w:pPr>
              <w:ind w:left="-57" w:right="-57"/>
              <w:jc w:val="center"/>
              <w:rPr>
                <w:noProof/>
                <w:color w:val="000000"/>
              </w:rPr>
            </w:pPr>
            <w:r>
              <w:rPr>
                <w:noProof/>
              </w:rPr>
              <w:t>7,0</w:t>
            </w:r>
          </w:p>
        </w:tc>
        <w:tc>
          <w:tcPr>
            <w:tcW w:w="262" w:type="pct"/>
          </w:tcPr>
          <w:p>
            <w:pPr>
              <w:ind w:left="-57" w:right="-57"/>
              <w:jc w:val="center"/>
              <w:rPr>
                <w:noProof/>
                <w:color w:val="000000"/>
              </w:rPr>
            </w:pPr>
            <w:r>
              <w:rPr>
                <w:noProof/>
              </w:rPr>
              <w:t>6,0</w:t>
            </w:r>
          </w:p>
        </w:tc>
        <w:tc>
          <w:tcPr>
            <w:tcW w:w="262" w:type="pct"/>
          </w:tcPr>
          <w:p>
            <w:pPr>
              <w:jc w:val="center"/>
              <w:rPr>
                <w:noProof/>
                <w:color w:val="000000"/>
              </w:rPr>
            </w:pPr>
            <w:r>
              <w:rPr>
                <w:noProof/>
              </w:rPr>
              <w:t>5,0</w:t>
            </w:r>
          </w:p>
        </w:tc>
        <w:tc>
          <w:tcPr>
            <w:tcW w:w="262" w:type="pct"/>
          </w:tcPr>
          <w:p>
            <w:pPr>
              <w:jc w:val="center"/>
              <w:rPr>
                <w:noProof/>
                <w:color w:val="000000"/>
              </w:rPr>
            </w:pPr>
            <w:r>
              <w:rPr>
                <w:noProof/>
              </w:rPr>
              <w:t>4,0</w:t>
            </w:r>
          </w:p>
        </w:tc>
        <w:tc>
          <w:tcPr>
            <w:tcW w:w="262" w:type="pct"/>
          </w:tcPr>
          <w:p>
            <w:pPr>
              <w:jc w:val="center"/>
              <w:rPr>
                <w:noProof/>
                <w:color w:val="000000"/>
              </w:rPr>
            </w:pPr>
            <w:r>
              <w:rPr>
                <w:noProof/>
                <w:color w:val="000000"/>
              </w:rPr>
              <w:t>3</w:t>
            </w:r>
            <w:r>
              <w:rPr>
                <w:noProof/>
              </w:rPr>
              <w:t>,0</w:t>
            </w:r>
          </w:p>
        </w:tc>
        <w:tc>
          <w:tcPr>
            <w:tcW w:w="262" w:type="pct"/>
          </w:tcPr>
          <w:p>
            <w:pPr>
              <w:jc w:val="center"/>
              <w:rPr>
                <w:noProof/>
                <w:color w:val="000000"/>
              </w:rPr>
            </w:pPr>
            <w:r>
              <w:rPr>
                <w:noProof/>
                <w:color w:val="000000"/>
              </w:rPr>
              <w:t>2</w:t>
            </w:r>
            <w:r>
              <w:rPr>
                <w:noProof/>
              </w:rPr>
              <w:t>,0</w:t>
            </w:r>
          </w:p>
        </w:tc>
        <w:tc>
          <w:tcPr>
            <w:tcW w:w="296" w:type="pct"/>
          </w:tcPr>
          <w:p>
            <w:pPr>
              <w:jc w:val="center"/>
              <w:rPr>
                <w:noProof/>
              </w:rPr>
            </w:pPr>
            <w:r>
              <w:rPr>
                <w:noProof/>
              </w:rPr>
              <w:t>0,0</w:t>
            </w:r>
          </w:p>
        </w:tc>
        <w:tc>
          <w:tcPr>
            <w:tcW w:w="379" w:type="pct"/>
          </w:tcPr>
          <w:p>
            <w:pPr>
              <w:ind w:left="-57" w:right="-57"/>
              <w:jc w:val="center"/>
              <w:rPr>
                <w:noProof/>
              </w:rPr>
            </w:pPr>
          </w:p>
        </w:tc>
      </w:tr>
      <w:tr>
        <w:tc>
          <w:tcPr>
            <w:tcW w:w="524" w:type="pct"/>
          </w:tcPr>
          <w:p>
            <w:pPr>
              <w:pStyle w:val="NormalWeb"/>
              <w:spacing w:before="0" w:beforeAutospacing="0" w:after="0" w:afterAutospacing="0"/>
              <w:ind w:left="-85" w:right="-85"/>
              <w:rPr>
                <w:noProof/>
              </w:rPr>
            </w:pPr>
            <w:r>
              <w:rPr>
                <w:noProof/>
                <w:color w:val="000000"/>
              </w:rPr>
              <w:t>7415 29 00 00 </w:t>
            </w:r>
          </w:p>
        </w:tc>
        <w:tc>
          <w:tcPr>
            <w:tcW w:w="1184" w:type="pct"/>
          </w:tcPr>
          <w:p>
            <w:pPr>
              <w:pStyle w:val="NormalWeb"/>
              <w:spacing w:before="0" w:beforeAutospacing="0" w:after="0" w:afterAutospacing="0"/>
              <w:ind w:left="-57" w:right="-57"/>
              <w:rPr>
                <w:noProof/>
              </w:rPr>
            </w:pPr>
            <w:r>
              <w:rPr>
                <w:noProof/>
              </w:rPr>
              <w:t>alte produse din cupru fără fire, cu excepția șaibelor și inelelor (inclusiv șaibe și inele elastice de siguranță)</w:t>
            </w:r>
          </w:p>
        </w:tc>
        <w:tc>
          <w:tcPr>
            <w:tcW w:w="262" w:type="pct"/>
          </w:tcPr>
          <w:p>
            <w:pPr>
              <w:ind w:left="-57" w:right="-57"/>
              <w:jc w:val="center"/>
              <w:rPr>
                <w:noProof/>
                <w:color w:val="000000"/>
              </w:rPr>
            </w:pPr>
            <w:r>
              <w:rPr>
                <w:noProof/>
              </w:rPr>
              <w:t>13,64</w:t>
            </w:r>
          </w:p>
        </w:tc>
        <w:tc>
          <w:tcPr>
            <w:tcW w:w="262" w:type="pct"/>
          </w:tcPr>
          <w:p>
            <w:pPr>
              <w:ind w:left="-57" w:right="-57"/>
              <w:jc w:val="center"/>
              <w:rPr>
                <w:noProof/>
                <w:color w:val="000000"/>
              </w:rPr>
            </w:pPr>
            <w:r>
              <w:rPr>
                <w:noProof/>
              </w:rPr>
              <w:t>10,0</w:t>
            </w:r>
          </w:p>
        </w:tc>
        <w:tc>
          <w:tcPr>
            <w:tcW w:w="262" w:type="pct"/>
          </w:tcPr>
          <w:p>
            <w:pPr>
              <w:ind w:left="-57" w:right="-57"/>
              <w:jc w:val="center"/>
              <w:rPr>
                <w:noProof/>
                <w:color w:val="000000"/>
              </w:rPr>
            </w:pPr>
            <w:r>
              <w:rPr>
                <w:noProof/>
              </w:rPr>
              <w:t>9,0</w:t>
            </w:r>
          </w:p>
        </w:tc>
        <w:tc>
          <w:tcPr>
            <w:tcW w:w="262" w:type="pct"/>
          </w:tcPr>
          <w:p>
            <w:pPr>
              <w:ind w:left="-57" w:right="-57"/>
              <w:jc w:val="center"/>
              <w:rPr>
                <w:noProof/>
                <w:color w:val="000000"/>
              </w:rPr>
            </w:pPr>
            <w:r>
              <w:rPr>
                <w:noProof/>
              </w:rPr>
              <w:t>8,0</w:t>
            </w:r>
          </w:p>
        </w:tc>
        <w:tc>
          <w:tcPr>
            <w:tcW w:w="262" w:type="pct"/>
          </w:tcPr>
          <w:p>
            <w:pPr>
              <w:ind w:left="-57" w:right="-57"/>
              <w:jc w:val="center"/>
              <w:rPr>
                <w:noProof/>
                <w:color w:val="000000"/>
              </w:rPr>
            </w:pPr>
            <w:r>
              <w:rPr>
                <w:noProof/>
              </w:rPr>
              <w:t>7,0</w:t>
            </w:r>
          </w:p>
        </w:tc>
        <w:tc>
          <w:tcPr>
            <w:tcW w:w="262" w:type="pct"/>
          </w:tcPr>
          <w:p>
            <w:pPr>
              <w:ind w:left="-57" w:right="-57"/>
              <w:jc w:val="center"/>
              <w:rPr>
                <w:noProof/>
                <w:color w:val="000000"/>
              </w:rPr>
            </w:pPr>
            <w:r>
              <w:rPr>
                <w:noProof/>
              </w:rPr>
              <w:t>6,0</w:t>
            </w:r>
          </w:p>
        </w:tc>
        <w:tc>
          <w:tcPr>
            <w:tcW w:w="262" w:type="pct"/>
          </w:tcPr>
          <w:p>
            <w:pPr>
              <w:jc w:val="center"/>
              <w:rPr>
                <w:noProof/>
                <w:color w:val="000000"/>
              </w:rPr>
            </w:pPr>
            <w:r>
              <w:rPr>
                <w:noProof/>
              </w:rPr>
              <w:t>5,0</w:t>
            </w:r>
          </w:p>
        </w:tc>
        <w:tc>
          <w:tcPr>
            <w:tcW w:w="262" w:type="pct"/>
          </w:tcPr>
          <w:p>
            <w:pPr>
              <w:jc w:val="center"/>
              <w:rPr>
                <w:noProof/>
                <w:color w:val="000000"/>
              </w:rPr>
            </w:pPr>
            <w:r>
              <w:rPr>
                <w:noProof/>
              </w:rPr>
              <w:t>4,0</w:t>
            </w:r>
          </w:p>
        </w:tc>
        <w:tc>
          <w:tcPr>
            <w:tcW w:w="262" w:type="pct"/>
          </w:tcPr>
          <w:p>
            <w:pPr>
              <w:jc w:val="center"/>
              <w:rPr>
                <w:noProof/>
                <w:color w:val="000000"/>
              </w:rPr>
            </w:pPr>
            <w:r>
              <w:rPr>
                <w:noProof/>
                <w:color w:val="000000"/>
              </w:rPr>
              <w:t>3</w:t>
            </w:r>
            <w:r>
              <w:rPr>
                <w:noProof/>
              </w:rPr>
              <w:t>,0</w:t>
            </w:r>
          </w:p>
        </w:tc>
        <w:tc>
          <w:tcPr>
            <w:tcW w:w="262" w:type="pct"/>
          </w:tcPr>
          <w:p>
            <w:pPr>
              <w:jc w:val="center"/>
              <w:rPr>
                <w:noProof/>
                <w:color w:val="000000"/>
              </w:rPr>
            </w:pPr>
            <w:r>
              <w:rPr>
                <w:noProof/>
                <w:color w:val="000000"/>
              </w:rPr>
              <w:t>2</w:t>
            </w:r>
            <w:r>
              <w:rPr>
                <w:noProof/>
              </w:rPr>
              <w:t>,0</w:t>
            </w:r>
          </w:p>
        </w:tc>
        <w:tc>
          <w:tcPr>
            <w:tcW w:w="296" w:type="pct"/>
          </w:tcPr>
          <w:p>
            <w:pPr>
              <w:jc w:val="center"/>
              <w:rPr>
                <w:noProof/>
              </w:rPr>
            </w:pPr>
            <w:r>
              <w:rPr>
                <w:noProof/>
              </w:rPr>
              <w:t>0,0</w:t>
            </w:r>
          </w:p>
        </w:tc>
        <w:tc>
          <w:tcPr>
            <w:tcW w:w="379" w:type="pct"/>
          </w:tcPr>
          <w:p>
            <w:pPr>
              <w:ind w:left="-57" w:right="-57"/>
              <w:jc w:val="center"/>
              <w:rPr>
                <w:noProof/>
              </w:rPr>
            </w:pPr>
          </w:p>
        </w:tc>
      </w:tr>
      <w:tr>
        <w:tc>
          <w:tcPr>
            <w:tcW w:w="524" w:type="pct"/>
            <w:tcBorders>
              <w:bottom w:val="single" w:sz="4" w:space="0" w:color="auto"/>
            </w:tcBorders>
          </w:tcPr>
          <w:p>
            <w:pPr>
              <w:pStyle w:val="NormalWeb"/>
              <w:spacing w:before="0" w:beforeAutospacing="0" w:after="0" w:afterAutospacing="0"/>
              <w:ind w:left="-85" w:right="-85"/>
              <w:rPr>
                <w:noProof/>
              </w:rPr>
            </w:pPr>
            <w:r>
              <w:rPr>
                <w:noProof/>
                <w:color w:val="000000"/>
              </w:rPr>
              <w:t>7415 39 00 00 </w:t>
            </w:r>
          </w:p>
        </w:tc>
        <w:tc>
          <w:tcPr>
            <w:tcW w:w="1184" w:type="pct"/>
            <w:tcBorders>
              <w:bottom w:val="single" w:sz="4" w:space="0" w:color="auto"/>
            </w:tcBorders>
          </w:tcPr>
          <w:p>
            <w:pPr>
              <w:pStyle w:val="NormalWeb"/>
              <w:spacing w:before="0" w:beforeAutospacing="0" w:after="0" w:afterAutospacing="0"/>
              <w:ind w:left="-57" w:right="-57"/>
              <w:rPr>
                <w:noProof/>
              </w:rPr>
            </w:pPr>
            <w:r>
              <w:rPr>
                <w:noProof/>
              </w:rPr>
              <w:t>alte produse din cupru cu fire (cu excepția șuruburilor, a șuruburilor pentru lemn, a altor șuruburi, a buloanelor și a piulițelor)</w:t>
            </w:r>
          </w:p>
        </w:tc>
        <w:tc>
          <w:tcPr>
            <w:tcW w:w="262" w:type="pct"/>
            <w:tcBorders>
              <w:bottom w:val="single" w:sz="4" w:space="0" w:color="auto"/>
            </w:tcBorders>
          </w:tcPr>
          <w:p>
            <w:pPr>
              <w:ind w:left="-57" w:right="-57"/>
              <w:jc w:val="center"/>
              <w:rPr>
                <w:noProof/>
                <w:color w:val="000000"/>
              </w:rPr>
            </w:pPr>
            <w:r>
              <w:rPr>
                <w:noProof/>
              </w:rPr>
              <w:t>13,64</w:t>
            </w:r>
          </w:p>
        </w:tc>
        <w:tc>
          <w:tcPr>
            <w:tcW w:w="262" w:type="pct"/>
            <w:tcBorders>
              <w:bottom w:val="single" w:sz="4" w:space="0" w:color="auto"/>
            </w:tcBorders>
          </w:tcPr>
          <w:p>
            <w:pPr>
              <w:ind w:left="-57" w:right="-57"/>
              <w:jc w:val="center"/>
              <w:rPr>
                <w:noProof/>
                <w:color w:val="000000"/>
              </w:rPr>
            </w:pPr>
            <w:r>
              <w:rPr>
                <w:noProof/>
              </w:rPr>
              <w:t>10,0</w:t>
            </w:r>
          </w:p>
        </w:tc>
        <w:tc>
          <w:tcPr>
            <w:tcW w:w="262" w:type="pct"/>
            <w:tcBorders>
              <w:bottom w:val="single" w:sz="4" w:space="0" w:color="auto"/>
            </w:tcBorders>
          </w:tcPr>
          <w:p>
            <w:pPr>
              <w:ind w:left="-57" w:right="-57"/>
              <w:jc w:val="center"/>
              <w:rPr>
                <w:noProof/>
                <w:color w:val="000000"/>
              </w:rPr>
            </w:pPr>
            <w:r>
              <w:rPr>
                <w:noProof/>
              </w:rPr>
              <w:t>9,0</w:t>
            </w:r>
          </w:p>
        </w:tc>
        <w:tc>
          <w:tcPr>
            <w:tcW w:w="262" w:type="pct"/>
            <w:tcBorders>
              <w:bottom w:val="single" w:sz="4" w:space="0" w:color="auto"/>
            </w:tcBorders>
          </w:tcPr>
          <w:p>
            <w:pPr>
              <w:ind w:left="-57" w:right="-57"/>
              <w:jc w:val="center"/>
              <w:rPr>
                <w:noProof/>
                <w:color w:val="000000"/>
              </w:rPr>
            </w:pPr>
            <w:r>
              <w:rPr>
                <w:noProof/>
              </w:rPr>
              <w:t>8,0</w:t>
            </w:r>
          </w:p>
        </w:tc>
        <w:tc>
          <w:tcPr>
            <w:tcW w:w="262" w:type="pct"/>
            <w:tcBorders>
              <w:bottom w:val="single" w:sz="4" w:space="0" w:color="auto"/>
            </w:tcBorders>
          </w:tcPr>
          <w:p>
            <w:pPr>
              <w:ind w:left="-57" w:right="-57"/>
              <w:jc w:val="center"/>
              <w:rPr>
                <w:noProof/>
                <w:color w:val="000000"/>
              </w:rPr>
            </w:pPr>
            <w:r>
              <w:rPr>
                <w:noProof/>
              </w:rPr>
              <w:t>7,0</w:t>
            </w:r>
          </w:p>
        </w:tc>
        <w:tc>
          <w:tcPr>
            <w:tcW w:w="262" w:type="pct"/>
            <w:tcBorders>
              <w:bottom w:val="single" w:sz="4" w:space="0" w:color="auto"/>
            </w:tcBorders>
          </w:tcPr>
          <w:p>
            <w:pPr>
              <w:ind w:left="-57" w:right="-57"/>
              <w:jc w:val="center"/>
              <w:rPr>
                <w:noProof/>
                <w:color w:val="000000"/>
              </w:rPr>
            </w:pPr>
            <w:r>
              <w:rPr>
                <w:noProof/>
              </w:rPr>
              <w:t>6,0</w:t>
            </w:r>
          </w:p>
        </w:tc>
        <w:tc>
          <w:tcPr>
            <w:tcW w:w="262" w:type="pct"/>
            <w:tcBorders>
              <w:bottom w:val="single" w:sz="4" w:space="0" w:color="auto"/>
            </w:tcBorders>
          </w:tcPr>
          <w:p>
            <w:pPr>
              <w:jc w:val="center"/>
              <w:rPr>
                <w:noProof/>
                <w:color w:val="000000"/>
              </w:rPr>
            </w:pPr>
            <w:r>
              <w:rPr>
                <w:noProof/>
              </w:rPr>
              <w:t>5,0</w:t>
            </w:r>
          </w:p>
        </w:tc>
        <w:tc>
          <w:tcPr>
            <w:tcW w:w="262" w:type="pct"/>
            <w:tcBorders>
              <w:bottom w:val="single" w:sz="4" w:space="0" w:color="auto"/>
            </w:tcBorders>
          </w:tcPr>
          <w:p>
            <w:pPr>
              <w:jc w:val="center"/>
              <w:rPr>
                <w:noProof/>
                <w:color w:val="000000"/>
              </w:rPr>
            </w:pPr>
            <w:r>
              <w:rPr>
                <w:noProof/>
              </w:rPr>
              <w:t>4,0</w:t>
            </w:r>
          </w:p>
        </w:tc>
        <w:tc>
          <w:tcPr>
            <w:tcW w:w="262" w:type="pct"/>
            <w:tcBorders>
              <w:bottom w:val="single" w:sz="4" w:space="0" w:color="auto"/>
            </w:tcBorders>
          </w:tcPr>
          <w:p>
            <w:pPr>
              <w:jc w:val="center"/>
              <w:rPr>
                <w:noProof/>
                <w:color w:val="000000"/>
              </w:rPr>
            </w:pPr>
            <w:r>
              <w:rPr>
                <w:noProof/>
                <w:color w:val="000000"/>
              </w:rPr>
              <w:t>3</w:t>
            </w:r>
            <w:r>
              <w:rPr>
                <w:noProof/>
              </w:rPr>
              <w:t>,0</w:t>
            </w:r>
          </w:p>
        </w:tc>
        <w:tc>
          <w:tcPr>
            <w:tcW w:w="262" w:type="pct"/>
            <w:tcBorders>
              <w:bottom w:val="single" w:sz="4" w:space="0" w:color="auto"/>
            </w:tcBorders>
          </w:tcPr>
          <w:p>
            <w:pPr>
              <w:jc w:val="center"/>
              <w:rPr>
                <w:noProof/>
                <w:color w:val="000000"/>
              </w:rPr>
            </w:pPr>
            <w:r>
              <w:rPr>
                <w:noProof/>
                <w:color w:val="000000"/>
              </w:rPr>
              <w:t>2</w:t>
            </w:r>
            <w:r>
              <w:rPr>
                <w:noProof/>
              </w:rPr>
              <w:t>,0</w:t>
            </w:r>
          </w:p>
        </w:tc>
        <w:tc>
          <w:tcPr>
            <w:tcW w:w="296" w:type="pct"/>
            <w:tcBorders>
              <w:bottom w:val="single" w:sz="4" w:space="0" w:color="auto"/>
            </w:tcBorders>
          </w:tcPr>
          <w:p>
            <w:pPr>
              <w:jc w:val="center"/>
              <w:rPr>
                <w:noProof/>
              </w:rPr>
            </w:pPr>
            <w:r>
              <w:rPr>
                <w:noProof/>
              </w:rPr>
              <w:t>0,0</w:t>
            </w:r>
          </w:p>
        </w:tc>
        <w:tc>
          <w:tcPr>
            <w:tcW w:w="379" w:type="pct"/>
            <w:tcBorders>
              <w:bottom w:val="single" w:sz="4" w:space="0" w:color="auto"/>
            </w:tcBorders>
          </w:tcPr>
          <w:p>
            <w:pPr>
              <w:ind w:left="-57" w:right="-57"/>
              <w:jc w:val="center"/>
              <w:rPr>
                <w:noProof/>
              </w:rPr>
            </w:pPr>
          </w:p>
        </w:tc>
      </w:tr>
      <w:tr>
        <w:tc>
          <w:tcPr>
            <w:tcW w:w="524" w:type="pct"/>
            <w:shd w:val="clear" w:color="auto" w:fill="auto"/>
          </w:tcPr>
          <w:p>
            <w:pPr>
              <w:pStyle w:val="NormalWeb"/>
              <w:spacing w:before="0" w:beforeAutospacing="0" w:after="0" w:afterAutospacing="0"/>
              <w:ind w:left="-85" w:right="-85"/>
              <w:rPr>
                <w:noProof/>
              </w:rPr>
            </w:pPr>
            <w:r>
              <w:rPr>
                <w:noProof/>
                <w:color w:val="000000"/>
              </w:rPr>
              <w:t>7418 19 90 00 </w:t>
            </w:r>
          </w:p>
        </w:tc>
        <w:tc>
          <w:tcPr>
            <w:tcW w:w="1184" w:type="pct"/>
            <w:shd w:val="clear" w:color="auto" w:fill="auto"/>
          </w:tcPr>
          <w:p>
            <w:pPr>
              <w:pStyle w:val="NormalWeb"/>
              <w:spacing w:before="0" w:beforeAutospacing="0" w:after="0" w:afterAutospacing="0"/>
              <w:ind w:left="-57" w:right="-57"/>
              <w:rPr>
                <w:noProof/>
              </w:rPr>
            </w:pPr>
            <w:r>
              <w:rPr>
                <w:noProof/>
              </w:rPr>
              <w:t>articole de uz casnic sau de uz gospodăresc, sanitare, de igienă sau de toaletă și părțile acestora, din cupru (cu excepția bureților din sârmă, spălătorilor de vase, mănușilor și articolelor similare pentru curățat, pentru lustruit sau pentru utilizări similare și a aparatelor neelectrice pentru gătit sau pentru încălzit, de tipul celor de uz gospodăresc și părțile acestora, din cupru)</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7419 </w:t>
            </w:r>
          </w:p>
        </w:tc>
        <w:tc>
          <w:tcPr>
            <w:tcW w:w="1184" w:type="pct"/>
            <w:shd w:val="clear" w:color="auto" w:fill="auto"/>
          </w:tcPr>
          <w:p>
            <w:pPr>
              <w:pStyle w:val="CM415"/>
              <w:spacing w:before="0" w:after="0"/>
              <w:ind w:left="-57" w:right="-57"/>
              <w:rPr>
                <w:rFonts w:ascii="Times New Roman" w:hAnsi="Times New Roman"/>
                <w:noProof/>
              </w:rPr>
            </w:pPr>
            <w:r>
              <w:rPr>
                <w:rFonts w:ascii="Times New Roman" w:hAnsi="Times New Roman"/>
                <w:noProof/>
              </w:rPr>
              <w:t xml:space="preserve">alte articole din cupru </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7503 00 </w:t>
            </w:r>
          </w:p>
        </w:tc>
        <w:tc>
          <w:tcPr>
            <w:tcW w:w="1184" w:type="pct"/>
            <w:shd w:val="clear" w:color="auto" w:fill="auto"/>
          </w:tcPr>
          <w:p>
            <w:pPr>
              <w:pStyle w:val="NormalWeb"/>
              <w:spacing w:before="0" w:beforeAutospacing="0" w:after="0" w:afterAutospacing="0"/>
              <w:ind w:left="-57" w:right="-57"/>
              <w:rPr>
                <w:noProof/>
              </w:rPr>
            </w:pPr>
            <w:r>
              <w:rPr>
                <w:noProof/>
              </w:rPr>
              <w:t>deșeuri și resturi de nichel</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tcBorders>
              <w:bottom w:val="single" w:sz="4" w:space="0" w:color="auto"/>
            </w:tcBorders>
            <w:shd w:val="clear" w:color="auto" w:fill="auto"/>
          </w:tcPr>
          <w:p>
            <w:pPr>
              <w:pStyle w:val="NormalWeb"/>
              <w:spacing w:before="0" w:beforeAutospacing="0" w:after="0" w:afterAutospacing="0"/>
              <w:ind w:left="-85" w:right="-85"/>
              <w:rPr>
                <w:noProof/>
              </w:rPr>
            </w:pPr>
            <w:r>
              <w:rPr>
                <w:noProof/>
                <w:color w:val="000000"/>
              </w:rPr>
              <w:t>7602 00 </w:t>
            </w:r>
          </w:p>
        </w:tc>
        <w:tc>
          <w:tcPr>
            <w:tcW w:w="1184" w:type="pct"/>
            <w:tcBorders>
              <w:bottom w:val="single" w:sz="4" w:space="0" w:color="auto"/>
            </w:tcBorders>
            <w:shd w:val="clear" w:color="auto" w:fill="auto"/>
          </w:tcPr>
          <w:p>
            <w:pPr>
              <w:pStyle w:val="NormalWeb"/>
              <w:spacing w:before="0" w:beforeAutospacing="0" w:after="0" w:afterAutospacing="0"/>
              <w:ind w:left="-57" w:right="-57"/>
              <w:rPr>
                <w:noProof/>
              </w:rPr>
            </w:pPr>
            <w:r>
              <w:rPr>
                <w:noProof/>
              </w:rPr>
              <w:t>deșeuri și resturi din aluminiu</w:t>
            </w:r>
          </w:p>
        </w:tc>
        <w:tc>
          <w:tcPr>
            <w:tcW w:w="262" w:type="pct"/>
            <w:tcBorders>
              <w:bottom w:val="single" w:sz="4" w:space="0" w:color="auto"/>
            </w:tcBorders>
            <w:shd w:val="clear" w:color="auto" w:fill="auto"/>
          </w:tcPr>
          <w:p>
            <w:pPr>
              <w:ind w:left="-57" w:right="-57"/>
              <w:jc w:val="center"/>
              <w:rPr>
                <w:noProof/>
                <w:color w:val="000000"/>
              </w:rPr>
            </w:pPr>
            <w:r>
              <w:rPr>
                <w:noProof/>
              </w:rPr>
              <w:t>10,0</w:t>
            </w:r>
          </w:p>
        </w:tc>
        <w:tc>
          <w:tcPr>
            <w:tcW w:w="262" w:type="pct"/>
            <w:tcBorders>
              <w:bottom w:val="single" w:sz="4" w:space="0" w:color="auto"/>
            </w:tcBorders>
            <w:shd w:val="clear" w:color="auto" w:fill="auto"/>
          </w:tcPr>
          <w:p>
            <w:pPr>
              <w:ind w:left="-57" w:right="-57"/>
              <w:jc w:val="center"/>
              <w:rPr>
                <w:noProof/>
                <w:color w:val="000000"/>
              </w:rPr>
            </w:pPr>
            <w:r>
              <w:rPr>
                <w:noProof/>
              </w:rPr>
              <w:t>9,0</w:t>
            </w:r>
          </w:p>
        </w:tc>
        <w:tc>
          <w:tcPr>
            <w:tcW w:w="262" w:type="pct"/>
            <w:tcBorders>
              <w:bottom w:val="single" w:sz="4" w:space="0" w:color="auto"/>
            </w:tcBorders>
            <w:shd w:val="clear" w:color="auto" w:fill="auto"/>
          </w:tcPr>
          <w:p>
            <w:pPr>
              <w:ind w:left="-57" w:right="-57"/>
              <w:jc w:val="center"/>
              <w:rPr>
                <w:noProof/>
                <w:color w:val="000000"/>
              </w:rPr>
            </w:pPr>
            <w:r>
              <w:rPr>
                <w:noProof/>
              </w:rPr>
              <w:t>8,0</w:t>
            </w:r>
          </w:p>
        </w:tc>
        <w:tc>
          <w:tcPr>
            <w:tcW w:w="262" w:type="pct"/>
            <w:tcBorders>
              <w:bottom w:val="single" w:sz="4" w:space="0" w:color="auto"/>
            </w:tcBorders>
            <w:shd w:val="clear" w:color="auto" w:fill="auto"/>
          </w:tcPr>
          <w:p>
            <w:pPr>
              <w:ind w:left="-57" w:right="-57"/>
              <w:jc w:val="center"/>
              <w:rPr>
                <w:noProof/>
                <w:color w:val="000000"/>
              </w:rPr>
            </w:pPr>
            <w:r>
              <w:rPr>
                <w:noProof/>
              </w:rPr>
              <w:t>7,0</w:t>
            </w:r>
          </w:p>
        </w:tc>
        <w:tc>
          <w:tcPr>
            <w:tcW w:w="262" w:type="pct"/>
            <w:tcBorders>
              <w:bottom w:val="single" w:sz="4" w:space="0" w:color="auto"/>
            </w:tcBorders>
            <w:shd w:val="clear" w:color="auto" w:fill="auto"/>
          </w:tcPr>
          <w:p>
            <w:pPr>
              <w:ind w:left="-57" w:right="-57"/>
              <w:jc w:val="center"/>
              <w:rPr>
                <w:noProof/>
                <w:color w:val="000000"/>
              </w:rPr>
            </w:pPr>
            <w:r>
              <w:rPr>
                <w:noProof/>
              </w:rPr>
              <w:t>6,0</w:t>
            </w:r>
          </w:p>
        </w:tc>
        <w:tc>
          <w:tcPr>
            <w:tcW w:w="262" w:type="pct"/>
            <w:tcBorders>
              <w:bottom w:val="single" w:sz="4" w:space="0" w:color="auto"/>
            </w:tcBorders>
            <w:shd w:val="clear" w:color="auto" w:fill="auto"/>
          </w:tcPr>
          <w:p>
            <w:pPr>
              <w:ind w:left="-57" w:right="-57"/>
              <w:jc w:val="center"/>
              <w:rPr>
                <w:noProof/>
                <w:color w:val="000000"/>
              </w:rPr>
            </w:pPr>
            <w:r>
              <w:rPr>
                <w:noProof/>
              </w:rPr>
              <w:t>5,0</w:t>
            </w:r>
          </w:p>
        </w:tc>
        <w:tc>
          <w:tcPr>
            <w:tcW w:w="262" w:type="pct"/>
            <w:tcBorders>
              <w:bottom w:val="single" w:sz="4" w:space="0" w:color="auto"/>
            </w:tcBorders>
            <w:shd w:val="clear" w:color="auto" w:fill="auto"/>
          </w:tcPr>
          <w:p>
            <w:pPr>
              <w:jc w:val="center"/>
              <w:rPr>
                <w:noProof/>
                <w:color w:val="000000"/>
              </w:rPr>
            </w:pPr>
            <w:r>
              <w:rPr>
                <w:noProof/>
              </w:rPr>
              <w:t>4,0</w:t>
            </w:r>
          </w:p>
        </w:tc>
        <w:tc>
          <w:tcPr>
            <w:tcW w:w="262" w:type="pct"/>
            <w:tcBorders>
              <w:bottom w:val="single" w:sz="4" w:space="0" w:color="auto"/>
            </w:tcBorders>
            <w:shd w:val="clear" w:color="auto" w:fill="auto"/>
          </w:tcPr>
          <w:p>
            <w:pPr>
              <w:jc w:val="center"/>
              <w:rPr>
                <w:noProof/>
                <w:color w:val="000000"/>
              </w:rPr>
            </w:pPr>
            <w:r>
              <w:rPr>
                <w:noProof/>
              </w:rPr>
              <w:t>3,0</w:t>
            </w:r>
          </w:p>
        </w:tc>
        <w:tc>
          <w:tcPr>
            <w:tcW w:w="262" w:type="pct"/>
            <w:tcBorders>
              <w:bottom w:val="single" w:sz="4" w:space="0" w:color="auto"/>
            </w:tcBorders>
            <w:shd w:val="clear" w:color="auto" w:fill="auto"/>
          </w:tcPr>
          <w:p>
            <w:pPr>
              <w:jc w:val="center"/>
              <w:rPr>
                <w:noProof/>
                <w:color w:val="000000"/>
              </w:rPr>
            </w:pPr>
            <w:r>
              <w:rPr>
                <w:noProof/>
                <w:color w:val="000000"/>
              </w:rPr>
              <w:t>2</w:t>
            </w:r>
            <w:r>
              <w:rPr>
                <w:noProof/>
              </w:rPr>
              <w:t>,0</w:t>
            </w:r>
          </w:p>
        </w:tc>
        <w:tc>
          <w:tcPr>
            <w:tcW w:w="262" w:type="pct"/>
            <w:tcBorders>
              <w:bottom w:val="single" w:sz="4" w:space="0" w:color="auto"/>
            </w:tcBorders>
            <w:shd w:val="clear" w:color="auto" w:fill="auto"/>
          </w:tcPr>
          <w:p>
            <w:pPr>
              <w:jc w:val="center"/>
              <w:rPr>
                <w:noProof/>
                <w:color w:val="000000"/>
              </w:rPr>
            </w:pPr>
            <w:r>
              <w:rPr>
                <w:noProof/>
                <w:color w:val="000000"/>
              </w:rPr>
              <w:t>1</w:t>
            </w:r>
            <w:r>
              <w:rPr>
                <w:noProof/>
              </w:rPr>
              <w:t>,0</w:t>
            </w:r>
          </w:p>
        </w:tc>
        <w:tc>
          <w:tcPr>
            <w:tcW w:w="296" w:type="pct"/>
            <w:tcBorders>
              <w:bottom w:val="single" w:sz="4" w:space="0" w:color="auto"/>
            </w:tcBorders>
            <w:shd w:val="clear" w:color="auto" w:fill="auto"/>
          </w:tcPr>
          <w:p>
            <w:pPr>
              <w:jc w:val="center"/>
              <w:rPr>
                <w:noProof/>
              </w:rPr>
            </w:pPr>
            <w:r>
              <w:rPr>
                <w:noProof/>
              </w:rPr>
              <w:t>0,0</w:t>
            </w:r>
          </w:p>
        </w:tc>
        <w:tc>
          <w:tcPr>
            <w:tcW w:w="379" w:type="pct"/>
            <w:tcBorders>
              <w:bottom w:val="single" w:sz="4" w:space="0" w:color="auto"/>
            </w:tcBorders>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7802 00 00 00 </w:t>
            </w:r>
          </w:p>
        </w:tc>
        <w:tc>
          <w:tcPr>
            <w:tcW w:w="1184" w:type="pct"/>
            <w:shd w:val="clear" w:color="auto" w:fill="auto"/>
          </w:tcPr>
          <w:p>
            <w:pPr>
              <w:pStyle w:val="NormalWeb"/>
              <w:spacing w:before="0" w:beforeAutospacing="0" w:after="0" w:afterAutospacing="0"/>
              <w:ind w:left="-57" w:right="-57"/>
              <w:rPr>
                <w:noProof/>
              </w:rPr>
            </w:pPr>
            <w:r>
              <w:rPr>
                <w:noProof/>
              </w:rPr>
              <w:t>deșeuri și resturi de plumb</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shd w:val="clear" w:color="auto" w:fill="auto"/>
          </w:tcPr>
          <w:p>
            <w:pPr>
              <w:pStyle w:val="NormalWeb"/>
              <w:spacing w:before="0" w:beforeAutospacing="0" w:after="0" w:afterAutospacing="0"/>
              <w:ind w:left="-85" w:right="-85"/>
              <w:rPr>
                <w:noProof/>
              </w:rPr>
            </w:pPr>
            <w:r>
              <w:rPr>
                <w:noProof/>
                <w:color w:val="000000"/>
              </w:rPr>
              <w:t>7902 00 00 00 </w:t>
            </w:r>
          </w:p>
        </w:tc>
        <w:tc>
          <w:tcPr>
            <w:tcW w:w="1184" w:type="pct"/>
            <w:shd w:val="clear" w:color="auto" w:fill="auto"/>
          </w:tcPr>
          <w:p>
            <w:pPr>
              <w:pStyle w:val="NormalWeb"/>
              <w:spacing w:before="0" w:beforeAutospacing="0" w:after="0" w:afterAutospacing="0"/>
              <w:ind w:left="-57" w:right="-57"/>
              <w:rPr>
                <w:noProof/>
              </w:rPr>
            </w:pPr>
            <w:r>
              <w:rPr>
                <w:noProof/>
              </w:rPr>
              <w:t>deșeuri și resturi din zinc</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tcPr>
          <w:p>
            <w:pPr>
              <w:pStyle w:val="NormalWeb"/>
              <w:spacing w:before="0" w:beforeAutospacing="0" w:after="0" w:afterAutospacing="0"/>
              <w:ind w:left="-85" w:right="-85"/>
              <w:rPr>
                <w:noProof/>
              </w:rPr>
            </w:pPr>
            <w:r>
              <w:rPr>
                <w:noProof/>
                <w:color w:val="000000"/>
              </w:rPr>
              <w:t>8002 00 00 00 </w:t>
            </w:r>
          </w:p>
        </w:tc>
        <w:tc>
          <w:tcPr>
            <w:tcW w:w="1184" w:type="pct"/>
          </w:tcPr>
          <w:p>
            <w:pPr>
              <w:pStyle w:val="NormalWeb"/>
              <w:spacing w:before="0" w:beforeAutospacing="0" w:after="0" w:afterAutospacing="0"/>
              <w:ind w:left="-57" w:right="-57"/>
              <w:rPr>
                <w:noProof/>
              </w:rPr>
            </w:pPr>
            <w:r>
              <w:rPr>
                <w:noProof/>
              </w:rPr>
              <w:t>deșeuri și resturi de staniu</w:t>
            </w:r>
          </w:p>
        </w:tc>
        <w:tc>
          <w:tcPr>
            <w:tcW w:w="262" w:type="pct"/>
          </w:tcPr>
          <w:p>
            <w:pPr>
              <w:ind w:left="-57" w:right="-57"/>
              <w:jc w:val="center"/>
              <w:rPr>
                <w:noProof/>
                <w:color w:val="000000"/>
              </w:rPr>
            </w:pPr>
            <w:r>
              <w:rPr>
                <w:noProof/>
              </w:rPr>
              <w:t>13,64</w:t>
            </w:r>
          </w:p>
        </w:tc>
        <w:tc>
          <w:tcPr>
            <w:tcW w:w="262" w:type="pct"/>
          </w:tcPr>
          <w:p>
            <w:pPr>
              <w:ind w:left="-57" w:right="-57"/>
              <w:jc w:val="center"/>
              <w:rPr>
                <w:noProof/>
                <w:color w:val="000000"/>
              </w:rPr>
            </w:pPr>
            <w:r>
              <w:rPr>
                <w:noProof/>
              </w:rPr>
              <w:t>10,0</w:t>
            </w:r>
          </w:p>
        </w:tc>
        <w:tc>
          <w:tcPr>
            <w:tcW w:w="262" w:type="pct"/>
          </w:tcPr>
          <w:p>
            <w:pPr>
              <w:ind w:left="-57" w:right="-57"/>
              <w:jc w:val="center"/>
              <w:rPr>
                <w:noProof/>
                <w:color w:val="000000"/>
              </w:rPr>
            </w:pPr>
            <w:r>
              <w:rPr>
                <w:noProof/>
              </w:rPr>
              <w:t>9,0</w:t>
            </w:r>
          </w:p>
        </w:tc>
        <w:tc>
          <w:tcPr>
            <w:tcW w:w="262" w:type="pct"/>
          </w:tcPr>
          <w:p>
            <w:pPr>
              <w:ind w:left="-57" w:right="-57"/>
              <w:jc w:val="center"/>
              <w:rPr>
                <w:noProof/>
                <w:color w:val="000000"/>
              </w:rPr>
            </w:pPr>
            <w:r>
              <w:rPr>
                <w:noProof/>
              </w:rPr>
              <w:t>8,0</w:t>
            </w:r>
          </w:p>
        </w:tc>
        <w:tc>
          <w:tcPr>
            <w:tcW w:w="262" w:type="pct"/>
          </w:tcPr>
          <w:p>
            <w:pPr>
              <w:ind w:left="-57" w:right="-57"/>
              <w:jc w:val="center"/>
              <w:rPr>
                <w:noProof/>
                <w:color w:val="000000"/>
              </w:rPr>
            </w:pPr>
            <w:r>
              <w:rPr>
                <w:noProof/>
              </w:rPr>
              <w:t>7,0</w:t>
            </w:r>
          </w:p>
        </w:tc>
        <w:tc>
          <w:tcPr>
            <w:tcW w:w="262" w:type="pct"/>
          </w:tcPr>
          <w:p>
            <w:pPr>
              <w:ind w:left="-57" w:right="-57"/>
              <w:jc w:val="center"/>
              <w:rPr>
                <w:noProof/>
                <w:color w:val="000000"/>
              </w:rPr>
            </w:pPr>
            <w:r>
              <w:rPr>
                <w:noProof/>
              </w:rPr>
              <w:t>6,0</w:t>
            </w:r>
          </w:p>
        </w:tc>
        <w:tc>
          <w:tcPr>
            <w:tcW w:w="262" w:type="pct"/>
          </w:tcPr>
          <w:p>
            <w:pPr>
              <w:jc w:val="center"/>
              <w:rPr>
                <w:noProof/>
                <w:color w:val="000000"/>
              </w:rPr>
            </w:pPr>
            <w:r>
              <w:rPr>
                <w:noProof/>
              </w:rPr>
              <w:t>5,0</w:t>
            </w:r>
          </w:p>
        </w:tc>
        <w:tc>
          <w:tcPr>
            <w:tcW w:w="262" w:type="pct"/>
          </w:tcPr>
          <w:p>
            <w:pPr>
              <w:jc w:val="center"/>
              <w:rPr>
                <w:noProof/>
                <w:color w:val="000000"/>
              </w:rPr>
            </w:pPr>
            <w:r>
              <w:rPr>
                <w:noProof/>
              </w:rPr>
              <w:t>4,0</w:t>
            </w:r>
          </w:p>
        </w:tc>
        <w:tc>
          <w:tcPr>
            <w:tcW w:w="262" w:type="pct"/>
          </w:tcPr>
          <w:p>
            <w:pPr>
              <w:jc w:val="center"/>
              <w:rPr>
                <w:noProof/>
                <w:color w:val="000000"/>
              </w:rPr>
            </w:pPr>
            <w:r>
              <w:rPr>
                <w:noProof/>
                <w:color w:val="000000"/>
              </w:rPr>
              <w:t>3</w:t>
            </w:r>
            <w:r>
              <w:rPr>
                <w:noProof/>
              </w:rPr>
              <w:t>,0</w:t>
            </w:r>
          </w:p>
        </w:tc>
        <w:tc>
          <w:tcPr>
            <w:tcW w:w="262" w:type="pct"/>
          </w:tcPr>
          <w:p>
            <w:pPr>
              <w:jc w:val="center"/>
              <w:rPr>
                <w:noProof/>
                <w:color w:val="000000"/>
              </w:rPr>
            </w:pPr>
            <w:r>
              <w:rPr>
                <w:noProof/>
                <w:color w:val="000000"/>
              </w:rPr>
              <w:t>2</w:t>
            </w:r>
            <w:r>
              <w:rPr>
                <w:noProof/>
              </w:rPr>
              <w:t>,0</w:t>
            </w:r>
          </w:p>
        </w:tc>
        <w:tc>
          <w:tcPr>
            <w:tcW w:w="296" w:type="pct"/>
          </w:tcPr>
          <w:p>
            <w:pPr>
              <w:jc w:val="center"/>
              <w:rPr>
                <w:noProof/>
              </w:rPr>
            </w:pPr>
            <w:r>
              <w:rPr>
                <w:noProof/>
              </w:rPr>
              <w:t>0,0</w:t>
            </w:r>
          </w:p>
        </w:tc>
        <w:tc>
          <w:tcPr>
            <w:tcW w:w="379" w:type="pct"/>
          </w:tcPr>
          <w:p>
            <w:pPr>
              <w:ind w:left="-57" w:right="-57"/>
              <w:jc w:val="right"/>
              <w:rPr>
                <w:noProof/>
              </w:rPr>
            </w:pPr>
          </w:p>
        </w:tc>
      </w:tr>
      <w:tr>
        <w:tc>
          <w:tcPr>
            <w:tcW w:w="524" w:type="pct"/>
          </w:tcPr>
          <w:p>
            <w:pPr>
              <w:pStyle w:val="NormalWeb"/>
              <w:spacing w:before="0" w:beforeAutospacing="0" w:after="0" w:afterAutospacing="0"/>
              <w:ind w:left="-85" w:right="-85"/>
              <w:rPr>
                <w:noProof/>
              </w:rPr>
            </w:pPr>
            <w:r>
              <w:rPr>
                <w:noProof/>
              </w:rPr>
              <w:t>8101 97 00 00 </w:t>
            </w:r>
          </w:p>
        </w:tc>
        <w:tc>
          <w:tcPr>
            <w:tcW w:w="1184" w:type="pct"/>
          </w:tcPr>
          <w:p>
            <w:pPr>
              <w:pStyle w:val="NormalWeb"/>
              <w:spacing w:before="0" w:beforeAutospacing="0" w:after="0" w:afterAutospacing="0"/>
              <w:ind w:left="-57" w:right="-57"/>
              <w:rPr>
                <w:noProof/>
              </w:rPr>
            </w:pPr>
            <w:r>
              <w:rPr>
                <w:noProof/>
              </w:rPr>
              <w:t>deșeuri și resturi de tungsten</w:t>
            </w:r>
          </w:p>
        </w:tc>
        <w:tc>
          <w:tcPr>
            <w:tcW w:w="262" w:type="pct"/>
          </w:tcPr>
          <w:p>
            <w:pPr>
              <w:ind w:left="-57" w:right="-57"/>
              <w:jc w:val="center"/>
              <w:rPr>
                <w:noProof/>
                <w:color w:val="000000"/>
              </w:rPr>
            </w:pPr>
            <w:r>
              <w:rPr>
                <w:noProof/>
              </w:rPr>
              <w:t>13,64</w:t>
            </w:r>
          </w:p>
        </w:tc>
        <w:tc>
          <w:tcPr>
            <w:tcW w:w="262" w:type="pct"/>
          </w:tcPr>
          <w:p>
            <w:pPr>
              <w:ind w:left="-57" w:right="-57"/>
              <w:jc w:val="center"/>
              <w:rPr>
                <w:noProof/>
                <w:color w:val="000000"/>
              </w:rPr>
            </w:pPr>
            <w:r>
              <w:rPr>
                <w:noProof/>
              </w:rPr>
              <w:t>10,0</w:t>
            </w:r>
          </w:p>
        </w:tc>
        <w:tc>
          <w:tcPr>
            <w:tcW w:w="262" w:type="pct"/>
          </w:tcPr>
          <w:p>
            <w:pPr>
              <w:ind w:left="-57" w:right="-57"/>
              <w:jc w:val="center"/>
              <w:rPr>
                <w:noProof/>
                <w:color w:val="000000"/>
              </w:rPr>
            </w:pPr>
            <w:r>
              <w:rPr>
                <w:noProof/>
              </w:rPr>
              <w:t>9,0</w:t>
            </w:r>
          </w:p>
        </w:tc>
        <w:tc>
          <w:tcPr>
            <w:tcW w:w="262" w:type="pct"/>
          </w:tcPr>
          <w:p>
            <w:pPr>
              <w:ind w:left="-57" w:right="-57"/>
              <w:jc w:val="center"/>
              <w:rPr>
                <w:noProof/>
                <w:color w:val="000000"/>
              </w:rPr>
            </w:pPr>
            <w:r>
              <w:rPr>
                <w:noProof/>
              </w:rPr>
              <w:t>8,0</w:t>
            </w:r>
          </w:p>
        </w:tc>
        <w:tc>
          <w:tcPr>
            <w:tcW w:w="262" w:type="pct"/>
          </w:tcPr>
          <w:p>
            <w:pPr>
              <w:ind w:left="-57" w:right="-57"/>
              <w:jc w:val="center"/>
              <w:rPr>
                <w:noProof/>
                <w:color w:val="000000"/>
              </w:rPr>
            </w:pPr>
            <w:r>
              <w:rPr>
                <w:noProof/>
              </w:rPr>
              <w:t>7,0</w:t>
            </w:r>
          </w:p>
        </w:tc>
        <w:tc>
          <w:tcPr>
            <w:tcW w:w="262" w:type="pct"/>
          </w:tcPr>
          <w:p>
            <w:pPr>
              <w:ind w:left="-57" w:right="-57"/>
              <w:jc w:val="center"/>
              <w:rPr>
                <w:noProof/>
                <w:color w:val="000000"/>
              </w:rPr>
            </w:pPr>
            <w:r>
              <w:rPr>
                <w:noProof/>
              </w:rPr>
              <w:t>6,0</w:t>
            </w:r>
          </w:p>
        </w:tc>
        <w:tc>
          <w:tcPr>
            <w:tcW w:w="262" w:type="pct"/>
          </w:tcPr>
          <w:p>
            <w:pPr>
              <w:jc w:val="center"/>
              <w:rPr>
                <w:noProof/>
                <w:color w:val="000000"/>
              </w:rPr>
            </w:pPr>
            <w:r>
              <w:rPr>
                <w:noProof/>
              </w:rPr>
              <w:t>5,0</w:t>
            </w:r>
          </w:p>
        </w:tc>
        <w:tc>
          <w:tcPr>
            <w:tcW w:w="262" w:type="pct"/>
          </w:tcPr>
          <w:p>
            <w:pPr>
              <w:jc w:val="center"/>
              <w:rPr>
                <w:noProof/>
                <w:color w:val="000000"/>
              </w:rPr>
            </w:pPr>
            <w:r>
              <w:rPr>
                <w:noProof/>
              </w:rPr>
              <w:t>4,0</w:t>
            </w:r>
          </w:p>
        </w:tc>
        <w:tc>
          <w:tcPr>
            <w:tcW w:w="262" w:type="pct"/>
          </w:tcPr>
          <w:p>
            <w:pPr>
              <w:jc w:val="center"/>
              <w:rPr>
                <w:noProof/>
                <w:color w:val="000000"/>
              </w:rPr>
            </w:pPr>
            <w:r>
              <w:rPr>
                <w:noProof/>
                <w:color w:val="000000"/>
              </w:rPr>
              <w:t>3</w:t>
            </w:r>
            <w:r>
              <w:rPr>
                <w:noProof/>
              </w:rPr>
              <w:t>,0</w:t>
            </w:r>
          </w:p>
        </w:tc>
        <w:tc>
          <w:tcPr>
            <w:tcW w:w="262" w:type="pct"/>
          </w:tcPr>
          <w:p>
            <w:pPr>
              <w:jc w:val="center"/>
              <w:rPr>
                <w:noProof/>
                <w:color w:val="000000"/>
              </w:rPr>
            </w:pPr>
            <w:r>
              <w:rPr>
                <w:noProof/>
                <w:color w:val="000000"/>
              </w:rPr>
              <w:t>2</w:t>
            </w:r>
            <w:r>
              <w:rPr>
                <w:noProof/>
              </w:rPr>
              <w:t>,0</w:t>
            </w:r>
          </w:p>
        </w:tc>
        <w:tc>
          <w:tcPr>
            <w:tcW w:w="296" w:type="pct"/>
          </w:tcPr>
          <w:p>
            <w:pPr>
              <w:jc w:val="center"/>
              <w:rPr>
                <w:noProof/>
              </w:rPr>
            </w:pPr>
            <w:r>
              <w:rPr>
                <w:noProof/>
              </w:rPr>
              <w:t>0,0</w:t>
            </w:r>
          </w:p>
        </w:tc>
        <w:tc>
          <w:tcPr>
            <w:tcW w:w="379" w:type="pct"/>
          </w:tcPr>
          <w:p>
            <w:pPr>
              <w:ind w:left="-57" w:right="-57"/>
              <w:jc w:val="right"/>
              <w:rPr>
                <w:noProof/>
              </w:rPr>
            </w:pPr>
          </w:p>
        </w:tc>
      </w:tr>
      <w:tr>
        <w:tc>
          <w:tcPr>
            <w:tcW w:w="524" w:type="pct"/>
            <w:tcBorders>
              <w:bottom w:val="single" w:sz="4" w:space="0" w:color="auto"/>
            </w:tcBorders>
          </w:tcPr>
          <w:p>
            <w:pPr>
              <w:pStyle w:val="NormalWeb"/>
              <w:spacing w:before="0" w:beforeAutospacing="0" w:after="0" w:afterAutospacing="0"/>
              <w:ind w:left="-85" w:right="-85"/>
              <w:rPr>
                <w:noProof/>
              </w:rPr>
            </w:pPr>
            <w:r>
              <w:rPr>
                <w:noProof/>
              </w:rPr>
              <w:t>8105 30 00 00</w:t>
            </w:r>
          </w:p>
        </w:tc>
        <w:tc>
          <w:tcPr>
            <w:tcW w:w="1184" w:type="pct"/>
            <w:tcBorders>
              <w:bottom w:val="single" w:sz="4" w:space="0" w:color="auto"/>
            </w:tcBorders>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rPr>
                <w:noProof/>
              </w:rPr>
            </w:pPr>
            <w:r>
              <w:rPr>
                <w:noProof/>
              </w:rPr>
              <w:t>deșeuri și resturi de cobalt și de articole din cobalt</w:t>
            </w:r>
          </w:p>
        </w:tc>
        <w:tc>
          <w:tcPr>
            <w:tcW w:w="262" w:type="pct"/>
            <w:tcBorders>
              <w:bottom w:val="single" w:sz="4" w:space="0" w:color="auto"/>
            </w:tcBorders>
          </w:tcPr>
          <w:p>
            <w:pPr>
              <w:ind w:left="-57" w:right="-57"/>
              <w:jc w:val="center"/>
              <w:rPr>
                <w:noProof/>
                <w:color w:val="000000"/>
              </w:rPr>
            </w:pPr>
            <w:r>
              <w:rPr>
                <w:noProof/>
              </w:rPr>
              <w:t>13,64</w:t>
            </w:r>
          </w:p>
        </w:tc>
        <w:tc>
          <w:tcPr>
            <w:tcW w:w="262" w:type="pct"/>
            <w:tcBorders>
              <w:bottom w:val="single" w:sz="4" w:space="0" w:color="auto"/>
            </w:tcBorders>
          </w:tcPr>
          <w:p>
            <w:pPr>
              <w:ind w:left="-57" w:right="-57"/>
              <w:jc w:val="center"/>
              <w:rPr>
                <w:noProof/>
                <w:color w:val="000000"/>
              </w:rPr>
            </w:pPr>
            <w:r>
              <w:rPr>
                <w:noProof/>
              </w:rPr>
              <w:t>10,0</w:t>
            </w:r>
          </w:p>
        </w:tc>
        <w:tc>
          <w:tcPr>
            <w:tcW w:w="262" w:type="pct"/>
            <w:tcBorders>
              <w:bottom w:val="single" w:sz="4" w:space="0" w:color="auto"/>
            </w:tcBorders>
          </w:tcPr>
          <w:p>
            <w:pPr>
              <w:ind w:left="-57" w:right="-57"/>
              <w:jc w:val="center"/>
              <w:rPr>
                <w:noProof/>
                <w:color w:val="000000"/>
              </w:rPr>
            </w:pPr>
            <w:r>
              <w:rPr>
                <w:noProof/>
              </w:rPr>
              <w:t>9,0</w:t>
            </w:r>
          </w:p>
        </w:tc>
        <w:tc>
          <w:tcPr>
            <w:tcW w:w="262" w:type="pct"/>
            <w:tcBorders>
              <w:bottom w:val="single" w:sz="4" w:space="0" w:color="auto"/>
            </w:tcBorders>
          </w:tcPr>
          <w:p>
            <w:pPr>
              <w:ind w:left="-57" w:right="-57"/>
              <w:jc w:val="center"/>
              <w:rPr>
                <w:noProof/>
                <w:color w:val="000000"/>
              </w:rPr>
            </w:pPr>
            <w:r>
              <w:rPr>
                <w:noProof/>
              </w:rPr>
              <w:t>8,0</w:t>
            </w:r>
          </w:p>
        </w:tc>
        <w:tc>
          <w:tcPr>
            <w:tcW w:w="262" w:type="pct"/>
            <w:tcBorders>
              <w:bottom w:val="single" w:sz="4" w:space="0" w:color="auto"/>
            </w:tcBorders>
          </w:tcPr>
          <w:p>
            <w:pPr>
              <w:ind w:left="-57" w:right="-57"/>
              <w:jc w:val="center"/>
              <w:rPr>
                <w:noProof/>
                <w:color w:val="000000"/>
              </w:rPr>
            </w:pPr>
            <w:r>
              <w:rPr>
                <w:noProof/>
              </w:rPr>
              <w:t>7,0</w:t>
            </w:r>
          </w:p>
        </w:tc>
        <w:tc>
          <w:tcPr>
            <w:tcW w:w="262" w:type="pct"/>
            <w:tcBorders>
              <w:bottom w:val="single" w:sz="4" w:space="0" w:color="auto"/>
            </w:tcBorders>
          </w:tcPr>
          <w:p>
            <w:pPr>
              <w:ind w:left="-57" w:right="-57"/>
              <w:jc w:val="center"/>
              <w:rPr>
                <w:noProof/>
                <w:color w:val="000000"/>
              </w:rPr>
            </w:pPr>
            <w:r>
              <w:rPr>
                <w:noProof/>
              </w:rPr>
              <w:t>6,0</w:t>
            </w:r>
          </w:p>
        </w:tc>
        <w:tc>
          <w:tcPr>
            <w:tcW w:w="262" w:type="pct"/>
            <w:tcBorders>
              <w:bottom w:val="single" w:sz="4" w:space="0" w:color="auto"/>
            </w:tcBorders>
          </w:tcPr>
          <w:p>
            <w:pPr>
              <w:jc w:val="center"/>
              <w:rPr>
                <w:noProof/>
                <w:color w:val="000000"/>
              </w:rPr>
            </w:pPr>
            <w:r>
              <w:rPr>
                <w:noProof/>
              </w:rPr>
              <w:t>5,0</w:t>
            </w:r>
          </w:p>
        </w:tc>
        <w:tc>
          <w:tcPr>
            <w:tcW w:w="262" w:type="pct"/>
            <w:tcBorders>
              <w:bottom w:val="single" w:sz="4" w:space="0" w:color="auto"/>
            </w:tcBorders>
          </w:tcPr>
          <w:p>
            <w:pPr>
              <w:jc w:val="center"/>
              <w:rPr>
                <w:noProof/>
                <w:color w:val="000000"/>
              </w:rPr>
            </w:pPr>
            <w:r>
              <w:rPr>
                <w:noProof/>
              </w:rPr>
              <w:t>4,0</w:t>
            </w:r>
          </w:p>
        </w:tc>
        <w:tc>
          <w:tcPr>
            <w:tcW w:w="262" w:type="pct"/>
            <w:tcBorders>
              <w:bottom w:val="single" w:sz="4" w:space="0" w:color="auto"/>
            </w:tcBorders>
          </w:tcPr>
          <w:p>
            <w:pPr>
              <w:jc w:val="center"/>
              <w:rPr>
                <w:noProof/>
                <w:color w:val="000000"/>
              </w:rPr>
            </w:pPr>
            <w:r>
              <w:rPr>
                <w:noProof/>
                <w:color w:val="000000"/>
              </w:rPr>
              <w:t>3</w:t>
            </w:r>
            <w:r>
              <w:rPr>
                <w:noProof/>
              </w:rPr>
              <w:t>,0</w:t>
            </w:r>
          </w:p>
        </w:tc>
        <w:tc>
          <w:tcPr>
            <w:tcW w:w="262" w:type="pct"/>
            <w:tcBorders>
              <w:bottom w:val="single" w:sz="4" w:space="0" w:color="auto"/>
            </w:tcBorders>
          </w:tcPr>
          <w:p>
            <w:pPr>
              <w:jc w:val="center"/>
              <w:rPr>
                <w:noProof/>
                <w:color w:val="000000"/>
              </w:rPr>
            </w:pPr>
            <w:r>
              <w:rPr>
                <w:noProof/>
                <w:color w:val="000000"/>
              </w:rPr>
              <w:t>2</w:t>
            </w:r>
            <w:r>
              <w:rPr>
                <w:noProof/>
              </w:rPr>
              <w:t>,0</w:t>
            </w:r>
          </w:p>
        </w:tc>
        <w:tc>
          <w:tcPr>
            <w:tcW w:w="296" w:type="pct"/>
            <w:tcBorders>
              <w:bottom w:val="single" w:sz="4" w:space="0" w:color="auto"/>
            </w:tcBorders>
          </w:tcPr>
          <w:p>
            <w:pPr>
              <w:jc w:val="center"/>
              <w:rPr>
                <w:noProof/>
              </w:rPr>
            </w:pPr>
            <w:r>
              <w:rPr>
                <w:noProof/>
              </w:rPr>
              <w:t>0,0</w:t>
            </w:r>
          </w:p>
        </w:tc>
        <w:tc>
          <w:tcPr>
            <w:tcW w:w="379" w:type="pct"/>
            <w:tcBorders>
              <w:bottom w:val="single" w:sz="4" w:space="0" w:color="auto"/>
            </w:tcBorders>
          </w:tcPr>
          <w:p>
            <w:pPr>
              <w:ind w:left="-57" w:right="-57"/>
              <w:jc w:val="right"/>
              <w:rPr>
                <w:noProof/>
              </w:rPr>
            </w:pPr>
          </w:p>
        </w:tc>
      </w:tr>
      <w:tr>
        <w:tc>
          <w:tcPr>
            <w:tcW w:w="524" w:type="pct"/>
            <w:shd w:val="clear" w:color="auto" w:fill="auto"/>
          </w:tcPr>
          <w:p>
            <w:pPr>
              <w:pStyle w:val="NormalWeb"/>
              <w:spacing w:before="0" w:beforeAutospacing="0" w:after="0" w:afterAutospacing="0"/>
              <w:ind w:left="-85" w:right="-85"/>
              <w:rPr>
                <w:noProof/>
              </w:rPr>
            </w:pPr>
            <w:r>
              <w:rPr>
                <w:noProof/>
              </w:rPr>
              <w:t>8108 30 00 00 </w:t>
            </w:r>
          </w:p>
        </w:tc>
        <w:tc>
          <w:tcPr>
            <w:tcW w:w="1184" w:type="pct"/>
            <w:shd w:val="clear" w:color="auto" w:fill="auto"/>
          </w:tcPr>
          <w:p>
            <w:pPr>
              <w:pStyle w:val="NormalWeb"/>
              <w:spacing w:before="0" w:beforeAutospacing="0" w:after="0" w:afterAutospacing="0"/>
              <w:ind w:left="-57" w:right="-57"/>
              <w:rPr>
                <w:noProof/>
              </w:rPr>
            </w:pPr>
            <w:r>
              <w:rPr>
                <w:noProof/>
              </w:rPr>
              <w:t>deșeuri și resturi de titan și de articole din titan</w:t>
            </w:r>
          </w:p>
        </w:tc>
        <w:tc>
          <w:tcPr>
            <w:tcW w:w="262" w:type="pct"/>
            <w:shd w:val="clear" w:color="auto" w:fill="auto"/>
          </w:tcPr>
          <w:p>
            <w:pPr>
              <w:ind w:left="-57" w:right="-57"/>
              <w:jc w:val="center"/>
              <w:rPr>
                <w:noProof/>
                <w:color w:val="000000"/>
              </w:rPr>
            </w:pPr>
            <w:r>
              <w:rPr>
                <w:noProof/>
              </w:rPr>
              <w:t>10,0</w:t>
            </w:r>
          </w:p>
        </w:tc>
        <w:tc>
          <w:tcPr>
            <w:tcW w:w="262" w:type="pct"/>
            <w:shd w:val="clear" w:color="auto" w:fill="auto"/>
          </w:tcPr>
          <w:p>
            <w:pPr>
              <w:ind w:left="-57" w:right="-57"/>
              <w:jc w:val="center"/>
              <w:rPr>
                <w:noProof/>
                <w:color w:val="000000"/>
              </w:rPr>
            </w:pPr>
            <w:r>
              <w:rPr>
                <w:noProof/>
              </w:rPr>
              <w:t>9,0</w:t>
            </w:r>
          </w:p>
        </w:tc>
        <w:tc>
          <w:tcPr>
            <w:tcW w:w="262" w:type="pct"/>
            <w:shd w:val="clear" w:color="auto" w:fill="auto"/>
          </w:tcPr>
          <w:p>
            <w:pPr>
              <w:ind w:left="-57" w:right="-57"/>
              <w:jc w:val="center"/>
              <w:rPr>
                <w:noProof/>
                <w:color w:val="000000"/>
              </w:rPr>
            </w:pPr>
            <w:r>
              <w:rPr>
                <w:noProof/>
              </w:rPr>
              <w:t>8,0</w:t>
            </w:r>
          </w:p>
        </w:tc>
        <w:tc>
          <w:tcPr>
            <w:tcW w:w="262" w:type="pct"/>
            <w:shd w:val="clear" w:color="auto" w:fill="auto"/>
          </w:tcPr>
          <w:p>
            <w:pPr>
              <w:ind w:left="-57" w:right="-57"/>
              <w:jc w:val="center"/>
              <w:rPr>
                <w:noProof/>
                <w:color w:val="000000"/>
              </w:rPr>
            </w:pPr>
            <w:r>
              <w:rPr>
                <w:noProof/>
              </w:rPr>
              <w:t>7,0</w:t>
            </w:r>
          </w:p>
        </w:tc>
        <w:tc>
          <w:tcPr>
            <w:tcW w:w="262" w:type="pct"/>
            <w:shd w:val="clear" w:color="auto" w:fill="auto"/>
          </w:tcPr>
          <w:p>
            <w:pPr>
              <w:ind w:left="-57" w:right="-57"/>
              <w:jc w:val="center"/>
              <w:rPr>
                <w:noProof/>
                <w:color w:val="000000"/>
              </w:rPr>
            </w:pPr>
            <w:r>
              <w:rPr>
                <w:noProof/>
              </w:rPr>
              <w:t>6,0</w:t>
            </w:r>
          </w:p>
        </w:tc>
        <w:tc>
          <w:tcPr>
            <w:tcW w:w="262" w:type="pct"/>
            <w:shd w:val="clear" w:color="auto" w:fill="auto"/>
          </w:tcPr>
          <w:p>
            <w:pPr>
              <w:ind w:left="-57" w:right="-57"/>
              <w:jc w:val="center"/>
              <w:rPr>
                <w:noProof/>
                <w:color w:val="000000"/>
              </w:rPr>
            </w:pPr>
            <w:r>
              <w:rPr>
                <w:noProof/>
              </w:rPr>
              <w:t>5,0</w:t>
            </w:r>
          </w:p>
        </w:tc>
        <w:tc>
          <w:tcPr>
            <w:tcW w:w="262" w:type="pct"/>
            <w:shd w:val="clear" w:color="auto" w:fill="auto"/>
          </w:tcPr>
          <w:p>
            <w:pPr>
              <w:jc w:val="center"/>
              <w:rPr>
                <w:noProof/>
                <w:color w:val="000000"/>
              </w:rPr>
            </w:pPr>
            <w:r>
              <w:rPr>
                <w:noProof/>
              </w:rPr>
              <w:t>4,0</w:t>
            </w:r>
          </w:p>
        </w:tc>
        <w:tc>
          <w:tcPr>
            <w:tcW w:w="262" w:type="pct"/>
            <w:shd w:val="clear" w:color="auto" w:fill="auto"/>
          </w:tcPr>
          <w:p>
            <w:pPr>
              <w:jc w:val="center"/>
              <w:rPr>
                <w:noProof/>
                <w:color w:val="000000"/>
              </w:rPr>
            </w:pPr>
            <w:r>
              <w:rPr>
                <w:noProof/>
              </w:rPr>
              <w:t>3,0</w:t>
            </w:r>
          </w:p>
        </w:tc>
        <w:tc>
          <w:tcPr>
            <w:tcW w:w="262" w:type="pct"/>
            <w:shd w:val="clear" w:color="auto" w:fill="auto"/>
          </w:tcPr>
          <w:p>
            <w:pPr>
              <w:jc w:val="center"/>
              <w:rPr>
                <w:noProof/>
                <w:color w:val="000000"/>
              </w:rPr>
            </w:pPr>
            <w:r>
              <w:rPr>
                <w:noProof/>
                <w:color w:val="000000"/>
              </w:rPr>
              <w:t>2</w:t>
            </w:r>
            <w:r>
              <w:rPr>
                <w:noProof/>
              </w:rPr>
              <w:t>,0</w:t>
            </w:r>
          </w:p>
        </w:tc>
        <w:tc>
          <w:tcPr>
            <w:tcW w:w="262" w:type="pct"/>
            <w:shd w:val="clear" w:color="auto" w:fill="auto"/>
          </w:tcPr>
          <w:p>
            <w:pPr>
              <w:jc w:val="center"/>
              <w:rPr>
                <w:noProof/>
                <w:color w:val="000000"/>
              </w:rPr>
            </w:pPr>
            <w:r>
              <w:rPr>
                <w:noProof/>
                <w:color w:val="000000"/>
              </w:rPr>
              <w:t>1</w:t>
            </w:r>
            <w:r>
              <w:rPr>
                <w:noProof/>
              </w:rPr>
              <w:t>,0</w:t>
            </w:r>
          </w:p>
        </w:tc>
        <w:tc>
          <w:tcPr>
            <w:tcW w:w="296" w:type="pct"/>
            <w:shd w:val="clear" w:color="auto" w:fill="auto"/>
          </w:tcPr>
          <w:p>
            <w:pPr>
              <w:jc w:val="center"/>
              <w:rPr>
                <w:noProof/>
              </w:rPr>
            </w:pPr>
            <w:r>
              <w:rPr>
                <w:noProof/>
              </w:rPr>
              <w:t>0,0</w:t>
            </w:r>
          </w:p>
        </w:tc>
        <w:tc>
          <w:tcPr>
            <w:tcW w:w="379" w:type="pct"/>
            <w:shd w:val="clear" w:color="auto" w:fill="auto"/>
          </w:tcPr>
          <w:p>
            <w:pPr>
              <w:ind w:left="-57" w:right="-57"/>
              <w:jc w:val="center"/>
              <w:rPr>
                <w:noProof/>
              </w:rPr>
            </w:pPr>
            <w:r>
              <w:rPr>
                <w:noProof/>
              </w:rPr>
              <w:t>a se vedea anexa I-D</w:t>
            </w:r>
          </w:p>
        </w:tc>
      </w:tr>
      <w:tr>
        <w:tc>
          <w:tcPr>
            <w:tcW w:w="524" w:type="pct"/>
          </w:tcPr>
          <w:p>
            <w:pPr>
              <w:pStyle w:val="NormalWeb"/>
              <w:spacing w:before="0" w:beforeAutospacing="0" w:after="0" w:afterAutospacing="0"/>
              <w:ind w:left="-85" w:right="-85"/>
              <w:rPr>
                <w:noProof/>
              </w:rPr>
            </w:pPr>
            <w:r>
              <w:rPr>
                <w:noProof/>
                <w:color w:val="000000"/>
              </w:rPr>
              <w:t>8113 00 40 00 </w:t>
            </w:r>
          </w:p>
        </w:tc>
        <w:tc>
          <w:tcPr>
            <w:tcW w:w="1184" w:type="pct"/>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rPr>
                <w:noProof/>
              </w:rPr>
            </w:pPr>
            <w:r>
              <w:rPr>
                <w:noProof/>
              </w:rPr>
              <w:t>deșeuri și resturi de metaloceramice și de articole din metaloceramice</w:t>
            </w:r>
          </w:p>
        </w:tc>
        <w:tc>
          <w:tcPr>
            <w:tcW w:w="262" w:type="pct"/>
          </w:tcPr>
          <w:p>
            <w:pPr>
              <w:ind w:left="-57" w:right="-57"/>
              <w:jc w:val="center"/>
              <w:rPr>
                <w:noProof/>
                <w:color w:val="000000"/>
              </w:rPr>
            </w:pPr>
            <w:r>
              <w:rPr>
                <w:noProof/>
              </w:rPr>
              <w:t>13,64</w:t>
            </w:r>
          </w:p>
        </w:tc>
        <w:tc>
          <w:tcPr>
            <w:tcW w:w="262" w:type="pct"/>
          </w:tcPr>
          <w:p>
            <w:pPr>
              <w:ind w:left="-57" w:right="-57"/>
              <w:jc w:val="center"/>
              <w:rPr>
                <w:noProof/>
                <w:color w:val="000000"/>
              </w:rPr>
            </w:pPr>
            <w:r>
              <w:rPr>
                <w:noProof/>
              </w:rPr>
              <w:t>10,0</w:t>
            </w:r>
          </w:p>
        </w:tc>
        <w:tc>
          <w:tcPr>
            <w:tcW w:w="262" w:type="pct"/>
          </w:tcPr>
          <w:p>
            <w:pPr>
              <w:ind w:left="-57" w:right="-57"/>
              <w:jc w:val="center"/>
              <w:rPr>
                <w:noProof/>
                <w:color w:val="000000"/>
              </w:rPr>
            </w:pPr>
            <w:r>
              <w:rPr>
                <w:noProof/>
              </w:rPr>
              <w:t>9,0</w:t>
            </w:r>
          </w:p>
        </w:tc>
        <w:tc>
          <w:tcPr>
            <w:tcW w:w="262" w:type="pct"/>
          </w:tcPr>
          <w:p>
            <w:pPr>
              <w:ind w:left="-57" w:right="-57"/>
              <w:jc w:val="center"/>
              <w:rPr>
                <w:noProof/>
                <w:color w:val="000000"/>
              </w:rPr>
            </w:pPr>
            <w:r>
              <w:rPr>
                <w:noProof/>
              </w:rPr>
              <w:t>8,0</w:t>
            </w:r>
          </w:p>
        </w:tc>
        <w:tc>
          <w:tcPr>
            <w:tcW w:w="262" w:type="pct"/>
          </w:tcPr>
          <w:p>
            <w:pPr>
              <w:ind w:left="-57" w:right="-57"/>
              <w:jc w:val="center"/>
              <w:rPr>
                <w:noProof/>
                <w:color w:val="000000"/>
              </w:rPr>
            </w:pPr>
            <w:r>
              <w:rPr>
                <w:noProof/>
              </w:rPr>
              <w:t>7,0</w:t>
            </w:r>
          </w:p>
        </w:tc>
        <w:tc>
          <w:tcPr>
            <w:tcW w:w="262" w:type="pct"/>
          </w:tcPr>
          <w:p>
            <w:pPr>
              <w:ind w:left="-57" w:right="-57"/>
              <w:jc w:val="center"/>
              <w:rPr>
                <w:noProof/>
                <w:color w:val="000000"/>
              </w:rPr>
            </w:pPr>
            <w:r>
              <w:rPr>
                <w:noProof/>
              </w:rPr>
              <w:t>6,0</w:t>
            </w:r>
          </w:p>
        </w:tc>
        <w:tc>
          <w:tcPr>
            <w:tcW w:w="262" w:type="pct"/>
          </w:tcPr>
          <w:p>
            <w:pPr>
              <w:jc w:val="center"/>
              <w:rPr>
                <w:noProof/>
                <w:color w:val="000000"/>
              </w:rPr>
            </w:pPr>
            <w:r>
              <w:rPr>
                <w:noProof/>
              </w:rPr>
              <w:t>5,0</w:t>
            </w:r>
          </w:p>
        </w:tc>
        <w:tc>
          <w:tcPr>
            <w:tcW w:w="262" w:type="pct"/>
          </w:tcPr>
          <w:p>
            <w:pPr>
              <w:jc w:val="center"/>
              <w:rPr>
                <w:noProof/>
                <w:color w:val="000000"/>
              </w:rPr>
            </w:pPr>
            <w:r>
              <w:rPr>
                <w:noProof/>
              </w:rPr>
              <w:t>4,0</w:t>
            </w:r>
          </w:p>
        </w:tc>
        <w:tc>
          <w:tcPr>
            <w:tcW w:w="262" w:type="pct"/>
          </w:tcPr>
          <w:p>
            <w:pPr>
              <w:jc w:val="center"/>
              <w:rPr>
                <w:noProof/>
                <w:color w:val="000000"/>
              </w:rPr>
            </w:pPr>
            <w:r>
              <w:rPr>
                <w:noProof/>
                <w:color w:val="000000"/>
              </w:rPr>
              <w:t>3</w:t>
            </w:r>
            <w:r>
              <w:rPr>
                <w:noProof/>
              </w:rPr>
              <w:t>,0</w:t>
            </w:r>
          </w:p>
        </w:tc>
        <w:tc>
          <w:tcPr>
            <w:tcW w:w="262" w:type="pct"/>
          </w:tcPr>
          <w:p>
            <w:pPr>
              <w:jc w:val="center"/>
              <w:rPr>
                <w:noProof/>
                <w:color w:val="000000"/>
              </w:rPr>
            </w:pPr>
            <w:r>
              <w:rPr>
                <w:noProof/>
                <w:color w:val="000000"/>
              </w:rPr>
              <w:t>2</w:t>
            </w:r>
            <w:r>
              <w:rPr>
                <w:noProof/>
              </w:rPr>
              <w:t>,0</w:t>
            </w:r>
          </w:p>
        </w:tc>
        <w:tc>
          <w:tcPr>
            <w:tcW w:w="296" w:type="pct"/>
          </w:tcPr>
          <w:p>
            <w:pPr>
              <w:jc w:val="center"/>
              <w:rPr>
                <w:noProof/>
              </w:rPr>
            </w:pPr>
            <w:r>
              <w:rPr>
                <w:noProof/>
              </w:rPr>
              <w:t>0,0</w:t>
            </w:r>
          </w:p>
        </w:tc>
        <w:tc>
          <w:tcPr>
            <w:tcW w:w="379" w:type="pct"/>
          </w:tcPr>
          <w:p>
            <w:pPr>
              <w:ind w:left="-57" w:right="-57"/>
              <w:jc w:val="right"/>
              <w:rPr>
                <w:noProof/>
              </w:rPr>
            </w:pPr>
          </w:p>
        </w:tc>
      </w:tr>
    </w:tbl>
    <w:p>
      <w:pPr>
        <w:rPr>
          <w:noProof/>
          <w:u w:val="single"/>
        </w:rPr>
        <w:sectPr>
          <w:headerReference w:type="default" r:id="rId18"/>
          <w:footerReference w:type="default" r:id="rId19"/>
          <w:headerReference w:type="first" r:id="rId20"/>
          <w:footerReference w:type="first" r:id="rId21"/>
          <w:pgSz w:w="16838" w:h="11906" w:orient="landscape" w:code="9"/>
          <w:pgMar w:top="1797" w:right="1440" w:bottom="1797" w:left="1440" w:header="709" w:footer="709"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4"/>
      </w:tblGrid>
      <w:tr>
        <w:tc>
          <w:tcPr>
            <w:tcW w:w="5000" w:type="pct"/>
          </w:tcPr>
          <w:p>
            <w:pPr>
              <w:jc w:val="center"/>
              <w:rPr>
                <w:noProof/>
                <w:u w:val="single"/>
              </w:rPr>
            </w:pPr>
            <w:r>
              <w:rPr>
                <w:noProof/>
              </w:rPr>
              <w:t>Deșeuri și resturi de metale feroase</w:t>
            </w:r>
          </w:p>
        </w:tc>
      </w:tr>
    </w:tbl>
    <w:p>
      <w:pPr>
        <w:rPr>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2712"/>
        <w:gridCol w:w="824"/>
        <w:gridCol w:w="825"/>
        <w:gridCol w:w="825"/>
        <w:gridCol w:w="825"/>
        <w:gridCol w:w="825"/>
        <w:gridCol w:w="825"/>
        <w:gridCol w:w="825"/>
        <w:gridCol w:w="825"/>
        <w:gridCol w:w="825"/>
        <w:gridCol w:w="825"/>
        <w:gridCol w:w="828"/>
        <w:gridCol w:w="1209"/>
      </w:tblGrid>
      <w:tr>
        <w:trPr>
          <w:tblHeader/>
        </w:trPr>
        <w:tc>
          <w:tcPr>
            <w:tcW w:w="419" w:type="pct"/>
            <w:shd w:val="clear" w:color="auto" w:fill="D9D9D9"/>
            <w:vAlign w:val="center"/>
          </w:tcPr>
          <w:p>
            <w:pPr>
              <w:pStyle w:val="NormalWeb"/>
              <w:spacing w:before="0" w:beforeAutospacing="0" w:after="0" w:afterAutospacing="0"/>
              <w:ind w:left="-85" w:right="-85"/>
              <w:jc w:val="center"/>
              <w:rPr>
                <w:noProof/>
              </w:rPr>
            </w:pPr>
            <w:r>
              <w:rPr>
                <w:noProof/>
                <w:color w:val="000000"/>
              </w:rPr>
              <w:t>Cod SA</w:t>
            </w:r>
          </w:p>
        </w:tc>
        <w:tc>
          <w:tcPr>
            <w:tcW w:w="961" w:type="pct"/>
            <w:shd w:val="clear" w:color="auto" w:fill="D9D9D9"/>
            <w:vAlign w:val="center"/>
          </w:tcPr>
          <w:p>
            <w:pPr>
              <w:pStyle w:val="NormalWeb"/>
              <w:spacing w:before="0" w:beforeAutospacing="0" w:after="0" w:afterAutospacing="0"/>
              <w:ind w:left="-57" w:right="-57"/>
              <w:jc w:val="center"/>
              <w:rPr>
                <w:noProof/>
              </w:rPr>
            </w:pPr>
            <w:r>
              <w:rPr>
                <w:noProof/>
                <w:color w:val="000000"/>
              </w:rPr>
              <w:t>Descriere</w:t>
            </w:r>
          </w:p>
        </w:tc>
        <w:tc>
          <w:tcPr>
            <w:tcW w:w="295" w:type="pct"/>
            <w:shd w:val="clear" w:color="auto" w:fill="D9D9D9"/>
            <w:vAlign w:val="center"/>
          </w:tcPr>
          <w:p>
            <w:pPr>
              <w:ind w:left="-57" w:right="-57"/>
              <w:jc w:val="center"/>
              <w:rPr>
                <w:noProof/>
              </w:rPr>
            </w:pPr>
            <w:r>
              <w:rPr>
                <w:noProof/>
              </w:rPr>
              <w:t>IIV (2016)</w:t>
            </w:r>
          </w:p>
        </w:tc>
        <w:tc>
          <w:tcPr>
            <w:tcW w:w="295" w:type="pct"/>
            <w:shd w:val="clear" w:color="auto" w:fill="D9D9D9"/>
            <w:vAlign w:val="center"/>
          </w:tcPr>
          <w:p>
            <w:pPr>
              <w:ind w:left="-57" w:right="-57"/>
              <w:jc w:val="center"/>
              <w:rPr>
                <w:noProof/>
              </w:rPr>
            </w:pPr>
            <w:r>
              <w:rPr>
                <w:noProof/>
              </w:rPr>
              <w:t>IIV+1 (2017)</w:t>
            </w:r>
          </w:p>
        </w:tc>
        <w:tc>
          <w:tcPr>
            <w:tcW w:w="295" w:type="pct"/>
            <w:shd w:val="clear" w:color="auto" w:fill="D9D9D9"/>
            <w:vAlign w:val="center"/>
          </w:tcPr>
          <w:p>
            <w:pPr>
              <w:ind w:left="-57" w:right="-57"/>
              <w:jc w:val="center"/>
              <w:rPr>
                <w:noProof/>
              </w:rPr>
            </w:pPr>
            <w:r>
              <w:rPr>
                <w:noProof/>
              </w:rPr>
              <w:t>IIV+2 (2018)</w:t>
            </w:r>
          </w:p>
        </w:tc>
        <w:tc>
          <w:tcPr>
            <w:tcW w:w="295" w:type="pct"/>
            <w:shd w:val="clear" w:color="auto" w:fill="D9D9D9"/>
            <w:vAlign w:val="center"/>
          </w:tcPr>
          <w:p>
            <w:pPr>
              <w:ind w:left="-57" w:right="-57"/>
              <w:jc w:val="center"/>
              <w:rPr>
                <w:noProof/>
              </w:rPr>
            </w:pPr>
            <w:r>
              <w:rPr>
                <w:noProof/>
              </w:rPr>
              <w:t>IIV+3 (2019)</w:t>
            </w:r>
          </w:p>
        </w:tc>
        <w:tc>
          <w:tcPr>
            <w:tcW w:w="295" w:type="pct"/>
            <w:shd w:val="clear" w:color="auto" w:fill="D9D9D9"/>
            <w:vAlign w:val="center"/>
          </w:tcPr>
          <w:p>
            <w:pPr>
              <w:ind w:left="-57" w:right="-57"/>
              <w:jc w:val="center"/>
              <w:rPr>
                <w:noProof/>
              </w:rPr>
            </w:pPr>
            <w:r>
              <w:rPr>
                <w:noProof/>
              </w:rPr>
              <w:t>IIV+4 (2020)</w:t>
            </w:r>
          </w:p>
        </w:tc>
        <w:tc>
          <w:tcPr>
            <w:tcW w:w="295" w:type="pct"/>
            <w:shd w:val="clear" w:color="auto" w:fill="D9D9D9"/>
            <w:vAlign w:val="center"/>
          </w:tcPr>
          <w:p>
            <w:pPr>
              <w:ind w:left="-57" w:right="-57"/>
              <w:jc w:val="center"/>
              <w:rPr>
                <w:noProof/>
              </w:rPr>
            </w:pPr>
            <w:r>
              <w:rPr>
                <w:noProof/>
              </w:rPr>
              <w:t>IIV+5 (2021)</w:t>
            </w:r>
          </w:p>
        </w:tc>
        <w:tc>
          <w:tcPr>
            <w:tcW w:w="295" w:type="pct"/>
            <w:shd w:val="clear" w:color="auto" w:fill="D9D9D9"/>
            <w:vAlign w:val="center"/>
          </w:tcPr>
          <w:p>
            <w:pPr>
              <w:ind w:left="-57" w:right="-57"/>
              <w:jc w:val="center"/>
              <w:rPr>
                <w:noProof/>
              </w:rPr>
            </w:pPr>
            <w:r>
              <w:rPr>
                <w:noProof/>
              </w:rPr>
              <w:t>IIV+6 (2022)</w:t>
            </w:r>
          </w:p>
        </w:tc>
        <w:tc>
          <w:tcPr>
            <w:tcW w:w="295" w:type="pct"/>
            <w:shd w:val="clear" w:color="auto" w:fill="D9D9D9"/>
            <w:vAlign w:val="center"/>
          </w:tcPr>
          <w:p>
            <w:pPr>
              <w:ind w:left="-57" w:right="-57"/>
              <w:jc w:val="center"/>
              <w:rPr>
                <w:noProof/>
              </w:rPr>
            </w:pPr>
            <w:r>
              <w:rPr>
                <w:noProof/>
              </w:rPr>
              <w:t>IIV+7 (2023)</w:t>
            </w:r>
          </w:p>
        </w:tc>
        <w:tc>
          <w:tcPr>
            <w:tcW w:w="295" w:type="pct"/>
            <w:shd w:val="clear" w:color="auto" w:fill="D9D9D9"/>
            <w:vAlign w:val="center"/>
          </w:tcPr>
          <w:p>
            <w:pPr>
              <w:ind w:left="-57" w:right="-57"/>
              <w:jc w:val="center"/>
              <w:rPr>
                <w:noProof/>
              </w:rPr>
            </w:pPr>
            <w:r>
              <w:rPr>
                <w:noProof/>
              </w:rPr>
              <w:t>IIV+8 (2024)</w:t>
            </w:r>
          </w:p>
        </w:tc>
        <w:tc>
          <w:tcPr>
            <w:tcW w:w="295" w:type="pct"/>
            <w:shd w:val="clear" w:color="auto" w:fill="D9D9D9"/>
            <w:vAlign w:val="center"/>
          </w:tcPr>
          <w:p>
            <w:pPr>
              <w:ind w:left="-57" w:right="-57"/>
              <w:jc w:val="center"/>
              <w:rPr>
                <w:noProof/>
              </w:rPr>
            </w:pPr>
            <w:r>
              <w:rPr>
                <w:noProof/>
              </w:rPr>
              <w:t>IIV+9 (2025)</w:t>
            </w:r>
          </w:p>
        </w:tc>
        <w:tc>
          <w:tcPr>
            <w:tcW w:w="296" w:type="pct"/>
            <w:shd w:val="clear" w:color="auto" w:fill="D9D9D9"/>
            <w:vAlign w:val="center"/>
          </w:tcPr>
          <w:p>
            <w:pPr>
              <w:ind w:left="-57" w:right="-57"/>
              <w:jc w:val="center"/>
              <w:rPr>
                <w:noProof/>
              </w:rPr>
            </w:pPr>
            <w:r>
              <w:rPr>
                <w:noProof/>
              </w:rPr>
              <w:t>IIV+10 (2026)</w:t>
            </w:r>
          </w:p>
        </w:tc>
        <w:tc>
          <w:tcPr>
            <w:tcW w:w="379" w:type="pct"/>
            <w:shd w:val="clear" w:color="auto" w:fill="D9D9D9"/>
            <w:vAlign w:val="center"/>
          </w:tcPr>
          <w:p>
            <w:pPr>
              <w:ind w:left="-57" w:right="-57"/>
              <w:jc w:val="center"/>
              <w:rPr>
                <w:noProof/>
              </w:rPr>
            </w:pPr>
            <w:r>
              <w:rPr>
                <w:noProof/>
              </w:rPr>
              <w:t>Măsuri de salvgardare</w:t>
            </w:r>
          </w:p>
        </w:tc>
      </w:tr>
      <w:tr>
        <w:tc>
          <w:tcPr>
            <w:tcW w:w="419" w:type="pct"/>
          </w:tcPr>
          <w:p>
            <w:pPr>
              <w:pStyle w:val="NormalWeb"/>
              <w:spacing w:before="0" w:beforeAutospacing="0" w:after="0" w:afterAutospacing="0"/>
              <w:ind w:left="-57" w:right="-57"/>
              <w:rPr>
                <w:noProof/>
                <w:sz w:val="18"/>
                <w:szCs w:val="18"/>
              </w:rPr>
            </w:pPr>
            <w:r>
              <w:rPr>
                <w:noProof/>
                <w:color w:val="000000"/>
                <w:sz w:val="18"/>
              </w:rPr>
              <w:t>7204 10 00 00</w:t>
            </w:r>
          </w:p>
        </w:tc>
        <w:tc>
          <w:tcPr>
            <w:tcW w:w="961" w:type="pct"/>
          </w:tcPr>
          <w:p>
            <w:pPr>
              <w:pStyle w:val="CM414"/>
              <w:spacing w:before="0" w:after="0"/>
              <w:ind w:left="-57" w:right="-57"/>
              <w:rPr>
                <w:rFonts w:ascii="Times New Roman" w:hAnsi="Times New Roman"/>
                <w:noProof/>
              </w:rPr>
            </w:pPr>
            <w:r>
              <w:rPr>
                <w:rFonts w:ascii="Times New Roman" w:hAnsi="Times New Roman"/>
                <w:noProof/>
              </w:rPr>
              <w:t xml:space="preserve">deșeuri și resturi de fontă </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r>
        <w:tc>
          <w:tcPr>
            <w:tcW w:w="419" w:type="pct"/>
          </w:tcPr>
          <w:p>
            <w:pPr>
              <w:pStyle w:val="NormalWeb"/>
              <w:spacing w:before="0" w:beforeAutospacing="0" w:after="0" w:afterAutospacing="0"/>
              <w:ind w:left="-57" w:right="-57"/>
              <w:rPr>
                <w:noProof/>
                <w:sz w:val="18"/>
                <w:szCs w:val="18"/>
              </w:rPr>
            </w:pPr>
            <w:r>
              <w:rPr>
                <w:noProof/>
                <w:color w:val="000000"/>
                <w:sz w:val="18"/>
              </w:rPr>
              <w:t>7204 30 00 00</w:t>
            </w:r>
          </w:p>
        </w:tc>
        <w:tc>
          <w:tcPr>
            <w:tcW w:w="961" w:type="pct"/>
          </w:tcPr>
          <w:p>
            <w:pPr>
              <w:pStyle w:val="CM414"/>
              <w:spacing w:before="0" w:after="0"/>
              <w:ind w:left="-57" w:right="-57"/>
              <w:rPr>
                <w:rFonts w:ascii="Times New Roman" w:hAnsi="Times New Roman"/>
                <w:noProof/>
              </w:rPr>
            </w:pPr>
            <w:r>
              <w:rPr>
                <w:rFonts w:ascii="Times New Roman" w:hAnsi="Times New Roman"/>
                <w:noProof/>
              </w:rPr>
              <w:t xml:space="preserve">deșeuri și resturi de fier sau de oțel cositorit </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r>
        <w:tc>
          <w:tcPr>
            <w:tcW w:w="419" w:type="pct"/>
          </w:tcPr>
          <w:p>
            <w:pPr>
              <w:pStyle w:val="NormalWeb"/>
              <w:spacing w:before="0" w:beforeAutospacing="0" w:after="0" w:afterAutospacing="0"/>
              <w:ind w:left="-57" w:right="-57"/>
              <w:rPr>
                <w:noProof/>
                <w:sz w:val="18"/>
                <w:szCs w:val="18"/>
              </w:rPr>
            </w:pPr>
            <w:r>
              <w:rPr>
                <w:noProof/>
                <w:color w:val="000000"/>
                <w:sz w:val="18"/>
              </w:rPr>
              <w:t>7204 41 10 00</w:t>
            </w:r>
          </w:p>
        </w:tc>
        <w:tc>
          <w:tcPr>
            <w:tcW w:w="961" w:type="pct"/>
          </w:tcPr>
          <w:p>
            <w:pPr>
              <w:pStyle w:val="CM414"/>
              <w:spacing w:before="0" w:after="0"/>
              <w:ind w:left="-57" w:right="-57"/>
              <w:rPr>
                <w:rFonts w:ascii="Times New Roman" w:hAnsi="Times New Roman"/>
                <w:noProof/>
              </w:rPr>
            </w:pPr>
            <w:r>
              <w:rPr>
                <w:rFonts w:ascii="Times New Roman" w:hAnsi="Times New Roman"/>
                <w:noProof/>
              </w:rPr>
              <w:t xml:space="preserve">deșeuri de așchiere, șpan, deșeuri de măcinare, pilitură </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r>
        <w:tc>
          <w:tcPr>
            <w:tcW w:w="419" w:type="pct"/>
          </w:tcPr>
          <w:p>
            <w:pPr>
              <w:pStyle w:val="NormalWeb"/>
              <w:spacing w:before="0" w:beforeAutospacing="0" w:after="0" w:afterAutospacing="0"/>
              <w:ind w:left="-57" w:right="-57"/>
              <w:rPr>
                <w:noProof/>
                <w:sz w:val="18"/>
                <w:szCs w:val="18"/>
              </w:rPr>
            </w:pPr>
            <w:r>
              <w:rPr>
                <w:noProof/>
                <w:color w:val="000000"/>
                <w:sz w:val="18"/>
              </w:rPr>
              <w:t>7204 41 91 00</w:t>
            </w:r>
          </w:p>
        </w:tc>
        <w:tc>
          <w:tcPr>
            <w:tcW w:w="961" w:type="pct"/>
          </w:tcPr>
          <w:p>
            <w:pPr>
              <w:pStyle w:val="CM414"/>
              <w:spacing w:before="0" w:after="0"/>
              <w:ind w:left="-57" w:right="-57"/>
              <w:rPr>
                <w:rFonts w:ascii="Times New Roman" w:hAnsi="Times New Roman"/>
                <w:noProof/>
              </w:rPr>
            </w:pPr>
            <w:r>
              <w:rPr>
                <w:rFonts w:ascii="Times New Roman" w:hAnsi="Times New Roman"/>
                <w:noProof/>
              </w:rPr>
              <w:t xml:space="preserve">deșeuri de ștanțare sau decupare sub formă de baloturi </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r>
        <w:tc>
          <w:tcPr>
            <w:tcW w:w="419" w:type="pct"/>
          </w:tcPr>
          <w:p>
            <w:pPr>
              <w:pStyle w:val="NormalWeb"/>
              <w:spacing w:before="0" w:beforeAutospacing="0" w:after="0" w:afterAutospacing="0"/>
              <w:ind w:left="-57" w:right="-57"/>
              <w:rPr>
                <w:noProof/>
                <w:sz w:val="18"/>
                <w:szCs w:val="18"/>
              </w:rPr>
            </w:pPr>
            <w:r>
              <w:rPr>
                <w:noProof/>
                <w:color w:val="000000"/>
                <w:sz w:val="18"/>
              </w:rPr>
              <w:t>7204 41 99 00</w:t>
            </w:r>
          </w:p>
        </w:tc>
        <w:tc>
          <w:tcPr>
            <w:tcW w:w="961" w:type="pct"/>
          </w:tcPr>
          <w:p>
            <w:pPr>
              <w:pStyle w:val="NormalWeb"/>
              <w:spacing w:before="0" w:beforeAutospacing="0" w:after="0" w:afterAutospacing="0"/>
              <w:ind w:left="-57" w:right="-57"/>
              <w:rPr>
                <w:noProof/>
              </w:rPr>
            </w:pPr>
            <w:r>
              <w:rPr>
                <w:noProof/>
              </w:rPr>
              <w:t>deșeuri de ștanțare sau decupare care nu sunt sub formă de baloturi</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r>
        <w:tc>
          <w:tcPr>
            <w:tcW w:w="419" w:type="pct"/>
          </w:tcPr>
          <w:p>
            <w:pPr>
              <w:pStyle w:val="NormalWeb"/>
              <w:spacing w:before="0" w:beforeAutospacing="0" w:after="0" w:afterAutospacing="0"/>
              <w:ind w:left="-57" w:right="-57"/>
              <w:rPr>
                <w:noProof/>
                <w:sz w:val="18"/>
                <w:szCs w:val="18"/>
              </w:rPr>
            </w:pPr>
            <w:r>
              <w:rPr>
                <w:noProof/>
                <w:color w:val="000000"/>
                <w:sz w:val="18"/>
              </w:rPr>
              <w:t xml:space="preserve">7204 49 10 00 </w:t>
            </w:r>
          </w:p>
        </w:tc>
        <w:tc>
          <w:tcPr>
            <w:tcW w:w="961" w:type="pct"/>
          </w:tcPr>
          <w:p>
            <w:pPr>
              <w:pStyle w:val="CM414"/>
              <w:spacing w:before="0" w:after="0"/>
              <w:ind w:left="-57" w:right="-57"/>
              <w:rPr>
                <w:rFonts w:ascii="Times New Roman" w:hAnsi="Times New Roman"/>
                <w:noProof/>
              </w:rPr>
            </w:pPr>
            <w:r>
              <w:rPr>
                <w:rFonts w:ascii="Times New Roman" w:hAnsi="Times New Roman"/>
                <w:noProof/>
              </w:rPr>
              <w:t xml:space="preserve">deșeuri și resturi de metale feroase, fragmentate </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r>
        <w:tc>
          <w:tcPr>
            <w:tcW w:w="419" w:type="pct"/>
          </w:tcPr>
          <w:p>
            <w:pPr>
              <w:pStyle w:val="NormalWeb"/>
              <w:spacing w:before="0" w:beforeAutospacing="0" w:after="0" w:afterAutospacing="0"/>
              <w:ind w:left="-57" w:right="-57"/>
              <w:rPr>
                <w:noProof/>
                <w:sz w:val="18"/>
                <w:szCs w:val="18"/>
              </w:rPr>
            </w:pPr>
            <w:r>
              <w:rPr>
                <w:noProof/>
                <w:color w:val="000000"/>
                <w:sz w:val="18"/>
              </w:rPr>
              <w:t>7204 49 30 00</w:t>
            </w:r>
          </w:p>
        </w:tc>
        <w:tc>
          <w:tcPr>
            <w:tcW w:w="961" w:type="pct"/>
          </w:tcPr>
          <w:p>
            <w:pPr>
              <w:pStyle w:val="NormalWeb"/>
              <w:spacing w:before="0" w:beforeAutospacing="0" w:after="0" w:afterAutospacing="0"/>
              <w:ind w:left="-57" w:right="-57"/>
              <w:rPr>
                <w:noProof/>
              </w:rPr>
            </w:pPr>
            <w:r>
              <w:rPr>
                <w:noProof/>
              </w:rPr>
              <w:t>deșeuri și resturi de metale feroase sub formă de baloturi</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r>
        <w:tc>
          <w:tcPr>
            <w:tcW w:w="419" w:type="pct"/>
          </w:tcPr>
          <w:p>
            <w:pPr>
              <w:pStyle w:val="NormalWeb"/>
              <w:spacing w:before="0" w:beforeAutospacing="0" w:after="0" w:afterAutospacing="0"/>
              <w:ind w:left="-57" w:right="-57"/>
              <w:rPr>
                <w:noProof/>
                <w:sz w:val="18"/>
                <w:szCs w:val="18"/>
              </w:rPr>
            </w:pPr>
            <w:r>
              <w:rPr>
                <w:noProof/>
                <w:sz w:val="18"/>
              </w:rPr>
              <w:t>7204 49 90 00</w:t>
            </w:r>
          </w:p>
        </w:tc>
        <w:tc>
          <w:tcPr>
            <w:tcW w:w="961" w:type="pct"/>
          </w:tcPr>
          <w:p>
            <w:pPr>
              <w:pStyle w:val="NormalWeb"/>
              <w:spacing w:before="0" w:beforeAutospacing="0" w:after="0" w:afterAutospacing="0"/>
              <w:ind w:left="-57" w:right="-57"/>
              <w:rPr>
                <w:noProof/>
              </w:rPr>
            </w:pPr>
            <w:r>
              <w:rPr>
                <w:noProof/>
              </w:rPr>
              <w:t>deșeuri și resturi de metale feroase triate și netriate</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r>
        <w:tc>
          <w:tcPr>
            <w:tcW w:w="419" w:type="pct"/>
          </w:tcPr>
          <w:p>
            <w:pPr>
              <w:pStyle w:val="NormalWeb"/>
              <w:spacing w:before="0" w:beforeAutospacing="0" w:after="0" w:afterAutospacing="0"/>
              <w:ind w:left="-57" w:right="-57"/>
              <w:rPr>
                <w:noProof/>
                <w:sz w:val="18"/>
                <w:szCs w:val="18"/>
              </w:rPr>
            </w:pPr>
            <w:r>
              <w:rPr>
                <w:noProof/>
                <w:sz w:val="18"/>
              </w:rPr>
              <w:t>7204 50 00 00</w:t>
            </w:r>
          </w:p>
        </w:tc>
        <w:tc>
          <w:tcPr>
            <w:tcW w:w="961" w:type="pct"/>
          </w:tcPr>
          <w:p>
            <w:pPr>
              <w:ind w:left="-57" w:right="-57"/>
              <w:rPr>
                <w:noProof/>
              </w:rPr>
            </w:pPr>
            <w:r>
              <w:rPr>
                <w:noProof/>
              </w:rPr>
              <w:t>deșeuri sub formă de bare (</w:t>
            </w:r>
            <w:r>
              <w:rPr>
                <w:i/>
                <w:noProof/>
              </w:rPr>
              <w:t>charge bars</w:t>
            </w:r>
            <w:r>
              <w:rPr>
                <w:noProof/>
              </w:rPr>
              <w:t>) pentru topirea metalelor feroase cu excepția oțelurilor aliate</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9,5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7,5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5 euro pe tonă</w:t>
            </w:r>
          </w:p>
        </w:tc>
        <w:tc>
          <w:tcPr>
            <w:tcW w:w="295" w:type="pct"/>
          </w:tcPr>
          <w:p>
            <w:pPr>
              <w:ind w:left="-57" w:right="-57"/>
              <w:jc w:val="center"/>
              <w:rPr>
                <w:noProof/>
              </w:rPr>
            </w:pPr>
            <w:r>
              <w:rPr>
                <w:noProof/>
              </w:rPr>
              <w:t>3 euro pe tonă</w:t>
            </w:r>
          </w:p>
        </w:tc>
        <w:tc>
          <w:tcPr>
            <w:tcW w:w="295" w:type="pct"/>
          </w:tcPr>
          <w:p>
            <w:pPr>
              <w:ind w:left="-57" w:right="-57"/>
              <w:jc w:val="center"/>
              <w:rPr>
                <w:noProof/>
              </w:rPr>
            </w:pPr>
            <w:r>
              <w:rPr>
                <w:noProof/>
              </w:rPr>
              <w:t>3 euro pe tonă</w:t>
            </w:r>
          </w:p>
        </w:tc>
        <w:tc>
          <w:tcPr>
            <w:tcW w:w="295" w:type="pct"/>
          </w:tcPr>
          <w:p>
            <w:pPr>
              <w:rPr>
                <w:noProof/>
              </w:rPr>
            </w:pPr>
            <w:r>
              <w:rPr>
                <w:noProof/>
              </w:rPr>
              <w:t>0,0</w:t>
            </w:r>
          </w:p>
        </w:tc>
        <w:tc>
          <w:tcPr>
            <w:tcW w:w="295" w:type="pct"/>
          </w:tcPr>
          <w:p>
            <w:pPr>
              <w:rPr>
                <w:noProof/>
              </w:rPr>
            </w:pPr>
            <w:r>
              <w:rPr>
                <w:noProof/>
              </w:rPr>
              <w:t>0,0</w:t>
            </w:r>
          </w:p>
        </w:tc>
        <w:tc>
          <w:tcPr>
            <w:tcW w:w="296" w:type="pct"/>
          </w:tcPr>
          <w:p>
            <w:pPr>
              <w:rPr>
                <w:noProof/>
              </w:rPr>
            </w:pPr>
            <w:r>
              <w:rPr>
                <w:noProof/>
              </w:rPr>
              <w:t>0,0</w:t>
            </w:r>
          </w:p>
        </w:tc>
        <w:tc>
          <w:tcPr>
            <w:tcW w:w="379" w:type="pct"/>
          </w:tcPr>
          <w:p>
            <w:pPr>
              <w:ind w:left="-57" w:right="-57"/>
              <w:jc w:val="center"/>
              <w:rPr>
                <w:noProof/>
              </w:rPr>
            </w:pPr>
          </w:p>
        </w:tc>
      </w:tr>
    </w:tbl>
    <w:p>
      <w:pPr>
        <w:autoSpaceDE w:val="0"/>
        <w:autoSpaceDN w:val="0"/>
        <w:adjustRightInd w:val="0"/>
        <w:jc w:val="center"/>
        <w:rPr>
          <w:noProof/>
        </w:rPr>
        <w:sectPr>
          <w:pgSz w:w="16838" w:h="11906" w:orient="landscape" w:code="9"/>
          <w:pgMar w:top="1797" w:right="1440" w:bottom="1797" w:left="1440" w:header="709" w:footer="709" w:gutter="0"/>
          <w:cols w:space="708"/>
          <w:docGrid w:linePitch="360"/>
        </w:sectPr>
      </w:pPr>
    </w:p>
    <w:p>
      <w:pPr>
        <w:jc w:val="center"/>
        <w:rPr>
          <w:b/>
          <w:noProof/>
        </w:rPr>
      </w:pPr>
      <w:r>
        <w:rPr>
          <w:b/>
          <w:noProof/>
        </w:rPr>
        <w:t>ANEXA I-D LA ACORDUL DE ASOCIERE</w:t>
      </w:r>
    </w:p>
    <w:p>
      <w:pPr>
        <w:jc w:val="center"/>
        <w:rPr>
          <w:b/>
          <w:caps/>
          <w:noProof/>
        </w:rPr>
      </w:pPr>
      <w:r>
        <w:rPr>
          <w:b/>
          <w:caps/>
          <w:noProof/>
        </w:rPr>
        <w:t>Măsuri de salvgardare pentru taxele la export</w:t>
      </w:r>
    </w:p>
    <w:p>
      <w:pPr>
        <w:pStyle w:val="ManualNumPar17"/>
        <w:rPr>
          <w:noProof/>
        </w:rPr>
      </w:pPr>
      <w:r>
        <w:rPr>
          <w:noProof/>
        </w:rPr>
        <w:t>1.</w:t>
      </w:r>
      <w:r>
        <w:rPr>
          <w:noProof/>
        </w:rPr>
        <w:tab/>
        <w:t>Pe parcursul a cincisprezece (15) ani de la IIV a acordului, Ucraina poate aplica o măsură de salvgardare sub forma unei suprataxe asupra taxei la export pentru produsele enumerate în anexa I-D, în conformitate cu alineatele (1) - (11), în cazul în care, în timpul oricărei perioade de un an de la IIV, volumul cumulat al exporturilor din Ucraina către UE în cadrul fiecărui cod vamal ucrainean enumerat depășește un nivel de declanșare, astfel cum este prevăzut în programul acesteia din anexa I-D.</w:t>
      </w:r>
    </w:p>
    <w:p>
      <w:pPr>
        <w:pStyle w:val="ManualNumPar17"/>
        <w:rPr>
          <w:noProof/>
        </w:rPr>
      </w:pPr>
      <w:r>
        <w:rPr>
          <w:noProof/>
        </w:rPr>
        <w:t>2.</w:t>
      </w:r>
      <w:r>
        <w:rPr>
          <w:noProof/>
        </w:rPr>
        <w:tab/>
        <w:t>Suprataxa pe care o poate aplica Ucraina în temeiul alineatului (1) se stabilește în conformitate cu programul acesteia prevăzut în anexa I-D și se poate aplica numai pentru restul perioadei, astfel cum se definește la alineatul (1).</w:t>
      </w:r>
    </w:p>
    <w:p>
      <w:pPr>
        <w:pStyle w:val="ManualNumPar17"/>
        <w:rPr>
          <w:noProof/>
        </w:rPr>
      </w:pPr>
      <w:r>
        <w:rPr>
          <w:noProof/>
        </w:rPr>
        <w:t>3.</w:t>
      </w:r>
      <w:r>
        <w:rPr>
          <w:noProof/>
        </w:rPr>
        <w:tab/>
        <w:t>Ucraina aplică orice măsură de salvgardare într-un mod transparent. În acest scop, Ucraina furnizează UE, cât mai curând posibil, o notificare scrisă cu privire la intenția sa de a aplica o astfel de măsură și furnizează toate informațiile pertinente, inclusiv volumul (în tone) al producției interne sau al colectării de materiale și volumul exporturilor către Uniune și către celelalte țări ale lumii. Ucraina invită Uniunea la consultări cât mai curând posibil înainte de a lua această măsură, pentru a discuta aceste informații. Nu se ia nicio măsură în termen de 30 de zile lucrătoare de la lansarea invitației la consultări.</w:t>
      </w:r>
    </w:p>
    <w:p>
      <w:pPr>
        <w:pStyle w:val="ManualNumPar17"/>
        <w:rPr>
          <w:noProof/>
        </w:rPr>
      </w:pPr>
      <w:r>
        <w:rPr>
          <w:noProof/>
        </w:rPr>
        <w:t>4.</w:t>
      </w:r>
      <w:r>
        <w:rPr>
          <w:noProof/>
        </w:rPr>
        <w:tab/>
        <w:t>Ucraina se asigură că statisticile care se utilizează ca dovezi pentru aceste măsuri sunt fiabile, adecvate și accesibile publicului în timp util. Ucraina furnizează fără întârziere statistici trimestriale privind volumul (în tone) exporturilor către Uniune și către celelalte țări ale lumii.</w:t>
      </w:r>
    </w:p>
    <w:p>
      <w:pPr>
        <w:pStyle w:val="ManualNumPar17"/>
        <w:rPr>
          <w:noProof/>
        </w:rPr>
      </w:pPr>
      <w:r>
        <w:rPr>
          <w:noProof/>
        </w:rPr>
        <w:t>5.</w:t>
      </w:r>
      <w:r>
        <w:rPr>
          <w:noProof/>
        </w:rPr>
        <w:tab/>
        <w:t xml:space="preserve">Punerea în aplicare și funcționarea articolului 31 din prezentul acord și a anexelor aferente pot face obiectul unor discuții și a unei reexaminări în cadrul Comitetului pentru comerț menționat la articolul 465 din prezentul acord. </w:t>
      </w:r>
    </w:p>
    <w:p>
      <w:pPr>
        <w:pStyle w:val="ManualNumPar17"/>
        <w:rPr>
          <w:noProof/>
        </w:rPr>
      </w:pPr>
      <w:r>
        <w:rPr>
          <w:noProof/>
        </w:rPr>
        <w:t>6.</w:t>
      </w:r>
      <w:r>
        <w:rPr>
          <w:noProof/>
        </w:rPr>
        <w:tab/>
        <w:t>Produsele în cauză care erau pe drum pe baza unui contract încheiat înainte de instituirea suprataxei în conformitate cu alineatele (1) - (3) sunt scutite de orice astfel de suprataxă.</w:t>
      </w:r>
    </w:p>
    <w:p>
      <w:pPr>
        <w:pStyle w:val="ManualNumPar17"/>
        <w:rPr>
          <w:noProof/>
        </w:rPr>
      </w:pPr>
      <w:r>
        <w:rPr>
          <w:noProof/>
        </w:rPr>
        <w:t>7.</w:t>
      </w:r>
      <w:r>
        <w:rPr>
          <w:noProof/>
        </w:rPr>
        <w:tab/>
        <w:t>Prezenta anexă stabilește: acele produse originare care pot face obiectul unor măsuri de salvgardare în temeiul articolului 31 din prezentul acord, nivelurile de declanșare pentru aplicarea unor astfel de măsuri definite pentru fiecare dintre codurile vamale ucrainene citate și suprataxa maximă asupra taxei la export care poate fi aplicată la fiecare perioadă de un an pentru fiecare dintre aceste produse în plus față de taxa la export. Toate taxele se exprimă în %, cu excepția cazului în care se specifică altfel; IIV se referă la perioada de 12 luni de la data intrării în vigoare a acordului; IIV+1 se referă la perioada de 12 luni care începe la prima aniversare a intrării în vigoare a acordului; și așa mai departe până la IIV+15.</w:t>
      </w:r>
    </w:p>
    <w:p>
      <w:pPr>
        <w:rPr>
          <w:noProof/>
        </w:rPr>
      </w:pPr>
      <w:r>
        <w:rPr>
          <w:noProof/>
        </w:rPr>
        <w:br w:type="page"/>
      </w:r>
    </w:p>
    <w:p>
      <w:pPr>
        <w:pStyle w:val="ManualNumPar17"/>
        <w:rPr>
          <w:noProof/>
        </w:rPr>
      </w:pPr>
      <w:r>
        <w:rPr>
          <w:noProof/>
        </w:rPr>
        <w:t>8.</w:t>
      </w:r>
      <w:r>
        <w:rPr>
          <w:noProof/>
        </w:rPr>
        <w:tab/>
        <w:t>Pentru materialele din piei brute astfel cum sunt acoperite mai jos:</w:t>
      </w:r>
    </w:p>
    <w:p>
      <w:pPr>
        <w:rPr>
          <w:noProof/>
        </w:rPr>
      </w:pPr>
      <w:r>
        <w:rPr>
          <w:noProof/>
        </w:rPr>
        <w:t>Acoperire: materialele din piei brute care intră sub incidența următoarelor coduri vamale ucrainene: 4101, 4102, 4103 90.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1214"/>
        <w:gridCol w:w="1129"/>
        <w:gridCol w:w="1129"/>
        <w:gridCol w:w="1129"/>
        <w:gridCol w:w="1137"/>
        <w:gridCol w:w="1251"/>
      </w:tblGrid>
      <w:tr>
        <w:tc>
          <w:tcPr>
            <w:tcW w:w="2299" w:type="dxa"/>
          </w:tcPr>
          <w:p>
            <w:pPr>
              <w:jc w:val="center"/>
              <w:rPr>
                <w:noProof/>
              </w:rPr>
            </w:pPr>
            <w:r>
              <w:rPr>
                <w:noProof/>
              </w:rPr>
              <w:t>An (OMC)</w:t>
            </w:r>
          </w:p>
        </w:tc>
        <w:tc>
          <w:tcPr>
            <w:tcW w:w="1214" w:type="dxa"/>
          </w:tcPr>
          <w:p>
            <w:pPr>
              <w:jc w:val="center"/>
              <w:rPr>
                <w:noProof/>
              </w:rPr>
            </w:pPr>
            <w:r>
              <w:rPr>
                <w:noProof/>
              </w:rPr>
              <w:t>2016</w:t>
            </w:r>
            <w:r>
              <w:rPr>
                <w:rStyle w:val="FootnoteReference"/>
                <w:noProof/>
              </w:rPr>
              <w:footnoteReference w:id="3"/>
            </w:r>
          </w:p>
        </w:tc>
        <w:tc>
          <w:tcPr>
            <w:tcW w:w="1129" w:type="dxa"/>
          </w:tcPr>
          <w:p>
            <w:pPr>
              <w:jc w:val="center"/>
              <w:rPr>
                <w:noProof/>
              </w:rPr>
            </w:pPr>
            <w:r>
              <w:rPr>
                <w:noProof/>
              </w:rPr>
              <w:t>2017</w:t>
            </w:r>
          </w:p>
        </w:tc>
        <w:tc>
          <w:tcPr>
            <w:tcW w:w="1129" w:type="dxa"/>
          </w:tcPr>
          <w:p>
            <w:pPr>
              <w:jc w:val="center"/>
              <w:rPr>
                <w:noProof/>
              </w:rPr>
            </w:pPr>
            <w:r>
              <w:rPr>
                <w:noProof/>
              </w:rPr>
              <w:t>2018</w:t>
            </w:r>
          </w:p>
        </w:tc>
        <w:tc>
          <w:tcPr>
            <w:tcW w:w="1129" w:type="dxa"/>
          </w:tcPr>
          <w:p>
            <w:pPr>
              <w:jc w:val="center"/>
              <w:rPr>
                <w:noProof/>
              </w:rPr>
            </w:pPr>
            <w:r>
              <w:rPr>
                <w:noProof/>
              </w:rPr>
              <w:t>2019</w:t>
            </w:r>
          </w:p>
        </w:tc>
        <w:tc>
          <w:tcPr>
            <w:tcW w:w="1137" w:type="dxa"/>
          </w:tcPr>
          <w:p>
            <w:pPr>
              <w:jc w:val="center"/>
              <w:rPr>
                <w:noProof/>
              </w:rPr>
            </w:pPr>
            <w:r>
              <w:rPr>
                <w:noProof/>
              </w:rPr>
              <w:t>2020</w:t>
            </w:r>
          </w:p>
        </w:tc>
        <w:tc>
          <w:tcPr>
            <w:tcW w:w="1251" w:type="dxa"/>
          </w:tcPr>
          <w:p>
            <w:pPr>
              <w:jc w:val="center"/>
              <w:rPr>
                <w:noProof/>
              </w:rPr>
            </w:pPr>
            <w:r>
              <w:rPr>
                <w:noProof/>
              </w:rPr>
              <w:t>2021</w:t>
            </w:r>
          </w:p>
        </w:tc>
      </w:tr>
      <w:tr>
        <w:tc>
          <w:tcPr>
            <w:tcW w:w="2299" w:type="dxa"/>
          </w:tcPr>
          <w:p>
            <w:pPr>
              <w:jc w:val="left"/>
              <w:rPr>
                <w:noProof/>
              </w:rPr>
            </w:pPr>
            <w:r>
              <w:rPr>
                <w:noProof/>
              </w:rPr>
              <w:t>Angajamentul Ucrainei față de OMC</w:t>
            </w:r>
          </w:p>
        </w:tc>
        <w:tc>
          <w:tcPr>
            <w:tcW w:w="1214" w:type="dxa"/>
          </w:tcPr>
          <w:p>
            <w:pPr>
              <w:jc w:val="center"/>
              <w:rPr>
                <w:noProof/>
              </w:rPr>
            </w:pPr>
            <w:r>
              <w:rPr>
                <w:noProof/>
              </w:rPr>
              <w:t>22,0</w:t>
            </w:r>
          </w:p>
        </w:tc>
        <w:tc>
          <w:tcPr>
            <w:tcW w:w="1129" w:type="dxa"/>
          </w:tcPr>
          <w:p>
            <w:pPr>
              <w:jc w:val="center"/>
              <w:rPr>
                <w:noProof/>
              </w:rPr>
            </w:pPr>
            <w:r>
              <w:rPr>
                <w:noProof/>
              </w:rPr>
              <w:t>21,0</w:t>
            </w:r>
          </w:p>
        </w:tc>
        <w:tc>
          <w:tcPr>
            <w:tcW w:w="1129" w:type="dxa"/>
          </w:tcPr>
          <w:p>
            <w:pPr>
              <w:jc w:val="center"/>
              <w:rPr>
                <w:noProof/>
              </w:rPr>
            </w:pPr>
            <w:r>
              <w:rPr>
                <w:noProof/>
              </w:rPr>
              <w:t>20,0</w:t>
            </w:r>
          </w:p>
        </w:tc>
        <w:tc>
          <w:tcPr>
            <w:tcW w:w="1129" w:type="dxa"/>
          </w:tcPr>
          <w:p>
            <w:pPr>
              <w:jc w:val="center"/>
              <w:rPr>
                <w:noProof/>
              </w:rPr>
            </w:pPr>
            <w:r>
              <w:rPr>
                <w:noProof/>
              </w:rPr>
              <w:t>20,0</w:t>
            </w:r>
          </w:p>
        </w:tc>
        <w:tc>
          <w:tcPr>
            <w:tcW w:w="1137" w:type="dxa"/>
          </w:tcPr>
          <w:p>
            <w:pPr>
              <w:jc w:val="center"/>
              <w:rPr>
                <w:noProof/>
              </w:rPr>
            </w:pPr>
            <w:r>
              <w:rPr>
                <w:noProof/>
              </w:rPr>
              <w:t>20,0</w:t>
            </w:r>
          </w:p>
        </w:tc>
        <w:tc>
          <w:tcPr>
            <w:tcW w:w="1251" w:type="dxa"/>
          </w:tcPr>
          <w:p>
            <w:pPr>
              <w:jc w:val="center"/>
              <w:rPr>
                <w:noProof/>
              </w:rPr>
            </w:pPr>
            <w:r>
              <w:rPr>
                <w:noProof/>
              </w:rPr>
              <w:t>20,0</w:t>
            </w:r>
          </w:p>
        </w:tc>
      </w:tr>
      <w:tr>
        <w:tc>
          <w:tcPr>
            <w:tcW w:w="2299" w:type="dxa"/>
          </w:tcPr>
          <w:p>
            <w:pPr>
              <w:jc w:val="left"/>
              <w:rPr>
                <w:noProof/>
              </w:rPr>
            </w:pPr>
            <w:r>
              <w:rPr>
                <w:noProof/>
              </w:rPr>
              <w:t>An (Acord)</w:t>
            </w:r>
          </w:p>
        </w:tc>
        <w:tc>
          <w:tcPr>
            <w:tcW w:w="1214" w:type="dxa"/>
          </w:tcPr>
          <w:p>
            <w:pPr>
              <w:jc w:val="center"/>
              <w:rPr>
                <w:noProof/>
              </w:rPr>
            </w:pPr>
            <w:r>
              <w:rPr>
                <w:noProof/>
              </w:rPr>
              <w:t>IIV</w:t>
            </w:r>
          </w:p>
        </w:tc>
        <w:tc>
          <w:tcPr>
            <w:tcW w:w="1129" w:type="dxa"/>
          </w:tcPr>
          <w:p>
            <w:pPr>
              <w:jc w:val="center"/>
              <w:rPr>
                <w:noProof/>
              </w:rPr>
            </w:pPr>
            <w:r>
              <w:rPr>
                <w:noProof/>
              </w:rPr>
              <w:t>IIV+1</w:t>
            </w:r>
          </w:p>
        </w:tc>
        <w:tc>
          <w:tcPr>
            <w:tcW w:w="1129" w:type="dxa"/>
          </w:tcPr>
          <w:p>
            <w:pPr>
              <w:jc w:val="center"/>
              <w:rPr>
                <w:noProof/>
              </w:rPr>
            </w:pPr>
            <w:r>
              <w:rPr>
                <w:noProof/>
              </w:rPr>
              <w:t>IIV+2</w:t>
            </w:r>
          </w:p>
        </w:tc>
        <w:tc>
          <w:tcPr>
            <w:tcW w:w="1129" w:type="dxa"/>
          </w:tcPr>
          <w:p>
            <w:pPr>
              <w:jc w:val="center"/>
              <w:rPr>
                <w:noProof/>
              </w:rPr>
            </w:pPr>
            <w:r>
              <w:rPr>
                <w:noProof/>
              </w:rPr>
              <w:t>IIV+3</w:t>
            </w:r>
          </w:p>
        </w:tc>
        <w:tc>
          <w:tcPr>
            <w:tcW w:w="1137" w:type="dxa"/>
          </w:tcPr>
          <w:p>
            <w:pPr>
              <w:jc w:val="center"/>
              <w:rPr>
                <w:noProof/>
              </w:rPr>
            </w:pPr>
            <w:r>
              <w:rPr>
                <w:noProof/>
              </w:rPr>
              <w:t>IIV+4</w:t>
            </w:r>
          </w:p>
        </w:tc>
        <w:tc>
          <w:tcPr>
            <w:tcW w:w="1251" w:type="dxa"/>
          </w:tcPr>
          <w:p>
            <w:pPr>
              <w:jc w:val="center"/>
              <w:rPr>
                <w:noProof/>
              </w:rPr>
            </w:pPr>
            <w:r>
              <w:rPr>
                <w:noProof/>
              </w:rPr>
              <w:t>IIV+5</w:t>
            </w:r>
          </w:p>
        </w:tc>
      </w:tr>
      <w:tr>
        <w:tc>
          <w:tcPr>
            <w:tcW w:w="2299" w:type="dxa"/>
          </w:tcPr>
          <w:p>
            <w:pPr>
              <w:jc w:val="left"/>
              <w:rPr>
                <w:noProof/>
              </w:rPr>
            </w:pPr>
            <w:r>
              <w:rPr>
                <w:noProof/>
              </w:rPr>
              <w:t>Taxa la export a Ucrainei către UE</w:t>
            </w:r>
          </w:p>
        </w:tc>
        <w:tc>
          <w:tcPr>
            <w:tcW w:w="1214" w:type="dxa"/>
          </w:tcPr>
          <w:p>
            <w:pPr>
              <w:jc w:val="center"/>
              <w:rPr>
                <w:noProof/>
              </w:rPr>
            </w:pPr>
            <w:r>
              <w:rPr>
                <w:noProof/>
              </w:rPr>
              <w:t>11,00</w:t>
            </w:r>
          </w:p>
        </w:tc>
        <w:tc>
          <w:tcPr>
            <w:tcW w:w="1129" w:type="dxa"/>
          </w:tcPr>
          <w:p>
            <w:pPr>
              <w:jc w:val="center"/>
              <w:rPr>
                <w:noProof/>
              </w:rPr>
            </w:pPr>
            <w:r>
              <w:rPr>
                <w:noProof/>
              </w:rPr>
              <w:t>9,84</w:t>
            </w:r>
          </w:p>
        </w:tc>
        <w:tc>
          <w:tcPr>
            <w:tcW w:w="1129" w:type="dxa"/>
          </w:tcPr>
          <w:p>
            <w:pPr>
              <w:jc w:val="center"/>
              <w:rPr>
                <w:noProof/>
              </w:rPr>
            </w:pPr>
            <w:r>
              <w:rPr>
                <w:noProof/>
              </w:rPr>
              <w:t>8,70</w:t>
            </w:r>
          </w:p>
        </w:tc>
        <w:tc>
          <w:tcPr>
            <w:tcW w:w="1129" w:type="dxa"/>
          </w:tcPr>
          <w:p>
            <w:pPr>
              <w:jc w:val="center"/>
              <w:rPr>
                <w:noProof/>
              </w:rPr>
            </w:pPr>
            <w:r>
              <w:rPr>
                <w:noProof/>
              </w:rPr>
              <w:t>7,95</w:t>
            </w:r>
          </w:p>
        </w:tc>
        <w:tc>
          <w:tcPr>
            <w:tcW w:w="1137" w:type="dxa"/>
          </w:tcPr>
          <w:p>
            <w:pPr>
              <w:jc w:val="center"/>
              <w:rPr>
                <w:noProof/>
              </w:rPr>
            </w:pPr>
            <w:r>
              <w:rPr>
                <w:noProof/>
              </w:rPr>
              <w:t>7,14</w:t>
            </w:r>
          </w:p>
        </w:tc>
        <w:tc>
          <w:tcPr>
            <w:tcW w:w="1251" w:type="dxa"/>
          </w:tcPr>
          <w:p>
            <w:pPr>
              <w:jc w:val="center"/>
              <w:rPr>
                <w:noProof/>
              </w:rPr>
            </w:pPr>
            <w:r>
              <w:rPr>
                <w:noProof/>
              </w:rPr>
              <w:t>6,25</w:t>
            </w:r>
          </w:p>
        </w:tc>
      </w:tr>
      <w:tr>
        <w:tc>
          <w:tcPr>
            <w:tcW w:w="2299" w:type="dxa"/>
          </w:tcPr>
          <w:p>
            <w:pPr>
              <w:jc w:val="left"/>
              <w:rPr>
                <w:noProof/>
              </w:rPr>
            </w:pPr>
            <w:r>
              <w:rPr>
                <w:noProof/>
              </w:rPr>
              <w:t>Nivelul de declanșare (în tone)</w:t>
            </w:r>
          </w:p>
        </w:tc>
        <w:tc>
          <w:tcPr>
            <w:tcW w:w="1214" w:type="dxa"/>
          </w:tcPr>
          <w:p>
            <w:pPr>
              <w:jc w:val="center"/>
              <w:rPr>
                <w:noProof/>
              </w:rPr>
            </w:pPr>
            <w:r>
              <w:rPr>
                <w:noProof/>
              </w:rPr>
              <w:t>300,0</w:t>
            </w:r>
          </w:p>
        </w:tc>
        <w:tc>
          <w:tcPr>
            <w:tcW w:w="1129" w:type="dxa"/>
          </w:tcPr>
          <w:p>
            <w:pPr>
              <w:jc w:val="center"/>
              <w:rPr>
                <w:noProof/>
              </w:rPr>
            </w:pPr>
            <w:r>
              <w:rPr>
                <w:noProof/>
              </w:rPr>
              <w:t>315,0</w:t>
            </w:r>
          </w:p>
        </w:tc>
        <w:tc>
          <w:tcPr>
            <w:tcW w:w="1129" w:type="dxa"/>
          </w:tcPr>
          <w:p>
            <w:pPr>
              <w:jc w:val="center"/>
              <w:rPr>
                <w:noProof/>
              </w:rPr>
            </w:pPr>
            <w:r>
              <w:rPr>
                <w:noProof/>
              </w:rPr>
              <w:t>330,0</w:t>
            </w:r>
          </w:p>
        </w:tc>
        <w:tc>
          <w:tcPr>
            <w:tcW w:w="1129" w:type="dxa"/>
          </w:tcPr>
          <w:p>
            <w:pPr>
              <w:jc w:val="center"/>
              <w:rPr>
                <w:noProof/>
              </w:rPr>
            </w:pPr>
            <w:r>
              <w:rPr>
                <w:noProof/>
              </w:rPr>
              <w:t>345,0</w:t>
            </w:r>
          </w:p>
        </w:tc>
        <w:tc>
          <w:tcPr>
            <w:tcW w:w="1137" w:type="dxa"/>
          </w:tcPr>
          <w:p>
            <w:pPr>
              <w:jc w:val="center"/>
              <w:rPr>
                <w:noProof/>
              </w:rPr>
            </w:pPr>
            <w:r>
              <w:rPr>
                <w:noProof/>
              </w:rPr>
              <w:t>360,0</w:t>
            </w:r>
          </w:p>
        </w:tc>
        <w:tc>
          <w:tcPr>
            <w:tcW w:w="1251" w:type="dxa"/>
          </w:tcPr>
          <w:p>
            <w:pPr>
              <w:jc w:val="center"/>
              <w:rPr>
                <w:noProof/>
              </w:rPr>
            </w:pPr>
            <w:r>
              <w:rPr>
                <w:noProof/>
              </w:rPr>
              <w:t>375,0</w:t>
            </w:r>
          </w:p>
        </w:tc>
      </w:tr>
      <w:tr>
        <w:tc>
          <w:tcPr>
            <w:tcW w:w="2299" w:type="dxa"/>
          </w:tcPr>
          <w:p>
            <w:pPr>
              <w:jc w:val="left"/>
              <w:rPr>
                <w:noProof/>
              </w:rPr>
            </w:pPr>
            <w:r>
              <w:rPr>
                <w:noProof/>
              </w:rPr>
              <w:t>Suprataxa maximă</w:t>
            </w:r>
          </w:p>
        </w:tc>
        <w:tc>
          <w:tcPr>
            <w:tcW w:w="1214" w:type="dxa"/>
          </w:tcPr>
          <w:p>
            <w:pPr>
              <w:jc w:val="center"/>
              <w:rPr>
                <w:noProof/>
              </w:rPr>
            </w:pPr>
            <w:r>
              <w:rPr>
                <w:noProof/>
              </w:rPr>
              <w:t>0,00</w:t>
            </w:r>
          </w:p>
        </w:tc>
        <w:tc>
          <w:tcPr>
            <w:tcW w:w="1129" w:type="dxa"/>
          </w:tcPr>
          <w:p>
            <w:pPr>
              <w:jc w:val="center"/>
              <w:rPr>
                <w:noProof/>
              </w:rPr>
            </w:pPr>
            <w:r>
              <w:rPr>
                <w:noProof/>
              </w:rPr>
              <w:t>0,66</w:t>
            </w:r>
          </w:p>
        </w:tc>
        <w:tc>
          <w:tcPr>
            <w:tcW w:w="1129" w:type="dxa"/>
          </w:tcPr>
          <w:p>
            <w:pPr>
              <w:jc w:val="center"/>
              <w:rPr>
                <w:noProof/>
              </w:rPr>
            </w:pPr>
            <w:r>
              <w:rPr>
                <w:noProof/>
              </w:rPr>
              <w:t>1,30</w:t>
            </w:r>
          </w:p>
        </w:tc>
        <w:tc>
          <w:tcPr>
            <w:tcW w:w="1129" w:type="dxa"/>
          </w:tcPr>
          <w:p>
            <w:pPr>
              <w:jc w:val="center"/>
              <w:rPr>
                <w:noProof/>
              </w:rPr>
            </w:pPr>
            <w:r>
              <w:rPr>
                <w:noProof/>
              </w:rPr>
              <w:t>2,05</w:t>
            </w:r>
          </w:p>
        </w:tc>
        <w:tc>
          <w:tcPr>
            <w:tcW w:w="1137" w:type="dxa"/>
          </w:tcPr>
          <w:p>
            <w:pPr>
              <w:jc w:val="center"/>
              <w:rPr>
                <w:noProof/>
              </w:rPr>
            </w:pPr>
            <w:r>
              <w:rPr>
                <w:noProof/>
              </w:rPr>
              <w:t>2,86</w:t>
            </w:r>
          </w:p>
        </w:tc>
        <w:tc>
          <w:tcPr>
            <w:tcW w:w="1251" w:type="dxa"/>
          </w:tcPr>
          <w:p>
            <w:pPr>
              <w:jc w:val="center"/>
              <w:rPr>
                <w:noProof/>
              </w:rPr>
            </w:pPr>
            <w:r>
              <w:rPr>
                <w:noProof/>
              </w:rPr>
              <w:t>3,75</w:t>
            </w:r>
          </w:p>
        </w:tc>
      </w:tr>
    </w:tbl>
    <w:p>
      <w:pPr>
        <w:rPr>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1444"/>
        <w:gridCol w:w="1250"/>
        <w:gridCol w:w="1250"/>
        <w:gridCol w:w="1250"/>
        <w:gridCol w:w="1431"/>
      </w:tblGrid>
      <w:tr>
        <w:tc>
          <w:tcPr>
            <w:tcW w:w="2835" w:type="dxa"/>
          </w:tcPr>
          <w:p>
            <w:pPr>
              <w:jc w:val="center"/>
              <w:rPr>
                <w:noProof/>
              </w:rPr>
            </w:pPr>
            <w:r>
              <w:rPr>
                <w:noProof/>
              </w:rPr>
              <w:t>An (OMC)</w:t>
            </w:r>
          </w:p>
        </w:tc>
        <w:tc>
          <w:tcPr>
            <w:tcW w:w="1545" w:type="dxa"/>
          </w:tcPr>
          <w:p>
            <w:pPr>
              <w:jc w:val="center"/>
              <w:rPr>
                <w:noProof/>
              </w:rPr>
            </w:pPr>
            <w:r>
              <w:rPr>
                <w:noProof/>
              </w:rPr>
              <w:t>2022</w:t>
            </w:r>
          </w:p>
        </w:tc>
        <w:tc>
          <w:tcPr>
            <w:tcW w:w="1321" w:type="dxa"/>
          </w:tcPr>
          <w:p>
            <w:pPr>
              <w:jc w:val="center"/>
              <w:rPr>
                <w:noProof/>
              </w:rPr>
            </w:pPr>
            <w:r>
              <w:rPr>
                <w:noProof/>
              </w:rPr>
              <w:t>2023</w:t>
            </w:r>
          </w:p>
        </w:tc>
        <w:tc>
          <w:tcPr>
            <w:tcW w:w="1321" w:type="dxa"/>
          </w:tcPr>
          <w:p>
            <w:pPr>
              <w:jc w:val="center"/>
              <w:rPr>
                <w:noProof/>
              </w:rPr>
            </w:pPr>
            <w:r>
              <w:rPr>
                <w:noProof/>
              </w:rPr>
              <w:t>2024</w:t>
            </w:r>
          </w:p>
        </w:tc>
        <w:tc>
          <w:tcPr>
            <w:tcW w:w="1321" w:type="dxa"/>
          </w:tcPr>
          <w:p>
            <w:pPr>
              <w:jc w:val="center"/>
              <w:rPr>
                <w:noProof/>
              </w:rPr>
            </w:pPr>
            <w:r>
              <w:rPr>
                <w:noProof/>
              </w:rPr>
              <w:t>2025</w:t>
            </w:r>
          </w:p>
        </w:tc>
        <w:tc>
          <w:tcPr>
            <w:tcW w:w="1511" w:type="dxa"/>
          </w:tcPr>
          <w:p>
            <w:pPr>
              <w:jc w:val="center"/>
              <w:rPr>
                <w:noProof/>
              </w:rPr>
            </w:pPr>
            <w:r>
              <w:rPr>
                <w:noProof/>
              </w:rPr>
              <w:t>2026</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20,0</w:t>
            </w:r>
          </w:p>
        </w:tc>
        <w:tc>
          <w:tcPr>
            <w:tcW w:w="1321" w:type="dxa"/>
          </w:tcPr>
          <w:p>
            <w:pPr>
              <w:jc w:val="center"/>
              <w:rPr>
                <w:noProof/>
              </w:rPr>
            </w:pPr>
            <w:r>
              <w:rPr>
                <w:noProof/>
              </w:rPr>
              <w:t>20,0</w:t>
            </w:r>
          </w:p>
        </w:tc>
        <w:tc>
          <w:tcPr>
            <w:tcW w:w="1321" w:type="dxa"/>
          </w:tcPr>
          <w:p>
            <w:pPr>
              <w:jc w:val="center"/>
              <w:rPr>
                <w:noProof/>
              </w:rPr>
            </w:pPr>
            <w:r>
              <w:rPr>
                <w:noProof/>
              </w:rPr>
              <w:t>20,0</w:t>
            </w:r>
          </w:p>
        </w:tc>
        <w:tc>
          <w:tcPr>
            <w:tcW w:w="1321" w:type="dxa"/>
          </w:tcPr>
          <w:p>
            <w:pPr>
              <w:jc w:val="center"/>
              <w:rPr>
                <w:noProof/>
              </w:rPr>
            </w:pPr>
            <w:r>
              <w:rPr>
                <w:noProof/>
              </w:rPr>
              <w:t>20,0</w:t>
            </w:r>
          </w:p>
        </w:tc>
        <w:tc>
          <w:tcPr>
            <w:tcW w:w="1511" w:type="dxa"/>
          </w:tcPr>
          <w:p>
            <w:pPr>
              <w:jc w:val="center"/>
              <w:rPr>
                <w:noProof/>
              </w:rPr>
            </w:pPr>
            <w:r>
              <w:rPr>
                <w:noProof/>
              </w:rPr>
              <w:t>20,0</w:t>
            </w:r>
          </w:p>
        </w:tc>
      </w:tr>
      <w:tr>
        <w:tc>
          <w:tcPr>
            <w:tcW w:w="2835" w:type="dxa"/>
          </w:tcPr>
          <w:p>
            <w:pPr>
              <w:jc w:val="center"/>
              <w:rPr>
                <w:noProof/>
              </w:rPr>
            </w:pPr>
            <w:r>
              <w:rPr>
                <w:noProof/>
              </w:rPr>
              <w:t>An (Acord)</w:t>
            </w:r>
          </w:p>
        </w:tc>
        <w:tc>
          <w:tcPr>
            <w:tcW w:w="1545" w:type="dxa"/>
          </w:tcPr>
          <w:p>
            <w:pPr>
              <w:jc w:val="center"/>
              <w:rPr>
                <w:noProof/>
              </w:rPr>
            </w:pPr>
            <w:r>
              <w:rPr>
                <w:noProof/>
              </w:rPr>
              <w:t>IIV+6</w:t>
            </w:r>
          </w:p>
        </w:tc>
        <w:tc>
          <w:tcPr>
            <w:tcW w:w="1321" w:type="dxa"/>
          </w:tcPr>
          <w:p>
            <w:pPr>
              <w:jc w:val="center"/>
              <w:rPr>
                <w:noProof/>
              </w:rPr>
            </w:pPr>
            <w:r>
              <w:rPr>
                <w:noProof/>
              </w:rPr>
              <w:t>IIV+7</w:t>
            </w:r>
          </w:p>
        </w:tc>
        <w:tc>
          <w:tcPr>
            <w:tcW w:w="1321" w:type="dxa"/>
          </w:tcPr>
          <w:p>
            <w:pPr>
              <w:jc w:val="center"/>
              <w:rPr>
                <w:noProof/>
              </w:rPr>
            </w:pPr>
            <w:r>
              <w:rPr>
                <w:noProof/>
              </w:rPr>
              <w:t>IIV+8</w:t>
            </w:r>
          </w:p>
        </w:tc>
        <w:tc>
          <w:tcPr>
            <w:tcW w:w="1321" w:type="dxa"/>
          </w:tcPr>
          <w:p>
            <w:pPr>
              <w:jc w:val="center"/>
              <w:rPr>
                <w:noProof/>
              </w:rPr>
            </w:pPr>
            <w:r>
              <w:rPr>
                <w:noProof/>
              </w:rPr>
              <w:t>IIV+9</w:t>
            </w:r>
          </w:p>
        </w:tc>
        <w:tc>
          <w:tcPr>
            <w:tcW w:w="1511" w:type="dxa"/>
          </w:tcPr>
          <w:p>
            <w:pPr>
              <w:jc w:val="center"/>
              <w:rPr>
                <w:noProof/>
              </w:rPr>
            </w:pPr>
            <w:r>
              <w:rPr>
                <w:noProof/>
              </w:rPr>
              <w:t>IIV+10</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5,0</w:t>
            </w:r>
          </w:p>
        </w:tc>
        <w:tc>
          <w:tcPr>
            <w:tcW w:w="1321" w:type="dxa"/>
          </w:tcPr>
          <w:p>
            <w:pPr>
              <w:jc w:val="center"/>
              <w:rPr>
                <w:noProof/>
              </w:rPr>
            </w:pPr>
            <w:r>
              <w:rPr>
                <w:noProof/>
              </w:rPr>
              <w:t>3,75</w:t>
            </w:r>
          </w:p>
        </w:tc>
        <w:tc>
          <w:tcPr>
            <w:tcW w:w="1321" w:type="dxa"/>
          </w:tcPr>
          <w:p>
            <w:pPr>
              <w:jc w:val="center"/>
              <w:rPr>
                <w:noProof/>
              </w:rPr>
            </w:pPr>
            <w:r>
              <w:rPr>
                <w:noProof/>
              </w:rPr>
              <w:t>2,50</w:t>
            </w:r>
          </w:p>
        </w:tc>
        <w:tc>
          <w:tcPr>
            <w:tcW w:w="1321" w:type="dxa"/>
          </w:tcPr>
          <w:p>
            <w:pPr>
              <w:jc w:val="center"/>
              <w:rPr>
                <w:noProof/>
              </w:rPr>
            </w:pPr>
            <w:r>
              <w:rPr>
                <w:noProof/>
              </w:rPr>
              <w:t>1,25</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390,0</w:t>
            </w:r>
          </w:p>
        </w:tc>
        <w:tc>
          <w:tcPr>
            <w:tcW w:w="1321" w:type="dxa"/>
          </w:tcPr>
          <w:p>
            <w:pPr>
              <w:jc w:val="center"/>
              <w:rPr>
                <w:noProof/>
              </w:rPr>
            </w:pPr>
            <w:r>
              <w:rPr>
                <w:noProof/>
              </w:rPr>
              <w:t>405,0</w:t>
            </w:r>
          </w:p>
        </w:tc>
        <w:tc>
          <w:tcPr>
            <w:tcW w:w="1321" w:type="dxa"/>
          </w:tcPr>
          <w:p>
            <w:pPr>
              <w:jc w:val="center"/>
              <w:rPr>
                <w:noProof/>
              </w:rPr>
            </w:pPr>
            <w:r>
              <w:rPr>
                <w:noProof/>
              </w:rPr>
              <w:t>420,0</w:t>
            </w:r>
          </w:p>
        </w:tc>
        <w:tc>
          <w:tcPr>
            <w:tcW w:w="1321" w:type="dxa"/>
          </w:tcPr>
          <w:p>
            <w:pPr>
              <w:jc w:val="center"/>
              <w:rPr>
                <w:noProof/>
              </w:rPr>
            </w:pPr>
            <w:r>
              <w:rPr>
                <w:noProof/>
              </w:rPr>
              <w:t>435,0</w:t>
            </w:r>
          </w:p>
        </w:tc>
        <w:tc>
          <w:tcPr>
            <w:tcW w:w="1511" w:type="dxa"/>
          </w:tcPr>
          <w:p>
            <w:pPr>
              <w:jc w:val="center"/>
              <w:rPr>
                <w:noProof/>
              </w:rPr>
            </w:pPr>
            <w:r>
              <w:rPr>
                <w:noProof/>
              </w:rPr>
              <w:t>450,0</w:t>
            </w:r>
          </w:p>
        </w:tc>
      </w:tr>
      <w:tr>
        <w:tc>
          <w:tcPr>
            <w:tcW w:w="2835" w:type="dxa"/>
          </w:tcPr>
          <w:p>
            <w:pPr>
              <w:jc w:val="left"/>
              <w:rPr>
                <w:noProof/>
              </w:rPr>
            </w:pPr>
            <w:r>
              <w:rPr>
                <w:noProof/>
              </w:rPr>
              <w:t>Suprataxa maximă</w:t>
            </w:r>
          </w:p>
        </w:tc>
        <w:tc>
          <w:tcPr>
            <w:tcW w:w="1545" w:type="dxa"/>
          </w:tcPr>
          <w:p>
            <w:pPr>
              <w:jc w:val="center"/>
              <w:rPr>
                <w:noProof/>
              </w:rPr>
            </w:pPr>
            <w:r>
              <w:rPr>
                <w:noProof/>
              </w:rPr>
              <w:t>5,0</w:t>
            </w:r>
          </w:p>
        </w:tc>
        <w:tc>
          <w:tcPr>
            <w:tcW w:w="1321" w:type="dxa"/>
          </w:tcPr>
          <w:p>
            <w:pPr>
              <w:jc w:val="center"/>
              <w:rPr>
                <w:noProof/>
              </w:rPr>
            </w:pPr>
            <w:r>
              <w:rPr>
                <w:noProof/>
              </w:rPr>
              <w:t>6,25</w:t>
            </w:r>
          </w:p>
        </w:tc>
        <w:tc>
          <w:tcPr>
            <w:tcW w:w="1321" w:type="dxa"/>
          </w:tcPr>
          <w:p>
            <w:pPr>
              <w:jc w:val="center"/>
              <w:rPr>
                <w:noProof/>
              </w:rPr>
            </w:pPr>
            <w:r>
              <w:rPr>
                <w:noProof/>
              </w:rPr>
              <w:t>7,5</w:t>
            </w:r>
          </w:p>
        </w:tc>
        <w:tc>
          <w:tcPr>
            <w:tcW w:w="1321" w:type="dxa"/>
          </w:tcPr>
          <w:p>
            <w:pPr>
              <w:jc w:val="center"/>
              <w:rPr>
                <w:noProof/>
              </w:rPr>
            </w:pPr>
            <w:r>
              <w:rPr>
                <w:noProof/>
              </w:rPr>
              <w:t>8,75</w:t>
            </w:r>
          </w:p>
        </w:tc>
        <w:tc>
          <w:tcPr>
            <w:tcW w:w="1511" w:type="dxa"/>
          </w:tcPr>
          <w:p>
            <w:pPr>
              <w:jc w:val="center"/>
              <w:rPr>
                <w:noProof/>
              </w:rPr>
            </w:pPr>
            <w:r>
              <w:rPr>
                <w:noProof/>
              </w:rPr>
              <w:t>10,0</w:t>
            </w:r>
          </w:p>
        </w:tc>
      </w:tr>
    </w:tbl>
    <w:p>
      <w:pPr>
        <w:rPr>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1449"/>
        <w:gridCol w:w="1260"/>
        <w:gridCol w:w="1260"/>
        <w:gridCol w:w="1260"/>
        <w:gridCol w:w="1420"/>
      </w:tblGrid>
      <w:tr>
        <w:tc>
          <w:tcPr>
            <w:tcW w:w="2835" w:type="dxa"/>
          </w:tcPr>
          <w:p>
            <w:pPr>
              <w:jc w:val="center"/>
              <w:rPr>
                <w:noProof/>
              </w:rPr>
            </w:pPr>
            <w:r>
              <w:rPr>
                <w:noProof/>
              </w:rPr>
              <w:t>An (OMC)</w:t>
            </w:r>
          </w:p>
        </w:tc>
        <w:tc>
          <w:tcPr>
            <w:tcW w:w="1545" w:type="dxa"/>
          </w:tcPr>
          <w:p>
            <w:pPr>
              <w:jc w:val="center"/>
              <w:rPr>
                <w:noProof/>
              </w:rPr>
            </w:pPr>
            <w:r>
              <w:rPr>
                <w:noProof/>
              </w:rPr>
              <w:t>2027</w:t>
            </w:r>
          </w:p>
        </w:tc>
        <w:tc>
          <w:tcPr>
            <w:tcW w:w="1321" w:type="dxa"/>
          </w:tcPr>
          <w:p>
            <w:pPr>
              <w:jc w:val="center"/>
              <w:rPr>
                <w:noProof/>
              </w:rPr>
            </w:pPr>
            <w:r>
              <w:rPr>
                <w:noProof/>
              </w:rPr>
              <w:t>2028</w:t>
            </w:r>
          </w:p>
        </w:tc>
        <w:tc>
          <w:tcPr>
            <w:tcW w:w="1321" w:type="dxa"/>
          </w:tcPr>
          <w:p>
            <w:pPr>
              <w:jc w:val="center"/>
              <w:rPr>
                <w:noProof/>
              </w:rPr>
            </w:pPr>
            <w:r>
              <w:rPr>
                <w:noProof/>
              </w:rPr>
              <w:t>2029</w:t>
            </w:r>
          </w:p>
        </w:tc>
        <w:tc>
          <w:tcPr>
            <w:tcW w:w="1321" w:type="dxa"/>
          </w:tcPr>
          <w:p>
            <w:pPr>
              <w:jc w:val="center"/>
              <w:rPr>
                <w:noProof/>
              </w:rPr>
            </w:pPr>
            <w:r>
              <w:rPr>
                <w:noProof/>
              </w:rPr>
              <w:t>2030</w:t>
            </w:r>
          </w:p>
        </w:tc>
        <w:tc>
          <w:tcPr>
            <w:tcW w:w="1511" w:type="dxa"/>
          </w:tcPr>
          <w:p>
            <w:pPr>
              <w:jc w:val="center"/>
              <w:rPr>
                <w:noProof/>
              </w:rPr>
            </w:pPr>
            <w:r>
              <w:rPr>
                <w:noProof/>
              </w:rPr>
              <w:t>2031</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20,0</w:t>
            </w:r>
          </w:p>
        </w:tc>
        <w:tc>
          <w:tcPr>
            <w:tcW w:w="1321" w:type="dxa"/>
          </w:tcPr>
          <w:p>
            <w:pPr>
              <w:jc w:val="center"/>
              <w:rPr>
                <w:noProof/>
              </w:rPr>
            </w:pPr>
            <w:r>
              <w:rPr>
                <w:noProof/>
              </w:rPr>
              <w:t>20,0</w:t>
            </w:r>
          </w:p>
        </w:tc>
        <w:tc>
          <w:tcPr>
            <w:tcW w:w="1321" w:type="dxa"/>
          </w:tcPr>
          <w:p>
            <w:pPr>
              <w:jc w:val="center"/>
              <w:rPr>
                <w:noProof/>
              </w:rPr>
            </w:pPr>
            <w:r>
              <w:rPr>
                <w:noProof/>
              </w:rPr>
              <w:t>20,0</w:t>
            </w:r>
          </w:p>
        </w:tc>
        <w:tc>
          <w:tcPr>
            <w:tcW w:w="1321" w:type="dxa"/>
          </w:tcPr>
          <w:p>
            <w:pPr>
              <w:jc w:val="center"/>
              <w:rPr>
                <w:noProof/>
              </w:rPr>
            </w:pPr>
            <w:r>
              <w:rPr>
                <w:noProof/>
              </w:rPr>
              <w:t>20,0</w:t>
            </w:r>
          </w:p>
        </w:tc>
        <w:tc>
          <w:tcPr>
            <w:tcW w:w="1511" w:type="dxa"/>
          </w:tcPr>
          <w:p>
            <w:pPr>
              <w:jc w:val="center"/>
              <w:rPr>
                <w:noProof/>
              </w:rPr>
            </w:pPr>
            <w:r>
              <w:rPr>
                <w:noProof/>
              </w:rPr>
              <w:t>20,0</w:t>
            </w:r>
          </w:p>
        </w:tc>
      </w:tr>
      <w:tr>
        <w:tc>
          <w:tcPr>
            <w:tcW w:w="2835" w:type="dxa"/>
          </w:tcPr>
          <w:p>
            <w:pPr>
              <w:jc w:val="center"/>
              <w:rPr>
                <w:noProof/>
              </w:rPr>
            </w:pPr>
            <w:r>
              <w:rPr>
                <w:noProof/>
              </w:rPr>
              <w:t>An (Acord)</w:t>
            </w:r>
          </w:p>
        </w:tc>
        <w:tc>
          <w:tcPr>
            <w:tcW w:w="1545" w:type="dxa"/>
          </w:tcPr>
          <w:p>
            <w:pPr>
              <w:jc w:val="center"/>
              <w:rPr>
                <w:noProof/>
              </w:rPr>
            </w:pPr>
            <w:r>
              <w:rPr>
                <w:noProof/>
              </w:rPr>
              <w:t>IIV+11</w:t>
            </w:r>
          </w:p>
        </w:tc>
        <w:tc>
          <w:tcPr>
            <w:tcW w:w="1321" w:type="dxa"/>
          </w:tcPr>
          <w:p>
            <w:pPr>
              <w:jc w:val="center"/>
              <w:rPr>
                <w:noProof/>
              </w:rPr>
            </w:pPr>
            <w:r>
              <w:rPr>
                <w:noProof/>
              </w:rPr>
              <w:t>IIV+12</w:t>
            </w:r>
          </w:p>
        </w:tc>
        <w:tc>
          <w:tcPr>
            <w:tcW w:w="1321" w:type="dxa"/>
          </w:tcPr>
          <w:p>
            <w:pPr>
              <w:jc w:val="center"/>
              <w:rPr>
                <w:noProof/>
              </w:rPr>
            </w:pPr>
            <w:r>
              <w:rPr>
                <w:noProof/>
              </w:rPr>
              <w:t>IIV+13</w:t>
            </w:r>
          </w:p>
        </w:tc>
        <w:tc>
          <w:tcPr>
            <w:tcW w:w="1321" w:type="dxa"/>
          </w:tcPr>
          <w:p>
            <w:pPr>
              <w:jc w:val="center"/>
              <w:rPr>
                <w:noProof/>
              </w:rPr>
            </w:pPr>
            <w:r>
              <w:rPr>
                <w:noProof/>
              </w:rPr>
              <w:t>IIV+14</w:t>
            </w:r>
          </w:p>
        </w:tc>
        <w:tc>
          <w:tcPr>
            <w:tcW w:w="1511" w:type="dxa"/>
          </w:tcPr>
          <w:p>
            <w:pPr>
              <w:jc w:val="center"/>
              <w:rPr>
                <w:noProof/>
              </w:rPr>
            </w:pPr>
            <w:r>
              <w:rPr>
                <w:noProof/>
              </w:rPr>
              <w:t>IIV+15</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450,0</w:t>
            </w:r>
          </w:p>
        </w:tc>
        <w:tc>
          <w:tcPr>
            <w:tcW w:w="1321" w:type="dxa"/>
          </w:tcPr>
          <w:p>
            <w:pPr>
              <w:jc w:val="center"/>
              <w:rPr>
                <w:noProof/>
              </w:rPr>
            </w:pPr>
            <w:r>
              <w:rPr>
                <w:noProof/>
              </w:rPr>
              <w:t>450,0</w:t>
            </w:r>
          </w:p>
        </w:tc>
        <w:tc>
          <w:tcPr>
            <w:tcW w:w="1321" w:type="dxa"/>
          </w:tcPr>
          <w:p>
            <w:pPr>
              <w:jc w:val="center"/>
              <w:rPr>
                <w:noProof/>
              </w:rPr>
            </w:pPr>
            <w:r>
              <w:rPr>
                <w:noProof/>
              </w:rPr>
              <w:t>450,0</w:t>
            </w:r>
          </w:p>
        </w:tc>
        <w:tc>
          <w:tcPr>
            <w:tcW w:w="1321" w:type="dxa"/>
          </w:tcPr>
          <w:p>
            <w:pPr>
              <w:jc w:val="center"/>
              <w:rPr>
                <w:noProof/>
              </w:rPr>
            </w:pPr>
            <w:r>
              <w:rPr>
                <w:noProof/>
              </w:rPr>
              <w:t>450,0</w:t>
            </w:r>
          </w:p>
        </w:tc>
        <w:tc>
          <w:tcPr>
            <w:tcW w:w="1511" w:type="dxa"/>
          </w:tcPr>
          <w:p>
            <w:pPr>
              <w:jc w:val="center"/>
              <w:rPr>
                <w:noProof/>
              </w:rPr>
            </w:pPr>
            <w:r>
              <w:rPr>
                <w:noProof/>
              </w:rPr>
              <w:t>450,0</w:t>
            </w:r>
          </w:p>
        </w:tc>
      </w:tr>
      <w:tr>
        <w:tc>
          <w:tcPr>
            <w:tcW w:w="2835" w:type="dxa"/>
          </w:tcPr>
          <w:p>
            <w:pPr>
              <w:jc w:val="left"/>
              <w:rPr>
                <w:noProof/>
              </w:rPr>
            </w:pPr>
            <w:r>
              <w:rPr>
                <w:noProof/>
              </w:rPr>
              <w:t>Suprataxa maximă</w:t>
            </w:r>
          </w:p>
        </w:tc>
        <w:tc>
          <w:tcPr>
            <w:tcW w:w="1545" w:type="dxa"/>
          </w:tcPr>
          <w:p>
            <w:pPr>
              <w:jc w:val="center"/>
              <w:rPr>
                <w:noProof/>
              </w:rPr>
            </w:pPr>
            <w:r>
              <w:rPr>
                <w:noProof/>
              </w:rPr>
              <w:t>8,0</w:t>
            </w:r>
          </w:p>
        </w:tc>
        <w:tc>
          <w:tcPr>
            <w:tcW w:w="1321" w:type="dxa"/>
          </w:tcPr>
          <w:p>
            <w:pPr>
              <w:jc w:val="center"/>
              <w:rPr>
                <w:noProof/>
              </w:rPr>
            </w:pPr>
            <w:r>
              <w:rPr>
                <w:noProof/>
              </w:rPr>
              <w:t>6,0</w:t>
            </w:r>
          </w:p>
        </w:tc>
        <w:tc>
          <w:tcPr>
            <w:tcW w:w="1321" w:type="dxa"/>
          </w:tcPr>
          <w:p>
            <w:pPr>
              <w:jc w:val="center"/>
              <w:rPr>
                <w:noProof/>
              </w:rPr>
            </w:pPr>
            <w:r>
              <w:rPr>
                <w:noProof/>
              </w:rPr>
              <w:t>4,0</w:t>
            </w:r>
          </w:p>
        </w:tc>
        <w:tc>
          <w:tcPr>
            <w:tcW w:w="1321" w:type="dxa"/>
          </w:tcPr>
          <w:p>
            <w:pPr>
              <w:jc w:val="center"/>
              <w:rPr>
                <w:noProof/>
              </w:rPr>
            </w:pPr>
            <w:r>
              <w:rPr>
                <w:noProof/>
              </w:rPr>
              <w:t>2,0</w:t>
            </w:r>
          </w:p>
        </w:tc>
        <w:tc>
          <w:tcPr>
            <w:tcW w:w="1511" w:type="dxa"/>
          </w:tcPr>
          <w:p>
            <w:pPr>
              <w:jc w:val="center"/>
              <w:rPr>
                <w:noProof/>
              </w:rPr>
            </w:pPr>
            <w:r>
              <w:rPr>
                <w:noProof/>
              </w:rPr>
              <w:t>0,0</w:t>
            </w:r>
          </w:p>
        </w:tc>
      </w:tr>
    </w:tbl>
    <w:p>
      <w:pPr>
        <w:pStyle w:val="ManualNumPar17"/>
        <w:rPr>
          <w:noProof/>
        </w:rPr>
      </w:pPr>
    </w:p>
    <w:p>
      <w:pPr>
        <w:pStyle w:val="ManualNumPar17"/>
        <w:rPr>
          <w:noProof/>
        </w:rPr>
      </w:pPr>
      <w:r>
        <w:rPr>
          <w:noProof/>
        </w:rPr>
        <w:t>9.</w:t>
      </w:r>
      <w:r>
        <w:rPr>
          <w:noProof/>
        </w:rPr>
        <w:tab/>
        <w:t>Pentru semințe de floarea-soarelui, chiar sfărâmate, astfel cum sunt acoperite mai jos:</w:t>
      </w:r>
    </w:p>
    <w:p>
      <w:pPr>
        <w:keepNext/>
        <w:keepLines/>
        <w:rPr>
          <w:noProof/>
        </w:rPr>
      </w:pPr>
      <w:r>
        <w:rPr>
          <w:noProof/>
        </w:rPr>
        <w:t>Acoperire: semințele de floarea-soarelui, chiar sfărâmate, care intră sub incidența următoarelor coduri vamale ucrainene: 1206 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1214"/>
        <w:gridCol w:w="1129"/>
        <w:gridCol w:w="1129"/>
        <w:gridCol w:w="1129"/>
        <w:gridCol w:w="1137"/>
        <w:gridCol w:w="1251"/>
      </w:tblGrid>
      <w:tr>
        <w:tc>
          <w:tcPr>
            <w:tcW w:w="2299" w:type="dxa"/>
          </w:tcPr>
          <w:p>
            <w:pPr>
              <w:jc w:val="center"/>
              <w:rPr>
                <w:noProof/>
              </w:rPr>
            </w:pPr>
            <w:r>
              <w:rPr>
                <w:noProof/>
              </w:rPr>
              <w:t>An (OMC)</w:t>
            </w:r>
          </w:p>
        </w:tc>
        <w:tc>
          <w:tcPr>
            <w:tcW w:w="1214" w:type="dxa"/>
          </w:tcPr>
          <w:p>
            <w:pPr>
              <w:jc w:val="center"/>
              <w:rPr>
                <w:noProof/>
              </w:rPr>
            </w:pPr>
            <w:r>
              <w:rPr>
                <w:noProof/>
              </w:rPr>
              <w:t>2016</w:t>
            </w:r>
          </w:p>
        </w:tc>
        <w:tc>
          <w:tcPr>
            <w:tcW w:w="1129" w:type="dxa"/>
          </w:tcPr>
          <w:p>
            <w:pPr>
              <w:jc w:val="center"/>
              <w:rPr>
                <w:noProof/>
              </w:rPr>
            </w:pPr>
            <w:r>
              <w:rPr>
                <w:noProof/>
              </w:rPr>
              <w:t>2017</w:t>
            </w:r>
          </w:p>
        </w:tc>
        <w:tc>
          <w:tcPr>
            <w:tcW w:w="1129" w:type="dxa"/>
          </w:tcPr>
          <w:p>
            <w:pPr>
              <w:jc w:val="center"/>
              <w:rPr>
                <w:noProof/>
              </w:rPr>
            </w:pPr>
            <w:r>
              <w:rPr>
                <w:noProof/>
              </w:rPr>
              <w:t>2018</w:t>
            </w:r>
          </w:p>
        </w:tc>
        <w:tc>
          <w:tcPr>
            <w:tcW w:w="1129" w:type="dxa"/>
          </w:tcPr>
          <w:p>
            <w:pPr>
              <w:jc w:val="center"/>
              <w:rPr>
                <w:noProof/>
              </w:rPr>
            </w:pPr>
            <w:r>
              <w:rPr>
                <w:noProof/>
              </w:rPr>
              <w:t>2019</w:t>
            </w:r>
          </w:p>
        </w:tc>
        <w:tc>
          <w:tcPr>
            <w:tcW w:w="1137" w:type="dxa"/>
          </w:tcPr>
          <w:p>
            <w:pPr>
              <w:jc w:val="center"/>
              <w:rPr>
                <w:noProof/>
              </w:rPr>
            </w:pPr>
            <w:r>
              <w:rPr>
                <w:noProof/>
              </w:rPr>
              <w:t>2020</w:t>
            </w:r>
          </w:p>
        </w:tc>
        <w:tc>
          <w:tcPr>
            <w:tcW w:w="1251" w:type="dxa"/>
          </w:tcPr>
          <w:p>
            <w:pPr>
              <w:jc w:val="center"/>
              <w:rPr>
                <w:noProof/>
              </w:rPr>
            </w:pPr>
            <w:r>
              <w:rPr>
                <w:noProof/>
              </w:rPr>
              <w:t>2021</w:t>
            </w:r>
          </w:p>
        </w:tc>
      </w:tr>
      <w:tr>
        <w:tc>
          <w:tcPr>
            <w:tcW w:w="2299" w:type="dxa"/>
          </w:tcPr>
          <w:p>
            <w:pPr>
              <w:jc w:val="left"/>
              <w:rPr>
                <w:noProof/>
              </w:rPr>
            </w:pPr>
            <w:r>
              <w:rPr>
                <w:noProof/>
              </w:rPr>
              <w:t>Angajamentul Ucrainei față de OMC</w:t>
            </w:r>
          </w:p>
        </w:tc>
        <w:tc>
          <w:tcPr>
            <w:tcW w:w="1214" w:type="dxa"/>
          </w:tcPr>
          <w:p>
            <w:pPr>
              <w:jc w:val="center"/>
              <w:rPr>
                <w:noProof/>
              </w:rPr>
            </w:pPr>
            <w:r>
              <w:rPr>
                <w:noProof/>
              </w:rPr>
              <w:t>11,0</w:t>
            </w:r>
          </w:p>
        </w:tc>
        <w:tc>
          <w:tcPr>
            <w:tcW w:w="1129" w:type="dxa"/>
          </w:tcPr>
          <w:p>
            <w:pPr>
              <w:jc w:val="center"/>
              <w:rPr>
                <w:noProof/>
              </w:rPr>
            </w:pPr>
            <w:r>
              <w:rPr>
                <w:noProof/>
              </w:rPr>
              <w:t>10,0</w:t>
            </w:r>
          </w:p>
        </w:tc>
        <w:tc>
          <w:tcPr>
            <w:tcW w:w="1129" w:type="dxa"/>
          </w:tcPr>
          <w:p>
            <w:pPr>
              <w:jc w:val="center"/>
              <w:rPr>
                <w:noProof/>
              </w:rPr>
            </w:pPr>
            <w:r>
              <w:rPr>
                <w:noProof/>
              </w:rPr>
              <w:t>10,0</w:t>
            </w:r>
          </w:p>
        </w:tc>
        <w:tc>
          <w:tcPr>
            <w:tcW w:w="1129" w:type="dxa"/>
          </w:tcPr>
          <w:p>
            <w:pPr>
              <w:jc w:val="center"/>
              <w:rPr>
                <w:noProof/>
              </w:rPr>
            </w:pPr>
            <w:r>
              <w:rPr>
                <w:noProof/>
              </w:rPr>
              <w:t>10,0</w:t>
            </w:r>
          </w:p>
        </w:tc>
        <w:tc>
          <w:tcPr>
            <w:tcW w:w="1137" w:type="dxa"/>
          </w:tcPr>
          <w:p>
            <w:pPr>
              <w:jc w:val="center"/>
              <w:rPr>
                <w:noProof/>
              </w:rPr>
            </w:pPr>
            <w:r>
              <w:rPr>
                <w:noProof/>
              </w:rPr>
              <w:t>10,0</w:t>
            </w:r>
          </w:p>
        </w:tc>
        <w:tc>
          <w:tcPr>
            <w:tcW w:w="1251" w:type="dxa"/>
          </w:tcPr>
          <w:p>
            <w:pPr>
              <w:jc w:val="center"/>
              <w:rPr>
                <w:noProof/>
              </w:rPr>
            </w:pPr>
            <w:r>
              <w:rPr>
                <w:noProof/>
              </w:rPr>
              <w:t>10,0</w:t>
            </w:r>
          </w:p>
        </w:tc>
      </w:tr>
      <w:tr>
        <w:tc>
          <w:tcPr>
            <w:tcW w:w="2299" w:type="dxa"/>
          </w:tcPr>
          <w:p>
            <w:pPr>
              <w:jc w:val="center"/>
              <w:rPr>
                <w:noProof/>
              </w:rPr>
            </w:pPr>
            <w:r>
              <w:rPr>
                <w:noProof/>
              </w:rPr>
              <w:t>An (Acord)</w:t>
            </w:r>
          </w:p>
        </w:tc>
        <w:tc>
          <w:tcPr>
            <w:tcW w:w="1214" w:type="dxa"/>
          </w:tcPr>
          <w:p>
            <w:pPr>
              <w:jc w:val="center"/>
              <w:rPr>
                <w:noProof/>
              </w:rPr>
            </w:pPr>
            <w:r>
              <w:rPr>
                <w:noProof/>
              </w:rPr>
              <w:t>IIV</w:t>
            </w:r>
          </w:p>
        </w:tc>
        <w:tc>
          <w:tcPr>
            <w:tcW w:w="1129" w:type="dxa"/>
          </w:tcPr>
          <w:p>
            <w:pPr>
              <w:jc w:val="center"/>
              <w:rPr>
                <w:noProof/>
              </w:rPr>
            </w:pPr>
            <w:r>
              <w:rPr>
                <w:noProof/>
              </w:rPr>
              <w:t>IIV+1</w:t>
            </w:r>
          </w:p>
        </w:tc>
        <w:tc>
          <w:tcPr>
            <w:tcW w:w="1129" w:type="dxa"/>
          </w:tcPr>
          <w:p>
            <w:pPr>
              <w:jc w:val="center"/>
              <w:rPr>
                <w:noProof/>
              </w:rPr>
            </w:pPr>
            <w:r>
              <w:rPr>
                <w:noProof/>
              </w:rPr>
              <w:t>IIV+2</w:t>
            </w:r>
          </w:p>
        </w:tc>
        <w:tc>
          <w:tcPr>
            <w:tcW w:w="1129" w:type="dxa"/>
          </w:tcPr>
          <w:p>
            <w:pPr>
              <w:jc w:val="center"/>
              <w:rPr>
                <w:noProof/>
              </w:rPr>
            </w:pPr>
            <w:r>
              <w:rPr>
                <w:noProof/>
              </w:rPr>
              <w:t>IIV+3</w:t>
            </w:r>
          </w:p>
        </w:tc>
        <w:tc>
          <w:tcPr>
            <w:tcW w:w="1137" w:type="dxa"/>
          </w:tcPr>
          <w:p>
            <w:pPr>
              <w:jc w:val="center"/>
              <w:rPr>
                <w:noProof/>
              </w:rPr>
            </w:pPr>
            <w:r>
              <w:rPr>
                <w:noProof/>
              </w:rPr>
              <w:t>IIV+4</w:t>
            </w:r>
          </w:p>
        </w:tc>
        <w:tc>
          <w:tcPr>
            <w:tcW w:w="1251" w:type="dxa"/>
          </w:tcPr>
          <w:p>
            <w:pPr>
              <w:jc w:val="center"/>
              <w:rPr>
                <w:noProof/>
              </w:rPr>
            </w:pPr>
            <w:r>
              <w:rPr>
                <w:noProof/>
              </w:rPr>
              <w:t>IIV+5</w:t>
            </w:r>
          </w:p>
        </w:tc>
      </w:tr>
      <w:tr>
        <w:tc>
          <w:tcPr>
            <w:tcW w:w="2299" w:type="dxa"/>
          </w:tcPr>
          <w:p>
            <w:pPr>
              <w:jc w:val="left"/>
              <w:rPr>
                <w:noProof/>
              </w:rPr>
            </w:pPr>
            <w:r>
              <w:rPr>
                <w:noProof/>
              </w:rPr>
              <w:t>Taxa la export a Ucrainei către UE</w:t>
            </w:r>
          </w:p>
        </w:tc>
        <w:tc>
          <w:tcPr>
            <w:tcW w:w="1214" w:type="dxa"/>
          </w:tcPr>
          <w:p>
            <w:pPr>
              <w:jc w:val="center"/>
              <w:rPr>
                <w:noProof/>
              </w:rPr>
            </w:pPr>
            <w:r>
              <w:rPr>
                <w:noProof/>
              </w:rPr>
              <w:t>9,1</w:t>
            </w:r>
          </w:p>
        </w:tc>
        <w:tc>
          <w:tcPr>
            <w:tcW w:w="1129" w:type="dxa"/>
          </w:tcPr>
          <w:p>
            <w:pPr>
              <w:jc w:val="center"/>
              <w:rPr>
                <w:noProof/>
              </w:rPr>
            </w:pPr>
            <w:r>
              <w:rPr>
                <w:noProof/>
              </w:rPr>
              <w:t>8,2</w:t>
            </w:r>
          </w:p>
        </w:tc>
        <w:tc>
          <w:tcPr>
            <w:tcW w:w="1129" w:type="dxa"/>
          </w:tcPr>
          <w:p>
            <w:pPr>
              <w:jc w:val="center"/>
              <w:rPr>
                <w:noProof/>
              </w:rPr>
            </w:pPr>
            <w:r>
              <w:rPr>
                <w:noProof/>
              </w:rPr>
              <w:t>7,3</w:t>
            </w:r>
          </w:p>
        </w:tc>
        <w:tc>
          <w:tcPr>
            <w:tcW w:w="1129" w:type="dxa"/>
          </w:tcPr>
          <w:p>
            <w:pPr>
              <w:jc w:val="center"/>
              <w:rPr>
                <w:noProof/>
              </w:rPr>
            </w:pPr>
            <w:r>
              <w:rPr>
                <w:noProof/>
              </w:rPr>
              <w:t>6,4</w:t>
            </w:r>
          </w:p>
        </w:tc>
        <w:tc>
          <w:tcPr>
            <w:tcW w:w="1137" w:type="dxa"/>
          </w:tcPr>
          <w:p>
            <w:pPr>
              <w:jc w:val="center"/>
              <w:rPr>
                <w:noProof/>
              </w:rPr>
            </w:pPr>
            <w:r>
              <w:rPr>
                <w:noProof/>
              </w:rPr>
              <w:t>5,5</w:t>
            </w:r>
          </w:p>
        </w:tc>
        <w:tc>
          <w:tcPr>
            <w:tcW w:w="1251" w:type="dxa"/>
          </w:tcPr>
          <w:p>
            <w:pPr>
              <w:jc w:val="center"/>
              <w:rPr>
                <w:noProof/>
              </w:rPr>
            </w:pPr>
            <w:r>
              <w:rPr>
                <w:noProof/>
              </w:rPr>
              <w:t>4,5</w:t>
            </w:r>
          </w:p>
        </w:tc>
      </w:tr>
      <w:tr>
        <w:trPr>
          <w:trHeight w:val="252"/>
        </w:trPr>
        <w:tc>
          <w:tcPr>
            <w:tcW w:w="2299" w:type="dxa"/>
          </w:tcPr>
          <w:p>
            <w:pPr>
              <w:jc w:val="left"/>
              <w:rPr>
                <w:noProof/>
              </w:rPr>
            </w:pPr>
            <w:r>
              <w:rPr>
                <w:noProof/>
              </w:rPr>
              <w:t>Nivelul de declanșare (în tone)</w:t>
            </w:r>
          </w:p>
        </w:tc>
        <w:tc>
          <w:tcPr>
            <w:tcW w:w="1214" w:type="dxa"/>
          </w:tcPr>
          <w:p>
            <w:pPr>
              <w:jc w:val="center"/>
              <w:rPr>
                <w:noProof/>
              </w:rPr>
            </w:pPr>
            <w:r>
              <w:rPr>
                <w:noProof/>
              </w:rPr>
              <w:t>100 000,0</w:t>
            </w:r>
          </w:p>
        </w:tc>
        <w:tc>
          <w:tcPr>
            <w:tcW w:w="1129" w:type="dxa"/>
          </w:tcPr>
          <w:p>
            <w:pPr>
              <w:jc w:val="center"/>
              <w:rPr>
                <w:noProof/>
              </w:rPr>
            </w:pPr>
            <w:r>
              <w:rPr>
                <w:noProof/>
              </w:rPr>
              <w:t>100 000,0</w:t>
            </w:r>
          </w:p>
        </w:tc>
        <w:tc>
          <w:tcPr>
            <w:tcW w:w="1129" w:type="dxa"/>
          </w:tcPr>
          <w:p>
            <w:pPr>
              <w:jc w:val="center"/>
              <w:rPr>
                <w:noProof/>
              </w:rPr>
            </w:pPr>
            <w:r>
              <w:rPr>
                <w:noProof/>
              </w:rPr>
              <w:t>100 000,0</w:t>
            </w:r>
          </w:p>
        </w:tc>
        <w:tc>
          <w:tcPr>
            <w:tcW w:w="1129" w:type="dxa"/>
          </w:tcPr>
          <w:p>
            <w:pPr>
              <w:jc w:val="center"/>
              <w:rPr>
                <w:noProof/>
              </w:rPr>
            </w:pPr>
            <w:r>
              <w:rPr>
                <w:noProof/>
              </w:rPr>
              <w:t>100 000,0</w:t>
            </w:r>
          </w:p>
        </w:tc>
        <w:tc>
          <w:tcPr>
            <w:tcW w:w="1137" w:type="dxa"/>
          </w:tcPr>
          <w:p>
            <w:pPr>
              <w:jc w:val="center"/>
              <w:rPr>
                <w:noProof/>
              </w:rPr>
            </w:pPr>
            <w:r>
              <w:rPr>
                <w:noProof/>
              </w:rPr>
              <w:t>100 000,0</w:t>
            </w:r>
          </w:p>
        </w:tc>
        <w:tc>
          <w:tcPr>
            <w:tcW w:w="1251" w:type="dxa"/>
          </w:tcPr>
          <w:p>
            <w:pPr>
              <w:jc w:val="center"/>
              <w:rPr>
                <w:noProof/>
              </w:rPr>
            </w:pPr>
            <w:r>
              <w:rPr>
                <w:noProof/>
              </w:rPr>
              <w:t>100 000,0</w:t>
            </w:r>
          </w:p>
        </w:tc>
      </w:tr>
      <w:tr>
        <w:tc>
          <w:tcPr>
            <w:tcW w:w="2299" w:type="dxa"/>
          </w:tcPr>
          <w:p>
            <w:pPr>
              <w:jc w:val="left"/>
              <w:rPr>
                <w:noProof/>
              </w:rPr>
            </w:pPr>
            <w:r>
              <w:rPr>
                <w:noProof/>
              </w:rPr>
              <w:t>Suprataxa maximă</w:t>
            </w:r>
          </w:p>
        </w:tc>
        <w:tc>
          <w:tcPr>
            <w:tcW w:w="1214" w:type="dxa"/>
          </w:tcPr>
          <w:p>
            <w:pPr>
              <w:jc w:val="center"/>
              <w:rPr>
                <w:noProof/>
              </w:rPr>
            </w:pPr>
            <w:r>
              <w:rPr>
                <w:noProof/>
              </w:rPr>
              <w:t xml:space="preserve">0,9 </w:t>
            </w:r>
          </w:p>
        </w:tc>
        <w:tc>
          <w:tcPr>
            <w:tcW w:w="1129" w:type="dxa"/>
          </w:tcPr>
          <w:p>
            <w:pPr>
              <w:jc w:val="center"/>
              <w:rPr>
                <w:noProof/>
              </w:rPr>
            </w:pPr>
            <w:r>
              <w:rPr>
                <w:noProof/>
              </w:rPr>
              <w:t>1,8</w:t>
            </w:r>
          </w:p>
        </w:tc>
        <w:tc>
          <w:tcPr>
            <w:tcW w:w="1129" w:type="dxa"/>
          </w:tcPr>
          <w:p>
            <w:pPr>
              <w:jc w:val="center"/>
              <w:rPr>
                <w:noProof/>
              </w:rPr>
            </w:pPr>
            <w:r>
              <w:rPr>
                <w:noProof/>
              </w:rPr>
              <w:t>2,7</w:t>
            </w:r>
          </w:p>
        </w:tc>
        <w:tc>
          <w:tcPr>
            <w:tcW w:w="1129" w:type="dxa"/>
          </w:tcPr>
          <w:p>
            <w:pPr>
              <w:jc w:val="center"/>
              <w:rPr>
                <w:noProof/>
              </w:rPr>
            </w:pPr>
            <w:r>
              <w:rPr>
                <w:noProof/>
              </w:rPr>
              <w:t>3,6</w:t>
            </w:r>
          </w:p>
        </w:tc>
        <w:tc>
          <w:tcPr>
            <w:tcW w:w="1137" w:type="dxa"/>
          </w:tcPr>
          <w:p>
            <w:pPr>
              <w:jc w:val="center"/>
              <w:rPr>
                <w:noProof/>
              </w:rPr>
            </w:pPr>
            <w:r>
              <w:rPr>
                <w:noProof/>
              </w:rPr>
              <w:t>4,5</w:t>
            </w:r>
          </w:p>
        </w:tc>
        <w:tc>
          <w:tcPr>
            <w:tcW w:w="1251" w:type="dxa"/>
          </w:tcPr>
          <w:p>
            <w:pPr>
              <w:jc w:val="center"/>
              <w:rPr>
                <w:noProof/>
              </w:rPr>
            </w:pPr>
            <w:r>
              <w:rPr>
                <w:noProof/>
              </w:rPr>
              <w:t>5,5</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2022</w:t>
            </w:r>
          </w:p>
        </w:tc>
        <w:tc>
          <w:tcPr>
            <w:tcW w:w="1321" w:type="dxa"/>
          </w:tcPr>
          <w:p>
            <w:pPr>
              <w:jc w:val="center"/>
              <w:rPr>
                <w:noProof/>
              </w:rPr>
            </w:pPr>
            <w:r>
              <w:rPr>
                <w:noProof/>
              </w:rPr>
              <w:t>2023</w:t>
            </w:r>
          </w:p>
        </w:tc>
        <w:tc>
          <w:tcPr>
            <w:tcW w:w="1321" w:type="dxa"/>
          </w:tcPr>
          <w:p>
            <w:pPr>
              <w:jc w:val="center"/>
              <w:rPr>
                <w:noProof/>
              </w:rPr>
            </w:pPr>
            <w:r>
              <w:rPr>
                <w:noProof/>
              </w:rPr>
              <w:t>2024</w:t>
            </w:r>
          </w:p>
        </w:tc>
        <w:tc>
          <w:tcPr>
            <w:tcW w:w="1321" w:type="dxa"/>
          </w:tcPr>
          <w:p>
            <w:pPr>
              <w:jc w:val="center"/>
              <w:rPr>
                <w:noProof/>
              </w:rPr>
            </w:pPr>
            <w:r>
              <w:rPr>
                <w:noProof/>
              </w:rPr>
              <w:t>2025</w:t>
            </w:r>
          </w:p>
        </w:tc>
        <w:tc>
          <w:tcPr>
            <w:tcW w:w="1511" w:type="dxa"/>
          </w:tcPr>
          <w:p>
            <w:pPr>
              <w:jc w:val="center"/>
              <w:rPr>
                <w:noProof/>
              </w:rPr>
            </w:pPr>
            <w:r>
              <w:rPr>
                <w:noProof/>
              </w:rPr>
              <w:t>2026</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10,0</w:t>
            </w:r>
          </w:p>
        </w:tc>
        <w:tc>
          <w:tcPr>
            <w:tcW w:w="1321" w:type="dxa"/>
          </w:tcPr>
          <w:p>
            <w:pPr>
              <w:jc w:val="center"/>
              <w:rPr>
                <w:noProof/>
              </w:rPr>
            </w:pPr>
            <w:r>
              <w:rPr>
                <w:noProof/>
              </w:rPr>
              <w:t>10,0</w:t>
            </w:r>
          </w:p>
        </w:tc>
        <w:tc>
          <w:tcPr>
            <w:tcW w:w="1321" w:type="dxa"/>
          </w:tcPr>
          <w:p>
            <w:pPr>
              <w:jc w:val="center"/>
              <w:rPr>
                <w:noProof/>
              </w:rPr>
            </w:pPr>
            <w:r>
              <w:rPr>
                <w:noProof/>
              </w:rPr>
              <w:t>10,0</w:t>
            </w:r>
          </w:p>
        </w:tc>
        <w:tc>
          <w:tcPr>
            <w:tcW w:w="1321" w:type="dxa"/>
          </w:tcPr>
          <w:p>
            <w:pPr>
              <w:jc w:val="center"/>
              <w:rPr>
                <w:noProof/>
              </w:rPr>
            </w:pPr>
            <w:r>
              <w:rPr>
                <w:noProof/>
              </w:rPr>
              <w:t>10,0</w:t>
            </w:r>
          </w:p>
        </w:tc>
        <w:tc>
          <w:tcPr>
            <w:tcW w:w="1511" w:type="dxa"/>
          </w:tcPr>
          <w:p>
            <w:pPr>
              <w:jc w:val="center"/>
              <w:rPr>
                <w:noProof/>
              </w:rPr>
            </w:pPr>
            <w:r>
              <w:rPr>
                <w:noProof/>
              </w:rPr>
              <w:t>10,0</w:t>
            </w:r>
          </w:p>
        </w:tc>
      </w:tr>
      <w:tr>
        <w:tc>
          <w:tcPr>
            <w:tcW w:w="2835" w:type="dxa"/>
          </w:tcPr>
          <w:p>
            <w:pPr>
              <w:jc w:val="center"/>
              <w:rPr>
                <w:noProof/>
              </w:rPr>
            </w:pPr>
            <w:r>
              <w:rPr>
                <w:noProof/>
              </w:rPr>
              <w:t>An (Acord)</w:t>
            </w:r>
          </w:p>
        </w:tc>
        <w:tc>
          <w:tcPr>
            <w:tcW w:w="1545" w:type="dxa"/>
          </w:tcPr>
          <w:p>
            <w:pPr>
              <w:jc w:val="center"/>
              <w:rPr>
                <w:noProof/>
              </w:rPr>
            </w:pPr>
            <w:r>
              <w:rPr>
                <w:noProof/>
              </w:rPr>
              <w:t>IIV+6</w:t>
            </w:r>
          </w:p>
        </w:tc>
        <w:tc>
          <w:tcPr>
            <w:tcW w:w="1321" w:type="dxa"/>
          </w:tcPr>
          <w:p>
            <w:pPr>
              <w:jc w:val="center"/>
              <w:rPr>
                <w:noProof/>
              </w:rPr>
            </w:pPr>
            <w:r>
              <w:rPr>
                <w:noProof/>
              </w:rPr>
              <w:t>IIV+7</w:t>
            </w:r>
          </w:p>
        </w:tc>
        <w:tc>
          <w:tcPr>
            <w:tcW w:w="1321" w:type="dxa"/>
          </w:tcPr>
          <w:p>
            <w:pPr>
              <w:jc w:val="center"/>
              <w:rPr>
                <w:noProof/>
              </w:rPr>
            </w:pPr>
            <w:r>
              <w:rPr>
                <w:noProof/>
              </w:rPr>
              <w:t>IIV+8</w:t>
            </w:r>
          </w:p>
        </w:tc>
        <w:tc>
          <w:tcPr>
            <w:tcW w:w="1321" w:type="dxa"/>
          </w:tcPr>
          <w:p>
            <w:pPr>
              <w:jc w:val="center"/>
              <w:rPr>
                <w:noProof/>
              </w:rPr>
            </w:pPr>
            <w:r>
              <w:rPr>
                <w:noProof/>
              </w:rPr>
              <w:t>IIV+9</w:t>
            </w:r>
          </w:p>
        </w:tc>
        <w:tc>
          <w:tcPr>
            <w:tcW w:w="1511" w:type="dxa"/>
          </w:tcPr>
          <w:p>
            <w:pPr>
              <w:jc w:val="center"/>
              <w:rPr>
                <w:noProof/>
              </w:rPr>
            </w:pPr>
            <w:r>
              <w:rPr>
                <w:noProof/>
              </w:rPr>
              <w:t>IIV+10</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3,6</w:t>
            </w:r>
          </w:p>
        </w:tc>
        <w:tc>
          <w:tcPr>
            <w:tcW w:w="1321" w:type="dxa"/>
          </w:tcPr>
          <w:p>
            <w:pPr>
              <w:jc w:val="center"/>
              <w:rPr>
                <w:noProof/>
              </w:rPr>
            </w:pPr>
            <w:r>
              <w:rPr>
                <w:noProof/>
              </w:rPr>
              <w:t>2,7</w:t>
            </w:r>
          </w:p>
        </w:tc>
        <w:tc>
          <w:tcPr>
            <w:tcW w:w="1321" w:type="dxa"/>
          </w:tcPr>
          <w:p>
            <w:pPr>
              <w:jc w:val="center"/>
              <w:rPr>
                <w:noProof/>
              </w:rPr>
            </w:pPr>
            <w:r>
              <w:rPr>
                <w:noProof/>
              </w:rPr>
              <w:t>1,8</w:t>
            </w:r>
          </w:p>
        </w:tc>
        <w:tc>
          <w:tcPr>
            <w:tcW w:w="1321" w:type="dxa"/>
          </w:tcPr>
          <w:p>
            <w:pPr>
              <w:jc w:val="center"/>
              <w:rPr>
                <w:noProof/>
              </w:rPr>
            </w:pPr>
            <w:r>
              <w:rPr>
                <w:noProof/>
              </w:rPr>
              <w:t>0,9</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100 000,0</w:t>
            </w:r>
          </w:p>
        </w:tc>
        <w:tc>
          <w:tcPr>
            <w:tcW w:w="1321" w:type="dxa"/>
          </w:tcPr>
          <w:p>
            <w:pPr>
              <w:jc w:val="center"/>
              <w:rPr>
                <w:noProof/>
              </w:rPr>
            </w:pPr>
            <w:r>
              <w:rPr>
                <w:noProof/>
              </w:rPr>
              <w:t>100 000,0</w:t>
            </w:r>
          </w:p>
        </w:tc>
        <w:tc>
          <w:tcPr>
            <w:tcW w:w="1321" w:type="dxa"/>
          </w:tcPr>
          <w:p>
            <w:pPr>
              <w:jc w:val="center"/>
              <w:rPr>
                <w:noProof/>
              </w:rPr>
            </w:pPr>
            <w:r>
              <w:rPr>
                <w:noProof/>
              </w:rPr>
              <w:t>100 000,0</w:t>
            </w:r>
          </w:p>
        </w:tc>
        <w:tc>
          <w:tcPr>
            <w:tcW w:w="1321" w:type="dxa"/>
          </w:tcPr>
          <w:p>
            <w:pPr>
              <w:jc w:val="center"/>
              <w:rPr>
                <w:noProof/>
              </w:rPr>
            </w:pPr>
            <w:r>
              <w:rPr>
                <w:noProof/>
              </w:rPr>
              <w:t>100 000,0</w:t>
            </w:r>
          </w:p>
        </w:tc>
        <w:tc>
          <w:tcPr>
            <w:tcW w:w="1511" w:type="dxa"/>
          </w:tcPr>
          <w:p>
            <w:pPr>
              <w:jc w:val="center"/>
              <w:rPr>
                <w:noProof/>
              </w:rPr>
            </w:pPr>
            <w:r>
              <w:rPr>
                <w:noProof/>
              </w:rPr>
              <w:t>100 000,0</w:t>
            </w:r>
          </w:p>
        </w:tc>
      </w:tr>
      <w:tr>
        <w:tc>
          <w:tcPr>
            <w:tcW w:w="2835" w:type="dxa"/>
          </w:tcPr>
          <w:p>
            <w:pPr>
              <w:jc w:val="left"/>
              <w:rPr>
                <w:noProof/>
              </w:rPr>
            </w:pPr>
            <w:r>
              <w:rPr>
                <w:noProof/>
              </w:rPr>
              <w:t>Suprataxa maximă</w:t>
            </w:r>
          </w:p>
        </w:tc>
        <w:tc>
          <w:tcPr>
            <w:tcW w:w="1545" w:type="dxa"/>
          </w:tcPr>
          <w:p>
            <w:pPr>
              <w:jc w:val="center"/>
              <w:rPr>
                <w:noProof/>
              </w:rPr>
            </w:pPr>
            <w:r>
              <w:rPr>
                <w:noProof/>
              </w:rPr>
              <w:t>6,4</w:t>
            </w:r>
          </w:p>
        </w:tc>
        <w:tc>
          <w:tcPr>
            <w:tcW w:w="1321" w:type="dxa"/>
          </w:tcPr>
          <w:p>
            <w:pPr>
              <w:jc w:val="center"/>
              <w:rPr>
                <w:noProof/>
              </w:rPr>
            </w:pPr>
            <w:r>
              <w:rPr>
                <w:noProof/>
              </w:rPr>
              <w:t>7,3</w:t>
            </w:r>
          </w:p>
        </w:tc>
        <w:tc>
          <w:tcPr>
            <w:tcW w:w="1321" w:type="dxa"/>
          </w:tcPr>
          <w:p>
            <w:pPr>
              <w:jc w:val="center"/>
              <w:rPr>
                <w:noProof/>
              </w:rPr>
            </w:pPr>
            <w:r>
              <w:rPr>
                <w:noProof/>
              </w:rPr>
              <w:t>8,2</w:t>
            </w:r>
          </w:p>
        </w:tc>
        <w:tc>
          <w:tcPr>
            <w:tcW w:w="1321" w:type="dxa"/>
          </w:tcPr>
          <w:p>
            <w:pPr>
              <w:jc w:val="center"/>
              <w:rPr>
                <w:noProof/>
              </w:rPr>
            </w:pPr>
            <w:r>
              <w:rPr>
                <w:noProof/>
              </w:rPr>
              <w:t>9,1</w:t>
            </w:r>
          </w:p>
        </w:tc>
        <w:tc>
          <w:tcPr>
            <w:tcW w:w="1511" w:type="dxa"/>
          </w:tcPr>
          <w:p>
            <w:pPr>
              <w:jc w:val="center"/>
              <w:rPr>
                <w:noProof/>
              </w:rPr>
            </w:pPr>
            <w:r>
              <w:rPr>
                <w:noProof/>
              </w:rPr>
              <w:t>10,0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2027</w:t>
            </w:r>
          </w:p>
        </w:tc>
        <w:tc>
          <w:tcPr>
            <w:tcW w:w="1321" w:type="dxa"/>
          </w:tcPr>
          <w:p>
            <w:pPr>
              <w:jc w:val="center"/>
              <w:rPr>
                <w:noProof/>
              </w:rPr>
            </w:pPr>
            <w:r>
              <w:rPr>
                <w:noProof/>
              </w:rPr>
              <w:t>2028</w:t>
            </w:r>
          </w:p>
        </w:tc>
        <w:tc>
          <w:tcPr>
            <w:tcW w:w="1321" w:type="dxa"/>
          </w:tcPr>
          <w:p>
            <w:pPr>
              <w:jc w:val="center"/>
              <w:rPr>
                <w:noProof/>
              </w:rPr>
            </w:pPr>
            <w:r>
              <w:rPr>
                <w:noProof/>
              </w:rPr>
              <w:t>2029</w:t>
            </w:r>
          </w:p>
        </w:tc>
        <w:tc>
          <w:tcPr>
            <w:tcW w:w="1321" w:type="dxa"/>
          </w:tcPr>
          <w:p>
            <w:pPr>
              <w:jc w:val="center"/>
              <w:rPr>
                <w:noProof/>
              </w:rPr>
            </w:pPr>
            <w:r>
              <w:rPr>
                <w:noProof/>
              </w:rPr>
              <w:t>2030</w:t>
            </w:r>
          </w:p>
        </w:tc>
        <w:tc>
          <w:tcPr>
            <w:tcW w:w="1511" w:type="dxa"/>
          </w:tcPr>
          <w:p>
            <w:pPr>
              <w:jc w:val="center"/>
              <w:rPr>
                <w:noProof/>
              </w:rPr>
            </w:pPr>
            <w:r>
              <w:rPr>
                <w:noProof/>
              </w:rPr>
              <w:t>2031</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10,0</w:t>
            </w:r>
          </w:p>
        </w:tc>
        <w:tc>
          <w:tcPr>
            <w:tcW w:w="1321" w:type="dxa"/>
          </w:tcPr>
          <w:p>
            <w:pPr>
              <w:jc w:val="center"/>
              <w:rPr>
                <w:noProof/>
              </w:rPr>
            </w:pPr>
            <w:r>
              <w:rPr>
                <w:noProof/>
              </w:rPr>
              <w:t>10,0</w:t>
            </w:r>
          </w:p>
        </w:tc>
        <w:tc>
          <w:tcPr>
            <w:tcW w:w="1321" w:type="dxa"/>
          </w:tcPr>
          <w:p>
            <w:pPr>
              <w:jc w:val="center"/>
              <w:rPr>
                <w:noProof/>
              </w:rPr>
            </w:pPr>
            <w:r>
              <w:rPr>
                <w:noProof/>
              </w:rPr>
              <w:t>10,0</w:t>
            </w:r>
          </w:p>
        </w:tc>
        <w:tc>
          <w:tcPr>
            <w:tcW w:w="1321" w:type="dxa"/>
          </w:tcPr>
          <w:p>
            <w:pPr>
              <w:jc w:val="center"/>
              <w:rPr>
                <w:noProof/>
              </w:rPr>
            </w:pPr>
            <w:r>
              <w:rPr>
                <w:noProof/>
              </w:rPr>
              <w:t>10,0</w:t>
            </w:r>
          </w:p>
        </w:tc>
        <w:tc>
          <w:tcPr>
            <w:tcW w:w="1511" w:type="dxa"/>
          </w:tcPr>
          <w:p>
            <w:pPr>
              <w:jc w:val="center"/>
              <w:rPr>
                <w:noProof/>
              </w:rPr>
            </w:pPr>
            <w:r>
              <w:rPr>
                <w:noProof/>
              </w:rPr>
              <w:t>10,0</w:t>
            </w:r>
          </w:p>
        </w:tc>
      </w:tr>
      <w:tr>
        <w:tc>
          <w:tcPr>
            <w:tcW w:w="2835" w:type="dxa"/>
          </w:tcPr>
          <w:p>
            <w:pPr>
              <w:jc w:val="center"/>
              <w:rPr>
                <w:noProof/>
              </w:rPr>
            </w:pPr>
            <w:r>
              <w:rPr>
                <w:noProof/>
              </w:rPr>
              <w:t>An (Acord)</w:t>
            </w:r>
          </w:p>
        </w:tc>
        <w:tc>
          <w:tcPr>
            <w:tcW w:w="1545" w:type="dxa"/>
          </w:tcPr>
          <w:p>
            <w:pPr>
              <w:jc w:val="center"/>
              <w:rPr>
                <w:noProof/>
              </w:rPr>
            </w:pPr>
            <w:r>
              <w:rPr>
                <w:noProof/>
              </w:rPr>
              <w:t>IIV+11</w:t>
            </w:r>
          </w:p>
        </w:tc>
        <w:tc>
          <w:tcPr>
            <w:tcW w:w="1321" w:type="dxa"/>
          </w:tcPr>
          <w:p>
            <w:pPr>
              <w:jc w:val="center"/>
              <w:rPr>
                <w:noProof/>
              </w:rPr>
            </w:pPr>
            <w:r>
              <w:rPr>
                <w:noProof/>
              </w:rPr>
              <w:t>IIV+12</w:t>
            </w:r>
          </w:p>
        </w:tc>
        <w:tc>
          <w:tcPr>
            <w:tcW w:w="1321" w:type="dxa"/>
          </w:tcPr>
          <w:p>
            <w:pPr>
              <w:jc w:val="center"/>
              <w:rPr>
                <w:noProof/>
              </w:rPr>
            </w:pPr>
            <w:r>
              <w:rPr>
                <w:noProof/>
              </w:rPr>
              <w:t>IIV+13</w:t>
            </w:r>
          </w:p>
        </w:tc>
        <w:tc>
          <w:tcPr>
            <w:tcW w:w="1321" w:type="dxa"/>
          </w:tcPr>
          <w:p>
            <w:pPr>
              <w:jc w:val="center"/>
              <w:rPr>
                <w:noProof/>
              </w:rPr>
            </w:pPr>
            <w:r>
              <w:rPr>
                <w:noProof/>
              </w:rPr>
              <w:t>IIV+14</w:t>
            </w:r>
          </w:p>
        </w:tc>
        <w:tc>
          <w:tcPr>
            <w:tcW w:w="1511" w:type="dxa"/>
          </w:tcPr>
          <w:p>
            <w:pPr>
              <w:jc w:val="center"/>
              <w:rPr>
                <w:noProof/>
              </w:rPr>
            </w:pPr>
            <w:r>
              <w:rPr>
                <w:noProof/>
              </w:rPr>
              <w:t>IIV+15</w:t>
            </w:r>
          </w:p>
        </w:tc>
      </w:tr>
      <w:tr>
        <w:trPr>
          <w:trHeight w:val="270"/>
        </w:trPr>
        <w:tc>
          <w:tcPr>
            <w:tcW w:w="2835" w:type="dxa"/>
          </w:tcPr>
          <w:p>
            <w:pPr>
              <w:jc w:val="left"/>
              <w:rPr>
                <w:noProof/>
              </w:rPr>
            </w:pPr>
            <w:r>
              <w:rPr>
                <w:noProof/>
              </w:rPr>
              <w:t>Taxa la export a Ucrainei către UE</w:t>
            </w:r>
          </w:p>
        </w:tc>
        <w:tc>
          <w:tcPr>
            <w:tcW w:w="1545"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100 000,0</w:t>
            </w:r>
          </w:p>
        </w:tc>
        <w:tc>
          <w:tcPr>
            <w:tcW w:w="1321" w:type="dxa"/>
          </w:tcPr>
          <w:p>
            <w:pPr>
              <w:jc w:val="center"/>
              <w:rPr>
                <w:noProof/>
              </w:rPr>
            </w:pPr>
            <w:r>
              <w:rPr>
                <w:noProof/>
              </w:rPr>
              <w:t>100 000,0</w:t>
            </w:r>
          </w:p>
        </w:tc>
        <w:tc>
          <w:tcPr>
            <w:tcW w:w="1321" w:type="dxa"/>
          </w:tcPr>
          <w:p>
            <w:pPr>
              <w:jc w:val="center"/>
              <w:rPr>
                <w:noProof/>
              </w:rPr>
            </w:pPr>
            <w:r>
              <w:rPr>
                <w:noProof/>
              </w:rPr>
              <w:t>100 000,0</w:t>
            </w:r>
          </w:p>
        </w:tc>
        <w:tc>
          <w:tcPr>
            <w:tcW w:w="1321" w:type="dxa"/>
          </w:tcPr>
          <w:p>
            <w:pPr>
              <w:jc w:val="center"/>
              <w:rPr>
                <w:noProof/>
              </w:rPr>
            </w:pPr>
            <w:r>
              <w:rPr>
                <w:noProof/>
              </w:rPr>
              <w:t>100 000,0</w:t>
            </w:r>
          </w:p>
        </w:tc>
        <w:tc>
          <w:tcPr>
            <w:tcW w:w="1511" w:type="dxa"/>
          </w:tcPr>
          <w:p>
            <w:pPr>
              <w:jc w:val="center"/>
              <w:rPr>
                <w:noProof/>
              </w:rPr>
            </w:pPr>
            <w:r>
              <w:rPr>
                <w:noProof/>
              </w:rPr>
              <w:t>100 000,0</w:t>
            </w:r>
          </w:p>
        </w:tc>
      </w:tr>
      <w:tr>
        <w:tc>
          <w:tcPr>
            <w:tcW w:w="2835" w:type="dxa"/>
          </w:tcPr>
          <w:p>
            <w:pPr>
              <w:jc w:val="left"/>
              <w:rPr>
                <w:noProof/>
              </w:rPr>
            </w:pPr>
            <w:r>
              <w:rPr>
                <w:noProof/>
              </w:rPr>
              <w:t>Suprataxa maximă</w:t>
            </w:r>
          </w:p>
        </w:tc>
        <w:tc>
          <w:tcPr>
            <w:tcW w:w="1545" w:type="dxa"/>
          </w:tcPr>
          <w:p>
            <w:pPr>
              <w:jc w:val="center"/>
              <w:rPr>
                <w:noProof/>
              </w:rPr>
            </w:pPr>
            <w:r>
              <w:rPr>
                <w:noProof/>
              </w:rPr>
              <w:t>8,0</w:t>
            </w:r>
          </w:p>
        </w:tc>
        <w:tc>
          <w:tcPr>
            <w:tcW w:w="1321" w:type="dxa"/>
          </w:tcPr>
          <w:p>
            <w:pPr>
              <w:jc w:val="center"/>
              <w:rPr>
                <w:noProof/>
              </w:rPr>
            </w:pPr>
            <w:r>
              <w:rPr>
                <w:noProof/>
              </w:rPr>
              <w:t>6,0</w:t>
            </w:r>
          </w:p>
        </w:tc>
        <w:tc>
          <w:tcPr>
            <w:tcW w:w="1321" w:type="dxa"/>
          </w:tcPr>
          <w:p>
            <w:pPr>
              <w:jc w:val="center"/>
              <w:rPr>
                <w:noProof/>
              </w:rPr>
            </w:pPr>
            <w:r>
              <w:rPr>
                <w:noProof/>
              </w:rPr>
              <w:t>4,0</w:t>
            </w:r>
          </w:p>
        </w:tc>
        <w:tc>
          <w:tcPr>
            <w:tcW w:w="1321" w:type="dxa"/>
          </w:tcPr>
          <w:p>
            <w:pPr>
              <w:jc w:val="center"/>
              <w:rPr>
                <w:noProof/>
              </w:rPr>
            </w:pPr>
            <w:r>
              <w:rPr>
                <w:noProof/>
              </w:rPr>
              <w:t>2,0</w:t>
            </w:r>
          </w:p>
        </w:tc>
        <w:tc>
          <w:tcPr>
            <w:tcW w:w="1511" w:type="dxa"/>
          </w:tcPr>
          <w:p>
            <w:pPr>
              <w:jc w:val="center"/>
              <w:rPr>
                <w:noProof/>
              </w:rPr>
            </w:pPr>
            <w:r>
              <w:rPr>
                <w:noProof/>
              </w:rPr>
              <w:t>0,0</w:t>
            </w:r>
          </w:p>
        </w:tc>
      </w:tr>
    </w:tbl>
    <w:p>
      <w:pPr>
        <w:pStyle w:val="ManualNumPar17"/>
        <w:rPr>
          <w:noProof/>
        </w:rPr>
      </w:pPr>
    </w:p>
    <w:p>
      <w:pPr>
        <w:pStyle w:val="ManualNumPar17"/>
        <w:rPr>
          <w:noProof/>
        </w:rPr>
      </w:pPr>
      <w:r>
        <w:rPr>
          <w:noProof/>
        </w:rPr>
        <w:t>10.</w:t>
      </w:r>
      <w:r>
        <w:rPr>
          <w:noProof/>
        </w:rPr>
        <w:tab/>
        <w:t>Pentru resturile de metale feroase aliate, resturile de metale neferoase și produsele semiprelucrate din acestea, astfel cum sunt acoperite mai jos:</w:t>
      </w:r>
    </w:p>
    <w:p>
      <w:pPr>
        <w:rPr>
          <w:noProof/>
        </w:rPr>
      </w:pPr>
      <w:r>
        <w:rPr>
          <w:noProof/>
        </w:rPr>
        <w:t>Acoperire: deșeurile și resturile de oțeluri aliate care intră sub incidența următoarelor coduri vamale ucrainene: 7204 21, 7204 29 00 00, 7204 50 00 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1226"/>
        <w:gridCol w:w="1134"/>
        <w:gridCol w:w="1134"/>
        <w:gridCol w:w="1134"/>
        <w:gridCol w:w="1141"/>
        <w:gridCol w:w="1252"/>
      </w:tblGrid>
      <w:tr>
        <w:tc>
          <w:tcPr>
            <w:tcW w:w="2267" w:type="dxa"/>
          </w:tcPr>
          <w:p>
            <w:pPr>
              <w:jc w:val="center"/>
              <w:rPr>
                <w:noProof/>
              </w:rPr>
            </w:pPr>
            <w:r>
              <w:rPr>
                <w:noProof/>
              </w:rPr>
              <w:t>An (OMC)</w:t>
            </w:r>
          </w:p>
        </w:tc>
        <w:tc>
          <w:tcPr>
            <w:tcW w:w="1226" w:type="dxa"/>
          </w:tcPr>
          <w:p>
            <w:pPr>
              <w:jc w:val="center"/>
              <w:rPr>
                <w:noProof/>
              </w:rPr>
            </w:pPr>
            <w:r>
              <w:rPr>
                <w:noProof/>
              </w:rPr>
              <w:t>2016</w:t>
            </w:r>
          </w:p>
        </w:tc>
        <w:tc>
          <w:tcPr>
            <w:tcW w:w="1134" w:type="dxa"/>
          </w:tcPr>
          <w:p>
            <w:pPr>
              <w:jc w:val="center"/>
              <w:rPr>
                <w:noProof/>
              </w:rPr>
            </w:pPr>
            <w:r>
              <w:rPr>
                <w:noProof/>
              </w:rPr>
              <w:t>2017</w:t>
            </w:r>
          </w:p>
        </w:tc>
        <w:tc>
          <w:tcPr>
            <w:tcW w:w="1134" w:type="dxa"/>
          </w:tcPr>
          <w:p>
            <w:pPr>
              <w:jc w:val="center"/>
              <w:rPr>
                <w:noProof/>
              </w:rPr>
            </w:pPr>
            <w:r>
              <w:rPr>
                <w:noProof/>
              </w:rPr>
              <w:t>2018</w:t>
            </w:r>
          </w:p>
        </w:tc>
        <w:tc>
          <w:tcPr>
            <w:tcW w:w="1134" w:type="dxa"/>
          </w:tcPr>
          <w:p>
            <w:pPr>
              <w:jc w:val="center"/>
              <w:rPr>
                <w:noProof/>
              </w:rPr>
            </w:pPr>
            <w:r>
              <w:rPr>
                <w:noProof/>
              </w:rPr>
              <w:t>2019</w:t>
            </w:r>
          </w:p>
        </w:tc>
        <w:tc>
          <w:tcPr>
            <w:tcW w:w="1141" w:type="dxa"/>
          </w:tcPr>
          <w:p>
            <w:pPr>
              <w:jc w:val="center"/>
              <w:rPr>
                <w:noProof/>
              </w:rPr>
            </w:pPr>
            <w:r>
              <w:rPr>
                <w:noProof/>
              </w:rPr>
              <w:t>2020</w:t>
            </w:r>
          </w:p>
        </w:tc>
        <w:tc>
          <w:tcPr>
            <w:tcW w:w="1252" w:type="dxa"/>
          </w:tcPr>
          <w:p>
            <w:pPr>
              <w:jc w:val="center"/>
              <w:rPr>
                <w:noProof/>
              </w:rPr>
            </w:pPr>
            <w:r>
              <w:rPr>
                <w:noProof/>
              </w:rPr>
              <w:t>2021</w:t>
            </w:r>
          </w:p>
        </w:tc>
      </w:tr>
      <w:tr>
        <w:tc>
          <w:tcPr>
            <w:tcW w:w="2267" w:type="dxa"/>
          </w:tcPr>
          <w:p>
            <w:pPr>
              <w:jc w:val="left"/>
              <w:rPr>
                <w:noProof/>
              </w:rPr>
            </w:pPr>
            <w:r>
              <w:rPr>
                <w:noProof/>
              </w:rPr>
              <w:t>Angajamentul Ucrainei față de OMC</w:t>
            </w:r>
          </w:p>
        </w:tc>
        <w:tc>
          <w:tcPr>
            <w:tcW w:w="1226" w:type="dxa"/>
          </w:tcPr>
          <w:p>
            <w:pPr>
              <w:jc w:val="center"/>
              <w:rPr>
                <w:noProof/>
              </w:rPr>
            </w:pPr>
            <w:r>
              <w:rPr>
                <w:noProof/>
              </w:rPr>
              <w:t>15,0</w:t>
            </w:r>
          </w:p>
        </w:tc>
        <w:tc>
          <w:tcPr>
            <w:tcW w:w="1134" w:type="dxa"/>
          </w:tcPr>
          <w:p>
            <w:pPr>
              <w:jc w:val="center"/>
              <w:rPr>
                <w:noProof/>
              </w:rPr>
            </w:pPr>
            <w:r>
              <w:rPr>
                <w:noProof/>
              </w:rPr>
              <w:t>15,0</w:t>
            </w:r>
          </w:p>
        </w:tc>
        <w:tc>
          <w:tcPr>
            <w:tcW w:w="1134" w:type="dxa"/>
          </w:tcPr>
          <w:p>
            <w:pPr>
              <w:jc w:val="center"/>
              <w:rPr>
                <w:noProof/>
              </w:rPr>
            </w:pPr>
            <w:r>
              <w:rPr>
                <w:noProof/>
              </w:rPr>
              <w:t>15,0</w:t>
            </w:r>
          </w:p>
        </w:tc>
        <w:tc>
          <w:tcPr>
            <w:tcW w:w="1134" w:type="dxa"/>
          </w:tcPr>
          <w:p>
            <w:pPr>
              <w:jc w:val="center"/>
              <w:rPr>
                <w:noProof/>
              </w:rPr>
            </w:pPr>
            <w:r>
              <w:rPr>
                <w:noProof/>
              </w:rPr>
              <w:t>15,0</w:t>
            </w:r>
          </w:p>
        </w:tc>
        <w:tc>
          <w:tcPr>
            <w:tcW w:w="1141" w:type="dxa"/>
          </w:tcPr>
          <w:p>
            <w:pPr>
              <w:jc w:val="center"/>
              <w:rPr>
                <w:noProof/>
              </w:rPr>
            </w:pPr>
            <w:r>
              <w:rPr>
                <w:noProof/>
              </w:rPr>
              <w:t>15,0</w:t>
            </w:r>
          </w:p>
        </w:tc>
        <w:tc>
          <w:tcPr>
            <w:tcW w:w="1252" w:type="dxa"/>
          </w:tcPr>
          <w:p>
            <w:pPr>
              <w:jc w:val="center"/>
              <w:rPr>
                <w:noProof/>
              </w:rPr>
            </w:pPr>
            <w:r>
              <w:rPr>
                <w:noProof/>
              </w:rPr>
              <w:t>15,0</w:t>
            </w:r>
          </w:p>
        </w:tc>
      </w:tr>
      <w:tr>
        <w:tc>
          <w:tcPr>
            <w:tcW w:w="2267" w:type="dxa"/>
          </w:tcPr>
          <w:p>
            <w:pPr>
              <w:jc w:val="center"/>
              <w:rPr>
                <w:noProof/>
              </w:rPr>
            </w:pPr>
            <w:r>
              <w:rPr>
                <w:noProof/>
              </w:rPr>
              <w:t>An (Acord)</w:t>
            </w:r>
          </w:p>
        </w:tc>
        <w:tc>
          <w:tcPr>
            <w:tcW w:w="1226" w:type="dxa"/>
          </w:tcPr>
          <w:p>
            <w:pPr>
              <w:jc w:val="center"/>
              <w:rPr>
                <w:noProof/>
              </w:rPr>
            </w:pPr>
            <w:r>
              <w:rPr>
                <w:noProof/>
              </w:rPr>
              <w:t>IIV</w:t>
            </w:r>
          </w:p>
        </w:tc>
        <w:tc>
          <w:tcPr>
            <w:tcW w:w="1134" w:type="dxa"/>
          </w:tcPr>
          <w:p>
            <w:pPr>
              <w:jc w:val="center"/>
              <w:rPr>
                <w:noProof/>
              </w:rPr>
            </w:pPr>
            <w:r>
              <w:rPr>
                <w:noProof/>
              </w:rPr>
              <w:t>IIV+1</w:t>
            </w:r>
          </w:p>
        </w:tc>
        <w:tc>
          <w:tcPr>
            <w:tcW w:w="1134" w:type="dxa"/>
          </w:tcPr>
          <w:p>
            <w:pPr>
              <w:jc w:val="center"/>
              <w:rPr>
                <w:noProof/>
              </w:rPr>
            </w:pPr>
            <w:r>
              <w:rPr>
                <w:noProof/>
              </w:rPr>
              <w:t>IIV+2</w:t>
            </w:r>
          </w:p>
        </w:tc>
        <w:tc>
          <w:tcPr>
            <w:tcW w:w="1134" w:type="dxa"/>
          </w:tcPr>
          <w:p>
            <w:pPr>
              <w:jc w:val="center"/>
              <w:rPr>
                <w:noProof/>
              </w:rPr>
            </w:pPr>
            <w:r>
              <w:rPr>
                <w:noProof/>
              </w:rPr>
              <w:t>IIV+3</w:t>
            </w:r>
          </w:p>
        </w:tc>
        <w:tc>
          <w:tcPr>
            <w:tcW w:w="1141" w:type="dxa"/>
          </w:tcPr>
          <w:p>
            <w:pPr>
              <w:jc w:val="center"/>
              <w:rPr>
                <w:noProof/>
              </w:rPr>
            </w:pPr>
            <w:r>
              <w:rPr>
                <w:noProof/>
              </w:rPr>
              <w:t>IIV+4</w:t>
            </w:r>
          </w:p>
        </w:tc>
        <w:tc>
          <w:tcPr>
            <w:tcW w:w="1252" w:type="dxa"/>
          </w:tcPr>
          <w:p>
            <w:pPr>
              <w:jc w:val="center"/>
              <w:rPr>
                <w:noProof/>
              </w:rPr>
            </w:pPr>
            <w:r>
              <w:rPr>
                <w:noProof/>
              </w:rPr>
              <w:t>IIV+5</w:t>
            </w:r>
          </w:p>
        </w:tc>
      </w:tr>
      <w:tr>
        <w:tc>
          <w:tcPr>
            <w:tcW w:w="2267" w:type="dxa"/>
          </w:tcPr>
          <w:p>
            <w:pPr>
              <w:jc w:val="left"/>
              <w:rPr>
                <w:noProof/>
              </w:rPr>
            </w:pPr>
            <w:r>
              <w:rPr>
                <w:noProof/>
              </w:rPr>
              <w:t>Taxa la export a Ucrainei către UE</w:t>
            </w:r>
          </w:p>
        </w:tc>
        <w:tc>
          <w:tcPr>
            <w:tcW w:w="1226" w:type="dxa"/>
          </w:tcPr>
          <w:p>
            <w:pPr>
              <w:jc w:val="center"/>
              <w:rPr>
                <w:noProof/>
                <w:color w:val="000000"/>
              </w:rPr>
            </w:pPr>
            <w:r>
              <w:rPr>
                <w:noProof/>
              </w:rPr>
              <w:t>10,0</w:t>
            </w:r>
          </w:p>
        </w:tc>
        <w:tc>
          <w:tcPr>
            <w:tcW w:w="1134" w:type="dxa"/>
          </w:tcPr>
          <w:p>
            <w:pPr>
              <w:jc w:val="center"/>
              <w:rPr>
                <w:noProof/>
                <w:color w:val="000000"/>
              </w:rPr>
            </w:pPr>
            <w:r>
              <w:rPr>
                <w:noProof/>
              </w:rPr>
              <w:t>9,0</w:t>
            </w:r>
          </w:p>
        </w:tc>
        <w:tc>
          <w:tcPr>
            <w:tcW w:w="1134" w:type="dxa"/>
          </w:tcPr>
          <w:p>
            <w:pPr>
              <w:jc w:val="center"/>
              <w:rPr>
                <w:noProof/>
                <w:color w:val="000000"/>
              </w:rPr>
            </w:pPr>
            <w:r>
              <w:rPr>
                <w:noProof/>
              </w:rPr>
              <w:t>8,0</w:t>
            </w:r>
          </w:p>
        </w:tc>
        <w:tc>
          <w:tcPr>
            <w:tcW w:w="1134" w:type="dxa"/>
          </w:tcPr>
          <w:p>
            <w:pPr>
              <w:jc w:val="center"/>
              <w:rPr>
                <w:noProof/>
                <w:color w:val="000000"/>
              </w:rPr>
            </w:pPr>
            <w:r>
              <w:rPr>
                <w:noProof/>
              </w:rPr>
              <w:t>7,0</w:t>
            </w:r>
          </w:p>
        </w:tc>
        <w:tc>
          <w:tcPr>
            <w:tcW w:w="1141" w:type="dxa"/>
          </w:tcPr>
          <w:p>
            <w:pPr>
              <w:jc w:val="center"/>
              <w:rPr>
                <w:noProof/>
                <w:color w:val="000000"/>
              </w:rPr>
            </w:pPr>
            <w:r>
              <w:rPr>
                <w:noProof/>
              </w:rPr>
              <w:t>6,0</w:t>
            </w:r>
          </w:p>
        </w:tc>
        <w:tc>
          <w:tcPr>
            <w:tcW w:w="1252" w:type="dxa"/>
          </w:tcPr>
          <w:p>
            <w:pPr>
              <w:jc w:val="center"/>
              <w:rPr>
                <w:noProof/>
                <w:color w:val="000000"/>
              </w:rPr>
            </w:pPr>
            <w:r>
              <w:rPr>
                <w:noProof/>
              </w:rPr>
              <w:t>5,0</w:t>
            </w:r>
          </w:p>
        </w:tc>
      </w:tr>
      <w:tr>
        <w:tc>
          <w:tcPr>
            <w:tcW w:w="2267" w:type="dxa"/>
          </w:tcPr>
          <w:p>
            <w:pPr>
              <w:jc w:val="left"/>
              <w:rPr>
                <w:noProof/>
              </w:rPr>
            </w:pPr>
            <w:r>
              <w:rPr>
                <w:noProof/>
              </w:rPr>
              <w:t>Nivelul de declanșare (în tone)</w:t>
            </w:r>
          </w:p>
        </w:tc>
        <w:tc>
          <w:tcPr>
            <w:tcW w:w="1226" w:type="dxa"/>
          </w:tcPr>
          <w:p>
            <w:pPr>
              <w:jc w:val="center"/>
              <w:rPr>
                <w:noProof/>
              </w:rPr>
            </w:pPr>
            <w:r>
              <w:rPr>
                <w:noProof/>
              </w:rPr>
              <w:t>4 000,0</w:t>
            </w:r>
          </w:p>
        </w:tc>
        <w:tc>
          <w:tcPr>
            <w:tcW w:w="1134" w:type="dxa"/>
          </w:tcPr>
          <w:p>
            <w:pPr>
              <w:jc w:val="center"/>
              <w:rPr>
                <w:noProof/>
              </w:rPr>
            </w:pPr>
            <w:r>
              <w:rPr>
                <w:noProof/>
              </w:rPr>
              <w:t>4 200,0</w:t>
            </w:r>
          </w:p>
        </w:tc>
        <w:tc>
          <w:tcPr>
            <w:tcW w:w="1134" w:type="dxa"/>
          </w:tcPr>
          <w:p>
            <w:pPr>
              <w:jc w:val="center"/>
              <w:rPr>
                <w:noProof/>
              </w:rPr>
            </w:pPr>
            <w:r>
              <w:rPr>
                <w:noProof/>
              </w:rPr>
              <w:t>4 400,0</w:t>
            </w:r>
          </w:p>
        </w:tc>
        <w:tc>
          <w:tcPr>
            <w:tcW w:w="1134" w:type="dxa"/>
          </w:tcPr>
          <w:p>
            <w:pPr>
              <w:jc w:val="center"/>
              <w:rPr>
                <w:noProof/>
              </w:rPr>
            </w:pPr>
            <w:r>
              <w:rPr>
                <w:noProof/>
              </w:rPr>
              <w:t>4 600,0</w:t>
            </w:r>
          </w:p>
        </w:tc>
        <w:tc>
          <w:tcPr>
            <w:tcW w:w="1141" w:type="dxa"/>
          </w:tcPr>
          <w:p>
            <w:pPr>
              <w:jc w:val="center"/>
              <w:rPr>
                <w:noProof/>
              </w:rPr>
            </w:pPr>
            <w:r>
              <w:rPr>
                <w:noProof/>
              </w:rPr>
              <w:t>4 800,0</w:t>
            </w:r>
          </w:p>
        </w:tc>
        <w:tc>
          <w:tcPr>
            <w:tcW w:w="1252" w:type="dxa"/>
          </w:tcPr>
          <w:p>
            <w:pPr>
              <w:jc w:val="center"/>
              <w:rPr>
                <w:noProof/>
              </w:rPr>
            </w:pPr>
            <w:r>
              <w:rPr>
                <w:noProof/>
              </w:rPr>
              <w:t>5 000,0</w:t>
            </w:r>
          </w:p>
        </w:tc>
      </w:tr>
      <w:tr>
        <w:tc>
          <w:tcPr>
            <w:tcW w:w="2267" w:type="dxa"/>
          </w:tcPr>
          <w:p>
            <w:pPr>
              <w:jc w:val="left"/>
              <w:rPr>
                <w:noProof/>
              </w:rPr>
            </w:pPr>
            <w:r>
              <w:rPr>
                <w:noProof/>
              </w:rPr>
              <w:t>Suprataxa maximă</w:t>
            </w:r>
          </w:p>
        </w:tc>
        <w:tc>
          <w:tcPr>
            <w:tcW w:w="1226" w:type="dxa"/>
          </w:tcPr>
          <w:p>
            <w:pPr>
              <w:jc w:val="center"/>
              <w:rPr>
                <w:noProof/>
              </w:rPr>
            </w:pPr>
            <w:r>
              <w:rPr>
                <w:noProof/>
              </w:rPr>
              <w:t>0,0</w:t>
            </w:r>
          </w:p>
        </w:tc>
        <w:tc>
          <w:tcPr>
            <w:tcW w:w="1134" w:type="dxa"/>
          </w:tcPr>
          <w:p>
            <w:pPr>
              <w:jc w:val="center"/>
              <w:rPr>
                <w:noProof/>
              </w:rPr>
            </w:pPr>
            <w:r>
              <w:rPr>
                <w:noProof/>
              </w:rPr>
              <w:t>1,0</w:t>
            </w:r>
          </w:p>
        </w:tc>
        <w:tc>
          <w:tcPr>
            <w:tcW w:w="1134" w:type="dxa"/>
          </w:tcPr>
          <w:p>
            <w:pPr>
              <w:jc w:val="center"/>
              <w:rPr>
                <w:noProof/>
              </w:rPr>
            </w:pPr>
            <w:r>
              <w:rPr>
                <w:noProof/>
              </w:rPr>
              <w:t>2,0</w:t>
            </w:r>
          </w:p>
        </w:tc>
        <w:tc>
          <w:tcPr>
            <w:tcW w:w="1134" w:type="dxa"/>
          </w:tcPr>
          <w:p>
            <w:pPr>
              <w:jc w:val="center"/>
              <w:rPr>
                <w:noProof/>
              </w:rPr>
            </w:pPr>
            <w:r>
              <w:rPr>
                <w:noProof/>
              </w:rPr>
              <w:t>3,0</w:t>
            </w:r>
          </w:p>
        </w:tc>
        <w:tc>
          <w:tcPr>
            <w:tcW w:w="1141" w:type="dxa"/>
          </w:tcPr>
          <w:p>
            <w:pPr>
              <w:jc w:val="center"/>
              <w:rPr>
                <w:noProof/>
              </w:rPr>
            </w:pPr>
            <w:r>
              <w:rPr>
                <w:noProof/>
              </w:rPr>
              <w:t>4,0</w:t>
            </w:r>
          </w:p>
        </w:tc>
        <w:tc>
          <w:tcPr>
            <w:tcW w:w="1252" w:type="dxa"/>
          </w:tcPr>
          <w:p>
            <w:pPr>
              <w:jc w:val="center"/>
              <w:rPr>
                <w:noProof/>
              </w:rPr>
            </w:pPr>
            <w:r>
              <w:rPr>
                <w:noProof/>
              </w:rPr>
              <w:t>5,0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2022</w:t>
            </w:r>
          </w:p>
        </w:tc>
        <w:tc>
          <w:tcPr>
            <w:tcW w:w="1321" w:type="dxa"/>
          </w:tcPr>
          <w:p>
            <w:pPr>
              <w:jc w:val="center"/>
              <w:rPr>
                <w:noProof/>
              </w:rPr>
            </w:pPr>
            <w:r>
              <w:rPr>
                <w:noProof/>
              </w:rPr>
              <w:t>2023</w:t>
            </w:r>
          </w:p>
        </w:tc>
        <w:tc>
          <w:tcPr>
            <w:tcW w:w="1321" w:type="dxa"/>
          </w:tcPr>
          <w:p>
            <w:pPr>
              <w:jc w:val="center"/>
              <w:rPr>
                <w:noProof/>
              </w:rPr>
            </w:pPr>
            <w:r>
              <w:rPr>
                <w:noProof/>
              </w:rPr>
              <w:t>2024</w:t>
            </w:r>
          </w:p>
        </w:tc>
        <w:tc>
          <w:tcPr>
            <w:tcW w:w="1321" w:type="dxa"/>
          </w:tcPr>
          <w:p>
            <w:pPr>
              <w:jc w:val="center"/>
              <w:rPr>
                <w:noProof/>
              </w:rPr>
            </w:pPr>
            <w:r>
              <w:rPr>
                <w:noProof/>
              </w:rPr>
              <w:t>2025</w:t>
            </w:r>
          </w:p>
        </w:tc>
        <w:tc>
          <w:tcPr>
            <w:tcW w:w="1511" w:type="dxa"/>
          </w:tcPr>
          <w:p>
            <w:pPr>
              <w:jc w:val="center"/>
              <w:rPr>
                <w:noProof/>
              </w:rPr>
            </w:pPr>
            <w:r>
              <w:rPr>
                <w:noProof/>
              </w:rPr>
              <w:t>2026</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IIV+6</w:t>
            </w:r>
          </w:p>
        </w:tc>
        <w:tc>
          <w:tcPr>
            <w:tcW w:w="1321" w:type="dxa"/>
          </w:tcPr>
          <w:p>
            <w:pPr>
              <w:jc w:val="center"/>
              <w:rPr>
                <w:noProof/>
              </w:rPr>
            </w:pPr>
            <w:r>
              <w:rPr>
                <w:noProof/>
              </w:rPr>
              <w:t>IIV+7</w:t>
            </w:r>
          </w:p>
        </w:tc>
        <w:tc>
          <w:tcPr>
            <w:tcW w:w="1321" w:type="dxa"/>
          </w:tcPr>
          <w:p>
            <w:pPr>
              <w:jc w:val="center"/>
              <w:rPr>
                <w:noProof/>
              </w:rPr>
            </w:pPr>
            <w:r>
              <w:rPr>
                <w:noProof/>
              </w:rPr>
              <w:t>IIV+8</w:t>
            </w:r>
          </w:p>
        </w:tc>
        <w:tc>
          <w:tcPr>
            <w:tcW w:w="1321" w:type="dxa"/>
          </w:tcPr>
          <w:p>
            <w:pPr>
              <w:jc w:val="center"/>
              <w:rPr>
                <w:noProof/>
              </w:rPr>
            </w:pPr>
            <w:r>
              <w:rPr>
                <w:noProof/>
              </w:rPr>
              <w:t>IIV+9</w:t>
            </w:r>
          </w:p>
        </w:tc>
        <w:tc>
          <w:tcPr>
            <w:tcW w:w="1511" w:type="dxa"/>
          </w:tcPr>
          <w:p>
            <w:pPr>
              <w:jc w:val="center"/>
              <w:rPr>
                <w:noProof/>
              </w:rPr>
            </w:pPr>
            <w:r>
              <w:rPr>
                <w:noProof/>
              </w:rPr>
              <w:t>IIV+10</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4,0</w:t>
            </w:r>
          </w:p>
        </w:tc>
        <w:tc>
          <w:tcPr>
            <w:tcW w:w="1321" w:type="dxa"/>
          </w:tcPr>
          <w:p>
            <w:pPr>
              <w:jc w:val="center"/>
              <w:rPr>
                <w:noProof/>
              </w:rPr>
            </w:pPr>
            <w:r>
              <w:rPr>
                <w:noProof/>
              </w:rPr>
              <w:t>3,0</w:t>
            </w:r>
          </w:p>
        </w:tc>
        <w:tc>
          <w:tcPr>
            <w:tcW w:w="1321" w:type="dxa"/>
          </w:tcPr>
          <w:p>
            <w:pPr>
              <w:jc w:val="center"/>
              <w:rPr>
                <w:noProof/>
              </w:rPr>
            </w:pPr>
            <w:r>
              <w:rPr>
                <w:noProof/>
              </w:rPr>
              <w:t>2,0</w:t>
            </w:r>
          </w:p>
        </w:tc>
        <w:tc>
          <w:tcPr>
            <w:tcW w:w="1321" w:type="dxa"/>
          </w:tcPr>
          <w:p>
            <w:pPr>
              <w:jc w:val="center"/>
              <w:rPr>
                <w:noProof/>
              </w:rPr>
            </w:pPr>
            <w:r>
              <w:rPr>
                <w:noProof/>
              </w:rPr>
              <w:t>1,0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5 200,0</w:t>
            </w:r>
          </w:p>
        </w:tc>
        <w:tc>
          <w:tcPr>
            <w:tcW w:w="1321" w:type="dxa"/>
          </w:tcPr>
          <w:p>
            <w:pPr>
              <w:jc w:val="center"/>
              <w:rPr>
                <w:noProof/>
              </w:rPr>
            </w:pPr>
            <w:r>
              <w:rPr>
                <w:noProof/>
              </w:rPr>
              <w:t>5 400,0</w:t>
            </w:r>
          </w:p>
        </w:tc>
        <w:tc>
          <w:tcPr>
            <w:tcW w:w="1321" w:type="dxa"/>
          </w:tcPr>
          <w:p>
            <w:pPr>
              <w:jc w:val="center"/>
              <w:rPr>
                <w:noProof/>
              </w:rPr>
            </w:pPr>
            <w:r>
              <w:rPr>
                <w:noProof/>
              </w:rPr>
              <w:t>5 600,0</w:t>
            </w:r>
          </w:p>
        </w:tc>
        <w:tc>
          <w:tcPr>
            <w:tcW w:w="1321" w:type="dxa"/>
          </w:tcPr>
          <w:p>
            <w:pPr>
              <w:jc w:val="center"/>
              <w:rPr>
                <w:noProof/>
              </w:rPr>
            </w:pPr>
            <w:r>
              <w:rPr>
                <w:noProof/>
              </w:rPr>
              <w:t>5 800,0</w:t>
            </w:r>
          </w:p>
        </w:tc>
        <w:tc>
          <w:tcPr>
            <w:tcW w:w="1511" w:type="dxa"/>
          </w:tcPr>
          <w:p>
            <w:pPr>
              <w:jc w:val="center"/>
              <w:rPr>
                <w:noProof/>
              </w:rPr>
            </w:pPr>
            <w:r>
              <w:rPr>
                <w:noProof/>
              </w:rPr>
              <w:t>6 000,0</w:t>
            </w:r>
          </w:p>
        </w:tc>
      </w:tr>
      <w:tr>
        <w:tc>
          <w:tcPr>
            <w:tcW w:w="2835" w:type="dxa"/>
          </w:tcPr>
          <w:p>
            <w:pPr>
              <w:jc w:val="left"/>
              <w:rPr>
                <w:noProof/>
              </w:rPr>
            </w:pPr>
            <w:r>
              <w:rPr>
                <w:noProof/>
              </w:rPr>
              <w:t>Suprataxa maximă</w:t>
            </w:r>
          </w:p>
        </w:tc>
        <w:tc>
          <w:tcPr>
            <w:tcW w:w="1545" w:type="dxa"/>
          </w:tcPr>
          <w:p>
            <w:pPr>
              <w:jc w:val="center"/>
              <w:rPr>
                <w:noProof/>
              </w:rPr>
            </w:pPr>
            <w:r>
              <w:rPr>
                <w:noProof/>
              </w:rPr>
              <w:t>6,0</w:t>
            </w:r>
          </w:p>
        </w:tc>
        <w:tc>
          <w:tcPr>
            <w:tcW w:w="1321" w:type="dxa"/>
          </w:tcPr>
          <w:p>
            <w:pPr>
              <w:jc w:val="center"/>
              <w:rPr>
                <w:noProof/>
              </w:rPr>
            </w:pPr>
            <w:r>
              <w:rPr>
                <w:noProof/>
              </w:rPr>
              <w:t>7,0</w:t>
            </w:r>
          </w:p>
        </w:tc>
        <w:tc>
          <w:tcPr>
            <w:tcW w:w="1321" w:type="dxa"/>
          </w:tcPr>
          <w:p>
            <w:pPr>
              <w:jc w:val="center"/>
              <w:rPr>
                <w:noProof/>
              </w:rPr>
            </w:pPr>
            <w:r>
              <w:rPr>
                <w:noProof/>
              </w:rPr>
              <w:t>8,0</w:t>
            </w:r>
          </w:p>
        </w:tc>
        <w:tc>
          <w:tcPr>
            <w:tcW w:w="1321" w:type="dxa"/>
          </w:tcPr>
          <w:p>
            <w:pPr>
              <w:jc w:val="center"/>
              <w:rPr>
                <w:noProof/>
              </w:rPr>
            </w:pPr>
            <w:r>
              <w:rPr>
                <w:noProof/>
              </w:rPr>
              <w:t>9,0</w:t>
            </w:r>
          </w:p>
        </w:tc>
        <w:tc>
          <w:tcPr>
            <w:tcW w:w="1511" w:type="dxa"/>
          </w:tcPr>
          <w:p>
            <w:pPr>
              <w:jc w:val="center"/>
              <w:rPr>
                <w:noProof/>
              </w:rPr>
            </w:pPr>
            <w:r>
              <w:rPr>
                <w:noProof/>
              </w:rPr>
              <w:t>10,0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2027</w:t>
            </w:r>
          </w:p>
        </w:tc>
        <w:tc>
          <w:tcPr>
            <w:tcW w:w="1321" w:type="dxa"/>
          </w:tcPr>
          <w:p>
            <w:pPr>
              <w:jc w:val="center"/>
              <w:rPr>
                <w:noProof/>
              </w:rPr>
            </w:pPr>
            <w:r>
              <w:rPr>
                <w:noProof/>
              </w:rPr>
              <w:t>2028</w:t>
            </w:r>
          </w:p>
        </w:tc>
        <w:tc>
          <w:tcPr>
            <w:tcW w:w="1321" w:type="dxa"/>
          </w:tcPr>
          <w:p>
            <w:pPr>
              <w:jc w:val="center"/>
              <w:rPr>
                <w:noProof/>
              </w:rPr>
            </w:pPr>
            <w:r>
              <w:rPr>
                <w:noProof/>
              </w:rPr>
              <w:t>2029</w:t>
            </w:r>
          </w:p>
        </w:tc>
        <w:tc>
          <w:tcPr>
            <w:tcW w:w="1321" w:type="dxa"/>
          </w:tcPr>
          <w:p>
            <w:pPr>
              <w:jc w:val="center"/>
              <w:rPr>
                <w:noProof/>
              </w:rPr>
            </w:pPr>
            <w:r>
              <w:rPr>
                <w:noProof/>
              </w:rPr>
              <w:t>2030</w:t>
            </w:r>
          </w:p>
        </w:tc>
        <w:tc>
          <w:tcPr>
            <w:tcW w:w="1511" w:type="dxa"/>
          </w:tcPr>
          <w:p>
            <w:pPr>
              <w:jc w:val="center"/>
              <w:rPr>
                <w:noProof/>
              </w:rPr>
            </w:pPr>
            <w:r>
              <w:rPr>
                <w:noProof/>
              </w:rPr>
              <w:t>2031</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IIV+11</w:t>
            </w:r>
          </w:p>
        </w:tc>
        <w:tc>
          <w:tcPr>
            <w:tcW w:w="1321" w:type="dxa"/>
          </w:tcPr>
          <w:p>
            <w:pPr>
              <w:jc w:val="center"/>
              <w:rPr>
                <w:noProof/>
              </w:rPr>
            </w:pPr>
            <w:r>
              <w:rPr>
                <w:noProof/>
              </w:rPr>
              <w:t>IIV+12</w:t>
            </w:r>
          </w:p>
        </w:tc>
        <w:tc>
          <w:tcPr>
            <w:tcW w:w="1321" w:type="dxa"/>
          </w:tcPr>
          <w:p>
            <w:pPr>
              <w:jc w:val="center"/>
              <w:rPr>
                <w:noProof/>
              </w:rPr>
            </w:pPr>
            <w:r>
              <w:rPr>
                <w:noProof/>
              </w:rPr>
              <w:t>IIV+13</w:t>
            </w:r>
          </w:p>
        </w:tc>
        <w:tc>
          <w:tcPr>
            <w:tcW w:w="1321" w:type="dxa"/>
          </w:tcPr>
          <w:p>
            <w:pPr>
              <w:jc w:val="center"/>
              <w:rPr>
                <w:noProof/>
              </w:rPr>
            </w:pPr>
            <w:r>
              <w:rPr>
                <w:noProof/>
              </w:rPr>
              <w:t>IIV+14</w:t>
            </w:r>
          </w:p>
        </w:tc>
        <w:tc>
          <w:tcPr>
            <w:tcW w:w="1511" w:type="dxa"/>
          </w:tcPr>
          <w:p>
            <w:pPr>
              <w:jc w:val="center"/>
              <w:rPr>
                <w:noProof/>
              </w:rPr>
            </w:pPr>
            <w:r>
              <w:rPr>
                <w:noProof/>
              </w:rPr>
              <w:t>IIV+15</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6 000,0</w:t>
            </w:r>
          </w:p>
        </w:tc>
        <w:tc>
          <w:tcPr>
            <w:tcW w:w="1321" w:type="dxa"/>
          </w:tcPr>
          <w:p>
            <w:pPr>
              <w:jc w:val="center"/>
              <w:rPr>
                <w:noProof/>
              </w:rPr>
            </w:pPr>
            <w:r>
              <w:rPr>
                <w:noProof/>
              </w:rPr>
              <w:t>6 000,0</w:t>
            </w:r>
          </w:p>
        </w:tc>
        <w:tc>
          <w:tcPr>
            <w:tcW w:w="1321" w:type="dxa"/>
          </w:tcPr>
          <w:p>
            <w:pPr>
              <w:jc w:val="center"/>
              <w:rPr>
                <w:noProof/>
              </w:rPr>
            </w:pPr>
            <w:r>
              <w:rPr>
                <w:noProof/>
              </w:rPr>
              <w:t>6 000,0</w:t>
            </w:r>
          </w:p>
        </w:tc>
        <w:tc>
          <w:tcPr>
            <w:tcW w:w="1321" w:type="dxa"/>
          </w:tcPr>
          <w:p>
            <w:pPr>
              <w:jc w:val="center"/>
              <w:rPr>
                <w:noProof/>
              </w:rPr>
            </w:pPr>
            <w:r>
              <w:rPr>
                <w:noProof/>
              </w:rPr>
              <w:t>6 000,0</w:t>
            </w:r>
          </w:p>
        </w:tc>
        <w:tc>
          <w:tcPr>
            <w:tcW w:w="1511" w:type="dxa"/>
          </w:tcPr>
          <w:p>
            <w:pPr>
              <w:jc w:val="center"/>
              <w:rPr>
                <w:noProof/>
              </w:rPr>
            </w:pPr>
            <w:r>
              <w:rPr>
                <w:noProof/>
              </w:rPr>
              <w:t>6 000,0</w:t>
            </w:r>
          </w:p>
        </w:tc>
      </w:tr>
      <w:tr>
        <w:tc>
          <w:tcPr>
            <w:tcW w:w="2835" w:type="dxa"/>
          </w:tcPr>
          <w:p>
            <w:pPr>
              <w:jc w:val="left"/>
              <w:rPr>
                <w:noProof/>
              </w:rPr>
            </w:pPr>
            <w:r>
              <w:rPr>
                <w:noProof/>
              </w:rPr>
              <w:t>Suprataxa maximă</w:t>
            </w:r>
          </w:p>
        </w:tc>
        <w:tc>
          <w:tcPr>
            <w:tcW w:w="1545" w:type="dxa"/>
          </w:tcPr>
          <w:p>
            <w:pPr>
              <w:jc w:val="center"/>
              <w:rPr>
                <w:noProof/>
              </w:rPr>
            </w:pPr>
            <w:r>
              <w:rPr>
                <w:noProof/>
              </w:rPr>
              <w:t>8,0</w:t>
            </w:r>
          </w:p>
        </w:tc>
        <w:tc>
          <w:tcPr>
            <w:tcW w:w="1321" w:type="dxa"/>
          </w:tcPr>
          <w:p>
            <w:pPr>
              <w:jc w:val="center"/>
              <w:rPr>
                <w:noProof/>
              </w:rPr>
            </w:pPr>
            <w:r>
              <w:rPr>
                <w:noProof/>
              </w:rPr>
              <w:t>6,0</w:t>
            </w:r>
          </w:p>
        </w:tc>
        <w:tc>
          <w:tcPr>
            <w:tcW w:w="1321" w:type="dxa"/>
          </w:tcPr>
          <w:p>
            <w:pPr>
              <w:jc w:val="center"/>
              <w:rPr>
                <w:noProof/>
              </w:rPr>
            </w:pPr>
            <w:r>
              <w:rPr>
                <w:noProof/>
              </w:rPr>
              <w:t>4,0</w:t>
            </w:r>
          </w:p>
        </w:tc>
        <w:tc>
          <w:tcPr>
            <w:tcW w:w="1321" w:type="dxa"/>
          </w:tcPr>
          <w:p>
            <w:pPr>
              <w:jc w:val="center"/>
              <w:rPr>
                <w:noProof/>
              </w:rPr>
            </w:pPr>
            <w:r>
              <w:rPr>
                <w:noProof/>
              </w:rPr>
              <w:t>2,0</w:t>
            </w:r>
          </w:p>
        </w:tc>
        <w:tc>
          <w:tcPr>
            <w:tcW w:w="1511" w:type="dxa"/>
          </w:tcPr>
          <w:p>
            <w:pPr>
              <w:jc w:val="center"/>
              <w:rPr>
                <w:noProof/>
              </w:rPr>
            </w:pPr>
            <w:r>
              <w:rPr>
                <w:noProof/>
              </w:rPr>
              <w:t>0,0</w:t>
            </w:r>
          </w:p>
        </w:tc>
      </w:tr>
    </w:tbl>
    <w:p>
      <w:pPr>
        <w:rPr>
          <w:noProof/>
        </w:rPr>
      </w:pPr>
      <w:r>
        <w:rPr>
          <w:noProof/>
        </w:rPr>
        <w:t>Acoperire: oțelurile inoxidabile în lingouri și în alte forme primare care intră sub incidența următoarelor coduri vamale ucrainene: 7218 10 00 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1214"/>
        <w:gridCol w:w="1129"/>
        <w:gridCol w:w="1129"/>
        <w:gridCol w:w="1129"/>
        <w:gridCol w:w="1137"/>
        <w:gridCol w:w="1251"/>
      </w:tblGrid>
      <w:tr>
        <w:tc>
          <w:tcPr>
            <w:tcW w:w="2299" w:type="dxa"/>
          </w:tcPr>
          <w:p>
            <w:pPr>
              <w:jc w:val="center"/>
              <w:rPr>
                <w:noProof/>
              </w:rPr>
            </w:pPr>
            <w:r>
              <w:rPr>
                <w:noProof/>
              </w:rPr>
              <w:t>An (OMC)</w:t>
            </w:r>
          </w:p>
        </w:tc>
        <w:tc>
          <w:tcPr>
            <w:tcW w:w="1214" w:type="dxa"/>
          </w:tcPr>
          <w:p>
            <w:pPr>
              <w:jc w:val="center"/>
              <w:rPr>
                <w:noProof/>
              </w:rPr>
            </w:pPr>
            <w:r>
              <w:rPr>
                <w:noProof/>
              </w:rPr>
              <w:t>2016</w:t>
            </w:r>
          </w:p>
        </w:tc>
        <w:tc>
          <w:tcPr>
            <w:tcW w:w="1129" w:type="dxa"/>
          </w:tcPr>
          <w:p>
            <w:pPr>
              <w:jc w:val="center"/>
              <w:rPr>
                <w:noProof/>
              </w:rPr>
            </w:pPr>
            <w:r>
              <w:rPr>
                <w:noProof/>
              </w:rPr>
              <w:t>2017</w:t>
            </w:r>
          </w:p>
        </w:tc>
        <w:tc>
          <w:tcPr>
            <w:tcW w:w="1129" w:type="dxa"/>
          </w:tcPr>
          <w:p>
            <w:pPr>
              <w:jc w:val="center"/>
              <w:rPr>
                <w:noProof/>
              </w:rPr>
            </w:pPr>
            <w:r>
              <w:rPr>
                <w:noProof/>
              </w:rPr>
              <w:t>2018</w:t>
            </w:r>
          </w:p>
        </w:tc>
        <w:tc>
          <w:tcPr>
            <w:tcW w:w="1129" w:type="dxa"/>
          </w:tcPr>
          <w:p>
            <w:pPr>
              <w:jc w:val="center"/>
              <w:rPr>
                <w:noProof/>
              </w:rPr>
            </w:pPr>
            <w:r>
              <w:rPr>
                <w:noProof/>
              </w:rPr>
              <w:t>2019</w:t>
            </w:r>
          </w:p>
        </w:tc>
        <w:tc>
          <w:tcPr>
            <w:tcW w:w="1137" w:type="dxa"/>
          </w:tcPr>
          <w:p>
            <w:pPr>
              <w:jc w:val="center"/>
              <w:rPr>
                <w:noProof/>
              </w:rPr>
            </w:pPr>
            <w:r>
              <w:rPr>
                <w:noProof/>
              </w:rPr>
              <w:t>2020</w:t>
            </w:r>
          </w:p>
        </w:tc>
        <w:tc>
          <w:tcPr>
            <w:tcW w:w="1251" w:type="dxa"/>
          </w:tcPr>
          <w:p>
            <w:pPr>
              <w:jc w:val="center"/>
              <w:rPr>
                <w:noProof/>
              </w:rPr>
            </w:pPr>
            <w:r>
              <w:rPr>
                <w:noProof/>
              </w:rPr>
              <w:t>2021</w:t>
            </w:r>
          </w:p>
        </w:tc>
      </w:tr>
      <w:tr>
        <w:tc>
          <w:tcPr>
            <w:tcW w:w="2299" w:type="dxa"/>
          </w:tcPr>
          <w:p>
            <w:pPr>
              <w:jc w:val="left"/>
              <w:rPr>
                <w:noProof/>
              </w:rPr>
            </w:pPr>
            <w:r>
              <w:rPr>
                <w:noProof/>
              </w:rPr>
              <w:t>Angajamentul Ucrainei față de OMC</w:t>
            </w:r>
          </w:p>
        </w:tc>
        <w:tc>
          <w:tcPr>
            <w:tcW w:w="1214" w:type="dxa"/>
          </w:tcPr>
          <w:p>
            <w:pPr>
              <w:jc w:val="center"/>
              <w:rPr>
                <w:noProof/>
              </w:rPr>
            </w:pPr>
            <w:r>
              <w:rPr>
                <w:noProof/>
              </w:rPr>
              <w:t>15,0</w:t>
            </w:r>
          </w:p>
        </w:tc>
        <w:tc>
          <w:tcPr>
            <w:tcW w:w="1129" w:type="dxa"/>
          </w:tcPr>
          <w:p>
            <w:pPr>
              <w:jc w:val="center"/>
              <w:rPr>
                <w:noProof/>
              </w:rPr>
            </w:pPr>
            <w:r>
              <w:rPr>
                <w:noProof/>
              </w:rPr>
              <w:t>15,0</w:t>
            </w:r>
          </w:p>
        </w:tc>
        <w:tc>
          <w:tcPr>
            <w:tcW w:w="1129" w:type="dxa"/>
          </w:tcPr>
          <w:p>
            <w:pPr>
              <w:jc w:val="center"/>
              <w:rPr>
                <w:noProof/>
              </w:rPr>
            </w:pPr>
            <w:r>
              <w:rPr>
                <w:noProof/>
              </w:rPr>
              <w:t>15,0</w:t>
            </w:r>
          </w:p>
        </w:tc>
        <w:tc>
          <w:tcPr>
            <w:tcW w:w="1129" w:type="dxa"/>
          </w:tcPr>
          <w:p>
            <w:pPr>
              <w:jc w:val="center"/>
              <w:rPr>
                <w:noProof/>
              </w:rPr>
            </w:pPr>
            <w:r>
              <w:rPr>
                <w:noProof/>
              </w:rPr>
              <w:t>15,0</w:t>
            </w:r>
          </w:p>
        </w:tc>
        <w:tc>
          <w:tcPr>
            <w:tcW w:w="1137" w:type="dxa"/>
          </w:tcPr>
          <w:p>
            <w:pPr>
              <w:jc w:val="center"/>
              <w:rPr>
                <w:noProof/>
              </w:rPr>
            </w:pPr>
            <w:r>
              <w:rPr>
                <w:noProof/>
              </w:rPr>
              <w:t>15,0</w:t>
            </w:r>
          </w:p>
        </w:tc>
        <w:tc>
          <w:tcPr>
            <w:tcW w:w="1251" w:type="dxa"/>
          </w:tcPr>
          <w:p>
            <w:pPr>
              <w:jc w:val="center"/>
              <w:rPr>
                <w:noProof/>
              </w:rPr>
            </w:pPr>
            <w:r>
              <w:rPr>
                <w:noProof/>
              </w:rPr>
              <w:t>15,0</w:t>
            </w:r>
          </w:p>
        </w:tc>
      </w:tr>
      <w:tr>
        <w:tc>
          <w:tcPr>
            <w:tcW w:w="2299" w:type="dxa"/>
          </w:tcPr>
          <w:p>
            <w:pPr>
              <w:jc w:val="center"/>
              <w:rPr>
                <w:noProof/>
              </w:rPr>
            </w:pPr>
            <w:r>
              <w:rPr>
                <w:noProof/>
              </w:rPr>
              <w:t>An (Acord)</w:t>
            </w:r>
          </w:p>
        </w:tc>
        <w:tc>
          <w:tcPr>
            <w:tcW w:w="1214" w:type="dxa"/>
          </w:tcPr>
          <w:p>
            <w:pPr>
              <w:jc w:val="center"/>
              <w:rPr>
                <w:noProof/>
              </w:rPr>
            </w:pPr>
            <w:r>
              <w:rPr>
                <w:noProof/>
              </w:rPr>
              <w:t>IIV</w:t>
            </w:r>
          </w:p>
        </w:tc>
        <w:tc>
          <w:tcPr>
            <w:tcW w:w="1129" w:type="dxa"/>
          </w:tcPr>
          <w:p>
            <w:pPr>
              <w:jc w:val="center"/>
              <w:rPr>
                <w:noProof/>
              </w:rPr>
            </w:pPr>
            <w:r>
              <w:rPr>
                <w:noProof/>
              </w:rPr>
              <w:t>IIV+1</w:t>
            </w:r>
          </w:p>
        </w:tc>
        <w:tc>
          <w:tcPr>
            <w:tcW w:w="1129" w:type="dxa"/>
          </w:tcPr>
          <w:p>
            <w:pPr>
              <w:jc w:val="center"/>
              <w:rPr>
                <w:noProof/>
              </w:rPr>
            </w:pPr>
            <w:r>
              <w:rPr>
                <w:noProof/>
              </w:rPr>
              <w:t>IIV+2</w:t>
            </w:r>
          </w:p>
        </w:tc>
        <w:tc>
          <w:tcPr>
            <w:tcW w:w="1129" w:type="dxa"/>
          </w:tcPr>
          <w:p>
            <w:pPr>
              <w:jc w:val="center"/>
              <w:rPr>
                <w:noProof/>
              </w:rPr>
            </w:pPr>
            <w:r>
              <w:rPr>
                <w:noProof/>
              </w:rPr>
              <w:t>IIV+3</w:t>
            </w:r>
          </w:p>
        </w:tc>
        <w:tc>
          <w:tcPr>
            <w:tcW w:w="1137" w:type="dxa"/>
          </w:tcPr>
          <w:p>
            <w:pPr>
              <w:jc w:val="center"/>
              <w:rPr>
                <w:noProof/>
              </w:rPr>
            </w:pPr>
            <w:r>
              <w:rPr>
                <w:noProof/>
              </w:rPr>
              <w:t>IIV+4</w:t>
            </w:r>
          </w:p>
        </w:tc>
        <w:tc>
          <w:tcPr>
            <w:tcW w:w="1251" w:type="dxa"/>
          </w:tcPr>
          <w:p>
            <w:pPr>
              <w:jc w:val="center"/>
              <w:rPr>
                <w:noProof/>
              </w:rPr>
            </w:pPr>
            <w:r>
              <w:rPr>
                <w:noProof/>
              </w:rPr>
              <w:t>IIV+5</w:t>
            </w:r>
          </w:p>
        </w:tc>
      </w:tr>
      <w:tr>
        <w:tc>
          <w:tcPr>
            <w:tcW w:w="2299" w:type="dxa"/>
          </w:tcPr>
          <w:p>
            <w:pPr>
              <w:jc w:val="left"/>
              <w:rPr>
                <w:noProof/>
              </w:rPr>
            </w:pPr>
            <w:r>
              <w:rPr>
                <w:noProof/>
              </w:rPr>
              <w:t>Taxa la export a Ucrainei către UE</w:t>
            </w:r>
          </w:p>
        </w:tc>
        <w:tc>
          <w:tcPr>
            <w:tcW w:w="1214" w:type="dxa"/>
          </w:tcPr>
          <w:p>
            <w:pPr>
              <w:jc w:val="center"/>
              <w:rPr>
                <w:noProof/>
                <w:color w:val="000000"/>
              </w:rPr>
            </w:pPr>
            <w:r>
              <w:rPr>
                <w:noProof/>
              </w:rPr>
              <w:t>10,0</w:t>
            </w:r>
          </w:p>
        </w:tc>
        <w:tc>
          <w:tcPr>
            <w:tcW w:w="1129" w:type="dxa"/>
          </w:tcPr>
          <w:p>
            <w:pPr>
              <w:jc w:val="center"/>
              <w:rPr>
                <w:noProof/>
                <w:color w:val="000000"/>
              </w:rPr>
            </w:pPr>
            <w:r>
              <w:rPr>
                <w:noProof/>
              </w:rPr>
              <w:t>9,0</w:t>
            </w:r>
          </w:p>
        </w:tc>
        <w:tc>
          <w:tcPr>
            <w:tcW w:w="1129" w:type="dxa"/>
          </w:tcPr>
          <w:p>
            <w:pPr>
              <w:jc w:val="center"/>
              <w:rPr>
                <w:noProof/>
                <w:color w:val="000000"/>
              </w:rPr>
            </w:pPr>
            <w:r>
              <w:rPr>
                <w:noProof/>
              </w:rPr>
              <w:t>8,0</w:t>
            </w:r>
          </w:p>
        </w:tc>
        <w:tc>
          <w:tcPr>
            <w:tcW w:w="1129" w:type="dxa"/>
          </w:tcPr>
          <w:p>
            <w:pPr>
              <w:jc w:val="center"/>
              <w:rPr>
                <w:noProof/>
                <w:color w:val="000000"/>
              </w:rPr>
            </w:pPr>
            <w:r>
              <w:rPr>
                <w:noProof/>
              </w:rPr>
              <w:t>7,0</w:t>
            </w:r>
          </w:p>
        </w:tc>
        <w:tc>
          <w:tcPr>
            <w:tcW w:w="1137" w:type="dxa"/>
          </w:tcPr>
          <w:p>
            <w:pPr>
              <w:jc w:val="center"/>
              <w:rPr>
                <w:noProof/>
                <w:color w:val="000000"/>
              </w:rPr>
            </w:pPr>
            <w:r>
              <w:rPr>
                <w:noProof/>
              </w:rPr>
              <w:t>6,0</w:t>
            </w:r>
          </w:p>
        </w:tc>
        <w:tc>
          <w:tcPr>
            <w:tcW w:w="1251" w:type="dxa"/>
          </w:tcPr>
          <w:p>
            <w:pPr>
              <w:jc w:val="center"/>
              <w:rPr>
                <w:noProof/>
                <w:color w:val="000000"/>
              </w:rPr>
            </w:pPr>
            <w:r>
              <w:rPr>
                <w:noProof/>
              </w:rPr>
              <w:t>5,0</w:t>
            </w:r>
          </w:p>
        </w:tc>
      </w:tr>
      <w:tr>
        <w:tc>
          <w:tcPr>
            <w:tcW w:w="2299" w:type="dxa"/>
          </w:tcPr>
          <w:p>
            <w:pPr>
              <w:jc w:val="left"/>
              <w:rPr>
                <w:noProof/>
              </w:rPr>
            </w:pPr>
            <w:r>
              <w:rPr>
                <w:noProof/>
              </w:rPr>
              <w:t>Nivelul de declanșare (în tone)</w:t>
            </w:r>
          </w:p>
        </w:tc>
        <w:tc>
          <w:tcPr>
            <w:tcW w:w="1214" w:type="dxa"/>
          </w:tcPr>
          <w:p>
            <w:pPr>
              <w:jc w:val="center"/>
              <w:rPr>
                <w:noProof/>
              </w:rPr>
            </w:pPr>
            <w:r>
              <w:rPr>
                <w:noProof/>
              </w:rPr>
              <w:t>2 000,0</w:t>
            </w:r>
          </w:p>
        </w:tc>
        <w:tc>
          <w:tcPr>
            <w:tcW w:w="1129" w:type="dxa"/>
          </w:tcPr>
          <w:p>
            <w:pPr>
              <w:jc w:val="center"/>
              <w:rPr>
                <w:noProof/>
              </w:rPr>
            </w:pPr>
            <w:r>
              <w:rPr>
                <w:noProof/>
              </w:rPr>
              <w:t>2 100,0</w:t>
            </w:r>
          </w:p>
        </w:tc>
        <w:tc>
          <w:tcPr>
            <w:tcW w:w="1129" w:type="dxa"/>
          </w:tcPr>
          <w:p>
            <w:pPr>
              <w:jc w:val="center"/>
              <w:rPr>
                <w:noProof/>
              </w:rPr>
            </w:pPr>
            <w:r>
              <w:rPr>
                <w:noProof/>
              </w:rPr>
              <w:t>2 200,0</w:t>
            </w:r>
          </w:p>
        </w:tc>
        <w:tc>
          <w:tcPr>
            <w:tcW w:w="1129" w:type="dxa"/>
          </w:tcPr>
          <w:p>
            <w:pPr>
              <w:jc w:val="center"/>
              <w:rPr>
                <w:noProof/>
              </w:rPr>
            </w:pPr>
            <w:r>
              <w:rPr>
                <w:noProof/>
              </w:rPr>
              <w:t>2 300,0</w:t>
            </w:r>
          </w:p>
        </w:tc>
        <w:tc>
          <w:tcPr>
            <w:tcW w:w="1137" w:type="dxa"/>
          </w:tcPr>
          <w:p>
            <w:pPr>
              <w:jc w:val="center"/>
              <w:rPr>
                <w:noProof/>
              </w:rPr>
            </w:pPr>
            <w:r>
              <w:rPr>
                <w:noProof/>
              </w:rPr>
              <w:t>2 400,0</w:t>
            </w:r>
          </w:p>
        </w:tc>
        <w:tc>
          <w:tcPr>
            <w:tcW w:w="1251" w:type="dxa"/>
          </w:tcPr>
          <w:p>
            <w:pPr>
              <w:jc w:val="center"/>
              <w:rPr>
                <w:noProof/>
              </w:rPr>
            </w:pPr>
            <w:r>
              <w:rPr>
                <w:noProof/>
              </w:rPr>
              <w:t>2 500,0</w:t>
            </w:r>
          </w:p>
        </w:tc>
      </w:tr>
      <w:tr>
        <w:tc>
          <w:tcPr>
            <w:tcW w:w="2299" w:type="dxa"/>
          </w:tcPr>
          <w:p>
            <w:pPr>
              <w:jc w:val="left"/>
              <w:rPr>
                <w:noProof/>
              </w:rPr>
            </w:pPr>
            <w:r>
              <w:rPr>
                <w:noProof/>
              </w:rPr>
              <w:t>Suprataxa maximă</w:t>
            </w:r>
          </w:p>
        </w:tc>
        <w:tc>
          <w:tcPr>
            <w:tcW w:w="1214" w:type="dxa"/>
          </w:tcPr>
          <w:p>
            <w:pPr>
              <w:jc w:val="center"/>
              <w:rPr>
                <w:noProof/>
              </w:rPr>
            </w:pPr>
            <w:r>
              <w:rPr>
                <w:noProof/>
              </w:rPr>
              <w:t>0,0</w:t>
            </w:r>
          </w:p>
        </w:tc>
        <w:tc>
          <w:tcPr>
            <w:tcW w:w="1129" w:type="dxa"/>
          </w:tcPr>
          <w:p>
            <w:pPr>
              <w:jc w:val="center"/>
              <w:rPr>
                <w:noProof/>
              </w:rPr>
            </w:pPr>
            <w:r>
              <w:rPr>
                <w:noProof/>
              </w:rPr>
              <w:t>1,0</w:t>
            </w:r>
          </w:p>
        </w:tc>
        <w:tc>
          <w:tcPr>
            <w:tcW w:w="1129" w:type="dxa"/>
          </w:tcPr>
          <w:p>
            <w:pPr>
              <w:jc w:val="center"/>
              <w:rPr>
                <w:noProof/>
              </w:rPr>
            </w:pPr>
            <w:r>
              <w:rPr>
                <w:noProof/>
              </w:rPr>
              <w:t>2,0</w:t>
            </w:r>
          </w:p>
        </w:tc>
        <w:tc>
          <w:tcPr>
            <w:tcW w:w="1129" w:type="dxa"/>
          </w:tcPr>
          <w:p>
            <w:pPr>
              <w:jc w:val="center"/>
              <w:rPr>
                <w:noProof/>
              </w:rPr>
            </w:pPr>
            <w:r>
              <w:rPr>
                <w:noProof/>
              </w:rPr>
              <w:t>3,0</w:t>
            </w:r>
          </w:p>
        </w:tc>
        <w:tc>
          <w:tcPr>
            <w:tcW w:w="1137" w:type="dxa"/>
          </w:tcPr>
          <w:p>
            <w:pPr>
              <w:jc w:val="center"/>
              <w:rPr>
                <w:noProof/>
              </w:rPr>
            </w:pPr>
            <w:r>
              <w:rPr>
                <w:noProof/>
              </w:rPr>
              <w:t>4,0</w:t>
            </w:r>
          </w:p>
        </w:tc>
        <w:tc>
          <w:tcPr>
            <w:tcW w:w="1251" w:type="dxa"/>
          </w:tcPr>
          <w:p>
            <w:pPr>
              <w:jc w:val="center"/>
              <w:rPr>
                <w:noProof/>
              </w:rPr>
            </w:pPr>
            <w:r>
              <w:rPr>
                <w:noProof/>
              </w:rPr>
              <w:t>5,0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2022</w:t>
            </w:r>
          </w:p>
        </w:tc>
        <w:tc>
          <w:tcPr>
            <w:tcW w:w="1321" w:type="dxa"/>
          </w:tcPr>
          <w:p>
            <w:pPr>
              <w:jc w:val="center"/>
              <w:rPr>
                <w:noProof/>
              </w:rPr>
            </w:pPr>
            <w:r>
              <w:rPr>
                <w:noProof/>
              </w:rPr>
              <w:t>2023</w:t>
            </w:r>
          </w:p>
        </w:tc>
        <w:tc>
          <w:tcPr>
            <w:tcW w:w="1321" w:type="dxa"/>
          </w:tcPr>
          <w:p>
            <w:pPr>
              <w:jc w:val="center"/>
              <w:rPr>
                <w:noProof/>
              </w:rPr>
            </w:pPr>
            <w:r>
              <w:rPr>
                <w:noProof/>
              </w:rPr>
              <w:t>2024</w:t>
            </w:r>
          </w:p>
        </w:tc>
        <w:tc>
          <w:tcPr>
            <w:tcW w:w="1321" w:type="dxa"/>
          </w:tcPr>
          <w:p>
            <w:pPr>
              <w:jc w:val="center"/>
              <w:rPr>
                <w:noProof/>
              </w:rPr>
            </w:pPr>
            <w:r>
              <w:rPr>
                <w:noProof/>
              </w:rPr>
              <w:t>2025</w:t>
            </w:r>
          </w:p>
        </w:tc>
        <w:tc>
          <w:tcPr>
            <w:tcW w:w="1511" w:type="dxa"/>
          </w:tcPr>
          <w:p>
            <w:pPr>
              <w:jc w:val="center"/>
              <w:rPr>
                <w:noProof/>
              </w:rPr>
            </w:pPr>
            <w:r>
              <w:rPr>
                <w:noProof/>
              </w:rPr>
              <w:t>2026</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IIV+6</w:t>
            </w:r>
          </w:p>
        </w:tc>
        <w:tc>
          <w:tcPr>
            <w:tcW w:w="1321" w:type="dxa"/>
          </w:tcPr>
          <w:p>
            <w:pPr>
              <w:jc w:val="center"/>
              <w:rPr>
                <w:noProof/>
              </w:rPr>
            </w:pPr>
            <w:r>
              <w:rPr>
                <w:noProof/>
              </w:rPr>
              <w:t>IIV+7</w:t>
            </w:r>
          </w:p>
        </w:tc>
        <w:tc>
          <w:tcPr>
            <w:tcW w:w="1321" w:type="dxa"/>
          </w:tcPr>
          <w:p>
            <w:pPr>
              <w:jc w:val="center"/>
              <w:rPr>
                <w:noProof/>
              </w:rPr>
            </w:pPr>
            <w:r>
              <w:rPr>
                <w:noProof/>
              </w:rPr>
              <w:t>IIV+8</w:t>
            </w:r>
          </w:p>
        </w:tc>
        <w:tc>
          <w:tcPr>
            <w:tcW w:w="1321" w:type="dxa"/>
          </w:tcPr>
          <w:p>
            <w:pPr>
              <w:jc w:val="center"/>
              <w:rPr>
                <w:noProof/>
              </w:rPr>
            </w:pPr>
            <w:r>
              <w:rPr>
                <w:noProof/>
              </w:rPr>
              <w:t>IIV+9</w:t>
            </w:r>
          </w:p>
        </w:tc>
        <w:tc>
          <w:tcPr>
            <w:tcW w:w="1511" w:type="dxa"/>
          </w:tcPr>
          <w:p>
            <w:pPr>
              <w:jc w:val="center"/>
              <w:rPr>
                <w:noProof/>
              </w:rPr>
            </w:pPr>
            <w:r>
              <w:rPr>
                <w:noProof/>
              </w:rPr>
              <w:t>IIV+10</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4,0</w:t>
            </w:r>
          </w:p>
        </w:tc>
        <w:tc>
          <w:tcPr>
            <w:tcW w:w="1321" w:type="dxa"/>
          </w:tcPr>
          <w:p>
            <w:pPr>
              <w:jc w:val="center"/>
              <w:rPr>
                <w:noProof/>
              </w:rPr>
            </w:pPr>
            <w:r>
              <w:rPr>
                <w:noProof/>
              </w:rPr>
              <w:t>3,0</w:t>
            </w:r>
          </w:p>
        </w:tc>
        <w:tc>
          <w:tcPr>
            <w:tcW w:w="1321" w:type="dxa"/>
          </w:tcPr>
          <w:p>
            <w:pPr>
              <w:jc w:val="center"/>
              <w:rPr>
                <w:noProof/>
              </w:rPr>
            </w:pPr>
            <w:r>
              <w:rPr>
                <w:noProof/>
              </w:rPr>
              <w:t>2,0</w:t>
            </w:r>
          </w:p>
        </w:tc>
        <w:tc>
          <w:tcPr>
            <w:tcW w:w="1321" w:type="dxa"/>
          </w:tcPr>
          <w:p>
            <w:pPr>
              <w:jc w:val="center"/>
              <w:rPr>
                <w:noProof/>
              </w:rPr>
            </w:pPr>
            <w:r>
              <w:rPr>
                <w:noProof/>
              </w:rPr>
              <w:t>1,0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2 600,0</w:t>
            </w:r>
          </w:p>
        </w:tc>
        <w:tc>
          <w:tcPr>
            <w:tcW w:w="1321" w:type="dxa"/>
          </w:tcPr>
          <w:p>
            <w:pPr>
              <w:jc w:val="center"/>
              <w:rPr>
                <w:noProof/>
              </w:rPr>
            </w:pPr>
            <w:r>
              <w:rPr>
                <w:noProof/>
              </w:rPr>
              <w:t>2 700,0</w:t>
            </w:r>
          </w:p>
        </w:tc>
        <w:tc>
          <w:tcPr>
            <w:tcW w:w="1321" w:type="dxa"/>
          </w:tcPr>
          <w:p>
            <w:pPr>
              <w:jc w:val="center"/>
              <w:rPr>
                <w:noProof/>
              </w:rPr>
            </w:pPr>
            <w:r>
              <w:rPr>
                <w:noProof/>
              </w:rPr>
              <w:t>2 800,0</w:t>
            </w:r>
          </w:p>
        </w:tc>
        <w:tc>
          <w:tcPr>
            <w:tcW w:w="1321" w:type="dxa"/>
          </w:tcPr>
          <w:p>
            <w:pPr>
              <w:jc w:val="center"/>
              <w:rPr>
                <w:noProof/>
              </w:rPr>
            </w:pPr>
            <w:r>
              <w:rPr>
                <w:noProof/>
              </w:rPr>
              <w:t>2 900,0</w:t>
            </w:r>
          </w:p>
        </w:tc>
        <w:tc>
          <w:tcPr>
            <w:tcW w:w="1511" w:type="dxa"/>
          </w:tcPr>
          <w:p>
            <w:pPr>
              <w:jc w:val="center"/>
              <w:rPr>
                <w:noProof/>
              </w:rPr>
            </w:pPr>
            <w:r>
              <w:rPr>
                <w:noProof/>
              </w:rPr>
              <w:t>3 000,0</w:t>
            </w:r>
          </w:p>
        </w:tc>
      </w:tr>
      <w:tr>
        <w:tc>
          <w:tcPr>
            <w:tcW w:w="2835" w:type="dxa"/>
          </w:tcPr>
          <w:p>
            <w:pPr>
              <w:jc w:val="left"/>
              <w:rPr>
                <w:noProof/>
              </w:rPr>
            </w:pPr>
            <w:r>
              <w:rPr>
                <w:noProof/>
              </w:rPr>
              <w:t>Suprataxa maximă</w:t>
            </w:r>
          </w:p>
        </w:tc>
        <w:tc>
          <w:tcPr>
            <w:tcW w:w="1545" w:type="dxa"/>
          </w:tcPr>
          <w:p>
            <w:pPr>
              <w:jc w:val="center"/>
              <w:rPr>
                <w:noProof/>
              </w:rPr>
            </w:pPr>
            <w:r>
              <w:rPr>
                <w:noProof/>
              </w:rPr>
              <w:t>6,0</w:t>
            </w:r>
          </w:p>
        </w:tc>
        <w:tc>
          <w:tcPr>
            <w:tcW w:w="1321" w:type="dxa"/>
          </w:tcPr>
          <w:p>
            <w:pPr>
              <w:jc w:val="center"/>
              <w:rPr>
                <w:noProof/>
              </w:rPr>
            </w:pPr>
            <w:r>
              <w:rPr>
                <w:noProof/>
              </w:rPr>
              <w:t>7,0</w:t>
            </w:r>
          </w:p>
        </w:tc>
        <w:tc>
          <w:tcPr>
            <w:tcW w:w="1321" w:type="dxa"/>
          </w:tcPr>
          <w:p>
            <w:pPr>
              <w:jc w:val="center"/>
              <w:rPr>
                <w:noProof/>
              </w:rPr>
            </w:pPr>
            <w:r>
              <w:rPr>
                <w:noProof/>
              </w:rPr>
              <w:t>8,0</w:t>
            </w:r>
          </w:p>
        </w:tc>
        <w:tc>
          <w:tcPr>
            <w:tcW w:w="1321" w:type="dxa"/>
          </w:tcPr>
          <w:p>
            <w:pPr>
              <w:jc w:val="center"/>
              <w:rPr>
                <w:noProof/>
              </w:rPr>
            </w:pPr>
            <w:r>
              <w:rPr>
                <w:noProof/>
              </w:rPr>
              <w:t>9,0</w:t>
            </w:r>
          </w:p>
        </w:tc>
        <w:tc>
          <w:tcPr>
            <w:tcW w:w="1511" w:type="dxa"/>
          </w:tcPr>
          <w:p>
            <w:pPr>
              <w:jc w:val="center"/>
              <w:rPr>
                <w:noProof/>
              </w:rPr>
            </w:pPr>
            <w:r>
              <w:rPr>
                <w:noProof/>
              </w:rPr>
              <w:t>10,0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2027</w:t>
            </w:r>
          </w:p>
        </w:tc>
        <w:tc>
          <w:tcPr>
            <w:tcW w:w="1321" w:type="dxa"/>
          </w:tcPr>
          <w:p>
            <w:pPr>
              <w:jc w:val="center"/>
              <w:rPr>
                <w:noProof/>
              </w:rPr>
            </w:pPr>
            <w:r>
              <w:rPr>
                <w:noProof/>
              </w:rPr>
              <w:t>2028</w:t>
            </w:r>
          </w:p>
        </w:tc>
        <w:tc>
          <w:tcPr>
            <w:tcW w:w="1321" w:type="dxa"/>
          </w:tcPr>
          <w:p>
            <w:pPr>
              <w:jc w:val="center"/>
              <w:rPr>
                <w:noProof/>
              </w:rPr>
            </w:pPr>
            <w:r>
              <w:rPr>
                <w:noProof/>
              </w:rPr>
              <w:t>2029</w:t>
            </w:r>
          </w:p>
        </w:tc>
        <w:tc>
          <w:tcPr>
            <w:tcW w:w="1321" w:type="dxa"/>
          </w:tcPr>
          <w:p>
            <w:pPr>
              <w:jc w:val="center"/>
              <w:rPr>
                <w:noProof/>
              </w:rPr>
            </w:pPr>
            <w:r>
              <w:rPr>
                <w:noProof/>
              </w:rPr>
              <w:t>2030</w:t>
            </w:r>
          </w:p>
        </w:tc>
        <w:tc>
          <w:tcPr>
            <w:tcW w:w="1511" w:type="dxa"/>
          </w:tcPr>
          <w:p>
            <w:pPr>
              <w:jc w:val="center"/>
              <w:rPr>
                <w:noProof/>
              </w:rPr>
            </w:pPr>
            <w:r>
              <w:rPr>
                <w:noProof/>
              </w:rPr>
              <w:t>2031</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IIV+11</w:t>
            </w:r>
          </w:p>
        </w:tc>
        <w:tc>
          <w:tcPr>
            <w:tcW w:w="1321" w:type="dxa"/>
          </w:tcPr>
          <w:p>
            <w:pPr>
              <w:jc w:val="center"/>
              <w:rPr>
                <w:noProof/>
              </w:rPr>
            </w:pPr>
            <w:r>
              <w:rPr>
                <w:noProof/>
              </w:rPr>
              <w:t>IIV+12</w:t>
            </w:r>
          </w:p>
        </w:tc>
        <w:tc>
          <w:tcPr>
            <w:tcW w:w="1321" w:type="dxa"/>
          </w:tcPr>
          <w:p>
            <w:pPr>
              <w:jc w:val="center"/>
              <w:rPr>
                <w:noProof/>
              </w:rPr>
            </w:pPr>
            <w:r>
              <w:rPr>
                <w:noProof/>
              </w:rPr>
              <w:t>IIV+13</w:t>
            </w:r>
          </w:p>
        </w:tc>
        <w:tc>
          <w:tcPr>
            <w:tcW w:w="1321" w:type="dxa"/>
          </w:tcPr>
          <w:p>
            <w:pPr>
              <w:jc w:val="center"/>
              <w:rPr>
                <w:noProof/>
              </w:rPr>
            </w:pPr>
            <w:r>
              <w:rPr>
                <w:noProof/>
              </w:rPr>
              <w:t>IIV+14</w:t>
            </w:r>
          </w:p>
        </w:tc>
        <w:tc>
          <w:tcPr>
            <w:tcW w:w="1511" w:type="dxa"/>
          </w:tcPr>
          <w:p>
            <w:pPr>
              <w:jc w:val="center"/>
              <w:rPr>
                <w:noProof/>
              </w:rPr>
            </w:pPr>
            <w:r>
              <w:rPr>
                <w:noProof/>
              </w:rPr>
              <w:t>IIV+15</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3 000,0</w:t>
            </w:r>
          </w:p>
        </w:tc>
        <w:tc>
          <w:tcPr>
            <w:tcW w:w="1321" w:type="dxa"/>
          </w:tcPr>
          <w:p>
            <w:pPr>
              <w:jc w:val="center"/>
              <w:rPr>
                <w:noProof/>
              </w:rPr>
            </w:pPr>
            <w:r>
              <w:rPr>
                <w:noProof/>
              </w:rPr>
              <w:t>3 000,0</w:t>
            </w:r>
          </w:p>
        </w:tc>
        <w:tc>
          <w:tcPr>
            <w:tcW w:w="1321" w:type="dxa"/>
          </w:tcPr>
          <w:p>
            <w:pPr>
              <w:jc w:val="center"/>
              <w:rPr>
                <w:noProof/>
              </w:rPr>
            </w:pPr>
            <w:r>
              <w:rPr>
                <w:noProof/>
              </w:rPr>
              <w:t>3 000,0</w:t>
            </w:r>
          </w:p>
        </w:tc>
        <w:tc>
          <w:tcPr>
            <w:tcW w:w="1321" w:type="dxa"/>
          </w:tcPr>
          <w:p>
            <w:pPr>
              <w:jc w:val="center"/>
              <w:rPr>
                <w:noProof/>
              </w:rPr>
            </w:pPr>
            <w:r>
              <w:rPr>
                <w:noProof/>
              </w:rPr>
              <w:t>3 000,0</w:t>
            </w:r>
          </w:p>
        </w:tc>
        <w:tc>
          <w:tcPr>
            <w:tcW w:w="1511" w:type="dxa"/>
          </w:tcPr>
          <w:p>
            <w:pPr>
              <w:jc w:val="center"/>
              <w:rPr>
                <w:noProof/>
              </w:rPr>
            </w:pPr>
            <w:r>
              <w:rPr>
                <w:noProof/>
              </w:rPr>
              <w:t>3 000,0</w:t>
            </w:r>
          </w:p>
        </w:tc>
      </w:tr>
      <w:tr>
        <w:tc>
          <w:tcPr>
            <w:tcW w:w="2835" w:type="dxa"/>
          </w:tcPr>
          <w:p>
            <w:pPr>
              <w:jc w:val="left"/>
              <w:rPr>
                <w:noProof/>
              </w:rPr>
            </w:pPr>
            <w:r>
              <w:rPr>
                <w:noProof/>
              </w:rPr>
              <w:t>Suprataxa maximă</w:t>
            </w:r>
          </w:p>
        </w:tc>
        <w:tc>
          <w:tcPr>
            <w:tcW w:w="1545" w:type="dxa"/>
          </w:tcPr>
          <w:p>
            <w:pPr>
              <w:jc w:val="center"/>
              <w:rPr>
                <w:noProof/>
              </w:rPr>
            </w:pPr>
            <w:r>
              <w:rPr>
                <w:noProof/>
              </w:rPr>
              <w:t>8,0</w:t>
            </w:r>
          </w:p>
        </w:tc>
        <w:tc>
          <w:tcPr>
            <w:tcW w:w="1321" w:type="dxa"/>
          </w:tcPr>
          <w:p>
            <w:pPr>
              <w:jc w:val="center"/>
              <w:rPr>
                <w:noProof/>
              </w:rPr>
            </w:pPr>
            <w:r>
              <w:rPr>
                <w:noProof/>
              </w:rPr>
              <w:t>6,0</w:t>
            </w:r>
          </w:p>
        </w:tc>
        <w:tc>
          <w:tcPr>
            <w:tcW w:w="1321" w:type="dxa"/>
          </w:tcPr>
          <w:p>
            <w:pPr>
              <w:jc w:val="center"/>
              <w:rPr>
                <w:noProof/>
              </w:rPr>
            </w:pPr>
            <w:r>
              <w:rPr>
                <w:noProof/>
              </w:rPr>
              <w:t>4,0</w:t>
            </w:r>
          </w:p>
        </w:tc>
        <w:tc>
          <w:tcPr>
            <w:tcW w:w="1321" w:type="dxa"/>
          </w:tcPr>
          <w:p>
            <w:pPr>
              <w:jc w:val="center"/>
              <w:rPr>
                <w:noProof/>
              </w:rPr>
            </w:pPr>
            <w:r>
              <w:rPr>
                <w:noProof/>
              </w:rPr>
              <w:t>2,0</w:t>
            </w:r>
          </w:p>
        </w:tc>
        <w:tc>
          <w:tcPr>
            <w:tcW w:w="1511" w:type="dxa"/>
          </w:tcPr>
          <w:p>
            <w:pPr>
              <w:jc w:val="center"/>
              <w:rPr>
                <w:noProof/>
              </w:rPr>
            </w:pPr>
            <w:r>
              <w:rPr>
                <w:noProof/>
              </w:rPr>
              <w:t>0,0</w:t>
            </w:r>
          </w:p>
        </w:tc>
      </w:tr>
    </w:tbl>
    <w:p>
      <w:pPr>
        <w:rPr>
          <w:noProof/>
        </w:rPr>
      </w:pPr>
    </w:p>
    <w:p>
      <w:pPr>
        <w:rPr>
          <w:noProof/>
        </w:rPr>
      </w:pPr>
      <w:r>
        <w:rPr>
          <w:noProof/>
        </w:rPr>
        <w:br w:type="page"/>
      </w:r>
    </w:p>
    <w:p>
      <w:pPr>
        <w:rPr>
          <w:noProof/>
        </w:rPr>
      </w:pPr>
      <w:r>
        <w:rPr>
          <w:noProof/>
        </w:rPr>
        <w:t>Acoperire: cuprul care intră sub incidența următoarelor coduri vamale ucrainene: 7401 00 00 00, 7402 00 00 00, 7403 12 00 00, 7403 13 00 00, 7403 19 00 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214"/>
        <w:gridCol w:w="1130"/>
        <w:gridCol w:w="1130"/>
        <w:gridCol w:w="1130"/>
        <w:gridCol w:w="1137"/>
        <w:gridCol w:w="1247"/>
      </w:tblGrid>
      <w:tr>
        <w:tc>
          <w:tcPr>
            <w:tcW w:w="1239" w:type="pct"/>
          </w:tcPr>
          <w:p>
            <w:pPr>
              <w:jc w:val="center"/>
              <w:rPr>
                <w:noProof/>
              </w:rPr>
            </w:pPr>
            <w:r>
              <w:rPr>
                <w:noProof/>
              </w:rPr>
              <w:t>An (OMC)</w:t>
            </w:r>
          </w:p>
        </w:tc>
        <w:tc>
          <w:tcPr>
            <w:tcW w:w="654" w:type="pct"/>
          </w:tcPr>
          <w:p>
            <w:pPr>
              <w:jc w:val="center"/>
              <w:rPr>
                <w:noProof/>
              </w:rPr>
            </w:pPr>
            <w:r>
              <w:rPr>
                <w:noProof/>
              </w:rPr>
              <w:t>2016</w:t>
            </w:r>
          </w:p>
        </w:tc>
        <w:tc>
          <w:tcPr>
            <w:tcW w:w="608" w:type="pct"/>
          </w:tcPr>
          <w:p>
            <w:pPr>
              <w:jc w:val="center"/>
              <w:rPr>
                <w:noProof/>
              </w:rPr>
            </w:pPr>
            <w:r>
              <w:rPr>
                <w:noProof/>
              </w:rPr>
              <w:t>2017</w:t>
            </w:r>
          </w:p>
        </w:tc>
        <w:tc>
          <w:tcPr>
            <w:tcW w:w="608" w:type="pct"/>
          </w:tcPr>
          <w:p>
            <w:pPr>
              <w:jc w:val="center"/>
              <w:rPr>
                <w:noProof/>
              </w:rPr>
            </w:pPr>
            <w:r>
              <w:rPr>
                <w:noProof/>
              </w:rPr>
              <w:t>2018</w:t>
            </w:r>
          </w:p>
        </w:tc>
        <w:tc>
          <w:tcPr>
            <w:tcW w:w="608" w:type="pct"/>
          </w:tcPr>
          <w:p>
            <w:pPr>
              <w:jc w:val="center"/>
              <w:rPr>
                <w:noProof/>
              </w:rPr>
            </w:pPr>
            <w:r>
              <w:rPr>
                <w:noProof/>
              </w:rPr>
              <w:t>2019</w:t>
            </w:r>
          </w:p>
        </w:tc>
        <w:tc>
          <w:tcPr>
            <w:tcW w:w="612" w:type="pct"/>
          </w:tcPr>
          <w:p>
            <w:pPr>
              <w:jc w:val="center"/>
              <w:rPr>
                <w:noProof/>
              </w:rPr>
            </w:pPr>
            <w:r>
              <w:rPr>
                <w:noProof/>
              </w:rPr>
              <w:t>2020</w:t>
            </w:r>
          </w:p>
        </w:tc>
        <w:tc>
          <w:tcPr>
            <w:tcW w:w="672" w:type="pct"/>
          </w:tcPr>
          <w:p>
            <w:pPr>
              <w:jc w:val="center"/>
              <w:rPr>
                <w:noProof/>
              </w:rPr>
            </w:pPr>
            <w:r>
              <w:rPr>
                <w:noProof/>
              </w:rPr>
              <w:t>2021</w:t>
            </w:r>
          </w:p>
        </w:tc>
      </w:tr>
      <w:tr>
        <w:tc>
          <w:tcPr>
            <w:tcW w:w="1239" w:type="pct"/>
          </w:tcPr>
          <w:p>
            <w:pPr>
              <w:jc w:val="left"/>
              <w:rPr>
                <w:noProof/>
              </w:rPr>
            </w:pPr>
            <w:r>
              <w:rPr>
                <w:noProof/>
              </w:rPr>
              <w:t>Angajamentul Ucrainei față de OMC</w:t>
            </w:r>
          </w:p>
        </w:tc>
        <w:tc>
          <w:tcPr>
            <w:tcW w:w="654" w:type="pct"/>
          </w:tcPr>
          <w:p>
            <w:pPr>
              <w:jc w:val="center"/>
              <w:rPr>
                <w:noProof/>
              </w:rPr>
            </w:pPr>
            <w:r>
              <w:rPr>
                <w:noProof/>
              </w:rPr>
              <w:t>15,0</w:t>
            </w:r>
          </w:p>
        </w:tc>
        <w:tc>
          <w:tcPr>
            <w:tcW w:w="608" w:type="pct"/>
          </w:tcPr>
          <w:p>
            <w:pPr>
              <w:jc w:val="center"/>
              <w:rPr>
                <w:noProof/>
              </w:rPr>
            </w:pPr>
            <w:r>
              <w:rPr>
                <w:noProof/>
              </w:rPr>
              <w:t>15,0</w:t>
            </w:r>
          </w:p>
        </w:tc>
        <w:tc>
          <w:tcPr>
            <w:tcW w:w="608" w:type="pct"/>
          </w:tcPr>
          <w:p>
            <w:pPr>
              <w:jc w:val="center"/>
              <w:rPr>
                <w:noProof/>
              </w:rPr>
            </w:pPr>
            <w:r>
              <w:rPr>
                <w:noProof/>
              </w:rPr>
              <w:t>15,0</w:t>
            </w:r>
          </w:p>
        </w:tc>
        <w:tc>
          <w:tcPr>
            <w:tcW w:w="608" w:type="pct"/>
          </w:tcPr>
          <w:p>
            <w:pPr>
              <w:jc w:val="center"/>
              <w:rPr>
                <w:noProof/>
              </w:rPr>
            </w:pPr>
            <w:r>
              <w:rPr>
                <w:noProof/>
              </w:rPr>
              <w:t>15,0</w:t>
            </w:r>
          </w:p>
        </w:tc>
        <w:tc>
          <w:tcPr>
            <w:tcW w:w="612" w:type="pct"/>
          </w:tcPr>
          <w:p>
            <w:pPr>
              <w:jc w:val="center"/>
              <w:rPr>
                <w:noProof/>
              </w:rPr>
            </w:pPr>
            <w:r>
              <w:rPr>
                <w:noProof/>
              </w:rPr>
              <w:t>15,0</w:t>
            </w:r>
          </w:p>
        </w:tc>
        <w:tc>
          <w:tcPr>
            <w:tcW w:w="672" w:type="pct"/>
          </w:tcPr>
          <w:p>
            <w:pPr>
              <w:jc w:val="center"/>
              <w:rPr>
                <w:noProof/>
              </w:rPr>
            </w:pPr>
            <w:r>
              <w:rPr>
                <w:noProof/>
              </w:rPr>
              <w:t>15,0</w:t>
            </w:r>
          </w:p>
        </w:tc>
      </w:tr>
      <w:tr>
        <w:tc>
          <w:tcPr>
            <w:tcW w:w="1239" w:type="pct"/>
          </w:tcPr>
          <w:p>
            <w:pPr>
              <w:jc w:val="center"/>
              <w:rPr>
                <w:noProof/>
              </w:rPr>
            </w:pPr>
            <w:r>
              <w:rPr>
                <w:noProof/>
              </w:rPr>
              <w:t>An (Acord)</w:t>
            </w:r>
          </w:p>
        </w:tc>
        <w:tc>
          <w:tcPr>
            <w:tcW w:w="654" w:type="pct"/>
          </w:tcPr>
          <w:p>
            <w:pPr>
              <w:jc w:val="center"/>
              <w:rPr>
                <w:noProof/>
              </w:rPr>
            </w:pPr>
            <w:r>
              <w:rPr>
                <w:noProof/>
              </w:rPr>
              <w:t>IIV</w:t>
            </w:r>
          </w:p>
        </w:tc>
        <w:tc>
          <w:tcPr>
            <w:tcW w:w="608" w:type="pct"/>
          </w:tcPr>
          <w:p>
            <w:pPr>
              <w:jc w:val="center"/>
              <w:rPr>
                <w:noProof/>
              </w:rPr>
            </w:pPr>
            <w:r>
              <w:rPr>
                <w:noProof/>
              </w:rPr>
              <w:t>IIV+1</w:t>
            </w:r>
          </w:p>
        </w:tc>
        <w:tc>
          <w:tcPr>
            <w:tcW w:w="608" w:type="pct"/>
          </w:tcPr>
          <w:p>
            <w:pPr>
              <w:jc w:val="center"/>
              <w:rPr>
                <w:noProof/>
              </w:rPr>
            </w:pPr>
            <w:r>
              <w:rPr>
                <w:noProof/>
              </w:rPr>
              <w:t>IIV+2</w:t>
            </w:r>
          </w:p>
        </w:tc>
        <w:tc>
          <w:tcPr>
            <w:tcW w:w="608" w:type="pct"/>
          </w:tcPr>
          <w:p>
            <w:pPr>
              <w:jc w:val="center"/>
              <w:rPr>
                <w:noProof/>
              </w:rPr>
            </w:pPr>
            <w:r>
              <w:rPr>
                <w:noProof/>
              </w:rPr>
              <w:t>IIV+3</w:t>
            </w:r>
          </w:p>
        </w:tc>
        <w:tc>
          <w:tcPr>
            <w:tcW w:w="612" w:type="pct"/>
          </w:tcPr>
          <w:p>
            <w:pPr>
              <w:jc w:val="center"/>
              <w:rPr>
                <w:noProof/>
              </w:rPr>
            </w:pPr>
            <w:r>
              <w:rPr>
                <w:noProof/>
              </w:rPr>
              <w:t>IIV+4</w:t>
            </w:r>
          </w:p>
        </w:tc>
        <w:tc>
          <w:tcPr>
            <w:tcW w:w="672" w:type="pct"/>
          </w:tcPr>
          <w:p>
            <w:pPr>
              <w:jc w:val="center"/>
              <w:rPr>
                <w:noProof/>
              </w:rPr>
            </w:pPr>
            <w:r>
              <w:rPr>
                <w:noProof/>
              </w:rPr>
              <w:t>IIV+5</w:t>
            </w:r>
          </w:p>
        </w:tc>
      </w:tr>
      <w:tr>
        <w:tc>
          <w:tcPr>
            <w:tcW w:w="1239" w:type="pct"/>
          </w:tcPr>
          <w:p>
            <w:pPr>
              <w:jc w:val="left"/>
              <w:rPr>
                <w:noProof/>
              </w:rPr>
            </w:pPr>
            <w:r>
              <w:rPr>
                <w:noProof/>
              </w:rPr>
              <w:t>Taxa la export a Ucrainei către UE</w:t>
            </w:r>
          </w:p>
        </w:tc>
        <w:tc>
          <w:tcPr>
            <w:tcW w:w="654" w:type="pct"/>
          </w:tcPr>
          <w:p>
            <w:pPr>
              <w:jc w:val="center"/>
              <w:rPr>
                <w:noProof/>
                <w:color w:val="000000"/>
              </w:rPr>
            </w:pPr>
            <w:r>
              <w:rPr>
                <w:noProof/>
              </w:rPr>
              <w:t>10,0</w:t>
            </w:r>
          </w:p>
        </w:tc>
        <w:tc>
          <w:tcPr>
            <w:tcW w:w="608" w:type="pct"/>
          </w:tcPr>
          <w:p>
            <w:pPr>
              <w:jc w:val="center"/>
              <w:rPr>
                <w:noProof/>
                <w:color w:val="000000"/>
              </w:rPr>
            </w:pPr>
            <w:r>
              <w:rPr>
                <w:noProof/>
              </w:rPr>
              <w:t>9,0</w:t>
            </w:r>
          </w:p>
        </w:tc>
        <w:tc>
          <w:tcPr>
            <w:tcW w:w="608" w:type="pct"/>
          </w:tcPr>
          <w:p>
            <w:pPr>
              <w:jc w:val="center"/>
              <w:rPr>
                <w:noProof/>
                <w:color w:val="000000"/>
              </w:rPr>
            </w:pPr>
            <w:r>
              <w:rPr>
                <w:noProof/>
              </w:rPr>
              <w:t>8,0</w:t>
            </w:r>
          </w:p>
        </w:tc>
        <w:tc>
          <w:tcPr>
            <w:tcW w:w="608" w:type="pct"/>
          </w:tcPr>
          <w:p>
            <w:pPr>
              <w:jc w:val="center"/>
              <w:rPr>
                <w:noProof/>
                <w:color w:val="000000"/>
              </w:rPr>
            </w:pPr>
            <w:r>
              <w:rPr>
                <w:noProof/>
              </w:rPr>
              <w:t>7,0</w:t>
            </w:r>
          </w:p>
        </w:tc>
        <w:tc>
          <w:tcPr>
            <w:tcW w:w="612" w:type="pct"/>
          </w:tcPr>
          <w:p>
            <w:pPr>
              <w:jc w:val="center"/>
              <w:rPr>
                <w:noProof/>
                <w:color w:val="000000"/>
              </w:rPr>
            </w:pPr>
            <w:r>
              <w:rPr>
                <w:noProof/>
              </w:rPr>
              <w:t>6,0</w:t>
            </w:r>
          </w:p>
        </w:tc>
        <w:tc>
          <w:tcPr>
            <w:tcW w:w="672" w:type="pct"/>
          </w:tcPr>
          <w:p>
            <w:pPr>
              <w:jc w:val="center"/>
              <w:rPr>
                <w:noProof/>
                <w:color w:val="000000"/>
              </w:rPr>
            </w:pPr>
            <w:r>
              <w:rPr>
                <w:noProof/>
              </w:rPr>
              <w:t>5,0</w:t>
            </w:r>
          </w:p>
        </w:tc>
      </w:tr>
      <w:tr>
        <w:tc>
          <w:tcPr>
            <w:tcW w:w="1239" w:type="pct"/>
          </w:tcPr>
          <w:p>
            <w:pPr>
              <w:jc w:val="left"/>
              <w:rPr>
                <w:noProof/>
              </w:rPr>
            </w:pPr>
            <w:r>
              <w:rPr>
                <w:noProof/>
              </w:rPr>
              <w:t>Nivelul de declanșare (în tone)</w:t>
            </w:r>
          </w:p>
        </w:tc>
        <w:tc>
          <w:tcPr>
            <w:tcW w:w="654" w:type="pct"/>
          </w:tcPr>
          <w:p>
            <w:pPr>
              <w:jc w:val="center"/>
              <w:rPr>
                <w:noProof/>
              </w:rPr>
            </w:pPr>
            <w:r>
              <w:rPr>
                <w:noProof/>
              </w:rPr>
              <w:t>200,0</w:t>
            </w:r>
          </w:p>
        </w:tc>
        <w:tc>
          <w:tcPr>
            <w:tcW w:w="608" w:type="pct"/>
          </w:tcPr>
          <w:p>
            <w:pPr>
              <w:jc w:val="center"/>
              <w:rPr>
                <w:noProof/>
              </w:rPr>
            </w:pPr>
            <w:r>
              <w:rPr>
                <w:noProof/>
              </w:rPr>
              <w:t>210,0</w:t>
            </w:r>
          </w:p>
        </w:tc>
        <w:tc>
          <w:tcPr>
            <w:tcW w:w="608" w:type="pct"/>
          </w:tcPr>
          <w:p>
            <w:pPr>
              <w:jc w:val="center"/>
              <w:rPr>
                <w:noProof/>
              </w:rPr>
            </w:pPr>
            <w:r>
              <w:rPr>
                <w:noProof/>
              </w:rPr>
              <w:t>220,0</w:t>
            </w:r>
          </w:p>
        </w:tc>
        <w:tc>
          <w:tcPr>
            <w:tcW w:w="608" w:type="pct"/>
          </w:tcPr>
          <w:p>
            <w:pPr>
              <w:jc w:val="center"/>
              <w:rPr>
                <w:noProof/>
              </w:rPr>
            </w:pPr>
            <w:r>
              <w:rPr>
                <w:noProof/>
              </w:rPr>
              <w:t>230,0</w:t>
            </w:r>
          </w:p>
        </w:tc>
        <w:tc>
          <w:tcPr>
            <w:tcW w:w="612" w:type="pct"/>
          </w:tcPr>
          <w:p>
            <w:pPr>
              <w:jc w:val="center"/>
              <w:rPr>
                <w:noProof/>
              </w:rPr>
            </w:pPr>
            <w:r>
              <w:rPr>
                <w:noProof/>
              </w:rPr>
              <w:t>240,0</w:t>
            </w:r>
          </w:p>
        </w:tc>
        <w:tc>
          <w:tcPr>
            <w:tcW w:w="672" w:type="pct"/>
          </w:tcPr>
          <w:p>
            <w:pPr>
              <w:jc w:val="center"/>
              <w:rPr>
                <w:noProof/>
              </w:rPr>
            </w:pPr>
            <w:r>
              <w:rPr>
                <w:noProof/>
              </w:rPr>
              <w:t>250,0</w:t>
            </w:r>
          </w:p>
        </w:tc>
      </w:tr>
      <w:tr>
        <w:tc>
          <w:tcPr>
            <w:tcW w:w="1239" w:type="pct"/>
          </w:tcPr>
          <w:p>
            <w:pPr>
              <w:jc w:val="left"/>
              <w:rPr>
                <w:noProof/>
              </w:rPr>
            </w:pPr>
            <w:r>
              <w:rPr>
                <w:noProof/>
              </w:rPr>
              <w:t>Suprataxa maximă</w:t>
            </w:r>
          </w:p>
        </w:tc>
        <w:tc>
          <w:tcPr>
            <w:tcW w:w="654" w:type="pct"/>
          </w:tcPr>
          <w:p>
            <w:pPr>
              <w:jc w:val="center"/>
              <w:rPr>
                <w:noProof/>
              </w:rPr>
            </w:pPr>
            <w:r>
              <w:rPr>
                <w:noProof/>
              </w:rPr>
              <w:t>0,0</w:t>
            </w:r>
          </w:p>
        </w:tc>
        <w:tc>
          <w:tcPr>
            <w:tcW w:w="608" w:type="pct"/>
          </w:tcPr>
          <w:p>
            <w:pPr>
              <w:jc w:val="center"/>
              <w:rPr>
                <w:noProof/>
              </w:rPr>
            </w:pPr>
            <w:r>
              <w:rPr>
                <w:noProof/>
              </w:rPr>
              <w:t>1,0</w:t>
            </w:r>
          </w:p>
        </w:tc>
        <w:tc>
          <w:tcPr>
            <w:tcW w:w="608" w:type="pct"/>
          </w:tcPr>
          <w:p>
            <w:pPr>
              <w:jc w:val="center"/>
              <w:rPr>
                <w:noProof/>
              </w:rPr>
            </w:pPr>
            <w:r>
              <w:rPr>
                <w:noProof/>
              </w:rPr>
              <w:t>2,0</w:t>
            </w:r>
          </w:p>
        </w:tc>
        <w:tc>
          <w:tcPr>
            <w:tcW w:w="608" w:type="pct"/>
          </w:tcPr>
          <w:p>
            <w:pPr>
              <w:jc w:val="center"/>
              <w:rPr>
                <w:noProof/>
              </w:rPr>
            </w:pPr>
            <w:r>
              <w:rPr>
                <w:noProof/>
              </w:rPr>
              <w:t>3,0</w:t>
            </w:r>
          </w:p>
        </w:tc>
        <w:tc>
          <w:tcPr>
            <w:tcW w:w="612" w:type="pct"/>
          </w:tcPr>
          <w:p>
            <w:pPr>
              <w:jc w:val="center"/>
              <w:rPr>
                <w:noProof/>
              </w:rPr>
            </w:pPr>
            <w:r>
              <w:rPr>
                <w:noProof/>
              </w:rPr>
              <w:t>4,0</w:t>
            </w:r>
          </w:p>
        </w:tc>
        <w:tc>
          <w:tcPr>
            <w:tcW w:w="672" w:type="pct"/>
          </w:tcPr>
          <w:p>
            <w:pPr>
              <w:jc w:val="center"/>
              <w:rPr>
                <w:noProof/>
              </w:rPr>
            </w:pPr>
            <w:r>
              <w:rPr>
                <w:noProof/>
              </w:rPr>
              <w:t>5,0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keepNext/>
              <w:keepLines/>
              <w:jc w:val="center"/>
              <w:rPr>
                <w:noProof/>
              </w:rPr>
            </w:pPr>
            <w:r>
              <w:rPr>
                <w:noProof/>
              </w:rPr>
              <w:t>An (OMC)</w:t>
            </w:r>
          </w:p>
        </w:tc>
        <w:tc>
          <w:tcPr>
            <w:tcW w:w="1545" w:type="dxa"/>
          </w:tcPr>
          <w:p>
            <w:pPr>
              <w:jc w:val="center"/>
              <w:rPr>
                <w:noProof/>
              </w:rPr>
            </w:pPr>
            <w:r>
              <w:rPr>
                <w:noProof/>
              </w:rPr>
              <w:t>2022</w:t>
            </w:r>
          </w:p>
        </w:tc>
        <w:tc>
          <w:tcPr>
            <w:tcW w:w="1321" w:type="dxa"/>
          </w:tcPr>
          <w:p>
            <w:pPr>
              <w:jc w:val="center"/>
              <w:rPr>
                <w:noProof/>
              </w:rPr>
            </w:pPr>
            <w:r>
              <w:rPr>
                <w:noProof/>
              </w:rPr>
              <w:t>2023</w:t>
            </w:r>
          </w:p>
        </w:tc>
        <w:tc>
          <w:tcPr>
            <w:tcW w:w="1321" w:type="dxa"/>
          </w:tcPr>
          <w:p>
            <w:pPr>
              <w:jc w:val="center"/>
              <w:rPr>
                <w:noProof/>
              </w:rPr>
            </w:pPr>
            <w:r>
              <w:rPr>
                <w:noProof/>
              </w:rPr>
              <w:t>2024</w:t>
            </w:r>
          </w:p>
        </w:tc>
        <w:tc>
          <w:tcPr>
            <w:tcW w:w="1321" w:type="dxa"/>
          </w:tcPr>
          <w:p>
            <w:pPr>
              <w:jc w:val="center"/>
              <w:rPr>
                <w:noProof/>
              </w:rPr>
            </w:pPr>
            <w:r>
              <w:rPr>
                <w:noProof/>
              </w:rPr>
              <w:t>2025</w:t>
            </w:r>
          </w:p>
        </w:tc>
        <w:tc>
          <w:tcPr>
            <w:tcW w:w="1511" w:type="dxa"/>
          </w:tcPr>
          <w:p>
            <w:pPr>
              <w:jc w:val="center"/>
              <w:rPr>
                <w:noProof/>
              </w:rPr>
            </w:pPr>
            <w:r>
              <w:rPr>
                <w:noProof/>
              </w:rPr>
              <w:t>2026</w:t>
            </w:r>
          </w:p>
        </w:tc>
      </w:tr>
      <w:tr>
        <w:tc>
          <w:tcPr>
            <w:tcW w:w="2835" w:type="dxa"/>
          </w:tcPr>
          <w:p>
            <w:pPr>
              <w:keepNext/>
              <w:keepLines/>
              <w:jc w:val="left"/>
              <w:rPr>
                <w:noProof/>
              </w:rPr>
            </w:pPr>
            <w:r>
              <w:rPr>
                <w:noProof/>
              </w:rPr>
              <w:t>Angajamentul Ucrainei față de OMC</w:t>
            </w:r>
          </w:p>
        </w:tc>
        <w:tc>
          <w:tcPr>
            <w:tcW w:w="1545" w:type="dxa"/>
          </w:tcPr>
          <w:p>
            <w:pPr>
              <w:keepNext/>
              <w:keepLines/>
              <w:jc w:val="center"/>
              <w:rPr>
                <w:noProof/>
              </w:rPr>
            </w:pPr>
            <w:r>
              <w:rPr>
                <w:noProof/>
              </w:rPr>
              <w:t>15,0</w:t>
            </w:r>
          </w:p>
        </w:tc>
        <w:tc>
          <w:tcPr>
            <w:tcW w:w="1321" w:type="dxa"/>
          </w:tcPr>
          <w:p>
            <w:pPr>
              <w:keepNext/>
              <w:keepLines/>
              <w:jc w:val="center"/>
              <w:rPr>
                <w:noProof/>
              </w:rPr>
            </w:pPr>
            <w:r>
              <w:rPr>
                <w:noProof/>
              </w:rPr>
              <w:t>15,0</w:t>
            </w:r>
          </w:p>
        </w:tc>
        <w:tc>
          <w:tcPr>
            <w:tcW w:w="1321" w:type="dxa"/>
          </w:tcPr>
          <w:p>
            <w:pPr>
              <w:keepNext/>
              <w:keepLines/>
              <w:jc w:val="center"/>
              <w:rPr>
                <w:noProof/>
              </w:rPr>
            </w:pPr>
            <w:r>
              <w:rPr>
                <w:noProof/>
              </w:rPr>
              <w:t>15,0</w:t>
            </w:r>
          </w:p>
        </w:tc>
        <w:tc>
          <w:tcPr>
            <w:tcW w:w="1321" w:type="dxa"/>
          </w:tcPr>
          <w:p>
            <w:pPr>
              <w:keepNext/>
              <w:keepLines/>
              <w:jc w:val="center"/>
              <w:rPr>
                <w:noProof/>
              </w:rPr>
            </w:pPr>
            <w:r>
              <w:rPr>
                <w:noProof/>
              </w:rPr>
              <w:t>15,0</w:t>
            </w:r>
          </w:p>
        </w:tc>
        <w:tc>
          <w:tcPr>
            <w:tcW w:w="1511" w:type="dxa"/>
          </w:tcPr>
          <w:p>
            <w:pPr>
              <w:keepNext/>
              <w:keepLines/>
              <w:jc w:val="center"/>
              <w:rPr>
                <w:noProof/>
              </w:rPr>
            </w:pPr>
            <w:r>
              <w:rPr>
                <w:noProof/>
              </w:rPr>
              <w:t>15,0</w:t>
            </w:r>
          </w:p>
        </w:tc>
      </w:tr>
      <w:tr>
        <w:tc>
          <w:tcPr>
            <w:tcW w:w="2835" w:type="dxa"/>
          </w:tcPr>
          <w:p>
            <w:pPr>
              <w:keepNext/>
              <w:keepLines/>
              <w:jc w:val="center"/>
              <w:rPr>
                <w:noProof/>
              </w:rPr>
            </w:pPr>
            <w:r>
              <w:rPr>
                <w:noProof/>
              </w:rPr>
              <w:t>An (Acord)</w:t>
            </w:r>
          </w:p>
        </w:tc>
        <w:tc>
          <w:tcPr>
            <w:tcW w:w="1545" w:type="dxa"/>
          </w:tcPr>
          <w:p>
            <w:pPr>
              <w:keepNext/>
              <w:keepLines/>
              <w:jc w:val="center"/>
              <w:rPr>
                <w:noProof/>
              </w:rPr>
            </w:pPr>
            <w:r>
              <w:rPr>
                <w:noProof/>
              </w:rPr>
              <w:t>IIV+6</w:t>
            </w:r>
          </w:p>
        </w:tc>
        <w:tc>
          <w:tcPr>
            <w:tcW w:w="1321" w:type="dxa"/>
          </w:tcPr>
          <w:p>
            <w:pPr>
              <w:keepNext/>
              <w:keepLines/>
              <w:jc w:val="center"/>
              <w:rPr>
                <w:noProof/>
              </w:rPr>
            </w:pPr>
            <w:r>
              <w:rPr>
                <w:noProof/>
              </w:rPr>
              <w:t>IIV+7</w:t>
            </w:r>
          </w:p>
        </w:tc>
        <w:tc>
          <w:tcPr>
            <w:tcW w:w="1321" w:type="dxa"/>
          </w:tcPr>
          <w:p>
            <w:pPr>
              <w:keepNext/>
              <w:keepLines/>
              <w:jc w:val="center"/>
              <w:rPr>
                <w:noProof/>
              </w:rPr>
            </w:pPr>
            <w:r>
              <w:rPr>
                <w:noProof/>
              </w:rPr>
              <w:t>IIV+8</w:t>
            </w:r>
          </w:p>
        </w:tc>
        <w:tc>
          <w:tcPr>
            <w:tcW w:w="1321" w:type="dxa"/>
          </w:tcPr>
          <w:p>
            <w:pPr>
              <w:keepNext/>
              <w:keepLines/>
              <w:jc w:val="center"/>
              <w:rPr>
                <w:noProof/>
              </w:rPr>
            </w:pPr>
            <w:r>
              <w:rPr>
                <w:noProof/>
              </w:rPr>
              <w:t>IIV+9</w:t>
            </w:r>
          </w:p>
        </w:tc>
        <w:tc>
          <w:tcPr>
            <w:tcW w:w="1511" w:type="dxa"/>
          </w:tcPr>
          <w:p>
            <w:pPr>
              <w:keepNext/>
              <w:keepLines/>
              <w:jc w:val="center"/>
              <w:rPr>
                <w:noProof/>
              </w:rPr>
            </w:pPr>
            <w:r>
              <w:rPr>
                <w:noProof/>
              </w:rPr>
              <w:t>IIV+10</w:t>
            </w:r>
          </w:p>
        </w:tc>
      </w:tr>
      <w:tr>
        <w:tc>
          <w:tcPr>
            <w:tcW w:w="2835" w:type="dxa"/>
          </w:tcPr>
          <w:p>
            <w:pPr>
              <w:keepNext/>
              <w:keepLines/>
              <w:jc w:val="left"/>
              <w:rPr>
                <w:noProof/>
              </w:rPr>
            </w:pPr>
            <w:r>
              <w:rPr>
                <w:noProof/>
              </w:rPr>
              <w:t>Taxa la export a Ucrainei către UE</w:t>
            </w:r>
          </w:p>
        </w:tc>
        <w:tc>
          <w:tcPr>
            <w:tcW w:w="1545" w:type="dxa"/>
          </w:tcPr>
          <w:p>
            <w:pPr>
              <w:keepNext/>
              <w:keepLines/>
              <w:jc w:val="center"/>
              <w:rPr>
                <w:noProof/>
              </w:rPr>
            </w:pPr>
            <w:r>
              <w:rPr>
                <w:noProof/>
              </w:rPr>
              <w:t>4,0</w:t>
            </w:r>
          </w:p>
        </w:tc>
        <w:tc>
          <w:tcPr>
            <w:tcW w:w="1321" w:type="dxa"/>
          </w:tcPr>
          <w:p>
            <w:pPr>
              <w:keepNext/>
              <w:keepLines/>
              <w:jc w:val="center"/>
              <w:rPr>
                <w:noProof/>
              </w:rPr>
            </w:pPr>
            <w:r>
              <w:rPr>
                <w:noProof/>
              </w:rPr>
              <w:t>3,0</w:t>
            </w:r>
          </w:p>
        </w:tc>
        <w:tc>
          <w:tcPr>
            <w:tcW w:w="1321" w:type="dxa"/>
          </w:tcPr>
          <w:p>
            <w:pPr>
              <w:keepNext/>
              <w:keepLines/>
              <w:jc w:val="center"/>
              <w:rPr>
                <w:noProof/>
              </w:rPr>
            </w:pPr>
            <w:r>
              <w:rPr>
                <w:noProof/>
              </w:rPr>
              <w:t>2,0</w:t>
            </w:r>
          </w:p>
        </w:tc>
        <w:tc>
          <w:tcPr>
            <w:tcW w:w="1321" w:type="dxa"/>
          </w:tcPr>
          <w:p>
            <w:pPr>
              <w:keepNext/>
              <w:keepLines/>
              <w:jc w:val="center"/>
              <w:rPr>
                <w:noProof/>
              </w:rPr>
            </w:pPr>
            <w:r>
              <w:rPr>
                <w:noProof/>
              </w:rPr>
              <w:t>1,0</w:t>
            </w:r>
          </w:p>
        </w:tc>
        <w:tc>
          <w:tcPr>
            <w:tcW w:w="1511" w:type="dxa"/>
          </w:tcPr>
          <w:p>
            <w:pPr>
              <w:keepNext/>
              <w:keepLines/>
              <w:jc w:val="center"/>
              <w:rPr>
                <w:noProof/>
              </w:rPr>
            </w:pPr>
            <w:r>
              <w:rPr>
                <w:noProof/>
              </w:rPr>
              <w:t>0,0</w:t>
            </w:r>
          </w:p>
        </w:tc>
      </w:tr>
      <w:tr>
        <w:tc>
          <w:tcPr>
            <w:tcW w:w="2835" w:type="dxa"/>
          </w:tcPr>
          <w:p>
            <w:pPr>
              <w:keepNext/>
              <w:keepLines/>
              <w:jc w:val="left"/>
              <w:rPr>
                <w:noProof/>
              </w:rPr>
            </w:pPr>
            <w:r>
              <w:rPr>
                <w:noProof/>
              </w:rPr>
              <w:t>Nivelul de declanșare (în tone)</w:t>
            </w:r>
          </w:p>
        </w:tc>
        <w:tc>
          <w:tcPr>
            <w:tcW w:w="1545" w:type="dxa"/>
          </w:tcPr>
          <w:p>
            <w:pPr>
              <w:keepNext/>
              <w:keepLines/>
              <w:jc w:val="center"/>
              <w:rPr>
                <w:noProof/>
              </w:rPr>
            </w:pPr>
            <w:r>
              <w:rPr>
                <w:noProof/>
              </w:rPr>
              <w:t>260,0</w:t>
            </w:r>
          </w:p>
        </w:tc>
        <w:tc>
          <w:tcPr>
            <w:tcW w:w="1321" w:type="dxa"/>
          </w:tcPr>
          <w:p>
            <w:pPr>
              <w:keepNext/>
              <w:keepLines/>
              <w:jc w:val="center"/>
              <w:rPr>
                <w:noProof/>
              </w:rPr>
            </w:pPr>
            <w:r>
              <w:rPr>
                <w:noProof/>
              </w:rPr>
              <w:t>270,0</w:t>
            </w:r>
          </w:p>
        </w:tc>
        <w:tc>
          <w:tcPr>
            <w:tcW w:w="1321" w:type="dxa"/>
          </w:tcPr>
          <w:p>
            <w:pPr>
              <w:keepNext/>
              <w:keepLines/>
              <w:jc w:val="center"/>
              <w:rPr>
                <w:noProof/>
              </w:rPr>
            </w:pPr>
            <w:r>
              <w:rPr>
                <w:noProof/>
              </w:rPr>
              <w:t>280,0</w:t>
            </w:r>
          </w:p>
        </w:tc>
        <w:tc>
          <w:tcPr>
            <w:tcW w:w="1321" w:type="dxa"/>
          </w:tcPr>
          <w:p>
            <w:pPr>
              <w:keepNext/>
              <w:keepLines/>
              <w:jc w:val="center"/>
              <w:rPr>
                <w:noProof/>
              </w:rPr>
            </w:pPr>
            <w:r>
              <w:rPr>
                <w:noProof/>
              </w:rPr>
              <w:t>290,0</w:t>
            </w:r>
          </w:p>
        </w:tc>
        <w:tc>
          <w:tcPr>
            <w:tcW w:w="1511" w:type="dxa"/>
          </w:tcPr>
          <w:p>
            <w:pPr>
              <w:keepNext/>
              <w:keepLines/>
              <w:jc w:val="center"/>
              <w:rPr>
                <w:noProof/>
              </w:rPr>
            </w:pPr>
            <w:r>
              <w:rPr>
                <w:noProof/>
              </w:rPr>
              <w:t>300,0</w:t>
            </w:r>
          </w:p>
        </w:tc>
      </w:tr>
      <w:tr>
        <w:tc>
          <w:tcPr>
            <w:tcW w:w="2835" w:type="dxa"/>
          </w:tcPr>
          <w:p>
            <w:pPr>
              <w:keepNext/>
              <w:keepLines/>
              <w:jc w:val="left"/>
              <w:rPr>
                <w:noProof/>
              </w:rPr>
            </w:pPr>
            <w:r>
              <w:rPr>
                <w:noProof/>
              </w:rPr>
              <w:t>Suprataxa maximă</w:t>
            </w:r>
          </w:p>
        </w:tc>
        <w:tc>
          <w:tcPr>
            <w:tcW w:w="1545" w:type="dxa"/>
          </w:tcPr>
          <w:p>
            <w:pPr>
              <w:keepNext/>
              <w:keepLines/>
              <w:jc w:val="center"/>
              <w:rPr>
                <w:noProof/>
              </w:rPr>
            </w:pPr>
            <w:r>
              <w:rPr>
                <w:noProof/>
              </w:rPr>
              <w:t>6,0</w:t>
            </w:r>
          </w:p>
        </w:tc>
        <w:tc>
          <w:tcPr>
            <w:tcW w:w="1321" w:type="dxa"/>
          </w:tcPr>
          <w:p>
            <w:pPr>
              <w:keepNext/>
              <w:keepLines/>
              <w:jc w:val="center"/>
              <w:rPr>
                <w:noProof/>
              </w:rPr>
            </w:pPr>
            <w:r>
              <w:rPr>
                <w:noProof/>
              </w:rPr>
              <w:t>7,0</w:t>
            </w:r>
          </w:p>
        </w:tc>
        <w:tc>
          <w:tcPr>
            <w:tcW w:w="1321" w:type="dxa"/>
          </w:tcPr>
          <w:p>
            <w:pPr>
              <w:keepNext/>
              <w:keepLines/>
              <w:jc w:val="center"/>
              <w:rPr>
                <w:noProof/>
              </w:rPr>
            </w:pPr>
            <w:r>
              <w:rPr>
                <w:noProof/>
              </w:rPr>
              <w:t>8,0</w:t>
            </w:r>
          </w:p>
        </w:tc>
        <w:tc>
          <w:tcPr>
            <w:tcW w:w="1321" w:type="dxa"/>
          </w:tcPr>
          <w:p>
            <w:pPr>
              <w:keepNext/>
              <w:keepLines/>
              <w:jc w:val="center"/>
              <w:rPr>
                <w:noProof/>
              </w:rPr>
            </w:pPr>
            <w:r>
              <w:rPr>
                <w:noProof/>
              </w:rPr>
              <w:t>9,0</w:t>
            </w:r>
          </w:p>
        </w:tc>
        <w:tc>
          <w:tcPr>
            <w:tcW w:w="1511" w:type="dxa"/>
          </w:tcPr>
          <w:p>
            <w:pPr>
              <w:keepNext/>
              <w:keepLines/>
              <w:jc w:val="center"/>
              <w:rPr>
                <w:noProof/>
              </w:rPr>
            </w:pPr>
            <w:r>
              <w:rPr>
                <w:noProof/>
              </w:rPr>
              <w:t>10,0</w:t>
            </w:r>
          </w:p>
        </w:tc>
      </w:tr>
    </w:tbl>
    <w:p>
      <w:pPr>
        <w:keepNext/>
        <w:keepLines/>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2027</w:t>
            </w:r>
          </w:p>
        </w:tc>
        <w:tc>
          <w:tcPr>
            <w:tcW w:w="1321" w:type="dxa"/>
          </w:tcPr>
          <w:p>
            <w:pPr>
              <w:jc w:val="center"/>
              <w:rPr>
                <w:noProof/>
              </w:rPr>
            </w:pPr>
            <w:r>
              <w:rPr>
                <w:noProof/>
              </w:rPr>
              <w:t>2028</w:t>
            </w:r>
          </w:p>
        </w:tc>
        <w:tc>
          <w:tcPr>
            <w:tcW w:w="1321" w:type="dxa"/>
          </w:tcPr>
          <w:p>
            <w:pPr>
              <w:jc w:val="center"/>
              <w:rPr>
                <w:noProof/>
              </w:rPr>
            </w:pPr>
            <w:r>
              <w:rPr>
                <w:noProof/>
              </w:rPr>
              <w:t>2029</w:t>
            </w:r>
          </w:p>
        </w:tc>
        <w:tc>
          <w:tcPr>
            <w:tcW w:w="1321" w:type="dxa"/>
          </w:tcPr>
          <w:p>
            <w:pPr>
              <w:jc w:val="center"/>
              <w:rPr>
                <w:noProof/>
              </w:rPr>
            </w:pPr>
            <w:r>
              <w:rPr>
                <w:noProof/>
              </w:rPr>
              <w:t>2030</w:t>
            </w:r>
          </w:p>
        </w:tc>
        <w:tc>
          <w:tcPr>
            <w:tcW w:w="1511" w:type="dxa"/>
          </w:tcPr>
          <w:p>
            <w:pPr>
              <w:jc w:val="center"/>
              <w:rPr>
                <w:noProof/>
              </w:rPr>
            </w:pPr>
            <w:r>
              <w:rPr>
                <w:noProof/>
              </w:rPr>
              <w:t>2031</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IIV+11</w:t>
            </w:r>
          </w:p>
        </w:tc>
        <w:tc>
          <w:tcPr>
            <w:tcW w:w="1321" w:type="dxa"/>
          </w:tcPr>
          <w:p>
            <w:pPr>
              <w:jc w:val="center"/>
              <w:rPr>
                <w:noProof/>
              </w:rPr>
            </w:pPr>
            <w:r>
              <w:rPr>
                <w:noProof/>
              </w:rPr>
              <w:t>IIV+12</w:t>
            </w:r>
          </w:p>
        </w:tc>
        <w:tc>
          <w:tcPr>
            <w:tcW w:w="1321" w:type="dxa"/>
          </w:tcPr>
          <w:p>
            <w:pPr>
              <w:jc w:val="center"/>
              <w:rPr>
                <w:noProof/>
              </w:rPr>
            </w:pPr>
            <w:r>
              <w:rPr>
                <w:noProof/>
              </w:rPr>
              <w:t>IIV+13</w:t>
            </w:r>
          </w:p>
        </w:tc>
        <w:tc>
          <w:tcPr>
            <w:tcW w:w="1321" w:type="dxa"/>
          </w:tcPr>
          <w:p>
            <w:pPr>
              <w:jc w:val="center"/>
              <w:rPr>
                <w:noProof/>
              </w:rPr>
            </w:pPr>
            <w:r>
              <w:rPr>
                <w:noProof/>
              </w:rPr>
              <w:t>IIV+14</w:t>
            </w:r>
          </w:p>
        </w:tc>
        <w:tc>
          <w:tcPr>
            <w:tcW w:w="1511" w:type="dxa"/>
          </w:tcPr>
          <w:p>
            <w:pPr>
              <w:jc w:val="center"/>
              <w:rPr>
                <w:noProof/>
              </w:rPr>
            </w:pPr>
            <w:r>
              <w:rPr>
                <w:noProof/>
              </w:rPr>
              <w:t>IIV+15</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300,0</w:t>
            </w:r>
          </w:p>
        </w:tc>
        <w:tc>
          <w:tcPr>
            <w:tcW w:w="1321" w:type="dxa"/>
          </w:tcPr>
          <w:p>
            <w:pPr>
              <w:jc w:val="center"/>
              <w:rPr>
                <w:noProof/>
              </w:rPr>
            </w:pPr>
            <w:r>
              <w:rPr>
                <w:noProof/>
              </w:rPr>
              <w:t>300,0</w:t>
            </w:r>
          </w:p>
        </w:tc>
        <w:tc>
          <w:tcPr>
            <w:tcW w:w="1321" w:type="dxa"/>
          </w:tcPr>
          <w:p>
            <w:pPr>
              <w:jc w:val="center"/>
              <w:rPr>
                <w:noProof/>
              </w:rPr>
            </w:pPr>
            <w:r>
              <w:rPr>
                <w:noProof/>
              </w:rPr>
              <w:t>300,0</w:t>
            </w:r>
          </w:p>
        </w:tc>
        <w:tc>
          <w:tcPr>
            <w:tcW w:w="1321" w:type="dxa"/>
          </w:tcPr>
          <w:p>
            <w:pPr>
              <w:jc w:val="center"/>
              <w:rPr>
                <w:noProof/>
              </w:rPr>
            </w:pPr>
            <w:r>
              <w:rPr>
                <w:noProof/>
              </w:rPr>
              <w:t>300,0</w:t>
            </w:r>
          </w:p>
        </w:tc>
        <w:tc>
          <w:tcPr>
            <w:tcW w:w="1511" w:type="dxa"/>
          </w:tcPr>
          <w:p>
            <w:pPr>
              <w:jc w:val="center"/>
              <w:rPr>
                <w:noProof/>
              </w:rPr>
            </w:pPr>
            <w:r>
              <w:rPr>
                <w:noProof/>
              </w:rPr>
              <w:t>300,0</w:t>
            </w:r>
          </w:p>
        </w:tc>
      </w:tr>
      <w:tr>
        <w:tc>
          <w:tcPr>
            <w:tcW w:w="2835" w:type="dxa"/>
          </w:tcPr>
          <w:p>
            <w:pPr>
              <w:jc w:val="left"/>
              <w:rPr>
                <w:noProof/>
              </w:rPr>
            </w:pPr>
            <w:r>
              <w:rPr>
                <w:noProof/>
              </w:rPr>
              <w:t>Suprataxa maximă</w:t>
            </w:r>
          </w:p>
        </w:tc>
        <w:tc>
          <w:tcPr>
            <w:tcW w:w="1545" w:type="dxa"/>
          </w:tcPr>
          <w:p>
            <w:pPr>
              <w:jc w:val="center"/>
              <w:rPr>
                <w:noProof/>
              </w:rPr>
            </w:pPr>
            <w:r>
              <w:rPr>
                <w:noProof/>
              </w:rPr>
              <w:t>8,0</w:t>
            </w:r>
          </w:p>
        </w:tc>
        <w:tc>
          <w:tcPr>
            <w:tcW w:w="1321" w:type="dxa"/>
          </w:tcPr>
          <w:p>
            <w:pPr>
              <w:jc w:val="center"/>
              <w:rPr>
                <w:noProof/>
              </w:rPr>
            </w:pPr>
            <w:r>
              <w:rPr>
                <w:noProof/>
              </w:rPr>
              <w:t>6,0</w:t>
            </w:r>
          </w:p>
        </w:tc>
        <w:tc>
          <w:tcPr>
            <w:tcW w:w="1321" w:type="dxa"/>
          </w:tcPr>
          <w:p>
            <w:pPr>
              <w:jc w:val="center"/>
              <w:rPr>
                <w:noProof/>
              </w:rPr>
            </w:pPr>
            <w:r>
              <w:rPr>
                <w:noProof/>
              </w:rPr>
              <w:t>4,0</w:t>
            </w:r>
          </w:p>
        </w:tc>
        <w:tc>
          <w:tcPr>
            <w:tcW w:w="1321" w:type="dxa"/>
          </w:tcPr>
          <w:p>
            <w:pPr>
              <w:jc w:val="center"/>
              <w:rPr>
                <w:noProof/>
              </w:rPr>
            </w:pPr>
            <w:r>
              <w:rPr>
                <w:noProof/>
              </w:rPr>
              <w:t>2,0</w:t>
            </w:r>
          </w:p>
        </w:tc>
        <w:tc>
          <w:tcPr>
            <w:tcW w:w="1511" w:type="dxa"/>
          </w:tcPr>
          <w:p>
            <w:pPr>
              <w:jc w:val="center"/>
              <w:rPr>
                <w:noProof/>
              </w:rPr>
            </w:pPr>
            <w:r>
              <w:rPr>
                <w:noProof/>
              </w:rPr>
              <w:t>0,0</w:t>
            </w:r>
          </w:p>
        </w:tc>
      </w:tr>
    </w:tbl>
    <w:p>
      <w:pPr>
        <w:rPr>
          <w:noProof/>
        </w:rPr>
      </w:pPr>
    </w:p>
    <w:p>
      <w:pPr>
        <w:rPr>
          <w:noProof/>
        </w:rPr>
      </w:pPr>
      <w:r>
        <w:rPr>
          <w:noProof/>
        </w:rPr>
        <w:br w:type="page"/>
      </w:r>
    </w:p>
    <w:p>
      <w:pPr>
        <w:rPr>
          <w:noProof/>
        </w:rPr>
      </w:pPr>
      <w:r>
        <w:rPr>
          <w:noProof/>
        </w:rPr>
        <w:t>Acoperire: cuprul care intră sub incidența următoarelor coduri vamale ucrainene: 7403 21 00 00, 7403 22 00 00, 7403 29 00 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1226"/>
        <w:gridCol w:w="1134"/>
        <w:gridCol w:w="1134"/>
        <w:gridCol w:w="1134"/>
        <w:gridCol w:w="1141"/>
        <w:gridCol w:w="1252"/>
      </w:tblGrid>
      <w:tr>
        <w:tc>
          <w:tcPr>
            <w:tcW w:w="2267" w:type="dxa"/>
          </w:tcPr>
          <w:p>
            <w:pPr>
              <w:jc w:val="center"/>
              <w:rPr>
                <w:noProof/>
              </w:rPr>
            </w:pPr>
            <w:r>
              <w:rPr>
                <w:noProof/>
              </w:rPr>
              <w:t>An (OMC)</w:t>
            </w:r>
          </w:p>
        </w:tc>
        <w:tc>
          <w:tcPr>
            <w:tcW w:w="1226" w:type="dxa"/>
          </w:tcPr>
          <w:p>
            <w:pPr>
              <w:jc w:val="center"/>
              <w:rPr>
                <w:noProof/>
              </w:rPr>
            </w:pPr>
            <w:r>
              <w:rPr>
                <w:noProof/>
              </w:rPr>
              <w:t>2016</w:t>
            </w:r>
          </w:p>
        </w:tc>
        <w:tc>
          <w:tcPr>
            <w:tcW w:w="1134" w:type="dxa"/>
          </w:tcPr>
          <w:p>
            <w:pPr>
              <w:jc w:val="center"/>
              <w:rPr>
                <w:noProof/>
              </w:rPr>
            </w:pPr>
            <w:r>
              <w:rPr>
                <w:noProof/>
              </w:rPr>
              <w:t>2017</w:t>
            </w:r>
          </w:p>
        </w:tc>
        <w:tc>
          <w:tcPr>
            <w:tcW w:w="1134" w:type="dxa"/>
          </w:tcPr>
          <w:p>
            <w:pPr>
              <w:jc w:val="center"/>
              <w:rPr>
                <w:noProof/>
              </w:rPr>
            </w:pPr>
            <w:r>
              <w:rPr>
                <w:noProof/>
              </w:rPr>
              <w:t>2018</w:t>
            </w:r>
          </w:p>
        </w:tc>
        <w:tc>
          <w:tcPr>
            <w:tcW w:w="1134" w:type="dxa"/>
          </w:tcPr>
          <w:p>
            <w:pPr>
              <w:jc w:val="center"/>
              <w:rPr>
                <w:noProof/>
              </w:rPr>
            </w:pPr>
            <w:r>
              <w:rPr>
                <w:noProof/>
              </w:rPr>
              <w:t>2019</w:t>
            </w:r>
          </w:p>
        </w:tc>
        <w:tc>
          <w:tcPr>
            <w:tcW w:w="1141" w:type="dxa"/>
          </w:tcPr>
          <w:p>
            <w:pPr>
              <w:jc w:val="center"/>
              <w:rPr>
                <w:noProof/>
              </w:rPr>
            </w:pPr>
            <w:r>
              <w:rPr>
                <w:noProof/>
              </w:rPr>
              <w:t>2020</w:t>
            </w:r>
          </w:p>
        </w:tc>
        <w:tc>
          <w:tcPr>
            <w:tcW w:w="1252" w:type="dxa"/>
          </w:tcPr>
          <w:p>
            <w:pPr>
              <w:jc w:val="center"/>
              <w:rPr>
                <w:noProof/>
              </w:rPr>
            </w:pPr>
            <w:r>
              <w:rPr>
                <w:noProof/>
              </w:rPr>
              <w:t>2021</w:t>
            </w:r>
          </w:p>
        </w:tc>
      </w:tr>
      <w:tr>
        <w:tc>
          <w:tcPr>
            <w:tcW w:w="2267" w:type="dxa"/>
          </w:tcPr>
          <w:p>
            <w:pPr>
              <w:jc w:val="left"/>
              <w:rPr>
                <w:noProof/>
              </w:rPr>
            </w:pPr>
            <w:r>
              <w:rPr>
                <w:noProof/>
              </w:rPr>
              <w:t>Angajamentul Ucrainei față de OMC</w:t>
            </w:r>
          </w:p>
        </w:tc>
        <w:tc>
          <w:tcPr>
            <w:tcW w:w="1226" w:type="dxa"/>
          </w:tcPr>
          <w:p>
            <w:pPr>
              <w:jc w:val="center"/>
              <w:rPr>
                <w:noProof/>
              </w:rPr>
            </w:pPr>
            <w:r>
              <w:rPr>
                <w:noProof/>
              </w:rPr>
              <w:t>15,0</w:t>
            </w:r>
          </w:p>
        </w:tc>
        <w:tc>
          <w:tcPr>
            <w:tcW w:w="1134" w:type="dxa"/>
          </w:tcPr>
          <w:p>
            <w:pPr>
              <w:jc w:val="center"/>
              <w:rPr>
                <w:noProof/>
              </w:rPr>
            </w:pPr>
            <w:r>
              <w:rPr>
                <w:noProof/>
              </w:rPr>
              <w:t>15,0</w:t>
            </w:r>
          </w:p>
        </w:tc>
        <w:tc>
          <w:tcPr>
            <w:tcW w:w="1134" w:type="dxa"/>
          </w:tcPr>
          <w:p>
            <w:pPr>
              <w:jc w:val="center"/>
              <w:rPr>
                <w:noProof/>
              </w:rPr>
            </w:pPr>
            <w:r>
              <w:rPr>
                <w:noProof/>
              </w:rPr>
              <w:t>15,0</w:t>
            </w:r>
          </w:p>
        </w:tc>
        <w:tc>
          <w:tcPr>
            <w:tcW w:w="1134" w:type="dxa"/>
          </w:tcPr>
          <w:p>
            <w:pPr>
              <w:jc w:val="center"/>
              <w:rPr>
                <w:noProof/>
              </w:rPr>
            </w:pPr>
            <w:r>
              <w:rPr>
                <w:noProof/>
              </w:rPr>
              <w:t>15,0</w:t>
            </w:r>
          </w:p>
        </w:tc>
        <w:tc>
          <w:tcPr>
            <w:tcW w:w="1141" w:type="dxa"/>
          </w:tcPr>
          <w:p>
            <w:pPr>
              <w:jc w:val="center"/>
              <w:rPr>
                <w:noProof/>
              </w:rPr>
            </w:pPr>
            <w:r>
              <w:rPr>
                <w:noProof/>
              </w:rPr>
              <w:t>15,0</w:t>
            </w:r>
          </w:p>
        </w:tc>
        <w:tc>
          <w:tcPr>
            <w:tcW w:w="1252" w:type="dxa"/>
          </w:tcPr>
          <w:p>
            <w:pPr>
              <w:jc w:val="center"/>
              <w:rPr>
                <w:noProof/>
              </w:rPr>
            </w:pPr>
            <w:r>
              <w:rPr>
                <w:noProof/>
              </w:rPr>
              <w:t>15,0</w:t>
            </w:r>
          </w:p>
        </w:tc>
      </w:tr>
      <w:tr>
        <w:tc>
          <w:tcPr>
            <w:tcW w:w="2267" w:type="dxa"/>
          </w:tcPr>
          <w:p>
            <w:pPr>
              <w:jc w:val="center"/>
              <w:rPr>
                <w:noProof/>
              </w:rPr>
            </w:pPr>
            <w:r>
              <w:rPr>
                <w:noProof/>
              </w:rPr>
              <w:t>An (ALS)</w:t>
            </w:r>
          </w:p>
        </w:tc>
        <w:tc>
          <w:tcPr>
            <w:tcW w:w="1226" w:type="dxa"/>
          </w:tcPr>
          <w:p>
            <w:pPr>
              <w:jc w:val="center"/>
              <w:rPr>
                <w:noProof/>
              </w:rPr>
            </w:pPr>
            <w:r>
              <w:rPr>
                <w:noProof/>
              </w:rPr>
              <w:t>IIV</w:t>
            </w:r>
          </w:p>
        </w:tc>
        <w:tc>
          <w:tcPr>
            <w:tcW w:w="1134" w:type="dxa"/>
          </w:tcPr>
          <w:p>
            <w:pPr>
              <w:jc w:val="center"/>
              <w:rPr>
                <w:noProof/>
              </w:rPr>
            </w:pPr>
            <w:r>
              <w:rPr>
                <w:noProof/>
              </w:rPr>
              <w:t>IIV+1</w:t>
            </w:r>
          </w:p>
        </w:tc>
        <w:tc>
          <w:tcPr>
            <w:tcW w:w="1134" w:type="dxa"/>
          </w:tcPr>
          <w:p>
            <w:pPr>
              <w:jc w:val="center"/>
              <w:rPr>
                <w:noProof/>
              </w:rPr>
            </w:pPr>
            <w:r>
              <w:rPr>
                <w:noProof/>
              </w:rPr>
              <w:t>IIV+2</w:t>
            </w:r>
          </w:p>
        </w:tc>
        <w:tc>
          <w:tcPr>
            <w:tcW w:w="1134" w:type="dxa"/>
          </w:tcPr>
          <w:p>
            <w:pPr>
              <w:jc w:val="center"/>
              <w:rPr>
                <w:noProof/>
              </w:rPr>
            </w:pPr>
            <w:r>
              <w:rPr>
                <w:noProof/>
              </w:rPr>
              <w:t>IIV+3</w:t>
            </w:r>
          </w:p>
        </w:tc>
        <w:tc>
          <w:tcPr>
            <w:tcW w:w="1141" w:type="dxa"/>
          </w:tcPr>
          <w:p>
            <w:pPr>
              <w:jc w:val="center"/>
              <w:rPr>
                <w:noProof/>
              </w:rPr>
            </w:pPr>
            <w:r>
              <w:rPr>
                <w:noProof/>
              </w:rPr>
              <w:t>IIV+4</w:t>
            </w:r>
          </w:p>
        </w:tc>
        <w:tc>
          <w:tcPr>
            <w:tcW w:w="1252" w:type="dxa"/>
          </w:tcPr>
          <w:p>
            <w:pPr>
              <w:jc w:val="center"/>
              <w:rPr>
                <w:noProof/>
              </w:rPr>
            </w:pPr>
            <w:r>
              <w:rPr>
                <w:noProof/>
              </w:rPr>
              <w:t>IIV+5</w:t>
            </w:r>
          </w:p>
        </w:tc>
      </w:tr>
      <w:tr>
        <w:tc>
          <w:tcPr>
            <w:tcW w:w="2267" w:type="dxa"/>
          </w:tcPr>
          <w:p>
            <w:pPr>
              <w:jc w:val="left"/>
              <w:rPr>
                <w:noProof/>
              </w:rPr>
            </w:pPr>
            <w:r>
              <w:rPr>
                <w:noProof/>
              </w:rPr>
              <w:t>Taxa la export a Ucrainei către UE</w:t>
            </w:r>
          </w:p>
        </w:tc>
        <w:tc>
          <w:tcPr>
            <w:tcW w:w="1226" w:type="dxa"/>
          </w:tcPr>
          <w:p>
            <w:pPr>
              <w:jc w:val="center"/>
              <w:rPr>
                <w:noProof/>
                <w:color w:val="000000"/>
              </w:rPr>
            </w:pPr>
            <w:r>
              <w:rPr>
                <w:noProof/>
              </w:rPr>
              <w:t>10,0</w:t>
            </w:r>
          </w:p>
        </w:tc>
        <w:tc>
          <w:tcPr>
            <w:tcW w:w="1134" w:type="dxa"/>
          </w:tcPr>
          <w:p>
            <w:pPr>
              <w:jc w:val="center"/>
              <w:rPr>
                <w:noProof/>
                <w:color w:val="000000"/>
              </w:rPr>
            </w:pPr>
            <w:r>
              <w:rPr>
                <w:noProof/>
              </w:rPr>
              <w:t>9,0</w:t>
            </w:r>
          </w:p>
        </w:tc>
        <w:tc>
          <w:tcPr>
            <w:tcW w:w="1134" w:type="dxa"/>
          </w:tcPr>
          <w:p>
            <w:pPr>
              <w:jc w:val="center"/>
              <w:rPr>
                <w:noProof/>
                <w:color w:val="000000"/>
              </w:rPr>
            </w:pPr>
            <w:r>
              <w:rPr>
                <w:noProof/>
              </w:rPr>
              <w:t>8,0</w:t>
            </w:r>
          </w:p>
        </w:tc>
        <w:tc>
          <w:tcPr>
            <w:tcW w:w="1134" w:type="dxa"/>
          </w:tcPr>
          <w:p>
            <w:pPr>
              <w:jc w:val="center"/>
              <w:rPr>
                <w:noProof/>
                <w:color w:val="000000"/>
              </w:rPr>
            </w:pPr>
            <w:r>
              <w:rPr>
                <w:noProof/>
              </w:rPr>
              <w:t>7,0</w:t>
            </w:r>
          </w:p>
        </w:tc>
        <w:tc>
          <w:tcPr>
            <w:tcW w:w="1141" w:type="dxa"/>
          </w:tcPr>
          <w:p>
            <w:pPr>
              <w:jc w:val="center"/>
              <w:rPr>
                <w:noProof/>
                <w:color w:val="000000"/>
              </w:rPr>
            </w:pPr>
            <w:r>
              <w:rPr>
                <w:noProof/>
              </w:rPr>
              <w:t>6,0</w:t>
            </w:r>
          </w:p>
        </w:tc>
        <w:tc>
          <w:tcPr>
            <w:tcW w:w="1252" w:type="dxa"/>
          </w:tcPr>
          <w:p>
            <w:pPr>
              <w:jc w:val="center"/>
              <w:rPr>
                <w:noProof/>
                <w:color w:val="000000"/>
              </w:rPr>
            </w:pPr>
            <w:r>
              <w:rPr>
                <w:noProof/>
              </w:rPr>
              <w:t>5,0</w:t>
            </w:r>
          </w:p>
        </w:tc>
      </w:tr>
      <w:tr>
        <w:tc>
          <w:tcPr>
            <w:tcW w:w="2267" w:type="dxa"/>
          </w:tcPr>
          <w:p>
            <w:pPr>
              <w:jc w:val="left"/>
              <w:rPr>
                <w:noProof/>
              </w:rPr>
            </w:pPr>
            <w:r>
              <w:rPr>
                <w:noProof/>
              </w:rPr>
              <w:t>Nivelul de declanșare (în tone)</w:t>
            </w:r>
          </w:p>
        </w:tc>
        <w:tc>
          <w:tcPr>
            <w:tcW w:w="1226" w:type="dxa"/>
          </w:tcPr>
          <w:p>
            <w:pPr>
              <w:jc w:val="center"/>
              <w:rPr>
                <w:noProof/>
              </w:rPr>
            </w:pPr>
            <w:r>
              <w:rPr>
                <w:noProof/>
              </w:rPr>
              <w:t>4 000,0</w:t>
            </w:r>
          </w:p>
        </w:tc>
        <w:tc>
          <w:tcPr>
            <w:tcW w:w="1134" w:type="dxa"/>
          </w:tcPr>
          <w:p>
            <w:pPr>
              <w:jc w:val="center"/>
              <w:rPr>
                <w:noProof/>
              </w:rPr>
            </w:pPr>
            <w:r>
              <w:rPr>
                <w:noProof/>
              </w:rPr>
              <w:t>4 200,0</w:t>
            </w:r>
          </w:p>
        </w:tc>
        <w:tc>
          <w:tcPr>
            <w:tcW w:w="1134" w:type="dxa"/>
          </w:tcPr>
          <w:p>
            <w:pPr>
              <w:jc w:val="center"/>
              <w:rPr>
                <w:noProof/>
              </w:rPr>
            </w:pPr>
            <w:r>
              <w:rPr>
                <w:noProof/>
              </w:rPr>
              <w:t>4 400,0</w:t>
            </w:r>
          </w:p>
        </w:tc>
        <w:tc>
          <w:tcPr>
            <w:tcW w:w="1134" w:type="dxa"/>
          </w:tcPr>
          <w:p>
            <w:pPr>
              <w:jc w:val="center"/>
              <w:rPr>
                <w:noProof/>
              </w:rPr>
            </w:pPr>
            <w:r>
              <w:rPr>
                <w:noProof/>
              </w:rPr>
              <w:t>4 600,0</w:t>
            </w:r>
          </w:p>
        </w:tc>
        <w:tc>
          <w:tcPr>
            <w:tcW w:w="1141" w:type="dxa"/>
          </w:tcPr>
          <w:p>
            <w:pPr>
              <w:jc w:val="center"/>
              <w:rPr>
                <w:noProof/>
              </w:rPr>
            </w:pPr>
            <w:r>
              <w:rPr>
                <w:noProof/>
              </w:rPr>
              <w:t>4 800,0</w:t>
            </w:r>
          </w:p>
        </w:tc>
        <w:tc>
          <w:tcPr>
            <w:tcW w:w="1252" w:type="dxa"/>
          </w:tcPr>
          <w:p>
            <w:pPr>
              <w:jc w:val="center"/>
              <w:rPr>
                <w:noProof/>
              </w:rPr>
            </w:pPr>
            <w:r>
              <w:rPr>
                <w:noProof/>
              </w:rPr>
              <w:t>5 000,0</w:t>
            </w:r>
          </w:p>
        </w:tc>
      </w:tr>
      <w:tr>
        <w:tc>
          <w:tcPr>
            <w:tcW w:w="2267" w:type="dxa"/>
          </w:tcPr>
          <w:p>
            <w:pPr>
              <w:jc w:val="left"/>
              <w:rPr>
                <w:noProof/>
              </w:rPr>
            </w:pPr>
            <w:r>
              <w:rPr>
                <w:noProof/>
              </w:rPr>
              <w:t>Suprataxa maximă</w:t>
            </w:r>
          </w:p>
        </w:tc>
        <w:tc>
          <w:tcPr>
            <w:tcW w:w="1226" w:type="dxa"/>
          </w:tcPr>
          <w:p>
            <w:pPr>
              <w:jc w:val="center"/>
              <w:rPr>
                <w:noProof/>
              </w:rPr>
            </w:pPr>
            <w:r>
              <w:rPr>
                <w:noProof/>
              </w:rPr>
              <w:t>0,0</w:t>
            </w:r>
          </w:p>
        </w:tc>
        <w:tc>
          <w:tcPr>
            <w:tcW w:w="1134" w:type="dxa"/>
          </w:tcPr>
          <w:p>
            <w:pPr>
              <w:jc w:val="center"/>
              <w:rPr>
                <w:noProof/>
              </w:rPr>
            </w:pPr>
            <w:r>
              <w:rPr>
                <w:noProof/>
              </w:rPr>
              <w:t>1,0</w:t>
            </w:r>
          </w:p>
        </w:tc>
        <w:tc>
          <w:tcPr>
            <w:tcW w:w="1134" w:type="dxa"/>
          </w:tcPr>
          <w:p>
            <w:pPr>
              <w:jc w:val="center"/>
              <w:rPr>
                <w:noProof/>
              </w:rPr>
            </w:pPr>
            <w:r>
              <w:rPr>
                <w:noProof/>
              </w:rPr>
              <w:t>2,0</w:t>
            </w:r>
          </w:p>
        </w:tc>
        <w:tc>
          <w:tcPr>
            <w:tcW w:w="1134" w:type="dxa"/>
          </w:tcPr>
          <w:p>
            <w:pPr>
              <w:jc w:val="center"/>
              <w:rPr>
                <w:noProof/>
              </w:rPr>
            </w:pPr>
            <w:r>
              <w:rPr>
                <w:noProof/>
              </w:rPr>
              <w:t>3,0</w:t>
            </w:r>
          </w:p>
        </w:tc>
        <w:tc>
          <w:tcPr>
            <w:tcW w:w="1141" w:type="dxa"/>
          </w:tcPr>
          <w:p>
            <w:pPr>
              <w:jc w:val="center"/>
              <w:rPr>
                <w:noProof/>
              </w:rPr>
            </w:pPr>
            <w:r>
              <w:rPr>
                <w:noProof/>
              </w:rPr>
              <w:t>4,0</w:t>
            </w:r>
          </w:p>
        </w:tc>
        <w:tc>
          <w:tcPr>
            <w:tcW w:w="1252" w:type="dxa"/>
          </w:tcPr>
          <w:p>
            <w:pPr>
              <w:jc w:val="center"/>
              <w:rPr>
                <w:noProof/>
              </w:rPr>
            </w:pPr>
            <w:r>
              <w:rPr>
                <w:noProof/>
              </w:rPr>
              <w:t>5,0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2022</w:t>
            </w:r>
          </w:p>
        </w:tc>
        <w:tc>
          <w:tcPr>
            <w:tcW w:w="1321" w:type="dxa"/>
          </w:tcPr>
          <w:p>
            <w:pPr>
              <w:jc w:val="center"/>
              <w:rPr>
                <w:noProof/>
              </w:rPr>
            </w:pPr>
            <w:r>
              <w:rPr>
                <w:noProof/>
              </w:rPr>
              <w:t>2023</w:t>
            </w:r>
          </w:p>
        </w:tc>
        <w:tc>
          <w:tcPr>
            <w:tcW w:w="1321" w:type="dxa"/>
          </w:tcPr>
          <w:p>
            <w:pPr>
              <w:jc w:val="center"/>
              <w:rPr>
                <w:noProof/>
              </w:rPr>
            </w:pPr>
            <w:r>
              <w:rPr>
                <w:noProof/>
              </w:rPr>
              <w:t>2024</w:t>
            </w:r>
          </w:p>
        </w:tc>
        <w:tc>
          <w:tcPr>
            <w:tcW w:w="1321" w:type="dxa"/>
          </w:tcPr>
          <w:p>
            <w:pPr>
              <w:jc w:val="center"/>
              <w:rPr>
                <w:noProof/>
              </w:rPr>
            </w:pPr>
            <w:r>
              <w:rPr>
                <w:noProof/>
              </w:rPr>
              <w:t>2025</w:t>
            </w:r>
          </w:p>
        </w:tc>
        <w:tc>
          <w:tcPr>
            <w:tcW w:w="1511" w:type="dxa"/>
          </w:tcPr>
          <w:p>
            <w:pPr>
              <w:jc w:val="center"/>
              <w:rPr>
                <w:noProof/>
              </w:rPr>
            </w:pPr>
            <w:r>
              <w:rPr>
                <w:noProof/>
              </w:rPr>
              <w:t>2026</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IIV+6</w:t>
            </w:r>
          </w:p>
        </w:tc>
        <w:tc>
          <w:tcPr>
            <w:tcW w:w="1321" w:type="dxa"/>
          </w:tcPr>
          <w:p>
            <w:pPr>
              <w:jc w:val="center"/>
              <w:rPr>
                <w:noProof/>
              </w:rPr>
            </w:pPr>
            <w:r>
              <w:rPr>
                <w:noProof/>
              </w:rPr>
              <w:t>IIV+7</w:t>
            </w:r>
          </w:p>
        </w:tc>
        <w:tc>
          <w:tcPr>
            <w:tcW w:w="1321" w:type="dxa"/>
          </w:tcPr>
          <w:p>
            <w:pPr>
              <w:jc w:val="center"/>
              <w:rPr>
                <w:noProof/>
              </w:rPr>
            </w:pPr>
            <w:r>
              <w:rPr>
                <w:noProof/>
              </w:rPr>
              <w:t>IIV+8</w:t>
            </w:r>
          </w:p>
        </w:tc>
        <w:tc>
          <w:tcPr>
            <w:tcW w:w="1321" w:type="dxa"/>
          </w:tcPr>
          <w:p>
            <w:pPr>
              <w:jc w:val="center"/>
              <w:rPr>
                <w:noProof/>
              </w:rPr>
            </w:pPr>
            <w:r>
              <w:rPr>
                <w:noProof/>
              </w:rPr>
              <w:t>IIV+9</w:t>
            </w:r>
          </w:p>
        </w:tc>
        <w:tc>
          <w:tcPr>
            <w:tcW w:w="1511" w:type="dxa"/>
          </w:tcPr>
          <w:p>
            <w:pPr>
              <w:jc w:val="center"/>
              <w:rPr>
                <w:noProof/>
              </w:rPr>
            </w:pPr>
            <w:r>
              <w:rPr>
                <w:noProof/>
              </w:rPr>
              <w:t>IIV+10</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4,0</w:t>
            </w:r>
          </w:p>
        </w:tc>
        <w:tc>
          <w:tcPr>
            <w:tcW w:w="1321" w:type="dxa"/>
          </w:tcPr>
          <w:p>
            <w:pPr>
              <w:jc w:val="center"/>
              <w:rPr>
                <w:noProof/>
              </w:rPr>
            </w:pPr>
            <w:r>
              <w:rPr>
                <w:noProof/>
              </w:rPr>
              <w:t>3,0</w:t>
            </w:r>
          </w:p>
        </w:tc>
        <w:tc>
          <w:tcPr>
            <w:tcW w:w="1321" w:type="dxa"/>
          </w:tcPr>
          <w:p>
            <w:pPr>
              <w:jc w:val="center"/>
              <w:rPr>
                <w:noProof/>
              </w:rPr>
            </w:pPr>
            <w:r>
              <w:rPr>
                <w:noProof/>
              </w:rPr>
              <w:t>2,0</w:t>
            </w:r>
          </w:p>
        </w:tc>
        <w:tc>
          <w:tcPr>
            <w:tcW w:w="1321" w:type="dxa"/>
          </w:tcPr>
          <w:p>
            <w:pPr>
              <w:jc w:val="center"/>
              <w:rPr>
                <w:noProof/>
              </w:rPr>
            </w:pPr>
            <w:r>
              <w:rPr>
                <w:noProof/>
              </w:rPr>
              <w:t>1,0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5 200,0</w:t>
            </w:r>
          </w:p>
        </w:tc>
        <w:tc>
          <w:tcPr>
            <w:tcW w:w="1321" w:type="dxa"/>
          </w:tcPr>
          <w:p>
            <w:pPr>
              <w:jc w:val="center"/>
              <w:rPr>
                <w:noProof/>
              </w:rPr>
            </w:pPr>
            <w:r>
              <w:rPr>
                <w:noProof/>
              </w:rPr>
              <w:t>5 400,0</w:t>
            </w:r>
          </w:p>
        </w:tc>
        <w:tc>
          <w:tcPr>
            <w:tcW w:w="1321" w:type="dxa"/>
          </w:tcPr>
          <w:p>
            <w:pPr>
              <w:jc w:val="center"/>
              <w:rPr>
                <w:noProof/>
              </w:rPr>
            </w:pPr>
            <w:r>
              <w:rPr>
                <w:noProof/>
              </w:rPr>
              <w:t>5 600,0</w:t>
            </w:r>
          </w:p>
        </w:tc>
        <w:tc>
          <w:tcPr>
            <w:tcW w:w="1321" w:type="dxa"/>
          </w:tcPr>
          <w:p>
            <w:pPr>
              <w:jc w:val="center"/>
              <w:rPr>
                <w:noProof/>
              </w:rPr>
            </w:pPr>
            <w:r>
              <w:rPr>
                <w:noProof/>
              </w:rPr>
              <w:t>5 800,0</w:t>
            </w:r>
          </w:p>
        </w:tc>
        <w:tc>
          <w:tcPr>
            <w:tcW w:w="1511" w:type="dxa"/>
          </w:tcPr>
          <w:p>
            <w:pPr>
              <w:jc w:val="center"/>
              <w:rPr>
                <w:noProof/>
              </w:rPr>
            </w:pPr>
            <w:r>
              <w:rPr>
                <w:noProof/>
              </w:rPr>
              <w:t>6 000,0</w:t>
            </w:r>
          </w:p>
        </w:tc>
      </w:tr>
      <w:tr>
        <w:tc>
          <w:tcPr>
            <w:tcW w:w="2835" w:type="dxa"/>
          </w:tcPr>
          <w:p>
            <w:pPr>
              <w:jc w:val="left"/>
              <w:rPr>
                <w:noProof/>
              </w:rPr>
            </w:pPr>
            <w:r>
              <w:rPr>
                <w:noProof/>
              </w:rPr>
              <w:t>Suprataxa maximă</w:t>
            </w:r>
          </w:p>
        </w:tc>
        <w:tc>
          <w:tcPr>
            <w:tcW w:w="1545" w:type="dxa"/>
          </w:tcPr>
          <w:p>
            <w:pPr>
              <w:jc w:val="center"/>
              <w:rPr>
                <w:noProof/>
              </w:rPr>
            </w:pPr>
            <w:r>
              <w:rPr>
                <w:noProof/>
              </w:rPr>
              <w:t>6,0</w:t>
            </w:r>
          </w:p>
        </w:tc>
        <w:tc>
          <w:tcPr>
            <w:tcW w:w="1321" w:type="dxa"/>
          </w:tcPr>
          <w:p>
            <w:pPr>
              <w:jc w:val="center"/>
              <w:rPr>
                <w:noProof/>
              </w:rPr>
            </w:pPr>
            <w:r>
              <w:rPr>
                <w:noProof/>
              </w:rPr>
              <w:t>7,0</w:t>
            </w:r>
          </w:p>
        </w:tc>
        <w:tc>
          <w:tcPr>
            <w:tcW w:w="1321" w:type="dxa"/>
          </w:tcPr>
          <w:p>
            <w:pPr>
              <w:jc w:val="center"/>
              <w:rPr>
                <w:noProof/>
              </w:rPr>
            </w:pPr>
            <w:r>
              <w:rPr>
                <w:noProof/>
              </w:rPr>
              <w:t>8,0</w:t>
            </w:r>
          </w:p>
        </w:tc>
        <w:tc>
          <w:tcPr>
            <w:tcW w:w="1321" w:type="dxa"/>
          </w:tcPr>
          <w:p>
            <w:pPr>
              <w:jc w:val="center"/>
              <w:rPr>
                <w:noProof/>
              </w:rPr>
            </w:pPr>
            <w:r>
              <w:rPr>
                <w:noProof/>
              </w:rPr>
              <w:t>9,0</w:t>
            </w:r>
          </w:p>
        </w:tc>
        <w:tc>
          <w:tcPr>
            <w:tcW w:w="1511" w:type="dxa"/>
          </w:tcPr>
          <w:p>
            <w:pPr>
              <w:jc w:val="center"/>
              <w:rPr>
                <w:noProof/>
              </w:rPr>
            </w:pPr>
            <w:r>
              <w:rPr>
                <w:noProof/>
              </w:rPr>
              <w:t>10,0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2027</w:t>
            </w:r>
          </w:p>
        </w:tc>
        <w:tc>
          <w:tcPr>
            <w:tcW w:w="1321" w:type="dxa"/>
          </w:tcPr>
          <w:p>
            <w:pPr>
              <w:jc w:val="center"/>
              <w:rPr>
                <w:noProof/>
              </w:rPr>
            </w:pPr>
            <w:r>
              <w:rPr>
                <w:noProof/>
              </w:rPr>
              <w:t>2028</w:t>
            </w:r>
          </w:p>
        </w:tc>
        <w:tc>
          <w:tcPr>
            <w:tcW w:w="1321" w:type="dxa"/>
          </w:tcPr>
          <w:p>
            <w:pPr>
              <w:jc w:val="center"/>
              <w:rPr>
                <w:noProof/>
              </w:rPr>
            </w:pPr>
            <w:r>
              <w:rPr>
                <w:noProof/>
              </w:rPr>
              <w:t>2029</w:t>
            </w:r>
          </w:p>
        </w:tc>
        <w:tc>
          <w:tcPr>
            <w:tcW w:w="1321" w:type="dxa"/>
          </w:tcPr>
          <w:p>
            <w:pPr>
              <w:jc w:val="center"/>
              <w:rPr>
                <w:noProof/>
              </w:rPr>
            </w:pPr>
            <w:r>
              <w:rPr>
                <w:noProof/>
              </w:rPr>
              <w:t>2030</w:t>
            </w:r>
          </w:p>
        </w:tc>
        <w:tc>
          <w:tcPr>
            <w:tcW w:w="1511" w:type="dxa"/>
          </w:tcPr>
          <w:p>
            <w:pPr>
              <w:jc w:val="center"/>
              <w:rPr>
                <w:noProof/>
              </w:rPr>
            </w:pPr>
            <w:r>
              <w:rPr>
                <w:noProof/>
              </w:rPr>
              <w:t>2031</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IIV+11</w:t>
            </w:r>
          </w:p>
        </w:tc>
        <w:tc>
          <w:tcPr>
            <w:tcW w:w="1321" w:type="dxa"/>
          </w:tcPr>
          <w:p>
            <w:pPr>
              <w:jc w:val="center"/>
              <w:rPr>
                <w:noProof/>
              </w:rPr>
            </w:pPr>
            <w:r>
              <w:rPr>
                <w:noProof/>
              </w:rPr>
              <w:t>IIV+12</w:t>
            </w:r>
          </w:p>
        </w:tc>
        <w:tc>
          <w:tcPr>
            <w:tcW w:w="1321" w:type="dxa"/>
          </w:tcPr>
          <w:p>
            <w:pPr>
              <w:jc w:val="center"/>
              <w:rPr>
                <w:noProof/>
              </w:rPr>
            </w:pPr>
            <w:r>
              <w:rPr>
                <w:noProof/>
              </w:rPr>
              <w:t>IIV+13</w:t>
            </w:r>
          </w:p>
        </w:tc>
        <w:tc>
          <w:tcPr>
            <w:tcW w:w="1321" w:type="dxa"/>
          </w:tcPr>
          <w:p>
            <w:pPr>
              <w:jc w:val="center"/>
              <w:rPr>
                <w:noProof/>
              </w:rPr>
            </w:pPr>
            <w:r>
              <w:rPr>
                <w:noProof/>
              </w:rPr>
              <w:t>IIV+14</w:t>
            </w:r>
          </w:p>
        </w:tc>
        <w:tc>
          <w:tcPr>
            <w:tcW w:w="1511" w:type="dxa"/>
          </w:tcPr>
          <w:p>
            <w:pPr>
              <w:jc w:val="center"/>
              <w:rPr>
                <w:noProof/>
              </w:rPr>
            </w:pPr>
            <w:r>
              <w:rPr>
                <w:noProof/>
              </w:rPr>
              <w:t>IIV+15</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6 000,0</w:t>
            </w:r>
          </w:p>
        </w:tc>
        <w:tc>
          <w:tcPr>
            <w:tcW w:w="1321" w:type="dxa"/>
          </w:tcPr>
          <w:p>
            <w:pPr>
              <w:jc w:val="center"/>
              <w:rPr>
                <w:noProof/>
              </w:rPr>
            </w:pPr>
            <w:r>
              <w:rPr>
                <w:noProof/>
              </w:rPr>
              <w:t>6 000,0</w:t>
            </w:r>
          </w:p>
        </w:tc>
        <w:tc>
          <w:tcPr>
            <w:tcW w:w="1321" w:type="dxa"/>
          </w:tcPr>
          <w:p>
            <w:pPr>
              <w:jc w:val="center"/>
              <w:rPr>
                <w:noProof/>
              </w:rPr>
            </w:pPr>
            <w:r>
              <w:rPr>
                <w:noProof/>
              </w:rPr>
              <w:t>6 000,0</w:t>
            </w:r>
          </w:p>
        </w:tc>
        <w:tc>
          <w:tcPr>
            <w:tcW w:w="1321" w:type="dxa"/>
          </w:tcPr>
          <w:p>
            <w:pPr>
              <w:jc w:val="center"/>
              <w:rPr>
                <w:noProof/>
              </w:rPr>
            </w:pPr>
            <w:r>
              <w:rPr>
                <w:noProof/>
              </w:rPr>
              <w:t>6 000,0</w:t>
            </w:r>
          </w:p>
        </w:tc>
        <w:tc>
          <w:tcPr>
            <w:tcW w:w="1511" w:type="dxa"/>
          </w:tcPr>
          <w:p>
            <w:pPr>
              <w:jc w:val="center"/>
              <w:rPr>
                <w:noProof/>
              </w:rPr>
            </w:pPr>
            <w:r>
              <w:rPr>
                <w:noProof/>
              </w:rPr>
              <w:t>6 000,0</w:t>
            </w:r>
          </w:p>
        </w:tc>
      </w:tr>
      <w:tr>
        <w:tc>
          <w:tcPr>
            <w:tcW w:w="2835" w:type="dxa"/>
          </w:tcPr>
          <w:p>
            <w:pPr>
              <w:jc w:val="left"/>
              <w:rPr>
                <w:noProof/>
              </w:rPr>
            </w:pPr>
            <w:r>
              <w:rPr>
                <w:noProof/>
              </w:rPr>
              <w:t>Suprataxa maximă</w:t>
            </w:r>
          </w:p>
        </w:tc>
        <w:tc>
          <w:tcPr>
            <w:tcW w:w="1545" w:type="dxa"/>
          </w:tcPr>
          <w:p>
            <w:pPr>
              <w:jc w:val="center"/>
              <w:rPr>
                <w:noProof/>
              </w:rPr>
            </w:pPr>
            <w:r>
              <w:rPr>
                <w:noProof/>
              </w:rPr>
              <w:t>8,0</w:t>
            </w:r>
          </w:p>
        </w:tc>
        <w:tc>
          <w:tcPr>
            <w:tcW w:w="1321" w:type="dxa"/>
          </w:tcPr>
          <w:p>
            <w:pPr>
              <w:jc w:val="center"/>
              <w:rPr>
                <w:noProof/>
              </w:rPr>
            </w:pPr>
            <w:r>
              <w:rPr>
                <w:noProof/>
              </w:rPr>
              <w:t>6,0</w:t>
            </w:r>
          </w:p>
        </w:tc>
        <w:tc>
          <w:tcPr>
            <w:tcW w:w="1321" w:type="dxa"/>
          </w:tcPr>
          <w:p>
            <w:pPr>
              <w:jc w:val="center"/>
              <w:rPr>
                <w:noProof/>
              </w:rPr>
            </w:pPr>
            <w:r>
              <w:rPr>
                <w:noProof/>
              </w:rPr>
              <w:t>4,0</w:t>
            </w:r>
          </w:p>
        </w:tc>
        <w:tc>
          <w:tcPr>
            <w:tcW w:w="1321" w:type="dxa"/>
          </w:tcPr>
          <w:p>
            <w:pPr>
              <w:jc w:val="center"/>
              <w:rPr>
                <w:noProof/>
              </w:rPr>
            </w:pPr>
            <w:r>
              <w:rPr>
                <w:noProof/>
              </w:rPr>
              <w:t>2,0</w:t>
            </w:r>
          </w:p>
        </w:tc>
        <w:tc>
          <w:tcPr>
            <w:tcW w:w="1511" w:type="dxa"/>
          </w:tcPr>
          <w:p>
            <w:pPr>
              <w:jc w:val="center"/>
              <w:rPr>
                <w:noProof/>
              </w:rPr>
            </w:pPr>
            <w:r>
              <w:rPr>
                <w:noProof/>
              </w:rPr>
              <w:t>0,0</w:t>
            </w:r>
          </w:p>
        </w:tc>
      </w:tr>
    </w:tbl>
    <w:p>
      <w:pPr>
        <w:keepNext/>
        <w:keepLines/>
        <w:rPr>
          <w:noProof/>
        </w:rPr>
      </w:pPr>
      <w:r>
        <w:rPr>
          <w:noProof/>
        </w:rPr>
        <w:t>Acoperire: resturile de metale feroase aliate, resturile de metale neferoase și produsele semiprelucrate din acestea care intră sub incidența următoarelor coduri vamale ucrainene: 7404 00, 7405 00 00 00, 7406, 7418 19 90 00, 7419, 7503 00, 7602 00, 7802 00 00 00, 7902 00 00 00, 8108 30 00 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1214"/>
        <w:gridCol w:w="1129"/>
        <w:gridCol w:w="1129"/>
        <w:gridCol w:w="1129"/>
        <w:gridCol w:w="1137"/>
        <w:gridCol w:w="1251"/>
      </w:tblGrid>
      <w:tr>
        <w:tc>
          <w:tcPr>
            <w:tcW w:w="2299" w:type="dxa"/>
          </w:tcPr>
          <w:p>
            <w:pPr>
              <w:keepNext/>
              <w:keepLines/>
              <w:jc w:val="center"/>
              <w:rPr>
                <w:noProof/>
              </w:rPr>
            </w:pPr>
            <w:r>
              <w:rPr>
                <w:noProof/>
              </w:rPr>
              <w:t>An (OMC)</w:t>
            </w:r>
          </w:p>
        </w:tc>
        <w:tc>
          <w:tcPr>
            <w:tcW w:w="1214" w:type="dxa"/>
          </w:tcPr>
          <w:p>
            <w:pPr>
              <w:jc w:val="center"/>
              <w:rPr>
                <w:noProof/>
              </w:rPr>
            </w:pPr>
            <w:r>
              <w:rPr>
                <w:noProof/>
              </w:rPr>
              <w:t>2016</w:t>
            </w:r>
          </w:p>
        </w:tc>
        <w:tc>
          <w:tcPr>
            <w:tcW w:w="1129" w:type="dxa"/>
          </w:tcPr>
          <w:p>
            <w:pPr>
              <w:jc w:val="center"/>
              <w:rPr>
                <w:noProof/>
              </w:rPr>
            </w:pPr>
            <w:r>
              <w:rPr>
                <w:noProof/>
              </w:rPr>
              <w:t>2017</w:t>
            </w:r>
          </w:p>
        </w:tc>
        <w:tc>
          <w:tcPr>
            <w:tcW w:w="1129" w:type="dxa"/>
          </w:tcPr>
          <w:p>
            <w:pPr>
              <w:jc w:val="center"/>
              <w:rPr>
                <w:noProof/>
              </w:rPr>
            </w:pPr>
            <w:r>
              <w:rPr>
                <w:noProof/>
              </w:rPr>
              <w:t>2018</w:t>
            </w:r>
          </w:p>
        </w:tc>
        <w:tc>
          <w:tcPr>
            <w:tcW w:w="1129" w:type="dxa"/>
          </w:tcPr>
          <w:p>
            <w:pPr>
              <w:jc w:val="center"/>
              <w:rPr>
                <w:noProof/>
              </w:rPr>
            </w:pPr>
            <w:r>
              <w:rPr>
                <w:noProof/>
              </w:rPr>
              <w:t>2019</w:t>
            </w:r>
          </w:p>
        </w:tc>
        <w:tc>
          <w:tcPr>
            <w:tcW w:w="1137" w:type="dxa"/>
          </w:tcPr>
          <w:p>
            <w:pPr>
              <w:jc w:val="center"/>
              <w:rPr>
                <w:noProof/>
              </w:rPr>
            </w:pPr>
            <w:r>
              <w:rPr>
                <w:noProof/>
              </w:rPr>
              <w:t>2020</w:t>
            </w:r>
          </w:p>
        </w:tc>
        <w:tc>
          <w:tcPr>
            <w:tcW w:w="1251" w:type="dxa"/>
          </w:tcPr>
          <w:p>
            <w:pPr>
              <w:jc w:val="center"/>
              <w:rPr>
                <w:noProof/>
              </w:rPr>
            </w:pPr>
            <w:r>
              <w:rPr>
                <w:noProof/>
              </w:rPr>
              <w:t>2021</w:t>
            </w:r>
          </w:p>
        </w:tc>
      </w:tr>
      <w:tr>
        <w:tc>
          <w:tcPr>
            <w:tcW w:w="2299" w:type="dxa"/>
          </w:tcPr>
          <w:p>
            <w:pPr>
              <w:keepNext/>
              <w:keepLines/>
              <w:jc w:val="left"/>
              <w:rPr>
                <w:noProof/>
              </w:rPr>
            </w:pPr>
            <w:r>
              <w:rPr>
                <w:noProof/>
              </w:rPr>
              <w:t>Angajamentul Ucrainei față de OMC</w:t>
            </w:r>
          </w:p>
        </w:tc>
        <w:tc>
          <w:tcPr>
            <w:tcW w:w="1214" w:type="dxa"/>
          </w:tcPr>
          <w:p>
            <w:pPr>
              <w:keepNext/>
              <w:keepLines/>
              <w:jc w:val="center"/>
              <w:rPr>
                <w:noProof/>
              </w:rPr>
            </w:pPr>
            <w:r>
              <w:rPr>
                <w:noProof/>
              </w:rPr>
              <w:t>15,0</w:t>
            </w:r>
          </w:p>
        </w:tc>
        <w:tc>
          <w:tcPr>
            <w:tcW w:w="1129" w:type="dxa"/>
          </w:tcPr>
          <w:p>
            <w:pPr>
              <w:keepNext/>
              <w:keepLines/>
              <w:jc w:val="center"/>
              <w:rPr>
                <w:noProof/>
              </w:rPr>
            </w:pPr>
            <w:r>
              <w:rPr>
                <w:noProof/>
              </w:rPr>
              <w:t>15,0</w:t>
            </w:r>
          </w:p>
        </w:tc>
        <w:tc>
          <w:tcPr>
            <w:tcW w:w="1129" w:type="dxa"/>
          </w:tcPr>
          <w:p>
            <w:pPr>
              <w:keepNext/>
              <w:keepLines/>
              <w:jc w:val="center"/>
              <w:rPr>
                <w:noProof/>
              </w:rPr>
            </w:pPr>
            <w:r>
              <w:rPr>
                <w:noProof/>
              </w:rPr>
              <w:t>15,0</w:t>
            </w:r>
          </w:p>
        </w:tc>
        <w:tc>
          <w:tcPr>
            <w:tcW w:w="1129" w:type="dxa"/>
          </w:tcPr>
          <w:p>
            <w:pPr>
              <w:keepNext/>
              <w:keepLines/>
              <w:jc w:val="center"/>
              <w:rPr>
                <w:noProof/>
              </w:rPr>
            </w:pPr>
            <w:r>
              <w:rPr>
                <w:noProof/>
              </w:rPr>
              <w:t>15,0</w:t>
            </w:r>
          </w:p>
        </w:tc>
        <w:tc>
          <w:tcPr>
            <w:tcW w:w="1137" w:type="dxa"/>
          </w:tcPr>
          <w:p>
            <w:pPr>
              <w:keepNext/>
              <w:keepLines/>
              <w:jc w:val="center"/>
              <w:rPr>
                <w:noProof/>
              </w:rPr>
            </w:pPr>
            <w:r>
              <w:rPr>
                <w:noProof/>
              </w:rPr>
              <w:t>15,0</w:t>
            </w:r>
          </w:p>
        </w:tc>
        <w:tc>
          <w:tcPr>
            <w:tcW w:w="1251" w:type="dxa"/>
          </w:tcPr>
          <w:p>
            <w:pPr>
              <w:keepNext/>
              <w:keepLines/>
              <w:jc w:val="center"/>
              <w:rPr>
                <w:noProof/>
              </w:rPr>
            </w:pPr>
            <w:r>
              <w:rPr>
                <w:noProof/>
              </w:rPr>
              <w:t>15,0</w:t>
            </w:r>
          </w:p>
        </w:tc>
      </w:tr>
      <w:tr>
        <w:tc>
          <w:tcPr>
            <w:tcW w:w="2299" w:type="dxa"/>
          </w:tcPr>
          <w:p>
            <w:pPr>
              <w:keepNext/>
              <w:keepLines/>
              <w:jc w:val="center"/>
              <w:rPr>
                <w:noProof/>
              </w:rPr>
            </w:pPr>
            <w:r>
              <w:rPr>
                <w:noProof/>
              </w:rPr>
              <w:t>An (Acord)</w:t>
            </w:r>
          </w:p>
        </w:tc>
        <w:tc>
          <w:tcPr>
            <w:tcW w:w="1214" w:type="dxa"/>
          </w:tcPr>
          <w:p>
            <w:pPr>
              <w:keepNext/>
              <w:keepLines/>
              <w:jc w:val="center"/>
              <w:rPr>
                <w:noProof/>
              </w:rPr>
            </w:pPr>
            <w:r>
              <w:rPr>
                <w:noProof/>
              </w:rPr>
              <w:t>IIV</w:t>
            </w:r>
          </w:p>
        </w:tc>
        <w:tc>
          <w:tcPr>
            <w:tcW w:w="1129" w:type="dxa"/>
          </w:tcPr>
          <w:p>
            <w:pPr>
              <w:keepNext/>
              <w:keepLines/>
              <w:jc w:val="center"/>
              <w:rPr>
                <w:noProof/>
              </w:rPr>
            </w:pPr>
            <w:r>
              <w:rPr>
                <w:noProof/>
              </w:rPr>
              <w:t>IIV+1</w:t>
            </w:r>
          </w:p>
        </w:tc>
        <w:tc>
          <w:tcPr>
            <w:tcW w:w="1129" w:type="dxa"/>
          </w:tcPr>
          <w:p>
            <w:pPr>
              <w:keepNext/>
              <w:keepLines/>
              <w:jc w:val="center"/>
              <w:rPr>
                <w:noProof/>
              </w:rPr>
            </w:pPr>
            <w:r>
              <w:rPr>
                <w:noProof/>
              </w:rPr>
              <w:t>IIV+2</w:t>
            </w:r>
          </w:p>
        </w:tc>
        <w:tc>
          <w:tcPr>
            <w:tcW w:w="1129" w:type="dxa"/>
          </w:tcPr>
          <w:p>
            <w:pPr>
              <w:keepNext/>
              <w:keepLines/>
              <w:jc w:val="center"/>
              <w:rPr>
                <w:noProof/>
              </w:rPr>
            </w:pPr>
            <w:r>
              <w:rPr>
                <w:noProof/>
              </w:rPr>
              <w:t>IIV+3</w:t>
            </w:r>
          </w:p>
        </w:tc>
        <w:tc>
          <w:tcPr>
            <w:tcW w:w="1137" w:type="dxa"/>
          </w:tcPr>
          <w:p>
            <w:pPr>
              <w:keepNext/>
              <w:keepLines/>
              <w:jc w:val="center"/>
              <w:rPr>
                <w:noProof/>
              </w:rPr>
            </w:pPr>
            <w:r>
              <w:rPr>
                <w:noProof/>
              </w:rPr>
              <w:t>IIV+4</w:t>
            </w:r>
          </w:p>
        </w:tc>
        <w:tc>
          <w:tcPr>
            <w:tcW w:w="1251" w:type="dxa"/>
          </w:tcPr>
          <w:p>
            <w:pPr>
              <w:keepNext/>
              <w:keepLines/>
              <w:jc w:val="center"/>
              <w:rPr>
                <w:noProof/>
              </w:rPr>
            </w:pPr>
            <w:r>
              <w:rPr>
                <w:noProof/>
              </w:rPr>
              <w:t>IIV+5</w:t>
            </w:r>
          </w:p>
        </w:tc>
      </w:tr>
      <w:tr>
        <w:tc>
          <w:tcPr>
            <w:tcW w:w="2299" w:type="dxa"/>
          </w:tcPr>
          <w:p>
            <w:pPr>
              <w:keepNext/>
              <w:keepLines/>
              <w:jc w:val="left"/>
              <w:rPr>
                <w:noProof/>
              </w:rPr>
            </w:pPr>
            <w:r>
              <w:rPr>
                <w:noProof/>
              </w:rPr>
              <w:t>Taxa la export a Ucrainei către UE</w:t>
            </w:r>
          </w:p>
        </w:tc>
        <w:tc>
          <w:tcPr>
            <w:tcW w:w="1214" w:type="dxa"/>
          </w:tcPr>
          <w:p>
            <w:pPr>
              <w:keepNext/>
              <w:keepLines/>
              <w:jc w:val="center"/>
              <w:rPr>
                <w:noProof/>
                <w:color w:val="000000"/>
              </w:rPr>
            </w:pPr>
            <w:r>
              <w:rPr>
                <w:noProof/>
              </w:rPr>
              <w:t>10,0</w:t>
            </w:r>
          </w:p>
        </w:tc>
        <w:tc>
          <w:tcPr>
            <w:tcW w:w="1129" w:type="dxa"/>
          </w:tcPr>
          <w:p>
            <w:pPr>
              <w:keepNext/>
              <w:keepLines/>
              <w:jc w:val="center"/>
              <w:rPr>
                <w:noProof/>
                <w:color w:val="000000"/>
              </w:rPr>
            </w:pPr>
            <w:r>
              <w:rPr>
                <w:noProof/>
              </w:rPr>
              <w:t>9,0</w:t>
            </w:r>
          </w:p>
        </w:tc>
        <w:tc>
          <w:tcPr>
            <w:tcW w:w="1129" w:type="dxa"/>
          </w:tcPr>
          <w:p>
            <w:pPr>
              <w:keepNext/>
              <w:keepLines/>
              <w:jc w:val="center"/>
              <w:rPr>
                <w:noProof/>
                <w:color w:val="000000"/>
              </w:rPr>
            </w:pPr>
            <w:r>
              <w:rPr>
                <w:noProof/>
              </w:rPr>
              <w:t>8,0</w:t>
            </w:r>
          </w:p>
        </w:tc>
        <w:tc>
          <w:tcPr>
            <w:tcW w:w="1129" w:type="dxa"/>
          </w:tcPr>
          <w:p>
            <w:pPr>
              <w:keepNext/>
              <w:keepLines/>
              <w:jc w:val="center"/>
              <w:rPr>
                <w:noProof/>
                <w:color w:val="000000"/>
              </w:rPr>
            </w:pPr>
            <w:r>
              <w:rPr>
                <w:noProof/>
              </w:rPr>
              <w:t>7,0</w:t>
            </w:r>
          </w:p>
        </w:tc>
        <w:tc>
          <w:tcPr>
            <w:tcW w:w="1137" w:type="dxa"/>
          </w:tcPr>
          <w:p>
            <w:pPr>
              <w:keepNext/>
              <w:keepLines/>
              <w:jc w:val="center"/>
              <w:rPr>
                <w:noProof/>
                <w:color w:val="000000"/>
              </w:rPr>
            </w:pPr>
            <w:r>
              <w:rPr>
                <w:noProof/>
              </w:rPr>
              <w:t>6,0</w:t>
            </w:r>
          </w:p>
        </w:tc>
        <w:tc>
          <w:tcPr>
            <w:tcW w:w="1251" w:type="dxa"/>
          </w:tcPr>
          <w:p>
            <w:pPr>
              <w:keepNext/>
              <w:keepLines/>
              <w:jc w:val="center"/>
              <w:rPr>
                <w:noProof/>
                <w:color w:val="000000"/>
              </w:rPr>
            </w:pPr>
            <w:r>
              <w:rPr>
                <w:noProof/>
              </w:rPr>
              <w:t>5,0</w:t>
            </w:r>
          </w:p>
        </w:tc>
      </w:tr>
      <w:tr>
        <w:tc>
          <w:tcPr>
            <w:tcW w:w="2299" w:type="dxa"/>
          </w:tcPr>
          <w:p>
            <w:pPr>
              <w:keepNext/>
              <w:keepLines/>
              <w:jc w:val="left"/>
              <w:rPr>
                <w:noProof/>
              </w:rPr>
            </w:pPr>
            <w:r>
              <w:rPr>
                <w:noProof/>
              </w:rPr>
              <w:t>Nivelul de declanșare (în tone)</w:t>
            </w:r>
          </w:p>
        </w:tc>
        <w:tc>
          <w:tcPr>
            <w:tcW w:w="1214" w:type="dxa"/>
          </w:tcPr>
          <w:p>
            <w:pPr>
              <w:keepNext/>
              <w:keepLines/>
              <w:jc w:val="center"/>
              <w:rPr>
                <w:noProof/>
              </w:rPr>
            </w:pPr>
            <w:r>
              <w:rPr>
                <w:noProof/>
              </w:rPr>
              <w:t>200,0</w:t>
            </w:r>
          </w:p>
        </w:tc>
        <w:tc>
          <w:tcPr>
            <w:tcW w:w="1129" w:type="dxa"/>
          </w:tcPr>
          <w:p>
            <w:pPr>
              <w:keepNext/>
              <w:keepLines/>
              <w:jc w:val="center"/>
              <w:rPr>
                <w:noProof/>
              </w:rPr>
            </w:pPr>
            <w:r>
              <w:rPr>
                <w:noProof/>
              </w:rPr>
              <w:t>210,0</w:t>
            </w:r>
          </w:p>
        </w:tc>
        <w:tc>
          <w:tcPr>
            <w:tcW w:w="1129" w:type="dxa"/>
          </w:tcPr>
          <w:p>
            <w:pPr>
              <w:keepNext/>
              <w:keepLines/>
              <w:jc w:val="center"/>
              <w:rPr>
                <w:noProof/>
              </w:rPr>
            </w:pPr>
            <w:r>
              <w:rPr>
                <w:noProof/>
              </w:rPr>
              <w:t>220,0</w:t>
            </w:r>
          </w:p>
        </w:tc>
        <w:tc>
          <w:tcPr>
            <w:tcW w:w="1129" w:type="dxa"/>
          </w:tcPr>
          <w:p>
            <w:pPr>
              <w:keepNext/>
              <w:keepLines/>
              <w:jc w:val="center"/>
              <w:rPr>
                <w:noProof/>
              </w:rPr>
            </w:pPr>
            <w:r>
              <w:rPr>
                <w:noProof/>
              </w:rPr>
              <w:t>230,0</w:t>
            </w:r>
          </w:p>
        </w:tc>
        <w:tc>
          <w:tcPr>
            <w:tcW w:w="1137" w:type="dxa"/>
          </w:tcPr>
          <w:p>
            <w:pPr>
              <w:keepNext/>
              <w:keepLines/>
              <w:jc w:val="center"/>
              <w:rPr>
                <w:noProof/>
              </w:rPr>
            </w:pPr>
            <w:r>
              <w:rPr>
                <w:noProof/>
              </w:rPr>
              <w:t>240,0</w:t>
            </w:r>
          </w:p>
        </w:tc>
        <w:tc>
          <w:tcPr>
            <w:tcW w:w="1251" w:type="dxa"/>
          </w:tcPr>
          <w:p>
            <w:pPr>
              <w:keepNext/>
              <w:keepLines/>
              <w:jc w:val="center"/>
              <w:rPr>
                <w:noProof/>
              </w:rPr>
            </w:pPr>
            <w:r>
              <w:rPr>
                <w:noProof/>
              </w:rPr>
              <w:t>250,0</w:t>
            </w:r>
          </w:p>
        </w:tc>
      </w:tr>
      <w:tr>
        <w:tc>
          <w:tcPr>
            <w:tcW w:w="2299" w:type="dxa"/>
          </w:tcPr>
          <w:p>
            <w:pPr>
              <w:jc w:val="left"/>
              <w:rPr>
                <w:noProof/>
              </w:rPr>
            </w:pPr>
            <w:r>
              <w:rPr>
                <w:noProof/>
              </w:rPr>
              <w:t>Suprataxa maximă</w:t>
            </w:r>
          </w:p>
        </w:tc>
        <w:tc>
          <w:tcPr>
            <w:tcW w:w="1214" w:type="dxa"/>
          </w:tcPr>
          <w:p>
            <w:pPr>
              <w:jc w:val="center"/>
              <w:rPr>
                <w:noProof/>
              </w:rPr>
            </w:pPr>
            <w:r>
              <w:rPr>
                <w:noProof/>
              </w:rPr>
              <w:t>0,0</w:t>
            </w:r>
          </w:p>
        </w:tc>
        <w:tc>
          <w:tcPr>
            <w:tcW w:w="1129" w:type="dxa"/>
          </w:tcPr>
          <w:p>
            <w:pPr>
              <w:jc w:val="center"/>
              <w:rPr>
                <w:noProof/>
              </w:rPr>
            </w:pPr>
            <w:r>
              <w:rPr>
                <w:noProof/>
              </w:rPr>
              <w:t>1,0</w:t>
            </w:r>
          </w:p>
        </w:tc>
        <w:tc>
          <w:tcPr>
            <w:tcW w:w="1129" w:type="dxa"/>
          </w:tcPr>
          <w:p>
            <w:pPr>
              <w:jc w:val="center"/>
              <w:rPr>
                <w:noProof/>
              </w:rPr>
            </w:pPr>
            <w:r>
              <w:rPr>
                <w:noProof/>
              </w:rPr>
              <w:t>2,0</w:t>
            </w:r>
          </w:p>
        </w:tc>
        <w:tc>
          <w:tcPr>
            <w:tcW w:w="1129" w:type="dxa"/>
          </w:tcPr>
          <w:p>
            <w:pPr>
              <w:jc w:val="center"/>
              <w:rPr>
                <w:noProof/>
              </w:rPr>
            </w:pPr>
            <w:r>
              <w:rPr>
                <w:noProof/>
              </w:rPr>
              <w:t>3,0</w:t>
            </w:r>
          </w:p>
        </w:tc>
        <w:tc>
          <w:tcPr>
            <w:tcW w:w="1137" w:type="dxa"/>
          </w:tcPr>
          <w:p>
            <w:pPr>
              <w:jc w:val="center"/>
              <w:rPr>
                <w:noProof/>
              </w:rPr>
            </w:pPr>
            <w:r>
              <w:rPr>
                <w:noProof/>
              </w:rPr>
              <w:t>4,0</w:t>
            </w:r>
          </w:p>
        </w:tc>
        <w:tc>
          <w:tcPr>
            <w:tcW w:w="1251" w:type="dxa"/>
          </w:tcPr>
          <w:p>
            <w:pPr>
              <w:jc w:val="center"/>
              <w:rPr>
                <w:noProof/>
              </w:rPr>
            </w:pPr>
            <w:r>
              <w:rPr>
                <w:noProof/>
              </w:rPr>
              <w:t>5,0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2022</w:t>
            </w:r>
          </w:p>
        </w:tc>
        <w:tc>
          <w:tcPr>
            <w:tcW w:w="1321" w:type="dxa"/>
          </w:tcPr>
          <w:p>
            <w:pPr>
              <w:jc w:val="center"/>
              <w:rPr>
                <w:noProof/>
              </w:rPr>
            </w:pPr>
            <w:r>
              <w:rPr>
                <w:noProof/>
              </w:rPr>
              <w:t>2023</w:t>
            </w:r>
          </w:p>
        </w:tc>
        <w:tc>
          <w:tcPr>
            <w:tcW w:w="1321" w:type="dxa"/>
          </w:tcPr>
          <w:p>
            <w:pPr>
              <w:jc w:val="center"/>
              <w:rPr>
                <w:noProof/>
              </w:rPr>
            </w:pPr>
            <w:r>
              <w:rPr>
                <w:noProof/>
              </w:rPr>
              <w:t>2024</w:t>
            </w:r>
          </w:p>
        </w:tc>
        <w:tc>
          <w:tcPr>
            <w:tcW w:w="1321" w:type="dxa"/>
          </w:tcPr>
          <w:p>
            <w:pPr>
              <w:jc w:val="center"/>
              <w:rPr>
                <w:noProof/>
              </w:rPr>
            </w:pPr>
            <w:r>
              <w:rPr>
                <w:noProof/>
              </w:rPr>
              <w:t>2025</w:t>
            </w:r>
          </w:p>
        </w:tc>
        <w:tc>
          <w:tcPr>
            <w:tcW w:w="1511" w:type="dxa"/>
          </w:tcPr>
          <w:p>
            <w:pPr>
              <w:jc w:val="center"/>
              <w:rPr>
                <w:noProof/>
              </w:rPr>
            </w:pPr>
            <w:r>
              <w:rPr>
                <w:noProof/>
              </w:rPr>
              <w:t>2026</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IIV+6</w:t>
            </w:r>
          </w:p>
        </w:tc>
        <w:tc>
          <w:tcPr>
            <w:tcW w:w="1321" w:type="dxa"/>
          </w:tcPr>
          <w:p>
            <w:pPr>
              <w:jc w:val="center"/>
              <w:rPr>
                <w:noProof/>
              </w:rPr>
            </w:pPr>
            <w:r>
              <w:rPr>
                <w:noProof/>
              </w:rPr>
              <w:t>IIV+7</w:t>
            </w:r>
          </w:p>
        </w:tc>
        <w:tc>
          <w:tcPr>
            <w:tcW w:w="1321" w:type="dxa"/>
          </w:tcPr>
          <w:p>
            <w:pPr>
              <w:jc w:val="center"/>
              <w:rPr>
                <w:noProof/>
              </w:rPr>
            </w:pPr>
            <w:r>
              <w:rPr>
                <w:noProof/>
              </w:rPr>
              <w:t>IIV+8</w:t>
            </w:r>
          </w:p>
        </w:tc>
        <w:tc>
          <w:tcPr>
            <w:tcW w:w="1321" w:type="dxa"/>
          </w:tcPr>
          <w:p>
            <w:pPr>
              <w:jc w:val="center"/>
              <w:rPr>
                <w:noProof/>
              </w:rPr>
            </w:pPr>
            <w:r>
              <w:rPr>
                <w:noProof/>
              </w:rPr>
              <w:t>IIV+9</w:t>
            </w:r>
          </w:p>
        </w:tc>
        <w:tc>
          <w:tcPr>
            <w:tcW w:w="1511" w:type="dxa"/>
          </w:tcPr>
          <w:p>
            <w:pPr>
              <w:jc w:val="center"/>
              <w:rPr>
                <w:noProof/>
              </w:rPr>
            </w:pPr>
            <w:r>
              <w:rPr>
                <w:noProof/>
              </w:rPr>
              <w:t>IIV+10</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4,0</w:t>
            </w:r>
          </w:p>
        </w:tc>
        <w:tc>
          <w:tcPr>
            <w:tcW w:w="1321" w:type="dxa"/>
          </w:tcPr>
          <w:p>
            <w:pPr>
              <w:jc w:val="center"/>
              <w:rPr>
                <w:noProof/>
              </w:rPr>
            </w:pPr>
            <w:r>
              <w:rPr>
                <w:noProof/>
              </w:rPr>
              <w:t>3,0</w:t>
            </w:r>
          </w:p>
        </w:tc>
        <w:tc>
          <w:tcPr>
            <w:tcW w:w="1321" w:type="dxa"/>
          </w:tcPr>
          <w:p>
            <w:pPr>
              <w:jc w:val="center"/>
              <w:rPr>
                <w:noProof/>
              </w:rPr>
            </w:pPr>
            <w:r>
              <w:rPr>
                <w:noProof/>
              </w:rPr>
              <w:t>2,0</w:t>
            </w:r>
          </w:p>
        </w:tc>
        <w:tc>
          <w:tcPr>
            <w:tcW w:w="1321" w:type="dxa"/>
          </w:tcPr>
          <w:p>
            <w:pPr>
              <w:jc w:val="center"/>
              <w:rPr>
                <w:noProof/>
              </w:rPr>
            </w:pPr>
            <w:r>
              <w:rPr>
                <w:noProof/>
              </w:rPr>
              <w:t>1,0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260,0</w:t>
            </w:r>
          </w:p>
        </w:tc>
        <w:tc>
          <w:tcPr>
            <w:tcW w:w="1321" w:type="dxa"/>
          </w:tcPr>
          <w:p>
            <w:pPr>
              <w:jc w:val="center"/>
              <w:rPr>
                <w:noProof/>
              </w:rPr>
            </w:pPr>
            <w:r>
              <w:rPr>
                <w:noProof/>
              </w:rPr>
              <w:t>270,0</w:t>
            </w:r>
          </w:p>
        </w:tc>
        <w:tc>
          <w:tcPr>
            <w:tcW w:w="1321" w:type="dxa"/>
          </w:tcPr>
          <w:p>
            <w:pPr>
              <w:jc w:val="center"/>
              <w:rPr>
                <w:noProof/>
              </w:rPr>
            </w:pPr>
            <w:r>
              <w:rPr>
                <w:noProof/>
              </w:rPr>
              <w:t>280,0</w:t>
            </w:r>
          </w:p>
        </w:tc>
        <w:tc>
          <w:tcPr>
            <w:tcW w:w="1321" w:type="dxa"/>
          </w:tcPr>
          <w:p>
            <w:pPr>
              <w:jc w:val="center"/>
              <w:rPr>
                <w:noProof/>
              </w:rPr>
            </w:pPr>
            <w:r>
              <w:rPr>
                <w:noProof/>
              </w:rPr>
              <w:t>290,0</w:t>
            </w:r>
          </w:p>
        </w:tc>
        <w:tc>
          <w:tcPr>
            <w:tcW w:w="1511" w:type="dxa"/>
          </w:tcPr>
          <w:p>
            <w:pPr>
              <w:jc w:val="center"/>
              <w:rPr>
                <w:noProof/>
              </w:rPr>
            </w:pPr>
            <w:r>
              <w:rPr>
                <w:noProof/>
              </w:rPr>
              <w:t>300,0</w:t>
            </w:r>
          </w:p>
        </w:tc>
      </w:tr>
      <w:tr>
        <w:tc>
          <w:tcPr>
            <w:tcW w:w="2835" w:type="dxa"/>
          </w:tcPr>
          <w:p>
            <w:pPr>
              <w:jc w:val="left"/>
              <w:rPr>
                <w:noProof/>
              </w:rPr>
            </w:pPr>
            <w:r>
              <w:rPr>
                <w:noProof/>
              </w:rPr>
              <w:t>Suprataxa maximă</w:t>
            </w:r>
          </w:p>
        </w:tc>
        <w:tc>
          <w:tcPr>
            <w:tcW w:w="1545" w:type="dxa"/>
          </w:tcPr>
          <w:p>
            <w:pPr>
              <w:jc w:val="center"/>
              <w:rPr>
                <w:noProof/>
              </w:rPr>
            </w:pPr>
            <w:r>
              <w:rPr>
                <w:noProof/>
              </w:rPr>
              <w:t>6,0</w:t>
            </w:r>
          </w:p>
        </w:tc>
        <w:tc>
          <w:tcPr>
            <w:tcW w:w="1321" w:type="dxa"/>
          </w:tcPr>
          <w:p>
            <w:pPr>
              <w:jc w:val="center"/>
              <w:rPr>
                <w:noProof/>
              </w:rPr>
            </w:pPr>
            <w:r>
              <w:rPr>
                <w:noProof/>
              </w:rPr>
              <w:t>7,0</w:t>
            </w:r>
          </w:p>
        </w:tc>
        <w:tc>
          <w:tcPr>
            <w:tcW w:w="1321" w:type="dxa"/>
          </w:tcPr>
          <w:p>
            <w:pPr>
              <w:jc w:val="center"/>
              <w:rPr>
                <w:noProof/>
              </w:rPr>
            </w:pPr>
            <w:r>
              <w:rPr>
                <w:noProof/>
              </w:rPr>
              <w:t>8,0</w:t>
            </w:r>
          </w:p>
        </w:tc>
        <w:tc>
          <w:tcPr>
            <w:tcW w:w="1321" w:type="dxa"/>
          </w:tcPr>
          <w:p>
            <w:pPr>
              <w:jc w:val="center"/>
              <w:rPr>
                <w:noProof/>
              </w:rPr>
            </w:pPr>
            <w:r>
              <w:rPr>
                <w:noProof/>
              </w:rPr>
              <w:t>9,0</w:t>
            </w:r>
          </w:p>
        </w:tc>
        <w:tc>
          <w:tcPr>
            <w:tcW w:w="1511" w:type="dxa"/>
          </w:tcPr>
          <w:p>
            <w:pPr>
              <w:jc w:val="center"/>
              <w:rPr>
                <w:noProof/>
              </w:rPr>
            </w:pPr>
            <w:r>
              <w:rPr>
                <w:noProof/>
              </w:rPr>
              <w:t>10,0</w:t>
            </w:r>
          </w:p>
        </w:tc>
      </w:tr>
    </w:tbl>
    <w:p>
      <w:pPr>
        <w:rPr>
          <w:noProo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545"/>
        <w:gridCol w:w="1321"/>
        <w:gridCol w:w="1321"/>
        <w:gridCol w:w="1321"/>
        <w:gridCol w:w="1511"/>
      </w:tblGrid>
      <w:tr>
        <w:tc>
          <w:tcPr>
            <w:tcW w:w="2835" w:type="dxa"/>
          </w:tcPr>
          <w:p>
            <w:pPr>
              <w:jc w:val="center"/>
              <w:rPr>
                <w:noProof/>
              </w:rPr>
            </w:pPr>
            <w:r>
              <w:rPr>
                <w:noProof/>
              </w:rPr>
              <w:t>An (OMC)</w:t>
            </w:r>
          </w:p>
        </w:tc>
        <w:tc>
          <w:tcPr>
            <w:tcW w:w="1545" w:type="dxa"/>
          </w:tcPr>
          <w:p>
            <w:pPr>
              <w:jc w:val="center"/>
              <w:rPr>
                <w:noProof/>
              </w:rPr>
            </w:pPr>
            <w:r>
              <w:rPr>
                <w:noProof/>
              </w:rPr>
              <w:t>2027</w:t>
            </w:r>
          </w:p>
        </w:tc>
        <w:tc>
          <w:tcPr>
            <w:tcW w:w="1321" w:type="dxa"/>
          </w:tcPr>
          <w:p>
            <w:pPr>
              <w:jc w:val="center"/>
              <w:rPr>
                <w:noProof/>
              </w:rPr>
            </w:pPr>
            <w:r>
              <w:rPr>
                <w:noProof/>
              </w:rPr>
              <w:t>2028</w:t>
            </w:r>
          </w:p>
        </w:tc>
        <w:tc>
          <w:tcPr>
            <w:tcW w:w="1321" w:type="dxa"/>
          </w:tcPr>
          <w:p>
            <w:pPr>
              <w:jc w:val="center"/>
              <w:rPr>
                <w:noProof/>
              </w:rPr>
            </w:pPr>
            <w:r>
              <w:rPr>
                <w:noProof/>
              </w:rPr>
              <w:t>2029</w:t>
            </w:r>
          </w:p>
        </w:tc>
        <w:tc>
          <w:tcPr>
            <w:tcW w:w="1321" w:type="dxa"/>
          </w:tcPr>
          <w:p>
            <w:pPr>
              <w:jc w:val="center"/>
              <w:rPr>
                <w:noProof/>
              </w:rPr>
            </w:pPr>
            <w:r>
              <w:rPr>
                <w:noProof/>
              </w:rPr>
              <w:t>2030</w:t>
            </w:r>
          </w:p>
        </w:tc>
        <w:tc>
          <w:tcPr>
            <w:tcW w:w="1511" w:type="dxa"/>
          </w:tcPr>
          <w:p>
            <w:pPr>
              <w:jc w:val="center"/>
              <w:rPr>
                <w:noProof/>
              </w:rPr>
            </w:pPr>
            <w:r>
              <w:rPr>
                <w:noProof/>
              </w:rPr>
              <w:t>2031</w:t>
            </w:r>
          </w:p>
        </w:tc>
      </w:tr>
      <w:tr>
        <w:tc>
          <w:tcPr>
            <w:tcW w:w="2835" w:type="dxa"/>
          </w:tcPr>
          <w:p>
            <w:pPr>
              <w:jc w:val="left"/>
              <w:rPr>
                <w:noProof/>
              </w:rPr>
            </w:pPr>
            <w:r>
              <w:rPr>
                <w:noProof/>
              </w:rPr>
              <w:t>Angajamentul Ucrainei față de OMC</w:t>
            </w:r>
          </w:p>
        </w:tc>
        <w:tc>
          <w:tcPr>
            <w:tcW w:w="1545"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321" w:type="dxa"/>
          </w:tcPr>
          <w:p>
            <w:pPr>
              <w:jc w:val="center"/>
              <w:rPr>
                <w:noProof/>
              </w:rPr>
            </w:pPr>
            <w:r>
              <w:rPr>
                <w:noProof/>
              </w:rPr>
              <w:t>15,0</w:t>
            </w:r>
          </w:p>
        </w:tc>
        <w:tc>
          <w:tcPr>
            <w:tcW w:w="1511" w:type="dxa"/>
          </w:tcPr>
          <w:p>
            <w:pPr>
              <w:jc w:val="center"/>
              <w:rPr>
                <w:noProof/>
              </w:rPr>
            </w:pPr>
            <w:r>
              <w:rPr>
                <w:noProof/>
              </w:rPr>
              <w:t>15,0</w:t>
            </w:r>
          </w:p>
        </w:tc>
      </w:tr>
      <w:tr>
        <w:tc>
          <w:tcPr>
            <w:tcW w:w="2835" w:type="dxa"/>
          </w:tcPr>
          <w:p>
            <w:pPr>
              <w:jc w:val="center"/>
              <w:rPr>
                <w:noProof/>
              </w:rPr>
            </w:pPr>
            <w:r>
              <w:rPr>
                <w:noProof/>
              </w:rPr>
              <w:t>An (Acord)</w:t>
            </w:r>
          </w:p>
        </w:tc>
        <w:tc>
          <w:tcPr>
            <w:tcW w:w="1545" w:type="dxa"/>
          </w:tcPr>
          <w:p>
            <w:pPr>
              <w:jc w:val="center"/>
              <w:rPr>
                <w:noProof/>
              </w:rPr>
            </w:pPr>
            <w:r>
              <w:rPr>
                <w:noProof/>
              </w:rPr>
              <w:t>IIV+11</w:t>
            </w:r>
          </w:p>
        </w:tc>
        <w:tc>
          <w:tcPr>
            <w:tcW w:w="1321" w:type="dxa"/>
          </w:tcPr>
          <w:p>
            <w:pPr>
              <w:jc w:val="center"/>
              <w:rPr>
                <w:noProof/>
              </w:rPr>
            </w:pPr>
            <w:r>
              <w:rPr>
                <w:noProof/>
              </w:rPr>
              <w:t>IIV+12</w:t>
            </w:r>
          </w:p>
        </w:tc>
        <w:tc>
          <w:tcPr>
            <w:tcW w:w="1321" w:type="dxa"/>
          </w:tcPr>
          <w:p>
            <w:pPr>
              <w:jc w:val="center"/>
              <w:rPr>
                <w:noProof/>
              </w:rPr>
            </w:pPr>
            <w:r>
              <w:rPr>
                <w:noProof/>
              </w:rPr>
              <w:t>IIV+13</w:t>
            </w:r>
          </w:p>
        </w:tc>
        <w:tc>
          <w:tcPr>
            <w:tcW w:w="1321" w:type="dxa"/>
          </w:tcPr>
          <w:p>
            <w:pPr>
              <w:jc w:val="center"/>
              <w:rPr>
                <w:noProof/>
              </w:rPr>
            </w:pPr>
            <w:r>
              <w:rPr>
                <w:noProof/>
              </w:rPr>
              <w:t>IIV+14</w:t>
            </w:r>
          </w:p>
        </w:tc>
        <w:tc>
          <w:tcPr>
            <w:tcW w:w="1511" w:type="dxa"/>
          </w:tcPr>
          <w:p>
            <w:pPr>
              <w:jc w:val="center"/>
              <w:rPr>
                <w:noProof/>
              </w:rPr>
            </w:pPr>
            <w:r>
              <w:rPr>
                <w:noProof/>
              </w:rPr>
              <w:t>IIV+15</w:t>
            </w:r>
          </w:p>
        </w:tc>
      </w:tr>
      <w:tr>
        <w:tc>
          <w:tcPr>
            <w:tcW w:w="2835" w:type="dxa"/>
          </w:tcPr>
          <w:p>
            <w:pPr>
              <w:jc w:val="left"/>
              <w:rPr>
                <w:noProof/>
              </w:rPr>
            </w:pPr>
            <w:r>
              <w:rPr>
                <w:noProof/>
              </w:rPr>
              <w:t>Taxa la export a Ucrainei către UE</w:t>
            </w:r>
          </w:p>
        </w:tc>
        <w:tc>
          <w:tcPr>
            <w:tcW w:w="1545"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321" w:type="dxa"/>
          </w:tcPr>
          <w:p>
            <w:pPr>
              <w:jc w:val="center"/>
              <w:rPr>
                <w:noProof/>
              </w:rPr>
            </w:pPr>
            <w:r>
              <w:rPr>
                <w:noProof/>
              </w:rPr>
              <w:t>0,0</w:t>
            </w:r>
          </w:p>
        </w:tc>
        <w:tc>
          <w:tcPr>
            <w:tcW w:w="1511" w:type="dxa"/>
          </w:tcPr>
          <w:p>
            <w:pPr>
              <w:jc w:val="center"/>
              <w:rPr>
                <w:noProof/>
              </w:rPr>
            </w:pPr>
            <w:r>
              <w:rPr>
                <w:noProof/>
              </w:rPr>
              <w:t>0,0</w:t>
            </w:r>
          </w:p>
        </w:tc>
      </w:tr>
      <w:tr>
        <w:tc>
          <w:tcPr>
            <w:tcW w:w="2835" w:type="dxa"/>
          </w:tcPr>
          <w:p>
            <w:pPr>
              <w:jc w:val="left"/>
              <w:rPr>
                <w:noProof/>
              </w:rPr>
            </w:pPr>
            <w:r>
              <w:rPr>
                <w:noProof/>
              </w:rPr>
              <w:t>Nivelul de declanșare (în tone)</w:t>
            </w:r>
          </w:p>
        </w:tc>
        <w:tc>
          <w:tcPr>
            <w:tcW w:w="1545" w:type="dxa"/>
          </w:tcPr>
          <w:p>
            <w:pPr>
              <w:jc w:val="center"/>
              <w:rPr>
                <w:noProof/>
              </w:rPr>
            </w:pPr>
            <w:r>
              <w:rPr>
                <w:noProof/>
              </w:rPr>
              <w:t>300,0</w:t>
            </w:r>
          </w:p>
        </w:tc>
        <w:tc>
          <w:tcPr>
            <w:tcW w:w="1321" w:type="dxa"/>
          </w:tcPr>
          <w:p>
            <w:pPr>
              <w:jc w:val="center"/>
              <w:rPr>
                <w:noProof/>
              </w:rPr>
            </w:pPr>
            <w:r>
              <w:rPr>
                <w:noProof/>
              </w:rPr>
              <w:t>300,0</w:t>
            </w:r>
          </w:p>
        </w:tc>
        <w:tc>
          <w:tcPr>
            <w:tcW w:w="1321" w:type="dxa"/>
          </w:tcPr>
          <w:p>
            <w:pPr>
              <w:jc w:val="center"/>
              <w:rPr>
                <w:noProof/>
              </w:rPr>
            </w:pPr>
            <w:r>
              <w:rPr>
                <w:noProof/>
              </w:rPr>
              <w:t>300,0</w:t>
            </w:r>
          </w:p>
        </w:tc>
        <w:tc>
          <w:tcPr>
            <w:tcW w:w="1321" w:type="dxa"/>
          </w:tcPr>
          <w:p>
            <w:pPr>
              <w:jc w:val="center"/>
              <w:rPr>
                <w:noProof/>
              </w:rPr>
            </w:pPr>
            <w:r>
              <w:rPr>
                <w:noProof/>
              </w:rPr>
              <w:t>300,0</w:t>
            </w:r>
          </w:p>
        </w:tc>
        <w:tc>
          <w:tcPr>
            <w:tcW w:w="1511" w:type="dxa"/>
          </w:tcPr>
          <w:p>
            <w:pPr>
              <w:jc w:val="center"/>
              <w:rPr>
                <w:noProof/>
              </w:rPr>
            </w:pPr>
            <w:r>
              <w:rPr>
                <w:noProof/>
              </w:rPr>
              <w:t>300,0</w:t>
            </w:r>
          </w:p>
        </w:tc>
      </w:tr>
      <w:tr>
        <w:tc>
          <w:tcPr>
            <w:tcW w:w="2835" w:type="dxa"/>
          </w:tcPr>
          <w:p>
            <w:pPr>
              <w:jc w:val="left"/>
              <w:rPr>
                <w:noProof/>
              </w:rPr>
            </w:pPr>
            <w:r>
              <w:rPr>
                <w:noProof/>
              </w:rPr>
              <w:t>Suprataxa maximă</w:t>
            </w:r>
          </w:p>
        </w:tc>
        <w:tc>
          <w:tcPr>
            <w:tcW w:w="1545" w:type="dxa"/>
          </w:tcPr>
          <w:p>
            <w:pPr>
              <w:jc w:val="center"/>
              <w:rPr>
                <w:noProof/>
              </w:rPr>
            </w:pPr>
            <w:r>
              <w:rPr>
                <w:noProof/>
              </w:rPr>
              <w:t>8,0</w:t>
            </w:r>
          </w:p>
        </w:tc>
        <w:tc>
          <w:tcPr>
            <w:tcW w:w="1321" w:type="dxa"/>
          </w:tcPr>
          <w:p>
            <w:pPr>
              <w:jc w:val="center"/>
              <w:rPr>
                <w:noProof/>
              </w:rPr>
            </w:pPr>
            <w:r>
              <w:rPr>
                <w:noProof/>
              </w:rPr>
              <w:t>6,0</w:t>
            </w:r>
          </w:p>
        </w:tc>
        <w:tc>
          <w:tcPr>
            <w:tcW w:w="1321" w:type="dxa"/>
          </w:tcPr>
          <w:p>
            <w:pPr>
              <w:jc w:val="center"/>
              <w:rPr>
                <w:noProof/>
              </w:rPr>
            </w:pPr>
            <w:r>
              <w:rPr>
                <w:noProof/>
              </w:rPr>
              <w:t>4,0</w:t>
            </w:r>
          </w:p>
        </w:tc>
        <w:tc>
          <w:tcPr>
            <w:tcW w:w="1321" w:type="dxa"/>
          </w:tcPr>
          <w:p>
            <w:pPr>
              <w:jc w:val="center"/>
              <w:rPr>
                <w:noProof/>
              </w:rPr>
            </w:pPr>
            <w:r>
              <w:rPr>
                <w:noProof/>
              </w:rPr>
              <w:t>2,0</w:t>
            </w:r>
          </w:p>
        </w:tc>
        <w:tc>
          <w:tcPr>
            <w:tcW w:w="1511" w:type="dxa"/>
          </w:tcPr>
          <w:p>
            <w:pPr>
              <w:jc w:val="center"/>
              <w:rPr>
                <w:noProof/>
              </w:rPr>
            </w:pPr>
            <w:r>
              <w:rPr>
                <w:noProof/>
              </w:rPr>
              <w:t>0,0</w:t>
            </w:r>
          </w:p>
        </w:tc>
      </w:tr>
    </w:tbl>
    <w:p>
      <w:pPr>
        <w:pStyle w:val="ManualNumPar17"/>
        <w:rPr>
          <w:noProof/>
        </w:rPr>
      </w:pPr>
    </w:p>
    <w:p>
      <w:pPr>
        <w:rPr>
          <w:noProof/>
        </w:rPr>
      </w:pPr>
      <w:r>
        <w:rPr>
          <w:noProof/>
        </w:rPr>
        <w:br w:type="page"/>
      </w:r>
    </w:p>
    <w:p>
      <w:pPr>
        <w:pStyle w:val="ManualNumPar17"/>
        <w:rPr>
          <w:noProof/>
        </w:rPr>
      </w:pPr>
      <w:r>
        <w:rPr>
          <w:noProof/>
        </w:rPr>
        <w:t>11.</w:t>
      </w:r>
      <w:r>
        <w:rPr>
          <w:noProof/>
        </w:rPr>
        <w:tab/>
        <w:t>Mecanismul de salvgardare va continua să fie disponibil timp de cinci ani de la sfârșitul perioadei de tranziție, și anume, între IIV+10 și IIV+15. Valoarea suprataxei maxime va scădea liniar de la valoarea sa specificată la IIV+10 până la 0, la IIV+15.</w:t>
      </w:r>
    </w:p>
    <w:sectPr>
      <w:headerReference w:type="default" r:id="rId22"/>
      <w:footerReference w:type="default" r:id="rId23"/>
      <w:headerReference w:type="first" r:id="rId24"/>
      <w:footerReference w:type="first" r:id="rId25"/>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dve06633w">
    <w:altName w:val="Times New Roman"/>
    <w:panose1 w:val="00000000000000000000"/>
    <w:charset w:val="00"/>
    <w:family w:val="auto"/>
    <w:notTrueType/>
    <w:pitch w:val="default"/>
    <w:sig w:usb0="00000003" w:usb1="00000000" w:usb2="00000000" w:usb3="00000000" w:csb0="00000001" w:csb1="00000000"/>
  </w:font>
  <w:font w:name="EUAlbertina">
    <w:altName w:val="Times New Roman"/>
    <w:panose1 w:val="00000000000000000000"/>
    <w:charset w:val="00"/>
    <w:family w:val="roman"/>
    <w:notTrueType/>
    <w:pitch w:val="default"/>
    <w:sig w:usb0="00000001"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OrigGarmnd BT">
    <w:altName w:val="Constant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rPr>
        <w:rFonts w:ascii="Arial" w:hAnsi="Arial" w:cs="Arial"/>
        <w:b/>
        <w:sz w:val="48"/>
      </w:rPr>
      <w:tab/>
    </w:r>
    <w:r>
      <w:tab/>
    </w:r>
    <w:r>
      <w:rPr>
        <w:rFonts w:ascii="Arial" w:hAnsi="Arial" w:cs="Arial"/>
        <w:b/>
        <w:sz w:val="48"/>
      </w:rPr>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8</w:t>
    </w:r>
    <w:r>
      <w:fldChar w:fldCharType="end"/>
    </w:r>
    <w:r>
      <w:tab/>
    </w:r>
    <w:r>
      <w:tab/>
    </w:r>
    <w:r>
      <w:rPr>
        <w:rFonts w:ascii="Arial" w:hAnsi="Arial" w:cs="Arial"/>
        <w:b/>
        <w:sz w:val="48"/>
      </w:rPr>
      <w:t>RO</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8</w:t>
    </w:r>
    <w:r>
      <w:fldChar w:fldCharType="end"/>
    </w:r>
    <w:r>
      <w:tab/>
    </w:r>
    <w:r>
      <w:tab/>
    </w:r>
    <w:r>
      <w:rPr>
        <w:rFonts w:ascii="Arial" w:hAnsi="Arial" w:cs="Arial"/>
        <w:b/>
        <w:sz w:val="48"/>
      </w:rPr>
      <w:t>RO</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8</w:t>
    </w:r>
    <w:r>
      <w:fldChar w:fldCharType="end"/>
    </w:r>
    <w:r>
      <w:tab/>
    </w:r>
    <w:r>
      <w:tab/>
    </w:r>
    <w:r>
      <w:rPr>
        <w:rFonts w:ascii="Arial" w:hAnsi="Arial" w:cs="Arial"/>
        <w:b/>
        <w:sz w:val="48"/>
      </w:rPr>
      <w:t>RO</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A se vedea anexa 2 la anexa I la Regulamentul (CEE) nr. 2658/87 al Consiliului privind Nomenclatura tarifară și statistică și Tariful Vamal Comun.</w:t>
      </w:r>
    </w:p>
  </w:footnote>
  <w:footnote w:id="2">
    <w:p>
      <w:pPr>
        <w:pStyle w:val="FootnoteText"/>
      </w:pPr>
      <w:r>
        <w:rPr>
          <w:rStyle w:val="FootnoteReference"/>
        </w:rPr>
        <w:footnoteRef/>
      </w:r>
      <w:r>
        <w:tab/>
        <w:t>În continuare, 2016 este prezentat în scop informativ și exclusiv pentru a indica momentul intrării în vigoare (IIV) a acordului și conformitatea datelor din tabel cu nivelul convenit de taxe la export</w:t>
      </w:r>
    </w:p>
  </w:footnote>
  <w:footnote w:id="3">
    <w:p>
      <w:pPr>
        <w:pStyle w:val="FootnoteText"/>
      </w:pPr>
      <w:r>
        <w:rPr>
          <w:rStyle w:val="FootnoteReference"/>
        </w:rPr>
        <w:footnoteRef/>
      </w:r>
      <w:r>
        <w:tab/>
        <w:t>În continuare, 2016 este prezentat în scop informativ și exclusiv pentru a indica momentul intrării în vigoare (IIV) a acordului și conformitatea datelor din tabel cu nivelul convenit de taxe la export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67C8D150"/>
    <w:lvl w:ilvl="0">
      <w:start w:val="1"/>
      <w:numFmt w:val="decimal"/>
      <w:pStyle w:val="CommentSubject"/>
      <w:lvlText w:val="%1."/>
      <w:lvlJc w:val="left"/>
      <w:pPr>
        <w:tabs>
          <w:tab w:val="num" w:pos="1209"/>
        </w:tabs>
        <w:ind w:left="1209" w:hanging="360"/>
      </w:pPr>
    </w:lvl>
  </w:abstractNum>
  <w:abstractNum w:abstractNumId="1">
    <w:nsid w:val="FFFFFF7E"/>
    <w:multiLevelType w:val="singleLevel"/>
    <w:tmpl w:val="728CE8F6"/>
    <w:lvl w:ilvl="0">
      <w:start w:val="1"/>
      <w:numFmt w:val="decimal"/>
      <w:pStyle w:val="ListNumber4"/>
      <w:lvlText w:val="%1."/>
      <w:lvlJc w:val="left"/>
      <w:pPr>
        <w:tabs>
          <w:tab w:val="num" w:pos="926"/>
        </w:tabs>
        <w:ind w:left="926" w:hanging="360"/>
      </w:pPr>
    </w:lvl>
  </w:abstractNum>
  <w:abstractNum w:abstractNumId="2">
    <w:nsid w:val="FFFFFF7F"/>
    <w:multiLevelType w:val="singleLevel"/>
    <w:tmpl w:val="1AEE7D46"/>
    <w:lvl w:ilvl="0">
      <w:start w:val="1"/>
      <w:numFmt w:val="decimal"/>
      <w:pStyle w:val="ListNumber3"/>
      <w:lvlText w:val="%1."/>
      <w:lvlJc w:val="left"/>
      <w:pPr>
        <w:tabs>
          <w:tab w:val="num" w:pos="643"/>
        </w:tabs>
        <w:ind w:left="643" w:hanging="360"/>
      </w:pPr>
    </w:lvl>
  </w:abstractNum>
  <w:abstractNum w:abstractNumId="3">
    <w:nsid w:val="FFFFFF81"/>
    <w:multiLevelType w:val="singleLevel"/>
    <w:tmpl w:val="FE768A86"/>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FFFC0194"/>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B0507FFC"/>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9"/>
    <w:multiLevelType w:val="singleLevel"/>
    <w:tmpl w:val="C1544D76"/>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5EA05E7"/>
    <w:multiLevelType w:val="hybridMultilevel"/>
    <w:tmpl w:val="33A216DC"/>
    <w:lvl w:ilvl="0" w:tplc="FFFFFFFF">
      <w:start w:val="1"/>
      <w:numFmt w:val="bullet"/>
      <w:pStyle w:val="ListDash2"/>
      <w:lvlText w:val="–"/>
      <w:lvlJc w:val="left"/>
      <w:pPr>
        <w:tabs>
          <w:tab w:val="num" w:pos="1360"/>
        </w:tabs>
        <w:ind w:left="1360" w:hanging="283"/>
      </w:pPr>
      <w:rPr>
        <w:rFonts w:ascii="Times New Roman" w:hAnsi="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77D03B6"/>
    <w:multiLevelType w:val="multilevel"/>
    <w:tmpl w:val="08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0DFC2E6B"/>
    <w:multiLevelType w:val="multilevel"/>
    <w:tmpl w:val="D7B606A0"/>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0">
    <w:nsid w:val="16B13049"/>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2">
    <w:nsid w:val="214C21A3"/>
    <w:multiLevelType w:val="hybridMultilevel"/>
    <w:tmpl w:val="A1D615A0"/>
    <w:lvl w:ilvl="0" w:tplc="FFFFFFFF">
      <w:start w:val="1"/>
      <w:numFmt w:val="upperLetter"/>
      <w:pStyle w:val="Pealkiri2"/>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5">
    <w:nsid w:val="248F4748"/>
    <w:multiLevelType w:val="hybridMultilevel"/>
    <w:tmpl w:val="C568ACDE"/>
    <w:lvl w:ilvl="0" w:tplc="0809000F">
      <w:start w:val="1"/>
      <w:numFmt w:val="bullet"/>
      <w:pStyle w:val="Lines"/>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7">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8">
    <w:nsid w:val="2F1B6DD0"/>
    <w:multiLevelType w:val="multilevel"/>
    <w:tmpl w:val="04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BA736C9"/>
    <w:multiLevelType w:val="singleLevel"/>
    <w:tmpl w:val="F00A6C0C"/>
    <w:lvl w:ilvl="0">
      <w:start w:val="1"/>
      <w:numFmt w:val="bullet"/>
      <w:lvlRestart w:val="0"/>
      <w:pStyle w:val="ListNumber2Level4"/>
      <w:lvlText w:val="–"/>
      <w:lvlJc w:val="left"/>
      <w:pPr>
        <w:tabs>
          <w:tab w:val="num" w:pos="850"/>
        </w:tabs>
        <w:ind w:left="850" w:hanging="85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2">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3">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9157184"/>
    <w:multiLevelType w:val="multilevel"/>
    <w:tmpl w:val="1F5C5F88"/>
    <w:lvl w:ilvl="0">
      <w:start w:val="1"/>
      <w:numFmt w:val="bullet"/>
      <w:pStyle w:val="opsommingtekst"/>
      <w:lvlText w:val=""/>
      <w:lvlJc w:val="left"/>
      <w:pPr>
        <w:tabs>
          <w:tab w:val="num" w:pos="360"/>
        </w:tabs>
        <w:ind w:left="360" w:hanging="360"/>
      </w:pPr>
      <w:rPr>
        <w:rFonts w:ascii="Symbol" w:hAnsi="Symbol" w:hint="default"/>
        <w:b/>
        <w:i w:val="0"/>
        <w:color w:val="auto"/>
        <w:sz w:val="20"/>
        <w:szCs w:val="20"/>
        <w:u w:color="FFFFFF"/>
      </w:rPr>
    </w:lvl>
    <w:lvl w:ilvl="1">
      <w:start w:val="1"/>
      <w:numFmt w:val="decimal"/>
      <w:lvlText w:val="%2."/>
      <w:lvlJc w:val="left"/>
      <w:pPr>
        <w:tabs>
          <w:tab w:val="num" w:pos="397"/>
        </w:tabs>
        <w:ind w:left="397" w:hanging="397"/>
      </w:pPr>
      <w:rPr>
        <w:rFonts w:hint="default"/>
      </w:rPr>
    </w:lvl>
    <w:lvl w:ilvl="2">
      <w:start w:val="1"/>
      <w:numFmt w:val="decimal"/>
      <w:lvlText w:val="%2.%3."/>
      <w:lvlJc w:val="left"/>
      <w:pPr>
        <w:tabs>
          <w:tab w:val="num" w:pos="567"/>
        </w:tabs>
        <w:ind w:left="567" w:hanging="567"/>
      </w:pPr>
      <w:rPr>
        <w:rFonts w:hint="default"/>
        <w:u w:color="000000"/>
      </w:rPr>
    </w:lvl>
    <w:lvl w:ilvl="3">
      <w:start w:val="1"/>
      <w:numFmt w:val="decimal"/>
      <w:lvlText w:val="%2.%3.%4."/>
      <w:lvlJc w:val="left"/>
      <w:pPr>
        <w:tabs>
          <w:tab w:val="num" w:pos="709"/>
        </w:tabs>
        <w:ind w:left="709" w:hanging="709"/>
      </w:pPr>
      <w:rPr>
        <w:rFonts w:hint="default"/>
      </w:rPr>
    </w:lvl>
    <w:lvl w:ilvl="4">
      <w:start w:val="1"/>
      <w:numFmt w:val="decimal"/>
      <w:lvlText w:val="%2.%3.%4.%5."/>
      <w:lvlJc w:val="left"/>
      <w:pPr>
        <w:tabs>
          <w:tab w:val="num" w:pos="879"/>
        </w:tabs>
        <w:ind w:left="879" w:hanging="879"/>
      </w:pPr>
      <w:rPr>
        <w:rFonts w:hint="default"/>
        <w:u w:color="000000"/>
      </w:rPr>
    </w:lvl>
    <w:lvl w:ilvl="5">
      <w:start w:val="1"/>
      <w:numFmt w:val="decimal"/>
      <w:lvlText w:val="%1.%2.%3.%4.%5.%6."/>
      <w:lvlJc w:val="left"/>
      <w:pPr>
        <w:tabs>
          <w:tab w:val="num" w:pos="3240"/>
        </w:tabs>
        <w:ind w:left="0" w:firstLine="180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1">
    <w:nsid w:val="6A6901C1"/>
    <w:multiLevelType w:val="singleLevel"/>
    <w:tmpl w:val="208841AE"/>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32">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3">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19"/>
  </w:num>
  <w:num w:numId="9">
    <w:abstractNumId w:val="9"/>
  </w:num>
  <w:num w:numId="10">
    <w:abstractNumId w:val="8"/>
  </w:num>
  <w:num w:numId="11">
    <w:abstractNumId w:val="15"/>
  </w:num>
  <w:num w:numId="12">
    <w:abstractNumId w:val="7"/>
  </w:num>
  <w:num w:numId="13">
    <w:abstractNumId w:val="24"/>
  </w:num>
  <w:num w:numId="14">
    <w:abstractNumId w:val="31"/>
  </w:num>
  <w:num w:numId="15">
    <w:abstractNumId w:val="12"/>
  </w:num>
  <w:num w:numId="16">
    <w:abstractNumId w:val="10"/>
  </w:num>
  <w:num w:numId="17">
    <w:abstractNumId w:val="18"/>
  </w:num>
  <w:num w:numId="18">
    <w:abstractNumId w:val="32"/>
  </w:num>
  <w:num w:numId="19">
    <w:abstractNumId w:val="14"/>
  </w:num>
  <w:num w:numId="20">
    <w:abstractNumId w:val="23"/>
  </w:num>
  <w:num w:numId="21">
    <w:abstractNumId w:val="28"/>
  </w:num>
  <w:num w:numId="22">
    <w:abstractNumId w:val="20"/>
  </w:num>
  <w:num w:numId="23">
    <w:abstractNumId w:val="30"/>
  </w:num>
  <w:num w:numId="24">
    <w:abstractNumId w:val="17"/>
  </w:num>
  <w:num w:numId="25">
    <w:abstractNumId w:val="21"/>
  </w:num>
  <w:num w:numId="26">
    <w:abstractNumId w:val="13"/>
  </w:num>
  <w:num w:numId="27">
    <w:abstractNumId w:val="29"/>
  </w:num>
  <w:num w:numId="28">
    <w:abstractNumId w:val="11"/>
  </w:num>
  <w:num w:numId="29">
    <w:abstractNumId w:val="22"/>
  </w:num>
  <w:num w:numId="30">
    <w:abstractNumId w:val="26"/>
  </w:num>
  <w:num w:numId="31">
    <w:abstractNumId w:val="27"/>
  </w:num>
  <w:num w:numId="32">
    <w:abstractNumId w:val="16"/>
  </w:num>
  <w:num w:numId="33">
    <w:abstractNumId w:val="25"/>
  </w:num>
  <w:num w:numId="34">
    <w:abstractNumId w:val="33"/>
  </w:num>
  <w:num w:numId="35">
    <w:abstractNumId w:val="28"/>
  </w:num>
  <w:num w:numId="36">
    <w:abstractNumId w:val="20"/>
  </w:num>
  <w:num w:numId="37">
    <w:abstractNumId w:val="30"/>
  </w:num>
  <w:num w:numId="38">
    <w:abstractNumId w:val="17"/>
  </w:num>
  <w:num w:numId="39">
    <w:abstractNumId w:val="21"/>
  </w:num>
  <w:num w:numId="40">
    <w:abstractNumId w:val="13"/>
  </w:num>
  <w:num w:numId="41">
    <w:abstractNumId w:val="29"/>
  </w:num>
  <w:num w:numId="42">
    <w:abstractNumId w:val="11"/>
  </w:num>
  <w:num w:numId="43">
    <w:abstractNumId w:val="22"/>
  </w:num>
  <w:num w:numId="44">
    <w:abstractNumId w:val="26"/>
  </w:num>
  <w:num w:numId="45">
    <w:abstractNumId w:val="27"/>
  </w:num>
  <w:num w:numId="46">
    <w:abstractNumId w:val="16"/>
  </w:num>
  <w:num w:numId="47">
    <w:abstractNumId w:val="25"/>
  </w:num>
  <w:num w:numId="48">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hideSpellingErrors/>
  <w:hideGrammaticalErrors/>
  <w:attachedTemplate r:id="rId1"/>
  <w:revisionView w:markup="0"/>
  <w:defaultTabStop w:val="720"/>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7-11-14 10:48:45"/>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1"/>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ACCOMPAGNANT" w:val="la"/>
    <w:docVar w:name="LW_ACCOMPAGNANT.CP" w:val="la"/>
    <w:docVar w:name="LW_ANNEX_NBR_FIRST" w:val="1"/>
    <w:docVar w:name="LW_ANNEX_NBR_LAST" w:val="1"/>
    <w:docVar w:name="LW_ANNEX_UNIQUE" w:val="1"/>
    <w:docVar w:name="LW_CORRIGENDUM" w:val="&lt;UNUSED&gt;"/>
    <w:docVar w:name="LW_COVERPAGE_EXISTS" w:val="True"/>
    <w:docVar w:name="LW_COVERPAGE_GUID" w:val="76A1FC60-E1BF-446A-AE45-6A79A971BDB9"/>
    <w:docVar w:name="LW_COVERPAGE_TYPE" w:val="1"/>
    <w:docVar w:name="LW_CROSSREFERENCE" w:val="&lt;UNUSED&gt;"/>
    <w:docVar w:name="LW_DocType" w:val="ANNEX"/>
    <w:docVar w:name="LW_EMISSION" w:val="16.11.2017"/>
    <w:docVar w:name="LW_EMISSION_ISODATE" w:val="2017-11-16"/>
    <w:docVar w:name="LW_EMISSION_LOCATION" w:val="BRX"/>
    <w:docVar w:name="LW_EMISSION_PREFIX" w:val="Bruxelles,"/>
    <w:docVar w:name="LW_EMISSION_SUFFIX" w:val=" "/>
    <w:docVar w:name="LW_ID_DOCSTRUCTURE" w:val="COM/ANNEX"/>
    <w:docVar w:name="LW_ID_DOCTYPE" w:val="SG-017"/>
    <w:docVar w:name="LW_LANGUE" w:val="RO"/>
    <w:docVar w:name="LW_LEVEL_OF_SENSITIVITY" w:val="Standard treatment"/>
    <w:docVar w:name="LW_NOM.INST" w:val="COMISIA EUROPEAN\u258?"/>
    <w:docVar w:name="LW_NOM.INST_JOINTDOC" w:val="&lt;EMPTY&gt;"/>
    <w:docVar w:name="LW_OBJETACTEPRINCIPAL" w:val="privind pozi\u539?ia care trebuie adoptat\u259? în numele Uniunii în cadrul Consiliului de asociere înfiin\u539?at prin Acordul de asociere între Uniunea European\u259? \u537?i Comunitatea European\u259? a Energiei Atomice \u537?i statele membre ale acestora, pe de o parte, \u537?i Ucraina, pe de alt\u259? parte, în ceea ce prive\u537?te completarea anexei I-A, \u537?i în cadrul Comitetului de asociere reunit în configura\u539?ia comer\u539?, în ceea ce prive\u537?te recalcularea programului de eliminare a taxelor la export prev\u259?zut în anexele I-C \u537?i I-D la Acordul de asociere_x000b_"/>
    <w:docVar w:name="LW_OBJETACTEPRINCIPAL.CP" w:val="privind pozi\u539?ia care trebuie adoptat\u259? în numele Uniunii în cadrul Consiliului de asociere înfiin\u539?at prin Acordul de asociere între Uniunea European\u259? \u537?i Comunitatea European\u259? a Energiei Atomice \u537?i statele membre ale acestora, pe de o parte, \u537?i Ucraina, pe de alt\u259? parte, în ceea ce prive\u537?te completarea anexei I-A, \u537?i în cadrul Comitetului de asociere reunit în configura\u539?ia comer\u539?, în ceea ce prive\u537?te recalcularea programului de eliminare a taxelor la export prev\u259?zut în anexele I-C \u537?i I-D la Acordul de asociere_x000b_"/>
    <w:docVar w:name="LW_PART_NBR" w:val="1"/>
    <w:docVar w:name="LW_PART_NBR_TOTAL" w:val="1"/>
    <w:docVar w:name="LW_REF.INST.NEW" w:val="COM"/>
    <w:docVar w:name="LW_REF.INST.NEW_ADOPTED" w:val="final"/>
    <w:docVar w:name="LW_REF.INST.NEW_TEXT" w:val="(2017) 66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ANEX\u258?"/>
    <w:docVar w:name="LW_TYPE.DOC.CP" w:val="ANEX\u258?"/>
    <w:docVar w:name="LW_TYPEACTEPRINCIPAL" w:val="Propunerea de Decizie a Consiliului"/>
    <w:docVar w:name="LW_TYPEACTEPRINCIPAL.CP" w:val="Propunerea de Decizie a Consiliului"/>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List Number 2"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1"/>
      </w:numPr>
      <w:outlineLvl w:val="3"/>
    </w:pPr>
    <w:rPr>
      <w:rFonts w:eastAsiaTheme="majorEastAsia"/>
      <w:bCs/>
      <w:iCs/>
    </w:rPr>
  </w:style>
  <w:style w:type="paragraph" w:styleId="Heading5">
    <w:name w:val="heading 5"/>
    <w:basedOn w:val="Normal"/>
    <w:link w:val="Heading5Char"/>
    <w:qFormat/>
    <w:pPr>
      <w:keepNext/>
      <w:spacing w:before="0" w:after="0"/>
      <w:jc w:val="center"/>
      <w:outlineLvl w:val="4"/>
    </w:pPr>
    <w:rPr>
      <w:rFonts w:eastAsia="Times New Roman"/>
      <w:b/>
      <w:bCs/>
      <w:color w:val="000000"/>
      <w:szCs w:val="24"/>
    </w:rPr>
  </w:style>
  <w:style w:type="paragraph" w:styleId="Heading6">
    <w:name w:val="heading 6"/>
    <w:basedOn w:val="Normal"/>
    <w:next w:val="Normal"/>
    <w:link w:val="Heading6Char"/>
    <w:qFormat/>
    <w:pPr>
      <w:tabs>
        <w:tab w:val="left" w:pos="720"/>
      </w:tabs>
      <w:spacing w:before="0" w:after="240"/>
      <w:outlineLvl w:val="5"/>
    </w:pPr>
    <w:rPr>
      <w:rFonts w:eastAsia="Times New Roman"/>
      <w:sz w:val="22"/>
      <w:szCs w:val="20"/>
    </w:rPr>
  </w:style>
  <w:style w:type="paragraph" w:styleId="Heading7">
    <w:name w:val="heading 7"/>
    <w:basedOn w:val="Normal"/>
    <w:next w:val="Normal"/>
    <w:link w:val="Heading7Char"/>
    <w:qFormat/>
    <w:pPr>
      <w:tabs>
        <w:tab w:val="left" w:pos="720"/>
      </w:tabs>
      <w:spacing w:before="0" w:after="240"/>
      <w:outlineLvl w:val="6"/>
    </w:pPr>
    <w:rPr>
      <w:rFonts w:eastAsia="Times New Roman"/>
      <w:sz w:val="22"/>
      <w:szCs w:val="20"/>
    </w:rPr>
  </w:style>
  <w:style w:type="paragraph" w:styleId="Heading8">
    <w:name w:val="heading 8"/>
    <w:basedOn w:val="Normal"/>
    <w:next w:val="Normal"/>
    <w:link w:val="Heading8Char"/>
    <w:qFormat/>
    <w:pPr>
      <w:numPr>
        <w:ilvl w:val="7"/>
        <w:numId w:val="9"/>
      </w:numPr>
      <w:tabs>
        <w:tab w:val="left" w:pos="720"/>
      </w:tabs>
      <w:spacing w:before="240" w:after="60"/>
      <w:outlineLvl w:val="7"/>
    </w:pPr>
    <w:rPr>
      <w:rFonts w:eastAsia="Times New Roman"/>
      <w:i/>
      <w:iCs/>
      <w:szCs w:val="24"/>
    </w:rPr>
  </w:style>
  <w:style w:type="paragraph" w:styleId="Heading9">
    <w:name w:val="heading 9"/>
    <w:basedOn w:val="Normal"/>
    <w:next w:val="Normal"/>
    <w:link w:val="Heading9Char"/>
    <w:qFormat/>
    <w:pPr>
      <w:numPr>
        <w:ilvl w:val="8"/>
        <w:numId w:val="9"/>
      </w:numPr>
      <w:tabs>
        <w:tab w:val="left" w:pos="720"/>
      </w:tabs>
      <w:spacing w:before="240" w:after="60"/>
      <w:outlineLvl w:val="8"/>
    </w:pPr>
    <w:rPr>
      <w:rFonts w:ascii="Arial" w:eastAsia="Times New Roman" w:hAnsi="Arial" w:cs="Arial"/>
      <w:sz w:val="22"/>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nhideWhenUsed/>
    <w:pPr>
      <w:numPr>
        <w:numId w:val="1"/>
      </w:numPr>
      <w:contextualSpacing/>
    </w:pPr>
  </w:style>
  <w:style w:type="paragraph" w:styleId="ListBullet2">
    <w:name w:val="List Bullet 2"/>
    <w:basedOn w:val="Normal"/>
    <w:unhideWhenUsed/>
    <w:pPr>
      <w:numPr>
        <w:numId w:val="2"/>
      </w:numPr>
      <w:contextualSpacing/>
    </w:pPr>
  </w:style>
  <w:style w:type="paragraph" w:styleId="ListBullet3">
    <w:name w:val="List Bullet 3"/>
    <w:basedOn w:val="Normal"/>
    <w:unhideWhenUsed/>
    <w:pPr>
      <w:numPr>
        <w:numId w:val="3"/>
      </w:numPr>
      <w:contextualSpacing/>
    </w:pPr>
  </w:style>
  <w:style w:type="paragraph" w:styleId="ListBullet4">
    <w:name w:val="List Bullet 4"/>
    <w:basedOn w:val="Normal"/>
    <w:unhideWhenUsed/>
    <w:pPr>
      <w:numPr>
        <w:numId w:val="4"/>
      </w:numPr>
      <w:contextualSpacing/>
    </w:pPr>
  </w:style>
  <w:style w:type="character" w:customStyle="1" w:styleId="Heading5Char">
    <w:name w:val="Heading 5 Char"/>
    <w:basedOn w:val="DefaultParagraphFont"/>
    <w:link w:val="Heading5"/>
    <w:rPr>
      <w:rFonts w:ascii="Times New Roman" w:eastAsia="Times New Roman" w:hAnsi="Times New Roman" w:cs="Times New Roman"/>
      <w:b/>
      <w:bCs/>
      <w:color w:val="000000"/>
      <w:sz w:val="24"/>
      <w:szCs w:val="24"/>
      <w:lang w:val="ro-RO" w:eastAsia="ro-RO"/>
    </w:rPr>
  </w:style>
  <w:style w:type="character" w:customStyle="1" w:styleId="Heading6Char">
    <w:name w:val="Heading 6 Char"/>
    <w:basedOn w:val="DefaultParagraphFont"/>
    <w:link w:val="Heading6"/>
    <w:rPr>
      <w:rFonts w:ascii="Times New Roman" w:eastAsia="Times New Roman" w:hAnsi="Times New Roman" w:cs="Times New Roman"/>
      <w:szCs w:val="20"/>
      <w:lang w:val="ro-RO"/>
    </w:rPr>
  </w:style>
  <w:style w:type="character" w:customStyle="1" w:styleId="Heading7Char">
    <w:name w:val="Heading 7 Char"/>
    <w:basedOn w:val="DefaultParagraphFont"/>
    <w:link w:val="Heading7"/>
    <w:rPr>
      <w:rFonts w:ascii="Times New Roman" w:eastAsia="Times New Roman" w:hAnsi="Times New Roman" w:cs="Times New Roman"/>
      <w:szCs w:val="20"/>
      <w:lang w:val="ro-RO"/>
    </w:rPr>
  </w:style>
  <w:style w:type="character" w:customStyle="1" w:styleId="Heading8Char">
    <w:name w:val="Heading 8 Char"/>
    <w:basedOn w:val="DefaultParagraphFont"/>
    <w:link w:val="Heading8"/>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Pr>
      <w:rFonts w:ascii="Arial" w:eastAsia="Times New Roman" w:hAnsi="Arial" w:cs="Arial"/>
      <w:szCs w:val="20"/>
      <w:lang w:val="en-GB"/>
    </w:rPr>
  </w:style>
  <w:style w:type="paragraph" w:customStyle="1" w:styleId="normalcentered">
    <w:name w:val="normalcentered"/>
    <w:basedOn w:val="Normal"/>
    <w:pPr>
      <w:jc w:val="center"/>
    </w:pPr>
    <w:rPr>
      <w:rFonts w:eastAsia="Times New Roman"/>
      <w:szCs w:val="24"/>
    </w:rPr>
  </w:style>
  <w:style w:type="character" w:styleId="PageNumber">
    <w:name w:val="page number"/>
    <w:basedOn w:val="DefaultParagraphFont"/>
  </w:style>
  <w:style w:type="character" w:customStyle="1" w:styleId="Point1Char">
    <w:name w:val="Point 1 Char"/>
    <w:rPr>
      <w:rFonts w:ascii="Times New Roman" w:hAnsi="Times New Roman" w:cs="Times New Roman"/>
      <w:sz w:val="24"/>
      <w:lang w:val="ro-RO"/>
    </w:rPr>
  </w:style>
  <w:style w:type="paragraph" w:styleId="BodyText">
    <w:name w:val="Body Text"/>
    <w:aliases w:val="Body"/>
    <w:basedOn w:val="Normal"/>
    <w:link w:val="BodyTextChar2"/>
    <w:pPr>
      <w:spacing w:before="0" w:after="240"/>
    </w:pPr>
    <w:rPr>
      <w:rFonts w:eastAsia="Times New Roman"/>
      <w:szCs w:val="24"/>
    </w:rPr>
  </w:style>
  <w:style w:type="character" w:customStyle="1" w:styleId="BodyTextChar">
    <w:name w:val="Body Text Char"/>
    <w:aliases w:val="Body Char"/>
    <w:basedOn w:val="DefaultParagraphFont"/>
    <w:rPr>
      <w:rFonts w:ascii="Times New Roman" w:hAnsi="Times New Roman" w:cs="Times New Roman"/>
      <w:sz w:val="24"/>
      <w:lang w:val="ro-RO"/>
    </w:rPr>
  </w:style>
  <w:style w:type="paragraph" w:customStyle="1" w:styleId="text10">
    <w:name w:val="text1"/>
    <w:basedOn w:val="Normal"/>
    <w:pPr>
      <w:ind w:left="850"/>
    </w:pPr>
    <w:rPr>
      <w:rFonts w:eastAsia="Times New Roman"/>
      <w:szCs w:val="24"/>
    </w:rPr>
  </w:style>
  <w:style w:type="paragraph" w:customStyle="1" w:styleId="tiret10">
    <w:name w:val="tiret1"/>
    <w:basedOn w:val="Normal"/>
    <w:pPr>
      <w:ind w:left="1417" w:hanging="567"/>
    </w:pPr>
    <w:rPr>
      <w:rFonts w:eastAsia="Times New Roman"/>
      <w:szCs w:val="24"/>
    </w:rPr>
  </w:style>
  <w:style w:type="paragraph" w:customStyle="1" w:styleId="numpar10">
    <w:name w:val="numpar1"/>
    <w:basedOn w:val="Normal"/>
    <w:pPr>
      <w:ind w:left="850" w:hanging="850"/>
    </w:pPr>
    <w:rPr>
      <w:rFonts w:eastAsia="Times New Roman"/>
      <w:szCs w:val="24"/>
    </w:rPr>
  </w:style>
  <w:style w:type="paragraph" w:customStyle="1" w:styleId="manualnumpar1">
    <w:name w:val="manualnumpar1"/>
    <w:basedOn w:val="Normal"/>
    <w:pPr>
      <w:ind w:left="850" w:hanging="850"/>
    </w:pPr>
    <w:rPr>
      <w:rFonts w:eastAsia="Times New Roman"/>
      <w:szCs w:val="24"/>
    </w:rPr>
  </w:style>
  <w:style w:type="character" w:customStyle="1" w:styleId="msoins0">
    <w:name w:val="msoins"/>
    <w:rPr>
      <w:color w:val="008080"/>
      <w:u w:val="single"/>
    </w:rPr>
  </w:style>
  <w:style w:type="paragraph" w:customStyle="1" w:styleId="point4">
    <w:name w:val="point4"/>
    <w:basedOn w:val="Normal"/>
    <w:pPr>
      <w:ind w:left="3118" w:hanging="567"/>
    </w:pPr>
    <w:rPr>
      <w:rFonts w:eastAsia="Times New Roman"/>
      <w:szCs w:val="24"/>
    </w:rPr>
  </w:style>
  <w:style w:type="paragraph" w:customStyle="1" w:styleId="fichefinanciretextetable">
    <w:name w:val="fichefinanciretextetable"/>
    <w:basedOn w:val="Normal"/>
    <w:pPr>
      <w:spacing w:before="0" w:after="0"/>
      <w:jc w:val="left"/>
    </w:pPr>
    <w:rPr>
      <w:rFonts w:eastAsia="Times New Roman"/>
      <w:sz w:val="20"/>
      <w:szCs w:val="20"/>
    </w:rPr>
  </w:style>
  <w:style w:type="paragraph" w:customStyle="1" w:styleId="titrearticle">
    <w:name w:val="titrearticle"/>
    <w:basedOn w:val="Normal"/>
    <w:pPr>
      <w:keepNext/>
      <w:spacing w:before="360"/>
      <w:jc w:val="center"/>
    </w:pPr>
    <w:rPr>
      <w:rFonts w:eastAsia="Times New Roman"/>
      <w:i/>
      <w:iCs/>
      <w:szCs w:val="24"/>
    </w:rPr>
  </w:style>
  <w:style w:type="paragraph" w:styleId="CommentText">
    <w:name w:val="annotation text"/>
    <w:basedOn w:val="Normal"/>
    <w:link w:val="CommentTextChar"/>
    <w:uiPriority w:val="99"/>
    <w:rPr>
      <w:rFonts w:eastAsia="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o-RO" w:eastAsia="ro-RO"/>
    </w:rPr>
  </w:style>
  <w:style w:type="paragraph" w:styleId="ListNumber">
    <w:name w:val="List Number"/>
    <w:basedOn w:val="Normal"/>
    <w:pPr>
      <w:ind w:left="709" w:hanging="709"/>
    </w:pPr>
    <w:rPr>
      <w:rFonts w:eastAsia="Times New Roman"/>
      <w:szCs w:val="24"/>
    </w:rPr>
  </w:style>
  <w:style w:type="paragraph" w:styleId="ListNumber2">
    <w:name w:val="List Number 2"/>
    <w:basedOn w:val="Normal"/>
    <w:uiPriority w:val="99"/>
    <w:pPr>
      <w:ind w:left="1560" w:hanging="709"/>
    </w:pPr>
    <w:rPr>
      <w:rFonts w:eastAsia="Times New Roman"/>
      <w:szCs w:val="24"/>
    </w:rPr>
  </w:style>
  <w:style w:type="paragraph" w:styleId="ListNumber3">
    <w:name w:val="List Number 3"/>
    <w:basedOn w:val="Normal"/>
    <w:pPr>
      <w:numPr>
        <w:numId w:val="5"/>
      </w:numPr>
      <w:tabs>
        <w:tab w:val="clear" w:pos="643"/>
      </w:tabs>
      <w:ind w:left="1560" w:hanging="709"/>
    </w:pPr>
    <w:rPr>
      <w:rFonts w:eastAsia="Times New Roman"/>
      <w:szCs w:val="24"/>
    </w:rPr>
  </w:style>
  <w:style w:type="paragraph" w:styleId="ListNumber4">
    <w:name w:val="List Number 4"/>
    <w:basedOn w:val="Normal"/>
    <w:pPr>
      <w:numPr>
        <w:numId w:val="6"/>
      </w:numPr>
      <w:tabs>
        <w:tab w:val="clear" w:pos="926"/>
      </w:tabs>
      <w:ind w:left="1560" w:hanging="709"/>
    </w:pPr>
    <w:rPr>
      <w:rFonts w:eastAsia="Times New Roman"/>
      <w:szCs w:val="24"/>
    </w:rPr>
  </w:style>
  <w:style w:type="paragraph" w:styleId="CommentSubject">
    <w:name w:val="annotation subject"/>
    <w:basedOn w:val="Normal"/>
    <w:link w:val="CommentSubjectChar"/>
    <w:pPr>
      <w:numPr>
        <w:numId w:val="7"/>
      </w:numPr>
      <w:tabs>
        <w:tab w:val="clear" w:pos="1209"/>
      </w:tabs>
      <w:spacing w:before="0" w:after="0"/>
      <w:ind w:left="0" w:firstLine="0"/>
      <w:jc w:val="left"/>
    </w:pPr>
    <w:rPr>
      <w:rFonts w:eastAsia="Times New Roman"/>
      <w:b/>
      <w:bCs/>
      <w:sz w:val="20"/>
      <w:szCs w:val="20"/>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en-GB" w:eastAsia="ro-RO"/>
    </w:rPr>
  </w:style>
  <w:style w:type="paragraph" w:customStyle="1" w:styleId="text2">
    <w:name w:val="text2"/>
    <w:basedOn w:val="Normal"/>
    <w:pPr>
      <w:ind w:left="850"/>
    </w:pPr>
    <w:rPr>
      <w:rFonts w:eastAsia="Times New Roman"/>
      <w:szCs w:val="24"/>
    </w:rPr>
  </w:style>
  <w:style w:type="paragraph" w:customStyle="1" w:styleId="point0">
    <w:name w:val="point0"/>
    <w:basedOn w:val="Normal"/>
    <w:pPr>
      <w:ind w:left="850" w:hanging="850"/>
    </w:pPr>
    <w:rPr>
      <w:rFonts w:eastAsia="Times New Roman"/>
      <w:szCs w:val="24"/>
    </w:rPr>
  </w:style>
  <w:style w:type="paragraph" w:customStyle="1" w:styleId="tiret20">
    <w:name w:val="tiret2"/>
    <w:basedOn w:val="Normal"/>
    <w:pPr>
      <w:ind w:left="1984" w:hanging="567"/>
    </w:pPr>
    <w:rPr>
      <w:rFonts w:eastAsia="Times New Roman"/>
      <w:szCs w:val="24"/>
    </w:rPr>
  </w:style>
  <w:style w:type="paragraph" w:customStyle="1" w:styleId="tiret40">
    <w:name w:val="tiret4"/>
    <w:basedOn w:val="Normal"/>
    <w:pPr>
      <w:ind w:left="3118" w:hanging="567"/>
    </w:pPr>
    <w:rPr>
      <w:rFonts w:eastAsia="Times New Roman"/>
      <w:szCs w:val="24"/>
    </w:rPr>
  </w:style>
  <w:style w:type="paragraph" w:customStyle="1" w:styleId="listnumber4level4">
    <w:name w:val="listnumber4level4"/>
    <w:basedOn w:val="Normal"/>
    <w:pPr>
      <w:ind w:left="3686" w:hanging="709"/>
    </w:pPr>
    <w:rPr>
      <w:rFonts w:eastAsia="Times New Roman"/>
      <w:szCs w:val="24"/>
    </w:rPr>
  </w:style>
  <w:style w:type="paragraph" w:customStyle="1" w:styleId="annexetitreacte">
    <w:name w:val="annexetitreacte"/>
    <w:basedOn w:val="Normal"/>
    <w:pPr>
      <w:jc w:val="center"/>
    </w:pPr>
    <w:rPr>
      <w:rFonts w:eastAsia="Times New Roman"/>
      <w:b/>
      <w:bCs/>
      <w:szCs w:val="24"/>
      <w:u w:val="single"/>
    </w:rPr>
  </w:style>
  <w:style w:type="paragraph" w:styleId="BalloonText">
    <w:name w:val="Balloon Text"/>
    <w:basedOn w:val="Normal"/>
    <w:link w:val="BalloonTextChar"/>
    <w:unhideWhenUsed/>
    <w:pPr>
      <w:spacing w:before="0" w:after="0"/>
      <w:jc w:val="left"/>
    </w:pPr>
    <w:rPr>
      <w:rFonts w:ascii="Tahoma" w:eastAsia="Times New Roman" w:hAnsi="Tahoma" w:cs="Tahoma"/>
      <w:sz w:val="16"/>
      <w:szCs w:val="16"/>
    </w:rPr>
  </w:style>
  <w:style w:type="character" w:customStyle="1" w:styleId="BalloonTextChar">
    <w:name w:val="Balloon Text Char"/>
    <w:basedOn w:val="DefaultParagraphFont"/>
    <w:link w:val="BalloonText"/>
    <w:rPr>
      <w:rFonts w:ascii="Tahoma" w:eastAsia="Times New Roman" w:hAnsi="Tahoma" w:cs="Tahoma"/>
      <w:sz w:val="16"/>
      <w:szCs w:val="16"/>
      <w:lang w:val="ro-RO" w:eastAsia="ro-RO"/>
    </w:rPr>
  </w:style>
  <w:style w:type="paragraph" w:styleId="NormalWeb">
    <w:name w:val="Normal (Web)"/>
    <w:basedOn w:val="Normal"/>
    <w:pPr>
      <w:spacing w:before="100" w:beforeAutospacing="1" w:after="100" w:afterAutospacing="1"/>
      <w:jc w:val="left"/>
    </w:pPr>
    <w:rPr>
      <w:rFonts w:eastAsia="Times New Roman"/>
      <w:szCs w:val="24"/>
    </w:rPr>
  </w:style>
  <w:style w:type="character" w:styleId="Emphasis">
    <w:name w:val="Emphasis"/>
    <w:qFormat/>
    <w:rPr>
      <w:i/>
      <w:iCs/>
    </w:rPr>
  </w:style>
  <w:style w:type="character" w:customStyle="1" w:styleId="shorttext">
    <w:name w:val="short_text"/>
  </w:style>
  <w:style w:type="character" w:customStyle="1" w:styleId="hps">
    <w:name w:val="hps"/>
  </w:style>
  <w:style w:type="character" w:customStyle="1" w:styleId="hpsatn">
    <w:name w:val="hps atn"/>
  </w:style>
  <w:style w:type="paragraph" w:styleId="Caption">
    <w:name w:val="caption"/>
    <w:basedOn w:val="Normal"/>
    <w:next w:val="Normal"/>
    <w:unhideWhenUsed/>
    <w:qFormat/>
    <w:rPr>
      <w:rFonts w:eastAsia="Times New Roman"/>
      <w:b/>
      <w:bCs/>
      <w:sz w:val="20"/>
      <w:szCs w:val="20"/>
    </w:rPr>
  </w:style>
  <w:style w:type="paragraph" w:styleId="TableofFigures">
    <w:name w:val="table of figures"/>
    <w:basedOn w:val="Normal"/>
    <w:next w:val="Normal"/>
    <w:rPr>
      <w:rFonts w:eastAsia="Times New Roman"/>
      <w:szCs w:val="24"/>
    </w:rPr>
  </w:style>
  <w:style w:type="character" w:styleId="CommentReference">
    <w:name w:val="annotation reference"/>
    <w:rPr>
      <w:sz w:val="16"/>
      <w:szCs w:val="16"/>
    </w:rPr>
  </w:style>
  <w:style w:type="character" w:styleId="Hyperlink">
    <w:name w:val="Hyperlink"/>
    <w:rPr>
      <w:color w:val="0000FF"/>
      <w:u w:val="single"/>
    </w:rPr>
  </w:style>
  <w:style w:type="paragraph" w:styleId="NormalIndent">
    <w:name w:val="Normal Indent"/>
    <w:basedOn w:val="Normal"/>
    <w:pPr>
      <w:autoSpaceDE w:val="0"/>
      <w:autoSpaceDN w:val="0"/>
      <w:adjustRightInd w:val="0"/>
      <w:spacing w:after="40"/>
      <w:jc w:val="left"/>
      <w:outlineLvl w:val="0"/>
    </w:pPr>
    <w:rPr>
      <w:rFonts w:eastAsia="Times New Roman"/>
      <w:szCs w:val="20"/>
    </w:rPr>
  </w:style>
  <w:style w:type="paragraph" w:customStyle="1" w:styleId="Article1">
    <w:name w:val="Article 1"/>
    <w:basedOn w:val="Normal"/>
    <w:pPr>
      <w:autoSpaceDE w:val="0"/>
      <w:autoSpaceDN w:val="0"/>
      <w:adjustRightInd w:val="0"/>
      <w:spacing w:before="0" w:after="0"/>
      <w:jc w:val="center"/>
      <w:outlineLvl w:val="0"/>
    </w:pPr>
    <w:rPr>
      <w:rFonts w:eastAsia="Times New Roman" w:cs="Adve06633w"/>
      <w:b/>
      <w:bCs/>
      <w:szCs w:val="24"/>
    </w:rPr>
  </w:style>
  <w:style w:type="paragraph" w:customStyle="1" w:styleId="titrearticle0">
    <w:name w:val="titre article"/>
    <w:basedOn w:val="Normal"/>
    <w:pPr>
      <w:autoSpaceDE w:val="0"/>
      <w:autoSpaceDN w:val="0"/>
      <w:adjustRightInd w:val="0"/>
      <w:spacing w:before="360" w:after="40"/>
      <w:jc w:val="center"/>
      <w:outlineLvl w:val="0"/>
    </w:pPr>
    <w:rPr>
      <w:rFonts w:eastAsia="Times New Roman"/>
      <w:b/>
      <w:bCs/>
      <w:szCs w:val="20"/>
    </w:rPr>
  </w:style>
  <w:style w:type="paragraph" w:customStyle="1" w:styleId="point2">
    <w:name w:val="point 2"/>
    <w:basedOn w:val="Normal"/>
    <w:pPr>
      <w:spacing w:before="0" w:after="0"/>
      <w:ind w:left="1985" w:hanging="567"/>
      <w:jc w:val="left"/>
      <w:outlineLvl w:val="0"/>
    </w:pPr>
    <w:rPr>
      <w:rFonts w:eastAsia="Times New Roman"/>
      <w:szCs w:val="24"/>
    </w:rPr>
  </w:style>
  <w:style w:type="paragraph" w:styleId="BodyText2">
    <w:name w:val="Body Text 2"/>
    <w:basedOn w:val="Normal"/>
    <w:link w:val="BodyText2Char"/>
    <w:pPr>
      <w:tabs>
        <w:tab w:val="num" w:pos="1440"/>
      </w:tabs>
      <w:spacing w:before="0" w:after="240"/>
      <w:ind w:left="1440" w:hanging="720"/>
    </w:pPr>
    <w:rPr>
      <w:rFonts w:eastAsia="Times New Roman"/>
      <w:sz w:val="22"/>
      <w:szCs w:val="20"/>
    </w:rPr>
  </w:style>
  <w:style w:type="character" w:customStyle="1" w:styleId="BodyText2Char">
    <w:name w:val="Body Text 2 Char"/>
    <w:basedOn w:val="DefaultParagraphFont"/>
    <w:link w:val="BodyText2"/>
    <w:rPr>
      <w:rFonts w:ascii="Times New Roman" w:eastAsia="Times New Roman" w:hAnsi="Times New Roman" w:cs="Times New Roman"/>
      <w:szCs w:val="20"/>
      <w:lang w:val="ro-RO"/>
    </w:rPr>
  </w:style>
  <w:style w:type="paragraph" w:styleId="BodyText3">
    <w:name w:val="Body Text 3"/>
    <w:basedOn w:val="Normal"/>
    <w:link w:val="BodyText3Char"/>
    <w:pPr>
      <w:tabs>
        <w:tab w:val="num" w:pos="2160"/>
      </w:tabs>
      <w:spacing w:before="0" w:after="240"/>
      <w:ind w:left="2160" w:hanging="720"/>
    </w:pPr>
    <w:rPr>
      <w:rFonts w:eastAsia="Times New Roman"/>
      <w:sz w:val="22"/>
      <w:szCs w:val="20"/>
    </w:rPr>
  </w:style>
  <w:style w:type="character" w:customStyle="1" w:styleId="BodyText3Char">
    <w:name w:val="Body Text 3 Char"/>
    <w:basedOn w:val="DefaultParagraphFont"/>
    <w:link w:val="BodyText3"/>
    <w:rPr>
      <w:rFonts w:ascii="Times New Roman" w:eastAsia="Times New Roman" w:hAnsi="Times New Roman" w:cs="Times New Roman"/>
      <w:szCs w:val="20"/>
      <w:lang w:val="ro-RO"/>
    </w:rPr>
  </w:style>
  <w:style w:type="paragraph" w:styleId="NoteHeading">
    <w:name w:val="Note Heading"/>
    <w:basedOn w:val="Normal"/>
    <w:next w:val="Normal"/>
    <w:link w:val="NoteHeadingChar"/>
    <w:pPr>
      <w:tabs>
        <w:tab w:val="left" w:pos="720"/>
      </w:tabs>
      <w:spacing w:before="0" w:after="0"/>
    </w:pPr>
    <w:rPr>
      <w:rFonts w:eastAsia="Times New Roman"/>
      <w:sz w:val="22"/>
      <w:szCs w:val="20"/>
    </w:rPr>
  </w:style>
  <w:style w:type="character" w:customStyle="1" w:styleId="NoteHeadingChar">
    <w:name w:val="Note Heading Char"/>
    <w:basedOn w:val="DefaultParagraphFont"/>
    <w:link w:val="NoteHeading"/>
    <w:rPr>
      <w:rFonts w:ascii="Times New Roman" w:eastAsia="Times New Roman" w:hAnsi="Times New Roman" w:cs="Times New Roman"/>
      <w:szCs w:val="20"/>
      <w:lang w:val="ro-RO"/>
    </w:rPr>
  </w:style>
  <w:style w:type="paragraph" w:customStyle="1" w:styleId="CM4">
    <w:name w:val="CM4"/>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Titleannex">
    <w:name w:val="Title annex"/>
    <w:basedOn w:val="Normal"/>
    <w:pPr>
      <w:autoSpaceDE w:val="0"/>
      <w:autoSpaceDN w:val="0"/>
      <w:adjustRightInd w:val="0"/>
      <w:spacing w:after="40"/>
      <w:jc w:val="center"/>
      <w:outlineLvl w:val="0"/>
    </w:pPr>
    <w:rPr>
      <w:rFonts w:eastAsia="Times New Roman"/>
      <w:bCs/>
      <w:szCs w:val="20"/>
    </w:rPr>
  </w:style>
  <w:style w:type="paragraph" w:customStyle="1" w:styleId="Annex">
    <w:name w:val="Annex"/>
    <w:basedOn w:val="Normal"/>
    <w:pPr>
      <w:autoSpaceDE w:val="0"/>
      <w:autoSpaceDN w:val="0"/>
      <w:adjustRightInd w:val="0"/>
      <w:spacing w:after="40"/>
      <w:ind w:left="1400" w:hanging="1440"/>
      <w:jc w:val="center"/>
      <w:outlineLvl w:val="0"/>
    </w:pPr>
    <w:rPr>
      <w:rFonts w:eastAsia="Times New Roman"/>
      <w:sz w:val="28"/>
      <w:szCs w:val="20"/>
    </w:rPr>
  </w:style>
  <w:style w:type="paragraph" w:customStyle="1" w:styleId="point3">
    <w:name w:val="point 3"/>
    <w:basedOn w:val="Normal"/>
    <w:pPr>
      <w:spacing w:before="0" w:after="0"/>
      <w:ind w:left="2552" w:hanging="567"/>
      <w:jc w:val="left"/>
      <w:outlineLvl w:val="0"/>
    </w:pPr>
    <w:rPr>
      <w:rFonts w:eastAsia="Times New Roman"/>
      <w:szCs w:val="24"/>
    </w:rPr>
  </w:style>
  <w:style w:type="paragraph" w:customStyle="1" w:styleId="NumPar5">
    <w:name w:val="NumPar 5"/>
    <w:basedOn w:val="Normal"/>
    <w:pPr>
      <w:autoSpaceDE w:val="0"/>
      <w:autoSpaceDN w:val="0"/>
      <w:adjustRightInd w:val="0"/>
      <w:ind w:left="851" w:hanging="851"/>
      <w:jc w:val="left"/>
      <w:outlineLvl w:val="0"/>
    </w:pPr>
    <w:rPr>
      <w:rFonts w:eastAsia="Times New Roman"/>
      <w:sz w:val="22"/>
    </w:rPr>
  </w:style>
  <w:style w:type="paragraph" w:customStyle="1" w:styleId="NumPar6">
    <w:name w:val="NumPar 6"/>
    <w:basedOn w:val="Normal"/>
    <w:pPr>
      <w:autoSpaceDE w:val="0"/>
      <w:autoSpaceDN w:val="0"/>
      <w:adjustRightInd w:val="0"/>
      <w:ind w:left="851" w:hanging="851"/>
      <w:jc w:val="left"/>
      <w:outlineLvl w:val="0"/>
    </w:pPr>
    <w:rPr>
      <w:rFonts w:eastAsia="Times New Roman"/>
      <w:sz w:val="22"/>
    </w:rPr>
  </w:style>
  <w:style w:type="paragraph" w:customStyle="1" w:styleId="NumPar7">
    <w:name w:val="NumPar 7"/>
    <w:basedOn w:val="Normal"/>
    <w:pPr>
      <w:autoSpaceDE w:val="0"/>
      <w:autoSpaceDN w:val="0"/>
      <w:adjustRightInd w:val="0"/>
      <w:ind w:left="851" w:hanging="851"/>
      <w:jc w:val="left"/>
      <w:outlineLvl w:val="0"/>
    </w:pPr>
    <w:rPr>
      <w:rFonts w:eastAsia="Times New Roman"/>
      <w:sz w:val="22"/>
    </w:rPr>
  </w:style>
  <w:style w:type="character" w:customStyle="1" w:styleId="BodyTextChar1">
    <w:name w:val="Body Text Char1"/>
    <w:rPr>
      <w:rFonts w:ascii="Calibri" w:eastAsia="Calibri" w:hAnsi="Calibri" w:cs="Times New Roman"/>
    </w:rPr>
  </w:style>
  <w:style w:type="character" w:styleId="Strong">
    <w:name w:val="Strong"/>
    <w:qFormat/>
    <w:rPr>
      <w:b/>
      <w:bCs/>
    </w:rPr>
  </w:style>
  <w:style w:type="paragraph" w:customStyle="1" w:styleId="AutoCorrect">
    <w:name w:val="AutoCorrect"/>
    <w:pPr>
      <w:spacing w:after="0" w:line="240" w:lineRule="auto"/>
    </w:pPr>
    <w:rPr>
      <w:rFonts w:ascii="Times New Roman" w:eastAsia="Times New Roman" w:hAnsi="Times New Roman" w:cs="Times New Roman"/>
      <w:sz w:val="24"/>
      <w:szCs w:val="24"/>
    </w:rPr>
  </w:style>
  <w:style w:type="paragraph" w:customStyle="1" w:styleId="-PAGE-">
    <w:name w:val="- PAGE -"/>
    <w:pPr>
      <w:spacing w:after="0" w:line="240" w:lineRule="auto"/>
    </w:pPr>
    <w:rPr>
      <w:rFonts w:ascii="Times New Roman" w:eastAsia="Times New Roman" w:hAnsi="Times New Roman" w:cs="Times New Roman"/>
      <w:sz w:val="24"/>
      <w:szCs w:val="24"/>
    </w:rPr>
  </w:style>
  <w:style w:type="paragraph" w:customStyle="1" w:styleId="PageXofY">
    <w:name w:val="Page X of Y"/>
    <w:pPr>
      <w:spacing w:after="0" w:line="240" w:lineRule="auto"/>
    </w:pPr>
    <w:rPr>
      <w:rFonts w:ascii="Times New Roman" w:eastAsia="Times New Roman" w:hAnsi="Times New Roman" w:cs="Times New Roman"/>
      <w:sz w:val="24"/>
      <w:szCs w:val="24"/>
    </w:rPr>
  </w:style>
  <w:style w:type="paragraph" w:customStyle="1" w:styleId="Createdby">
    <w:name w:val="Created by"/>
    <w:pPr>
      <w:spacing w:after="0" w:line="240" w:lineRule="auto"/>
    </w:pPr>
    <w:rPr>
      <w:rFonts w:ascii="Times New Roman" w:eastAsia="Times New Roman" w:hAnsi="Times New Roman" w:cs="Times New Roman"/>
      <w:sz w:val="24"/>
      <w:szCs w:val="24"/>
    </w:rPr>
  </w:style>
  <w:style w:type="paragraph" w:customStyle="1" w:styleId="Createdon">
    <w:name w:val="Created on"/>
    <w:pPr>
      <w:spacing w:after="0" w:line="240" w:lineRule="auto"/>
    </w:pPr>
    <w:rPr>
      <w:rFonts w:ascii="Times New Roman" w:eastAsia="Times New Roman" w:hAnsi="Times New Roman" w:cs="Times New Roman"/>
      <w:sz w:val="24"/>
      <w:szCs w:val="24"/>
    </w:rPr>
  </w:style>
  <w:style w:type="paragraph" w:customStyle="1" w:styleId="Lastprinted">
    <w:name w:val="Last printed"/>
    <w:pPr>
      <w:spacing w:after="0" w:line="240" w:lineRule="auto"/>
    </w:pPr>
    <w:rPr>
      <w:rFonts w:ascii="Times New Roman" w:eastAsia="Times New Roman" w:hAnsi="Times New Roman" w:cs="Times New Roman"/>
      <w:sz w:val="24"/>
      <w:szCs w:val="24"/>
    </w:rPr>
  </w:style>
  <w:style w:type="paragraph" w:customStyle="1" w:styleId="Lastsavedby">
    <w:name w:val="Last saved by"/>
    <w:pPr>
      <w:spacing w:after="0" w:line="240" w:lineRule="auto"/>
    </w:pPr>
    <w:rPr>
      <w:rFonts w:ascii="Times New Roman" w:eastAsia="Times New Roman" w:hAnsi="Times New Roman" w:cs="Times New Roman"/>
      <w:sz w:val="24"/>
      <w:szCs w:val="24"/>
    </w:rPr>
  </w:style>
  <w:style w:type="paragraph" w:customStyle="1" w:styleId="Filename">
    <w:name w:val="Filename"/>
    <w:pPr>
      <w:spacing w:after="0" w:line="240" w:lineRule="auto"/>
    </w:pPr>
    <w:rPr>
      <w:rFonts w:ascii="Times New Roman" w:eastAsia="Times New Roman" w:hAnsi="Times New Roman" w:cs="Times New Roman"/>
      <w:sz w:val="24"/>
      <w:szCs w:val="24"/>
    </w:rPr>
  </w:style>
  <w:style w:type="paragraph" w:customStyle="1" w:styleId="Filenameandpath">
    <w:name w:val="Filename and path"/>
    <w:pPr>
      <w:spacing w:after="0" w:line="240" w:lineRule="auto"/>
    </w:pPr>
    <w:rPr>
      <w:rFonts w:ascii="Times New Roman" w:eastAsia="Times New Roman" w:hAnsi="Times New Roman" w:cs="Times New Roman"/>
      <w:sz w:val="24"/>
      <w:szCs w:val="24"/>
    </w:rPr>
  </w:style>
  <w:style w:type="paragraph" w:customStyle="1" w:styleId="AuthorPageDate">
    <w:name w:val="Author  Page #  Date"/>
    <w:pPr>
      <w:spacing w:after="0" w:line="240" w:lineRule="auto"/>
    </w:pPr>
    <w:rPr>
      <w:rFonts w:ascii="Times New Roman" w:eastAsia="Times New Roman" w:hAnsi="Times New Roman" w:cs="Times New Roman"/>
      <w:sz w:val="24"/>
      <w:szCs w:val="24"/>
    </w:rPr>
  </w:style>
  <w:style w:type="paragraph" w:customStyle="1" w:styleId="ConfidentialPageDate">
    <w:name w:val="Confidential  Page #  Date"/>
    <w:pPr>
      <w:spacing w:after="0" w:line="240" w:lineRule="auto"/>
    </w:pPr>
    <w:rPr>
      <w:rFonts w:ascii="Times New Roman" w:eastAsia="Times New Roman" w:hAnsi="Times New Roman" w:cs="Times New Roman"/>
      <w:sz w:val="24"/>
      <w:szCs w:val="24"/>
    </w:rPr>
  </w:style>
  <w:style w:type="character" w:customStyle="1" w:styleId="FontStyle15">
    <w:name w:val="Font Style15"/>
    <w:rPr>
      <w:rFonts w:ascii="Times New Roman" w:hAnsi="Times New Roman" w:cs="Times New Roman"/>
      <w:sz w:val="22"/>
      <w:szCs w:val="22"/>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TitrearticleChar">
    <w:name w:val="Titre article Char"/>
    <w:rPr>
      <w:rFonts w:ascii="Times New Roman" w:hAnsi="Times New Roman" w:cs="Times New Roman"/>
      <w:i/>
      <w:sz w:val="24"/>
      <w:lang w:val="ro-RO"/>
    </w:rPr>
  </w:style>
  <w:style w:type="paragraph" w:customStyle="1" w:styleId="num">
    <w:name w:val="num"/>
    <w:basedOn w:val="Normal"/>
    <w:pPr>
      <w:spacing w:before="0" w:after="240"/>
      <w:ind w:left="850" w:hanging="850"/>
    </w:pPr>
    <w:rPr>
      <w:rFonts w:eastAsia="Times New Roman"/>
      <w:szCs w:val="20"/>
    </w:rPr>
  </w:style>
  <w:style w:type="paragraph" w:customStyle="1" w:styleId="num2">
    <w:name w:val="num2"/>
    <w:basedOn w:val="num"/>
    <w:pPr>
      <w:ind w:left="1700"/>
    </w:pPr>
  </w:style>
  <w:style w:type="paragraph" w:customStyle="1" w:styleId="footnote">
    <w:name w:val="footnote"/>
    <w:basedOn w:val="FootnoteText"/>
    <w:link w:val="footnoteChar"/>
    <w:pPr>
      <w:spacing w:after="240"/>
      <w:ind w:left="0" w:firstLine="0"/>
    </w:pPr>
    <w:rPr>
      <w:rFonts w:eastAsia="Times New Roman"/>
      <w:sz w:val="16"/>
      <w:szCs w:val="16"/>
    </w:rPr>
  </w:style>
  <w:style w:type="paragraph" w:customStyle="1" w:styleId="para">
    <w:name w:val="para"/>
    <w:basedOn w:val="Normal"/>
    <w:pPr>
      <w:spacing w:before="0" w:after="240"/>
      <w:jc w:val="left"/>
    </w:pPr>
    <w:rPr>
      <w:rFonts w:eastAsia="Batang"/>
      <w:szCs w:val="20"/>
    </w:rPr>
  </w:style>
  <w:style w:type="paragraph" w:styleId="ListParagraph">
    <w:name w:val="List Paragraph"/>
    <w:basedOn w:val="Normal"/>
    <w:qFormat/>
    <w:pPr>
      <w:spacing w:before="0" w:after="0"/>
      <w:ind w:left="720"/>
      <w:jc w:val="left"/>
    </w:pPr>
    <w:rPr>
      <w:rFonts w:eastAsia="Times New Roman"/>
      <w:szCs w:val="24"/>
    </w:rPr>
  </w:style>
  <w:style w:type="character" w:customStyle="1" w:styleId="footnoteChar">
    <w:name w:val="footnote Char"/>
    <w:link w:val="footnote"/>
    <w:rPr>
      <w:rFonts w:ascii="Times New Roman" w:eastAsia="Times New Roman" w:hAnsi="Times New Roman" w:cs="Times New Roman"/>
      <w:sz w:val="16"/>
      <w:szCs w:val="16"/>
      <w:lang w:val="ro-RO" w:eastAsia="ro-RO"/>
    </w:rPr>
  </w:style>
  <w:style w:type="paragraph" w:customStyle="1" w:styleId="ListNumberLevel2">
    <w:name w:val="List Number (Level 2)"/>
    <w:basedOn w:val="Normal"/>
    <w:pPr>
      <w:tabs>
        <w:tab w:val="num" w:pos="850"/>
      </w:tabs>
      <w:spacing w:before="0" w:after="240"/>
      <w:ind w:left="850" w:hanging="850"/>
    </w:pPr>
    <w:rPr>
      <w:rFonts w:eastAsia="Times New Roman"/>
      <w:szCs w:val="20"/>
    </w:rPr>
  </w:style>
  <w:style w:type="paragraph" w:customStyle="1" w:styleId="StyleBoldCenteredLinespacingAtleast12pt">
    <w:name w:val="Style Bold Centered Line spacing:  At least 12 pt"/>
    <w:basedOn w:val="Normal"/>
    <w:autoRedefine/>
    <w:pPr>
      <w:keepNext/>
      <w:spacing w:before="0" w:after="0"/>
      <w:jc w:val="center"/>
    </w:pPr>
    <w:rPr>
      <w:rFonts w:eastAsia="Times New Roman"/>
      <w:bCs/>
      <w:szCs w:val="24"/>
    </w:rPr>
  </w:style>
  <w:style w:type="paragraph" w:customStyle="1" w:styleId="StyleItalicCentered">
    <w:name w:val="Style Italic Centered"/>
    <w:basedOn w:val="Normal"/>
    <w:autoRedefine/>
    <w:pPr>
      <w:keepNext/>
      <w:spacing w:before="0" w:after="0"/>
      <w:jc w:val="center"/>
      <w:outlineLvl w:val="0"/>
    </w:pPr>
    <w:rPr>
      <w:rFonts w:eastAsia="Times New Roman"/>
      <w:i/>
      <w:iCs/>
      <w:szCs w:val="20"/>
    </w:rPr>
  </w:style>
  <w:style w:type="paragraph" w:customStyle="1" w:styleId="Style6">
    <w:name w:val="Style6"/>
    <w:basedOn w:val="Normal"/>
    <w:pPr>
      <w:widowControl w:val="0"/>
      <w:autoSpaceDE w:val="0"/>
      <w:autoSpaceDN w:val="0"/>
      <w:adjustRightInd w:val="0"/>
      <w:spacing w:before="0" w:after="0" w:line="275" w:lineRule="exact"/>
      <w:ind w:hanging="197"/>
      <w:jc w:val="left"/>
    </w:pPr>
    <w:rPr>
      <w:rFonts w:eastAsia="Times New Roman"/>
      <w:szCs w:val="24"/>
    </w:rPr>
  </w:style>
  <w:style w:type="character" w:customStyle="1" w:styleId="FontStyle14">
    <w:name w:val="Font Style14"/>
    <w:rPr>
      <w:rFonts w:ascii="Times New Roman" w:hAnsi="Times New Roman" w:cs="Times New Roman"/>
      <w:i/>
      <w:iCs/>
      <w:sz w:val="22"/>
      <w:szCs w:val="22"/>
    </w:rPr>
  </w:style>
  <w:style w:type="paragraph" w:customStyle="1" w:styleId="Style4">
    <w:name w:val="Style4"/>
    <w:basedOn w:val="Normal"/>
    <w:pPr>
      <w:widowControl w:val="0"/>
      <w:autoSpaceDE w:val="0"/>
      <w:autoSpaceDN w:val="0"/>
      <w:adjustRightInd w:val="0"/>
      <w:spacing w:before="0" w:after="0" w:line="298" w:lineRule="exact"/>
    </w:pPr>
    <w:rPr>
      <w:rFonts w:eastAsia="Times New Roman"/>
      <w:szCs w:val="24"/>
    </w:rPr>
  </w:style>
  <w:style w:type="paragraph" w:customStyle="1" w:styleId="Style8">
    <w:name w:val="Style8"/>
    <w:basedOn w:val="Normal"/>
    <w:pPr>
      <w:widowControl w:val="0"/>
      <w:autoSpaceDE w:val="0"/>
      <w:autoSpaceDN w:val="0"/>
      <w:adjustRightInd w:val="0"/>
      <w:spacing w:before="0" w:after="0" w:line="276" w:lineRule="exact"/>
    </w:pPr>
    <w:rPr>
      <w:rFonts w:eastAsia="Times New Roman"/>
      <w:szCs w:val="24"/>
    </w:rPr>
  </w:style>
  <w:style w:type="character" w:customStyle="1" w:styleId="FontStyle16">
    <w:name w:val="Font Style16"/>
    <w:rPr>
      <w:rFonts w:ascii="Times New Roman" w:hAnsi="Times New Roman" w:cs="Times New Roman"/>
      <w:b/>
      <w:bCs/>
      <w:smallCaps/>
      <w:spacing w:val="20"/>
      <w:sz w:val="16"/>
      <w:szCs w:val="16"/>
    </w:rPr>
  </w:style>
  <w:style w:type="character" w:customStyle="1" w:styleId="FontStyle12">
    <w:name w:val="Font Style12"/>
    <w:rPr>
      <w:rFonts w:ascii="Times New Roman" w:hAnsi="Times New Roman" w:cs="Times New Roman"/>
      <w:b/>
      <w:bCs/>
      <w:sz w:val="22"/>
      <w:szCs w:val="22"/>
    </w:rPr>
  </w:style>
  <w:style w:type="paragraph" w:customStyle="1" w:styleId="HeaderFooter">
    <w:name w:val="HeaderFooter"/>
    <w:basedOn w:val="Header"/>
    <w:pPr>
      <w:tabs>
        <w:tab w:val="clear" w:pos="4535"/>
        <w:tab w:val="clear" w:pos="9071"/>
        <w:tab w:val="center" w:pos="4320"/>
        <w:tab w:val="right" w:pos="8640"/>
      </w:tabs>
      <w:spacing w:after="0"/>
      <w:jc w:val="center"/>
    </w:pPr>
    <w:rPr>
      <w:rFonts w:eastAsia="Times New Roman"/>
      <w:b/>
      <w:smallCaps/>
      <w:szCs w:val="24"/>
    </w:rPr>
  </w:style>
  <w:style w:type="paragraph" w:styleId="DocumentMap">
    <w:name w:val="Document Map"/>
    <w:basedOn w:val="Normal"/>
    <w:link w:val="DocumentMapChar"/>
    <w:pPr>
      <w:shd w:val="clear" w:color="auto" w:fill="000080"/>
      <w:spacing w:before="0" w:after="0"/>
      <w:jc w:val="left"/>
    </w:pPr>
    <w:rPr>
      <w:rFonts w:ascii="Tahoma" w:eastAsia="Times New Roman" w:hAnsi="Tahoma" w:cs="Tahoma"/>
      <w:sz w:val="20"/>
      <w:szCs w:val="20"/>
    </w:rPr>
  </w:style>
  <w:style w:type="character" w:customStyle="1" w:styleId="DocumentMapChar">
    <w:name w:val="Document Map Char"/>
    <w:basedOn w:val="DefaultParagraphFont"/>
    <w:link w:val="DocumentMap"/>
    <w:rPr>
      <w:rFonts w:ascii="Tahoma" w:eastAsia="Times New Roman" w:hAnsi="Tahoma" w:cs="Tahoma"/>
      <w:sz w:val="20"/>
      <w:szCs w:val="20"/>
      <w:shd w:val="clear" w:color="auto" w:fill="000080"/>
      <w:lang w:val="ro-RO" w:eastAsia="ro-RO"/>
    </w:rPr>
  </w:style>
  <w:style w:type="paragraph" w:styleId="BlockText">
    <w:name w:val="Block Text"/>
    <w:basedOn w:val="Normal"/>
    <w:pPr>
      <w:tabs>
        <w:tab w:val="left" w:pos="720"/>
      </w:tabs>
      <w:spacing w:before="0" w:after="240"/>
      <w:ind w:left="1440" w:right="1440"/>
    </w:pPr>
    <w:rPr>
      <w:rFonts w:eastAsia="Times New Roman"/>
      <w:sz w:val="22"/>
      <w:szCs w:val="20"/>
    </w:rPr>
  </w:style>
  <w:style w:type="paragraph" w:customStyle="1" w:styleId="BodyText4">
    <w:name w:val="Body Text 4"/>
    <w:basedOn w:val="Normal"/>
    <w:pPr>
      <w:spacing w:before="0" w:after="240"/>
      <w:ind w:left="3240" w:hanging="360"/>
    </w:pPr>
    <w:rPr>
      <w:rFonts w:eastAsia="Times New Roman"/>
      <w:sz w:val="22"/>
      <w:szCs w:val="20"/>
    </w:rPr>
  </w:style>
  <w:style w:type="paragraph" w:styleId="EndnoteText">
    <w:name w:val="endnote text"/>
    <w:basedOn w:val="Normal"/>
    <w:link w:val="EndnoteTextChar"/>
    <w:pPr>
      <w:tabs>
        <w:tab w:val="left" w:pos="720"/>
        <w:tab w:val="num" w:pos="1984"/>
      </w:tabs>
      <w:spacing w:before="0" w:after="0"/>
      <w:jc w:val="left"/>
    </w:pPr>
    <w:rPr>
      <w:rFonts w:eastAsia="Times New Roman"/>
      <w:sz w:val="20"/>
      <w:szCs w:val="20"/>
    </w:rPr>
  </w:style>
  <w:style w:type="character" w:customStyle="1" w:styleId="EndnoteTextChar">
    <w:name w:val="Endnote Text Char"/>
    <w:basedOn w:val="DefaultParagraphFont"/>
    <w:link w:val="EndnoteText"/>
    <w:rPr>
      <w:rFonts w:ascii="Times New Roman" w:eastAsia="Times New Roman" w:hAnsi="Times New Roman" w:cs="Times New Roman"/>
      <w:sz w:val="20"/>
      <w:szCs w:val="20"/>
      <w:lang w:val="ro-RO"/>
    </w:rPr>
  </w:style>
  <w:style w:type="paragraph" w:styleId="PlainText">
    <w:name w:val="Plain Text"/>
    <w:basedOn w:val="Normal"/>
    <w:link w:val="PlainTextChar"/>
    <w:pPr>
      <w:tabs>
        <w:tab w:val="left" w:pos="720"/>
      </w:tabs>
      <w:spacing w:before="0" w:after="0"/>
    </w:pPr>
    <w:rPr>
      <w:rFonts w:ascii="Courier New" w:eastAsia="Times New Roman" w:hAnsi="Courier New"/>
      <w:sz w:val="20"/>
      <w:szCs w:val="20"/>
    </w:rPr>
  </w:style>
  <w:style w:type="character" w:customStyle="1" w:styleId="PlainTextChar">
    <w:name w:val="Plain Text Char"/>
    <w:basedOn w:val="DefaultParagraphFont"/>
    <w:link w:val="PlainText"/>
    <w:rPr>
      <w:rFonts w:ascii="Courier New" w:eastAsia="Times New Roman" w:hAnsi="Courier New" w:cs="Times New Roman"/>
      <w:sz w:val="20"/>
      <w:szCs w:val="20"/>
      <w:lang w:val="ro-RO"/>
    </w:rPr>
  </w:style>
  <w:style w:type="paragraph" w:styleId="Subtitle">
    <w:name w:val="Subtitle"/>
    <w:basedOn w:val="Normal"/>
    <w:link w:val="SubtitleChar"/>
    <w:qFormat/>
    <w:pPr>
      <w:tabs>
        <w:tab w:val="left" w:pos="720"/>
      </w:tabs>
      <w:spacing w:before="0" w:after="0"/>
      <w:jc w:val="center"/>
      <w:outlineLvl w:val="1"/>
    </w:pPr>
    <w:rPr>
      <w:rFonts w:eastAsia="Times New Roman"/>
      <w:sz w:val="22"/>
      <w:szCs w:val="20"/>
    </w:rPr>
  </w:style>
  <w:style w:type="character" w:customStyle="1" w:styleId="SubtitleChar">
    <w:name w:val="Subtitle Char"/>
    <w:basedOn w:val="DefaultParagraphFont"/>
    <w:link w:val="Subtitle"/>
    <w:rPr>
      <w:rFonts w:ascii="Times New Roman" w:eastAsia="Times New Roman" w:hAnsi="Times New Roman" w:cs="Times New Roman"/>
      <w:szCs w:val="20"/>
      <w:lang w:val="ro-RO"/>
    </w:rPr>
  </w:style>
  <w:style w:type="paragraph" w:styleId="Title">
    <w:name w:val="Title"/>
    <w:basedOn w:val="Normal"/>
    <w:link w:val="TitleChar"/>
    <w:qFormat/>
    <w:pPr>
      <w:tabs>
        <w:tab w:val="left" w:pos="720"/>
      </w:tabs>
      <w:spacing w:before="0" w:after="0"/>
      <w:jc w:val="center"/>
    </w:pPr>
    <w:rPr>
      <w:rFonts w:eastAsia="Times New Roman"/>
      <w:b/>
      <w:caps/>
      <w:kern w:val="28"/>
      <w:sz w:val="22"/>
      <w:szCs w:val="20"/>
    </w:rPr>
  </w:style>
  <w:style w:type="character" w:customStyle="1" w:styleId="TitleChar">
    <w:name w:val="Title Char"/>
    <w:basedOn w:val="DefaultParagraphFont"/>
    <w:link w:val="Title"/>
    <w:rPr>
      <w:rFonts w:ascii="Times New Roman" w:eastAsia="Times New Roman" w:hAnsi="Times New Roman" w:cs="Times New Roman"/>
      <w:b/>
      <w:caps/>
      <w:kern w:val="28"/>
      <w:szCs w:val="20"/>
      <w:lang w:val="ro-RO"/>
    </w:rPr>
  </w:style>
  <w:style w:type="paragraph" w:customStyle="1" w:styleId="Title2">
    <w:name w:val="Title 2"/>
    <w:basedOn w:val="Normal"/>
    <w:pPr>
      <w:tabs>
        <w:tab w:val="left" w:pos="720"/>
      </w:tabs>
      <w:spacing w:before="0" w:after="0"/>
      <w:jc w:val="center"/>
    </w:pPr>
    <w:rPr>
      <w:rFonts w:eastAsia="Times New Roman"/>
      <w:sz w:val="22"/>
      <w:szCs w:val="20"/>
      <w:u w:val="single"/>
    </w:rPr>
  </w:style>
  <w:style w:type="paragraph" w:customStyle="1" w:styleId="Title3">
    <w:name w:val="Title 3"/>
    <w:basedOn w:val="Normal"/>
    <w:pPr>
      <w:tabs>
        <w:tab w:val="left" w:pos="720"/>
      </w:tabs>
      <w:spacing w:before="0" w:after="0"/>
      <w:jc w:val="center"/>
    </w:pPr>
    <w:rPr>
      <w:rFonts w:eastAsia="Times New Roman"/>
      <w:i/>
      <w:sz w:val="22"/>
      <w:szCs w:val="20"/>
    </w:rPr>
  </w:style>
  <w:style w:type="paragraph" w:customStyle="1" w:styleId="TitleCountry">
    <w:name w:val="Title Country"/>
    <w:basedOn w:val="Normal"/>
    <w:pPr>
      <w:tabs>
        <w:tab w:val="left" w:pos="720"/>
      </w:tabs>
      <w:spacing w:before="0" w:after="0"/>
      <w:jc w:val="center"/>
    </w:pPr>
    <w:rPr>
      <w:rFonts w:eastAsia="Times New Roman"/>
      <w:caps/>
      <w:sz w:val="22"/>
      <w:szCs w:val="20"/>
    </w:rPr>
  </w:style>
  <w:style w:type="paragraph" w:styleId="EnvelopeAddress">
    <w:name w:val="envelope address"/>
    <w:basedOn w:val="Normal"/>
    <w:pPr>
      <w:framePr w:w="7920" w:h="1980" w:hRule="exact" w:hSpace="180" w:wrap="auto" w:hAnchor="page" w:xAlign="center" w:yAlign="bottom"/>
      <w:tabs>
        <w:tab w:val="left" w:pos="720"/>
      </w:tabs>
      <w:spacing w:before="0" w:after="0"/>
      <w:ind w:left="2880"/>
    </w:pPr>
    <w:rPr>
      <w:rFonts w:ascii="Arial" w:eastAsia="Times New Roman" w:hAnsi="Arial"/>
      <w:szCs w:val="20"/>
    </w:rPr>
  </w:style>
  <w:style w:type="paragraph" w:customStyle="1" w:styleId="Quotation">
    <w:name w:val="Quotation"/>
    <w:basedOn w:val="Normal"/>
    <w:pPr>
      <w:tabs>
        <w:tab w:val="left" w:pos="720"/>
      </w:tabs>
      <w:spacing w:before="0" w:after="240"/>
      <w:ind w:left="720" w:right="720"/>
    </w:pPr>
    <w:rPr>
      <w:rFonts w:eastAsia="Times New Roman"/>
      <w:sz w:val="22"/>
      <w:szCs w:val="20"/>
    </w:rPr>
  </w:style>
  <w:style w:type="paragraph" w:customStyle="1" w:styleId="QuotationDouble">
    <w:name w:val="Quotation Double"/>
    <w:basedOn w:val="Normal"/>
    <w:pPr>
      <w:tabs>
        <w:tab w:val="left" w:pos="720"/>
      </w:tabs>
      <w:spacing w:before="0" w:after="240"/>
      <w:ind w:left="1440" w:right="1440"/>
    </w:pPr>
    <w:rPr>
      <w:rFonts w:eastAsia="Times New Roman"/>
      <w:sz w:val="22"/>
      <w:szCs w:val="20"/>
    </w:rPr>
  </w:style>
  <w:style w:type="paragraph" w:customStyle="1" w:styleId="FootnoteQuotation">
    <w:name w:val="Footnote Quotation"/>
    <w:basedOn w:val="Normal"/>
    <w:pPr>
      <w:tabs>
        <w:tab w:val="left" w:pos="720"/>
      </w:tabs>
      <w:spacing w:before="0" w:after="0"/>
      <w:ind w:left="720" w:right="720"/>
    </w:pPr>
    <w:rPr>
      <w:rFonts w:eastAsia="Times New Roman"/>
      <w:sz w:val="20"/>
      <w:szCs w:val="20"/>
    </w:rPr>
  </w:style>
  <w:style w:type="paragraph" w:customStyle="1" w:styleId="QuestionText">
    <w:name w:val="Question Text"/>
    <w:basedOn w:val="Normal"/>
    <w:next w:val="BodyText"/>
    <w:pPr>
      <w:tabs>
        <w:tab w:val="left" w:pos="720"/>
      </w:tabs>
      <w:spacing w:before="0" w:after="240"/>
    </w:pPr>
    <w:rPr>
      <w:rFonts w:eastAsia="Times New Roman"/>
      <w:b/>
      <w:sz w:val="22"/>
      <w:szCs w:val="20"/>
    </w:rPr>
  </w:style>
  <w:style w:type="paragraph" w:styleId="BodyTextIndent">
    <w:name w:val="Body Text Indent"/>
    <w:basedOn w:val="Normal"/>
    <w:link w:val="BodyTextIndentChar"/>
    <w:pPr>
      <w:tabs>
        <w:tab w:val="num" w:pos="1440"/>
      </w:tabs>
      <w:spacing w:before="0" w:after="240"/>
      <w:ind w:left="1440" w:hanging="720"/>
    </w:pPr>
    <w:rPr>
      <w:rFonts w:eastAsia="Times New Roman"/>
      <w:sz w:val="22"/>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szCs w:val="20"/>
      <w:lang w:val="ro-RO"/>
    </w:rPr>
  </w:style>
  <w:style w:type="paragraph" w:styleId="BodyTextIndent2">
    <w:name w:val="Body Text Indent 2"/>
    <w:basedOn w:val="Normal"/>
    <w:link w:val="BodyTextIndent2Char"/>
    <w:pPr>
      <w:spacing w:before="0" w:line="480" w:lineRule="auto"/>
      <w:ind w:left="283"/>
    </w:pPr>
    <w:rPr>
      <w:rFonts w:eastAsia="Times New Roman"/>
      <w:szCs w:val="20"/>
    </w:rPr>
  </w:style>
  <w:style w:type="character" w:customStyle="1" w:styleId="BodyTextIndent2Char">
    <w:name w:val="Body Text Indent 2 Char"/>
    <w:basedOn w:val="DefaultParagraphFont"/>
    <w:link w:val="BodyTextIndent2"/>
    <w:rPr>
      <w:rFonts w:ascii="Times New Roman" w:eastAsia="Times New Roman" w:hAnsi="Times New Roman" w:cs="Times New Roman"/>
      <w:sz w:val="24"/>
      <w:szCs w:val="20"/>
      <w:lang w:val="ro-RO"/>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eastAsia="Times New Roman" w:hAnsi="Courier New" w:cs="Courier New"/>
      <w:color w:val="000000"/>
      <w:sz w:val="21"/>
      <w:szCs w:val="21"/>
    </w:rPr>
  </w:style>
  <w:style w:type="character" w:customStyle="1" w:styleId="HTMLPreformattedChar">
    <w:name w:val="HTML Preformatted Char"/>
    <w:basedOn w:val="DefaultParagraphFont"/>
    <w:link w:val="HTMLPreformatted"/>
    <w:rPr>
      <w:rFonts w:ascii="Courier New" w:eastAsia="Times New Roman" w:hAnsi="Courier New" w:cs="Courier New"/>
      <w:color w:val="000000"/>
      <w:sz w:val="21"/>
      <w:szCs w:val="21"/>
      <w:lang w:val="ro-RO" w:eastAsia="ro-RO"/>
    </w:rPr>
  </w:style>
  <w:style w:type="paragraph" w:styleId="BodyTextFirstIndent">
    <w:name w:val="Body Text First Indent"/>
    <w:basedOn w:val="BodyText"/>
    <w:link w:val="BodyTextFirstIndentChar"/>
    <w:pPr>
      <w:tabs>
        <w:tab w:val="num" w:pos="360"/>
      </w:tabs>
      <w:spacing w:after="120"/>
      <w:ind w:firstLine="210"/>
    </w:pPr>
    <w:rPr>
      <w:rFonts w:ascii="Calibri" w:eastAsia="Calibri" w:hAnsi="Calibri"/>
      <w:sz w:val="22"/>
      <w:szCs w:val="22"/>
    </w:rPr>
  </w:style>
  <w:style w:type="character" w:customStyle="1" w:styleId="BodyTextFirstIndentChar">
    <w:name w:val="Body Text First Indent Char"/>
    <w:basedOn w:val="BodyTextChar"/>
    <w:link w:val="BodyTextFirstIndent"/>
    <w:rPr>
      <w:rFonts w:ascii="Calibri" w:eastAsia="Calibri" w:hAnsi="Calibri" w:cs="Times New Roman"/>
      <w:sz w:val="24"/>
      <w:lang w:val="ro-RO"/>
    </w:rPr>
  </w:style>
  <w:style w:type="character" w:customStyle="1" w:styleId="BodyTextChar2">
    <w:name w:val="Body Text Char2"/>
    <w:aliases w:val="Body Char1"/>
    <w:link w:val="BodyText"/>
    <w:rPr>
      <w:rFonts w:ascii="Times New Roman" w:eastAsia="Times New Roman" w:hAnsi="Times New Roman" w:cs="Times New Roman"/>
      <w:sz w:val="24"/>
      <w:szCs w:val="24"/>
      <w:lang w:val="ro-RO" w:eastAsia="ro-RO"/>
    </w:rPr>
  </w:style>
  <w:style w:type="paragraph" w:styleId="BodyTextFirstIndent2">
    <w:name w:val="Body Text First Indent 2"/>
    <w:basedOn w:val="BodyTextIndent"/>
    <w:link w:val="BodyTextFirstIndent2Char"/>
    <w:pPr>
      <w:tabs>
        <w:tab w:val="clear" w:pos="1440"/>
        <w:tab w:val="left" w:pos="720"/>
      </w:tabs>
      <w:spacing w:after="120"/>
      <w:ind w:left="283" w:firstLine="210"/>
    </w:pPr>
  </w:style>
  <w:style w:type="character" w:customStyle="1" w:styleId="BodyTextFirstIndent2Char">
    <w:name w:val="Body Text First Indent 2 Char"/>
    <w:basedOn w:val="BodyTextIndentChar"/>
    <w:link w:val="BodyTextFirstIndent2"/>
    <w:rPr>
      <w:rFonts w:ascii="Times New Roman" w:eastAsia="Times New Roman" w:hAnsi="Times New Roman" w:cs="Times New Roman"/>
      <w:szCs w:val="20"/>
      <w:lang w:val="ro-RO"/>
    </w:rPr>
  </w:style>
  <w:style w:type="paragraph" w:styleId="BodyTextIndent3">
    <w:name w:val="Body Text Indent 3"/>
    <w:basedOn w:val="Normal"/>
    <w:link w:val="BodyTextIndent3Char"/>
    <w:pPr>
      <w:tabs>
        <w:tab w:val="left" w:pos="720"/>
      </w:tabs>
      <w:spacing w:before="0"/>
      <w:ind w:left="283"/>
    </w:pPr>
    <w:rPr>
      <w:rFonts w:eastAsia="Times New Roman"/>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paragraph" w:styleId="Closing">
    <w:name w:val="Closing"/>
    <w:basedOn w:val="Normal"/>
    <w:link w:val="ClosingChar"/>
    <w:pPr>
      <w:tabs>
        <w:tab w:val="left" w:pos="720"/>
      </w:tabs>
      <w:spacing w:before="0" w:after="0"/>
      <w:ind w:left="4252"/>
    </w:pPr>
    <w:rPr>
      <w:rFonts w:eastAsia="Times New Roman"/>
      <w:sz w:val="22"/>
      <w:szCs w:val="20"/>
    </w:rPr>
  </w:style>
  <w:style w:type="character" w:customStyle="1" w:styleId="ClosingChar">
    <w:name w:val="Closing Char"/>
    <w:basedOn w:val="DefaultParagraphFont"/>
    <w:link w:val="Closing"/>
    <w:rPr>
      <w:rFonts w:ascii="Times New Roman" w:eastAsia="Times New Roman" w:hAnsi="Times New Roman" w:cs="Times New Roman"/>
      <w:szCs w:val="20"/>
      <w:lang w:val="ro-RO"/>
    </w:rPr>
  </w:style>
  <w:style w:type="paragraph" w:styleId="Date">
    <w:name w:val="Date"/>
    <w:basedOn w:val="Normal"/>
    <w:next w:val="Normal"/>
    <w:link w:val="DateChar"/>
    <w:pPr>
      <w:tabs>
        <w:tab w:val="left" w:pos="720"/>
      </w:tabs>
      <w:spacing w:before="0" w:after="0"/>
    </w:pPr>
    <w:rPr>
      <w:rFonts w:eastAsia="Times New Roman"/>
      <w:sz w:val="22"/>
      <w:szCs w:val="20"/>
    </w:rPr>
  </w:style>
  <w:style w:type="character" w:customStyle="1" w:styleId="DateChar">
    <w:name w:val="Date Char"/>
    <w:basedOn w:val="DefaultParagraphFont"/>
    <w:link w:val="Date"/>
    <w:rPr>
      <w:rFonts w:ascii="Times New Roman" w:eastAsia="Times New Roman" w:hAnsi="Times New Roman" w:cs="Times New Roman"/>
      <w:szCs w:val="20"/>
      <w:lang w:val="ro-RO"/>
    </w:rPr>
  </w:style>
  <w:style w:type="paragraph" w:styleId="E-mailSignature">
    <w:name w:val="E-mail Signature"/>
    <w:basedOn w:val="Normal"/>
    <w:link w:val="E-mailSignatureChar"/>
    <w:pPr>
      <w:tabs>
        <w:tab w:val="left" w:pos="720"/>
      </w:tabs>
      <w:spacing w:before="0" w:after="0"/>
    </w:pPr>
    <w:rPr>
      <w:rFonts w:eastAsia="Times New Roman"/>
      <w:sz w:val="22"/>
      <w:szCs w:val="20"/>
    </w:rPr>
  </w:style>
  <w:style w:type="character" w:customStyle="1" w:styleId="E-mailSignatureChar">
    <w:name w:val="E-mail Signature Char"/>
    <w:basedOn w:val="DefaultParagraphFont"/>
    <w:link w:val="E-mailSignature"/>
    <w:rPr>
      <w:rFonts w:ascii="Times New Roman" w:eastAsia="Times New Roman" w:hAnsi="Times New Roman" w:cs="Times New Roman"/>
      <w:szCs w:val="20"/>
      <w:lang w:val="ro-RO"/>
    </w:rPr>
  </w:style>
  <w:style w:type="paragraph" w:styleId="EnvelopeReturn">
    <w:name w:val="envelope return"/>
    <w:basedOn w:val="Normal"/>
    <w:pPr>
      <w:tabs>
        <w:tab w:val="left" w:pos="720"/>
      </w:tabs>
      <w:spacing w:before="0" w:after="0"/>
    </w:pPr>
    <w:rPr>
      <w:rFonts w:ascii="Arial" w:eastAsia="Times New Roman" w:hAnsi="Arial" w:cs="Arial"/>
      <w:sz w:val="20"/>
      <w:szCs w:val="20"/>
    </w:rPr>
  </w:style>
  <w:style w:type="character" w:styleId="FollowedHyperlink">
    <w:name w:val="FollowedHyperlink"/>
    <w:rPr>
      <w:color w:val="800080"/>
      <w:u w:val="single"/>
    </w:rPr>
  </w:style>
  <w:style w:type="character" w:styleId="HTMLAcronym">
    <w:name w:val="HTML Acronym"/>
  </w:style>
  <w:style w:type="paragraph" w:styleId="HTMLAddress">
    <w:name w:val="HTML Address"/>
    <w:basedOn w:val="Normal"/>
    <w:link w:val="HTMLAddressChar"/>
    <w:pPr>
      <w:tabs>
        <w:tab w:val="left" w:pos="720"/>
      </w:tabs>
      <w:spacing w:before="0" w:after="0"/>
    </w:pPr>
    <w:rPr>
      <w:rFonts w:eastAsia="Times New Roman"/>
      <w:i/>
      <w:iCs/>
      <w:sz w:val="22"/>
      <w:szCs w:val="20"/>
    </w:rPr>
  </w:style>
  <w:style w:type="character" w:customStyle="1" w:styleId="HTMLAddressChar">
    <w:name w:val="HTML Address Char"/>
    <w:basedOn w:val="DefaultParagraphFont"/>
    <w:link w:val="HTMLAddress"/>
    <w:rPr>
      <w:rFonts w:ascii="Times New Roman" w:eastAsia="Times New Roman" w:hAnsi="Times New Roman" w:cs="Times New Roman"/>
      <w:i/>
      <w:iCs/>
      <w:szCs w:val="20"/>
      <w:lang w:val="ro-RO"/>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LineNumber">
    <w:name w:val="line number"/>
  </w:style>
  <w:style w:type="paragraph" w:styleId="List">
    <w:name w:val="List"/>
    <w:basedOn w:val="Normal"/>
    <w:pPr>
      <w:tabs>
        <w:tab w:val="left" w:pos="720"/>
      </w:tabs>
      <w:spacing w:before="0" w:after="0"/>
      <w:ind w:left="283" w:hanging="283"/>
    </w:pPr>
    <w:rPr>
      <w:rFonts w:eastAsia="Times New Roman"/>
      <w:sz w:val="22"/>
      <w:szCs w:val="20"/>
    </w:rPr>
  </w:style>
  <w:style w:type="paragraph" w:styleId="List2">
    <w:name w:val="List 2"/>
    <w:basedOn w:val="Normal"/>
    <w:pPr>
      <w:tabs>
        <w:tab w:val="left" w:pos="720"/>
      </w:tabs>
      <w:spacing w:before="0" w:after="0"/>
      <w:ind w:left="566" w:hanging="283"/>
    </w:pPr>
    <w:rPr>
      <w:rFonts w:eastAsia="Times New Roman"/>
      <w:sz w:val="22"/>
      <w:szCs w:val="20"/>
    </w:rPr>
  </w:style>
  <w:style w:type="paragraph" w:styleId="List3">
    <w:name w:val="List 3"/>
    <w:basedOn w:val="Normal"/>
    <w:pPr>
      <w:tabs>
        <w:tab w:val="left" w:pos="720"/>
      </w:tabs>
      <w:spacing w:before="0" w:after="0"/>
      <w:ind w:left="849" w:hanging="283"/>
    </w:pPr>
    <w:rPr>
      <w:rFonts w:eastAsia="Times New Roman"/>
      <w:sz w:val="22"/>
      <w:szCs w:val="20"/>
    </w:rPr>
  </w:style>
  <w:style w:type="paragraph" w:styleId="List4">
    <w:name w:val="List 4"/>
    <w:basedOn w:val="Normal"/>
    <w:pPr>
      <w:tabs>
        <w:tab w:val="left" w:pos="720"/>
      </w:tabs>
      <w:spacing w:before="0" w:after="0"/>
      <w:ind w:left="1132" w:hanging="283"/>
    </w:pPr>
    <w:rPr>
      <w:rFonts w:eastAsia="Times New Roman"/>
      <w:sz w:val="22"/>
      <w:szCs w:val="20"/>
    </w:rPr>
  </w:style>
  <w:style w:type="paragraph" w:styleId="List5">
    <w:name w:val="List 5"/>
    <w:basedOn w:val="Normal"/>
    <w:pPr>
      <w:tabs>
        <w:tab w:val="left" w:pos="720"/>
      </w:tabs>
      <w:spacing w:before="0" w:after="0"/>
      <w:ind w:left="1415" w:hanging="283"/>
    </w:pPr>
    <w:rPr>
      <w:rFonts w:eastAsia="Times New Roman"/>
      <w:sz w:val="22"/>
      <w:szCs w:val="20"/>
    </w:rPr>
  </w:style>
  <w:style w:type="paragraph" w:styleId="ListBullet5">
    <w:name w:val="List Bullet 5"/>
    <w:basedOn w:val="Normal"/>
    <w:autoRedefine/>
    <w:pPr>
      <w:tabs>
        <w:tab w:val="left" w:pos="720"/>
        <w:tab w:val="num" w:pos="1492"/>
      </w:tabs>
      <w:spacing w:before="0" w:after="0"/>
      <w:ind w:left="1492" w:hanging="360"/>
    </w:pPr>
    <w:rPr>
      <w:rFonts w:eastAsia="Times New Roman"/>
      <w:sz w:val="22"/>
      <w:szCs w:val="20"/>
    </w:rPr>
  </w:style>
  <w:style w:type="paragraph" w:styleId="ListContinue">
    <w:name w:val="List Continue"/>
    <w:basedOn w:val="Normal"/>
    <w:pPr>
      <w:tabs>
        <w:tab w:val="left" w:pos="720"/>
      </w:tabs>
      <w:spacing w:before="0"/>
      <w:ind w:left="283"/>
    </w:pPr>
    <w:rPr>
      <w:rFonts w:eastAsia="Times New Roman"/>
      <w:sz w:val="22"/>
      <w:szCs w:val="20"/>
    </w:rPr>
  </w:style>
  <w:style w:type="paragraph" w:styleId="ListContinue2">
    <w:name w:val="List Continue 2"/>
    <w:basedOn w:val="Normal"/>
    <w:pPr>
      <w:tabs>
        <w:tab w:val="left" w:pos="720"/>
      </w:tabs>
      <w:spacing w:before="0"/>
      <w:ind w:left="566"/>
    </w:pPr>
    <w:rPr>
      <w:rFonts w:eastAsia="Times New Roman"/>
      <w:sz w:val="22"/>
      <w:szCs w:val="20"/>
    </w:rPr>
  </w:style>
  <w:style w:type="paragraph" w:styleId="ListContinue3">
    <w:name w:val="List Continue 3"/>
    <w:basedOn w:val="Normal"/>
    <w:pPr>
      <w:tabs>
        <w:tab w:val="left" w:pos="720"/>
      </w:tabs>
      <w:spacing w:before="0"/>
      <w:ind w:left="849"/>
    </w:pPr>
    <w:rPr>
      <w:rFonts w:eastAsia="Times New Roman"/>
      <w:sz w:val="22"/>
      <w:szCs w:val="20"/>
    </w:rPr>
  </w:style>
  <w:style w:type="paragraph" w:styleId="ListContinue4">
    <w:name w:val="List Continue 4"/>
    <w:basedOn w:val="Normal"/>
    <w:pPr>
      <w:tabs>
        <w:tab w:val="left" w:pos="720"/>
      </w:tabs>
      <w:spacing w:before="0"/>
      <w:ind w:left="1132"/>
    </w:pPr>
    <w:rPr>
      <w:rFonts w:eastAsia="Times New Roman"/>
      <w:sz w:val="22"/>
      <w:szCs w:val="20"/>
    </w:rPr>
  </w:style>
  <w:style w:type="paragraph" w:styleId="ListContinue5">
    <w:name w:val="List Continue 5"/>
    <w:basedOn w:val="Normal"/>
    <w:pPr>
      <w:tabs>
        <w:tab w:val="left" w:pos="720"/>
      </w:tabs>
      <w:spacing w:before="0"/>
      <w:ind w:left="1415"/>
    </w:pPr>
    <w:rPr>
      <w:rFonts w:eastAsia="Times New Roman"/>
      <w:sz w:val="22"/>
      <w:szCs w:val="20"/>
    </w:rPr>
  </w:style>
  <w:style w:type="paragraph" w:styleId="ListNumber5">
    <w:name w:val="List Number 5"/>
    <w:basedOn w:val="Normal"/>
    <w:pPr>
      <w:tabs>
        <w:tab w:val="left" w:pos="720"/>
        <w:tab w:val="num" w:pos="1492"/>
      </w:tabs>
      <w:spacing w:before="0" w:after="0"/>
      <w:ind w:left="1492" w:hanging="360"/>
    </w:pPr>
    <w:rPr>
      <w:rFonts w:eastAsia="Times New Roman"/>
      <w:sz w:val="22"/>
      <w:szCs w:val="20"/>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urier New" w:eastAsia="Times New Roman" w:hAnsi="Courier New" w:cs="Courier New"/>
      <w:sz w:val="20"/>
      <w:szCs w:val="20"/>
    </w:rPr>
  </w:style>
  <w:style w:type="character" w:customStyle="1" w:styleId="MacroTextChar">
    <w:name w:val="Macro Text Char"/>
    <w:basedOn w:val="DefaultParagraphFont"/>
    <w:link w:val="MacroText"/>
    <w:rPr>
      <w:rFonts w:ascii="Courier New" w:eastAsia="Times New Roman" w:hAnsi="Courier New" w:cs="Courier New"/>
      <w:sz w:val="20"/>
      <w:szCs w:val="20"/>
      <w:lang w:val="ro-RO"/>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tabs>
        <w:tab w:val="left" w:pos="720"/>
      </w:tabs>
      <w:spacing w:before="0" w:after="0"/>
      <w:ind w:left="1134" w:hanging="1134"/>
    </w:pPr>
    <w:rPr>
      <w:rFonts w:ascii="Arial" w:eastAsia="Times New Roman" w:hAnsi="Arial" w:cs="Arial"/>
      <w:szCs w:val="24"/>
    </w:rPr>
  </w:style>
  <w:style w:type="character" w:customStyle="1" w:styleId="MessageHeaderChar">
    <w:name w:val="Message Header Char"/>
    <w:basedOn w:val="DefaultParagraphFont"/>
    <w:link w:val="MessageHeader"/>
    <w:rPr>
      <w:rFonts w:ascii="Arial" w:eastAsia="Times New Roman" w:hAnsi="Arial" w:cs="Arial"/>
      <w:sz w:val="24"/>
      <w:szCs w:val="24"/>
      <w:shd w:val="pct20" w:color="auto" w:fill="auto"/>
      <w:lang w:val="ro-RO"/>
    </w:rPr>
  </w:style>
  <w:style w:type="paragraph" w:styleId="Salutation">
    <w:name w:val="Salutation"/>
    <w:basedOn w:val="Normal"/>
    <w:next w:val="Normal"/>
    <w:link w:val="SalutationChar"/>
    <w:pPr>
      <w:tabs>
        <w:tab w:val="left" w:pos="720"/>
      </w:tabs>
      <w:spacing w:before="0" w:after="0"/>
    </w:pPr>
    <w:rPr>
      <w:rFonts w:eastAsia="Times New Roman"/>
      <w:sz w:val="22"/>
      <w:szCs w:val="20"/>
    </w:rPr>
  </w:style>
  <w:style w:type="character" w:customStyle="1" w:styleId="SalutationChar">
    <w:name w:val="Salutation Char"/>
    <w:basedOn w:val="DefaultParagraphFont"/>
    <w:link w:val="Salutation"/>
    <w:rPr>
      <w:rFonts w:ascii="Times New Roman" w:eastAsia="Times New Roman" w:hAnsi="Times New Roman" w:cs="Times New Roman"/>
      <w:szCs w:val="20"/>
      <w:lang w:val="ro-RO"/>
    </w:rPr>
  </w:style>
  <w:style w:type="paragraph" w:styleId="Signature">
    <w:name w:val="Signature"/>
    <w:basedOn w:val="Normal"/>
    <w:link w:val="SignatureChar"/>
    <w:pPr>
      <w:tabs>
        <w:tab w:val="left" w:pos="720"/>
      </w:tabs>
      <w:spacing w:before="0" w:after="0"/>
      <w:ind w:left="4252"/>
    </w:pPr>
    <w:rPr>
      <w:rFonts w:eastAsia="Times New Roman"/>
      <w:sz w:val="22"/>
      <w:szCs w:val="20"/>
    </w:rPr>
  </w:style>
  <w:style w:type="character" w:customStyle="1" w:styleId="SignatureChar">
    <w:name w:val="Signature Char"/>
    <w:basedOn w:val="DefaultParagraphFont"/>
    <w:link w:val="Signature"/>
    <w:rPr>
      <w:rFonts w:ascii="Times New Roman" w:eastAsia="Times New Roman" w:hAnsi="Times New Roman" w:cs="Times New Roman"/>
      <w:szCs w:val="20"/>
      <w:lang w:val="ro-RO"/>
    </w:rPr>
  </w:style>
  <w:style w:type="character" w:customStyle="1" w:styleId="Char">
    <w:name w:val="Char"/>
    <w:rPr>
      <w:b/>
      <w:noProof w:val="0"/>
      <w:sz w:val="22"/>
      <w:lang w:val="ro-RO" w:eastAsia="ro-RO" w:bidi="ro-RO"/>
    </w:rPr>
  </w:style>
  <w:style w:type="paragraph" w:customStyle="1" w:styleId="ParagrNum-WTO">
    <w:name w:val="Paragr. Num. - WTO"/>
    <w:basedOn w:val="Normal"/>
    <w:pPr>
      <w:tabs>
        <w:tab w:val="left" w:pos="720"/>
      </w:tabs>
      <w:spacing w:before="0" w:after="240"/>
    </w:pPr>
    <w:rPr>
      <w:rFonts w:eastAsia="Times New Roman"/>
      <w:sz w:val="22"/>
      <w:szCs w:val="20"/>
    </w:rPr>
  </w:style>
  <w:style w:type="paragraph" w:customStyle="1" w:styleId="CM49">
    <w:name w:val="CM4+9"/>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CM43">
    <w:name w:val="CM4+3"/>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CM415">
    <w:name w:val="CM4+15"/>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CM416">
    <w:name w:val="CM4+16"/>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CM414">
    <w:name w:val="CM4+14"/>
    <w:basedOn w:val="Normal"/>
    <w:next w:val="Normal"/>
    <w:pPr>
      <w:autoSpaceDE w:val="0"/>
      <w:autoSpaceDN w:val="0"/>
      <w:adjustRightInd w:val="0"/>
      <w:spacing w:before="60" w:after="60"/>
      <w:jc w:val="left"/>
    </w:pPr>
    <w:rPr>
      <w:rFonts w:ascii="EUAlbertina" w:eastAsia="Times New Roman" w:hAnsi="EUAlbertina"/>
      <w:szCs w:val="24"/>
    </w:rPr>
  </w:style>
  <w:style w:type="table" w:styleId="TableGrid">
    <w:name w:val="Table Grid"/>
    <w:basedOn w:val="TableNormal"/>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inta">
    <w:name w:val="Point (a)"/>
    <w:basedOn w:val="Normal"/>
    <w:autoRedefine/>
    <w:pPr>
      <w:pageBreakBefore/>
      <w:autoSpaceDE w:val="0"/>
      <w:autoSpaceDN w:val="0"/>
      <w:adjustRightInd w:val="0"/>
      <w:ind w:left="1418" w:hanging="567"/>
      <w:jc w:val="left"/>
      <w:outlineLvl w:val="0"/>
    </w:pPr>
    <w:rPr>
      <w:rFonts w:eastAsia="Times New Roman"/>
      <w:bCs/>
      <w:szCs w:val="20"/>
    </w:rPr>
  </w:style>
  <w:style w:type="paragraph" w:customStyle="1" w:styleId="Pointb">
    <w:name w:val="Point (b)"/>
    <w:basedOn w:val="Pointa"/>
    <w:autoRedefine/>
    <w:pPr>
      <w:ind w:left="1815"/>
    </w:pPr>
    <w:rPr>
      <w:szCs w:val="18"/>
    </w:rPr>
  </w:style>
  <w:style w:type="paragraph" w:customStyle="1" w:styleId="ChapterII">
    <w:name w:val="Chapter II"/>
    <w:basedOn w:val="ChapterI"/>
    <w:autoRedefine/>
  </w:style>
  <w:style w:type="paragraph" w:customStyle="1" w:styleId="Titlesection">
    <w:name w:val="Title section"/>
    <w:basedOn w:val="Normal"/>
    <w:autoRedefine/>
    <w:pPr>
      <w:autoSpaceDE w:val="0"/>
      <w:autoSpaceDN w:val="0"/>
      <w:adjustRightInd w:val="0"/>
      <w:spacing w:after="360"/>
      <w:jc w:val="center"/>
      <w:outlineLvl w:val="0"/>
    </w:pPr>
    <w:rPr>
      <w:rFonts w:eastAsia="Times New Roman"/>
      <w:b/>
      <w:szCs w:val="20"/>
    </w:rPr>
  </w:style>
  <w:style w:type="paragraph" w:customStyle="1" w:styleId="Pointe">
    <w:name w:val="Point (e)"/>
    <w:basedOn w:val="Normal"/>
    <w:autoRedefine/>
    <w:pPr>
      <w:pageBreakBefore/>
      <w:autoSpaceDE w:val="0"/>
      <w:autoSpaceDN w:val="0"/>
      <w:adjustRightInd w:val="0"/>
      <w:ind w:left="1418" w:hanging="567"/>
      <w:outlineLvl w:val="0"/>
    </w:pPr>
    <w:rPr>
      <w:rFonts w:eastAsia="Times New Roman"/>
      <w:bCs/>
      <w:szCs w:val="18"/>
    </w:rPr>
  </w:style>
  <w:style w:type="paragraph" w:customStyle="1" w:styleId="Point7">
    <w:name w:val="Point 7"/>
    <w:basedOn w:val="Normal"/>
    <w:autoRedefine/>
    <w:pPr>
      <w:autoSpaceDE w:val="0"/>
      <w:autoSpaceDN w:val="0"/>
      <w:adjustRightInd w:val="0"/>
      <w:outlineLvl w:val="0"/>
    </w:pPr>
    <w:rPr>
      <w:rFonts w:eastAsia="Times New Roman"/>
      <w:bCs/>
      <w:szCs w:val="20"/>
    </w:rPr>
  </w:style>
  <w:style w:type="paragraph" w:customStyle="1" w:styleId="SectionIII">
    <w:name w:val="Section III"/>
    <w:basedOn w:val="Normal"/>
    <w:next w:val="Normal"/>
    <w:autoRedefine/>
    <w:pPr>
      <w:keepNext/>
      <w:autoSpaceDE w:val="0"/>
      <w:autoSpaceDN w:val="0"/>
      <w:adjustRightInd w:val="0"/>
      <w:spacing w:after="360"/>
      <w:ind w:left="1400" w:hanging="1440"/>
      <w:jc w:val="center"/>
      <w:outlineLvl w:val="0"/>
    </w:pPr>
    <w:rPr>
      <w:rFonts w:eastAsia="Times New Roman"/>
      <w:smallCaps/>
      <w:szCs w:val="20"/>
    </w:rPr>
  </w:style>
  <w:style w:type="paragraph" w:customStyle="1" w:styleId="Pointi">
    <w:name w:val="Point (i)"/>
    <w:basedOn w:val="Normal"/>
    <w:autoRedefine/>
    <w:pPr>
      <w:tabs>
        <w:tab w:val="left" w:pos="2800"/>
      </w:tabs>
      <w:autoSpaceDE w:val="0"/>
      <w:autoSpaceDN w:val="0"/>
      <w:adjustRightInd w:val="0"/>
      <w:ind w:left="1985" w:hanging="567"/>
      <w:outlineLvl w:val="0"/>
    </w:pPr>
    <w:rPr>
      <w:rFonts w:eastAsia="Times New Roman"/>
      <w:bCs/>
      <w:szCs w:val="20"/>
    </w:rPr>
  </w:style>
  <w:style w:type="paragraph" w:customStyle="1" w:styleId="AnnexVIII">
    <w:name w:val="Annex VIII"/>
    <w:basedOn w:val="Normal"/>
    <w:autoRedefine/>
    <w:pPr>
      <w:autoSpaceDE w:val="0"/>
      <w:autoSpaceDN w:val="0"/>
      <w:adjustRightInd w:val="0"/>
      <w:spacing w:after="40"/>
      <w:ind w:left="1400" w:hanging="1440"/>
      <w:jc w:val="center"/>
      <w:outlineLvl w:val="0"/>
    </w:pPr>
    <w:rPr>
      <w:rFonts w:eastAsia="Times New Roman"/>
      <w:szCs w:val="20"/>
    </w:rPr>
  </w:style>
  <w:style w:type="paragraph" w:customStyle="1" w:styleId="ChapterI">
    <w:name w:val="Chapter I"/>
    <w:basedOn w:val="Normal"/>
    <w:autoRedefine/>
    <w:pPr>
      <w:keepNext/>
      <w:tabs>
        <w:tab w:val="left" w:pos="-120"/>
      </w:tabs>
      <w:autoSpaceDE w:val="0"/>
      <w:autoSpaceDN w:val="0"/>
      <w:adjustRightInd w:val="0"/>
      <w:spacing w:after="360"/>
      <w:jc w:val="center"/>
      <w:outlineLvl w:val="0"/>
    </w:pPr>
    <w:rPr>
      <w:rFonts w:eastAsia="Times New Roman"/>
      <w:sz w:val="20"/>
      <w:szCs w:val="20"/>
    </w:rPr>
  </w:style>
  <w:style w:type="paragraph" w:customStyle="1" w:styleId="AnnexX">
    <w:name w:val="Annex X"/>
    <w:basedOn w:val="Normal"/>
    <w:autoRedefine/>
    <w:pPr>
      <w:autoSpaceDE w:val="0"/>
      <w:autoSpaceDN w:val="0"/>
      <w:adjustRightInd w:val="0"/>
      <w:spacing w:after="40"/>
      <w:ind w:left="1400" w:hanging="1440"/>
      <w:jc w:val="center"/>
      <w:outlineLvl w:val="0"/>
    </w:pPr>
    <w:rPr>
      <w:rFonts w:eastAsia="Times New Roman"/>
      <w:bCs/>
      <w:sz w:val="28"/>
      <w:szCs w:val="20"/>
    </w:rPr>
  </w:style>
  <w:style w:type="paragraph" w:customStyle="1" w:styleId="AnnexXI">
    <w:name w:val="Annex XI"/>
    <w:basedOn w:val="Normal"/>
    <w:autoRedefine/>
    <w:pPr>
      <w:autoSpaceDE w:val="0"/>
      <w:autoSpaceDN w:val="0"/>
      <w:adjustRightInd w:val="0"/>
      <w:spacing w:after="40"/>
      <w:ind w:left="1400" w:hanging="1440"/>
      <w:jc w:val="center"/>
      <w:outlineLvl w:val="0"/>
    </w:pPr>
    <w:rPr>
      <w:rFonts w:eastAsia="Times New Roman"/>
      <w:sz w:val="28"/>
      <w:szCs w:val="20"/>
    </w:rPr>
  </w:style>
  <w:style w:type="paragraph" w:customStyle="1" w:styleId="AnnexXVI">
    <w:name w:val="Annex XVI"/>
    <w:basedOn w:val="Normal"/>
    <w:autoRedefine/>
    <w:pPr>
      <w:autoSpaceDE w:val="0"/>
      <w:autoSpaceDN w:val="0"/>
      <w:adjustRightInd w:val="0"/>
      <w:spacing w:after="40"/>
      <w:ind w:left="1400" w:hanging="1440"/>
      <w:jc w:val="center"/>
      <w:outlineLvl w:val="0"/>
    </w:pPr>
    <w:rPr>
      <w:rFonts w:eastAsia="Times New Roman"/>
      <w:szCs w:val="20"/>
    </w:rPr>
  </w:style>
  <w:style w:type="paragraph" w:customStyle="1" w:styleId="PARTI">
    <w:name w:val="PART I"/>
    <w:basedOn w:val="Normal"/>
    <w:autoRedefine/>
    <w:pPr>
      <w:autoSpaceDE w:val="0"/>
      <w:autoSpaceDN w:val="0"/>
      <w:adjustRightInd w:val="0"/>
      <w:spacing w:after="40"/>
      <w:ind w:left="851" w:hanging="851"/>
      <w:jc w:val="center"/>
      <w:outlineLvl w:val="0"/>
    </w:pPr>
    <w:rPr>
      <w:rFonts w:eastAsia="Times New Roman"/>
      <w:bCs/>
      <w:sz w:val="20"/>
      <w:szCs w:val="20"/>
    </w:rPr>
  </w:style>
  <w:style w:type="paragraph" w:customStyle="1" w:styleId="Point60">
    <w:name w:val="Point 60"/>
    <w:basedOn w:val="Normal"/>
    <w:autoRedefine/>
    <w:pPr>
      <w:autoSpaceDE w:val="0"/>
      <w:autoSpaceDN w:val="0"/>
      <w:adjustRightInd w:val="0"/>
      <w:ind w:left="851" w:hanging="851"/>
      <w:outlineLvl w:val="0"/>
    </w:pPr>
    <w:rPr>
      <w:rFonts w:eastAsia="Times New Roman"/>
      <w:bCs/>
      <w:szCs w:val="20"/>
    </w:rPr>
  </w:style>
  <w:style w:type="paragraph" w:customStyle="1" w:styleId="AnnexII">
    <w:name w:val="Annex II"/>
    <w:basedOn w:val="Normal"/>
    <w:autoRedefine/>
    <w:pPr>
      <w:autoSpaceDE w:val="0"/>
      <w:autoSpaceDN w:val="0"/>
      <w:adjustRightInd w:val="0"/>
      <w:spacing w:after="40"/>
      <w:ind w:left="1400" w:hanging="1440"/>
      <w:jc w:val="center"/>
      <w:outlineLvl w:val="0"/>
    </w:pPr>
    <w:rPr>
      <w:rFonts w:eastAsia="Times New Roman"/>
      <w:sz w:val="28"/>
      <w:szCs w:val="20"/>
    </w:rPr>
  </w:style>
  <w:style w:type="paragraph" w:customStyle="1" w:styleId="Titlechapter">
    <w:name w:val="Title chapter"/>
    <w:basedOn w:val="Normal"/>
    <w:autoRedefine/>
    <w:pPr>
      <w:autoSpaceDE w:val="0"/>
      <w:autoSpaceDN w:val="0"/>
      <w:adjustRightInd w:val="0"/>
      <w:spacing w:after="360"/>
      <w:jc w:val="center"/>
      <w:outlineLvl w:val="0"/>
    </w:pPr>
    <w:rPr>
      <w:rFonts w:eastAsia="Times New Roman"/>
      <w:b/>
      <w:iCs/>
      <w:szCs w:val="20"/>
    </w:rPr>
  </w:style>
  <w:style w:type="paragraph" w:customStyle="1" w:styleId="Definitions">
    <w:name w:val="Definitions"/>
    <w:basedOn w:val="Normal"/>
    <w:autoRedefine/>
    <w:pPr>
      <w:autoSpaceDE w:val="0"/>
      <w:autoSpaceDN w:val="0"/>
      <w:adjustRightInd w:val="0"/>
      <w:jc w:val="center"/>
      <w:outlineLvl w:val="0"/>
    </w:pPr>
    <w:rPr>
      <w:rFonts w:eastAsia="Times New Roman"/>
      <w:b/>
      <w:szCs w:val="20"/>
    </w:rPr>
  </w:style>
  <w:style w:type="paragraph" w:customStyle="1" w:styleId="Section">
    <w:name w:val="Section"/>
    <w:basedOn w:val="Normal"/>
    <w:autoRedefine/>
    <w:pPr>
      <w:autoSpaceDE w:val="0"/>
      <w:autoSpaceDN w:val="0"/>
      <w:adjustRightInd w:val="0"/>
      <w:jc w:val="center"/>
      <w:outlineLvl w:val="0"/>
    </w:pPr>
    <w:rPr>
      <w:rFonts w:eastAsia="Times New Roman"/>
      <w:bCs/>
      <w:szCs w:val="20"/>
    </w:rPr>
  </w:style>
  <w:style w:type="paragraph" w:customStyle="1" w:styleId="Chapter">
    <w:name w:val="Chapter"/>
    <w:basedOn w:val="Normal"/>
    <w:autoRedefine/>
    <w:pPr>
      <w:keepNext/>
      <w:tabs>
        <w:tab w:val="left" w:pos="-120"/>
      </w:tabs>
      <w:autoSpaceDE w:val="0"/>
      <w:autoSpaceDN w:val="0"/>
      <w:adjustRightInd w:val="0"/>
      <w:spacing w:after="360"/>
      <w:jc w:val="center"/>
      <w:outlineLvl w:val="0"/>
    </w:pPr>
    <w:rPr>
      <w:rFonts w:eastAsia="Times New Roman"/>
      <w:sz w:val="20"/>
      <w:szCs w:val="20"/>
    </w:rPr>
  </w:style>
  <w:style w:type="paragraph" w:customStyle="1" w:styleId="Style1">
    <w:name w:val="Style1"/>
    <w:basedOn w:val="Article1"/>
    <w:autoRedefine/>
  </w:style>
  <w:style w:type="paragraph" w:customStyle="1" w:styleId="point1">
    <w:name w:val="point 1"/>
    <w:basedOn w:val="point2"/>
    <w:pPr>
      <w:ind w:left="1418"/>
    </w:pPr>
  </w:style>
  <w:style w:type="paragraph" w:customStyle="1" w:styleId="point40">
    <w:name w:val="point 4"/>
    <w:basedOn w:val="Normal"/>
    <w:autoRedefine/>
    <w:pPr>
      <w:spacing w:before="0" w:after="0"/>
      <w:ind w:left="3119" w:hanging="567"/>
      <w:jc w:val="left"/>
      <w:outlineLvl w:val="0"/>
    </w:pPr>
    <w:rPr>
      <w:rFonts w:eastAsia="Times New Roman"/>
      <w:szCs w:val="24"/>
    </w:rPr>
  </w:style>
  <w:style w:type="paragraph" w:customStyle="1" w:styleId="p">
    <w:name w:val="p"/>
    <w:basedOn w:val="Normal"/>
    <w:pPr>
      <w:spacing w:before="100" w:beforeAutospacing="1" w:after="100" w:afterAutospacing="1"/>
      <w:ind w:left="150" w:right="150"/>
      <w:jc w:val="left"/>
      <w:outlineLvl w:val="0"/>
    </w:pPr>
    <w:rPr>
      <w:rFonts w:ascii="Verdana" w:eastAsia="Times New Roman" w:hAnsi="Verdana"/>
      <w:color w:val="333366"/>
      <w:sz w:val="15"/>
      <w:szCs w:val="15"/>
    </w:rPr>
  </w:style>
  <w:style w:type="paragraph" w:customStyle="1" w:styleId="ListDash">
    <w:name w:val="List Dash"/>
    <w:basedOn w:val="Normal"/>
    <w:pPr>
      <w:tabs>
        <w:tab w:val="num" w:pos="850"/>
      </w:tabs>
      <w:spacing w:before="0" w:after="240"/>
      <w:ind w:left="850" w:hanging="850"/>
      <w:jc w:val="left"/>
      <w:outlineLvl w:val="0"/>
    </w:pPr>
    <w:rPr>
      <w:rFonts w:eastAsia="Times New Roman"/>
      <w:szCs w:val="20"/>
    </w:rPr>
  </w:style>
  <w:style w:type="character" w:styleId="EndnoteReference">
    <w:name w:val="endnote reference"/>
    <w:rPr>
      <w:rFonts w:cs="Times New Roman"/>
      <w:vertAlign w:val="superscript"/>
    </w:rPr>
  </w:style>
  <w:style w:type="paragraph" w:customStyle="1" w:styleId="titre1">
    <w:name w:val="titre1"/>
    <w:basedOn w:val="Normal"/>
    <w:pPr>
      <w:spacing w:before="100" w:beforeAutospacing="1" w:after="100" w:afterAutospacing="1"/>
      <w:jc w:val="left"/>
      <w:outlineLvl w:val="0"/>
    </w:pPr>
    <w:rPr>
      <w:rFonts w:ascii="Arial" w:eastAsia="Times New Roman" w:hAnsi="Arial" w:cs="Arial"/>
      <w:color w:val="992035"/>
      <w:sz w:val="28"/>
      <w:szCs w:val="28"/>
    </w:rPr>
  </w:style>
  <w:style w:type="paragraph" w:customStyle="1" w:styleId="RKnormal">
    <w:name w:val="RKnormal"/>
    <w:basedOn w:val="Normal"/>
    <w:pPr>
      <w:tabs>
        <w:tab w:val="left" w:pos="2835"/>
      </w:tabs>
      <w:overflowPunct w:val="0"/>
      <w:autoSpaceDE w:val="0"/>
      <w:autoSpaceDN w:val="0"/>
      <w:adjustRightInd w:val="0"/>
      <w:spacing w:before="0" w:after="0" w:line="240" w:lineRule="atLeast"/>
      <w:jc w:val="left"/>
      <w:textAlignment w:val="baseline"/>
      <w:outlineLvl w:val="0"/>
    </w:pPr>
    <w:rPr>
      <w:rFonts w:ascii="OrigGarmnd BT" w:eastAsia="Times New Roman" w:hAnsi="OrigGarmnd BT"/>
      <w:szCs w:val="20"/>
    </w:rPr>
  </w:style>
  <w:style w:type="character" w:customStyle="1" w:styleId="EmailStyle871">
    <w:name w:val="EmailStyle871"/>
    <w:semiHidden/>
    <w:rPr>
      <w:rFonts w:ascii="Arial" w:hAnsi="Arial" w:cs="Arial"/>
      <w:color w:val="000080"/>
      <w:sz w:val="20"/>
      <w:szCs w:val="20"/>
    </w:rPr>
  </w:style>
  <w:style w:type="paragraph" w:customStyle="1" w:styleId="default0">
    <w:name w:val="default"/>
    <w:basedOn w:val="Normal"/>
    <w:pPr>
      <w:autoSpaceDE w:val="0"/>
      <w:autoSpaceDN w:val="0"/>
      <w:spacing w:before="0" w:after="0"/>
      <w:jc w:val="left"/>
      <w:outlineLvl w:val="0"/>
    </w:pPr>
    <w:rPr>
      <w:rFonts w:eastAsia="Times New Roman"/>
      <w:color w:val="000000"/>
      <w:szCs w:val="24"/>
    </w:rPr>
  </w:style>
  <w:style w:type="character" w:customStyle="1" w:styleId="EmailStyle981">
    <w:name w:val="EmailStyle981"/>
    <w:semiHidden/>
    <w:rPr>
      <w:rFonts w:ascii="Arial" w:hAnsi="Arial" w:cs="Arial"/>
      <w:color w:val="auto"/>
      <w:sz w:val="20"/>
      <w:szCs w:val="20"/>
    </w:rPr>
  </w:style>
  <w:style w:type="paragraph" w:customStyle="1" w:styleId="CM1">
    <w:name w:val="CM1"/>
    <w:basedOn w:val="Default"/>
    <w:next w:val="Default"/>
    <w:rPr>
      <w:rFonts w:ascii="EUAlbertina" w:hAnsi="EUAlbertina"/>
      <w:color w:val="auto"/>
    </w:rPr>
  </w:style>
  <w:style w:type="paragraph" w:customStyle="1" w:styleId="CM3">
    <w:name w:val="CM3"/>
    <w:basedOn w:val="Default"/>
    <w:next w:val="Default"/>
    <w:rPr>
      <w:rFonts w:ascii="EUAlbertina" w:hAnsi="EUAlbertina"/>
      <w:color w:val="auto"/>
    </w:rPr>
  </w:style>
  <w:style w:type="character" w:customStyle="1" w:styleId="EmailStyle101">
    <w:name w:val="EmailStyle101"/>
    <w:semiHidden/>
    <w:rPr>
      <w:rFonts w:ascii="Arial" w:hAnsi="Arial" w:cs="Arial"/>
      <w:color w:val="auto"/>
      <w:sz w:val="20"/>
      <w:szCs w:val="20"/>
    </w:rPr>
  </w:style>
  <w:style w:type="numbering" w:styleId="111111">
    <w:name w:val="Outline List 2"/>
    <w:basedOn w:val="NoList"/>
    <w:pPr>
      <w:numPr>
        <w:numId w:val="10"/>
      </w:numPr>
    </w:pPr>
  </w:style>
  <w:style w:type="paragraph" w:customStyle="1" w:styleId="NormalWeb8">
    <w:name w:val="Normal (Web)8"/>
    <w:basedOn w:val="Normal"/>
    <w:pPr>
      <w:spacing w:before="75" w:after="75"/>
      <w:ind w:left="225" w:right="225"/>
      <w:jc w:val="left"/>
    </w:pPr>
    <w:rPr>
      <w:rFonts w:eastAsia="Times New Roman"/>
      <w:sz w:val="22"/>
    </w:rPr>
  </w:style>
  <w:style w:type="paragraph" w:customStyle="1" w:styleId="Lines">
    <w:name w:val="Lines"/>
    <w:basedOn w:val="Normal"/>
    <w:pPr>
      <w:numPr>
        <w:numId w:val="11"/>
      </w:numPr>
      <w:spacing w:before="0" w:after="0"/>
      <w:jc w:val="left"/>
    </w:pPr>
    <w:rPr>
      <w:rFonts w:eastAsia="Times New Roman"/>
      <w:szCs w:val="24"/>
    </w:rPr>
  </w:style>
  <w:style w:type="character" w:customStyle="1" w:styleId="ManualNumPar1Char">
    <w:name w:val="Manual NumPar 1 Char"/>
    <w:rPr>
      <w:sz w:val="24"/>
      <w:szCs w:val="24"/>
      <w:lang w:val="ro-RO" w:eastAsia="ro-RO" w:bidi="ro-RO"/>
    </w:rPr>
  </w:style>
  <w:style w:type="paragraph" w:customStyle="1" w:styleId="ListDash2">
    <w:name w:val="List Dash 2"/>
    <w:basedOn w:val="Normal"/>
    <w:pPr>
      <w:numPr>
        <w:numId w:val="12"/>
      </w:numPr>
      <w:spacing w:before="0" w:after="0"/>
      <w:jc w:val="left"/>
    </w:pPr>
    <w:rPr>
      <w:rFonts w:eastAsia="Times New Roman"/>
      <w:szCs w:val="24"/>
    </w:rPr>
  </w:style>
  <w:style w:type="character" w:customStyle="1" w:styleId="Text1Znak">
    <w:name w:val="Text 1 Znak"/>
    <w:rPr>
      <w:rFonts w:ascii="Times New Roman" w:hAnsi="Times New Roman" w:cs="Times New Roman"/>
      <w:sz w:val="24"/>
      <w:lang w:val="ro-RO"/>
    </w:rPr>
  </w:style>
  <w:style w:type="character" w:customStyle="1" w:styleId="apple-style-span">
    <w:name w:val="apple-style-span"/>
  </w:style>
  <w:style w:type="paragraph" w:customStyle="1" w:styleId="opsommingtekst">
    <w:name w:val="opsomming tekst"/>
    <w:basedOn w:val="Normal"/>
    <w:pPr>
      <w:widowControl w:val="0"/>
      <w:numPr>
        <w:numId w:val="13"/>
      </w:numPr>
      <w:spacing w:before="0" w:after="0"/>
    </w:pPr>
    <w:rPr>
      <w:rFonts w:ascii="Garamond" w:eastAsia="Times New Roman" w:hAnsi="Garamond"/>
      <w:sz w:val="23"/>
      <w:szCs w:val="24"/>
    </w:rPr>
  </w:style>
  <w:style w:type="paragraph" w:customStyle="1" w:styleId="a">
    <w:name w:val="Абзац списка"/>
    <w:basedOn w:val="Normal"/>
    <w:qFormat/>
    <w:pPr>
      <w:spacing w:before="0" w:after="200" w:line="276" w:lineRule="auto"/>
      <w:ind w:left="720"/>
      <w:contextualSpacing/>
      <w:jc w:val="left"/>
    </w:pPr>
    <w:rPr>
      <w:rFonts w:ascii="Calibri" w:eastAsia="Calibri" w:hAnsi="Calibri"/>
      <w:sz w:val="22"/>
    </w:rPr>
  </w:style>
  <w:style w:type="paragraph" w:customStyle="1" w:styleId="ListBullet1">
    <w:name w:val="List Bullet 1"/>
    <w:basedOn w:val="Normal"/>
    <w:pPr>
      <w:numPr>
        <w:numId w:val="14"/>
      </w:numPr>
    </w:pPr>
    <w:rPr>
      <w:rFonts w:eastAsia="Times New Roman"/>
      <w:szCs w:val="24"/>
    </w:rPr>
  </w:style>
  <w:style w:type="paragraph" w:customStyle="1" w:styleId="ArticleDSM">
    <w:name w:val="Article DSM"/>
    <w:basedOn w:val="Normal"/>
    <w:link w:val="ArticleDSMChar"/>
    <w:autoRedefine/>
    <w:pPr>
      <w:keepNext/>
      <w:spacing w:before="360" w:after="0"/>
      <w:ind w:left="1080"/>
      <w:jc w:val="center"/>
    </w:pPr>
    <w:rPr>
      <w:rFonts w:eastAsia="Times New Roman"/>
      <w:b/>
      <w:iCs/>
      <w:szCs w:val="24"/>
    </w:rPr>
  </w:style>
  <w:style w:type="character" w:customStyle="1" w:styleId="ArticleDSMChar">
    <w:name w:val="Article DSM Char"/>
    <w:link w:val="ArticleDSM"/>
    <w:rPr>
      <w:rFonts w:ascii="Times New Roman" w:eastAsia="Times New Roman" w:hAnsi="Times New Roman" w:cs="Times New Roman"/>
      <w:b/>
      <w:iCs/>
      <w:sz w:val="24"/>
      <w:szCs w:val="24"/>
      <w:lang w:val="ro-RO" w:eastAsia="ro-RO"/>
    </w:rPr>
  </w:style>
  <w:style w:type="paragraph" w:customStyle="1" w:styleId="art">
    <w:name w:val="art"/>
    <w:basedOn w:val="Heading1"/>
    <w:pPr>
      <w:numPr>
        <w:numId w:val="0"/>
      </w:numPr>
      <w:spacing w:before="0" w:after="0"/>
      <w:jc w:val="center"/>
    </w:pPr>
    <w:rPr>
      <w:rFonts w:eastAsia="Times New Roman"/>
      <w:bCs w:val="0"/>
      <w:smallCaps w:val="0"/>
      <w:szCs w:val="20"/>
    </w:rPr>
  </w:style>
  <w:style w:type="paragraph" w:customStyle="1" w:styleId="Annexetitreacte0">
    <w:name w:val="Annexe titre (acte)"/>
    <w:basedOn w:val="Normal"/>
    <w:next w:val="Normal"/>
    <w:pPr>
      <w:jc w:val="center"/>
    </w:pPr>
    <w:rPr>
      <w:rFonts w:eastAsia="Times New Roman"/>
      <w:b/>
      <w:szCs w:val="20"/>
      <w:u w:val="single"/>
    </w:rPr>
  </w:style>
  <w:style w:type="paragraph" w:customStyle="1" w:styleId="Annexetitreglobale">
    <w:name w:val="Annexe titre (globale)"/>
    <w:basedOn w:val="Normal"/>
    <w:next w:val="Normal"/>
    <w:pPr>
      <w:jc w:val="center"/>
    </w:pPr>
    <w:rPr>
      <w:rFonts w:eastAsia="Times New Roman"/>
      <w:b/>
      <w:szCs w:val="24"/>
      <w:u w:val="single"/>
    </w:rPr>
  </w:style>
  <w:style w:type="paragraph" w:customStyle="1" w:styleId="a0">
    <w:name w:val="Знак"/>
    <w:basedOn w:val="Normal"/>
    <w:pPr>
      <w:spacing w:before="0" w:after="0"/>
      <w:jc w:val="left"/>
    </w:pPr>
    <w:rPr>
      <w:rFonts w:ascii="Arial" w:eastAsia="SimSun" w:hAnsi="Arial"/>
      <w:sz w:val="20"/>
      <w:szCs w:val="20"/>
    </w:rPr>
  </w:style>
  <w:style w:type="paragraph" w:customStyle="1" w:styleId="ListDash1">
    <w:name w:val="List Dash 1"/>
    <w:basedOn w:val="Normal"/>
    <w:pPr>
      <w:tabs>
        <w:tab w:val="num" w:pos="2551"/>
      </w:tabs>
      <w:ind w:left="2551" w:hanging="567"/>
    </w:pPr>
    <w:rPr>
      <w:rFonts w:eastAsia="Times New Roman"/>
      <w:szCs w:val="24"/>
    </w:rPr>
  </w:style>
  <w:style w:type="paragraph" w:customStyle="1" w:styleId="ListNumberLevel3">
    <w:name w:val="List Number (Level 3)"/>
    <w:basedOn w:val="Normal"/>
    <w:pPr>
      <w:tabs>
        <w:tab w:val="num" w:pos="2126"/>
      </w:tabs>
      <w:ind w:left="2126" w:hanging="709"/>
    </w:pPr>
    <w:rPr>
      <w:rFonts w:eastAsia="Times New Roman"/>
      <w:szCs w:val="24"/>
    </w:rPr>
  </w:style>
  <w:style w:type="paragraph" w:customStyle="1" w:styleId="ListNumberLevel4">
    <w:name w:val="List Number (Level 4)"/>
    <w:basedOn w:val="Normal"/>
    <w:pPr>
      <w:tabs>
        <w:tab w:val="num" w:pos="2835"/>
      </w:tabs>
      <w:ind w:left="2835" w:hanging="709"/>
    </w:pPr>
    <w:rPr>
      <w:rFonts w:eastAsia="Times New Roman"/>
      <w:szCs w:val="24"/>
    </w:rPr>
  </w:style>
  <w:style w:type="paragraph" w:customStyle="1" w:styleId="pealkiri">
    <w:name w:val="pealkiri"/>
    <w:basedOn w:val="Normal"/>
    <w:pPr>
      <w:pBdr>
        <w:top w:val="single" w:sz="4" w:space="1" w:color="auto"/>
        <w:left w:val="single" w:sz="4" w:space="4" w:color="auto"/>
        <w:bottom w:val="single" w:sz="4" w:space="1" w:color="auto"/>
        <w:right w:val="single" w:sz="4" w:space="4" w:color="auto"/>
      </w:pBdr>
      <w:spacing w:before="0" w:after="0"/>
      <w:jc w:val="center"/>
    </w:pPr>
    <w:rPr>
      <w:rFonts w:eastAsia="Times New Roman"/>
      <w:b/>
      <w:caps/>
      <w:szCs w:val="24"/>
    </w:rPr>
  </w:style>
  <w:style w:type="paragraph" w:customStyle="1" w:styleId="Pealkiri2">
    <w:name w:val="Pealkiri 2"/>
    <w:basedOn w:val="Normal"/>
    <w:pPr>
      <w:numPr>
        <w:numId w:val="15"/>
      </w:numPr>
      <w:spacing w:before="0" w:after="0" w:line="276" w:lineRule="auto"/>
      <w:contextualSpacing/>
      <w:jc w:val="left"/>
    </w:pPr>
    <w:rPr>
      <w:rFonts w:eastAsia="SimSun"/>
      <w:b/>
      <w:sz w:val="20"/>
      <w:szCs w:val="20"/>
    </w:rPr>
  </w:style>
  <w:style w:type="paragraph" w:customStyle="1" w:styleId="AddressTL">
    <w:name w:val="AddressTL"/>
    <w:basedOn w:val="Normal"/>
    <w:next w:val="Normal"/>
    <w:pPr>
      <w:spacing w:before="0" w:after="720"/>
      <w:jc w:val="left"/>
    </w:pPr>
    <w:rPr>
      <w:rFonts w:eastAsia="Times New Roman"/>
      <w:szCs w:val="20"/>
    </w:rPr>
  </w:style>
  <w:style w:type="paragraph" w:customStyle="1" w:styleId="AddressTR">
    <w:name w:val="AddressTR"/>
    <w:basedOn w:val="Normal"/>
    <w:next w:val="Normal"/>
    <w:pPr>
      <w:spacing w:before="0" w:after="720"/>
      <w:ind w:left="5103"/>
      <w:jc w:val="left"/>
    </w:pPr>
    <w:rPr>
      <w:rFonts w:eastAsia="Times New Roman"/>
      <w:szCs w:val="20"/>
    </w:rPr>
  </w:style>
  <w:style w:type="paragraph" w:customStyle="1" w:styleId="Enclosures">
    <w:name w:val="Enclosures"/>
    <w:basedOn w:val="Normal"/>
    <w:next w:val="Participants"/>
    <w:pPr>
      <w:keepNext/>
      <w:keepLines/>
      <w:tabs>
        <w:tab w:val="left" w:pos="5642"/>
      </w:tabs>
      <w:spacing w:before="480" w:after="0"/>
      <w:ind w:left="1792" w:hanging="1792"/>
      <w:jc w:val="left"/>
    </w:pPr>
    <w:rPr>
      <w:rFonts w:eastAsia="Times New Roman"/>
      <w:szCs w:val="20"/>
    </w:rPr>
  </w:style>
  <w:style w:type="paragraph" w:customStyle="1" w:styleId="Participants">
    <w:name w:val="Participants"/>
    <w:basedOn w:val="Normal"/>
    <w:next w:val="Copies"/>
    <w:pPr>
      <w:tabs>
        <w:tab w:val="left" w:pos="2512"/>
        <w:tab w:val="left" w:pos="2762"/>
        <w:tab w:val="left" w:pos="5642"/>
        <w:tab w:val="left" w:pos="6362"/>
        <w:tab w:val="left" w:pos="6720"/>
      </w:tabs>
      <w:spacing w:before="480" w:after="0"/>
      <w:ind w:left="1792" w:hanging="1792"/>
      <w:jc w:val="left"/>
    </w:pPr>
    <w:rPr>
      <w:rFonts w:eastAsia="Times New Roman"/>
      <w:szCs w:val="20"/>
    </w:rPr>
  </w:style>
  <w:style w:type="paragraph" w:customStyle="1" w:styleId="Copies">
    <w:name w:val="Copies"/>
    <w:basedOn w:val="Normal"/>
    <w:next w:val="Normal"/>
    <w:pPr>
      <w:tabs>
        <w:tab w:val="left" w:pos="2512"/>
        <w:tab w:val="left" w:pos="2762"/>
        <w:tab w:val="left" w:pos="5642"/>
        <w:tab w:val="left" w:pos="6362"/>
        <w:tab w:val="left" w:pos="6720"/>
      </w:tabs>
      <w:spacing w:before="480" w:after="0"/>
      <w:ind w:left="1792" w:hanging="1792"/>
      <w:jc w:val="left"/>
    </w:pPr>
    <w:rPr>
      <w:rFonts w:eastAsia="Times New Roman"/>
      <w:szCs w:val="20"/>
    </w:rPr>
  </w:style>
  <w:style w:type="paragraph" w:customStyle="1" w:styleId="References">
    <w:name w:val="References"/>
    <w:basedOn w:val="Normal"/>
    <w:next w:val="AddressTR"/>
    <w:pPr>
      <w:spacing w:before="0" w:after="240"/>
      <w:ind w:left="5103"/>
      <w:jc w:val="left"/>
    </w:pPr>
    <w:rPr>
      <w:rFonts w:eastAsia="Times New Roman"/>
      <w:sz w:val="20"/>
      <w:szCs w:val="20"/>
    </w:rPr>
  </w:style>
  <w:style w:type="paragraph" w:customStyle="1" w:styleId="DoubSign">
    <w:name w:val="DoubSign"/>
    <w:basedOn w:val="Normal"/>
    <w:next w:val="Enclosures"/>
    <w:pPr>
      <w:tabs>
        <w:tab w:val="left" w:pos="5103"/>
      </w:tabs>
      <w:spacing w:before="1200" w:after="0"/>
      <w:jc w:val="left"/>
    </w:pPr>
    <w:rPr>
      <w:rFonts w:eastAsia="Times New Roman"/>
      <w:szCs w:val="20"/>
    </w:rPr>
  </w:style>
  <w:style w:type="paragraph" w:customStyle="1" w:styleId="NoteHead">
    <w:name w:val="NoteHead"/>
    <w:basedOn w:val="Normal"/>
    <w:next w:val="Subject"/>
    <w:pPr>
      <w:spacing w:before="720" w:after="720"/>
      <w:jc w:val="center"/>
    </w:pPr>
    <w:rPr>
      <w:rFonts w:eastAsia="Times New Roman"/>
      <w:b/>
      <w:smallCaps/>
      <w:szCs w:val="20"/>
    </w:rPr>
  </w:style>
  <w:style w:type="paragraph" w:customStyle="1" w:styleId="Subject">
    <w:name w:val="Subject"/>
    <w:basedOn w:val="Normal"/>
    <w:next w:val="Normal"/>
    <w:pPr>
      <w:spacing w:before="0" w:after="480"/>
      <w:ind w:left="1191" w:hanging="1191"/>
      <w:jc w:val="left"/>
    </w:pPr>
    <w:rPr>
      <w:rFonts w:eastAsia="Times New Roman"/>
      <w:b/>
      <w:szCs w:val="20"/>
    </w:rPr>
  </w:style>
  <w:style w:type="paragraph" w:customStyle="1" w:styleId="NoteList">
    <w:name w:val="NoteList"/>
    <w:basedOn w:val="Normal"/>
    <w:next w:val="Subject"/>
    <w:pPr>
      <w:tabs>
        <w:tab w:val="left" w:pos="5823"/>
      </w:tabs>
      <w:spacing w:before="720" w:after="720"/>
      <w:ind w:left="5104" w:hanging="3119"/>
      <w:jc w:val="left"/>
    </w:pPr>
    <w:rPr>
      <w:rFonts w:eastAsia="Times New Roman"/>
      <w:b/>
      <w:smallCaps/>
      <w:szCs w:val="20"/>
    </w:rPr>
  </w:style>
  <w:style w:type="paragraph" w:customStyle="1" w:styleId="YReferences">
    <w:name w:val="YReferences"/>
    <w:basedOn w:val="Normal"/>
    <w:next w:val="Normal"/>
    <w:pPr>
      <w:spacing w:before="0" w:after="480"/>
      <w:ind w:left="1191" w:hanging="1191"/>
    </w:pPr>
    <w:rPr>
      <w:rFonts w:eastAsia="Times New Roman"/>
      <w:szCs w:val="20"/>
    </w:rPr>
  </w:style>
  <w:style w:type="paragraph" w:customStyle="1" w:styleId="ZCom">
    <w:name w:val="Z_Com"/>
    <w:basedOn w:val="Normal"/>
    <w:next w:val="ZDGName"/>
    <w:pPr>
      <w:widowControl w:val="0"/>
      <w:spacing w:before="0" w:after="0"/>
      <w:ind w:right="85"/>
    </w:pPr>
    <w:rPr>
      <w:rFonts w:ascii="Arial" w:eastAsia="Times New Roman" w:hAnsi="Arial"/>
      <w:szCs w:val="20"/>
    </w:rPr>
  </w:style>
  <w:style w:type="paragraph" w:customStyle="1" w:styleId="ZDGName">
    <w:name w:val="Z_DGName"/>
    <w:basedOn w:val="Normal"/>
    <w:pPr>
      <w:widowControl w:val="0"/>
      <w:spacing w:before="0" w:after="0"/>
      <w:ind w:right="85"/>
    </w:pPr>
    <w:rPr>
      <w:rFonts w:ascii="Arial" w:eastAsia="Times New Roman" w:hAnsi="Arial"/>
      <w:sz w:val="16"/>
      <w:szCs w:val="20"/>
    </w:rPr>
  </w:style>
  <w:style w:type="paragraph" w:styleId="Index1">
    <w:name w:val="index 1"/>
    <w:basedOn w:val="Normal"/>
    <w:next w:val="Normal"/>
    <w:pPr>
      <w:spacing w:before="0" w:after="240"/>
      <w:ind w:left="240" w:hanging="240"/>
    </w:pPr>
    <w:rPr>
      <w:rFonts w:eastAsia="Times New Roman"/>
      <w:szCs w:val="20"/>
    </w:rPr>
  </w:style>
  <w:style w:type="paragraph" w:styleId="Index2">
    <w:name w:val="index 2"/>
    <w:basedOn w:val="Normal"/>
    <w:next w:val="Normal"/>
    <w:pPr>
      <w:spacing w:before="0" w:after="240"/>
      <w:ind w:left="480" w:hanging="240"/>
    </w:pPr>
    <w:rPr>
      <w:rFonts w:eastAsia="Times New Roman"/>
      <w:szCs w:val="20"/>
    </w:rPr>
  </w:style>
  <w:style w:type="paragraph" w:styleId="Index3">
    <w:name w:val="index 3"/>
    <w:basedOn w:val="Normal"/>
    <w:next w:val="Normal"/>
    <w:pPr>
      <w:spacing w:before="0" w:after="240"/>
      <w:ind w:left="720" w:hanging="240"/>
    </w:pPr>
    <w:rPr>
      <w:rFonts w:eastAsia="Times New Roman"/>
      <w:szCs w:val="20"/>
    </w:rPr>
  </w:style>
  <w:style w:type="paragraph" w:styleId="Index4">
    <w:name w:val="index 4"/>
    <w:basedOn w:val="Normal"/>
    <w:next w:val="Normal"/>
    <w:pPr>
      <w:spacing w:before="0" w:after="240"/>
      <w:ind w:left="960" w:hanging="240"/>
    </w:pPr>
    <w:rPr>
      <w:rFonts w:eastAsia="Times New Roman"/>
      <w:szCs w:val="20"/>
    </w:rPr>
  </w:style>
  <w:style w:type="paragraph" w:styleId="Index5">
    <w:name w:val="index 5"/>
    <w:basedOn w:val="Normal"/>
    <w:next w:val="Normal"/>
    <w:pPr>
      <w:spacing w:before="0" w:after="240"/>
      <w:ind w:left="1200" w:hanging="240"/>
    </w:pPr>
    <w:rPr>
      <w:rFonts w:eastAsia="Times New Roman"/>
      <w:szCs w:val="20"/>
    </w:rPr>
  </w:style>
  <w:style w:type="paragraph" w:styleId="Index6">
    <w:name w:val="index 6"/>
    <w:basedOn w:val="Normal"/>
    <w:next w:val="Normal"/>
    <w:pPr>
      <w:spacing w:before="0" w:after="240"/>
      <w:ind w:left="1440" w:hanging="240"/>
    </w:pPr>
    <w:rPr>
      <w:rFonts w:eastAsia="Times New Roman"/>
      <w:szCs w:val="20"/>
    </w:rPr>
  </w:style>
  <w:style w:type="paragraph" w:styleId="Index7">
    <w:name w:val="index 7"/>
    <w:basedOn w:val="Normal"/>
    <w:next w:val="Normal"/>
    <w:pPr>
      <w:spacing w:before="0" w:after="240"/>
      <w:ind w:left="1680" w:hanging="240"/>
    </w:pPr>
    <w:rPr>
      <w:rFonts w:eastAsia="Times New Roman"/>
      <w:szCs w:val="20"/>
    </w:rPr>
  </w:style>
  <w:style w:type="paragraph" w:styleId="Index8">
    <w:name w:val="index 8"/>
    <w:basedOn w:val="Normal"/>
    <w:next w:val="Normal"/>
    <w:pPr>
      <w:spacing w:before="0" w:after="240"/>
      <w:ind w:left="1920" w:hanging="240"/>
    </w:pPr>
    <w:rPr>
      <w:rFonts w:eastAsia="Times New Roman"/>
      <w:szCs w:val="20"/>
    </w:rPr>
  </w:style>
  <w:style w:type="paragraph" w:styleId="Index9">
    <w:name w:val="index 9"/>
    <w:basedOn w:val="Normal"/>
    <w:next w:val="Normal"/>
    <w:pPr>
      <w:spacing w:before="0" w:after="240"/>
      <w:ind w:left="2160" w:hanging="240"/>
    </w:pPr>
    <w:rPr>
      <w:rFonts w:eastAsia="Times New Roman"/>
      <w:szCs w:val="20"/>
    </w:rPr>
  </w:style>
  <w:style w:type="paragraph" w:styleId="IndexHeading">
    <w:name w:val="index heading"/>
    <w:basedOn w:val="Normal"/>
    <w:next w:val="Index1"/>
    <w:pPr>
      <w:spacing w:before="0" w:after="240"/>
    </w:pPr>
    <w:rPr>
      <w:rFonts w:ascii="Arial" w:eastAsia="Times New Roman" w:hAnsi="Arial"/>
      <w:b/>
      <w:szCs w:val="20"/>
    </w:rPr>
  </w:style>
  <w:style w:type="paragraph" w:styleId="TableofAuthorities">
    <w:name w:val="table of authorities"/>
    <w:basedOn w:val="Normal"/>
    <w:next w:val="Normal"/>
    <w:pPr>
      <w:spacing w:before="0" w:after="240"/>
      <w:ind w:left="240" w:hanging="240"/>
    </w:pPr>
    <w:rPr>
      <w:rFonts w:eastAsia="Times New Roman"/>
      <w:szCs w:val="20"/>
    </w:rPr>
  </w:style>
  <w:style w:type="paragraph" w:styleId="TOAHeading">
    <w:name w:val="toa heading"/>
    <w:basedOn w:val="Normal"/>
    <w:next w:val="Normal"/>
    <w:pPr>
      <w:spacing w:after="240"/>
    </w:pPr>
    <w:rPr>
      <w:rFonts w:ascii="Arial" w:eastAsia="Times New Roman" w:hAnsi="Arial"/>
      <w:b/>
      <w:szCs w:val="20"/>
    </w:rPr>
  </w:style>
  <w:style w:type="paragraph" w:customStyle="1" w:styleId="Contact">
    <w:name w:val="Contact"/>
    <w:basedOn w:val="Normal"/>
    <w:next w:val="Enclosures"/>
    <w:pPr>
      <w:spacing w:before="480" w:after="0"/>
      <w:ind w:left="567" w:hanging="567"/>
      <w:jc w:val="left"/>
    </w:pPr>
    <w:rPr>
      <w:rFonts w:eastAsia="Times New Roman"/>
      <w:szCs w:val="20"/>
    </w:rPr>
  </w:style>
  <w:style w:type="paragraph" w:customStyle="1" w:styleId="ListDash3">
    <w:name w:val="List Dash 3"/>
    <w:basedOn w:val="Text3"/>
    <w:pPr>
      <w:numPr>
        <w:numId w:val="18"/>
      </w:numPr>
      <w:spacing w:before="0" w:after="240"/>
    </w:pPr>
    <w:rPr>
      <w:rFonts w:eastAsia="Times New Roman"/>
      <w:szCs w:val="20"/>
    </w:rPr>
  </w:style>
  <w:style w:type="paragraph" w:customStyle="1" w:styleId="ListDash4">
    <w:name w:val="List Dash 4"/>
    <w:basedOn w:val="Text4"/>
    <w:pPr>
      <w:numPr>
        <w:numId w:val="19"/>
      </w:numPr>
      <w:spacing w:before="0" w:after="240"/>
    </w:pPr>
    <w:rPr>
      <w:rFonts w:eastAsia="Times New Roman"/>
      <w:szCs w:val="20"/>
    </w:rPr>
  </w:style>
  <w:style w:type="paragraph" w:customStyle="1" w:styleId="ListNumber1">
    <w:name w:val="List Number 1"/>
    <w:basedOn w:val="Text1"/>
    <w:pPr>
      <w:numPr>
        <w:numId w:val="20"/>
      </w:numPr>
      <w:tabs>
        <w:tab w:val="clear" w:pos="1191"/>
        <w:tab w:val="num" w:pos="360"/>
      </w:tabs>
      <w:spacing w:before="0" w:after="240"/>
      <w:ind w:left="720" w:hanging="720"/>
    </w:pPr>
    <w:rPr>
      <w:rFonts w:eastAsia="Times New Roman"/>
      <w:szCs w:val="20"/>
    </w:rPr>
  </w:style>
  <w:style w:type="paragraph" w:customStyle="1" w:styleId="ListNumber1Level2">
    <w:name w:val="List Number 1 (Level 2)"/>
    <w:basedOn w:val="Text1"/>
    <w:pPr>
      <w:numPr>
        <w:ilvl w:val="1"/>
        <w:numId w:val="20"/>
      </w:numPr>
      <w:tabs>
        <w:tab w:val="clear" w:pos="1899"/>
        <w:tab w:val="num" w:pos="360"/>
      </w:tabs>
      <w:spacing w:before="0" w:after="240"/>
      <w:ind w:left="720" w:hanging="720"/>
    </w:pPr>
    <w:rPr>
      <w:rFonts w:eastAsia="Times New Roman"/>
      <w:szCs w:val="20"/>
    </w:rPr>
  </w:style>
  <w:style w:type="paragraph" w:customStyle="1" w:styleId="ListNumber2Level2">
    <w:name w:val="List Number 2 (Level 2)"/>
    <w:basedOn w:val="Text20"/>
    <w:pPr>
      <w:numPr>
        <w:ilvl w:val="7"/>
        <w:numId w:val="8"/>
      </w:numPr>
      <w:tabs>
        <w:tab w:val="num" w:pos="2494"/>
      </w:tabs>
      <w:spacing w:before="0" w:after="240"/>
      <w:ind w:left="2494" w:hanging="708"/>
    </w:pPr>
    <w:rPr>
      <w:rFonts w:eastAsia="Times New Roman"/>
      <w:szCs w:val="20"/>
    </w:rPr>
  </w:style>
  <w:style w:type="paragraph" w:customStyle="1" w:styleId="ListNumber3Level2">
    <w:name w:val="List Number 3 (Level 2)"/>
    <w:basedOn w:val="Text3"/>
    <w:pPr>
      <w:numPr>
        <w:ilvl w:val="8"/>
        <w:numId w:val="8"/>
      </w:numPr>
      <w:tabs>
        <w:tab w:val="num" w:pos="3333"/>
      </w:tabs>
      <w:spacing w:before="0" w:after="240"/>
      <w:ind w:left="3333" w:hanging="708"/>
    </w:pPr>
    <w:rPr>
      <w:rFonts w:eastAsia="Times New Roman"/>
      <w:szCs w:val="20"/>
    </w:rPr>
  </w:style>
  <w:style w:type="paragraph" w:customStyle="1" w:styleId="ListNumber4Level2">
    <w:name w:val="List Number 4 (Level 2)"/>
    <w:basedOn w:val="Text4"/>
    <w:pPr>
      <w:tabs>
        <w:tab w:val="num" w:pos="4297"/>
      </w:tabs>
      <w:spacing w:before="0" w:after="240"/>
      <w:ind w:left="4297" w:hanging="708"/>
    </w:pPr>
    <w:rPr>
      <w:rFonts w:eastAsia="Times New Roman"/>
      <w:szCs w:val="20"/>
    </w:rPr>
  </w:style>
  <w:style w:type="paragraph" w:customStyle="1" w:styleId="ListNumber1Level3">
    <w:name w:val="List Number 1 (Level 3)"/>
    <w:basedOn w:val="Text1"/>
    <w:pPr>
      <w:numPr>
        <w:ilvl w:val="2"/>
        <w:numId w:val="20"/>
      </w:numPr>
      <w:tabs>
        <w:tab w:val="clear" w:pos="2608"/>
        <w:tab w:val="num" w:pos="360"/>
      </w:tabs>
      <w:spacing w:before="0" w:after="240"/>
      <w:ind w:left="720" w:hanging="720"/>
    </w:pPr>
    <w:rPr>
      <w:rFonts w:eastAsia="Times New Roman"/>
      <w:szCs w:val="20"/>
    </w:rPr>
  </w:style>
  <w:style w:type="paragraph" w:customStyle="1" w:styleId="ListNumber2Level3">
    <w:name w:val="List Number 2 (Level 3)"/>
    <w:basedOn w:val="Text20"/>
    <w:pPr>
      <w:numPr>
        <w:ilvl w:val="7"/>
        <w:numId w:val="8"/>
      </w:numPr>
      <w:tabs>
        <w:tab w:val="num" w:pos="3203"/>
      </w:tabs>
      <w:spacing w:before="0" w:after="240"/>
      <w:ind w:left="3203" w:hanging="709"/>
    </w:pPr>
    <w:rPr>
      <w:rFonts w:eastAsia="Times New Roman"/>
      <w:szCs w:val="20"/>
    </w:rPr>
  </w:style>
  <w:style w:type="paragraph" w:customStyle="1" w:styleId="ListNumber3Level3">
    <w:name w:val="List Number 3 (Level 3)"/>
    <w:basedOn w:val="Text3"/>
    <w:pPr>
      <w:numPr>
        <w:ilvl w:val="8"/>
        <w:numId w:val="8"/>
      </w:numPr>
      <w:tabs>
        <w:tab w:val="num" w:pos="4042"/>
      </w:tabs>
      <w:spacing w:before="0" w:after="240"/>
      <w:ind w:left="4042" w:hanging="709"/>
    </w:pPr>
    <w:rPr>
      <w:rFonts w:eastAsia="Times New Roman"/>
      <w:szCs w:val="20"/>
    </w:rPr>
  </w:style>
  <w:style w:type="paragraph" w:customStyle="1" w:styleId="ListNumber4Level3">
    <w:name w:val="List Number 4 (Level 3)"/>
    <w:basedOn w:val="Text4"/>
    <w:pPr>
      <w:tabs>
        <w:tab w:val="num" w:pos="5006"/>
      </w:tabs>
      <w:spacing w:before="0" w:after="240"/>
      <w:ind w:left="5006" w:hanging="709"/>
    </w:pPr>
    <w:rPr>
      <w:rFonts w:eastAsia="Times New Roman"/>
      <w:szCs w:val="20"/>
    </w:rPr>
  </w:style>
  <w:style w:type="paragraph" w:customStyle="1" w:styleId="ListNumber1Level4">
    <w:name w:val="List Number 1 (Level 4)"/>
    <w:basedOn w:val="Text1"/>
    <w:pPr>
      <w:numPr>
        <w:ilvl w:val="3"/>
        <w:numId w:val="20"/>
      </w:numPr>
      <w:tabs>
        <w:tab w:val="clear" w:pos="3317"/>
        <w:tab w:val="num" w:pos="360"/>
      </w:tabs>
      <w:spacing w:before="0" w:after="240"/>
      <w:ind w:left="720" w:hanging="720"/>
    </w:pPr>
    <w:rPr>
      <w:rFonts w:eastAsia="Times New Roman"/>
      <w:szCs w:val="20"/>
    </w:rPr>
  </w:style>
  <w:style w:type="paragraph" w:customStyle="1" w:styleId="ListNumber2Level4">
    <w:name w:val="List Number 2 (Level 4)"/>
    <w:basedOn w:val="Text20"/>
    <w:pPr>
      <w:numPr>
        <w:ilvl w:val="7"/>
        <w:numId w:val="8"/>
      </w:numPr>
      <w:tabs>
        <w:tab w:val="num" w:pos="3912"/>
      </w:tabs>
      <w:spacing w:before="0" w:after="240"/>
      <w:ind w:left="3912" w:hanging="709"/>
    </w:pPr>
    <w:rPr>
      <w:rFonts w:eastAsia="Times New Roman"/>
      <w:szCs w:val="20"/>
    </w:rPr>
  </w:style>
  <w:style w:type="paragraph" w:customStyle="1" w:styleId="ListNumber3Level4">
    <w:name w:val="List Number 3 (Level 4)"/>
    <w:basedOn w:val="Text3"/>
    <w:pPr>
      <w:tabs>
        <w:tab w:val="num" w:pos="850"/>
        <w:tab w:val="num" w:pos="4751"/>
      </w:tabs>
      <w:spacing w:before="0" w:after="240"/>
      <w:ind w:left="4751" w:hanging="709"/>
    </w:pPr>
    <w:rPr>
      <w:rFonts w:eastAsia="Times New Roman"/>
      <w:szCs w:val="20"/>
    </w:rPr>
  </w:style>
  <w:style w:type="paragraph" w:customStyle="1" w:styleId="ListNumber4Level40">
    <w:name w:val="List Number 4 (Level 4)"/>
    <w:basedOn w:val="Text4"/>
    <w:pPr>
      <w:tabs>
        <w:tab w:val="num" w:pos="5715"/>
      </w:tabs>
      <w:spacing w:before="0" w:after="240"/>
      <w:ind w:left="5715" w:hanging="709"/>
    </w:pPr>
    <w:rPr>
      <w:rFonts w:eastAsia="Times New Roman"/>
      <w:szCs w:val="20"/>
    </w:rPr>
  </w:style>
  <w:style w:type="paragraph" w:customStyle="1" w:styleId="Annexetitreexposglobal">
    <w:name w:val="Annexe titre (exposé global)"/>
    <w:basedOn w:val="Normal"/>
    <w:next w:val="Normal"/>
    <w:pPr>
      <w:jc w:val="center"/>
    </w:pPr>
    <w:rPr>
      <w:rFonts w:eastAsia="Times New Roman"/>
      <w:b/>
      <w:bCs/>
      <w:snapToGrid w:val="0"/>
      <w:szCs w:val="24"/>
      <w:u w:val="single"/>
    </w:rPr>
  </w:style>
  <w:style w:type="paragraph" w:customStyle="1" w:styleId="Annexetitrefichefinacte">
    <w:name w:val="Annexe titre (fiche fin. acte)"/>
    <w:basedOn w:val="Normal"/>
    <w:next w:val="Normal"/>
    <w:pPr>
      <w:jc w:val="center"/>
    </w:pPr>
    <w:rPr>
      <w:rFonts w:eastAsia="Times New Roman"/>
      <w:b/>
      <w:bCs/>
      <w:snapToGrid w:val="0"/>
      <w:szCs w:val="24"/>
      <w:u w:val="single"/>
    </w:rPr>
  </w:style>
  <w:style w:type="paragraph" w:customStyle="1" w:styleId="Annexetitrefichefinglobale">
    <w:name w:val="Annexe titre (fiche fin. globale)"/>
    <w:basedOn w:val="Normal"/>
    <w:next w:val="Normal"/>
    <w:pPr>
      <w:jc w:val="center"/>
    </w:pPr>
    <w:rPr>
      <w:rFonts w:eastAsia="Times New Roman"/>
      <w:b/>
      <w:bCs/>
      <w:snapToGrid w:val="0"/>
      <w:szCs w:val="24"/>
      <w:u w:val="single"/>
    </w:rPr>
  </w:style>
  <w:style w:type="paragraph" w:customStyle="1" w:styleId="Exposdesmotifstitreglobal">
    <w:name w:val="Exposé des motifs titre (global)"/>
    <w:basedOn w:val="Normal"/>
    <w:next w:val="Normal"/>
    <w:pPr>
      <w:jc w:val="center"/>
    </w:pPr>
    <w:rPr>
      <w:rFonts w:eastAsia="Times New Roman"/>
      <w:b/>
      <w:bCs/>
      <w:snapToGrid w:val="0"/>
      <w:szCs w:val="24"/>
      <w:u w:val="single"/>
    </w:rPr>
  </w:style>
  <w:style w:type="paragraph" w:customStyle="1" w:styleId="Langueoriginale">
    <w:name w:val="Langue originale"/>
    <w:basedOn w:val="Normal"/>
    <w:next w:val="Phrasefinale"/>
    <w:pPr>
      <w:spacing w:before="360"/>
      <w:jc w:val="center"/>
    </w:pPr>
    <w:rPr>
      <w:rFonts w:eastAsia="Times New Roman"/>
      <w:caps/>
      <w:snapToGrid w:val="0"/>
      <w:szCs w:val="24"/>
    </w:rPr>
  </w:style>
  <w:style w:type="paragraph" w:customStyle="1" w:styleId="Phrasefinale">
    <w:name w:val="Phrase finale"/>
    <w:basedOn w:val="Normal"/>
    <w:next w:val="Normal"/>
    <w:pPr>
      <w:spacing w:before="360" w:after="0"/>
      <w:jc w:val="center"/>
    </w:pPr>
    <w:rPr>
      <w:rFonts w:eastAsia="Times New Roman"/>
      <w:snapToGrid w:val="0"/>
      <w:szCs w:val="24"/>
    </w:rPr>
  </w:style>
  <w:style w:type="paragraph" w:customStyle="1" w:styleId="Prliminairetitre">
    <w:name w:val="Préliminaire titre"/>
    <w:basedOn w:val="Normal"/>
    <w:next w:val="Normal"/>
    <w:pPr>
      <w:spacing w:before="360" w:after="360"/>
      <w:jc w:val="center"/>
    </w:pPr>
    <w:rPr>
      <w:rFonts w:eastAsia="Times New Roman"/>
      <w:b/>
      <w:bCs/>
      <w:snapToGrid w:val="0"/>
      <w:szCs w:val="24"/>
    </w:rPr>
  </w:style>
  <w:style w:type="paragraph" w:customStyle="1" w:styleId="Prliminairetype">
    <w:name w:val="Préliminaire type"/>
    <w:basedOn w:val="Normal"/>
    <w:next w:val="Normal"/>
    <w:pPr>
      <w:spacing w:before="360" w:after="0"/>
      <w:jc w:val="center"/>
    </w:pPr>
    <w:rPr>
      <w:rFonts w:eastAsia="Times New Roman"/>
      <w:b/>
      <w:bCs/>
      <w:snapToGrid w:val="0"/>
      <w:szCs w:val="24"/>
    </w:rPr>
  </w:style>
  <w:style w:type="paragraph" w:customStyle="1" w:styleId="Rfrenceinstitutionelle">
    <w:name w:val="Référence institutionelle"/>
    <w:basedOn w:val="Normal"/>
    <w:next w:val="Statut"/>
    <w:pPr>
      <w:spacing w:before="0" w:after="240"/>
      <w:ind w:left="5103"/>
      <w:jc w:val="left"/>
    </w:pPr>
    <w:rPr>
      <w:rFonts w:eastAsia="Times New Roman"/>
      <w:snapToGrid w:val="0"/>
      <w:szCs w:val="24"/>
    </w:rPr>
  </w:style>
  <w:style w:type="paragraph" w:customStyle="1" w:styleId="Rfrenceinterinstitutionelle">
    <w:name w:val="Référence interinstitutionelle"/>
    <w:basedOn w:val="Normal"/>
    <w:next w:val="Statut"/>
    <w:pPr>
      <w:spacing w:before="0" w:after="0"/>
      <w:ind w:left="5103"/>
      <w:jc w:val="left"/>
    </w:pPr>
    <w:rPr>
      <w:rFonts w:eastAsia="Times New Roman"/>
      <w:snapToGrid w:val="0"/>
      <w:szCs w:val="24"/>
    </w:rPr>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snapToGrid w:val="0"/>
      <w:szCs w:val="24"/>
    </w:rPr>
  </w:style>
  <w:style w:type="paragraph" w:customStyle="1" w:styleId="Sous-titreobjetprliminaire">
    <w:name w:val="Sous-titre objet (préliminaire)"/>
    <w:basedOn w:val="Normal"/>
    <w:pPr>
      <w:spacing w:before="0" w:after="0"/>
      <w:jc w:val="center"/>
    </w:pPr>
    <w:rPr>
      <w:rFonts w:eastAsia="Times New Roman"/>
      <w:b/>
      <w:bCs/>
      <w:snapToGrid w:val="0"/>
      <w:szCs w:val="24"/>
    </w:rPr>
  </w:style>
  <w:style w:type="paragraph" w:customStyle="1" w:styleId="Statutprliminaire">
    <w:name w:val="Statut (préliminaire)"/>
    <w:basedOn w:val="Normal"/>
    <w:next w:val="Normal"/>
    <w:pPr>
      <w:spacing w:before="360" w:after="0"/>
      <w:jc w:val="center"/>
    </w:pPr>
    <w:rPr>
      <w:rFonts w:eastAsia="Times New Roman"/>
      <w:snapToGrid w:val="0"/>
      <w:szCs w:val="24"/>
    </w:rPr>
  </w:style>
  <w:style w:type="paragraph" w:customStyle="1" w:styleId="Titreobjetprliminaire">
    <w:name w:val="Titre objet (préliminaire)"/>
    <w:basedOn w:val="Normal"/>
    <w:next w:val="Normal"/>
    <w:pPr>
      <w:spacing w:before="360" w:after="360"/>
      <w:jc w:val="center"/>
    </w:pPr>
    <w:rPr>
      <w:rFonts w:eastAsia="Times New Roman"/>
      <w:b/>
      <w:bCs/>
      <w:snapToGrid w:val="0"/>
      <w:szCs w:val="24"/>
    </w:rPr>
  </w:style>
  <w:style w:type="paragraph" w:customStyle="1" w:styleId="Typedudocumentprliminaire">
    <w:name w:val="Type du document (préliminaire)"/>
    <w:basedOn w:val="Normal"/>
    <w:next w:val="Normal"/>
    <w:pPr>
      <w:spacing w:before="360" w:after="0"/>
      <w:jc w:val="center"/>
    </w:pPr>
    <w:rPr>
      <w:rFonts w:eastAsia="Times New Roman"/>
      <w:b/>
      <w:bCs/>
      <w:snapToGrid w:val="0"/>
      <w:szCs w:val="24"/>
    </w:rPr>
  </w:style>
  <w:style w:type="paragraph" w:customStyle="1" w:styleId="Fichefinancirestandardtitre">
    <w:name w:val="Fiche financière (standard) titre"/>
    <w:basedOn w:val="Normal"/>
    <w:next w:val="Normal"/>
    <w:pPr>
      <w:jc w:val="center"/>
    </w:pPr>
    <w:rPr>
      <w:rFonts w:eastAsia="Times New Roman"/>
      <w:b/>
      <w:bCs/>
      <w:snapToGrid w:val="0"/>
      <w:szCs w:val="24"/>
      <w:u w:val="single"/>
    </w:rPr>
  </w:style>
  <w:style w:type="paragraph" w:customStyle="1" w:styleId="Fichefinancirestandardtitreacte">
    <w:name w:val="Fiche financière (standard) titre (acte)"/>
    <w:basedOn w:val="Normal"/>
    <w:next w:val="Normal"/>
    <w:pPr>
      <w:jc w:val="center"/>
    </w:pPr>
    <w:rPr>
      <w:rFonts w:eastAsia="Times New Roman"/>
      <w:b/>
      <w:bCs/>
      <w:snapToGrid w:val="0"/>
      <w:szCs w:val="24"/>
      <w:u w:val="single"/>
    </w:rPr>
  </w:style>
  <w:style w:type="paragraph" w:customStyle="1" w:styleId="Fichefinanciretravailtitre">
    <w:name w:val="Fiche financière (travail) titre"/>
    <w:basedOn w:val="Normal"/>
    <w:next w:val="Normal"/>
    <w:pPr>
      <w:jc w:val="center"/>
    </w:pPr>
    <w:rPr>
      <w:rFonts w:eastAsia="Times New Roman"/>
      <w:b/>
      <w:bCs/>
      <w:snapToGrid w:val="0"/>
      <w:szCs w:val="24"/>
      <w:u w:val="single"/>
    </w:rPr>
  </w:style>
  <w:style w:type="paragraph" w:customStyle="1" w:styleId="Fichefinanciretravailtitreacte">
    <w:name w:val="Fiche financière (travail) titre (acte)"/>
    <w:basedOn w:val="Normal"/>
    <w:next w:val="Normal"/>
    <w:pPr>
      <w:jc w:val="center"/>
    </w:pPr>
    <w:rPr>
      <w:rFonts w:eastAsia="Times New Roman"/>
      <w:b/>
      <w:bCs/>
      <w:snapToGrid w:val="0"/>
      <w:szCs w:val="24"/>
      <w:u w:val="single"/>
    </w:rPr>
  </w:style>
  <w:style w:type="paragraph" w:customStyle="1" w:styleId="Fichefinancireattributiontitre">
    <w:name w:val="Fiche financière (attribution) titre"/>
    <w:basedOn w:val="Normal"/>
    <w:next w:val="Normal"/>
    <w:pPr>
      <w:jc w:val="center"/>
    </w:pPr>
    <w:rPr>
      <w:rFonts w:eastAsia="Times New Roman"/>
      <w:b/>
      <w:bCs/>
      <w:snapToGrid w:val="0"/>
      <w:szCs w:val="24"/>
      <w:u w:val="single"/>
    </w:rPr>
  </w:style>
  <w:style w:type="paragraph" w:customStyle="1" w:styleId="Fichefinancireattributiontitreacte">
    <w:name w:val="Fiche financière (attribution) titre (acte)"/>
    <w:basedOn w:val="Normal"/>
    <w:next w:val="Normal"/>
    <w:pPr>
      <w:jc w:val="center"/>
    </w:pPr>
    <w:rPr>
      <w:rFonts w:eastAsia="Times New Roman"/>
      <w:b/>
      <w:bCs/>
      <w:snapToGrid w:val="0"/>
      <w:szCs w:val="24"/>
      <w:u w:val="single"/>
    </w:rPr>
  </w:style>
  <w:style w:type="numbering" w:styleId="1ai">
    <w:name w:val="Outline List 1"/>
    <w:basedOn w:val="NoList"/>
    <w:pPr>
      <w:numPr>
        <w:numId w:val="16"/>
      </w:numPr>
    </w:pPr>
  </w:style>
  <w:style w:type="numbering" w:styleId="ArticleSection">
    <w:name w:val="Outline List 3"/>
    <w:basedOn w:val="NoList"/>
    <w:pPr>
      <w:numPr>
        <w:numId w:val="17"/>
      </w:numPr>
    </w:pPr>
  </w:style>
  <w:style w:type="table" w:styleId="Table3Deffects1">
    <w:name w:val="Table 3D effects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pPr>
      <w:spacing w:before="120" w:after="120" w:line="240" w:lineRule="auto"/>
      <w:jc w:val="both"/>
    </w:pPr>
    <w:rPr>
      <w:rFonts w:ascii="Times New Roman" w:eastAsia="Times New Roman" w:hAnsi="Times New Roman" w:cs="Times New Roman"/>
      <w:color w:val="000080"/>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pPr>
      <w:spacing w:before="120" w:after="120" w:line="240" w:lineRule="auto"/>
      <w:jc w:val="both"/>
    </w:pPr>
    <w:rPr>
      <w:rFonts w:ascii="Times New Roman" w:eastAsia="Times New Roman" w:hAnsi="Times New Roman" w:cs="Times New Roman"/>
      <w:color w:val="FFFFFF"/>
      <w:sz w:val="20"/>
      <w:szCs w:val="20"/>
      <w:lang w:val="en-GB" w:eastAsia="en-GB" w:bidi="ar-SA"/>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before="120" w:after="120" w:line="240" w:lineRule="auto"/>
      <w:jc w:val="both"/>
    </w:pPr>
    <w:rPr>
      <w:rFonts w:ascii="Times New Roman" w:eastAsia="Times New Roman" w:hAnsi="Times New Roman" w:cs="Times New Roman"/>
      <w:b/>
      <w:bCs/>
      <w:sz w:val="20"/>
      <w:szCs w:val="20"/>
      <w:lang w:val="en-GB" w:eastAsia="en-GB" w:bidi="ar-SA"/>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pPr>
      <w:spacing w:before="120" w:after="120" w:line="240" w:lineRule="auto"/>
      <w:jc w:val="both"/>
    </w:pPr>
    <w:rPr>
      <w:rFonts w:ascii="Times New Roman" w:eastAsia="Times New Roman" w:hAnsi="Times New Roman" w:cs="Times New Roman"/>
      <w:b/>
      <w:bCs/>
      <w:sz w:val="20"/>
      <w:szCs w:val="20"/>
      <w:lang w:val="en-GB" w:eastAsia="en-GB" w:bidi="ar-SA"/>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pPr>
      <w:spacing w:before="120" w:after="120" w:line="240" w:lineRule="auto"/>
      <w:jc w:val="both"/>
    </w:pPr>
    <w:rPr>
      <w:rFonts w:ascii="Times New Roman" w:eastAsia="Times New Roman" w:hAnsi="Times New Roman" w:cs="Times New Roman"/>
      <w:b/>
      <w:bCs/>
      <w:sz w:val="20"/>
      <w:szCs w:val="20"/>
      <w:lang w:val="en-GB" w:eastAsia="en-GB" w:bidi="ar-SA"/>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pPr>
      <w:spacing w:before="120" w:after="120" w:line="240" w:lineRule="auto"/>
      <w:jc w:val="both"/>
    </w:pPr>
    <w:rPr>
      <w:rFonts w:ascii="Times New Roman" w:eastAsia="Times New Roman" w:hAnsi="Times New Roman" w:cs="Times New Roman"/>
      <w:b/>
      <w:bCs/>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pPr>
      <w:spacing w:before="120" w:after="12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ichedimpactPMEtitre">
    <w:name w:val="Fiche d'impact PME titre"/>
    <w:basedOn w:val="Normal"/>
    <w:next w:val="Normal"/>
    <w:pPr>
      <w:jc w:val="center"/>
    </w:pPr>
    <w:rPr>
      <w:rFonts w:eastAsia="Times New Roman"/>
      <w:b/>
      <w:bCs/>
      <w:snapToGrid w:val="0"/>
      <w:szCs w:val="24"/>
    </w:rPr>
  </w:style>
  <w:style w:type="paragraph" w:customStyle="1" w:styleId="Fichefinanciretextetable0">
    <w:name w:val="Fiche financière texte (table)"/>
    <w:basedOn w:val="Normal"/>
    <w:pPr>
      <w:spacing w:before="0" w:after="0"/>
      <w:jc w:val="left"/>
    </w:pPr>
    <w:rPr>
      <w:rFonts w:eastAsia="Times New Roman"/>
      <w:snapToGrid w:val="0"/>
      <w:sz w:val="20"/>
      <w:szCs w:val="24"/>
    </w:rPr>
  </w:style>
  <w:style w:type="paragraph" w:customStyle="1" w:styleId="Fichefinanciretitreactetable">
    <w:name w:val="Fiche financière titre (acte table)"/>
    <w:basedOn w:val="Normal"/>
    <w:next w:val="Normal"/>
    <w:pPr>
      <w:jc w:val="center"/>
    </w:pPr>
    <w:rPr>
      <w:rFonts w:eastAsia="Times New Roman"/>
      <w:b/>
      <w:bCs/>
      <w:snapToGrid w:val="0"/>
      <w:sz w:val="40"/>
      <w:szCs w:val="40"/>
    </w:rPr>
  </w:style>
  <w:style w:type="paragraph" w:customStyle="1" w:styleId="Fichefinanciretitreacte">
    <w:name w:val="Fiche financière titre (acte)"/>
    <w:basedOn w:val="Normal"/>
    <w:next w:val="Normal"/>
    <w:pPr>
      <w:jc w:val="center"/>
    </w:pPr>
    <w:rPr>
      <w:rFonts w:eastAsia="Times New Roman"/>
      <w:b/>
      <w:bCs/>
      <w:snapToGrid w:val="0"/>
      <w:szCs w:val="24"/>
      <w:u w:val="single"/>
    </w:rPr>
  </w:style>
  <w:style w:type="paragraph" w:customStyle="1" w:styleId="Fichefinanciretitretable">
    <w:name w:val="Fiche financière titre (table)"/>
    <w:basedOn w:val="Normal"/>
    <w:pPr>
      <w:jc w:val="center"/>
    </w:pPr>
    <w:rPr>
      <w:rFonts w:eastAsia="Times New Roman"/>
      <w:b/>
      <w:bCs/>
      <w:snapToGrid w:val="0"/>
      <w:sz w:val="40"/>
      <w:szCs w:val="40"/>
    </w:rPr>
  </w:style>
  <w:style w:type="character" w:customStyle="1" w:styleId="tw4winError">
    <w:name w:val="tw4winError"/>
    <w:rPr>
      <w:color w:val="00FF00"/>
      <w:sz w:val="40"/>
      <w:szCs w:val="4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tw4winJump">
    <w:name w:val="tw4winJump"/>
    <w:rPr>
      <w:noProof/>
      <w:color w:val="008080"/>
    </w:rPr>
  </w:style>
  <w:style w:type="character" w:customStyle="1" w:styleId="tw4winMark">
    <w:name w:val="tw4winMark"/>
    <w:rPr>
      <w:rFonts w:ascii="Times New Roman" w:hAnsi="Times New Roman" w:cs="Times New Roman"/>
      <w:vanish/>
      <w:color w:val="800080"/>
      <w:sz w:val="24"/>
      <w:szCs w:val="24"/>
      <w:vertAlign w:val="subscript"/>
    </w:rPr>
  </w:style>
  <w:style w:type="character" w:customStyle="1" w:styleId="tw4winPopup">
    <w:name w:val="tw4winPopup"/>
    <w:rPr>
      <w:noProof/>
      <w:color w:val="008000"/>
    </w:rPr>
  </w:style>
  <w:style w:type="character" w:customStyle="1" w:styleId="tw4winTerm">
    <w:name w:val="tw4winTerm"/>
    <w:rPr>
      <w:color w:val="0000FF"/>
    </w:rPr>
  </w:style>
  <w:style w:type="paragraph" w:customStyle="1" w:styleId="S3">
    <w:name w:val="S3"/>
    <w:basedOn w:val="Normal"/>
    <w:next w:val="Normal"/>
    <w:pPr>
      <w:jc w:val="center"/>
    </w:pPr>
    <w:rPr>
      <w:rFonts w:eastAsia="Times New Roman"/>
      <w:b/>
      <w:szCs w:val="20"/>
      <w:u w:val="single"/>
    </w:rPr>
  </w:style>
  <w:style w:type="paragraph" w:customStyle="1" w:styleId="S4">
    <w:name w:val="S4"/>
    <w:basedOn w:val="Normal"/>
    <w:next w:val="Normal"/>
    <w:pPr>
      <w:jc w:val="center"/>
    </w:pPr>
    <w:rPr>
      <w:rFonts w:eastAsia="Times New Roman"/>
      <w:b/>
      <w:szCs w:val="20"/>
      <w:u w:val="single"/>
    </w:rPr>
  </w:style>
  <w:style w:type="paragraph" w:customStyle="1" w:styleId="S9">
    <w:name w:val="S9"/>
    <w:basedOn w:val="Normal"/>
    <w:next w:val="Normal"/>
    <w:pPr>
      <w:keepNext/>
      <w:spacing w:after="360"/>
      <w:jc w:val="center"/>
    </w:pPr>
    <w:rPr>
      <w:rFonts w:eastAsia="Times New Roman"/>
      <w:b/>
      <w:sz w:val="32"/>
      <w:szCs w:val="20"/>
    </w:rPr>
  </w:style>
  <w:style w:type="paragraph" w:customStyle="1" w:styleId="S2">
    <w:name w:val="S2"/>
    <w:basedOn w:val="Normal"/>
    <w:next w:val="Normal"/>
    <w:pPr>
      <w:jc w:val="center"/>
    </w:pPr>
    <w:rPr>
      <w:rFonts w:eastAsia="Times New Roman"/>
      <w:b/>
      <w:szCs w:val="20"/>
      <w:u w:val="single"/>
    </w:rPr>
  </w:style>
  <w:style w:type="paragraph" w:customStyle="1" w:styleId="S1">
    <w:name w:val="S1"/>
    <w:basedOn w:val="Normal"/>
    <w:next w:val="Normal"/>
    <w:pPr>
      <w:jc w:val="center"/>
    </w:pPr>
    <w:rPr>
      <w:rFonts w:eastAsia="Times New Roman"/>
      <w:b/>
      <w:szCs w:val="20"/>
      <w:u w:val="single"/>
    </w:rPr>
  </w:style>
  <w:style w:type="paragraph" w:customStyle="1" w:styleId="S5">
    <w:name w:val="S5"/>
    <w:basedOn w:val="Normal"/>
    <w:next w:val="Normal"/>
    <w:pPr>
      <w:jc w:val="center"/>
    </w:pPr>
    <w:rPr>
      <w:rFonts w:eastAsia="Times New Roman"/>
      <w:b/>
      <w:szCs w:val="20"/>
      <w:u w:val="single"/>
    </w:rPr>
  </w:style>
  <w:style w:type="paragraph" w:customStyle="1" w:styleId="S6">
    <w:name w:val="S6"/>
    <w:basedOn w:val="Normal"/>
    <w:pPr>
      <w:jc w:val="center"/>
    </w:pPr>
    <w:rPr>
      <w:rFonts w:eastAsia="Times New Roman"/>
      <w:b/>
      <w:sz w:val="40"/>
      <w:szCs w:val="20"/>
    </w:rPr>
  </w:style>
  <w:style w:type="paragraph" w:customStyle="1" w:styleId="S8">
    <w:name w:val="S8"/>
    <w:basedOn w:val="Normal"/>
    <w:next w:val="S9"/>
    <w:pPr>
      <w:keepNext/>
      <w:pageBreakBefore/>
      <w:spacing w:after="360"/>
      <w:jc w:val="center"/>
    </w:pPr>
    <w:rPr>
      <w:rFonts w:eastAsia="Times New Roman"/>
      <w:b/>
      <w:sz w:val="36"/>
      <w:szCs w:val="20"/>
    </w:rPr>
  </w:style>
  <w:style w:type="paragraph" w:customStyle="1" w:styleId="S10">
    <w:name w:val="S10"/>
    <w:basedOn w:val="Normal"/>
    <w:next w:val="Heading1"/>
    <w:pPr>
      <w:keepNext/>
      <w:spacing w:after="360"/>
      <w:jc w:val="center"/>
    </w:pPr>
    <w:rPr>
      <w:rFonts w:eastAsia="Times New Roman"/>
      <w:b/>
      <w:smallCaps/>
      <w:sz w:val="28"/>
      <w:szCs w:val="20"/>
    </w:rPr>
  </w:style>
  <w:style w:type="paragraph" w:customStyle="1" w:styleId="S7">
    <w:name w:val="S7"/>
    <w:basedOn w:val="Normal"/>
    <w:next w:val="Normal"/>
    <w:pPr>
      <w:jc w:val="center"/>
    </w:pPr>
    <w:rPr>
      <w:rFonts w:eastAsia="Times New Roman"/>
      <w:b/>
      <w:szCs w:val="20"/>
    </w:rPr>
  </w:style>
  <w:style w:type="character" w:customStyle="1" w:styleId="Initial">
    <w:name w:val="Initial"/>
    <w:rPr>
      <w:rFonts w:ascii="CG Times" w:hAnsi="CG Times"/>
      <w:noProof w:val="0"/>
      <w:sz w:val="24"/>
      <w:lang w:val="ro-RO"/>
    </w:rPr>
  </w:style>
  <w:style w:type="character" w:customStyle="1" w:styleId="BalloonTextChar1">
    <w:name w:val="Balloon Text Char1"/>
    <w:rPr>
      <w:rFonts w:ascii="Tahoma" w:hAnsi="Tahoma" w:cs="Tahoma"/>
      <w:sz w:val="16"/>
      <w:szCs w:val="16"/>
      <w:lang w:eastAsia="ro-RO"/>
    </w:rPr>
  </w:style>
  <w:style w:type="character" w:customStyle="1" w:styleId="EmailStyle224">
    <w:name w:val="EmailStyle224"/>
    <w:semiHidden/>
    <w:rPr>
      <w:rFonts w:ascii="Arial" w:hAnsi="Arial" w:cs="Arial"/>
      <w:color w:val="000080"/>
      <w:sz w:val="20"/>
      <w:szCs w:val="20"/>
    </w:rPr>
  </w:style>
  <w:style w:type="character" w:customStyle="1" w:styleId="EmailStyle227">
    <w:name w:val="EmailStyle227"/>
    <w:semiHidden/>
    <w:rPr>
      <w:rFonts w:ascii="Arial" w:hAnsi="Arial" w:cs="Arial"/>
      <w:color w:val="auto"/>
      <w:sz w:val="20"/>
      <w:szCs w:val="20"/>
    </w:rPr>
  </w:style>
  <w:style w:type="character" w:customStyle="1" w:styleId="EmailStyle230">
    <w:name w:val="EmailStyle230"/>
    <w:semiHidden/>
    <w:rPr>
      <w:rFonts w:ascii="Arial" w:hAnsi="Arial" w:cs="Arial"/>
      <w:color w:val="auto"/>
      <w:sz w:val="20"/>
      <w:szCs w:val="20"/>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rPr>
  </w:style>
  <w:style w:type="paragraph" w:customStyle="1" w:styleId="Text20">
    <w:name w:val="Text 2"/>
    <w:basedOn w:val="Normal"/>
    <w:pPr>
      <w:ind w:left="1417"/>
    </w:pPr>
  </w:style>
  <w:style w:type="paragraph" w:customStyle="1" w:styleId="NormalCentered0">
    <w:name w:val="Normal Centered"/>
    <w:basedOn w:val="Normal"/>
    <w:pPr>
      <w:jc w:val="center"/>
    </w:pPr>
  </w:style>
  <w:style w:type="paragraph" w:customStyle="1" w:styleId="Point00">
    <w:name w:val="Point 0"/>
    <w:basedOn w:val="Normal"/>
    <w:pPr>
      <w:ind w:left="850" w:hanging="850"/>
    </w:pPr>
  </w:style>
  <w:style w:type="paragraph" w:customStyle="1" w:styleId="Point10">
    <w:name w:val="Point 1"/>
    <w:basedOn w:val="Normal"/>
    <w:pPr>
      <w:ind w:left="1417" w:hanging="567"/>
    </w:pPr>
  </w:style>
  <w:style w:type="paragraph" w:customStyle="1" w:styleId="Point20">
    <w:name w:val="Point 2"/>
    <w:basedOn w:val="Normal"/>
    <w:pPr>
      <w:ind w:left="1984" w:hanging="567"/>
    </w:pPr>
  </w:style>
  <w:style w:type="paragraph" w:customStyle="1" w:styleId="Point30">
    <w:name w:val="Point 3"/>
    <w:basedOn w:val="Normal"/>
    <w:pPr>
      <w:ind w:left="2551" w:hanging="567"/>
    </w:pPr>
  </w:style>
  <w:style w:type="paragraph" w:customStyle="1" w:styleId="Point41">
    <w:name w:val="Point 4"/>
    <w:basedOn w:val="Normal"/>
    <w:pPr>
      <w:ind w:left="3118" w:hanging="567"/>
    </w:pPr>
  </w:style>
  <w:style w:type="paragraph" w:customStyle="1" w:styleId="ManualNumPar10">
    <w:name w:val="Manual NumPar 1"/>
    <w:basedOn w:val="Normal"/>
    <w:next w:val="Text1"/>
    <w:pPr>
      <w:ind w:left="850" w:hanging="850"/>
    </w:pPr>
  </w:style>
  <w:style w:type="paragraph" w:customStyle="1" w:styleId="Titrearticle1">
    <w:name w:val="Titre article"/>
    <w:basedOn w:val="Normal"/>
    <w:next w:val="Normal"/>
    <w:pPr>
      <w:keepNext/>
      <w:spacing w:before="360"/>
      <w:jc w:val="center"/>
    </w:pPr>
    <w:rPr>
      <w:i/>
    </w:rPr>
  </w:style>
  <w:style w:type="paragraph" w:customStyle="1" w:styleId="Text21">
    <w:name w:val="Text 2"/>
    <w:basedOn w:val="Normal"/>
    <w:pPr>
      <w:ind w:left="1417"/>
    </w:pPr>
  </w:style>
  <w:style w:type="paragraph" w:customStyle="1" w:styleId="NormalCentered1">
    <w:name w:val="Normal Centered"/>
    <w:basedOn w:val="Normal"/>
    <w:pPr>
      <w:jc w:val="center"/>
    </w:pPr>
  </w:style>
  <w:style w:type="paragraph" w:customStyle="1" w:styleId="Point01">
    <w:name w:val="Point 0"/>
    <w:basedOn w:val="Normal"/>
    <w:pPr>
      <w:ind w:left="850" w:hanging="850"/>
    </w:pPr>
  </w:style>
  <w:style w:type="paragraph" w:customStyle="1" w:styleId="Point11">
    <w:name w:val="Point 1"/>
    <w:basedOn w:val="Normal"/>
    <w:pPr>
      <w:ind w:left="1417" w:hanging="567"/>
    </w:pPr>
  </w:style>
  <w:style w:type="paragraph" w:customStyle="1" w:styleId="Point21">
    <w:name w:val="Point 2"/>
    <w:basedOn w:val="Normal"/>
    <w:pPr>
      <w:ind w:left="1984" w:hanging="567"/>
    </w:pPr>
  </w:style>
  <w:style w:type="paragraph" w:customStyle="1" w:styleId="Point31">
    <w:name w:val="Point 3"/>
    <w:basedOn w:val="Normal"/>
    <w:pPr>
      <w:ind w:left="2551" w:hanging="567"/>
    </w:pPr>
  </w:style>
  <w:style w:type="paragraph" w:customStyle="1" w:styleId="Point42">
    <w:name w:val="Point 4"/>
    <w:basedOn w:val="Normal"/>
    <w:pPr>
      <w:ind w:left="3118" w:hanging="567"/>
    </w:pPr>
  </w:style>
  <w:style w:type="paragraph" w:customStyle="1" w:styleId="ManualNumPar11">
    <w:name w:val="Manual NumPar 1"/>
    <w:basedOn w:val="Normal"/>
    <w:next w:val="Text1"/>
    <w:pPr>
      <w:ind w:left="850" w:hanging="850"/>
    </w:pPr>
  </w:style>
  <w:style w:type="paragraph" w:customStyle="1" w:styleId="Titrearticle2">
    <w:name w:val="Titre article"/>
    <w:basedOn w:val="Normal"/>
    <w:next w:val="Normal"/>
    <w:pPr>
      <w:keepNext/>
      <w:spacing w:before="360"/>
      <w:jc w:val="center"/>
    </w:pPr>
    <w:rPr>
      <w:i/>
    </w:rPr>
  </w:style>
  <w:style w:type="paragraph" w:customStyle="1" w:styleId="Text22">
    <w:name w:val="Text 2"/>
    <w:basedOn w:val="Normal"/>
    <w:pPr>
      <w:ind w:left="1417"/>
    </w:pPr>
  </w:style>
  <w:style w:type="paragraph" w:customStyle="1" w:styleId="NormalCentered2">
    <w:name w:val="Normal Centered"/>
    <w:basedOn w:val="Normal"/>
    <w:pPr>
      <w:jc w:val="center"/>
    </w:pPr>
  </w:style>
  <w:style w:type="paragraph" w:customStyle="1" w:styleId="Point02">
    <w:name w:val="Point 0"/>
    <w:basedOn w:val="Normal"/>
    <w:pPr>
      <w:ind w:left="850" w:hanging="850"/>
    </w:pPr>
  </w:style>
  <w:style w:type="paragraph" w:customStyle="1" w:styleId="Point12">
    <w:name w:val="Point 1"/>
    <w:basedOn w:val="Normal"/>
    <w:pPr>
      <w:ind w:left="1417" w:hanging="567"/>
    </w:pPr>
  </w:style>
  <w:style w:type="paragraph" w:customStyle="1" w:styleId="Point22">
    <w:name w:val="Point 2"/>
    <w:basedOn w:val="Normal"/>
    <w:pPr>
      <w:ind w:left="1984" w:hanging="567"/>
    </w:pPr>
  </w:style>
  <w:style w:type="paragraph" w:customStyle="1" w:styleId="Point32">
    <w:name w:val="Point 3"/>
    <w:basedOn w:val="Normal"/>
    <w:pPr>
      <w:ind w:left="2551" w:hanging="567"/>
    </w:pPr>
  </w:style>
  <w:style w:type="paragraph" w:customStyle="1" w:styleId="Point43">
    <w:name w:val="Point 4"/>
    <w:basedOn w:val="Normal"/>
    <w:pPr>
      <w:ind w:left="3118" w:hanging="567"/>
    </w:pPr>
  </w:style>
  <w:style w:type="paragraph" w:customStyle="1" w:styleId="ManualNumPar12">
    <w:name w:val="Manual NumPar 1"/>
    <w:basedOn w:val="Normal"/>
    <w:next w:val="Text1"/>
    <w:pPr>
      <w:ind w:left="850" w:hanging="850"/>
    </w:pPr>
  </w:style>
  <w:style w:type="paragraph" w:customStyle="1" w:styleId="Titrearticle3">
    <w:name w:val="Titre article"/>
    <w:basedOn w:val="Normal"/>
    <w:next w:val="Normal"/>
    <w:pPr>
      <w:keepNext/>
      <w:spacing w:before="360"/>
      <w:jc w:val="center"/>
    </w:pPr>
    <w:rPr>
      <w:i/>
    </w:rPr>
  </w:style>
  <w:style w:type="paragraph" w:customStyle="1" w:styleId="Text23">
    <w:name w:val="Text 2"/>
    <w:basedOn w:val="Normal"/>
    <w:pPr>
      <w:ind w:left="1417"/>
    </w:pPr>
  </w:style>
  <w:style w:type="paragraph" w:customStyle="1" w:styleId="NormalCentered3">
    <w:name w:val="Normal Centered"/>
    <w:basedOn w:val="Normal"/>
    <w:pPr>
      <w:jc w:val="center"/>
    </w:pPr>
  </w:style>
  <w:style w:type="paragraph" w:customStyle="1" w:styleId="Point03">
    <w:name w:val="Point 0"/>
    <w:basedOn w:val="Normal"/>
    <w:pPr>
      <w:ind w:left="850" w:hanging="850"/>
    </w:pPr>
  </w:style>
  <w:style w:type="paragraph" w:customStyle="1" w:styleId="Point13">
    <w:name w:val="Point 1"/>
    <w:basedOn w:val="Normal"/>
    <w:pPr>
      <w:ind w:left="1417" w:hanging="567"/>
    </w:pPr>
  </w:style>
  <w:style w:type="paragraph" w:customStyle="1" w:styleId="Point23">
    <w:name w:val="Point 2"/>
    <w:basedOn w:val="Normal"/>
    <w:pPr>
      <w:ind w:left="1984" w:hanging="567"/>
    </w:pPr>
  </w:style>
  <w:style w:type="paragraph" w:customStyle="1" w:styleId="Point33">
    <w:name w:val="Point 3"/>
    <w:basedOn w:val="Normal"/>
    <w:pPr>
      <w:ind w:left="2551" w:hanging="567"/>
    </w:pPr>
  </w:style>
  <w:style w:type="paragraph" w:customStyle="1" w:styleId="Point44">
    <w:name w:val="Point 4"/>
    <w:basedOn w:val="Normal"/>
    <w:pPr>
      <w:ind w:left="3118" w:hanging="567"/>
    </w:pPr>
  </w:style>
  <w:style w:type="paragraph" w:customStyle="1" w:styleId="ManualNumPar13">
    <w:name w:val="Manual NumPar 1"/>
    <w:basedOn w:val="Normal"/>
    <w:next w:val="Text1"/>
    <w:pPr>
      <w:ind w:left="850" w:hanging="850"/>
    </w:pPr>
  </w:style>
  <w:style w:type="paragraph" w:customStyle="1" w:styleId="Titrearticle4">
    <w:name w:val="Titre article"/>
    <w:basedOn w:val="Normal"/>
    <w:next w:val="Normal"/>
    <w:pPr>
      <w:keepNext/>
      <w:spacing w:before="360"/>
      <w:jc w:val="center"/>
    </w:pPr>
    <w:rPr>
      <w:i/>
    </w:rPr>
  </w:style>
  <w:style w:type="paragraph" w:customStyle="1" w:styleId="Text24">
    <w:name w:val="Text 2"/>
    <w:basedOn w:val="Normal"/>
    <w:pPr>
      <w:ind w:left="1417"/>
    </w:pPr>
  </w:style>
  <w:style w:type="paragraph" w:customStyle="1" w:styleId="NormalCentered4">
    <w:name w:val="Normal Centered"/>
    <w:basedOn w:val="Normal"/>
    <w:pPr>
      <w:jc w:val="center"/>
    </w:pPr>
  </w:style>
  <w:style w:type="paragraph" w:customStyle="1" w:styleId="Point04">
    <w:name w:val="Point 0"/>
    <w:basedOn w:val="Normal"/>
    <w:pPr>
      <w:ind w:left="850" w:hanging="850"/>
    </w:pPr>
  </w:style>
  <w:style w:type="paragraph" w:customStyle="1" w:styleId="Point14">
    <w:name w:val="Point 1"/>
    <w:basedOn w:val="Normal"/>
    <w:pPr>
      <w:ind w:left="1417" w:hanging="567"/>
    </w:pPr>
  </w:style>
  <w:style w:type="paragraph" w:customStyle="1" w:styleId="Point24">
    <w:name w:val="Point 2"/>
    <w:basedOn w:val="Normal"/>
    <w:pPr>
      <w:ind w:left="1984" w:hanging="567"/>
    </w:pPr>
  </w:style>
  <w:style w:type="paragraph" w:customStyle="1" w:styleId="Point34">
    <w:name w:val="Point 3"/>
    <w:basedOn w:val="Normal"/>
    <w:pPr>
      <w:ind w:left="2551" w:hanging="567"/>
    </w:pPr>
  </w:style>
  <w:style w:type="paragraph" w:customStyle="1" w:styleId="Point45">
    <w:name w:val="Point 4"/>
    <w:basedOn w:val="Normal"/>
    <w:pPr>
      <w:ind w:left="3118" w:hanging="567"/>
    </w:pPr>
  </w:style>
  <w:style w:type="paragraph" w:customStyle="1" w:styleId="ManualNumPar14">
    <w:name w:val="Manual NumPar 1"/>
    <w:basedOn w:val="Normal"/>
    <w:next w:val="Text1"/>
    <w:pPr>
      <w:ind w:left="850" w:hanging="850"/>
    </w:pPr>
  </w:style>
  <w:style w:type="paragraph" w:customStyle="1" w:styleId="Titrearticle5">
    <w:name w:val="Titre article"/>
    <w:basedOn w:val="Normal"/>
    <w:next w:val="Normal"/>
    <w:pPr>
      <w:keepNext/>
      <w:spacing w:before="360"/>
      <w:jc w:val="center"/>
    </w:pPr>
    <w:rPr>
      <w:i/>
    </w:rPr>
  </w:style>
  <w:style w:type="paragraph" w:customStyle="1" w:styleId="Text25">
    <w:name w:val="Text 2"/>
    <w:basedOn w:val="Normal"/>
    <w:pPr>
      <w:ind w:left="1417"/>
    </w:pPr>
  </w:style>
  <w:style w:type="paragraph" w:customStyle="1" w:styleId="NormalCentered5">
    <w:name w:val="Normal Centered"/>
    <w:basedOn w:val="Normal"/>
    <w:pPr>
      <w:jc w:val="center"/>
    </w:pPr>
  </w:style>
  <w:style w:type="paragraph" w:customStyle="1" w:styleId="Point05">
    <w:name w:val="Point 0"/>
    <w:basedOn w:val="Normal"/>
    <w:pPr>
      <w:ind w:left="850" w:hanging="850"/>
    </w:pPr>
  </w:style>
  <w:style w:type="paragraph" w:customStyle="1" w:styleId="Point15">
    <w:name w:val="Point 1"/>
    <w:basedOn w:val="Normal"/>
    <w:pPr>
      <w:ind w:left="1417" w:hanging="567"/>
    </w:pPr>
  </w:style>
  <w:style w:type="paragraph" w:customStyle="1" w:styleId="Point25">
    <w:name w:val="Point 2"/>
    <w:basedOn w:val="Normal"/>
    <w:pPr>
      <w:ind w:left="1984" w:hanging="567"/>
    </w:pPr>
  </w:style>
  <w:style w:type="paragraph" w:customStyle="1" w:styleId="Point35">
    <w:name w:val="Point 3"/>
    <w:basedOn w:val="Normal"/>
    <w:pPr>
      <w:ind w:left="2551" w:hanging="567"/>
    </w:pPr>
  </w:style>
  <w:style w:type="paragraph" w:customStyle="1" w:styleId="Point46">
    <w:name w:val="Point 4"/>
    <w:basedOn w:val="Normal"/>
    <w:pPr>
      <w:ind w:left="3118" w:hanging="567"/>
    </w:pPr>
  </w:style>
  <w:style w:type="paragraph" w:customStyle="1" w:styleId="ManualNumPar15">
    <w:name w:val="Manual NumPar 1"/>
    <w:basedOn w:val="Normal"/>
    <w:next w:val="Text1"/>
    <w:pPr>
      <w:ind w:left="850" w:hanging="850"/>
    </w:pPr>
  </w:style>
  <w:style w:type="paragraph" w:customStyle="1" w:styleId="Titrearticle6">
    <w:name w:val="Titre article"/>
    <w:basedOn w:val="Normal"/>
    <w:next w:val="Normal"/>
    <w:pPr>
      <w:keepNext/>
      <w:spacing w:before="360"/>
      <w:jc w:val="center"/>
    </w:pPr>
    <w:rPr>
      <w:i/>
    </w:rPr>
  </w:style>
  <w:style w:type="paragraph" w:customStyle="1" w:styleId="Text26">
    <w:name w:val="Text 2"/>
    <w:basedOn w:val="Normal"/>
    <w:pPr>
      <w:ind w:left="1417"/>
    </w:pPr>
  </w:style>
  <w:style w:type="paragraph" w:customStyle="1" w:styleId="NormalCentered6">
    <w:name w:val="Normal Centered"/>
    <w:basedOn w:val="Normal"/>
    <w:pPr>
      <w:jc w:val="center"/>
    </w:pPr>
  </w:style>
  <w:style w:type="paragraph" w:customStyle="1" w:styleId="Point06">
    <w:name w:val="Point 0"/>
    <w:basedOn w:val="Normal"/>
    <w:pPr>
      <w:ind w:left="850" w:hanging="850"/>
    </w:pPr>
  </w:style>
  <w:style w:type="paragraph" w:customStyle="1" w:styleId="Point16">
    <w:name w:val="Point 1"/>
    <w:basedOn w:val="Normal"/>
    <w:pPr>
      <w:ind w:left="1417" w:hanging="567"/>
    </w:pPr>
  </w:style>
  <w:style w:type="paragraph" w:customStyle="1" w:styleId="Point26">
    <w:name w:val="Point 2"/>
    <w:basedOn w:val="Normal"/>
    <w:pPr>
      <w:ind w:left="1984" w:hanging="567"/>
    </w:pPr>
  </w:style>
  <w:style w:type="paragraph" w:customStyle="1" w:styleId="Point36">
    <w:name w:val="Point 3"/>
    <w:basedOn w:val="Normal"/>
    <w:pPr>
      <w:ind w:left="2551" w:hanging="567"/>
    </w:pPr>
  </w:style>
  <w:style w:type="paragraph" w:customStyle="1" w:styleId="Point47">
    <w:name w:val="Point 4"/>
    <w:basedOn w:val="Normal"/>
    <w:pPr>
      <w:ind w:left="3118" w:hanging="567"/>
    </w:pPr>
  </w:style>
  <w:style w:type="paragraph" w:customStyle="1" w:styleId="ManualNumPar16">
    <w:name w:val="Manual NumPar 1"/>
    <w:basedOn w:val="Normal"/>
    <w:next w:val="Text1"/>
    <w:pPr>
      <w:ind w:left="850" w:hanging="850"/>
    </w:pPr>
  </w:style>
  <w:style w:type="paragraph" w:customStyle="1" w:styleId="Titrearticle7">
    <w:name w:val="Titre article"/>
    <w:basedOn w:val="Normal"/>
    <w:next w:val="Normal"/>
    <w:pPr>
      <w:keepNext/>
      <w:spacing w:before="360"/>
      <w:jc w:val="center"/>
    </w:pPr>
    <w:rPr>
      <w:i/>
    </w:rPr>
  </w:style>
  <w:style w:type="paragraph" w:customStyle="1" w:styleId="Text27">
    <w:name w:val="Text 2"/>
    <w:basedOn w:val="Normal"/>
    <w:pPr>
      <w:ind w:left="1417"/>
    </w:pPr>
  </w:style>
  <w:style w:type="paragraph" w:customStyle="1" w:styleId="NormalCentered7">
    <w:name w:val="Normal Centered"/>
    <w:basedOn w:val="Normal"/>
    <w:pPr>
      <w:jc w:val="center"/>
    </w:pPr>
  </w:style>
  <w:style w:type="paragraph" w:customStyle="1" w:styleId="Point07">
    <w:name w:val="Point 0"/>
    <w:basedOn w:val="Normal"/>
    <w:pPr>
      <w:ind w:left="850" w:hanging="850"/>
    </w:pPr>
  </w:style>
  <w:style w:type="paragraph" w:customStyle="1" w:styleId="Point17">
    <w:name w:val="Point 1"/>
    <w:basedOn w:val="Normal"/>
    <w:pPr>
      <w:ind w:left="1417" w:hanging="567"/>
    </w:pPr>
  </w:style>
  <w:style w:type="paragraph" w:customStyle="1" w:styleId="Point27">
    <w:name w:val="Point 2"/>
    <w:basedOn w:val="Normal"/>
    <w:pPr>
      <w:ind w:left="1984" w:hanging="567"/>
    </w:pPr>
  </w:style>
  <w:style w:type="paragraph" w:customStyle="1" w:styleId="Point37">
    <w:name w:val="Point 3"/>
    <w:basedOn w:val="Normal"/>
    <w:pPr>
      <w:ind w:left="2551" w:hanging="567"/>
    </w:pPr>
  </w:style>
  <w:style w:type="paragraph" w:customStyle="1" w:styleId="Point48">
    <w:name w:val="Point 4"/>
    <w:basedOn w:val="Normal"/>
    <w:pPr>
      <w:ind w:left="3118" w:hanging="567"/>
    </w:pPr>
  </w:style>
  <w:style w:type="paragraph" w:customStyle="1" w:styleId="ManualNumPar17">
    <w:name w:val="Manual NumPar 1"/>
    <w:basedOn w:val="Normal"/>
    <w:next w:val="Text1"/>
    <w:pPr>
      <w:ind w:left="850" w:hanging="850"/>
    </w:pPr>
  </w:style>
  <w:style w:type="paragraph" w:customStyle="1" w:styleId="Titrearticle8">
    <w:name w:val="Titre article"/>
    <w:basedOn w:val="Normal"/>
    <w:next w:val="Normal"/>
    <w:pPr>
      <w:keepNext/>
      <w:spacing w:before="360"/>
      <w:jc w:val="center"/>
    </w:pPr>
    <w:rPr>
      <w:i/>
    </w:rPr>
  </w:style>
  <w:style w:type="paragraph" w:customStyle="1" w:styleId="Text28">
    <w:name w:val="Text 2"/>
    <w:basedOn w:val="Normal"/>
    <w:pPr>
      <w:ind w:left="1417"/>
    </w:pPr>
  </w:style>
  <w:style w:type="paragraph" w:customStyle="1" w:styleId="NormalCentered8">
    <w:name w:val="Normal Centered"/>
    <w:basedOn w:val="Normal"/>
    <w:pPr>
      <w:jc w:val="center"/>
    </w:pPr>
  </w:style>
  <w:style w:type="paragraph" w:customStyle="1" w:styleId="Point08">
    <w:name w:val="Point 0"/>
    <w:basedOn w:val="Normal"/>
    <w:pPr>
      <w:ind w:left="850" w:hanging="850"/>
    </w:pPr>
  </w:style>
  <w:style w:type="paragraph" w:customStyle="1" w:styleId="Point18">
    <w:name w:val="Point 1"/>
    <w:basedOn w:val="Normal"/>
    <w:pPr>
      <w:ind w:left="1417" w:hanging="567"/>
    </w:pPr>
  </w:style>
  <w:style w:type="paragraph" w:customStyle="1" w:styleId="Point28">
    <w:name w:val="Point 2"/>
    <w:basedOn w:val="Normal"/>
    <w:pPr>
      <w:ind w:left="1984" w:hanging="567"/>
    </w:pPr>
  </w:style>
  <w:style w:type="paragraph" w:customStyle="1" w:styleId="Point38">
    <w:name w:val="Point 3"/>
    <w:basedOn w:val="Normal"/>
    <w:pPr>
      <w:ind w:left="2551" w:hanging="567"/>
    </w:pPr>
  </w:style>
  <w:style w:type="paragraph" w:customStyle="1" w:styleId="Point49">
    <w:name w:val="Point 4"/>
    <w:basedOn w:val="Normal"/>
    <w:pPr>
      <w:ind w:left="3118" w:hanging="567"/>
    </w:pPr>
  </w:style>
  <w:style w:type="paragraph" w:customStyle="1" w:styleId="ManualNumPar18">
    <w:name w:val="Manual NumPar 1"/>
    <w:basedOn w:val="Normal"/>
    <w:next w:val="Text1"/>
    <w:pPr>
      <w:ind w:left="850" w:hanging="850"/>
    </w:pPr>
  </w:style>
  <w:style w:type="paragraph" w:customStyle="1" w:styleId="Titrearticle9">
    <w:name w:val="Titre article"/>
    <w:basedOn w:val="Normal"/>
    <w:next w:val="Normal"/>
    <w:pPr>
      <w:keepNext/>
      <w:spacing w:before="360"/>
      <w:jc w:val="center"/>
    </w:pPr>
    <w:rPr>
      <w:i/>
    </w:rPr>
  </w:style>
  <w:style w:type="paragraph" w:customStyle="1" w:styleId="Text29">
    <w:name w:val="Text 2"/>
    <w:basedOn w:val="Normal"/>
    <w:pPr>
      <w:ind w:left="1417"/>
    </w:pPr>
  </w:style>
  <w:style w:type="paragraph" w:customStyle="1" w:styleId="NormalCentered9">
    <w:name w:val="Normal Centered"/>
    <w:basedOn w:val="Normal"/>
    <w:pPr>
      <w:jc w:val="center"/>
    </w:pPr>
  </w:style>
  <w:style w:type="paragraph" w:customStyle="1" w:styleId="Point09">
    <w:name w:val="Point 0"/>
    <w:basedOn w:val="Normal"/>
    <w:pPr>
      <w:ind w:left="850" w:hanging="850"/>
    </w:pPr>
  </w:style>
  <w:style w:type="paragraph" w:customStyle="1" w:styleId="Point19">
    <w:name w:val="Point 1"/>
    <w:basedOn w:val="Normal"/>
    <w:pPr>
      <w:ind w:left="1417" w:hanging="567"/>
    </w:pPr>
  </w:style>
  <w:style w:type="paragraph" w:customStyle="1" w:styleId="Point29">
    <w:name w:val="Point 2"/>
    <w:basedOn w:val="Normal"/>
    <w:pPr>
      <w:ind w:left="1984" w:hanging="567"/>
    </w:pPr>
  </w:style>
  <w:style w:type="paragraph" w:customStyle="1" w:styleId="Point39">
    <w:name w:val="Point 3"/>
    <w:basedOn w:val="Normal"/>
    <w:pPr>
      <w:ind w:left="2551" w:hanging="567"/>
    </w:pPr>
  </w:style>
  <w:style w:type="paragraph" w:customStyle="1" w:styleId="Point4a">
    <w:name w:val="Point 4"/>
    <w:basedOn w:val="Normal"/>
    <w:pPr>
      <w:ind w:left="3118" w:hanging="567"/>
    </w:pPr>
  </w:style>
  <w:style w:type="paragraph" w:customStyle="1" w:styleId="ManualNumPar19">
    <w:name w:val="Manual NumPar 1"/>
    <w:basedOn w:val="Normal"/>
    <w:next w:val="Text1"/>
    <w:pPr>
      <w:ind w:left="850" w:hanging="850"/>
    </w:pPr>
  </w:style>
  <w:style w:type="paragraph" w:customStyle="1" w:styleId="Titrearticlea">
    <w:name w:val="Titre article"/>
    <w:basedOn w:val="Normal"/>
    <w:next w:val="Normal"/>
    <w:pPr>
      <w:keepNext/>
      <w:spacing w:before="360"/>
      <w:jc w:val="center"/>
    </w:pPr>
    <w:rPr>
      <w:i/>
    </w:rPr>
  </w:style>
  <w:style w:type="paragraph" w:customStyle="1" w:styleId="Text2a">
    <w:name w:val="Text 2"/>
    <w:basedOn w:val="Normal"/>
    <w:pPr>
      <w:ind w:left="1417"/>
    </w:pPr>
  </w:style>
  <w:style w:type="paragraph" w:customStyle="1" w:styleId="NormalCentereda">
    <w:name w:val="Normal Centered"/>
    <w:basedOn w:val="Normal"/>
    <w:pPr>
      <w:jc w:val="center"/>
    </w:pPr>
  </w:style>
  <w:style w:type="paragraph" w:customStyle="1" w:styleId="Point0a">
    <w:name w:val="Point 0"/>
    <w:basedOn w:val="Normal"/>
    <w:pPr>
      <w:ind w:left="850" w:hanging="850"/>
    </w:pPr>
  </w:style>
  <w:style w:type="paragraph" w:customStyle="1" w:styleId="Point1a">
    <w:name w:val="Point 1"/>
    <w:basedOn w:val="Normal"/>
    <w:pPr>
      <w:ind w:left="1417" w:hanging="567"/>
    </w:pPr>
  </w:style>
  <w:style w:type="paragraph" w:customStyle="1" w:styleId="Point2a">
    <w:name w:val="Point 2"/>
    <w:basedOn w:val="Normal"/>
    <w:pPr>
      <w:ind w:left="1984" w:hanging="567"/>
    </w:pPr>
  </w:style>
  <w:style w:type="paragraph" w:customStyle="1" w:styleId="Point3a">
    <w:name w:val="Point 3"/>
    <w:basedOn w:val="Normal"/>
    <w:pPr>
      <w:ind w:left="2551" w:hanging="567"/>
    </w:pPr>
  </w:style>
  <w:style w:type="paragraph" w:customStyle="1" w:styleId="Point4b">
    <w:name w:val="Point 4"/>
    <w:basedOn w:val="Normal"/>
    <w:pPr>
      <w:ind w:left="3118" w:hanging="567"/>
    </w:pPr>
  </w:style>
  <w:style w:type="paragraph" w:customStyle="1" w:styleId="ManualNumPar1a">
    <w:name w:val="Manual NumPar 1"/>
    <w:basedOn w:val="Normal"/>
    <w:next w:val="Text1"/>
    <w:pPr>
      <w:ind w:left="850" w:hanging="850"/>
    </w:pPr>
  </w:style>
  <w:style w:type="paragraph" w:customStyle="1" w:styleId="Titrearticleb">
    <w:name w:val="Titre article"/>
    <w:basedOn w:val="Normal"/>
    <w:next w:val="Normal"/>
    <w:pPr>
      <w:keepNext/>
      <w:spacing w:before="360"/>
      <w:jc w:val="center"/>
    </w:pPr>
    <w:rPr>
      <w:i/>
    </w:rPr>
  </w:style>
  <w:style w:type="paragraph" w:customStyle="1" w:styleId="Text2b">
    <w:name w:val="Text 2"/>
    <w:basedOn w:val="Normal"/>
    <w:pPr>
      <w:ind w:left="1417"/>
    </w:pPr>
  </w:style>
  <w:style w:type="paragraph" w:customStyle="1" w:styleId="NormalCenteredb">
    <w:name w:val="Normal Centered"/>
    <w:basedOn w:val="Normal"/>
    <w:pPr>
      <w:jc w:val="center"/>
    </w:pPr>
  </w:style>
  <w:style w:type="paragraph" w:customStyle="1" w:styleId="Point0b">
    <w:name w:val="Point 0"/>
    <w:basedOn w:val="Normal"/>
    <w:pPr>
      <w:ind w:left="850" w:hanging="850"/>
    </w:pPr>
  </w:style>
  <w:style w:type="paragraph" w:customStyle="1" w:styleId="Point1b">
    <w:name w:val="Point 1"/>
    <w:basedOn w:val="Normal"/>
    <w:pPr>
      <w:ind w:left="1417" w:hanging="567"/>
    </w:pPr>
  </w:style>
  <w:style w:type="paragraph" w:customStyle="1" w:styleId="Point2b">
    <w:name w:val="Point 2"/>
    <w:basedOn w:val="Normal"/>
    <w:pPr>
      <w:ind w:left="1984" w:hanging="567"/>
    </w:pPr>
  </w:style>
  <w:style w:type="paragraph" w:customStyle="1" w:styleId="Point3b">
    <w:name w:val="Point 3"/>
    <w:basedOn w:val="Normal"/>
    <w:pPr>
      <w:ind w:left="2551" w:hanging="567"/>
    </w:pPr>
  </w:style>
  <w:style w:type="paragraph" w:customStyle="1" w:styleId="Point4c">
    <w:name w:val="Point 4"/>
    <w:basedOn w:val="Normal"/>
    <w:pPr>
      <w:ind w:left="3118" w:hanging="567"/>
    </w:pPr>
  </w:style>
  <w:style w:type="paragraph" w:customStyle="1" w:styleId="ManualNumPar1b">
    <w:name w:val="Manual NumPar 1"/>
    <w:basedOn w:val="Normal"/>
    <w:next w:val="Text1"/>
    <w:pPr>
      <w:ind w:left="850" w:hanging="850"/>
    </w:pPr>
  </w:style>
  <w:style w:type="paragraph" w:customStyle="1" w:styleId="Titrearticlec">
    <w:name w:val="Titre article"/>
    <w:basedOn w:val="Normal"/>
    <w:next w:val="Normal"/>
    <w:pPr>
      <w:keepNext/>
      <w:spacing w:before="360"/>
      <w:jc w:val="center"/>
    </w:pPr>
    <w:rPr>
      <w:i/>
    </w:rPr>
  </w:style>
  <w:style w:type="paragraph" w:customStyle="1" w:styleId="Text2c">
    <w:name w:val="Text 2"/>
    <w:basedOn w:val="Normal"/>
    <w:pPr>
      <w:ind w:left="1417"/>
    </w:pPr>
  </w:style>
  <w:style w:type="paragraph" w:customStyle="1" w:styleId="NormalCenteredc">
    <w:name w:val="Normal Centered"/>
    <w:basedOn w:val="Normal"/>
    <w:pPr>
      <w:jc w:val="center"/>
    </w:pPr>
  </w:style>
  <w:style w:type="paragraph" w:customStyle="1" w:styleId="Point0c">
    <w:name w:val="Point 0"/>
    <w:basedOn w:val="Normal"/>
    <w:pPr>
      <w:ind w:left="850" w:hanging="850"/>
    </w:pPr>
  </w:style>
  <w:style w:type="paragraph" w:customStyle="1" w:styleId="Point1c">
    <w:name w:val="Point 1"/>
    <w:basedOn w:val="Normal"/>
    <w:pPr>
      <w:ind w:left="1417" w:hanging="567"/>
    </w:pPr>
  </w:style>
  <w:style w:type="paragraph" w:customStyle="1" w:styleId="Point2c">
    <w:name w:val="Point 2"/>
    <w:basedOn w:val="Normal"/>
    <w:pPr>
      <w:ind w:left="1984" w:hanging="567"/>
    </w:pPr>
  </w:style>
  <w:style w:type="paragraph" w:customStyle="1" w:styleId="Point3c">
    <w:name w:val="Point 3"/>
    <w:basedOn w:val="Normal"/>
    <w:pPr>
      <w:ind w:left="2551" w:hanging="567"/>
    </w:pPr>
  </w:style>
  <w:style w:type="paragraph" w:customStyle="1" w:styleId="Point4d">
    <w:name w:val="Point 4"/>
    <w:basedOn w:val="Normal"/>
    <w:pPr>
      <w:ind w:left="3118" w:hanging="567"/>
    </w:pPr>
  </w:style>
  <w:style w:type="paragraph" w:customStyle="1" w:styleId="ManualNumPar1c">
    <w:name w:val="Manual NumPar 1"/>
    <w:basedOn w:val="Normal"/>
    <w:next w:val="Text1"/>
    <w:pPr>
      <w:ind w:left="850" w:hanging="850"/>
    </w:pPr>
  </w:style>
  <w:style w:type="paragraph" w:customStyle="1" w:styleId="Titrearticled">
    <w:name w:val="Titre article"/>
    <w:basedOn w:val="Normal"/>
    <w:next w:val="Normal"/>
    <w:pPr>
      <w:keepNext/>
      <w:spacing w:before="360"/>
      <w:jc w:val="center"/>
    </w:pPr>
    <w:rPr>
      <w:i/>
    </w:rPr>
  </w:style>
  <w:style w:type="paragraph" w:customStyle="1" w:styleId="Text2d">
    <w:name w:val="Text 2"/>
    <w:basedOn w:val="Normal"/>
    <w:pPr>
      <w:ind w:left="1417"/>
    </w:pPr>
  </w:style>
  <w:style w:type="paragraph" w:customStyle="1" w:styleId="NormalCenteredd">
    <w:name w:val="Normal Centered"/>
    <w:basedOn w:val="Normal"/>
    <w:pPr>
      <w:jc w:val="center"/>
    </w:pPr>
  </w:style>
  <w:style w:type="paragraph" w:customStyle="1" w:styleId="Point0d">
    <w:name w:val="Point 0"/>
    <w:basedOn w:val="Normal"/>
    <w:pPr>
      <w:ind w:left="850" w:hanging="850"/>
    </w:pPr>
  </w:style>
  <w:style w:type="paragraph" w:customStyle="1" w:styleId="Point1d">
    <w:name w:val="Point 1"/>
    <w:basedOn w:val="Normal"/>
    <w:pPr>
      <w:ind w:left="1417" w:hanging="567"/>
    </w:pPr>
  </w:style>
  <w:style w:type="paragraph" w:customStyle="1" w:styleId="Point2d">
    <w:name w:val="Point 2"/>
    <w:basedOn w:val="Normal"/>
    <w:pPr>
      <w:ind w:left="1984" w:hanging="567"/>
    </w:pPr>
  </w:style>
  <w:style w:type="paragraph" w:customStyle="1" w:styleId="Point3d">
    <w:name w:val="Point 3"/>
    <w:basedOn w:val="Normal"/>
    <w:pPr>
      <w:ind w:left="2551" w:hanging="567"/>
    </w:pPr>
  </w:style>
  <w:style w:type="paragraph" w:customStyle="1" w:styleId="Point4e">
    <w:name w:val="Point 4"/>
    <w:basedOn w:val="Normal"/>
    <w:pPr>
      <w:ind w:left="3118" w:hanging="567"/>
    </w:pPr>
  </w:style>
  <w:style w:type="paragraph" w:customStyle="1" w:styleId="ManualNumPar1d">
    <w:name w:val="Manual NumPar 1"/>
    <w:basedOn w:val="Normal"/>
    <w:next w:val="Text1"/>
    <w:pPr>
      <w:ind w:left="850" w:hanging="850"/>
    </w:pPr>
  </w:style>
  <w:style w:type="paragraph" w:customStyle="1" w:styleId="Titrearticlee">
    <w:name w:val="Titre article"/>
    <w:basedOn w:val="Normal"/>
    <w:next w:val="Normal"/>
    <w:pPr>
      <w:keepNext/>
      <w:spacing w:before="360"/>
      <w:jc w:val="center"/>
    </w:pPr>
    <w:rPr>
      <w:i/>
    </w:rPr>
  </w:style>
  <w:style w:type="paragraph" w:customStyle="1" w:styleId="Text2e">
    <w:name w:val="Text 2"/>
    <w:basedOn w:val="Normal"/>
    <w:pPr>
      <w:ind w:left="1417"/>
    </w:pPr>
  </w:style>
  <w:style w:type="paragraph" w:customStyle="1" w:styleId="NormalCenterede">
    <w:name w:val="Normal Centered"/>
    <w:basedOn w:val="Normal"/>
    <w:pPr>
      <w:jc w:val="center"/>
    </w:pPr>
  </w:style>
  <w:style w:type="paragraph" w:customStyle="1" w:styleId="Point0e">
    <w:name w:val="Point 0"/>
    <w:basedOn w:val="Normal"/>
    <w:pPr>
      <w:ind w:left="850" w:hanging="850"/>
    </w:pPr>
  </w:style>
  <w:style w:type="paragraph" w:customStyle="1" w:styleId="Point1e">
    <w:name w:val="Point 1"/>
    <w:basedOn w:val="Normal"/>
    <w:pPr>
      <w:ind w:left="1417" w:hanging="567"/>
    </w:pPr>
  </w:style>
  <w:style w:type="paragraph" w:customStyle="1" w:styleId="Point2e">
    <w:name w:val="Point 2"/>
    <w:basedOn w:val="Normal"/>
    <w:pPr>
      <w:ind w:left="1984" w:hanging="567"/>
    </w:pPr>
  </w:style>
  <w:style w:type="paragraph" w:customStyle="1" w:styleId="Point3e">
    <w:name w:val="Point 3"/>
    <w:basedOn w:val="Normal"/>
    <w:pPr>
      <w:ind w:left="2551" w:hanging="567"/>
    </w:pPr>
  </w:style>
  <w:style w:type="paragraph" w:customStyle="1" w:styleId="Point4f">
    <w:name w:val="Point 4"/>
    <w:basedOn w:val="Normal"/>
    <w:pPr>
      <w:ind w:left="3118" w:hanging="567"/>
    </w:pPr>
  </w:style>
  <w:style w:type="paragraph" w:customStyle="1" w:styleId="ManualNumPar1e">
    <w:name w:val="Manual NumPar 1"/>
    <w:basedOn w:val="Normal"/>
    <w:next w:val="Text1"/>
    <w:pPr>
      <w:ind w:left="850" w:hanging="850"/>
    </w:pPr>
  </w:style>
  <w:style w:type="paragraph" w:customStyle="1" w:styleId="Titrearticlef">
    <w:name w:val="Titre article"/>
    <w:basedOn w:val="Normal"/>
    <w:next w:val="Normal"/>
    <w:pPr>
      <w:keepNext/>
      <w:spacing w:before="360"/>
      <w:jc w:val="center"/>
    </w:pPr>
    <w:rPr>
      <w:i/>
    </w:rPr>
  </w:style>
  <w:style w:type="paragraph" w:customStyle="1" w:styleId="Text2f">
    <w:name w:val="Text 2"/>
    <w:basedOn w:val="Normal"/>
    <w:pPr>
      <w:ind w:left="1417"/>
    </w:pPr>
  </w:style>
  <w:style w:type="paragraph" w:customStyle="1" w:styleId="NormalCenteredf">
    <w:name w:val="Normal Centered"/>
    <w:basedOn w:val="Normal"/>
    <w:pPr>
      <w:jc w:val="center"/>
    </w:pPr>
  </w:style>
  <w:style w:type="paragraph" w:customStyle="1" w:styleId="Point0f">
    <w:name w:val="Point 0"/>
    <w:basedOn w:val="Normal"/>
    <w:pPr>
      <w:ind w:left="850" w:hanging="850"/>
    </w:pPr>
  </w:style>
  <w:style w:type="paragraph" w:customStyle="1" w:styleId="Point1f">
    <w:name w:val="Point 1"/>
    <w:basedOn w:val="Normal"/>
    <w:pPr>
      <w:ind w:left="1417" w:hanging="567"/>
    </w:pPr>
  </w:style>
  <w:style w:type="paragraph" w:customStyle="1" w:styleId="Point2f">
    <w:name w:val="Point 2"/>
    <w:basedOn w:val="Normal"/>
    <w:pPr>
      <w:ind w:left="1984" w:hanging="567"/>
    </w:pPr>
  </w:style>
  <w:style w:type="paragraph" w:customStyle="1" w:styleId="Point3f">
    <w:name w:val="Point 3"/>
    <w:basedOn w:val="Normal"/>
    <w:pPr>
      <w:ind w:left="2551" w:hanging="567"/>
    </w:pPr>
  </w:style>
  <w:style w:type="paragraph" w:customStyle="1" w:styleId="Point4f0">
    <w:name w:val="Point 4"/>
    <w:basedOn w:val="Normal"/>
    <w:pPr>
      <w:ind w:left="3118" w:hanging="567"/>
    </w:pPr>
  </w:style>
  <w:style w:type="paragraph" w:customStyle="1" w:styleId="ManualNumPar1f">
    <w:name w:val="Manual NumPar 1"/>
    <w:basedOn w:val="Normal"/>
    <w:next w:val="Text1"/>
    <w:pPr>
      <w:ind w:left="850" w:hanging="850"/>
    </w:pPr>
  </w:style>
  <w:style w:type="paragraph" w:customStyle="1" w:styleId="Titrearticlef0">
    <w:name w:val="Titre article"/>
    <w:basedOn w:val="Normal"/>
    <w:next w:val="Normal"/>
    <w:pPr>
      <w:keepNext/>
      <w:spacing w:before="360"/>
      <w:jc w:val="center"/>
    </w:pPr>
    <w:rPr>
      <w:i/>
    </w:rPr>
  </w:style>
  <w:style w:type="paragraph" w:customStyle="1" w:styleId="Text2f0">
    <w:name w:val="Text 2"/>
    <w:basedOn w:val="Normal"/>
    <w:pPr>
      <w:ind w:left="1417"/>
    </w:pPr>
  </w:style>
  <w:style w:type="paragraph" w:customStyle="1" w:styleId="NormalCenteredf0">
    <w:name w:val="Normal Centered"/>
    <w:basedOn w:val="Normal"/>
    <w:pPr>
      <w:jc w:val="center"/>
    </w:pPr>
  </w:style>
  <w:style w:type="paragraph" w:customStyle="1" w:styleId="Point0f0">
    <w:name w:val="Point 0"/>
    <w:basedOn w:val="Normal"/>
    <w:pPr>
      <w:ind w:left="850" w:hanging="850"/>
    </w:pPr>
  </w:style>
  <w:style w:type="paragraph" w:customStyle="1" w:styleId="Point1f0">
    <w:name w:val="Point 1"/>
    <w:basedOn w:val="Normal"/>
    <w:pPr>
      <w:ind w:left="1417" w:hanging="567"/>
    </w:pPr>
  </w:style>
  <w:style w:type="paragraph" w:customStyle="1" w:styleId="Point2f0">
    <w:name w:val="Point 2"/>
    <w:basedOn w:val="Normal"/>
    <w:pPr>
      <w:ind w:left="1984" w:hanging="567"/>
    </w:pPr>
  </w:style>
  <w:style w:type="paragraph" w:customStyle="1" w:styleId="Point3f0">
    <w:name w:val="Point 3"/>
    <w:basedOn w:val="Normal"/>
    <w:pPr>
      <w:ind w:left="2551" w:hanging="567"/>
    </w:pPr>
  </w:style>
  <w:style w:type="paragraph" w:customStyle="1" w:styleId="Point4f1">
    <w:name w:val="Point 4"/>
    <w:basedOn w:val="Normal"/>
    <w:pPr>
      <w:ind w:left="3118" w:hanging="567"/>
    </w:pPr>
  </w:style>
  <w:style w:type="paragraph" w:customStyle="1" w:styleId="ManualNumPar1f0">
    <w:name w:val="Manual NumPar 1"/>
    <w:basedOn w:val="Normal"/>
    <w:next w:val="Text1"/>
    <w:pPr>
      <w:ind w:left="850" w:hanging="850"/>
    </w:pPr>
  </w:style>
  <w:style w:type="paragraph" w:customStyle="1" w:styleId="Titrearticlef1">
    <w:name w:val="Titre article"/>
    <w:basedOn w:val="Normal"/>
    <w:next w:val="Normal"/>
    <w:pPr>
      <w:keepNext/>
      <w:spacing w:before="360"/>
      <w:jc w:val="center"/>
    </w:pPr>
    <w:rPr>
      <w:i/>
    </w:rPr>
  </w:style>
  <w:style w:type="paragraph" w:customStyle="1" w:styleId="Text2f1">
    <w:name w:val="Text 2"/>
    <w:basedOn w:val="Normal"/>
    <w:pPr>
      <w:ind w:left="1417"/>
    </w:pPr>
  </w:style>
  <w:style w:type="paragraph" w:customStyle="1" w:styleId="NormalCenteredf1">
    <w:name w:val="Normal Centered"/>
    <w:basedOn w:val="Normal"/>
    <w:pPr>
      <w:jc w:val="center"/>
    </w:pPr>
  </w:style>
  <w:style w:type="paragraph" w:customStyle="1" w:styleId="Point0f1">
    <w:name w:val="Point 0"/>
    <w:basedOn w:val="Normal"/>
    <w:pPr>
      <w:ind w:left="850" w:hanging="850"/>
    </w:pPr>
  </w:style>
  <w:style w:type="paragraph" w:customStyle="1" w:styleId="Point1f1">
    <w:name w:val="Point 1"/>
    <w:basedOn w:val="Normal"/>
    <w:pPr>
      <w:ind w:left="1417" w:hanging="567"/>
    </w:pPr>
  </w:style>
  <w:style w:type="paragraph" w:customStyle="1" w:styleId="Point2f1">
    <w:name w:val="Point 2"/>
    <w:basedOn w:val="Normal"/>
    <w:pPr>
      <w:ind w:left="1984" w:hanging="567"/>
    </w:pPr>
  </w:style>
  <w:style w:type="paragraph" w:customStyle="1" w:styleId="Point3f1">
    <w:name w:val="Point 3"/>
    <w:basedOn w:val="Normal"/>
    <w:pPr>
      <w:ind w:left="2551" w:hanging="567"/>
    </w:pPr>
  </w:style>
  <w:style w:type="paragraph" w:customStyle="1" w:styleId="Point4f2">
    <w:name w:val="Point 4"/>
    <w:basedOn w:val="Normal"/>
    <w:pPr>
      <w:ind w:left="3118" w:hanging="567"/>
    </w:pPr>
  </w:style>
  <w:style w:type="paragraph" w:customStyle="1" w:styleId="ManualNumPar1f1">
    <w:name w:val="Manual NumPar 1"/>
    <w:basedOn w:val="Normal"/>
    <w:next w:val="Text1"/>
    <w:pPr>
      <w:ind w:left="850" w:hanging="850"/>
    </w:pPr>
  </w:style>
  <w:style w:type="paragraph" w:customStyle="1" w:styleId="Titrearticlef2">
    <w:name w:val="Titre article"/>
    <w:basedOn w:val="Normal"/>
    <w:next w:val="Normal"/>
    <w:pPr>
      <w:keepNext/>
      <w:spacing w:before="360"/>
      <w:jc w:val="center"/>
    </w:pPr>
    <w:rPr>
      <w:i/>
    </w:rPr>
  </w:style>
  <w:style w:type="paragraph" w:customStyle="1" w:styleId="Text2f2">
    <w:name w:val="Text 2"/>
    <w:basedOn w:val="Normal"/>
    <w:pPr>
      <w:ind w:left="1417"/>
    </w:pPr>
  </w:style>
  <w:style w:type="paragraph" w:customStyle="1" w:styleId="NormalCenteredf2">
    <w:name w:val="Normal Centered"/>
    <w:basedOn w:val="Normal"/>
    <w:pPr>
      <w:jc w:val="center"/>
    </w:pPr>
  </w:style>
  <w:style w:type="paragraph" w:customStyle="1" w:styleId="Point0f2">
    <w:name w:val="Point 0"/>
    <w:basedOn w:val="Normal"/>
    <w:pPr>
      <w:ind w:left="850" w:hanging="850"/>
    </w:pPr>
  </w:style>
  <w:style w:type="paragraph" w:customStyle="1" w:styleId="Point1f2">
    <w:name w:val="Point 1"/>
    <w:basedOn w:val="Normal"/>
    <w:pPr>
      <w:ind w:left="1417" w:hanging="567"/>
    </w:pPr>
  </w:style>
  <w:style w:type="paragraph" w:customStyle="1" w:styleId="Point2f2">
    <w:name w:val="Point 2"/>
    <w:basedOn w:val="Normal"/>
    <w:pPr>
      <w:ind w:left="1984" w:hanging="567"/>
    </w:pPr>
  </w:style>
  <w:style w:type="paragraph" w:customStyle="1" w:styleId="Point3f2">
    <w:name w:val="Point 3"/>
    <w:basedOn w:val="Normal"/>
    <w:pPr>
      <w:ind w:left="2551" w:hanging="567"/>
    </w:pPr>
  </w:style>
  <w:style w:type="paragraph" w:customStyle="1" w:styleId="Point4f3">
    <w:name w:val="Point 4"/>
    <w:basedOn w:val="Normal"/>
    <w:pPr>
      <w:ind w:left="3118" w:hanging="567"/>
    </w:pPr>
  </w:style>
  <w:style w:type="paragraph" w:customStyle="1" w:styleId="ManualNumPar1f2">
    <w:name w:val="Manual NumPar 1"/>
    <w:basedOn w:val="Normal"/>
    <w:next w:val="Text1"/>
    <w:pPr>
      <w:ind w:left="850" w:hanging="850"/>
    </w:pPr>
  </w:style>
  <w:style w:type="paragraph" w:customStyle="1" w:styleId="Sous-titreobjet">
    <w:name w:val="Sous-titre objet"/>
    <w:basedOn w:val="Normal"/>
    <w:pPr>
      <w:spacing w:before="0" w:after="0"/>
      <w:jc w:val="center"/>
    </w:pPr>
    <w:rPr>
      <w:b/>
    </w:rPr>
  </w:style>
  <w:style w:type="paragraph" w:customStyle="1" w:styleId="Titrearticlef3">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customStyle="1" w:styleId="Text2f3">
    <w:name w:val="Text 2"/>
    <w:basedOn w:val="Normal"/>
    <w:pPr>
      <w:ind w:left="1417"/>
    </w:pPr>
  </w:style>
  <w:style w:type="paragraph" w:customStyle="1" w:styleId="NormalCenteredf3">
    <w:name w:val="Normal Centered"/>
    <w:basedOn w:val="Normal"/>
    <w:pPr>
      <w:jc w:val="center"/>
    </w:pPr>
  </w:style>
  <w:style w:type="paragraph" w:customStyle="1" w:styleId="Point0f3">
    <w:name w:val="Point 0"/>
    <w:basedOn w:val="Normal"/>
    <w:pPr>
      <w:ind w:left="850" w:hanging="850"/>
    </w:pPr>
  </w:style>
  <w:style w:type="paragraph" w:customStyle="1" w:styleId="Point1f3">
    <w:name w:val="Point 1"/>
    <w:basedOn w:val="Normal"/>
    <w:pPr>
      <w:ind w:left="1417" w:hanging="567"/>
    </w:pPr>
  </w:style>
  <w:style w:type="paragraph" w:customStyle="1" w:styleId="Point2f3">
    <w:name w:val="Point 2"/>
    <w:basedOn w:val="Normal"/>
    <w:pPr>
      <w:ind w:left="1984" w:hanging="567"/>
    </w:pPr>
  </w:style>
  <w:style w:type="paragraph" w:customStyle="1" w:styleId="Point3f3">
    <w:name w:val="Point 3"/>
    <w:basedOn w:val="Normal"/>
    <w:pPr>
      <w:ind w:left="2551" w:hanging="567"/>
    </w:pPr>
  </w:style>
  <w:style w:type="paragraph" w:customStyle="1" w:styleId="Point4f4">
    <w:name w:val="Point 4"/>
    <w:basedOn w:val="Normal"/>
    <w:pPr>
      <w:ind w:left="3118" w:hanging="567"/>
    </w:pPr>
  </w:style>
  <w:style w:type="paragraph" w:customStyle="1" w:styleId="ManualNumPar1f3">
    <w:name w:val="Manual NumPar 1"/>
    <w:basedOn w:val="Normal"/>
    <w:next w:val="Text1"/>
    <w:pPr>
      <w:ind w:left="850" w:hanging="850"/>
    </w:pPr>
  </w:style>
  <w:style w:type="paragraph" w:customStyle="1" w:styleId="Titrearticlef4">
    <w:name w:val="Titre article"/>
    <w:basedOn w:val="Normal"/>
    <w:next w:val="Normal"/>
    <w:pPr>
      <w:keepNext/>
      <w:spacing w:before="360"/>
      <w:jc w:val="center"/>
    </w:pPr>
    <w:rPr>
      <w:i/>
    </w:rPr>
  </w:style>
  <w:style w:type="paragraph" w:customStyle="1" w:styleId="Text2f4">
    <w:name w:val="Text 2"/>
    <w:basedOn w:val="Normal"/>
    <w:pPr>
      <w:ind w:left="1417"/>
    </w:pPr>
  </w:style>
  <w:style w:type="paragraph" w:customStyle="1" w:styleId="NormalCenteredf4">
    <w:name w:val="Normal Centered"/>
    <w:basedOn w:val="Normal"/>
    <w:pPr>
      <w:jc w:val="center"/>
    </w:pPr>
  </w:style>
  <w:style w:type="paragraph" w:customStyle="1" w:styleId="Point0f4">
    <w:name w:val="Point 0"/>
    <w:basedOn w:val="Normal"/>
    <w:pPr>
      <w:ind w:left="850" w:hanging="850"/>
    </w:pPr>
  </w:style>
  <w:style w:type="paragraph" w:customStyle="1" w:styleId="Point1f4">
    <w:name w:val="Point 1"/>
    <w:basedOn w:val="Normal"/>
    <w:pPr>
      <w:ind w:left="1417" w:hanging="567"/>
    </w:pPr>
  </w:style>
  <w:style w:type="paragraph" w:customStyle="1" w:styleId="Point2f4">
    <w:name w:val="Point 2"/>
    <w:basedOn w:val="Normal"/>
    <w:pPr>
      <w:ind w:left="1984" w:hanging="567"/>
    </w:pPr>
  </w:style>
  <w:style w:type="paragraph" w:customStyle="1" w:styleId="Point3f4">
    <w:name w:val="Point 3"/>
    <w:basedOn w:val="Normal"/>
    <w:pPr>
      <w:ind w:left="2551" w:hanging="567"/>
    </w:pPr>
  </w:style>
  <w:style w:type="paragraph" w:customStyle="1" w:styleId="Point4f5">
    <w:name w:val="Point 4"/>
    <w:basedOn w:val="Normal"/>
    <w:pPr>
      <w:ind w:left="3118" w:hanging="567"/>
    </w:pPr>
  </w:style>
  <w:style w:type="paragraph" w:customStyle="1" w:styleId="ManualNumPar1f4">
    <w:name w:val="Manual NumPar 1"/>
    <w:basedOn w:val="Normal"/>
    <w:next w:val="Text1"/>
    <w:pPr>
      <w:ind w:left="850" w:hanging="850"/>
    </w:pPr>
  </w:style>
  <w:style w:type="paragraph" w:customStyle="1" w:styleId="Titrearticlef5">
    <w:name w:val="Titre article"/>
    <w:basedOn w:val="Normal"/>
    <w:next w:val="Normal"/>
    <w:pPr>
      <w:keepNext/>
      <w:spacing w:before="360"/>
      <w:jc w:val="center"/>
    </w:pPr>
    <w:rPr>
      <w:i/>
    </w:rPr>
  </w:style>
  <w:style w:type="paragraph" w:customStyle="1" w:styleId="Text2f5">
    <w:name w:val="Text 2"/>
    <w:basedOn w:val="Normal"/>
    <w:pPr>
      <w:ind w:left="1417"/>
    </w:pPr>
  </w:style>
  <w:style w:type="paragraph" w:customStyle="1" w:styleId="NormalCenteredf5">
    <w:name w:val="Normal Centered"/>
    <w:basedOn w:val="Normal"/>
    <w:pPr>
      <w:jc w:val="center"/>
    </w:pPr>
  </w:style>
  <w:style w:type="paragraph" w:customStyle="1" w:styleId="Point0f5">
    <w:name w:val="Point 0"/>
    <w:basedOn w:val="Normal"/>
    <w:pPr>
      <w:ind w:left="850" w:hanging="850"/>
    </w:pPr>
  </w:style>
  <w:style w:type="paragraph" w:customStyle="1" w:styleId="Point1f5">
    <w:name w:val="Point 1"/>
    <w:basedOn w:val="Normal"/>
    <w:pPr>
      <w:ind w:left="1417" w:hanging="567"/>
    </w:pPr>
  </w:style>
  <w:style w:type="paragraph" w:customStyle="1" w:styleId="Point2f5">
    <w:name w:val="Point 2"/>
    <w:basedOn w:val="Normal"/>
    <w:pPr>
      <w:ind w:left="1984" w:hanging="567"/>
    </w:pPr>
  </w:style>
  <w:style w:type="paragraph" w:customStyle="1" w:styleId="Point3f5">
    <w:name w:val="Point 3"/>
    <w:basedOn w:val="Normal"/>
    <w:pPr>
      <w:ind w:left="2551" w:hanging="567"/>
    </w:pPr>
  </w:style>
  <w:style w:type="paragraph" w:customStyle="1" w:styleId="Point4f6">
    <w:name w:val="Point 4"/>
    <w:basedOn w:val="Normal"/>
    <w:pPr>
      <w:ind w:left="3118" w:hanging="567"/>
    </w:pPr>
  </w:style>
  <w:style w:type="paragraph" w:customStyle="1" w:styleId="ManualNumPar1f5">
    <w:name w:val="Manual NumPar 1"/>
    <w:basedOn w:val="Normal"/>
    <w:next w:val="Text1"/>
    <w:pPr>
      <w:ind w:left="850" w:hanging="850"/>
    </w:pPr>
  </w:style>
  <w:style w:type="paragraph" w:customStyle="1" w:styleId="Titrearticlef6">
    <w:name w:val="Titre article"/>
    <w:basedOn w:val="Normal"/>
    <w:next w:val="Normal"/>
    <w:pPr>
      <w:keepNext/>
      <w:spacing w:before="360"/>
      <w:jc w:val="center"/>
    </w:pPr>
    <w:rPr>
      <w:i/>
    </w:rPr>
  </w:style>
  <w:style w:type="paragraph" w:customStyle="1" w:styleId="Text2f6">
    <w:name w:val="Text 2"/>
    <w:basedOn w:val="Normal"/>
    <w:pPr>
      <w:ind w:left="1417"/>
    </w:pPr>
  </w:style>
  <w:style w:type="paragraph" w:customStyle="1" w:styleId="NormalCenteredf6">
    <w:name w:val="Normal Centered"/>
    <w:basedOn w:val="Normal"/>
    <w:pPr>
      <w:jc w:val="center"/>
    </w:pPr>
  </w:style>
  <w:style w:type="paragraph" w:customStyle="1" w:styleId="Point0f6">
    <w:name w:val="Point 0"/>
    <w:basedOn w:val="Normal"/>
    <w:pPr>
      <w:ind w:left="850" w:hanging="850"/>
    </w:pPr>
  </w:style>
  <w:style w:type="paragraph" w:customStyle="1" w:styleId="Point1f6">
    <w:name w:val="Point 1"/>
    <w:basedOn w:val="Normal"/>
    <w:pPr>
      <w:ind w:left="1417" w:hanging="567"/>
    </w:pPr>
  </w:style>
  <w:style w:type="paragraph" w:customStyle="1" w:styleId="Point2f6">
    <w:name w:val="Point 2"/>
    <w:basedOn w:val="Normal"/>
    <w:pPr>
      <w:ind w:left="1984" w:hanging="567"/>
    </w:pPr>
  </w:style>
  <w:style w:type="paragraph" w:customStyle="1" w:styleId="Point3f6">
    <w:name w:val="Point 3"/>
    <w:basedOn w:val="Normal"/>
    <w:pPr>
      <w:ind w:left="2551" w:hanging="567"/>
    </w:pPr>
  </w:style>
  <w:style w:type="paragraph" w:customStyle="1" w:styleId="Point4f7">
    <w:name w:val="Point 4"/>
    <w:basedOn w:val="Normal"/>
    <w:pPr>
      <w:ind w:left="3118" w:hanging="567"/>
    </w:pPr>
  </w:style>
  <w:style w:type="paragraph" w:customStyle="1" w:styleId="ManualNumPar1f6">
    <w:name w:val="Manual NumPar 1"/>
    <w:basedOn w:val="Normal"/>
    <w:next w:val="Text1"/>
    <w:pPr>
      <w:ind w:left="850" w:hanging="850"/>
    </w:pPr>
  </w:style>
  <w:style w:type="paragraph" w:customStyle="1" w:styleId="Titrearticlef7">
    <w:name w:val="Titre article"/>
    <w:basedOn w:val="Normal"/>
    <w:next w:val="Normal"/>
    <w:pPr>
      <w:keepNext/>
      <w:spacing w:before="360"/>
      <w:jc w:val="center"/>
    </w:pPr>
    <w:rPr>
      <w:i/>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f7">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f7">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f7">
    <w:name w:val="Point 0"/>
    <w:basedOn w:val="Normal"/>
    <w:pPr>
      <w:ind w:left="850" w:hanging="850"/>
    </w:pPr>
  </w:style>
  <w:style w:type="paragraph" w:customStyle="1" w:styleId="Point1f7">
    <w:name w:val="Point 1"/>
    <w:basedOn w:val="Normal"/>
    <w:pPr>
      <w:ind w:left="1417" w:hanging="567"/>
    </w:pPr>
  </w:style>
  <w:style w:type="paragraph" w:customStyle="1" w:styleId="Point2f7">
    <w:name w:val="Point 2"/>
    <w:basedOn w:val="Normal"/>
    <w:pPr>
      <w:ind w:left="1984" w:hanging="567"/>
    </w:pPr>
  </w:style>
  <w:style w:type="paragraph" w:customStyle="1" w:styleId="Point3f7">
    <w:name w:val="Point 3"/>
    <w:basedOn w:val="Normal"/>
    <w:pPr>
      <w:ind w:left="2551" w:hanging="567"/>
    </w:pPr>
  </w:style>
  <w:style w:type="paragraph" w:customStyle="1" w:styleId="Point4f8">
    <w:name w:val="Point 4"/>
    <w:basedOn w:val="Normal"/>
    <w:pPr>
      <w:ind w:left="3118" w:hanging="567"/>
    </w:pPr>
  </w:style>
  <w:style w:type="paragraph" w:customStyle="1" w:styleId="Tiret0">
    <w:name w:val="Tiret 0"/>
    <w:basedOn w:val="Point0f7"/>
    <w:pPr>
      <w:numPr>
        <w:numId w:val="35"/>
      </w:numPr>
    </w:pPr>
  </w:style>
  <w:style w:type="paragraph" w:customStyle="1" w:styleId="Tiret1">
    <w:name w:val="Tiret 1"/>
    <w:basedOn w:val="Point1f7"/>
    <w:pPr>
      <w:numPr>
        <w:numId w:val="36"/>
      </w:numPr>
    </w:pPr>
  </w:style>
  <w:style w:type="paragraph" w:customStyle="1" w:styleId="Tiret2">
    <w:name w:val="Tiret 2"/>
    <w:basedOn w:val="Point2f7"/>
    <w:pPr>
      <w:numPr>
        <w:numId w:val="37"/>
      </w:numPr>
    </w:pPr>
  </w:style>
  <w:style w:type="paragraph" w:customStyle="1" w:styleId="Tiret3">
    <w:name w:val="Tiret 3"/>
    <w:basedOn w:val="Point3f7"/>
    <w:pPr>
      <w:numPr>
        <w:numId w:val="38"/>
      </w:numPr>
    </w:pPr>
  </w:style>
  <w:style w:type="paragraph" w:customStyle="1" w:styleId="Tiret4">
    <w:name w:val="Tiret 4"/>
    <w:basedOn w:val="Point4f8"/>
    <w:pPr>
      <w:numPr>
        <w:numId w:val="3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0"/>
      </w:numPr>
    </w:pPr>
  </w:style>
  <w:style w:type="paragraph" w:customStyle="1" w:styleId="NumPar2">
    <w:name w:val="NumPar 2"/>
    <w:basedOn w:val="Normal"/>
    <w:next w:val="Text1"/>
    <w:pPr>
      <w:numPr>
        <w:ilvl w:val="1"/>
        <w:numId w:val="40"/>
      </w:numPr>
    </w:pPr>
  </w:style>
  <w:style w:type="paragraph" w:customStyle="1" w:styleId="NumPar3">
    <w:name w:val="NumPar 3"/>
    <w:basedOn w:val="Normal"/>
    <w:next w:val="Text1"/>
    <w:pPr>
      <w:numPr>
        <w:ilvl w:val="2"/>
        <w:numId w:val="40"/>
      </w:numPr>
    </w:pPr>
  </w:style>
  <w:style w:type="paragraph" w:customStyle="1" w:styleId="NumPar4">
    <w:name w:val="NumPar 4"/>
    <w:basedOn w:val="Normal"/>
    <w:next w:val="Text1"/>
    <w:pPr>
      <w:numPr>
        <w:ilvl w:val="3"/>
        <w:numId w:val="40"/>
      </w:numPr>
    </w:pPr>
  </w:style>
  <w:style w:type="paragraph" w:customStyle="1" w:styleId="ManualNumPar1f7">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2"/>
      </w:numPr>
    </w:pPr>
  </w:style>
  <w:style w:type="paragraph" w:customStyle="1" w:styleId="Point1number">
    <w:name w:val="Point 1 (number)"/>
    <w:basedOn w:val="Normal"/>
    <w:pPr>
      <w:numPr>
        <w:ilvl w:val="2"/>
        <w:numId w:val="42"/>
      </w:numPr>
    </w:pPr>
  </w:style>
  <w:style w:type="paragraph" w:customStyle="1" w:styleId="Point2number">
    <w:name w:val="Point 2 (number)"/>
    <w:basedOn w:val="Normal"/>
    <w:pPr>
      <w:numPr>
        <w:ilvl w:val="4"/>
        <w:numId w:val="42"/>
      </w:numPr>
    </w:pPr>
  </w:style>
  <w:style w:type="paragraph" w:customStyle="1" w:styleId="Point3number">
    <w:name w:val="Point 3 (number)"/>
    <w:basedOn w:val="Normal"/>
    <w:pPr>
      <w:numPr>
        <w:ilvl w:val="6"/>
        <w:numId w:val="42"/>
      </w:numPr>
    </w:pPr>
  </w:style>
  <w:style w:type="paragraph" w:customStyle="1" w:styleId="Point0letter">
    <w:name w:val="Point 0 (letter)"/>
    <w:basedOn w:val="Normal"/>
    <w:pPr>
      <w:numPr>
        <w:ilvl w:val="1"/>
        <w:numId w:val="42"/>
      </w:numPr>
    </w:pPr>
  </w:style>
  <w:style w:type="paragraph" w:customStyle="1" w:styleId="Point1letter">
    <w:name w:val="Point 1 (letter)"/>
    <w:basedOn w:val="Normal"/>
    <w:pPr>
      <w:numPr>
        <w:ilvl w:val="3"/>
        <w:numId w:val="42"/>
      </w:numPr>
    </w:pPr>
  </w:style>
  <w:style w:type="paragraph" w:customStyle="1" w:styleId="Point2letter">
    <w:name w:val="Point 2 (letter)"/>
    <w:basedOn w:val="Normal"/>
    <w:pPr>
      <w:numPr>
        <w:ilvl w:val="5"/>
        <w:numId w:val="42"/>
      </w:numPr>
    </w:pPr>
  </w:style>
  <w:style w:type="paragraph" w:customStyle="1" w:styleId="Point3letter">
    <w:name w:val="Point 3 (letter)"/>
    <w:basedOn w:val="Normal"/>
    <w:pPr>
      <w:numPr>
        <w:ilvl w:val="7"/>
        <w:numId w:val="42"/>
      </w:numPr>
    </w:pPr>
  </w:style>
  <w:style w:type="paragraph" w:customStyle="1" w:styleId="Point4letter">
    <w:name w:val="Point 4 (letter)"/>
    <w:basedOn w:val="Normal"/>
    <w:pPr>
      <w:numPr>
        <w:ilvl w:val="8"/>
        <w:numId w:val="42"/>
      </w:numPr>
    </w:pPr>
  </w:style>
  <w:style w:type="paragraph" w:customStyle="1" w:styleId="Bullet0">
    <w:name w:val="Bullet 0"/>
    <w:basedOn w:val="Normal"/>
    <w:pPr>
      <w:numPr>
        <w:numId w:val="43"/>
      </w:numPr>
    </w:pPr>
  </w:style>
  <w:style w:type="paragraph" w:customStyle="1" w:styleId="Bullet1">
    <w:name w:val="Bullet 1"/>
    <w:basedOn w:val="Normal"/>
    <w:pPr>
      <w:numPr>
        <w:numId w:val="44"/>
      </w:numPr>
    </w:pPr>
  </w:style>
  <w:style w:type="paragraph" w:customStyle="1" w:styleId="Bullet2">
    <w:name w:val="Bullet 2"/>
    <w:basedOn w:val="Normal"/>
    <w:pPr>
      <w:numPr>
        <w:numId w:val="45"/>
      </w:numPr>
    </w:pPr>
  </w:style>
  <w:style w:type="paragraph" w:customStyle="1" w:styleId="Bullet3">
    <w:name w:val="Bullet 3"/>
    <w:basedOn w:val="Normal"/>
    <w:pPr>
      <w:numPr>
        <w:numId w:val="46"/>
      </w:numPr>
    </w:pPr>
  </w:style>
  <w:style w:type="paragraph" w:customStyle="1" w:styleId="Bullet4">
    <w:name w:val="Bullet 4"/>
    <w:basedOn w:val="Normal"/>
    <w:pPr>
      <w:numPr>
        <w:numId w:val="4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f8"/>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f8">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f8"/>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List Number 2"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1"/>
      </w:numPr>
      <w:outlineLvl w:val="3"/>
    </w:pPr>
    <w:rPr>
      <w:rFonts w:eastAsiaTheme="majorEastAsia"/>
      <w:bCs/>
      <w:iCs/>
    </w:rPr>
  </w:style>
  <w:style w:type="paragraph" w:styleId="Heading5">
    <w:name w:val="heading 5"/>
    <w:basedOn w:val="Normal"/>
    <w:link w:val="Heading5Char"/>
    <w:qFormat/>
    <w:pPr>
      <w:keepNext/>
      <w:spacing w:before="0" w:after="0"/>
      <w:jc w:val="center"/>
      <w:outlineLvl w:val="4"/>
    </w:pPr>
    <w:rPr>
      <w:rFonts w:eastAsia="Times New Roman"/>
      <w:b/>
      <w:bCs/>
      <w:color w:val="000000"/>
      <w:szCs w:val="24"/>
    </w:rPr>
  </w:style>
  <w:style w:type="paragraph" w:styleId="Heading6">
    <w:name w:val="heading 6"/>
    <w:basedOn w:val="Normal"/>
    <w:next w:val="Normal"/>
    <w:link w:val="Heading6Char"/>
    <w:qFormat/>
    <w:pPr>
      <w:tabs>
        <w:tab w:val="left" w:pos="720"/>
      </w:tabs>
      <w:spacing w:before="0" w:after="240"/>
      <w:outlineLvl w:val="5"/>
    </w:pPr>
    <w:rPr>
      <w:rFonts w:eastAsia="Times New Roman"/>
      <w:sz w:val="22"/>
      <w:szCs w:val="20"/>
    </w:rPr>
  </w:style>
  <w:style w:type="paragraph" w:styleId="Heading7">
    <w:name w:val="heading 7"/>
    <w:basedOn w:val="Normal"/>
    <w:next w:val="Normal"/>
    <w:link w:val="Heading7Char"/>
    <w:qFormat/>
    <w:pPr>
      <w:tabs>
        <w:tab w:val="left" w:pos="720"/>
      </w:tabs>
      <w:spacing w:before="0" w:after="240"/>
      <w:outlineLvl w:val="6"/>
    </w:pPr>
    <w:rPr>
      <w:rFonts w:eastAsia="Times New Roman"/>
      <w:sz w:val="22"/>
      <w:szCs w:val="20"/>
    </w:rPr>
  </w:style>
  <w:style w:type="paragraph" w:styleId="Heading8">
    <w:name w:val="heading 8"/>
    <w:basedOn w:val="Normal"/>
    <w:next w:val="Normal"/>
    <w:link w:val="Heading8Char"/>
    <w:qFormat/>
    <w:pPr>
      <w:numPr>
        <w:ilvl w:val="7"/>
        <w:numId w:val="9"/>
      </w:numPr>
      <w:tabs>
        <w:tab w:val="left" w:pos="720"/>
      </w:tabs>
      <w:spacing w:before="240" w:after="60"/>
      <w:outlineLvl w:val="7"/>
    </w:pPr>
    <w:rPr>
      <w:rFonts w:eastAsia="Times New Roman"/>
      <w:i/>
      <w:iCs/>
      <w:szCs w:val="24"/>
    </w:rPr>
  </w:style>
  <w:style w:type="paragraph" w:styleId="Heading9">
    <w:name w:val="heading 9"/>
    <w:basedOn w:val="Normal"/>
    <w:next w:val="Normal"/>
    <w:link w:val="Heading9Char"/>
    <w:qFormat/>
    <w:pPr>
      <w:numPr>
        <w:ilvl w:val="8"/>
        <w:numId w:val="9"/>
      </w:numPr>
      <w:tabs>
        <w:tab w:val="left" w:pos="720"/>
      </w:tabs>
      <w:spacing w:before="240" w:after="60"/>
      <w:outlineLvl w:val="8"/>
    </w:pPr>
    <w:rPr>
      <w:rFonts w:ascii="Arial" w:eastAsia="Times New Roman" w:hAnsi="Arial" w:cs="Arial"/>
      <w:sz w:val="22"/>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nhideWhenUsed/>
    <w:pPr>
      <w:numPr>
        <w:numId w:val="1"/>
      </w:numPr>
      <w:contextualSpacing/>
    </w:pPr>
  </w:style>
  <w:style w:type="paragraph" w:styleId="ListBullet2">
    <w:name w:val="List Bullet 2"/>
    <w:basedOn w:val="Normal"/>
    <w:unhideWhenUsed/>
    <w:pPr>
      <w:numPr>
        <w:numId w:val="2"/>
      </w:numPr>
      <w:contextualSpacing/>
    </w:pPr>
  </w:style>
  <w:style w:type="paragraph" w:styleId="ListBullet3">
    <w:name w:val="List Bullet 3"/>
    <w:basedOn w:val="Normal"/>
    <w:unhideWhenUsed/>
    <w:pPr>
      <w:numPr>
        <w:numId w:val="3"/>
      </w:numPr>
      <w:contextualSpacing/>
    </w:pPr>
  </w:style>
  <w:style w:type="paragraph" w:styleId="ListBullet4">
    <w:name w:val="List Bullet 4"/>
    <w:basedOn w:val="Normal"/>
    <w:unhideWhenUsed/>
    <w:pPr>
      <w:numPr>
        <w:numId w:val="4"/>
      </w:numPr>
      <w:contextualSpacing/>
    </w:pPr>
  </w:style>
  <w:style w:type="character" w:customStyle="1" w:styleId="Heading5Char">
    <w:name w:val="Heading 5 Char"/>
    <w:basedOn w:val="DefaultParagraphFont"/>
    <w:link w:val="Heading5"/>
    <w:rPr>
      <w:rFonts w:ascii="Times New Roman" w:eastAsia="Times New Roman" w:hAnsi="Times New Roman" w:cs="Times New Roman"/>
      <w:b/>
      <w:bCs/>
      <w:color w:val="000000"/>
      <w:sz w:val="24"/>
      <w:szCs w:val="24"/>
      <w:lang w:val="ro-RO" w:eastAsia="ro-RO"/>
    </w:rPr>
  </w:style>
  <w:style w:type="character" w:customStyle="1" w:styleId="Heading6Char">
    <w:name w:val="Heading 6 Char"/>
    <w:basedOn w:val="DefaultParagraphFont"/>
    <w:link w:val="Heading6"/>
    <w:rPr>
      <w:rFonts w:ascii="Times New Roman" w:eastAsia="Times New Roman" w:hAnsi="Times New Roman" w:cs="Times New Roman"/>
      <w:szCs w:val="20"/>
      <w:lang w:val="ro-RO"/>
    </w:rPr>
  </w:style>
  <w:style w:type="character" w:customStyle="1" w:styleId="Heading7Char">
    <w:name w:val="Heading 7 Char"/>
    <w:basedOn w:val="DefaultParagraphFont"/>
    <w:link w:val="Heading7"/>
    <w:rPr>
      <w:rFonts w:ascii="Times New Roman" w:eastAsia="Times New Roman" w:hAnsi="Times New Roman" w:cs="Times New Roman"/>
      <w:szCs w:val="20"/>
      <w:lang w:val="ro-RO"/>
    </w:rPr>
  </w:style>
  <w:style w:type="character" w:customStyle="1" w:styleId="Heading8Char">
    <w:name w:val="Heading 8 Char"/>
    <w:basedOn w:val="DefaultParagraphFont"/>
    <w:link w:val="Heading8"/>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Pr>
      <w:rFonts w:ascii="Arial" w:eastAsia="Times New Roman" w:hAnsi="Arial" w:cs="Arial"/>
      <w:szCs w:val="20"/>
      <w:lang w:val="en-GB"/>
    </w:rPr>
  </w:style>
  <w:style w:type="paragraph" w:customStyle="1" w:styleId="normalcentered">
    <w:name w:val="normalcentered"/>
    <w:basedOn w:val="Normal"/>
    <w:pPr>
      <w:jc w:val="center"/>
    </w:pPr>
    <w:rPr>
      <w:rFonts w:eastAsia="Times New Roman"/>
      <w:szCs w:val="24"/>
    </w:rPr>
  </w:style>
  <w:style w:type="character" w:styleId="PageNumber">
    <w:name w:val="page number"/>
    <w:basedOn w:val="DefaultParagraphFont"/>
  </w:style>
  <w:style w:type="character" w:customStyle="1" w:styleId="Point1Char">
    <w:name w:val="Point 1 Char"/>
    <w:rPr>
      <w:rFonts w:ascii="Times New Roman" w:hAnsi="Times New Roman" w:cs="Times New Roman"/>
      <w:sz w:val="24"/>
      <w:lang w:val="ro-RO"/>
    </w:rPr>
  </w:style>
  <w:style w:type="paragraph" w:styleId="BodyText">
    <w:name w:val="Body Text"/>
    <w:aliases w:val="Body"/>
    <w:basedOn w:val="Normal"/>
    <w:link w:val="BodyTextChar2"/>
    <w:pPr>
      <w:spacing w:before="0" w:after="240"/>
    </w:pPr>
    <w:rPr>
      <w:rFonts w:eastAsia="Times New Roman"/>
      <w:szCs w:val="24"/>
    </w:rPr>
  </w:style>
  <w:style w:type="character" w:customStyle="1" w:styleId="BodyTextChar">
    <w:name w:val="Body Text Char"/>
    <w:aliases w:val="Body Char"/>
    <w:basedOn w:val="DefaultParagraphFont"/>
    <w:rPr>
      <w:rFonts w:ascii="Times New Roman" w:hAnsi="Times New Roman" w:cs="Times New Roman"/>
      <w:sz w:val="24"/>
      <w:lang w:val="ro-RO"/>
    </w:rPr>
  </w:style>
  <w:style w:type="paragraph" w:customStyle="1" w:styleId="text10">
    <w:name w:val="text1"/>
    <w:basedOn w:val="Normal"/>
    <w:pPr>
      <w:ind w:left="850"/>
    </w:pPr>
    <w:rPr>
      <w:rFonts w:eastAsia="Times New Roman"/>
      <w:szCs w:val="24"/>
    </w:rPr>
  </w:style>
  <w:style w:type="paragraph" w:customStyle="1" w:styleId="tiret10">
    <w:name w:val="tiret1"/>
    <w:basedOn w:val="Normal"/>
    <w:pPr>
      <w:ind w:left="1417" w:hanging="567"/>
    </w:pPr>
    <w:rPr>
      <w:rFonts w:eastAsia="Times New Roman"/>
      <w:szCs w:val="24"/>
    </w:rPr>
  </w:style>
  <w:style w:type="paragraph" w:customStyle="1" w:styleId="numpar10">
    <w:name w:val="numpar1"/>
    <w:basedOn w:val="Normal"/>
    <w:pPr>
      <w:ind w:left="850" w:hanging="850"/>
    </w:pPr>
    <w:rPr>
      <w:rFonts w:eastAsia="Times New Roman"/>
      <w:szCs w:val="24"/>
    </w:rPr>
  </w:style>
  <w:style w:type="paragraph" w:customStyle="1" w:styleId="manualnumpar1">
    <w:name w:val="manualnumpar1"/>
    <w:basedOn w:val="Normal"/>
    <w:pPr>
      <w:ind w:left="850" w:hanging="850"/>
    </w:pPr>
    <w:rPr>
      <w:rFonts w:eastAsia="Times New Roman"/>
      <w:szCs w:val="24"/>
    </w:rPr>
  </w:style>
  <w:style w:type="character" w:customStyle="1" w:styleId="msoins0">
    <w:name w:val="msoins"/>
    <w:rPr>
      <w:color w:val="008080"/>
      <w:u w:val="single"/>
    </w:rPr>
  </w:style>
  <w:style w:type="paragraph" w:customStyle="1" w:styleId="point4">
    <w:name w:val="point4"/>
    <w:basedOn w:val="Normal"/>
    <w:pPr>
      <w:ind w:left="3118" w:hanging="567"/>
    </w:pPr>
    <w:rPr>
      <w:rFonts w:eastAsia="Times New Roman"/>
      <w:szCs w:val="24"/>
    </w:rPr>
  </w:style>
  <w:style w:type="paragraph" w:customStyle="1" w:styleId="fichefinanciretextetable">
    <w:name w:val="fichefinanciretextetable"/>
    <w:basedOn w:val="Normal"/>
    <w:pPr>
      <w:spacing w:before="0" w:after="0"/>
      <w:jc w:val="left"/>
    </w:pPr>
    <w:rPr>
      <w:rFonts w:eastAsia="Times New Roman"/>
      <w:sz w:val="20"/>
      <w:szCs w:val="20"/>
    </w:rPr>
  </w:style>
  <w:style w:type="paragraph" w:customStyle="1" w:styleId="titrearticle">
    <w:name w:val="titrearticle"/>
    <w:basedOn w:val="Normal"/>
    <w:pPr>
      <w:keepNext/>
      <w:spacing w:before="360"/>
      <w:jc w:val="center"/>
    </w:pPr>
    <w:rPr>
      <w:rFonts w:eastAsia="Times New Roman"/>
      <w:i/>
      <w:iCs/>
      <w:szCs w:val="24"/>
    </w:rPr>
  </w:style>
  <w:style w:type="paragraph" w:styleId="CommentText">
    <w:name w:val="annotation text"/>
    <w:basedOn w:val="Normal"/>
    <w:link w:val="CommentTextChar"/>
    <w:uiPriority w:val="99"/>
    <w:rPr>
      <w:rFonts w:eastAsia="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o-RO" w:eastAsia="ro-RO"/>
    </w:rPr>
  </w:style>
  <w:style w:type="paragraph" w:styleId="ListNumber">
    <w:name w:val="List Number"/>
    <w:basedOn w:val="Normal"/>
    <w:pPr>
      <w:ind w:left="709" w:hanging="709"/>
    </w:pPr>
    <w:rPr>
      <w:rFonts w:eastAsia="Times New Roman"/>
      <w:szCs w:val="24"/>
    </w:rPr>
  </w:style>
  <w:style w:type="paragraph" w:styleId="ListNumber2">
    <w:name w:val="List Number 2"/>
    <w:basedOn w:val="Normal"/>
    <w:uiPriority w:val="99"/>
    <w:pPr>
      <w:ind w:left="1560" w:hanging="709"/>
    </w:pPr>
    <w:rPr>
      <w:rFonts w:eastAsia="Times New Roman"/>
      <w:szCs w:val="24"/>
    </w:rPr>
  </w:style>
  <w:style w:type="paragraph" w:styleId="ListNumber3">
    <w:name w:val="List Number 3"/>
    <w:basedOn w:val="Normal"/>
    <w:pPr>
      <w:numPr>
        <w:numId w:val="5"/>
      </w:numPr>
      <w:tabs>
        <w:tab w:val="clear" w:pos="643"/>
      </w:tabs>
      <w:ind w:left="1560" w:hanging="709"/>
    </w:pPr>
    <w:rPr>
      <w:rFonts w:eastAsia="Times New Roman"/>
      <w:szCs w:val="24"/>
    </w:rPr>
  </w:style>
  <w:style w:type="paragraph" w:styleId="ListNumber4">
    <w:name w:val="List Number 4"/>
    <w:basedOn w:val="Normal"/>
    <w:pPr>
      <w:numPr>
        <w:numId w:val="6"/>
      </w:numPr>
      <w:tabs>
        <w:tab w:val="clear" w:pos="926"/>
      </w:tabs>
      <w:ind w:left="1560" w:hanging="709"/>
    </w:pPr>
    <w:rPr>
      <w:rFonts w:eastAsia="Times New Roman"/>
      <w:szCs w:val="24"/>
    </w:rPr>
  </w:style>
  <w:style w:type="paragraph" w:styleId="CommentSubject">
    <w:name w:val="annotation subject"/>
    <w:basedOn w:val="Normal"/>
    <w:link w:val="CommentSubjectChar"/>
    <w:pPr>
      <w:numPr>
        <w:numId w:val="7"/>
      </w:numPr>
      <w:tabs>
        <w:tab w:val="clear" w:pos="1209"/>
      </w:tabs>
      <w:spacing w:before="0" w:after="0"/>
      <w:ind w:left="0" w:firstLine="0"/>
      <w:jc w:val="left"/>
    </w:pPr>
    <w:rPr>
      <w:rFonts w:eastAsia="Times New Roman"/>
      <w:b/>
      <w:bCs/>
      <w:sz w:val="20"/>
      <w:szCs w:val="20"/>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en-GB" w:eastAsia="ro-RO"/>
    </w:rPr>
  </w:style>
  <w:style w:type="paragraph" w:customStyle="1" w:styleId="text2">
    <w:name w:val="text2"/>
    <w:basedOn w:val="Normal"/>
    <w:pPr>
      <w:ind w:left="850"/>
    </w:pPr>
    <w:rPr>
      <w:rFonts w:eastAsia="Times New Roman"/>
      <w:szCs w:val="24"/>
    </w:rPr>
  </w:style>
  <w:style w:type="paragraph" w:customStyle="1" w:styleId="point0">
    <w:name w:val="point0"/>
    <w:basedOn w:val="Normal"/>
    <w:pPr>
      <w:ind w:left="850" w:hanging="850"/>
    </w:pPr>
    <w:rPr>
      <w:rFonts w:eastAsia="Times New Roman"/>
      <w:szCs w:val="24"/>
    </w:rPr>
  </w:style>
  <w:style w:type="paragraph" w:customStyle="1" w:styleId="tiret20">
    <w:name w:val="tiret2"/>
    <w:basedOn w:val="Normal"/>
    <w:pPr>
      <w:ind w:left="1984" w:hanging="567"/>
    </w:pPr>
    <w:rPr>
      <w:rFonts w:eastAsia="Times New Roman"/>
      <w:szCs w:val="24"/>
    </w:rPr>
  </w:style>
  <w:style w:type="paragraph" w:customStyle="1" w:styleId="tiret40">
    <w:name w:val="tiret4"/>
    <w:basedOn w:val="Normal"/>
    <w:pPr>
      <w:ind w:left="3118" w:hanging="567"/>
    </w:pPr>
    <w:rPr>
      <w:rFonts w:eastAsia="Times New Roman"/>
      <w:szCs w:val="24"/>
    </w:rPr>
  </w:style>
  <w:style w:type="paragraph" w:customStyle="1" w:styleId="listnumber4level4">
    <w:name w:val="listnumber4level4"/>
    <w:basedOn w:val="Normal"/>
    <w:pPr>
      <w:ind w:left="3686" w:hanging="709"/>
    </w:pPr>
    <w:rPr>
      <w:rFonts w:eastAsia="Times New Roman"/>
      <w:szCs w:val="24"/>
    </w:rPr>
  </w:style>
  <w:style w:type="paragraph" w:customStyle="1" w:styleId="annexetitreacte">
    <w:name w:val="annexetitreacte"/>
    <w:basedOn w:val="Normal"/>
    <w:pPr>
      <w:jc w:val="center"/>
    </w:pPr>
    <w:rPr>
      <w:rFonts w:eastAsia="Times New Roman"/>
      <w:b/>
      <w:bCs/>
      <w:szCs w:val="24"/>
      <w:u w:val="single"/>
    </w:rPr>
  </w:style>
  <w:style w:type="paragraph" w:styleId="BalloonText">
    <w:name w:val="Balloon Text"/>
    <w:basedOn w:val="Normal"/>
    <w:link w:val="BalloonTextChar"/>
    <w:unhideWhenUsed/>
    <w:pPr>
      <w:spacing w:before="0" w:after="0"/>
      <w:jc w:val="left"/>
    </w:pPr>
    <w:rPr>
      <w:rFonts w:ascii="Tahoma" w:eastAsia="Times New Roman" w:hAnsi="Tahoma" w:cs="Tahoma"/>
      <w:sz w:val="16"/>
      <w:szCs w:val="16"/>
    </w:rPr>
  </w:style>
  <w:style w:type="character" w:customStyle="1" w:styleId="BalloonTextChar">
    <w:name w:val="Balloon Text Char"/>
    <w:basedOn w:val="DefaultParagraphFont"/>
    <w:link w:val="BalloonText"/>
    <w:rPr>
      <w:rFonts w:ascii="Tahoma" w:eastAsia="Times New Roman" w:hAnsi="Tahoma" w:cs="Tahoma"/>
      <w:sz w:val="16"/>
      <w:szCs w:val="16"/>
      <w:lang w:val="ro-RO" w:eastAsia="ro-RO"/>
    </w:rPr>
  </w:style>
  <w:style w:type="paragraph" w:styleId="NormalWeb">
    <w:name w:val="Normal (Web)"/>
    <w:basedOn w:val="Normal"/>
    <w:pPr>
      <w:spacing w:before="100" w:beforeAutospacing="1" w:after="100" w:afterAutospacing="1"/>
      <w:jc w:val="left"/>
    </w:pPr>
    <w:rPr>
      <w:rFonts w:eastAsia="Times New Roman"/>
      <w:szCs w:val="24"/>
    </w:rPr>
  </w:style>
  <w:style w:type="character" w:styleId="Emphasis">
    <w:name w:val="Emphasis"/>
    <w:qFormat/>
    <w:rPr>
      <w:i/>
      <w:iCs/>
    </w:rPr>
  </w:style>
  <w:style w:type="character" w:customStyle="1" w:styleId="shorttext">
    <w:name w:val="short_text"/>
  </w:style>
  <w:style w:type="character" w:customStyle="1" w:styleId="hps">
    <w:name w:val="hps"/>
  </w:style>
  <w:style w:type="character" w:customStyle="1" w:styleId="hpsatn">
    <w:name w:val="hps atn"/>
  </w:style>
  <w:style w:type="paragraph" w:styleId="Caption">
    <w:name w:val="caption"/>
    <w:basedOn w:val="Normal"/>
    <w:next w:val="Normal"/>
    <w:unhideWhenUsed/>
    <w:qFormat/>
    <w:rPr>
      <w:rFonts w:eastAsia="Times New Roman"/>
      <w:b/>
      <w:bCs/>
      <w:sz w:val="20"/>
      <w:szCs w:val="20"/>
    </w:rPr>
  </w:style>
  <w:style w:type="paragraph" w:styleId="TableofFigures">
    <w:name w:val="table of figures"/>
    <w:basedOn w:val="Normal"/>
    <w:next w:val="Normal"/>
    <w:rPr>
      <w:rFonts w:eastAsia="Times New Roman"/>
      <w:szCs w:val="24"/>
    </w:rPr>
  </w:style>
  <w:style w:type="character" w:styleId="CommentReference">
    <w:name w:val="annotation reference"/>
    <w:rPr>
      <w:sz w:val="16"/>
      <w:szCs w:val="16"/>
    </w:rPr>
  </w:style>
  <w:style w:type="character" w:styleId="Hyperlink">
    <w:name w:val="Hyperlink"/>
    <w:rPr>
      <w:color w:val="0000FF"/>
      <w:u w:val="single"/>
    </w:rPr>
  </w:style>
  <w:style w:type="paragraph" w:styleId="NormalIndent">
    <w:name w:val="Normal Indent"/>
    <w:basedOn w:val="Normal"/>
    <w:pPr>
      <w:autoSpaceDE w:val="0"/>
      <w:autoSpaceDN w:val="0"/>
      <w:adjustRightInd w:val="0"/>
      <w:spacing w:after="40"/>
      <w:jc w:val="left"/>
      <w:outlineLvl w:val="0"/>
    </w:pPr>
    <w:rPr>
      <w:rFonts w:eastAsia="Times New Roman"/>
      <w:szCs w:val="20"/>
    </w:rPr>
  </w:style>
  <w:style w:type="paragraph" w:customStyle="1" w:styleId="Article1">
    <w:name w:val="Article 1"/>
    <w:basedOn w:val="Normal"/>
    <w:pPr>
      <w:autoSpaceDE w:val="0"/>
      <w:autoSpaceDN w:val="0"/>
      <w:adjustRightInd w:val="0"/>
      <w:spacing w:before="0" w:after="0"/>
      <w:jc w:val="center"/>
      <w:outlineLvl w:val="0"/>
    </w:pPr>
    <w:rPr>
      <w:rFonts w:eastAsia="Times New Roman" w:cs="Adve06633w"/>
      <w:b/>
      <w:bCs/>
      <w:szCs w:val="24"/>
    </w:rPr>
  </w:style>
  <w:style w:type="paragraph" w:customStyle="1" w:styleId="titrearticle0">
    <w:name w:val="titre article"/>
    <w:basedOn w:val="Normal"/>
    <w:pPr>
      <w:autoSpaceDE w:val="0"/>
      <w:autoSpaceDN w:val="0"/>
      <w:adjustRightInd w:val="0"/>
      <w:spacing w:before="360" w:after="40"/>
      <w:jc w:val="center"/>
      <w:outlineLvl w:val="0"/>
    </w:pPr>
    <w:rPr>
      <w:rFonts w:eastAsia="Times New Roman"/>
      <w:b/>
      <w:bCs/>
      <w:szCs w:val="20"/>
    </w:rPr>
  </w:style>
  <w:style w:type="paragraph" w:customStyle="1" w:styleId="point2">
    <w:name w:val="point 2"/>
    <w:basedOn w:val="Normal"/>
    <w:pPr>
      <w:spacing w:before="0" w:after="0"/>
      <w:ind w:left="1985" w:hanging="567"/>
      <w:jc w:val="left"/>
      <w:outlineLvl w:val="0"/>
    </w:pPr>
    <w:rPr>
      <w:rFonts w:eastAsia="Times New Roman"/>
      <w:szCs w:val="24"/>
    </w:rPr>
  </w:style>
  <w:style w:type="paragraph" w:styleId="BodyText2">
    <w:name w:val="Body Text 2"/>
    <w:basedOn w:val="Normal"/>
    <w:link w:val="BodyText2Char"/>
    <w:pPr>
      <w:tabs>
        <w:tab w:val="num" w:pos="1440"/>
      </w:tabs>
      <w:spacing w:before="0" w:after="240"/>
      <w:ind w:left="1440" w:hanging="720"/>
    </w:pPr>
    <w:rPr>
      <w:rFonts w:eastAsia="Times New Roman"/>
      <w:sz w:val="22"/>
      <w:szCs w:val="20"/>
    </w:rPr>
  </w:style>
  <w:style w:type="character" w:customStyle="1" w:styleId="BodyText2Char">
    <w:name w:val="Body Text 2 Char"/>
    <w:basedOn w:val="DefaultParagraphFont"/>
    <w:link w:val="BodyText2"/>
    <w:rPr>
      <w:rFonts w:ascii="Times New Roman" w:eastAsia="Times New Roman" w:hAnsi="Times New Roman" w:cs="Times New Roman"/>
      <w:szCs w:val="20"/>
      <w:lang w:val="ro-RO"/>
    </w:rPr>
  </w:style>
  <w:style w:type="paragraph" w:styleId="BodyText3">
    <w:name w:val="Body Text 3"/>
    <w:basedOn w:val="Normal"/>
    <w:link w:val="BodyText3Char"/>
    <w:pPr>
      <w:tabs>
        <w:tab w:val="num" w:pos="2160"/>
      </w:tabs>
      <w:spacing w:before="0" w:after="240"/>
      <w:ind w:left="2160" w:hanging="720"/>
    </w:pPr>
    <w:rPr>
      <w:rFonts w:eastAsia="Times New Roman"/>
      <w:sz w:val="22"/>
      <w:szCs w:val="20"/>
    </w:rPr>
  </w:style>
  <w:style w:type="character" w:customStyle="1" w:styleId="BodyText3Char">
    <w:name w:val="Body Text 3 Char"/>
    <w:basedOn w:val="DefaultParagraphFont"/>
    <w:link w:val="BodyText3"/>
    <w:rPr>
      <w:rFonts w:ascii="Times New Roman" w:eastAsia="Times New Roman" w:hAnsi="Times New Roman" w:cs="Times New Roman"/>
      <w:szCs w:val="20"/>
      <w:lang w:val="ro-RO"/>
    </w:rPr>
  </w:style>
  <w:style w:type="paragraph" w:styleId="NoteHeading">
    <w:name w:val="Note Heading"/>
    <w:basedOn w:val="Normal"/>
    <w:next w:val="Normal"/>
    <w:link w:val="NoteHeadingChar"/>
    <w:pPr>
      <w:tabs>
        <w:tab w:val="left" w:pos="720"/>
      </w:tabs>
      <w:spacing w:before="0" w:after="0"/>
    </w:pPr>
    <w:rPr>
      <w:rFonts w:eastAsia="Times New Roman"/>
      <w:sz w:val="22"/>
      <w:szCs w:val="20"/>
    </w:rPr>
  </w:style>
  <w:style w:type="character" w:customStyle="1" w:styleId="NoteHeadingChar">
    <w:name w:val="Note Heading Char"/>
    <w:basedOn w:val="DefaultParagraphFont"/>
    <w:link w:val="NoteHeading"/>
    <w:rPr>
      <w:rFonts w:ascii="Times New Roman" w:eastAsia="Times New Roman" w:hAnsi="Times New Roman" w:cs="Times New Roman"/>
      <w:szCs w:val="20"/>
      <w:lang w:val="ro-RO"/>
    </w:rPr>
  </w:style>
  <w:style w:type="paragraph" w:customStyle="1" w:styleId="CM4">
    <w:name w:val="CM4"/>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Titleannex">
    <w:name w:val="Title annex"/>
    <w:basedOn w:val="Normal"/>
    <w:pPr>
      <w:autoSpaceDE w:val="0"/>
      <w:autoSpaceDN w:val="0"/>
      <w:adjustRightInd w:val="0"/>
      <w:spacing w:after="40"/>
      <w:jc w:val="center"/>
      <w:outlineLvl w:val="0"/>
    </w:pPr>
    <w:rPr>
      <w:rFonts w:eastAsia="Times New Roman"/>
      <w:bCs/>
      <w:szCs w:val="20"/>
    </w:rPr>
  </w:style>
  <w:style w:type="paragraph" w:customStyle="1" w:styleId="Annex">
    <w:name w:val="Annex"/>
    <w:basedOn w:val="Normal"/>
    <w:pPr>
      <w:autoSpaceDE w:val="0"/>
      <w:autoSpaceDN w:val="0"/>
      <w:adjustRightInd w:val="0"/>
      <w:spacing w:after="40"/>
      <w:ind w:left="1400" w:hanging="1440"/>
      <w:jc w:val="center"/>
      <w:outlineLvl w:val="0"/>
    </w:pPr>
    <w:rPr>
      <w:rFonts w:eastAsia="Times New Roman"/>
      <w:sz w:val="28"/>
      <w:szCs w:val="20"/>
    </w:rPr>
  </w:style>
  <w:style w:type="paragraph" w:customStyle="1" w:styleId="point3">
    <w:name w:val="point 3"/>
    <w:basedOn w:val="Normal"/>
    <w:pPr>
      <w:spacing w:before="0" w:after="0"/>
      <w:ind w:left="2552" w:hanging="567"/>
      <w:jc w:val="left"/>
      <w:outlineLvl w:val="0"/>
    </w:pPr>
    <w:rPr>
      <w:rFonts w:eastAsia="Times New Roman"/>
      <w:szCs w:val="24"/>
    </w:rPr>
  </w:style>
  <w:style w:type="paragraph" w:customStyle="1" w:styleId="NumPar5">
    <w:name w:val="NumPar 5"/>
    <w:basedOn w:val="Normal"/>
    <w:pPr>
      <w:autoSpaceDE w:val="0"/>
      <w:autoSpaceDN w:val="0"/>
      <w:adjustRightInd w:val="0"/>
      <w:ind w:left="851" w:hanging="851"/>
      <w:jc w:val="left"/>
      <w:outlineLvl w:val="0"/>
    </w:pPr>
    <w:rPr>
      <w:rFonts w:eastAsia="Times New Roman"/>
      <w:sz w:val="22"/>
    </w:rPr>
  </w:style>
  <w:style w:type="paragraph" w:customStyle="1" w:styleId="NumPar6">
    <w:name w:val="NumPar 6"/>
    <w:basedOn w:val="Normal"/>
    <w:pPr>
      <w:autoSpaceDE w:val="0"/>
      <w:autoSpaceDN w:val="0"/>
      <w:adjustRightInd w:val="0"/>
      <w:ind w:left="851" w:hanging="851"/>
      <w:jc w:val="left"/>
      <w:outlineLvl w:val="0"/>
    </w:pPr>
    <w:rPr>
      <w:rFonts w:eastAsia="Times New Roman"/>
      <w:sz w:val="22"/>
    </w:rPr>
  </w:style>
  <w:style w:type="paragraph" w:customStyle="1" w:styleId="NumPar7">
    <w:name w:val="NumPar 7"/>
    <w:basedOn w:val="Normal"/>
    <w:pPr>
      <w:autoSpaceDE w:val="0"/>
      <w:autoSpaceDN w:val="0"/>
      <w:adjustRightInd w:val="0"/>
      <w:ind w:left="851" w:hanging="851"/>
      <w:jc w:val="left"/>
      <w:outlineLvl w:val="0"/>
    </w:pPr>
    <w:rPr>
      <w:rFonts w:eastAsia="Times New Roman"/>
      <w:sz w:val="22"/>
    </w:rPr>
  </w:style>
  <w:style w:type="character" w:customStyle="1" w:styleId="BodyTextChar1">
    <w:name w:val="Body Text Char1"/>
    <w:rPr>
      <w:rFonts w:ascii="Calibri" w:eastAsia="Calibri" w:hAnsi="Calibri" w:cs="Times New Roman"/>
    </w:rPr>
  </w:style>
  <w:style w:type="character" w:styleId="Strong">
    <w:name w:val="Strong"/>
    <w:qFormat/>
    <w:rPr>
      <w:b/>
      <w:bCs/>
    </w:rPr>
  </w:style>
  <w:style w:type="paragraph" w:customStyle="1" w:styleId="AutoCorrect">
    <w:name w:val="AutoCorrect"/>
    <w:pPr>
      <w:spacing w:after="0" w:line="240" w:lineRule="auto"/>
    </w:pPr>
    <w:rPr>
      <w:rFonts w:ascii="Times New Roman" w:eastAsia="Times New Roman" w:hAnsi="Times New Roman" w:cs="Times New Roman"/>
      <w:sz w:val="24"/>
      <w:szCs w:val="24"/>
    </w:rPr>
  </w:style>
  <w:style w:type="paragraph" w:customStyle="1" w:styleId="-PAGE-">
    <w:name w:val="- PAGE -"/>
    <w:pPr>
      <w:spacing w:after="0" w:line="240" w:lineRule="auto"/>
    </w:pPr>
    <w:rPr>
      <w:rFonts w:ascii="Times New Roman" w:eastAsia="Times New Roman" w:hAnsi="Times New Roman" w:cs="Times New Roman"/>
      <w:sz w:val="24"/>
      <w:szCs w:val="24"/>
    </w:rPr>
  </w:style>
  <w:style w:type="paragraph" w:customStyle="1" w:styleId="PageXofY">
    <w:name w:val="Page X of Y"/>
    <w:pPr>
      <w:spacing w:after="0" w:line="240" w:lineRule="auto"/>
    </w:pPr>
    <w:rPr>
      <w:rFonts w:ascii="Times New Roman" w:eastAsia="Times New Roman" w:hAnsi="Times New Roman" w:cs="Times New Roman"/>
      <w:sz w:val="24"/>
      <w:szCs w:val="24"/>
    </w:rPr>
  </w:style>
  <w:style w:type="paragraph" w:customStyle="1" w:styleId="Createdby">
    <w:name w:val="Created by"/>
    <w:pPr>
      <w:spacing w:after="0" w:line="240" w:lineRule="auto"/>
    </w:pPr>
    <w:rPr>
      <w:rFonts w:ascii="Times New Roman" w:eastAsia="Times New Roman" w:hAnsi="Times New Roman" w:cs="Times New Roman"/>
      <w:sz w:val="24"/>
      <w:szCs w:val="24"/>
    </w:rPr>
  </w:style>
  <w:style w:type="paragraph" w:customStyle="1" w:styleId="Createdon">
    <w:name w:val="Created on"/>
    <w:pPr>
      <w:spacing w:after="0" w:line="240" w:lineRule="auto"/>
    </w:pPr>
    <w:rPr>
      <w:rFonts w:ascii="Times New Roman" w:eastAsia="Times New Roman" w:hAnsi="Times New Roman" w:cs="Times New Roman"/>
      <w:sz w:val="24"/>
      <w:szCs w:val="24"/>
    </w:rPr>
  </w:style>
  <w:style w:type="paragraph" w:customStyle="1" w:styleId="Lastprinted">
    <w:name w:val="Last printed"/>
    <w:pPr>
      <w:spacing w:after="0" w:line="240" w:lineRule="auto"/>
    </w:pPr>
    <w:rPr>
      <w:rFonts w:ascii="Times New Roman" w:eastAsia="Times New Roman" w:hAnsi="Times New Roman" w:cs="Times New Roman"/>
      <w:sz w:val="24"/>
      <w:szCs w:val="24"/>
    </w:rPr>
  </w:style>
  <w:style w:type="paragraph" w:customStyle="1" w:styleId="Lastsavedby">
    <w:name w:val="Last saved by"/>
    <w:pPr>
      <w:spacing w:after="0" w:line="240" w:lineRule="auto"/>
    </w:pPr>
    <w:rPr>
      <w:rFonts w:ascii="Times New Roman" w:eastAsia="Times New Roman" w:hAnsi="Times New Roman" w:cs="Times New Roman"/>
      <w:sz w:val="24"/>
      <w:szCs w:val="24"/>
    </w:rPr>
  </w:style>
  <w:style w:type="paragraph" w:customStyle="1" w:styleId="Filename">
    <w:name w:val="Filename"/>
    <w:pPr>
      <w:spacing w:after="0" w:line="240" w:lineRule="auto"/>
    </w:pPr>
    <w:rPr>
      <w:rFonts w:ascii="Times New Roman" w:eastAsia="Times New Roman" w:hAnsi="Times New Roman" w:cs="Times New Roman"/>
      <w:sz w:val="24"/>
      <w:szCs w:val="24"/>
    </w:rPr>
  </w:style>
  <w:style w:type="paragraph" w:customStyle="1" w:styleId="Filenameandpath">
    <w:name w:val="Filename and path"/>
    <w:pPr>
      <w:spacing w:after="0" w:line="240" w:lineRule="auto"/>
    </w:pPr>
    <w:rPr>
      <w:rFonts w:ascii="Times New Roman" w:eastAsia="Times New Roman" w:hAnsi="Times New Roman" w:cs="Times New Roman"/>
      <w:sz w:val="24"/>
      <w:szCs w:val="24"/>
    </w:rPr>
  </w:style>
  <w:style w:type="paragraph" w:customStyle="1" w:styleId="AuthorPageDate">
    <w:name w:val="Author  Page #  Date"/>
    <w:pPr>
      <w:spacing w:after="0" w:line="240" w:lineRule="auto"/>
    </w:pPr>
    <w:rPr>
      <w:rFonts w:ascii="Times New Roman" w:eastAsia="Times New Roman" w:hAnsi="Times New Roman" w:cs="Times New Roman"/>
      <w:sz w:val="24"/>
      <w:szCs w:val="24"/>
    </w:rPr>
  </w:style>
  <w:style w:type="paragraph" w:customStyle="1" w:styleId="ConfidentialPageDate">
    <w:name w:val="Confidential  Page #  Date"/>
    <w:pPr>
      <w:spacing w:after="0" w:line="240" w:lineRule="auto"/>
    </w:pPr>
    <w:rPr>
      <w:rFonts w:ascii="Times New Roman" w:eastAsia="Times New Roman" w:hAnsi="Times New Roman" w:cs="Times New Roman"/>
      <w:sz w:val="24"/>
      <w:szCs w:val="24"/>
    </w:rPr>
  </w:style>
  <w:style w:type="character" w:customStyle="1" w:styleId="FontStyle15">
    <w:name w:val="Font Style15"/>
    <w:rPr>
      <w:rFonts w:ascii="Times New Roman" w:hAnsi="Times New Roman" w:cs="Times New Roman"/>
      <w:sz w:val="22"/>
      <w:szCs w:val="22"/>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TitrearticleChar">
    <w:name w:val="Titre article Char"/>
    <w:rPr>
      <w:rFonts w:ascii="Times New Roman" w:hAnsi="Times New Roman" w:cs="Times New Roman"/>
      <w:i/>
      <w:sz w:val="24"/>
      <w:lang w:val="ro-RO"/>
    </w:rPr>
  </w:style>
  <w:style w:type="paragraph" w:customStyle="1" w:styleId="num">
    <w:name w:val="num"/>
    <w:basedOn w:val="Normal"/>
    <w:pPr>
      <w:spacing w:before="0" w:after="240"/>
      <w:ind w:left="850" w:hanging="850"/>
    </w:pPr>
    <w:rPr>
      <w:rFonts w:eastAsia="Times New Roman"/>
      <w:szCs w:val="20"/>
    </w:rPr>
  </w:style>
  <w:style w:type="paragraph" w:customStyle="1" w:styleId="num2">
    <w:name w:val="num2"/>
    <w:basedOn w:val="num"/>
    <w:pPr>
      <w:ind w:left="1700"/>
    </w:pPr>
  </w:style>
  <w:style w:type="paragraph" w:customStyle="1" w:styleId="footnote">
    <w:name w:val="footnote"/>
    <w:basedOn w:val="FootnoteText"/>
    <w:link w:val="footnoteChar"/>
    <w:pPr>
      <w:spacing w:after="240"/>
      <w:ind w:left="0" w:firstLine="0"/>
    </w:pPr>
    <w:rPr>
      <w:rFonts w:eastAsia="Times New Roman"/>
      <w:sz w:val="16"/>
      <w:szCs w:val="16"/>
    </w:rPr>
  </w:style>
  <w:style w:type="paragraph" w:customStyle="1" w:styleId="para">
    <w:name w:val="para"/>
    <w:basedOn w:val="Normal"/>
    <w:pPr>
      <w:spacing w:before="0" w:after="240"/>
      <w:jc w:val="left"/>
    </w:pPr>
    <w:rPr>
      <w:rFonts w:eastAsia="Batang"/>
      <w:szCs w:val="20"/>
    </w:rPr>
  </w:style>
  <w:style w:type="paragraph" w:styleId="ListParagraph">
    <w:name w:val="List Paragraph"/>
    <w:basedOn w:val="Normal"/>
    <w:qFormat/>
    <w:pPr>
      <w:spacing w:before="0" w:after="0"/>
      <w:ind w:left="720"/>
      <w:jc w:val="left"/>
    </w:pPr>
    <w:rPr>
      <w:rFonts w:eastAsia="Times New Roman"/>
      <w:szCs w:val="24"/>
    </w:rPr>
  </w:style>
  <w:style w:type="character" w:customStyle="1" w:styleId="footnoteChar">
    <w:name w:val="footnote Char"/>
    <w:link w:val="footnote"/>
    <w:rPr>
      <w:rFonts w:ascii="Times New Roman" w:eastAsia="Times New Roman" w:hAnsi="Times New Roman" w:cs="Times New Roman"/>
      <w:sz w:val="16"/>
      <w:szCs w:val="16"/>
      <w:lang w:val="ro-RO" w:eastAsia="ro-RO"/>
    </w:rPr>
  </w:style>
  <w:style w:type="paragraph" w:customStyle="1" w:styleId="ListNumberLevel2">
    <w:name w:val="List Number (Level 2)"/>
    <w:basedOn w:val="Normal"/>
    <w:pPr>
      <w:tabs>
        <w:tab w:val="num" w:pos="850"/>
      </w:tabs>
      <w:spacing w:before="0" w:after="240"/>
      <w:ind w:left="850" w:hanging="850"/>
    </w:pPr>
    <w:rPr>
      <w:rFonts w:eastAsia="Times New Roman"/>
      <w:szCs w:val="20"/>
    </w:rPr>
  </w:style>
  <w:style w:type="paragraph" w:customStyle="1" w:styleId="StyleBoldCenteredLinespacingAtleast12pt">
    <w:name w:val="Style Bold Centered Line spacing:  At least 12 pt"/>
    <w:basedOn w:val="Normal"/>
    <w:autoRedefine/>
    <w:pPr>
      <w:keepNext/>
      <w:spacing w:before="0" w:after="0"/>
      <w:jc w:val="center"/>
    </w:pPr>
    <w:rPr>
      <w:rFonts w:eastAsia="Times New Roman"/>
      <w:bCs/>
      <w:szCs w:val="24"/>
    </w:rPr>
  </w:style>
  <w:style w:type="paragraph" w:customStyle="1" w:styleId="StyleItalicCentered">
    <w:name w:val="Style Italic Centered"/>
    <w:basedOn w:val="Normal"/>
    <w:autoRedefine/>
    <w:pPr>
      <w:keepNext/>
      <w:spacing w:before="0" w:after="0"/>
      <w:jc w:val="center"/>
      <w:outlineLvl w:val="0"/>
    </w:pPr>
    <w:rPr>
      <w:rFonts w:eastAsia="Times New Roman"/>
      <w:i/>
      <w:iCs/>
      <w:szCs w:val="20"/>
    </w:rPr>
  </w:style>
  <w:style w:type="paragraph" w:customStyle="1" w:styleId="Style6">
    <w:name w:val="Style6"/>
    <w:basedOn w:val="Normal"/>
    <w:pPr>
      <w:widowControl w:val="0"/>
      <w:autoSpaceDE w:val="0"/>
      <w:autoSpaceDN w:val="0"/>
      <w:adjustRightInd w:val="0"/>
      <w:spacing w:before="0" w:after="0" w:line="275" w:lineRule="exact"/>
      <w:ind w:hanging="197"/>
      <w:jc w:val="left"/>
    </w:pPr>
    <w:rPr>
      <w:rFonts w:eastAsia="Times New Roman"/>
      <w:szCs w:val="24"/>
    </w:rPr>
  </w:style>
  <w:style w:type="character" w:customStyle="1" w:styleId="FontStyle14">
    <w:name w:val="Font Style14"/>
    <w:rPr>
      <w:rFonts w:ascii="Times New Roman" w:hAnsi="Times New Roman" w:cs="Times New Roman"/>
      <w:i/>
      <w:iCs/>
      <w:sz w:val="22"/>
      <w:szCs w:val="22"/>
    </w:rPr>
  </w:style>
  <w:style w:type="paragraph" w:customStyle="1" w:styleId="Style4">
    <w:name w:val="Style4"/>
    <w:basedOn w:val="Normal"/>
    <w:pPr>
      <w:widowControl w:val="0"/>
      <w:autoSpaceDE w:val="0"/>
      <w:autoSpaceDN w:val="0"/>
      <w:adjustRightInd w:val="0"/>
      <w:spacing w:before="0" w:after="0" w:line="298" w:lineRule="exact"/>
    </w:pPr>
    <w:rPr>
      <w:rFonts w:eastAsia="Times New Roman"/>
      <w:szCs w:val="24"/>
    </w:rPr>
  </w:style>
  <w:style w:type="paragraph" w:customStyle="1" w:styleId="Style8">
    <w:name w:val="Style8"/>
    <w:basedOn w:val="Normal"/>
    <w:pPr>
      <w:widowControl w:val="0"/>
      <w:autoSpaceDE w:val="0"/>
      <w:autoSpaceDN w:val="0"/>
      <w:adjustRightInd w:val="0"/>
      <w:spacing w:before="0" w:after="0" w:line="276" w:lineRule="exact"/>
    </w:pPr>
    <w:rPr>
      <w:rFonts w:eastAsia="Times New Roman"/>
      <w:szCs w:val="24"/>
    </w:rPr>
  </w:style>
  <w:style w:type="character" w:customStyle="1" w:styleId="FontStyle16">
    <w:name w:val="Font Style16"/>
    <w:rPr>
      <w:rFonts w:ascii="Times New Roman" w:hAnsi="Times New Roman" w:cs="Times New Roman"/>
      <w:b/>
      <w:bCs/>
      <w:smallCaps/>
      <w:spacing w:val="20"/>
      <w:sz w:val="16"/>
      <w:szCs w:val="16"/>
    </w:rPr>
  </w:style>
  <w:style w:type="character" w:customStyle="1" w:styleId="FontStyle12">
    <w:name w:val="Font Style12"/>
    <w:rPr>
      <w:rFonts w:ascii="Times New Roman" w:hAnsi="Times New Roman" w:cs="Times New Roman"/>
      <w:b/>
      <w:bCs/>
      <w:sz w:val="22"/>
      <w:szCs w:val="22"/>
    </w:rPr>
  </w:style>
  <w:style w:type="paragraph" w:customStyle="1" w:styleId="HeaderFooter">
    <w:name w:val="HeaderFooter"/>
    <w:basedOn w:val="Header"/>
    <w:pPr>
      <w:tabs>
        <w:tab w:val="clear" w:pos="4535"/>
        <w:tab w:val="clear" w:pos="9071"/>
        <w:tab w:val="center" w:pos="4320"/>
        <w:tab w:val="right" w:pos="8640"/>
      </w:tabs>
      <w:spacing w:after="0"/>
      <w:jc w:val="center"/>
    </w:pPr>
    <w:rPr>
      <w:rFonts w:eastAsia="Times New Roman"/>
      <w:b/>
      <w:smallCaps/>
      <w:szCs w:val="24"/>
    </w:rPr>
  </w:style>
  <w:style w:type="paragraph" w:styleId="DocumentMap">
    <w:name w:val="Document Map"/>
    <w:basedOn w:val="Normal"/>
    <w:link w:val="DocumentMapChar"/>
    <w:pPr>
      <w:shd w:val="clear" w:color="auto" w:fill="000080"/>
      <w:spacing w:before="0" w:after="0"/>
      <w:jc w:val="left"/>
    </w:pPr>
    <w:rPr>
      <w:rFonts w:ascii="Tahoma" w:eastAsia="Times New Roman" w:hAnsi="Tahoma" w:cs="Tahoma"/>
      <w:sz w:val="20"/>
      <w:szCs w:val="20"/>
    </w:rPr>
  </w:style>
  <w:style w:type="character" w:customStyle="1" w:styleId="DocumentMapChar">
    <w:name w:val="Document Map Char"/>
    <w:basedOn w:val="DefaultParagraphFont"/>
    <w:link w:val="DocumentMap"/>
    <w:rPr>
      <w:rFonts w:ascii="Tahoma" w:eastAsia="Times New Roman" w:hAnsi="Tahoma" w:cs="Tahoma"/>
      <w:sz w:val="20"/>
      <w:szCs w:val="20"/>
      <w:shd w:val="clear" w:color="auto" w:fill="000080"/>
      <w:lang w:val="ro-RO" w:eastAsia="ro-RO"/>
    </w:rPr>
  </w:style>
  <w:style w:type="paragraph" w:styleId="BlockText">
    <w:name w:val="Block Text"/>
    <w:basedOn w:val="Normal"/>
    <w:pPr>
      <w:tabs>
        <w:tab w:val="left" w:pos="720"/>
      </w:tabs>
      <w:spacing w:before="0" w:after="240"/>
      <w:ind w:left="1440" w:right="1440"/>
    </w:pPr>
    <w:rPr>
      <w:rFonts w:eastAsia="Times New Roman"/>
      <w:sz w:val="22"/>
      <w:szCs w:val="20"/>
    </w:rPr>
  </w:style>
  <w:style w:type="paragraph" w:customStyle="1" w:styleId="BodyText4">
    <w:name w:val="Body Text 4"/>
    <w:basedOn w:val="Normal"/>
    <w:pPr>
      <w:spacing w:before="0" w:after="240"/>
      <w:ind w:left="3240" w:hanging="360"/>
    </w:pPr>
    <w:rPr>
      <w:rFonts w:eastAsia="Times New Roman"/>
      <w:sz w:val="22"/>
      <w:szCs w:val="20"/>
    </w:rPr>
  </w:style>
  <w:style w:type="paragraph" w:styleId="EndnoteText">
    <w:name w:val="endnote text"/>
    <w:basedOn w:val="Normal"/>
    <w:link w:val="EndnoteTextChar"/>
    <w:pPr>
      <w:tabs>
        <w:tab w:val="left" w:pos="720"/>
        <w:tab w:val="num" w:pos="1984"/>
      </w:tabs>
      <w:spacing w:before="0" w:after="0"/>
      <w:jc w:val="left"/>
    </w:pPr>
    <w:rPr>
      <w:rFonts w:eastAsia="Times New Roman"/>
      <w:sz w:val="20"/>
      <w:szCs w:val="20"/>
    </w:rPr>
  </w:style>
  <w:style w:type="character" w:customStyle="1" w:styleId="EndnoteTextChar">
    <w:name w:val="Endnote Text Char"/>
    <w:basedOn w:val="DefaultParagraphFont"/>
    <w:link w:val="EndnoteText"/>
    <w:rPr>
      <w:rFonts w:ascii="Times New Roman" w:eastAsia="Times New Roman" w:hAnsi="Times New Roman" w:cs="Times New Roman"/>
      <w:sz w:val="20"/>
      <w:szCs w:val="20"/>
      <w:lang w:val="ro-RO"/>
    </w:rPr>
  </w:style>
  <w:style w:type="paragraph" w:styleId="PlainText">
    <w:name w:val="Plain Text"/>
    <w:basedOn w:val="Normal"/>
    <w:link w:val="PlainTextChar"/>
    <w:pPr>
      <w:tabs>
        <w:tab w:val="left" w:pos="720"/>
      </w:tabs>
      <w:spacing w:before="0" w:after="0"/>
    </w:pPr>
    <w:rPr>
      <w:rFonts w:ascii="Courier New" w:eastAsia="Times New Roman" w:hAnsi="Courier New"/>
      <w:sz w:val="20"/>
      <w:szCs w:val="20"/>
    </w:rPr>
  </w:style>
  <w:style w:type="character" w:customStyle="1" w:styleId="PlainTextChar">
    <w:name w:val="Plain Text Char"/>
    <w:basedOn w:val="DefaultParagraphFont"/>
    <w:link w:val="PlainText"/>
    <w:rPr>
      <w:rFonts w:ascii="Courier New" w:eastAsia="Times New Roman" w:hAnsi="Courier New" w:cs="Times New Roman"/>
      <w:sz w:val="20"/>
      <w:szCs w:val="20"/>
      <w:lang w:val="ro-RO"/>
    </w:rPr>
  </w:style>
  <w:style w:type="paragraph" w:styleId="Subtitle">
    <w:name w:val="Subtitle"/>
    <w:basedOn w:val="Normal"/>
    <w:link w:val="SubtitleChar"/>
    <w:qFormat/>
    <w:pPr>
      <w:tabs>
        <w:tab w:val="left" w:pos="720"/>
      </w:tabs>
      <w:spacing w:before="0" w:after="0"/>
      <w:jc w:val="center"/>
      <w:outlineLvl w:val="1"/>
    </w:pPr>
    <w:rPr>
      <w:rFonts w:eastAsia="Times New Roman"/>
      <w:sz w:val="22"/>
      <w:szCs w:val="20"/>
    </w:rPr>
  </w:style>
  <w:style w:type="character" w:customStyle="1" w:styleId="SubtitleChar">
    <w:name w:val="Subtitle Char"/>
    <w:basedOn w:val="DefaultParagraphFont"/>
    <w:link w:val="Subtitle"/>
    <w:rPr>
      <w:rFonts w:ascii="Times New Roman" w:eastAsia="Times New Roman" w:hAnsi="Times New Roman" w:cs="Times New Roman"/>
      <w:szCs w:val="20"/>
      <w:lang w:val="ro-RO"/>
    </w:rPr>
  </w:style>
  <w:style w:type="paragraph" w:styleId="Title">
    <w:name w:val="Title"/>
    <w:basedOn w:val="Normal"/>
    <w:link w:val="TitleChar"/>
    <w:qFormat/>
    <w:pPr>
      <w:tabs>
        <w:tab w:val="left" w:pos="720"/>
      </w:tabs>
      <w:spacing w:before="0" w:after="0"/>
      <w:jc w:val="center"/>
    </w:pPr>
    <w:rPr>
      <w:rFonts w:eastAsia="Times New Roman"/>
      <w:b/>
      <w:caps/>
      <w:kern w:val="28"/>
      <w:sz w:val="22"/>
      <w:szCs w:val="20"/>
    </w:rPr>
  </w:style>
  <w:style w:type="character" w:customStyle="1" w:styleId="TitleChar">
    <w:name w:val="Title Char"/>
    <w:basedOn w:val="DefaultParagraphFont"/>
    <w:link w:val="Title"/>
    <w:rPr>
      <w:rFonts w:ascii="Times New Roman" w:eastAsia="Times New Roman" w:hAnsi="Times New Roman" w:cs="Times New Roman"/>
      <w:b/>
      <w:caps/>
      <w:kern w:val="28"/>
      <w:szCs w:val="20"/>
      <w:lang w:val="ro-RO"/>
    </w:rPr>
  </w:style>
  <w:style w:type="paragraph" w:customStyle="1" w:styleId="Title2">
    <w:name w:val="Title 2"/>
    <w:basedOn w:val="Normal"/>
    <w:pPr>
      <w:tabs>
        <w:tab w:val="left" w:pos="720"/>
      </w:tabs>
      <w:spacing w:before="0" w:after="0"/>
      <w:jc w:val="center"/>
    </w:pPr>
    <w:rPr>
      <w:rFonts w:eastAsia="Times New Roman"/>
      <w:sz w:val="22"/>
      <w:szCs w:val="20"/>
      <w:u w:val="single"/>
    </w:rPr>
  </w:style>
  <w:style w:type="paragraph" w:customStyle="1" w:styleId="Title3">
    <w:name w:val="Title 3"/>
    <w:basedOn w:val="Normal"/>
    <w:pPr>
      <w:tabs>
        <w:tab w:val="left" w:pos="720"/>
      </w:tabs>
      <w:spacing w:before="0" w:after="0"/>
      <w:jc w:val="center"/>
    </w:pPr>
    <w:rPr>
      <w:rFonts w:eastAsia="Times New Roman"/>
      <w:i/>
      <w:sz w:val="22"/>
      <w:szCs w:val="20"/>
    </w:rPr>
  </w:style>
  <w:style w:type="paragraph" w:customStyle="1" w:styleId="TitleCountry">
    <w:name w:val="Title Country"/>
    <w:basedOn w:val="Normal"/>
    <w:pPr>
      <w:tabs>
        <w:tab w:val="left" w:pos="720"/>
      </w:tabs>
      <w:spacing w:before="0" w:after="0"/>
      <w:jc w:val="center"/>
    </w:pPr>
    <w:rPr>
      <w:rFonts w:eastAsia="Times New Roman"/>
      <w:caps/>
      <w:sz w:val="22"/>
      <w:szCs w:val="20"/>
    </w:rPr>
  </w:style>
  <w:style w:type="paragraph" w:styleId="EnvelopeAddress">
    <w:name w:val="envelope address"/>
    <w:basedOn w:val="Normal"/>
    <w:pPr>
      <w:framePr w:w="7920" w:h="1980" w:hRule="exact" w:hSpace="180" w:wrap="auto" w:hAnchor="page" w:xAlign="center" w:yAlign="bottom"/>
      <w:tabs>
        <w:tab w:val="left" w:pos="720"/>
      </w:tabs>
      <w:spacing w:before="0" w:after="0"/>
      <w:ind w:left="2880"/>
    </w:pPr>
    <w:rPr>
      <w:rFonts w:ascii="Arial" w:eastAsia="Times New Roman" w:hAnsi="Arial"/>
      <w:szCs w:val="20"/>
    </w:rPr>
  </w:style>
  <w:style w:type="paragraph" w:customStyle="1" w:styleId="Quotation">
    <w:name w:val="Quotation"/>
    <w:basedOn w:val="Normal"/>
    <w:pPr>
      <w:tabs>
        <w:tab w:val="left" w:pos="720"/>
      </w:tabs>
      <w:spacing w:before="0" w:after="240"/>
      <w:ind w:left="720" w:right="720"/>
    </w:pPr>
    <w:rPr>
      <w:rFonts w:eastAsia="Times New Roman"/>
      <w:sz w:val="22"/>
      <w:szCs w:val="20"/>
    </w:rPr>
  </w:style>
  <w:style w:type="paragraph" w:customStyle="1" w:styleId="QuotationDouble">
    <w:name w:val="Quotation Double"/>
    <w:basedOn w:val="Normal"/>
    <w:pPr>
      <w:tabs>
        <w:tab w:val="left" w:pos="720"/>
      </w:tabs>
      <w:spacing w:before="0" w:after="240"/>
      <w:ind w:left="1440" w:right="1440"/>
    </w:pPr>
    <w:rPr>
      <w:rFonts w:eastAsia="Times New Roman"/>
      <w:sz w:val="22"/>
      <w:szCs w:val="20"/>
    </w:rPr>
  </w:style>
  <w:style w:type="paragraph" w:customStyle="1" w:styleId="FootnoteQuotation">
    <w:name w:val="Footnote Quotation"/>
    <w:basedOn w:val="Normal"/>
    <w:pPr>
      <w:tabs>
        <w:tab w:val="left" w:pos="720"/>
      </w:tabs>
      <w:spacing w:before="0" w:after="0"/>
      <w:ind w:left="720" w:right="720"/>
    </w:pPr>
    <w:rPr>
      <w:rFonts w:eastAsia="Times New Roman"/>
      <w:sz w:val="20"/>
      <w:szCs w:val="20"/>
    </w:rPr>
  </w:style>
  <w:style w:type="paragraph" w:customStyle="1" w:styleId="QuestionText">
    <w:name w:val="Question Text"/>
    <w:basedOn w:val="Normal"/>
    <w:next w:val="BodyText"/>
    <w:pPr>
      <w:tabs>
        <w:tab w:val="left" w:pos="720"/>
      </w:tabs>
      <w:spacing w:before="0" w:after="240"/>
    </w:pPr>
    <w:rPr>
      <w:rFonts w:eastAsia="Times New Roman"/>
      <w:b/>
      <w:sz w:val="22"/>
      <w:szCs w:val="20"/>
    </w:rPr>
  </w:style>
  <w:style w:type="paragraph" w:styleId="BodyTextIndent">
    <w:name w:val="Body Text Indent"/>
    <w:basedOn w:val="Normal"/>
    <w:link w:val="BodyTextIndentChar"/>
    <w:pPr>
      <w:tabs>
        <w:tab w:val="num" w:pos="1440"/>
      </w:tabs>
      <w:spacing w:before="0" w:after="240"/>
      <w:ind w:left="1440" w:hanging="720"/>
    </w:pPr>
    <w:rPr>
      <w:rFonts w:eastAsia="Times New Roman"/>
      <w:sz w:val="22"/>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szCs w:val="20"/>
      <w:lang w:val="ro-RO"/>
    </w:rPr>
  </w:style>
  <w:style w:type="paragraph" w:styleId="BodyTextIndent2">
    <w:name w:val="Body Text Indent 2"/>
    <w:basedOn w:val="Normal"/>
    <w:link w:val="BodyTextIndent2Char"/>
    <w:pPr>
      <w:spacing w:before="0" w:line="480" w:lineRule="auto"/>
      <w:ind w:left="283"/>
    </w:pPr>
    <w:rPr>
      <w:rFonts w:eastAsia="Times New Roman"/>
      <w:szCs w:val="20"/>
    </w:rPr>
  </w:style>
  <w:style w:type="character" w:customStyle="1" w:styleId="BodyTextIndent2Char">
    <w:name w:val="Body Text Indent 2 Char"/>
    <w:basedOn w:val="DefaultParagraphFont"/>
    <w:link w:val="BodyTextIndent2"/>
    <w:rPr>
      <w:rFonts w:ascii="Times New Roman" w:eastAsia="Times New Roman" w:hAnsi="Times New Roman" w:cs="Times New Roman"/>
      <w:sz w:val="24"/>
      <w:szCs w:val="20"/>
      <w:lang w:val="ro-RO"/>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eastAsia="Times New Roman" w:hAnsi="Courier New" w:cs="Courier New"/>
      <w:color w:val="000000"/>
      <w:sz w:val="21"/>
      <w:szCs w:val="21"/>
    </w:rPr>
  </w:style>
  <w:style w:type="character" w:customStyle="1" w:styleId="HTMLPreformattedChar">
    <w:name w:val="HTML Preformatted Char"/>
    <w:basedOn w:val="DefaultParagraphFont"/>
    <w:link w:val="HTMLPreformatted"/>
    <w:rPr>
      <w:rFonts w:ascii="Courier New" w:eastAsia="Times New Roman" w:hAnsi="Courier New" w:cs="Courier New"/>
      <w:color w:val="000000"/>
      <w:sz w:val="21"/>
      <w:szCs w:val="21"/>
      <w:lang w:val="ro-RO" w:eastAsia="ro-RO"/>
    </w:rPr>
  </w:style>
  <w:style w:type="paragraph" w:styleId="BodyTextFirstIndent">
    <w:name w:val="Body Text First Indent"/>
    <w:basedOn w:val="BodyText"/>
    <w:link w:val="BodyTextFirstIndentChar"/>
    <w:pPr>
      <w:tabs>
        <w:tab w:val="num" w:pos="360"/>
      </w:tabs>
      <w:spacing w:after="120"/>
      <w:ind w:firstLine="210"/>
    </w:pPr>
    <w:rPr>
      <w:rFonts w:ascii="Calibri" w:eastAsia="Calibri" w:hAnsi="Calibri"/>
      <w:sz w:val="22"/>
      <w:szCs w:val="22"/>
    </w:rPr>
  </w:style>
  <w:style w:type="character" w:customStyle="1" w:styleId="BodyTextFirstIndentChar">
    <w:name w:val="Body Text First Indent Char"/>
    <w:basedOn w:val="BodyTextChar"/>
    <w:link w:val="BodyTextFirstIndent"/>
    <w:rPr>
      <w:rFonts w:ascii="Calibri" w:eastAsia="Calibri" w:hAnsi="Calibri" w:cs="Times New Roman"/>
      <w:sz w:val="24"/>
      <w:lang w:val="ro-RO"/>
    </w:rPr>
  </w:style>
  <w:style w:type="character" w:customStyle="1" w:styleId="BodyTextChar2">
    <w:name w:val="Body Text Char2"/>
    <w:aliases w:val="Body Char1"/>
    <w:link w:val="BodyText"/>
    <w:rPr>
      <w:rFonts w:ascii="Times New Roman" w:eastAsia="Times New Roman" w:hAnsi="Times New Roman" w:cs="Times New Roman"/>
      <w:sz w:val="24"/>
      <w:szCs w:val="24"/>
      <w:lang w:val="ro-RO" w:eastAsia="ro-RO"/>
    </w:rPr>
  </w:style>
  <w:style w:type="paragraph" w:styleId="BodyTextFirstIndent2">
    <w:name w:val="Body Text First Indent 2"/>
    <w:basedOn w:val="BodyTextIndent"/>
    <w:link w:val="BodyTextFirstIndent2Char"/>
    <w:pPr>
      <w:tabs>
        <w:tab w:val="clear" w:pos="1440"/>
        <w:tab w:val="left" w:pos="720"/>
      </w:tabs>
      <w:spacing w:after="120"/>
      <w:ind w:left="283" w:firstLine="210"/>
    </w:pPr>
  </w:style>
  <w:style w:type="character" w:customStyle="1" w:styleId="BodyTextFirstIndent2Char">
    <w:name w:val="Body Text First Indent 2 Char"/>
    <w:basedOn w:val="BodyTextIndentChar"/>
    <w:link w:val="BodyTextFirstIndent2"/>
    <w:rPr>
      <w:rFonts w:ascii="Times New Roman" w:eastAsia="Times New Roman" w:hAnsi="Times New Roman" w:cs="Times New Roman"/>
      <w:szCs w:val="20"/>
      <w:lang w:val="ro-RO"/>
    </w:rPr>
  </w:style>
  <w:style w:type="paragraph" w:styleId="BodyTextIndent3">
    <w:name w:val="Body Text Indent 3"/>
    <w:basedOn w:val="Normal"/>
    <w:link w:val="BodyTextIndent3Char"/>
    <w:pPr>
      <w:tabs>
        <w:tab w:val="left" w:pos="720"/>
      </w:tabs>
      <w:spacing w:before="0"/>
      <w:ind w:left="283"/>
    </w:pPr>
    <w:rPr>
      <w:rFonts w:eastAsia="Times New Roman"/>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paragraph" w:styleId="Closing">
    <w:name w:val="Closing"/>
    <w:basedOn w:val="Normal"/>
    <w:link w:val="ClosingChar"/>
    <w:pPr>
      <w:tabs>
        <w:tab w:val="left" w:pos="720"/>
      </w:tabs>
      <w:spacing w:before="0" w:after="0"/>
      <w:ind w:left="4252"/>
    </w:pPr>
    <w:rPr>
      <w:rFonts w:eastAsia="Times New Roman"/>
      <w:sz w:val="22"/>
      <w:szCs w:val="20"/>
    </w:rPr>
  </w:style>
  <w:style w:type="character" w:customStyle="1" w:styleId="ClosingChar">
    <w:name w:val="Closing Char"/>
    <w:basedOn w:val="DefaultParagraphFont"/>
    <w:link w:val="Closing"/>
    <w:rPr>
      <w:rFonts w:ascii="Times New Roman" w:eastAsia="Times New Roman" w:hAnsi="Times New Roman" w:cs="Times New Roman"/>
      <w:szCs w:val="20"/>
      <w:lang w:val="ro-RO"/>
    </w:rPr>
  </w:style>
  <w:style w:type="paragraph" w:styleId="Date">
    <w:name w:val="Date"/>
    <w:basedOn w:val="Normal"/>
    <w:next w:val="Normal"/>
    <w:link w:val="DateChar"/>
    <w:pPr>
      <w:tabs>
        <w:tab w:val="left" w:pos="720"/>
      </w:tabs>
      <w:spacing w:before="0" w:after="0"/>
    </w:pPr>
    <w:rPr>
      <w:rFonts w:eastAsia="Times New Roman"/>
      <w:sz w:val="22"/>
      <w:szCs w:val="20"/>
    </w:rPr>
  </w:style>
  <w:style w:type="character" w:customStyle="1" w:styleId="DateChar">
    <w:name w:val="Date Char"/>
    <w:basedOn w:val="DefaultParagraphFont"/>
    <w:link w:val="Date"/>
    <w:rPr>
      <w:rFonts w:ascii="Times New Roman" w:eastAsia="Times New Roman" w:hAnsi="Times New Roman" w:cs="Times New Roman"/>
      <w:szCs w:val="20"/>
      <w:lang w:val="ro-RO"/>
    </w:rPr>
  </w:style>
  <w:style w:type="paragraph" w:styleId="E-mailSignature">
    <w:name w:val="E-mail Signature"/>
    <w:basedOn w:val="Normal"/>
    <w:link w:val="E-mailSignatureChar"/>
    <w:pPr>
      <w:tabs>
        <w:tab w:val="left" w:pos="720"/>
      </w:tabs>
      <w:spacing w:before="0" w:after="0"/>
    </w:pPr>
    <w:rPr>
      <w:rFonts w:eastAsia="Times New Roman"/>
      <w:sz w:val="22"/>
      <w:szCs w:val="20"/>
    </w:rPr>
  </w:style>
  <w:style w:type="character" w:customStyle="1" w:styleId="E-mailSignatureChar">
    <w:name w:val="E-mail Signature Char"/>
    <w:basedOn w:val="DefaultParagraphFont"/>
    <w:link w:val="E-mailSignature"/>
    <w:rPr>
      <w:rFonts w:ascii="Times New Roman" w:eastAsia="Times New Roman" w:hAnsi="Times New Roman" w:cs="Times New Roman"/>
      <w:szCs w:val="20"/>
      <w:lang w:val="ro-RO"/>
    </w:rPr>
  </w:style>
  <w:style w:type="paragraph" w:styleId="EnvelopeReturn">
    <w:name w:val="envelope return"/>
    <w:basedOn w:val="Normal"/>
    <w:pPr>
      <w:tabs>
        <w:tab w:val="left" w:pos="720"/>
      </w:tabs>
      <w:spacing w:before="0" w:after="0"/>
    </w:pPr>
    <w:rPr>
      <w:rFonts w:ascii="Arial" w:eastAsia="Times New Roman" w:hAnsi="Arial" w:cs="Arial"/>
      <w:sz w:val="20"/>
      <w:szCs w:val="20"/>
    </w:rPr>
  </w:style>
  <w:style w:type="character" w:styleId="FollowedHyperlink">
    <w:name w:val="FollowedHyperlink"/>
    <w:rPr>
      <w:color w:val="800080"/>
      <w:u w:val="single"/>
    </w:rPr>
  </w:style>
  <w:style w:type="character" w:styleId="HTMLAcronym">
    <w:name w:val="HTML Acronym"/>
  </w:style>
  <w:style w:type="paragraph" w:styleId="HTMLAddress">
    <w:name w:val="HTML Address"/>
    <w:basedOn w:val="Normal"/>
    <w:link w:val="HTMLAddressChar"/>
    <w:pPr>
      <w:tabs>
        <w:tab w:val="left" w:pos="720"/>
      </w:tabs>
      <w:spacing w:before="0" w:after="0"/>
    </w:pPr>
    <w:rPr>
      <w:rFonts w:eastAsia="Times New Roman"/>
      <w:i/>
      <w:iCs/>
      <w:sz w:val="22"/>
      <w:szCs w:val="20"/>
    </w:rPr>
  </w:style>
  <w:style w:type="character" w:customStyle="1" w:styleId="HTMLAddressChar">
    <w:name w:val="HTML Address Char"/>
    <w:basedOn w:val="DefaultParagraphFont"/>
    <w:link w:val="HTMLAddress"/>
    <w:rPr>
      <w:rFonts w:ascii="Times New Roman" w:eastAsia="Times New Roman" w:hAnsi="Times New Roman" w:cs="Times New Roman"/>
      <w:i/>
      <w:iCs/>
      <w:szCs w:val="20"/>
      <w:lang w:val="ro-RO"/>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LineNumber">
    <w:name w:val="line number"/>
  </w:style>
  <w:style w:type="paragraph" w:styleId="List">
    <w:name w:val="List"/>
    <w:basedOn w:val="Normal"/>
    <w:pPr>
      <w:tabs>
        <w:tab w:val="left" w:pos="720"/>
      </w:tabs>
      <w:spacing w:before="0" w:after="0"/>
      <w:ind w:left="283" w:hanging="283"/>
    </w:pPr>
    <w:rPr>
      <w:rFonts w:eastAsia="Times New Roman"/>
      <w:sz w:val="22"/>
      <w:szCs w:val="20"/>
    </w:rPr>
  </w:style>
  <w:style w:type="paragraph" w:styleId="List2">
    <w:name w:val="List 2"/>
    <w:basedOn w:val="Normal"/>
    <w:pPr>
      <w:tabs>
        <w:tab w:val="left" w:pos="720"/>
      </w:tabs>
      <w:spacing w:before="0" w:after="0"/>
      <w:ind w:left="566" w:hanging="283"/>
    </w:pPr>
    <w:rPr>
      <w:rFonts w:eastAsia="Times New Roman"/>
      <w:sz w:val="22"/>
      <w:szCs w:val="20"/>
    </w:rPr>
  </w:style>
  <w:style w:type="paragraph" w:styleId="List3">
    <w:name w:val="List 3"/>
    <w:basedOn w:val="Normal"/>
    <w:pPr>
      <w:tabs>
        <w:tab w:val="left" w:pos="720"/>
      </w:tabs>
      <w:spacing w:before="0" w:after="0"/>
      <w:ind w:left="849" w:hanging="283"/>
    </w:pPr>
    <w:rPr>
      <w:rFonts w:eastAsia="Times New Roman"/>
      <w:sz w:val="22"/>
      <w:szCs w:val="20"/>
    </w:rPr>
  </w:style>
  <w:style w:type="paragraph" w:styleId="List4">
    <w:name w:val="List 4"/>
    <w:basedOn w:val="Normal"/>
    <w:pPr>
      <w:tabs>
        <w:tab w:val="left" w:pos="720"/>
      </w:tabs>
      <w:spacing w:before="0" w:after="0"/>
      <w:ind w:left="1132" w:hanging="283"/>
    </w:pPr>
    <w:rPr>
      <w:rFonts w:eastAsia="Times New Roman"/>
      <w:sz w:val="22"/>
      <w:szCs w:val="20"/>
    </w:rPr>
  </w:style>
  <w:style w:type="paragraph" w:styleId="List5">
    <w:name w:val="List 5"/>
    <w:basedOn w:val="Normal"/>
    <w:pPr>
      <w:tabs>
        <w:tab w:val="left" w:pos="720"/>
      </w:tabs>
      <w:spacing w:before="0" w:after="0"/>
      <w:ind w:left="1415" w:hanging="283"/>
    </w:pPr>
    <w:rPr>
      <w:rFonts w:eastAsia="Times New Roman"/>
      <w:sz w:val="22"/>
      <w:szCs w:val="20"/>
    </w:rPr>
  </w:style>
  <w:style w:type="paragraph" w:styleId="ListBullet5">
    <w:name w:val="List Bullet 5"/>
    <w:basedOn w:val="Normal"/>
    <w:autoRedefine/>
    <w:pPr>
      <w:tabs>
        <w:tab w:val="left" w:pos="720"/>
        <w:tab w:val="num" w:pos="1492"/>
      </w:tabs>
      <w:spacing w:before="0" w:after="0"/>
      <w:ind w:left="1492" w:hanging="360"/>
    </w:pPr>
    <w:rPr>
      <w:rFonts w:eastAsia="Times New Roman"/>
      <w:sz w:val="22"/>
      <w:szCs w:val="20"/>
    </w:rPr>
  </w:style>
  <w:style w:type="paragraph" w:styleId="ListContinue">
    <w:name w:val="List Continue"/>
    <w:basedOn w:val="Normal"/>
    <w:pPr>
      <w:tabs>
        <w:tab w:val="left" w:pos="720"/>
      </w:tabs>
      <w:spacing w:before="0"/>
      <w:ind w:left="283"/>
    </w:pPr>
    <w:rPr>
      <w:rFonts w:eastAsia="Times New Roman"/>
      <w:sz w:val="22"/>
      <w:szCs w:val="20"/>
    </w:rPr>
  </w:style>
  <w:style w:type="paragraph" w:styleId="ListContinue2">
    <w:name w:val="List Continue 2"/>
    <w:basedOn w:val="Normal"/>
    <w:pPr>
      <w:tabs>
        <w:tab w:val="left" w:pos="720"/>
      </w:tabs>
      <w:spacing w:before="0"/>
      <w:ind w:left="566"/>
    </w:pPr>
    <w:rPr>
      <w:rFonts w:eastAsia="Times New Roman"/>
      <w:sz w:val="22"/>
      <w:szCs w:val="20"/>
    </w:rPr>
  </w:style>
  <w:style w:type="paragraph" w:styleId="ListContinue3">
    <w:name w:val="List Continue 3"/>
    <w:basedOn w:val="Normal"/>
    <w:pPr>
      <w:tabs>
        <w:tab w:val="left" w:pos="720"/>
      </w:tabs>
      <w:spacing w:before="0"/>
      <w:ind w:left="849"/>
    </w:pPr>
    <w:rPr>
      <w:rFonts w:eastAsia="Times New Roman"/>
      <w:sz w:val="22"/>
      <w:szCs w:val="20"/>
    </w:rPr>
  </w:style>
  <w:style w:type="paragraph" w:styleId="ListContinue4">
    <w:name w:val="List Continue 4"/>
    <w:basedOn w:val="Normal"/>
    <w:pPr>
      <w:tabs>
        <w:tab w:val="left" w:pos="720"/>
      </w:tabs>
      <w:spacing w:before="0"/>
      <w:ind w:left="1132"/>
    </w:pPr>
    <w:rPr>
      <w:rFonts w:eastAsia="Times New Roman"/>
      <w:sz w:val="22"/>
      <w:szCs w:val="20"/>
    </w:rPr>
  </w:style>
  <w:style w:type="paragraph" w:styleId="ListContinue5">
    <w:name w:val="List Continue 5"/>
    <w:basedOn w:val="Normal"/>
    <w:pPr>
      <w:tabs>
        <w:tab w:val="left" w:pos="720"/>
      </w:tabs>
      <w:spacing w:before="0"/>
      <w:ind w:left="1415"/>
    </w:pPr>
    <w:rPr>
      <w:rFonts w:eastAsia="Times New Roman"/>
      <w:sz w:val="22"/>
      <w:szCs w:val="20"/>
    </w:rPr>
  </w:style>
  <w:style w:type="paragraph" w:styleId="ListNumber5">
    <w:name w:val="List Number 5"/>
    <w:basedOn w:val="Normal"/>
    <w:pPr>
      <w:tabs>
        <w:tab w:val="left" w:pos="720"/>
        <w:tab w:val="num" w:pos="1492"/>
      </w:tabs>
      <w:spacing w:before="0" w:after="0"/>
      <w:ind w:left="1492" w:hanging="360"/>
    </w:pPr>
    <w:rPr>
      <w:rFonts w:eastAsia="Times New Roman"/>
      <w:sz w:val="22"/>
      <w:szCs w:val="20"/>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urier New" w:eastAsia="Times New Roman" w:hAnsi="Courier New" w:cs="Courier New"/>
      <w:sz w:val="20"/>
      <w:szCs w:val="20"/>
    </w:rPr>
  </w:style>
  <w:style w:type="character" w:customStyle="1" w:styleId="MacroTextChar">
    <w:name w:val="Macro Text Char"/>
    <w:basedOn w:val="DefaultParagraphFont"/>
    <w:link w:val="MacroText"/>
    <w:rPr>
      <w:rFonts w:ascii="Courier New" w:eastAsia="Times New Roman" w:hAnsi="Courier New" w:cs="Courier New"/>
      <w:sz w:val="20"/>
      <w:szCs w:val="20"/>
      <w:lang w:val="ro-RO"/>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tabs>
        <w:tab w:val="left" w:pos="720"/>
      </w:tabs>
      <w:spacing w:before="0" w:after="0"/>
      <w:ind w:left="1134" w:hanging="1134"/>
    </w:pPr>
    <w:rPr>
      <w:rFonts w:ascii="Arial" w:eastAsia="Times New Roman" w:hAnsi="Arial" w:cs="Arial"/>
      <w:szCs w:val="24"/>
    </w:rPr>
  </w:style>
  <w:style w:type="character" w:customStyle="1" w:styleId="MessageHeaderChar">
    <w:name w:val="Message Header Char"/>
    <w:basedOn w:val="DefaultParagraphFont"/>
    <w:link w:val="MessageHeader"/>
    <w:rPr>
      <w:rFonts w:ascii="Arial" w:eastAsia="Times New Roman" w:hAnsi="Arial" w:cs="Arial"/>
      <w:sz w:val="24"/>
      <w:szCs w:val="24"/>
      <w:shd w:val="pct20" w:color="auto" w:fill="auto"/>
      <w:lang w:val="ro-RO"/>
    </w:rPr>
  </w:style>
  <w:style w:type="paragraph" w:styleId="Salutation">
    <w:name w:val="Salutation"/>
    <w:basedOn w:val="Normal"/>
    <w:next w:val="Normal"/>
    <w:link w:val="SalutationChar"/>
    <w:pPr>
      <w:tabs>
        <w:tab w:val="left" w:pos="720"/>
      </w:tabs>
      <w:spacing w:before="0" w:after="0"/>
    </w:pPr>
    <w:rPr>
      <w:rFonts w:eastAsia="Times New Roman"/>
      <w:sz w:val="22"/>
      <w:szCs w:val="20"/>
    </w:rPr>
  </w:style>
  <w:style w:type="character" w:customStyle="1" w:styleId="SalutationChar">
    <w:name w:val="Salutation Char"/>
    <w:basedOn w:val="DefaultParagraphFont"/>
    <w:link w:val="Salutation"/>
    <w:rPr>
      <w:rFonts w:ascii="Times New Roman" w:eastAsia="Times New Roman" w:hAnsi="Times New Roman" w:cs="Times New Roman"/>
      <w:szCs w:val="20"/>
      <w:lang w:val="ro-RO"/>
    </w:rPr>
  </w:style>
  <w:style w:type="paragraph" w:styleId="Signature">
    <w:name w:val="Signature"/>
    <w:basedOn w:val="Normal"/>
    <w:link w:val="SignatureChar"/>
    <w:pPr>
      <w:tabs>
        <w:tab w:val="left" w:pos="720"/>
      </w:tabs>
      <w:spacing w:before="0" w:after="0"/>
      <w:ind w:left="4252"/>
    </w:pPr>
    <w:rPr>
      <w:rFonts w:eastAsia="Times New Roman"/>
      <w:sz w:val="22"/>
      <w:szCs w:val="20"/>
    </w:rPr>
  </w:style>
  <w:style w:type="character" w:customStyle="1" w:styleId="SignatureChar">
    <w:name w:val="Signature Char"/>
    <w:basedOn w:val="DefaultParagraphFont"/>
    <w:link w:val="Signature"/>
    <w:rPr>
      <w:rFonts w:ascii="Times New Roman" w:eastAsia="Times New Roman" w:hAnsi="Times New Roman" w:cs="Times New Roman"/>
      <w:szCs w:val="20"/>
      <w:lang w:val="ro-RO"/>
    </w:rPr>
  </w:style>
  <w:style w:type="character" w:customStyle="1" w:styleId="Char">
    <w:name w:val="Char"/>
    <w:rPr>
      <w:b/>
      <w:noProof w:val="0"/>
      <w:sz w:val="22"/>
      <w:lang w:val="ro-RO" w:eastAsia="ro-RO" w:bidi="ro-RO"/>
    </w:rPr>
  </w:style>
  <w:style w:type="paragraph" w:customStyle="1" w:styleId="ParagrNum-WTO">
    <w:name w:val="Paragr. Num. - WTO"/>
    <w:basedOn w:val="Normal"/>
    <w:pPr>
      <w:tabs>
        <w:tab w:val="left" w:pos="720"/>
      </w:tabs>
      <w:spacing w:before="0" w:after="240"/>
    </w:pPr>
    <w:rPr>
      <w:rFonts w:eastAsia="Times New Roman"/>
      <w:sz w:val="22"/>
      <w:szCs w:val="20"/>
    </w:rPr>
  </w:style>
  <w:style w:type="paragraph" w:customStyle="1" w:styleId="CM49">
    <w:name w:val="CM4+9"/>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CM43">
    <w:name w:val="CM4+3"/>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CM415">
    <w:name w:val="CM4+15"/>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CM416">
    <w:name w:val="CM4+16"/>
    <w:basedOn w:val="Normal"/>
    <w:next w:val="Normal"/>
    <w:pPr>
      <w:autoSpaceDE w:val="0"/>
      <w:autoSpaceDN w:val="0"/>
      <w:adjustRightInd w:val="0"/>
      <w:spacing w:before="60" w:after="60"/>
      <w:jc w:val="left"/>
    </w:pPr>
    <w:rPr>
      <w:rFonts w:ascii="EUAlbertina" w:eastAsia="Times New Roman" w:hAnsi="EUAlbertina"/>
      <w:szCs w:val="24"/>
    </w:rPr>
  </w:style>
  <w:style w:type="paragraph" w:customStyle="1" w:styleId="CM414">
    <w:name w:val="CM4+14"/>
    <w:basedOn w:val="Normal"/>
    <w:next w:val="Normal"/>
    <w:pPr>
      <w:autoSpaceDE w:val="0"/>
      <w:autoSpaceDN w:val="0"/>
      <w:adjustRightInd w:val="0"/>
      <w:spacing w:before="60" w:after="60"/>
      <w:jc w:val="left"/>
    </w:pPr>
    <w:rPr>
      <w:rFonts w:ascii="EUAlbertina" w:eastAsia="Times New Roman" w:hAnsi="EUAlbertina"/>
      <w:szCs w:val="24"/>
    </w:rPr>
  </w:style>
  <w:style w:type="table" w:styleId="TableGrid">
    <w:name w:val="Table Grid"/>
    <w:basedOn w:val="TableNormal"/>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inta">
    <w:name w:val="Point (a)"/>
    <w:basedOn w:val="Normal"/>
    <w:autoRedefine/>
    <w:pPr>
      <w:pageBreakBefore/>
      <w:autoSpaceDE w:val="0"/>
      <w:autoSpaceDN w:val="0"/>
      <w:adjustRightInd w:val="0"/>
      <w:ind w:left="1418" w:hanging="567"/>
      <w:jc w:val="left"/>
      <w:outlineLvl w:val="0"/>
    </w:pPr>
    <w:rPr>
      <w:rFonts w:eastAsia="Times New Roman"/>
      <w:bCs/>
      <w:szCs w:val="20"/>
    </w:rPr>
  </w:style>
  <w:style w:type="paragraph" w:customStyle="1" w:styleId="Pointb">
    <w:name w:val="Point (b)"/>
    <w:basedOn w:val="Pointa"/>
    <w:autoRedefine/>
    <w:pPr>
      <w:ind w:left="1815"/>
    </w:pPr>
    <w:rPr>
      <w:szCs w:val="18"/>
    </w:rPr>
  </w:style>
  <w:style w:type="paragraph" w:customStyle="1" w:styleId="ChapterII">
    <w:name w:val="Chapter II"/>
    <w:basedOn w:val="ChapterI"/>
    <w:autoRedefine/>
  </w:style>
  <w:style w:type="paragraph" w:customStyle="1" w:styleId="Titlesection">
    <w:name w:val="Title section"/>
    <w:basedOn w:val="Normal"/>
    <w:autoRedefine/>
    <w:pPr>
      <w:autoSpaceDE w:val="0"/>
      <w:autoSpaceDN w:val="0"/>
      <w:adjustRightInd w:val="0"/>
      <w:spacing w:after="360"/>
      <w:jc w:val="center"/>
      <w:outlineLvl w:val="0"/>
    </w:pPr>
    <w:rPr>
      <w:rFonts w:eastAsia="Times New Roman"/>
      <w:b/>
      <w:szCs w:val="20"/>
    </w:rPr>
  </w:style>
  <w:style w:type="paragraph" w:customStyle="1" w:styleId="Pointe">
    <w:name w:val="Point (e)"/>
    <w:basedOn w:val="Normal"/>
    <w:autoRedefine/>
    <w:pPr>
      <w:pageBreakBefore/>
      <w:autoSpaceDE w:val="0"/>
      <w:autoSpaceDN w:val="0"/>
      <w:adjustRightInd w:val="0"/>
      <w:ind w:left="1418" w:hanging="567"/>
      <w:outlineLvl w:val="0"/>
    </w:pPr>
    <w:rPr>
      <w:rFonts w:eastAsia="Times New Roman"/>
      <w:bCs/>
      <w:szCs w:val="18"/>
    </w:rPr>
  </w:style>
  <w:style w:type="paragraph" w:customStyle="1" w:styleId="Point7">
    <w:name w:val="Point 7"/>
    <w:basedOn w:val="Normal"/>
    <w:autoRedefine/>
    <w:pPr>
      <w:autoSpaceDE w:val="0"/>
      <w:autoSpaceDN w:val="0"/>
      <w:adjustRightInd w:val="0"/>
      <w:outlineLvl w:val="0"/>
    </w:pPr>
    <w:rPr>
      <w:rFonts w:eastAsia="Times New Roman"/>
      <w:bCs/>
      <w:szCs w:val="20"/>
    </w:rPr>
  </w:style>
  <w:style w:type="paragraph" w:customStyle="1" w:styleId="SectionIII">
    <w:name w:val="Section III"/>
    <w:basedOn w:val="Normal"/>
    <w:next w:val="Normal"/>
    <w:autoRedefine/>
    <w:pPr>
      <w:keepNext/>
      <w:autoSpaceDE w:val="0"/>
      <w:autoSpaceDN w:val="0"/>
      <w:adjustRightInd w:val="0"/>
      <w:spacing w:after="360"/>
      <w:ind w:left="1400" w:hanging="1440"/>
      <w:jc w:val="center"/>
      <w:outlineLvl w:val="0"/>
    </w:pPr>
    <w:rPr>
      <w:rFonts w:eastAsia="Times New Roman"/>
      <w:smallCaps/>
      <w:szCs w:val="20"/>
    </w:rPr>
  </w:style>
  <w:style w:type="paragraph" w:customStyle="1" w:styleId="Pointi">
    <w:name w:val="Point (i)"/>
    <w:basedOn w:val="Normal"/>
    <w:autoRedefine/>
    <w:pPr>
      <w:tabs>
        <w:tab w:val="left" w:pos="2800"/>
      </w:tabs>
      <w:autoSpaceDE w:val="0"/>
      <w:autoSpaceDN w:val="0"/>
      <w:adjustRightInd w:val="0"/>
      <w:ind w:left="1985" w:hanging="567"/>
      <w:outlineLvl w:val="0"/>
    </w:pPr>
    <w:rPr>
      <w:rFonts w:eastAsia="Times New Roman"/>
      <w:bCs/>
      <w:szCs w:val="20"/>
    </w:rPr>
  </w:style>
  <w:style w:type="paragraph" w:customStyle="1" w:styleId="AnnexVIII">
    <w:name w:val="Annex VIII"/>
    <w:basedOn w:val="Normal"/>
    <w:autoRedefine/>
    <w:pPr>
      <w:autoSpaceDE w:val="0"/>
      <w:autoSpaceDN w:val="0"/>
      <w:adjustRightInd w:val="0"/>
      <w:spacing w:after="40"/>
      <w:ind w:left="1400" w:hanging="1440"/>
      <w:jc w:val="center"/>
      <w:outlineLvl w:val="0"/>
    </w:pPr>
    <w:rPr>
      <w:rFonts w:eastAsia="Times New Roman"/>
      <w:szCs w:val="20"/>
    </w:rPr>
  </w:style>
  <w:style w:type="paragraph" w:customStyle="1" w:styleId="ChapterI">
    <w:name w:val="Chapter I"/>
    <w:basedOn w:val="Normal"/>
    <w:autoRedefine/>
    <w:pPr>
      <w:keepNext/>
      <w:tabs>
        <w:tab w:val="left" w:pos="-120"/>
      </w:tabs>
      <w:autoSpaceDE w:val="0"/>
      <w:autoSpaceDN w:val="0"/>
      <w:adjustRightInd w:val="0"/>
      <w:spacing w:after="360"/>
      <w:jc w:val="center"/>
      <w:outlineLvl w:val="0"/>
    </w:pPr>
    <w:rPr>
      <w:rFonts w:eastAsia="Times New Roman"/>
      <w:sz w:val="20"/>
      <w:szCs w:val="20"/>
    </w:rPr>
  </w:style>
  <w:style w:type="paragraph" w:customStyle="1" w:styleId="AnnexX">
    <w:name w:val="Annex X"/>
    <w:basedOn w:val="Normal"/>
    <w:autoRedefine/>
    <w:pPr>
      <w:autoSpaceDE w:val="0"/>
      <w:autoSpaceDN w:val="0"/>
      <w:adjustRightInd w:val="0"/>
      <w:spacing w:after="40"/>
      <w:ind w:left="1400" w:hanging="1440"/>
      <w:jc w:val="center"/>
      <w:outlineLvl w:val="0"/>
    </w:pPr>
    <w:rPr>
      <w:rFonts w:eastAsia="Times New Roman"/>
      <w:bCs/>
      <w:sz w:val="28"/>
      <w:szCs w:val="20"/>
    </w:rPr>
  </w:style>
  <w:style w:type="paragraph" w:customStyle="1" w:styleId="AnnexXI">
    <w:name w:val="Annex XI"/>
    <w:basedOn w:val="Normal"/>
    <w:autoRedefine/>
    <w:pPr>
      <w:autoSpaceDE w:val="0"/>
      <w:autoSpaceDN w:val="0"/>
      <w:adjustRightInd w:val="0"/>
      <w:spacing w:after="40"/>
      <w:ind w:left="1400" w:hanging="1440"/>
      <w:jc w:val="center"/>
      <w:outlineLvl w:val="0"/>
    </w:pPr>
    <w:rPr>
      <w:rFonts w:eastAsia="Times New Roman"/>
      <w:sz w:val="28"/>
      <w:szCs w:val="20"/>
    </w:rPr>
  </w:style>
  <w:style w:type="paragraph" w:customStyle="1" w:styleId="AnnexXVI">
    <w:name w:val="Annex XVI"/>
    <w:basedOn w:val="Normal"/>
    <w:autoRedefine/>
    <w:pPr>
      <w:autoSpaceDE w:val="0"/>
      <w:autoSpaceDN w:val="0"/>
      <w:adjustRightInd w:val="0"/>
      <w:spacing w:after="40"/>
      <w:ind w:left="1400" w:hanging="1440"/>
      <w:jc w:val="center"/>
      <w:outlineLvl w:val="0"/>
    </w:pPr>
    <w:rPr>
      <w:rFonts w:eastAsia="Times New Roman"/>
      <w:szCs w:val="20"/>
    </w:rPr>
  </w:style>
  <w:style w:type="paragraph" w:customStyle="1" w:styleId="PARTI">
    <w:name w:val="PART I"/>
    <w:basedOn w:val="Normal"/>
    <w:autoRedefine/>
    <w:pPr>
      <w:autoSpaceDE w:val="0"/>
      <w:autoSpaceDN w:val="0"/>
      <w:adjustRightInd w:val="0"/>
      <w:spacing w:after="40"/>
      <w:ind w:left="851" w:hanging="851"/>
      <w:jc w:val="center"/>
      <w:outlineLvl w:val="0"/>
    </w:pPr>
    <w:rPr>
      <w:rFonts w:eastAsia="Times New Roman"/>
      <w:bCs/>
      <w:sz w:val="20"/>
      <w:szCs w:val="20"/>
    </w:rPr>
  </w:style>
  <w:style w:type="paragraph" w:customStyle="1" w:styleId="Point60">
    <w:name w:val="Point 60"/>
    <w:basedOn w:val="Normal"/>
    <w:autoRedefine/>
    <w:pPr>
      <w:autoSpaceDE w:val="0"/>
      <w:autoSpaceDN w:val="0"/>
      <w:adjustRightInd w:val="0"/>
      <w:ind w:left="851" w:hanging="851"/>
      <w:outlineLvl w:val="0"/>
    </w:pPr>
    <w:rPr>
      <w:rFonts w:eastAsia="Times New Roman"/>
      <w:bCs/>
      <w:szCs w:val="20"/>
    </w:rPr>
  </w:style>
  <w:style w:type="paragraph" w:customStyle="1" w:styleId="AnnexII">
    <w:name w:val="Annex II"/>
    <w:basedOn w:val="Normal"/>
    <w:autoRedefine/>
    <w:pPr>
      <w:autoSpaceDE w:val="0"/>
      <w:autoSpaceDN w:val="0"/>
      <w:adjustRightInd w:val="0"/>
      <w:spacing w:after="40"/>
      <w:ind w:left="1400" w:hanging="1440"/>
      <w:jc w:val="center"/>
      <w:outlineLvl w:val="0"/>
    </w:pPr>
    <w:rPr>
      <w:rFonts w:eastAsia="Times New Roman"/>
      <w:sz w:val="28"/>
      <w:szCs w:val="20"/>
    </w:rPr>
  </w:style>
  <w:style w:type="paragraph" w:customStyle="1" w:styleId="Titlechapter">
    <w:name w:val="Title chapter"/>
    <w:basedOn w:val="Normal"/>
    <w:autoRedefine/>
    <w:pPr>
      <w:autoSpaceDE w:val="0"/>
      <w:autoSpaceDN w:val="0"/>
      <w:adjustRightInd w:val="0"/>
      <w:spacing w:after="360"/>
      <w:jc w:val="center"/>
      <w:outlineLvl w:val="0"/>
    </w:pPr>
    <w:rPr>
      <w:rFonts w:eastAsia="Times New Roman"/>
      <w:b/>
      <w:iCs/>
      <w:szCs w:val="20"/>
    </w:rPr>
  </w:style>
  <w:style w:type="paragraph" w:customStyle="1" w:styleId="Definitions">
    <w:name w:val="Definitions"/>
    <w:basedOn w:val="Normal"/>
    <w:autoRedefine/>
    <w:pPr>
      <w:autoSpaceDE w:val="0"/>
      <w:autoSpaceDN w:val="0"/>
      <w:adjustRightInd w:val="0"/>
      <w:jc w:val="center"/>
      <w:outlineLvl w:val="0"/>
    </w:pPr>
    <w:rPr>
      <w:rFonts w:eastAsia="Times New Roman"/>
      <w:b/>
      <w:szCs w:val="20"/>
    </w:rPr>
  </w:style>
  <w:style w:type="paragraph" w:customStyle="1" w:styleId="Section">
    <w:name w:val="Section"/>
    <w:basedOn w:val="Normal"/>
    <w:autoRedefine/>
    <w:pPr>
      <w:autoSpaceDE w:val="0"/>
      <w:autoSpaceDN w:val="0"/>
      <w:adjustRightInd w:val="0"/>
      <w:jc w:val="center"/>
      <w:outlineLvl w:val="0"/>
    </w:pPr>
    <w:rPr>
      <w:rFonts w:eastAsia="Times New Roman"/>
      <w:bCs/>
      <w:szCs w:val="20"/>
    </w:rPr>
  </w:style>
  <w:style w:type="paragraph" w:customStyle="1" w:styleId="Chapter">
    <w:name w:val="Chapter"/>
    <w:basedOn w:val="Normal"/>
    <w:autoRedefine/>
    <w:pPr>
      <w:keepNext/>
      <w:tabs>
        <w:tab w:val="left" w:pos="-120"/>
      </w:tabs>
      <w:autoSpaceDE w:val="0"/>
      <w:autoSpaceDN w:val="0"/>
      <w:adjustRightInd w:val="0"/>
      <w:spacing w:after="360"/>
      <w:jc w:val="center"/>
      <w:outlineLvl w:val="0"/>
    </w:pPr>
    <w:rPr>
      <w:rFonts w:eastAsia="Times New Roman"/>
      <w:sz w:val="20"/>
      <w:szCs w:val="20"/>
    </w:rPr>
  </w:style>
  <w:style w:type="paragraph" w:customStyle="1" w:styleId="Style1">
    <w:name w:val="Style1"/>
    <w:basedOn w:val="Article1"/>
    <w:autoRedefine/>
  </w:style>
  <w:style w:type="paragraph" w:customStyle="1" w:styleId="point1">
    <w:name w:val="point 1"/>
    <w:basedOn w:val="point2"/>
    <w:pPr>
      <w:ind w:left="1418"/>
    </w:pPr>
  </w:style>
  <w:style w:type="paragraph" w:customStyle="1" w:styleId="point40">
    <w:name w:val="point 4"/>
    <w:basedOn w:val="Normal"/>
    <w:autoRedefine/>
    <w:pPr>
      <w:spacing w:before="0" w:after="0"/>
      <w:ind w:left="3119" w:hanging="567"/>
      <w:jc w:val="left"/>
      <w:outlineLvl w:val="0"/>
    </w:pPr>
    <w:rPr>
      <w:rFonts w:eastAsia="Times New Roman"/>
      <w:szCs w:val="24"/>
    </w:rPr>
  </w:style>
  <w:style w:type="paragraph" w:customStyle="1" w:styleId="p">
    <w:name w:val="p"/>
    <w:basedOn w:val="Normal"/>
    <w:pPr>
      <w:spacing w:before="100" w:beforeAutospacing="1" w:after="100" w:afterAutospacing="1"/>
      <w:ind w:left="150" w:right="150"/>
      <w:jc w:val="left"/>
      <w:outlineLvl w:val="0"/>
    </w:pPr>
    <w:rPr>
      <w:rFonts w:ascii="Verdana" w:eastAsia="Times New Roman" w:hAnsi="Verdana"/>
      <w:color w:val="333366"/>
      <w:sz w:val="15"/>
      <w:szCs w:val="15"/>
    </w:rPr>
  </w:style>
  <w:style w:type="paragraph" w:customStyle="1" w:styleId="ListDash">
    <w:name w:val="List Dash"/>
    <w:basedOn w:val="Normal"/>
    <w:pPr>
      <w:tabs>
        <w:tab w:val="num" w:pos="850"/>
      </w:tabs>
      <w:spacing w:before="0" w:after="240"/>
      <w:ind w:left="850" w:hanging="850"/>
      <w:jc w:val="left"/>
      <w:outlineLvl w:val="0"/>
    </w:pPr>
    <w:rPr>
      <w:rFonts w:eastAsia="Times New Roman"/>
      <w:szCs w:val="20"/>
    </w:rPr>
  </w:style>
  <w:style w:type="character" w:styleId="EndnoteReference">
    <w:name w:val="endnote reference"/>
    <w:rPr>
      <w:rFonts w:cs="Times New Roman"/>
      <w:vertAlign w:val="superscript"/>
    </w:rPr>
  </w:style>
  <w:style w:type="paragraph" w:customStyle="1" w:styleId="titre1">
    <w:name w:val="titre1"/>
    <w:basedOn w:val="Normal"/>
    <w:pPr>
      <w:spacing w:before="100" w:beforeAutospacing="1" w:after="100" w:afterAutospacing="1"/>
      <w:jc w:val="left"/>
      <w:outlineLvl w:val="0"/>
    </w:pPr>
    <w:rPr>
      <w:rFonts w:ascii="Arial" w:eastAsia="Times New Roman" w:hAnsi="Arial" w:cs="Arial"/>
      <w:color w:val="992035"/>
      <w:sz w:val="28"/>
      <w:szCs w:val="28"/>
    </w:rPr>
  </w:style>
  <w:style w:type="paragraph" w:customStyle="1" w:styleId="RKnormal">
    <w:name w:val="RKnormal"/>
    <w:basedOn w:val="Normal"/>
    <w:pPr>
      <w:tabs>
        <w:tab w:val="left" w:pos="2835"/>
      </w:tabs>
      <w:overflowPunct w:val="0"/>
      <w:autoSpaceDE w:val="0"/>
      <w:autoSpaceDN w:val="0"/>
      <w:adjustRightInd w:val="0"/>
      <w:spacing w:before="0" w:after="0" w:line="240" w:lineRule="atLeast"/>
      <w:jc w:val="left"/>
      <w:textAlignment w:val="baseline"/>
      <w:outlineLvl w:val="0"/>
    </w:pPr>
    <w:rPr>
      <w:rFonts w:ascii="OrigGarmnd BT" w:eastAsia="Times New Roman" w:hAnsi="OrigGarmnd BT"/>
      <w:szCs w:val="20"/>
    </w:rPr>
  </w:style>
  <w:style w:type="character" w:customStyle="1" w:styleId="EmailStyle871">
    <w:name w:val="EmailStyle871"/>
    <w:semiHidden/>
    <w:rPr>
      <w:rFonts w:ascii="Arial" w:hAnsi="Arial" w:cs="Arial"/>
      <w:color w:val="000080"/>
      <w:sz w:val="20"/>
      <w:szCs w:val="20"/>
    </w:rPr>
  </w:style>
  <w:style w:type="paragraph" w:customStyle="1" w:styleId="default0">
    <w:name w:val="default"/>
    <w:basedOn w:val="Normal"/>
    <w:pPr>
      <w:autoSpaceDE w:val="0"/>
      <w:autoSpaceDN w:val="0"/>
      <w:spacing w:before="0" w:after="0"/>
      <w:jc w:val="left"/>
      <w:outlineLvl w:val="0"/>
    </w:pPr>
    <w:rPr>
      <w:rFonts w:eastAsia="Times New Roman"/>
      <w:color w:val="000000"/>
      <w:szCs w:val="24"/>
    </w:rPr>
  </w:style>
  <w:style w:type="character" w:customStyle="1" w:styleId="EmailStyle981">
    <w:name w:val="EmailStyle981"/>
    <w:semiHidden/>
    <w:rPr>
      <w:rFonts w:ascii="Arial" w:hAnsi="Arial" w:cs="Arial"/>
      <w:color w:val="auto"/>
      <w:sz w:val="20"/>
      <w:szCs w:val="20"/>
    </w:rPr>
  </w:style>
  <w:style w:type="paragraph" w:customStyle="1" w:styleId="CM1">
    <w:name w:val="CM1"/>
    <w:basedOn w:val="Default"/>
    <w:next w:val="Default"/>
    <w:rPr>
      <w:rFonts w:ascii="EUAlbertina" w:hAnsi="EUAlbertina"/>
      <w:color w:val="auto"/>
    </w:rPr>
  </w:style>
  <w:style w:type="paragraph" w:customStyle="1" w:styleId="CM3">
    <w:name w:val="CM3"/>
    <w:basedOn w:val="Default"/>
    <w:next w:val="Default"/>
    <w:rPr>
      <w:rFonts w:ascii="EUAlbertina" w:hAnsi="EUAlbertina"/>
      <w:color w:val="auto"/>
    </w:rPr>
  </w:style>
  <w:style w:type="character" w:customStyle="1" w:styleId="EmailStyle101">
    <w:name w:val="EmailStyle101"/>
    <w:semiHidden/>
    <w:rPr>
      <w:rFonts w:ascii="Arial" w:hAnsi="Arial" w:cs="Arial"/>
      <w:color w:val="auto"/>
      <w:sz w:val="20"/>
      <w:szCs w:val="20"/>
    </w:rPr>
  </w:style>
  <w:style w:type="numbering" w:styleId="111111">
    <w:name w:val="Outline List 2"/>
    <w:basedOn w:val="NoList"/>
    <w:pPr>
      <w:numPr>
        <w:numId w:val="10"/>
      </w:numPr>
    </w:pPr>
  </w:style>
  <w:style w:type="paragraph" w:customStyle="1" w:styleId="NormalWeb8">
    <w:name w:val="Normal (Web)8"/>
    <w:basedOn w:val="Normal"/>
    <w:pPr>
      <w:spacing w:before="75" w:after="75"/>
      <w:ind w:left="225" w:right="225"/>
      <w:jc w:val="left"/>
    </w:pPr>
    <w:rPr>
      <w:rFonts w:eastAsia="Times New Roman"/>
      <w:sz w:val="22"/>
    </w:rPr>
  </w:style>
  <w:style w:type="paragraph" w:customStyle="1" w:styleId="Lines">
    <w:name w:val="Lines"/>
    <w:basedOn w:val="Normal"/>
    <w:pPr>
      <w:numPr>
        <w:numId w:val="11"/>
      </w:numPr>
      <w:spacing w:before="0" w:after="0"/>
      <w:jc w:val="left"/>
    </w:pPr>
    <w:rPr>
      <w:rFonts w:eastAsia="Times New Roman"/>
      <w:szCs w:val="24"/>
    </w:rPr>
  </w:style>
  <w:style w:type="character" w:customStyle="1" w:styleId="ManualNumPar1Char">
    <w:name w:val="Manual NumPar 1 Char"/>
    <w:rPr>
      <w:sz w:val="24"/>
      <w:szCs w:val="24"/>
      <w:lang w:val="ro-RO" w:eastAsia="ro-RO" w:bidi="ro-RO"/>
    </w:rPr>
  </w:style>
  <w:style w:type="paragraph" w:customStyle="1" w:styleId="ListDash2">
    <w:name w:val="List Dash 2"/>
    <w:basedOn w:val="Normal"/>
    <w:pPr>
      <w:numPr>
        <w:numId w:val="12"/>
      </w:numPr>
      <w:spacing w:before="0" w:after="0"/>
      <w:jc w:val="left"/>
    </w:pPr>
    <w:rPr>
      <w:rFonts w:eastAsia="Times New Roman"/>
      <w:szCs w:val="24"/>
    </w:rPr>
  </w:style>
  <w:style w:type="character" w:customStyle="1" w:styleId="Text1Znak">
    <w:name w:val="Text 1 Znak"/>
    <w:rPr>
      <w:rFonts w:ascii="Times New Roman" w:hAnsi="Times New Roman" w:cs="Times New Roman"/>
      <w:sz w:val="24"/>
      <w:lang w:val="ro-RO"/>
    </w:rPr>
  </w:style>
  <w:style w:type="character" w:customStyle="1" w:styleId="apple-style-span">
    <w:name w:val="apple-style-span"/>
  </w:style>
  <w:style w:type="paragraph" w:customStyle="1" w:styleId="opsommingtekst">
    <w:name w:val="opsomming tekst"/>
    <w:basedOn w:val="Normal"/>
    <w:pPr>
      <w:widowControl w:val="0"/>
      <w:numPr>
        <w:numId w:val="13"/>
      </w:numPr>
      <w:spacing w:before="0" w:after="0"/>
    </w:pPr>
    <w:rPr>
      <w:rFonts w:ascii="Garamond" w:eastAsia="Times New Roman" w:hAnsi="Garamond"/>
      <w:sz w:val="23"/>
      <w:szCs w:val="24"/>
    </w:rPr>
  </w:style>
  <w:style w:type="paragraph" w:customStyle="1" w:styleId="a">
    <w:name w:val="Абзац списка"/>
    <w:basedOn w:val="Normal"/>
    <w:qFormat/>
    <w:pPr>
      <w:spacing w:before="0" w:after="200" w:line="276" w:lineRule="auto"/>
      <w:ind w:left="720"/>
      <w:contextualSpacing/>
      <w:jc w:val="left"/>
    </w:pPr>
    <w:rPr>
      <w:rFonts w:ascii="Calibri" w:eastAsia="Calibri" w:hAnsi="Calibri"/>
      <w:sz w:val="22"/>
    </w:rPr>
  </w:style>
  <w:style w:type="paragraph" w:customStyle="1" w:styleId="ListBullet1">
    <w:name w:val="List Bullet 1"/>
    <w:basedOn w:val="Normal"/>
    <w:pPr>
      <w:numPr>
        <w:numId w:val="14"/>
      </w:numPr>
    </w:pPr>
    <w:rPr>
      <w:rFonts w:eastAsia="Times New Roman"/>
      <w:szCs w:val="24"/>
    </w:rPr>
  </w:style>
  <w:style w:type="paragraph" w:customStyle="1" w:styleId="ArticleDSM">
    <w:name w:val="Article DSM"/>
    <w:basedOn w:val="Normal"/>
    <w:link w:val="ArticleDSMChar"/>
    <w:autoRedefine/>
    <w:pPr>
      <w:keepNext/>
      <w:spacing w:before="360" w:after="0"/>
      <w:ind w:left="1080"/>
      <w:jc w:val="center"/>
    </w:pPr>
    <w:rPr>
      <w:rFonts w:eastAsia="Times New Roman"/>
      <w:b/>
      <w:iCs/>
      <w:szCs w:val="24"/>
    </w:rPr>
  </w:style>
  <w:style w:type="character" w:customStyle="1" w:styleId="ArticleDSMChar">
    <w:name w:val="Article DSM Char"/>
    <w:link w:val="ArticleDSM"/>
    <w:rPr>
      <w:rFonts w:ascii="Times New Roman" w:eastAsia="Times New Roman" w:hAnsi="Times New Roman" w:cs="Times New Roman"/>
      <w:b/>
      <w:iCs/>
      <w:sz w:val="24"/>
      <w:szCs w:val="24"/>
      <w:lang w:val="ro-RO" w:eastAsia="ro-RO"/>
    </w:rPr>
  </w:style>
  <w:style w:type="paragraph" w:customStyle="1" w:styleId="art">
    <w:name w:val="art"/>
    <w:basedOn w:val="Heading1"/>
    <w:pPr>
      <w:numPr>
        <w:numId w:val="0"/>
      </w:numPr>
      <w:spacing w:before="0" w:after="0"/>
      <w:jc w:val="center"/>
    </w:pPr>
    <w:rPr>
      <w:rFonts w:eastAsia="Times New Roman"/>
      <w:bCs w:val="0"/>
      <w:smallCaps w:val="0"/>
      <w:szCs w:val="20"/>
    </w:rPr>
  </w:style>
  <w:style w:type="paragraph" w:customStyle="1" w:styleId="Annexetitreacte0">
    <w:name w:val="Annexe titre (acte)"/>
    <w:basedOn w:val="Normal"/>
    <w:next w:val="Normal"/>
    <w:pPr>
      <w:jc w:val="center"/>
    </w:pPr>
    <w:rPr>
      <w:rFonts w:eastAsia="Times New Roman"/>
      <w:b/>
      <w:szCs w:val="20"/>
      <w:u w:val="single"/>
    </w:rPr>
  </w:style>
  <w:style w:type="paragraph" w:customStyle="1" w:styleId="Annexetitreglobale">
    <w:name w:val="Annexe titre (globale)"/>
    <w:basedOn w:val="Normal"/>
    <w:next w:val="Normal"/>
    <w:pPr>
      <w:jc w:val="center"/>
    </w:pPr>
    <w:rPr>
      <w:rFonts w:eastAsia="Times New Roman"/>
      <w:b/>
      <w:szCs w:val="24"/>
      <w:u w:val="single"/>
    </w:rPr>
  </w:style>
  <w:style w:type="paragraph" w:customStyle="1" w:styleId="a0">
    <w:name w:val="Знак"/>
    <w:basedOn w:val="Normal"/>
    <w:pPr>
      <w:spacing w:before="0" w:after="0"/>
      <w:jc w:val="left"/>
    </w:pPr>
    <w:rPr>
      <w:rFonts w:ascii="Arial" w:eastAsia="SimSun" w:hAnsi="Arial"/>
      <w:sz w:val="20"/>
      <w:szCs w:val="20"/>
    </w:rPr>
  </w:style>
  <w:style w:type="paragraph" w:customStyle="1" w:styleId="ListDash1">
    <w:name w:val="List Dash 1"/>
    <w:basedOn w:val="Normal"/>
    <w:pPr>
      <w:tabs>
        <w:tab w:val="num" w:pos="2551"/>
      </w:tabs>
      <w:ind w:left="2551" w:hanging="567"/>
    </w:pPr>
    <w:rPr>
      <w:rFonts w:eastAsia="Times New Roman"/>
      <w:szCs w:val="24"/>
    </w:rPr>
  </w:style>
  <w:style w:type="paragraph" w:customStyle="1" w:styleId="ListNumberLevel3">
    <w:name w:val="List Number (Level 3)"/>
    <w:basedOn w:val="Normal"/>
    <w:pPr>
      <w:tabs>
        <w:tab w:val="num" w:pos="2126"/>
      </w:tabs>
      <w:ind w:left="2126" w:hanging="709"/>
    </w:pPr>
    <w:rPr>
      <w:rFonts w:eastAsia="Times New Roman"/>
      <w:szCs w:val="24"/>
    </w:rPr>
  </w:style>
  <w:style w:type="paragraph" w:customStyle="1" w:styleId="ListNumberLevel4">
    <w:name w:val="List Number (Level 4)"/>
    <w:basedOn w:val="Normal"/>
    <w:pPr>
      <w:tabs>
        <w:tab w:val="num" w:pos="2835"/>
      </w:tabs>
      <w:ind w:left="2835" w:hanging="709"/>
    </w:pPr>
    <w:rPr>
      <w:rFonts w:eastAsia="Times New Roman"/>
      <w:szCs w:val="24"/>
    </w:rPr>
  </w:style>
  <w:style w:type="paragraph" w:customStyle="1" w:styleId="pealkiri">
    <w:name w:val="pealkiri"/>
    <w:basedOn w:val="Normal"/>
    <w:pPr>
      <w:pBdr>
        <w:top w:val="single" w:sz="4" w:space="1" w:color="auto"/>
        <w:left w:val="single" w:sz="4" w:space="4" w:color="auto"/>
        <w:bottom w:val="single" w:sz="4" w:space="1" w:color="auto"/>
        <w:right w:val="single" w:sz="4" w:space="4" w:color="auto"/>
      </w:pBdr>
      <w:spacing w:before="0" w:after="0"/>
      <w:jc w:val="center"/>
    </w:pPr>
    <w:rPr>
      <w:rFonts w:eastAsia="Times New Roman"/>
      <w:b/>
      <w:caps/>
      <w:szCs w:val="24"/>
    </w:rPr>
  </w:style>
  <w:style w:type="paragraph" w:customStyle="1" w:styleId="Pealkiri2">
    <w:name w:val="Pealkiri 2"/>
    <w:basedOn w:val="Normal"/>
    <w:pPr>
      <w:numPr>
        <w:numId w:val="15"/>
      </w:numPr>
      <w:spacing w:before="0" w:after="0" w:line="276" w:lineRule="auto"/>
      <w:contextualSpacing/>
      <w:jc w:val="left"/>
    </w:pPr>
    <w:rPr>
      <w:rFonts w:eastAsia="SimSun"/>
      <w:b/>
      <w:sz w:val="20"/>
      <w:szCs w:val="20"/>
    </w:rPr>
  </w:style>
  <w:style w:type="paragraph" w:customStyle="1" w:styleId="AddressTL">
    <w:name w:val="AddressTL"/>
    <w:basedOn w:val="Normal"/>
    <w:next w:val="Normal"/>
    <w:pPr>
      <w:spacing w:before="0" w:after="720"/>
      <w:jc w:val="left"/>
    </w:pPr>
    <w:rPr>
      <w:rFonts w:eastAsia="Times New Roman"/>
      <w:szCs w:val="20"/>
    </w:rPr>
  </w:style>
  <w:style w:type="paragraph" w:customStyle="1" w:styleId="AddressTR">
    <w:name w:val="AddressTR"/>
    <w:basedOn w:val="Normal"/>
    <w:next w:val="Normal"/>
    <w:pPr>
      <w:spacing w:before="0" w:after="720"/>
      <w:ind w:left="5103"/>
      <w:jc w:val="left"/>
    </w:pPr>
    <w:rPr>
      <w:rFonts w:eastAsia="Times New Roman"/>
      <w:szCs w:val="20"/>
    </w:rPr>
  </w:style>
  <w:style w:type="paragraph" w:customStyle="1" w:styleId="Enclosures">
    <w:name w:val="Enclosures"/>
    <w:basedOn w:val="Normal"/>
    <w:next w:val="Participants"/>
    <w:pPr>
      <w:keepNext/>
      <w:keepLines/>
      <w:tabs>
        <w:tab w:val="left" w:pos="5642"/>
      </w:tabs>
      <w:spacing w:before="480" w:after="0"/>
      <w:ind w:left="1792" w:hanging="1792"/>
      <w:jc w:val="left"/>
    </w:pPr>
    <w:rPr>
      <w:rFonts w:eastAsia="Times New Roman"/>
      <w:szCs w:val="20"/>
    </w:rPr>
  </w:style>
  <w:style w:type="paragraph" w:customStyle="1" w:styleId="Participants">
    <w:name w:val="Participants"/>
    <w:basedOn w:val="Normal"/>
    <w:next w:val="Copies"/>
    <w:pPr>
      <w:tabs>
        <w:tab w:val="left" w:pos="2512"/>
        <w:tab w:val="left" w:pos="2762"/>
        <w:tab w:val="left" w:pos="5642"/>
        <w:tab w:val="left" w:pos="6362"/>
        <w:tab w:val="left" w:pos="6720"/>
      </w:tabs>
      <w:spacing w:before="480" w:after="0"/>
      <w:ind w:left="1792" w:hanging="1792"/>
      <w:jc w:val="left"/>
    </w:pPr>
    <w:rPr>
      <w:rFonts w:eastAsia="Times New Roman"/>
      <w:szCs w:val="20"/>
    </w:rPr>
  </w:style>
  <w:style w:type="paragraph" w:customStyle="1" w:styleId="Copies">
    <w:name w:val="Copies"/>
    <w:basedOn w:val="Normal"/>
    <w:next w:val="Normal"/>
    <w:pPr>
      <w:tabs>
        <w:tab w:val="left" w:pos="2512"/>
        <w:tab w:val="left" w:pos="2762"/>
        <w:tab w:val="left" w:pos="5642"/>
        <w:tab w:val="left" w:pos="6362"/>
        <w:tab w:val="left" w:pos="6720"/>
      </w:tabs>
      <w:spacing w:before="480" w:after="0"/>
      <w:ind w:left="1792" w:hanging="1792"/>
      <w:jc w:val="left"/>
    </w:pPr>
    <w:rPr>
      <w:rFonts w:eastAsia="Times New Roman"/>
      <w:szCs w:val="20"/>
    </w:rPr>
  </w:style>
  <w:style w:type="paragraph" w:customStyle="1" w:styleId="References">
    <w:name w:val="References"/>
    <w:basedOn w:val="Normal"/>
    <w:next w:val="AddressTR"/>
    <w:pPr>
      <w:spacing w:before="0" w:after="240"/>
      <w:ind w:left="5103"/>
      <w:jc w:val="left"/>
    </w:pPr>
    <w:rPr>
      <w:rFonts w:eastAsia="Times New Roman"/>
      <w:sz w:val="20"/>
      <w:szCs w:val="20"/>
    </w:rPr>
  </w:style>
  <w:style w:type="paragraph" w:customStyle="1" w:styleId="DoubSign">
    <w:name w:val="DoubSign"/>
    <w:basedOn w:val="Normal"/>
    <w:next w:val="Enclosures"/>
    <w:pPr>
      <w:tabs>
        <w:tab w:val="left" w:pos="5103"/>
      </w:tabs>
      <w:spacing w:before="1200" w:after="0"/>
      <w:jc w:val="left"/>
    </w:pPr>
    <w:rPr>
      <w:rFonts w:eastAsia="Times New Roman"/>
      <w:szCs w:val="20"/>
    </w:rPr>
  </w:style>
  <w:style w:type="paragraph" w:customStyle="1" w:styleId="NoteHead">
    <w:name w:val="NoteHead"/>
    <w:basedOn w:val="Normal"/>
    <w:next w:val="Subject"/>
    <w:pPr>
      <w:spacing w:before="720" w:after="720"/>
      <w:jc w:val="center"/>
    </w:pPr>
    <w:rPr>
      <w:rFonts w:eastAsia="Times New Roman"/>
      <w:b/>
      <w:smallCaps/>
      <w:szCs w:val="20"/>
    </w:rPr>
  </w:style>
  <w:style w:type="paragraph" w:customStyle="1" w:styleId="Subject">
    <w:name w:val="Subject"/>
    <w:basedOn w:val="Normal"/>
    <w:next w:val="Normal"/>
    <w:pPr>
      <w:spacing w:before="0" w:after="480"/>
      <w:ind w:left="1191" w:hanging="1191"/>
      <w:jc w:val="left"/>
    </w:pPr>
    <w:rPr>
      <w:rFonts w:eastAsia="Times New Roman"/>
      <w:b/>
      <w:szCs w:val="20"/>
    </w:rPr>
  </w:style>
  <w:style w:type="paragraph" w:customStyle="1" w:styleId="NoteList">
    <w:name w:val="NoteList"/>
    <w:basedOn w:val="Normal"/>
    <w:next w:val="Subject"/>
    <w:pPr>
      <w:tabs>
        <w:tab w:val="left" w:pos="5823"/>
      </w:tabs>
      <w:spacing w:before="720" w:after="720"/>
      <w:ind w:left="5104" w:hanging="3119"/>
      <w:jc w:val="left"/>
    </w:pPr>
    <w:rPr>
      <w:rFonts w:eastAsia="Times New Roman"/>
      <w:b/>
      <w:smallCaps/>
      <w:szCs w:val="20"/>
    </w:rPr>
  </w:style>
  <w:style w:type="paragraph" w:customStyle="1" w:styleId="YReferences">
    <w:name w:val="YReferences"/>
    <w:basedOn w:val="Normal"/>
    <w:next w:val="Normal"/>
    <w:pPr>
      <w:spacing w:before="0" w:after="480"/>
      <w:ind w:left="1191" w:hanging="1191"/>
    </w:pPr>
    <w:rPr>
      <w:rFonts w:eastAsia="Times New Roman"/>
      <w:szCs w:val="20"/>
    </w:rPr>
  </w:style>
  <w:style w:type="paragraph" w:customStyle="1" w:styleId="ZCom">
    <w:name w:val="Z_Com"/>
    <w:basedOn w:val="Normal"/>
    <w:next w:val="ZDGName"/>
    <w:pPr>
      <w:widowControl w:val="0"/>
      <w:spacing w:before="0" w:after="0"/>
      <w:ind w:right="85"/>
    </w:pPr>
    <w:rPr>
      <w:rFonts w:ascii="Arial" w:eastAsia="Times New Roman" w:hAnsi="Arial"/>
      <w:szCs w:val="20"/>
    </w:rPr>
  </w:style>
  <w:style w:type="paragraph" w:customStyle="1" w:styleId="ZDGName">
    <w:name w:val="Z_DGName"/>
    <w:basedOn w:val="Normal"/>
    <w:pPr>
      <w:widowControl w:val="0"/>
      <w:spacing w:before="0" w:after="0"/>
      <w:ind w:right="85"/>
    </w:pPr>
    <w:rPr>
      <w:rFonts w:ascii="Arial" w:eastAsia="Times New Roman" w:hAnsi="Arial"/>
      <w:sz w:val="16"/>
      <w:szCs w:val="20"/>
    </w:rPr>
  </w:style>
  <w:style w:type="paragraph" w:styleId="Index1">
    <w:name w:val="index 1"/>
    <w:basedOn w:val="Normal"/>
    <w:next w:val="Normal"/>
    <w:pPr>
      <w:spacing w:before="0" w:after="240"/>
      <w:ind w:left="240" w:hanging="240"/>
    </w:pPr>
    <w:rPr>
      <w:rFonts w:eastAsia="Times New Roman"/>
      <w:szCs w:val="20"/>
    </w:rPr>
  </w:style>
  <w:style w:type="paragraph" w:styleId="Index2">
    <w:name w:val="index 2"/>
    <w:basedOn w:val="Normal"/>
    <w:next w:val="Normal"/>
    <w:pPr>
      <w:spacing w:before="0" w:after="240"/>
      <w:ind w:left="480" w:hanging="240"/>
    </w:pPr>
    <w:rPr>
      <w:rFonts w:eastAsia="Times New Roman"/>
      <w:szCs w:val="20"/>
    </w:rPr>
  </w:style>
  <w:style w:type="paragraph" w:styleId="Index3">
    <w:name w:val="index 3"/>
    <w:basedOn w:val="Normal"/>
    <w:next w:val="Normal"/>
    <w:pPr>
      <w:spacing w:before="0" w:after="240"/>
      <w:ind w:left="720" w:hanging="240"/>
    </w:pPr>
    <w:rPr>
      <w:rFonts w:eastAsia="Times New Roman"/>
      <w:szCs w:val="20"/>
    </w:rPr>
  </w:style>
  <w:style w:type="paragraph" w:styleId="Index4">
    <w:name w:val="index 4"/>
    <w:basedOn w:val="Normal"/>
    <w:next w:val="Normal"/>
    <w:pPr>
      <w:spacing w:before="0" w:after="240"/>
      <w:ind w:left="960" w:hanging="240"/>
    </w:pPr>
    <w:rPr>
      <w:rFonts w:eastAsia="Times New Roman"/>
      <w:szCs w:val="20"/>
    </w:rPr>
  </w:style>
  <w:style w:type="paragraph" w:styleId="Index5">
    <w:name w:val="index 5"/>
    <w:basedOn w:val="Normal"/>
    <w:next w:val="Normal"/>
    <w:pPr>
      <w:spacing w:before="0" w:after="240"/>
      <w:ind w:left="1200" w:hanging="240"/>
    </w:pPr>
    <w:rPr>
      <w:rFonts w:eastAsia="Times New Roman"/>
      <w:szCs w:val="20"/>
    </w:rPr>
  </w:style>
  <w:style w:type="paragraph" w:styleId="Index6">
    <w:name w:val="index 6"/>
    <w:basedOn w:val="Normal"/>
    <w:next w:val="Normal"/>
    <w:pPr>
      <w:spacing w:before="0" w:after="240"/>
      <w:ind w:left="1440" w:hanging="240"/>
    </w:pPr>
    <w:rPr>
      <w:rFonts w:eastAsia="Times New Roman"/>
      <w:szCs w:val="20"/>
    </w:rPr>
  </w:style>
  <w:style w:type="paragraph" w:styleId="Index7">
    <w:name w:val="index 7"/>
    <w:basedOn w:val="Normal"/>
    <w:next w:val="Normal"/>
    <w:pPr>
      <w:spacing w:before="0" w:after="240"/>
      <w:ind w:left="1680" w:hanging="240"/>
    </w:pPr>
    <w:rPr>
      <w:rFonts w:eastAsia="Times New Roman"/>
      <w:szCs w:val="20"/>
    </w:rPr>
  </w:style>
  <w:style w:type="paragraph" w:styleId="Index8">
    <w:name w:val="index 8"/>
    <w:basedOn w:val="Normal"/>
    <w:next w:val="Normal"/>
    <w:pPr>
      <w:spacing w:before="0" w:after="240"/>
      <w:ind w:left="1920" w:hanging="240"/>
    </w:pPr>
    <w:rPr>
      <w:rFonts w:eastAsia="Times New Roman"/>
      <w:szCs w:val="20"/>
    </w:rPr>
  </w:style>
  <w:style w:type="paragraph" w:styleId="Index9">
    <w:name w:val="index 9"/>
    <w:basedOn w:val="Normal"/>
    <w:next w:val="Normal"/>
    <w:pPr>
      <w:spacing w:before="0" w:after="240"/>
      <w:ind w:left="2160" w:hanging="240"/>
    </w:pPr>
    <w:rPr>
      <w:rFonts w:eastAsia="Times New Roman"/>
      <w:szCs w:val="20"/>
    </w:rPr>
  </w:style>
  <w:style w:type="paragraph" w:styleId="IndexHeading">
    <w:name w:val="index heading"/>
    <w:basedOn w:val="Normal"/>
    <w:next w:val="Index1"/>
    <w:pPr>
      <w:spacing w:before="0" w:after="240"/>
    </w:pPr>
    <w:rPr>
      <w:rFonts w:ascii="Arial" w:eastAsia="Times New Roman" w:hAnsi="Arial"/>
      <w:b/>
      <w:szCs w:val="20"/>
    </w:rPr>
  </w:style>
  <w:style w:type="paragraph" w:styleId="TableofAuthorities">
    <w:name w:val="table of authorities"/>
    <w:basedOn w:val="Normal"/>
    <w:next w:val="Normal"/>
    <w:pPr>
      <w:spacing w:before="0" w:after="240"/>
      <w:ind w:left="240" w:hanging="240"/>
    </w:pPr>
    <w:rPr>
      <w:rFonts w:eastAsia="Times New Roman"/>
      <w:szCs w:val="20"/>
    </w:rPr>
  </w:style>
  <w:style w:type="paragraph" w:styleId="TOAHeading">
    <w:name w:val="toa heading"/>
    <w:basedOn w:val="Normal"/>
    <w:next w:val="Normal"/>
    <w:pPr>
      <w:spacing w:after="240"/>
    </w:pPr>
    <w:rPr>
      <w:rFonts w:ascii="Arial" w:eastAsia="Times New Roman" w:hAnsi="Arial"/>
      <w:b/>
      <w:szCs w:val="20"/>
    </w:rPr>
  </w:style>
  <w:style w:type="paragraph" w:customStyle="1" w:styleId="Contact">
    <w:name w:val="Contact"/>
    <w:basedOn w:val="Normal"/>
    <w:next w:val="Enclosures"/>
    <w:pPr>
      <w:spacing w:before="480" w:after="0"/>
      <w:ind w:left="567" w:hanging="567"/>
      <w:jc w:val="left"/>
    </w:pPr>
    <w:rPr>
      <w:rFonts w:eastAsia="Times New Roman"/>
      <w:szCs w:val="20"/>
    </w:rPr>
  </w:style>
  <w:style w:type="paragraph" w:customStyle="1" w:styleId="ListDash3">
    <w:name w:val="List Dash 3"/>
    <w:basedOn w:val="Text3"/>
    <w:pPr>
      <w:numPr>
        <w:numId w:val="18"/>
      </w:numPr>
      <w:spacing w:before="0" w:after="240"/>
    </w:pPr>
    <w:rPr>
      <w:rFonts w:eastAsia="Times New Roman"/>
      <w:szCs w:val="20"/>
    </w:rPr>
  </w:style>
  <w:style w:type="paragraph" w:customStyle="1" w:styleId="ListDash4">
    <w:name w:val="List Dash 4"/>
    <w:basedOn w:val="Text4"/>
    <w:pPr>
      <w:numPr>
        <w:numId w:val="19"/>
      </w:numPr>
      <w:spacing w:before="0" w:after="240"/>
    </w:pPr>
    <w:rPr>
      <w:rFonts w:eastAsia="Times New Roman"/>
      <w:szCs w:val="20"/>
    </w:rPr>
  </w:style>
  <w:style w:type="paragraph" w:customStyle="1" w:styleId="ListNumber1">
    <w:name w:val="List Number 1"/>
    <w:basedOn w:val="Text1"/>
    <w:pPr>
      <w:numPr>
        <w:numId w:val="20"/>
      </w:numPr>
      <w:tabs>
        <w:tab w:val="clear" w:pos="1191"/>
        <w:tab w:val="num" w:pos="360"/>
      </w:tabs>
      <w:spacing w:before="0" w:after="240"/>
      <w:ind w:left="720" w:hanging="720"/>
    </w:pPr>
    <w:rPr>
      <w:rFonts w:eastAsia="Times New Roman"/>
      <w:szCs w:val="20"/>
    </w:rPr>
  </w:style>
  <w:style w:type="paragraph" w:customStyle="1" w:styleId="ListNumber1Level2">
    <w:name w:val="List Number 1 (Level 2)"/>
    <w:basedOn w:val="Text1"/>
    <w:pPr>
      <w:numPr>
        <w:ilvl w:val="1"/>
        <w:numId w:val="20"/>
      </w:numPr>
      <w:tabs>
        <w:tab w:val="clear" w:pos="1899"/>
        <w:tab w:val="num" w:pos="360"/>
      </w:tabs>
      <w:spacing w:before="0" w:after="240"/>
      <w:ind w:left="720" w:hanging="720"/>
    </w:pPr>
    <w:rPr>
      <w:rFonts w:eastAsia="Times New Roman"/>
      <w:szCs w:val="20"/>
    </w:rPr>
  </w:style>
  <w:style w:type="paragraph" w:customStyle="1" w:styleId="ListNumber2Level2">
    <w:name w:val="List Number 2 (Level 2)"/>
    <w:basedOn w:val="Text20"/>
    <w:pPr>
      <w:numPr>
        <w:ilvl w:val="7"/>
        <w:numId w:val="8"/>
      </w:numPr>
      <w:tabs>
        <w:tab w:val="num" w:pos="2494"/>
      </w:tabs>
      <w:spacing w:before="0" w:after="240"/>
      <w:ind w:left="2494" w:hanging="708"/>
    </w:pPr>
    <w:rPr>
      <w:rFonts w:eastAsia="Times New Roman"/>
      <w:szCs w:val="20"/>
    </w:rPr>
  </w:style>
  <w:style w:type="paragraph" w:customStyle="1" w:styleId="ListNumber3Level2">
    <w:name w:val="List Number 3 (Level 2)"/>
    <w:basedOn w:val="Text3"/>
    <w:pPr>
      <w:numPr>
        <w:ilvl w:val="8"/>
        <w:numId w:val="8"/>
      </w:numPr>
      <w:tabs>
        <w:tab w:val="num" w:pos="3333"/>
      </w:tabs>
      <w:spacing w:before="0" w:after="240"/>
      <w:ind w:left="3333" w:hanging="708"/>
    </w:pPr>
    <w:rPr>
      <w:rFonts w:eastAsia="Times New Roman"/>
      <w:szCs w:val="20"/>
    </w:rPr>
  </w:style>
  <w:style w:type="paragraph" w:customStyle="1" w:styleId="ListNumber4Level2">
    <w:name w:val="List Number 4 (Level 2)"/>
    <w:basedOn w:val="Text4"/>
    <w:pPr>
      <w:tabs>
        <w:tab w:val="num" w:pos="4297"/>
      </w:tabs>
      <w:spacing w:before="0" w:after="240"/>
      <w:ind w:left="4297" w:hanging="708"/>
    </w:pPr>
    <w:rPr>
      <w:rFonts w:eastAsia="Times New Roman"/>
      <w:szCs w:val="20"/>
    </w:rPr>
  </w:style>
  <w:style w:type="paragraph" w:customStyle="1" w:styleId="ListNumber1Level3">
    <w:name w:val="List Number 1 (Level 3)"/>
    <w:basedOn w:val="Text1"/>
    <w:pPr>
      <w:numPr>
        <w:ilvl w:val="2"/>
        <w:numId w:val="20"/>
      </w:numPr>
      <w:tabs>
        <w:tab w:val="clear" w:pos="2608"/>
        <w:tab w:val="num" w:pos="360"/>
      </w:tabs>
      <w:spacing w:before="0" w:after="240"/>
      <w:ind w:left="720" w:hanging="720"/>
    </w:pPr>
    <w:rPr>
      <w:rFonts w:eastAsia="Times New Roman"/>
      <w:szCs w:val="20"/>
    </w:rPr>
  </w:style>
  <w:style w:type="paragraph" w:customStyle="1" w:styleId="ListNumber2Level3">
    <w:name w:val="List Number 2 (Level 3)"/>
    <w:basedOn w:val="Text20"/>
    <w:pPr>
      <w:numPr>
        <w:ilvl w:val="7"/>
        <w:numId w:val="8"/>
      </w:numPr>
      <w:tabs>
        <w:tab w:val="num" w:pos="3203"/>
      </w:tabs>
      <w:spacing w:before="0" w:after="240"/>
      <w:ind w:left="3203" w:hanging="709"/>
    </w:pPr>
    <w:rPr>
      <w:rFonts w:eastAsia="Times New Roman"/>
      <w:szCs w:val="20"/>
    </w:rPr>
  </w:style>
  <w:style w:type="paragraph" w:customStyle="1" w:styleId="ListNumber3Level3">
    <w:name w:val="List Number 3 (Level 3)"/>
    <w:basedOn w:val="Text3"/>
    <w:pPr>
      <w:numPr>
        <w:ilvl w:val="8"/>
        <w:numId w:val="8"/>
      </w:numPr>
      <w:tabs>
        <w:tab w:val="num" w:pos="4042"/>
      </w:tabs>
      <w:spacing w:before="0" w:after="240"/>
      <w:ind w:left="4042" w:hanging="709"/>
    </w:pPr>
    <w:rPr>
      <w:rFonts w:eastAsia="Times New Roman"/>
      <w:szCs w:val="20"/>
    </w:rPr>
  </w:style>
  <w:style w:type="paragraph" w:customStyle="1" w:styleId="ListNumber4Level3">
    <w:name w:val="List Number 4 (Level 3)"/>
    <w:basedOn w:val="Text4"/>
    <w:pPr>
      <w:tabs>
        <w:tab w:val="num" w:pos="5006"/>
      </w:tabs>
      <w:spacing w:before="0" w:after="240"/>
      <w:ind w:left="5006" w:hanging="709"/>
    </w:pPr>
    <w:rPr>
      <w:rFonts w:eastAsia="Times New Roman"/>
      <w:szCs w:val="20"/>
    </w:rPr>
  </w:style>
  <w:style w:type="paragraph" w:customStyle="1" w:styleId="ListNumber1Level4">
    <w:name w:val="List Number 1 (Level 4)"/>
    <w:basedOn w:val="Text1"/>
    <w:pPr>
      <w:numPr>
        <w:ilvl w:val="3"/>
        <w:numId w:val="20"/>
      </w:numPr>
      <w:tabs>
        <w:tab w:val="clear" w:pos="3317"/>
        <w:tab w:val="num" w:pos="360"/>
      </w:tabs>
      <w:spacing w:before="0" w:after="240"/>
      <w:ind w:left="720" w:hanging="720"/>
    </w:pPr>
    <w:rPr>
      <w:rFonts w:eastAsia="Times New Roman"/>
      <w:szCs w:val="20"/>
    </w:rPr>
  </w:style>
  <w:style w:type="paragraph" w:customStyle="1" w:styleId="ListNumber2Level4">
    <w:name w:val="List Number 2 (Level 4)"/>
    <w:basedOn w:val="Text20"/>
    <w:pPr>
      <w:numPr>
        <w:ilvl w:val="7"/>
        <w:numId w:val="8"/>
      </w:numPr>
      <w:tabs>
        <w:tab w:val="num" w:pos="3912"/>
      </w:tabs>
      <w:spacing w:before="0" w:after="240"/>
      <w:ind w:left="3912" w:hanging="709"/>
    </w:pPr>
    <w:rPr>
      <w:rFonts w:eastAsia="Times New Roman"/>
      <w:szCs w:val="20"/>
    </w:rPr>
  </w:style>
  <w:style w:type="paragraph" w:customStyle="1" w:styleId="ListNumber3Level4">
    <w:name w:val="List Number 3 (Level 4)"/>
    <w:basedOn w:val="Text3"/>
    <w:pPr>
      <w:tabs>
        <w:tab w:val="num" w:pos="850"/>
        <w:tab w:val="num" w:pos="4751"/>
      </w:tabs>
      <w:spacing w:before="0" w:after="240"/>
      <w:ind w:left="4751" w:hanging="709"/>
    </w:pPr>
    <w:rPr>
      <w:rFonts w:eastAsia="Times New Roman"/>
      <w:szCs w:val="20"/>
    </w:rPr>
  </w:style>
  <w:style w:type="paragraph" w:customStyle="1" w:styleId="ListNumber4Level40">
    <w:name w:val="List Number 4 (Level 4)"/>
    <w:basedOn w:val="Text4"/>
    <w:pPr>
      <w:tabs>
        <w:tab w:val="num" w:pos="5715"/>
      </w:tabs>
      <w:spacing w:before="0" w:after="240"/>
      <w:ind w:left="5715" w:hanging="709"/>
    </w:pPr>
    <w:rPr>
      <w:rFonts w:eastAsia="Times New Roman"/>
      <w:szCs w:val="20"/>
    </w:rPr>
  </w:style>
  <w:style w:type="paragraph" w:customStyle="1" w:styleId="Annexetitreexposglobal">
    <w:name w:val="Annexe titre (exposé global)"/>
    <w:basedOn w:val="Normal"/>
    <w:next w:val="Normal"/>
    <w:pPr>
      <w:jc w:val="center"/>
    </w:pPr>
    <w:rPr>
      <w:rFonts w:eastAsia="Times New Roman"/>
      <w:b/>
      <w:bCs/>
      <w:snapToGrid w:val="0"/>
      <w:szCs w:val="24"/>
      <w:u w:val="single"/>
    </w:rPr>
  </w:style>
  <w:style w:type="paragraph" w:customStyle="1" w:styleId="Annexetitrefichefinacte">
    <w:name w:val="Annexe titre (fiche fin. acte)"/>
    <w:basedOn w:val="Normal"/>
    <w:next w:val="Normal"/>
    <w:pPr>
      <w:jc w:val="center"/>
    </w:pPr>
    <w:rPr>
      <w:rFonts w:eastAsia="Times New Roman"/>
      <w:b/>
      <w:bCs/>
      <w:snapToGrid w:val="0"/>
      <w:szCs w:val="24"/>
      <w:u w:val="single"/>
    </w:rPr>
  </w:style>
  <w:style w:type="paragraph" w:customStyle="1" w:styleId="Annexetitrefichefinglobale">
    <w:name w:val="Annexe titre (fiche fin. globale)"/>
    <w:basedOn w:val="Normal"/>
    <w:next w:val="Normal"/>
    <w:pPr>
      <w:jc w:val="center"/>
    </w:pPr>
    <w:rPr>
      <w:rFonts w:eastAsia="Times New Roman"/>
      <w:b/>
      <w:bCs/>
      <w:snapToGrid w:val="0"/>
      <w:szCs w:val="24"/>
      <w:u w:val="single"/>
    </w:rPr>
  </w:style>
  <w:style w:type="paragraph" w:customStyle="1" w:styleId="Exposdesmotifstitreglobal">
    <w:name w:val="Exposé des motifs titre (global)"/>
    <w:basedOn w:val="Normal"/>
    <w:next w:val="Normal"/>
    <w:pPr>
      <w:jc w:val="center"/>
    </w:pPr>
    <w:rPr>
      <w:rFonts w:eastAsia="Times New Roman"/>
      <w:b/>
      <w:bCs/>
      <w:snapToGrid w:val="0"/>
      <w:szCs w:val="24"/>
      <w:u w:val="single"/>
    </w:rPr>
  </w:style>
  <w:style w:type="paragraph" w:customStyle="1" w:styleId="Langueoriginale">
    <w:name w:val="Langue originale"/>
    <w:basedOn w:val="Normal"/>
    <w:next w:val="Phrasefinale"/>
    <w:pPr>
      <w:spacing w:before="360"/>
      <w:jc w:val="center"/>
    </w:pPr>
    <w:rPr>
      <w:rFonts w:eastAsia="Times New Roman"/>
      <w:caps/>
      <w:snapToGrid w:val="0"/>
      <w:szCs w:val="24"/>
    </w:rPr>
  </w:style>
  <w:style w:type="paragraph" w:customStyle="1" w:styleId="Phrasefinale">
    <w:name w:val="Phrase finale"/>
    <w:basedOn w:val="Normal"/>
    <w:next w:val="Normal"/>
    <w:pPr>
      <w:spacing w:before="360" w:after="0"/>
      <w:jc w:val="center"/>
    </w:pPr>
    <w:rPr>
      <w:rFonts w:eastAsia="Times New Roman"/>
      <w:snapToGrid w:val="0"/>
      <w:szCs w:val="24"/>
    </w:rPr>
  </w:style>
  <w:style w:type="paragraph" w:customStyle="1" w:styleId="Prliminairetitre">
    <w:name w:val="Préliminaire titre"/>
    <w:basedOn w:val="Normal"/>
    <w:next w:val="Normal"/>
    <w:pPr>
      <w:spacing w:before="360" w:after="360"/>
      <w:jc w:val="center"/>
    </w:pPr>
    <w:rPr>
      <w:rFonts w:eastAsia="Times New Roman"/>
      <w:b/>
      <w:bCs/>
      <w:snapToGrid w:val="0"/>
      <w:szCs w:val="24"/>
    </w:rPr>
  </w:style>
  <w:style w:type="paragraph" w:customStyle="1" w:styleId="Prliminairetype">
    <w:name w:val="Préliminaire type"/>
    <w:basedOn w:val="Normal"/>
    <w:next w:val="Normal"/>
    <w:pPr>
      <w:spacing w:before="360" w:after="0"/>
      <w:jc w:val="center"/>
    </w:pPr>
    <w:rPr>
      <w:rFonts w:eastAsia="Times New Roman"/>
      <w:b/>
      <w:bCs/>
      <w:snapToGrid w:val="0"/>
      <w:szCs w:val="24"/>
    </w:rPr>
  </w:style>
  <w:style w:type="paragraph" w:customStyle="1" w:styleId="Rfrenceinstitutionelle">
    <w:name w:val="Référence institutionelle"/>
    <w:basedOn w:val="Normal"/>
    <w:next w:val="Statut"/>
    <w:pPr>
      <w:spacing w:before="0" w:after="240"/>
      <w:ind w:left="5103"/>
      <w:jc w:val="left"/>
    </w:pPr>
    <w:rPr>
      <w:rFonts w:eastAsia="Times New Roman"/>
      <w:snapToGrid w:val="0"/>
      <w:szCs w:val="24"/>
    </w:rPr>
  </w:style>
  <w:style w:type="paragraph" w:customStyle="1" w:styleId="Rfrenceinterinstitutionelle">
    <w:name w:val="Référence interinstitutionelle"/>
    <w:basedOn w:val="Normal"/>
    <w:next w:val="Statut"/>
    <w:pPr>
      <w:spacing w:before="0" w:after="0"/>
      <w:ind w:left="5103"/>
      <w:jc w:val="left"/>
    </w:pPr>
    <w:rPr>
      <w:rFonts w:eastAsia="Times New Roman"/>
      <w:snapToGrid w:val="0"/>
      <w:szCs w:val="24"/>
    </w:rPr>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snapToGrid w:val="0"/>
      <w:szCs w:val="24"/>
    </w:rPr>
  </w:style>
  <w:style w:type="paragraph" w:customStyle="1" w:styleId="Sous-titreobjetprliminaire">
    <w:name w:val="Sous-titre objet (préliminaire)"/>
    <w:basedOn w:val="Normal"/>
    <w:pPr>
      <w:spacing w:before="0" w:after="0"/>
      <w:jc w:val="center"/>
    </w:pPr>
    <w:rPr>
      <w:rFonts w:eastAsia="Times New Roman"/>
      <w:b/>
      <w:bCs/>
      <w:snapToGrid w:val="0"/>
      <w:szCs w:val="24"/>
    </w:rPr>
  </w:style>
  <w:style w:type="paragraph" w:customStyle="1" w:styleId="Statutprliminaire">
    <w:name w:val="Statut (préliminaire)"/>
    <w:basedOn w:val="Normal"/>
    <w:next w:val="Normal"/>
    <w:pPr>
      <w:spacing w:before="360" w:after="0"/>
      <w:jc w:val="center"/>
    </w:pPr>
    <w:rPr>
      <w:rFonts w:eastAsia="Times New Roman"/>
      <w:snapToGrid w:val="0"/>
      <w:szCs w:val="24"/>
    </w:rPr>
  </w:style>
  <w:style w:type="paragraph" w:customStyle="1" w:styleId="Titreobjetprliminaire">
    <w:name w:val="Titre objet (préliminaire)"/>
    <w:basedOn w:val="Normal"/>
    <w:next w:val="Normal"/>
    <w:pPr>
      <w:spacing w:before="360" w:after="360"/>
      <w:jc w:val="center"/>
    </w:pPr>
    <w:rPr>
      <w:rFonts w:eastAsia="Times New Roman"/>
      <w:b/>
      <w:bCs/>
      <w:snapToGrid w:val="0"/>
      <w:szCs w:val="24"/>
    </w:rPr>
  </w:style>
  <w:style w:type="paragraph" w:customStyle="1" w:styleId="Typedudocumentprliminaire">
    <w:name w:val="Type du document (préliminaire)"/>
    <w:basedOn w:val="Normal"/>
    <w:next w:val="Normal"/>
    <w:pPr>
      <w:spacing w:before="360" w:after="0"/>
      <w:jc w:val="center"/>
    </w:pPr>
    <w:rPr>
      <w:rFonts w:eastAsia="Times New Roman"/>
      <w:b/>
      <w:bCs/>
      <w:snapToGrid w:val="0"/>
      <w:szCs w:val="24"/>
    </w:rPr>
  </w:style>
  <w:style w:type="paragraph" w:customStyle="1" w:styleId="Fichefinancirestandardtitre">
    <w:name w:val="Fiche financière (standard) titre"/>
    <w:basedOn w:val="Normal"/>
    <w:next w:val="Normal"/>
    <w:pPr>
      <w:jc w:val="center"/>
    </w:pPr>
    <w:rPr>
      <w:rFonts w:eastAsia="Times New Roman"/>
      <w:b/>
      <w:bCs/>
      <w:snapToGrid w:val="0"/>
      <w:szCs w:val="24"/>
      <w:u w:val="single"/>
    </w:rPr>
  </w:style>
  <w:style w:type="paragraph" w:customStyle="1" w:styleId="Fichefinancirestandardtitreacte">
    <w:name w:val="Fiche financière (standard) titre (acte)"/>
    <w:basedOn w:val="Normal"/>
    <w:next w:val="Normal"/>
    <w:pPr>
      <w:jc w:val="center"/>
    </w:pPr>
    <w:rPr>
      <w:rFonts w:eastAsia="Times New Roman"/>
      <w:b/>
      <w:bCs/>
      <w:snapToGrid w:val="0"/>
      <w:szCs w:val="24"/>
      <w:u w:val="single"/>
    </w:rPr>
  </w:style>
  <w:style w:type="paragraph" w:customStyle="1" w:styleId="Fichefinanciretravailtitre">
    <w:name w:val="Fiche financière (travail) titre"/>
    <w:basedOn w:val="Normal"/>
    <w:next w:val="Normal"/>
    <w:pPr>
      <w:jc w:val="center"/>
    </w:pPr>
    <w:rPr>
      <w:rFonts w:eastAsia="Times New Roman"/>
      <w:b/>
      <w:bCs/>
      <w:snapToGrid w:val="0"/>
      <w:szCs w:val="24"/>
      <w:u w:val="single"/>
    </w:rPr>
  </w:style>
  <w:style w:type="paragraph" w:customStyle="1" w:styleId="Fichefinanciretravailtitreacte">
    <w:name w:val="Fiche financière (travail) titre (acte)"/>
    <w:basedOn w:val="Normal"/>
    <w:next w:val="Normal"/>
    <w:pPr>
      <w:jc w:val="center"/>
    </w:pPr>
    <w:rPr>
      <w:rFonts w:eastAsia="Times New Roman"/>
      <w:b/>
      <w:bCs/>
      <w:snapToGrid w:val="0"/>
      <w:szCs w:val="24"/>
      <w:u w:val="single"/>
    </w:rPr>
  </w:style>
  <w:style w:type="paragraph" w:customStyle="1" w:styleId="Fichefinancireattributiontitre">
    <w:name w:val="Fiche financière (attribution) titre"/>
    <w:basedOn w:val="Normal"/>
    <w:next w:val="Normal"/>
    <w:pPr>
      <w:jc w:val="center"/>
    </w:pPr>
    <w:rPr>
      <w:rFonts w:eastAsia="Times New Roman"/>
      <w:b/>
      <w:bCs/>
      <w:snapToGrid w:val="0"/>
      <w:szCs w:val="24"/>
      <w:u w:val="single"/>
    </w:rPr>
  </w:style>
  <w:style w:type="paragraph" w:customStyle="1" w:styleId="Fichefinancireattributiontitreacte">
    <w:name w:val="Fiche financière (attribution) titre (acte)"/>
    <w:basedOn w:val="Normal"/>
    <w:next w:val="Normal"/>
    <w:pPr>
      <w:jc w:val="center"/>
    </w:pPr>
    <w:rPr>
      <w:rFonts w:eastAsia="Times New Roman"/>
      <w:b/>
      <w:bCs/>
      <w:snapToGrid w:val="0"/>
      <w:szCs w:val="24"/>
      <w:u w:val="single"/>
    </w:rPr>
  </w:style>
  <w:style w:type="numbering" w:styleId="1ai">
    <w:name w:val="Outline List 1"/>
    <w:basedOn w:val="NoList"/>
    <w:pPr>
      <w:numPr>
        <w:numId w:val="16"/>
      </w:numPr>
    </w:pPr>
  </w:style>
  <w:style w:type="numbering" w:styleId="ArticleSection">
    <w:name w:val="Outline List 3"/>
    <w:basedOn w:val="NoList"/>
    <w:pPr>
      <w:numPr>
        <w:numId w:val="17"/>
      </w:numPr>
    </w:pPr>
  </w:style>
  <w:style w:type="table" w:styleId="Table3Deffects1">
    <w:name w:val="Table 3D effects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pPr>
      <w:spacing w:before="120" w:after="120" w:line="240" w:lineRule="auto"/>
      <w:jc w:val="both"/>
    </w:pPr>
    <w:rPr>
      <w:rFonts w:ascii="Times New Roman" w:eastAsia="Times New Roman" w:hAnsi="Times New Roman" w:cs="Times New Roman"/>
      <w:color w:val="000080"/>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pPr>
      <w:spacing w:before="120" w:after="120" w:line="240" w:lineRule="auto"/>
      <w:jc w:val="both"/>
    </w:pPr>
    <w:rPr>
      <w:rFonts w:ascii="Times New Roman" w:eastAsia="Times New Roman" w:hAnsi="Times New Roman" w:cs="Times New Roman"/>
      <w:color w:val="FFFFFF"/>
      <w:sz w:val="20"/>
      <w:szCs w:val="20"/>
      <w:lang w:val="en-GB" w:eastAsia="en-GB" w:bidi="ar-SA"/>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before="120" w:after="120" w:line="240" w:lineRule="auto"/>
      <w:jc w:val="both"/>
    </w:pPr>
    <w:rPr>
      <w:rFonts w:ascii="Times New Roman" w:eastAsia="Times New Roman" w:hAnsi="Times New Roman" w:cs="Times New Roman"/>
      <w:b/>
      <w:bCs/>
      <w:sz w:val="20"/>
      <w:szCs w:val="20"/>
      <w:lang w:val="en-GB" w:eastAsia="en-GB" w:bidi="ar-SA"/>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pPr>
      <w:spacing w:before="120" w:after="120" w:line="240" w:lineRule="auto"/>
      <w:jc w:val="both"/>
    </w:pPr>
    <w:rPr>
      <w:rFonts w:ascii="Times New Roman" w:eastAsia="Times New Roman" w:hAnsi="Times New Roman" w:cs="Times New Roman"/>
      <w:b/>
      <w:bCs/>
      <w:sz w:val="20"/>
      <w:szCs w:val="20"/>
      <w:lang w:val="en-GB" w:eastAsia="en-GB" w:bidi="ar-SA"/>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pPr>
      <w:spacing w:before="120" w:after="120" w:line="240" w:lineRule="auto"/>
      <w:jc w:val="both"/>
    </w:pPr>
    <w:rPr>
      <w:rFonts w:ascii="Times New Roman" w:eastAsia="Times New Roman" w:hAnsi="Times New Roman" w:cs="Times New Roman"/>
      <w:b/>
      <w:bCs/>
      <w:sz w:val="20"/>
      <w:szCs w:val="20"/>
      <w:lang w:val="en-GB" w:eastAsia="en-GB" w:bidi="ar-SA"/>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pPr>
      <w:spacing w:before="120" w:after="120" w:line="240" w:lineRule="auto"/>
      <w:jc w:val="both"/>
    </w:pPr>
    <w:rPr>
      <w:rFonts w:ascii="Times New Roman" w:eastAsia="Times New Roman" w:hAnsi="Times New Roman" w:cs="Times New Roman"/>
      <w:b/>
      <w:bCs/>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pPr>
      <w:spacing w:before="120" w:after="12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pPr>
      <w:spacing w:before="120" w:after="120" w:line="240" w:lineRule="auto"/>
      <w:jc w:val="both"/>
    </w:pPr>
    <w:rPr>
      <w:rFonts w:ascii="Times New Roman" w:eastAsia="Times New Roman" w:hAnsi="Times New Roman" w:cs="Times New Roman"/>
      <w:sz w:val="20"/>
      <w:szCs w:val="20"/>
      <w:lang w:val="en-GB" w:eastAsia="en-GB" w:bidi="ar-SA"/>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ichedimpactPMEtitre">
    <w:name w:val="Fiche d'impact PME titre"/>
    <w:basedOn w:val="Normal"/>
    <w:next w:val="Normal"/>
    <w:pPr>
      <w:jc w:val="center"/>
    </w:pPr>
    <w:rPr>
      <w:rFonts w:eastAsia="Times New Roman"/>
      <w:b/>
      <w:bCs/>
      <w:snapToGrid w:val="0"/>
      <w:szCs w:val="24"/>
    </w:rPr>
  </w:style>
  <w:style w:type="paragraph" w:customStyle="1" w:styleId="Fichefinanciretextetable0">
    <w:name w:val="Fiche financière texte (table)"/>
    <w:basedOn w:val="Normal"/>
    <w:pPr>
      <w:spacing w:before="0" w:after="0"/>
      <w:jc w:val="left"/>
    </w:pPr>
    <w:rPr>
      <w:rFonts w:eastAsia="Times New Roman"/>
      <w:snapToGrid w:val="0"/>
      <w:sz w:val="20"/>
      <w:szCs w:val="24"/>
    </w:rPr>
  </w:style>
  <w:style w:type="paragraph" w:customStyle="1" w:styleId="Fichefinanciretitreactetable">
    <w:name w:val="Fiche financière titre (acte table)"/>
    <w:basedOn w:val="Normal"/>
    <w:next w:val="Normal"/>
    <w:pPr>
      <w:jc w:val="center"/>
    </w:pPr>
    <w:rPr>
      <w:rFonts w:eastAsia="Times New Roman"/>
      <w:b/>
      <w:bCs/>
      <w:snapToGrid w:val="0"/>
      <w:sz w:val="40"/>
      <w:szCs w:val="40"/>
    </w:rPr>
  </w:style>
  <w:style w:type="paragraph" w:customStyle="1" w:styleId="Fichefinanciretitreacte">
    <w:name w:val="Fiche financière titre (acte)"/>
    <w:basedOn w:val="Normal"/>
    <w:next w:val="Normal"/>
    <w:pPr>
      <w:jc w:val="center"/>
    </w:pPr>
    <w:rPr>
      <w:rFonts w:eastAsia="Times New Roman"/>
      <w:b/>
      <w:bCs/>
      <w:snapToGrid w:val="0"/>
      <w:szCs w:val="24"/>
      <w:u w:val="single"/>
    </w:rPr>
  </w:style>
  <w:style w:type="paragraph" w:customStyle="1" w:styleId="Fichefinanciretitretable">
    <w:name w:val="Fiche financière titre (table)"/>
    <w:basedOn w:val="Normal"/>
    <w:pPr>
      <w:jc w:val="center"/>
    </w:pPr>
    <w:rPr>
      <w:rFonts w:eastAsia="Times New Roman"/>
      <w:b/>
      <w:bCs/>
      <w:snapToGrid w:val="0"/>
      <w:sz w:val="40"/>
      <w:szCs w:val="40"/>
    </w:rPr>
  </w:style>
  <w:style w:type="character" w:customStyle="1" w:styleId="tw4winError">
    <w:name w:val="tw4winError"/>
    <w:rPr>
      <w:color w:val="00FF00"/>
      <w:sz w:val="40"/>
      <w:szCs w:val="4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tw4winJump">
    <w:name w:val="tw4winJump"/>
    <w:rPr>
      <w:noProof/>
      <w:color w:val="008080"/>
    </w:rPr>
  </w:style>
  <w:style w:type="character" w:customStyle="1" w:styleId="tw4winMark">
    <w:name w:val="tw4winMark"/>
    <w:rPr>
      <w:rFonts w:ascii="Times New Roman" w:hAnsi="Times New Roman" w:cs="Times New Roman"/>
      <w:vanish/>
      <w:color w:val="800080"/>
      <w:sz w:val="24"/>
      <w:szCs w:val="24"/>
      <w:vertAlign w:val="subscript"/>
    </w:rPr>
  </w:style>
  <w:style w:type="character" w:customStyle="1" w:styleId="tw4winPopup">
    <w:name w:val="tw4winPopup"/>
    <w:rPr>
      <w:noProof/>
      <w:color w:val="008000"/>
    </w:rPr>
  </w:style>
  <w:style w:type="character" w:customStyle="1" w:styleId="tw4winTerm">
    <w:name w:val="tw4winTerm"/>
    <w:rPr>
      <w:color w:val="0000FF"/>
    </w:rPr>
  </w:style>
  <w:style w:type="paragraph" w:customStyle="1" w:styleId="S3">
    <w:name w:val="S3"/>
    <w:basedOn w:val="Normal"/>
    <w:next w:val="Normal"/>
    <w:pPr>
      <w:jc w:val="center"/>
    </w:pPr>
    <w:rPr>
      <w:rFonts w:eastAsia="Times New Roman"/>
      <w:b/>
      <w:szCs w:val="20"/>
      <w:u w:val="single"/>
    </w:rPr>
  </w:style>
  <w:style w:type="paragraph" w:customStyle="1" w:styleId="S4">
    <w:name w:val="S4"/>
    <w:basedOn w:val="Normal"/>
    <w:next w:val="Normal"/>
    <w:pPr>
      <w:jc w:val="center"/>
    </w:pPr>
    <w:rPr>
      <w:rFonts w:eastAsia="Times New Roman"/>
      <w:b/>
      <w:szCs w:val="20"/>
      <w:u w:val="single"/>
    </w:rPr>
  </w:style>
  <w:style w:type="paragraph" w:customStyle="1" w:styleId="S9">
    <w:name w:val="S9"/>
    <w:basedOn w:val="Normal"/>
    <w:next w:val="Normal"/>
    <w:pPr>
      <w:keepNext/>
      <w:spacing w:after="360"/>
      <w:jc w:val="center"/>
    </w:pPr>
    <w:rPr>
      <w:rFonts w:eastAsia="Times New Roman"/>
      <w:b/>
      <w:sz w:val="32"/>
      <w:szCs w:val="20"/>
    </w:rPr>
  </w:style>
  <w:style w:type="paragraph" w:customStyle="1" w:styleId="S2">
    <w:name w:val="S2"/>
    <w:basedOn w:val="Normal"/>
    <w:next w:val="Normal"/>
    <w:pPr>
      <w:jc w:val="center"/>
    </w:pPr>
    <w:rPr>
      <w:rFonts w:eastAsia="Times New Roman"/>
      <w:b/>
      <w:szCs w:val="20"/>
      <w:u w:val="single"/>
    </w:rPr>
  </w:style>
  <w:style w:type="paragraph" w:customStyle="1" w:styleId="S1">
    <w:name w:val="S1"/>
    <w:basedOn w:val="Normal"/>
    <w:next w:val="Normal"/>
    <w:pPr>
      <w:jc w:val="center"/>
    </w:pPr>
    <w:rPr>
      <w:rFonts w:eastAsia="Times New Roman"/>
      <w:b/>
      <w:szCs w:val="20"/>
      <w:u w:val="single"/>
    </w:rPr>
  </w:style>
  <w:style w:type="paragraph" w:customStyle="1" w:styleId="S5">
    <w:name w:val="S5"/>
    <w:basedOn w:val="Normal"/>
    <w:next w:val="Normal"/>
    <w:pPr>
      <w:jc w:val="center"/>
    </w:pPr>
    <w:rPr>
      <w:rFonts w:eastAsia="Times New Roman"/>
      <w:b/>
      <w:szCs w:val="20"/>
      <w:u w:val="single"/>
    </w:rPr>
  </w:style>
  <w:style w:type="paragraph" w:customStyle="1" w:styleId="S6">
    <w:name w:val="S6"/>
    <w:basedOn w:val="Normal"/>
    <w:pPr>
      <w:jc w:val="center"/>
    </w:pPr>
    <w:rPr>
      <w:rFonts w:eastAsia="Times New Roman"/>
      <w:b/>
      <w:sz w:val="40"/>
      <w:szCs w:val="20"/>
    </w:rPr>
  </w:style>
  <w:style w:type="paragraph" w:customStyle="1" w:styleId="S8">
    <w:name w:val="S8"/>
    <w:basedOn w:val="Normal"/>
    <w:next w:val="S9"/>
    <w:pPr>
      <w:keepNext/>
      <w:pageBreakBefore/>
      <w:spacing w:after="360"/>
      <w:jc w:val="center"/>
    </w:pPr>
    <w:rPr>
      <w:rFonts w:eastAsia="Times New Roman"/>
      <w:b/>
      <w:sz w:val="36"/>
      <w:szCs w:val="20"/>
    </w:rPr>
  </w:style>
  <w:style w:type="paragraph" w:customStyle="1" w:styleId="S10">
    <w:name w:val="S10"/>
    <w:basedOn w:val="Normal"/>
    <w:next w:val="Heading1"/>
    <w:pPr>
      <w:keepNext/>
      <w:spacing w:after="360"/>
      <w:jc w:val="center"/>
    </w:pPr>
    <w:rPr>
      <w:rFonts w:eastAsia="Times New Roman"/>
      <w:b/>
      <w:smallCaps/>
      <w:sz w:val="28"/>
      <w:szCs w:val="20"/>
    </w:rPr>
  </w:style>
  <w:style w:type="paragraph" w:customStyle="1" w:styleId="S7">
    <w:name w:val="S7"/>
    <w:basedOn w:val="Normal"/>
    <w:next w:val="Normal"/>
    <w:pPr>
      <w:jc w:val="center"/>
    </w:pPr>
    <w:rPr>
      <w:rFonts w:eastAsia="Times New Roman"/>
      <w:b/>
      <w:szCs w:val="20"/>
    </w:rPr>
  </w:style>
  <w:style w:type="character" w:customStyle="1" w:styleId="Initial">
    <w:name w:val="Initial"/>
    <w:rPr>
      <w:rFonts w:ascii="CG Times" w:hAnsi="CG Times"/>
      <w:noProof w:val="0"/>
      <w:sz w:val="24"/>
      <w:lang w:val="ro-RO"/>
    </w:rPr>
  </w:style>
  <w:style w:type="character" w:customStyle="1" w:styleId="BalloonTextChar1">
    <w:name w:val="Balloon Text Char1"/>
    <w:rPr>
      <w:rFonts w:ascii="Tahoma" w:hAnsi="Tahoma" w:cs="Tahoma"/>
      <w:sz w:val="16"/>
      <w:szCs w:val="16"/>
      <w:lang w:eastAsia="ro-RO"/>
    </w:rPr>
  </w:style>
  <w:style w:type="character" w:customStyle="1" w:styleId="EmailStyle224">
    <w:name w:val="EmailStyle224"/>
    <w:semiHidden/>
    <w:rPr>
      <w:rFonts w:ascii="Arial" w:hAnsi="Arial" w:cs="Arial"/>
      <w:color w:val="000080"/>
      <w:sz w:val="20"/>
      <w:szCs w:val="20"/>
    </w:rPr>
  </w:style>
  <w:style w:type="character" w:customStyle="1" w:styleId="EmailStyle227">
    <w:name w:val="EmailStyle227"/>
    <w:semiHidden/>
    <w:rPr>
      <w:rFonts w:ascii="Arial" w:hAnsi="Arial" w:cs="Arial"/>
      <w:color w:val="auto"/>
      <w:sz w:val="20"/>
      <w:szCs w:val="20"/>
    </w:rPr>
  </w:style>
  <w:style w:type="character" w:customStyle="1" w:styleId="EmailStyle230">
    <w:name w:val="EmailStyle230"/>
    <w:semiHidden/>
    <w:rPr>
      <w:rFonts w:ascii="Arial" w:hAnsi="Arial" w:cs="Arial"/>
      <w:color w:val="auto"/>
      <w:sz w:val="20"/>
      <w:szCs w:val="20"/>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rPr>
  </w:style>
  <w:style w:type="paragraph" w:customStyle="1" w:styleId="Text20">
    <w:name w:val="Text 2"/>
    <w:basedOn w:val="Normal"/>
    <w:pPr>
      <w:ind w:left="1417"/>
    </w:pPr>
  </w:style>
  <w:style w:type="paragraph" w:customStyle="1" w:styleId="NormalCentered0">
    <w:name w:val="Normal Centered"/>
    <w:basedOn w:val="Normal"/>
    <w:pPr>
      <w:jc w:val="center"/>
    </w:pPr>
  </w:style>
  <w:style w:type="paragraph" w:customStyle="1" w:styleId="Point00">
    <w:name w:val="Point 0"/>
    <w:basedOn w:val="Normal"/>
    <w:pPr>
      <w:ind w:left="850" w:hanging="850"/>
    </w:pPr>
  </w:style>
  <w:style w:type="paragraph" w:customStyle="1" w:styleId="Point10">
    <w:name w:val="Point 1"/>
    <w:basedOn w:val="Normal"/>
    <w:pPr>
      <w:ind w:left="1417" w:hanging="567"/>
    </w:pPr>
  </w:style>
  <w:style w:type="paragraph" w:customStyle="1" w:styleId="Point20">
    <w:name w:val="Point 2"/>
    <w:basedOn w:val="Normal"/>
    <w:pPr>
      <w:ind w:left="1984" w:hanging="567"/>
    </w:pPr>
  </w:style>
  <w:style w:type="paragraph" w:customStyle="1" w:styleId="Point30">
    <w:name w:val="Point 3"/>
    <w:basedOn w:val="Normal"/>
    <w:pPr>
      <w:ind w:left="2551" w:hanging="567"/>
    </w:pPr>
  </w:style>
  <w:style w:type="paragraph" w:customStyle="1" w:styleId="Point41">
    <w:name w:val="Point 4"/>
    <w:basedOn w:val="Normal"/>
    <w:pPr>
      <w:ind w:left="3118" w:hanging="567"/>
    </w:pPr>
  </w:style>
  <w:style w:type="paragraph" w:customStyle="1" w:styleId="ManualNumPar10">
    <w:name w:val="Manual NumPar 1"/>
    <w:basedOn w:val="Normal"/>
    <w:next w:val="Text1"/>
    <w:pPr>
      <w:ind w:left="850" w:hanging="850"/>
    </w:pPr>
  </w:style>
  <w:style w:type="paragraph" w:customStyle="1" w:styleId="Titrearticle1">
    <w:name w:val="Titre article"/>
    <w:basedOn w:val="Normal"/>
    <w:next w:val="Normal"/>
    <w:pPr>
      <w:keepNext/>
      <w:spacing w:before="360"/>
      <w:jc w:val="center"/>
    </w:pPr>
    <w:rPr>
      <w:i/>
    </w:rPr>
  </w:style>
  <w:style w:type="paragraph" w:customStyle="1" w:styleId="Text21">
    <w:name w:val="Text 2"/>
    <w:basedOn w:val="Normal"/>
    <w:pPr>
      <w:ind w:left="1417"/>
    </w:pPr>
  </w:style>
  <w:style w:type="paragraph" w:customStyle="1" w:styleId="NormalCentered1">
    <w:name w:val="Normal Centered"/>
    <w:basedOn w:val="Normal"/>
    <w:pPr>
      <w:jc w:val="center"/>
    </w:pPr>
  </w:style>
  <w:style w:type="paragraph" w:customStyle="1" w:styleId="Point01">
    <w:name w:val="Point 0"/>
    <w:basedOn w:val="Normal"/>
    <w:pPr>
      <w:ind w:left="850" w:hanging="850"/>
    </w:pPr>
  </w:style>
  <w:style w:type="paragraph" w:customStyle="1" w:styleId="Point11">
    <w:name w:val="Point 1"/>
    <w:basedOn w:val="Normal"/>
    <w:pPr>
      <w:ind w:left="1417" w:hanging="567"/>
    </w:pPr>
  </w:style>
  <w:style w:type="paragraph" w:customStyle="1" w:styleId="Point21">
    <w:name w:val="Point 2"/>
    <w:basedOn w:val="Normal"/>
    <w:pPr>
      <w:ind w:left="1984" w:hanging="567"/>
    </w:pPr>
  </w:style>
  <w:style w:type="paragraph" w:customStyle="1" w:styleId="Point31">
    <w:name w:val="Point 3"/>
    <w:basedOn w:val="Normal"/>
    <w:pPr>
      <w:ind w:left="2551" w:hanging="567"/>
    </w:pPr>
  </w:style>
  <w:style w:type="paragraph" w:customStyle="1" w:styleId="Point42">
    <w:name w:val="Point 4"/>
    <w:basedOn w:val="Normal"/>
    <w:pPr>
      <w:ind w:left="3118" w:hanging="567"/>
    </w:pPr>
  </w:style>
  <w:style w:type="paragraph" w:customStyle="1" w:styleId="ManualNumPar11">
    <w:name w:val="Manual NumPar 1"/>
    <w:basedOn w:val="Normal"/>
    <w:next w:val="Text1"/>
    <w:pPr>
      <w:ind w:left="850" w:hanging="850"/>
    </w:pPr>
  </w:style>
  <w:style w:type="paragraph" w:customStyle="1" w:styleId="Titrearticle2">
    <w:name w:val="Titre article"/>
    <w:basedOn w:val="Normal"/>
    <w:next w:val="Normal"/>
    <w:pPr>
      <w:keepNext/>
      <w:spacing w:before="360"/>
      <w:jc w:val="center"/>
    </w:pPr>
    <w:rPr>
      <w:i/>
    </w:rPr>
  </w:style>
  <w:style w:type="paragraph" w:customStyle="1" w:styleId="Text22">
    <w:name w:val="Text 2"/>
    <w:basedOn w:val="Normal"/>
    <w:pPr>
      <w:ind w:left="1417"/>
    </w:pPr>
  </w:style>
  <w:style w:type="paragraph" w:customStyle="1" w:styleId="NormalCentered2">
    <w:name w:val="Normal Centered"/>
    <w:basedOn w:val="Normal"/>
    <w:pPr>
      <w:jc w:val="center"/>
    </w:pPr>
  </w:style>
  <w:style w:type="paragraph" w:customStyle="1" w:styleId="Point02">
    <w:name w:val="Point 0"/>
    <w:basedOn w:val="Normal"/>
    <w:pPr>
      <w:ind w:left="850" w:hanging="850"/>
    </w:pPr>
  </w:style>
  <w:style w:type="paragraph" w:customStyle="1" w:styleId="Point12">
    <w:name w:val="Point 1"/>
    <w:basedOn w:val="Normal"/>
    <w:pPr>
      <w:ind w:left="1417" w:hanging="567"/>
    </w:pPr>
  </w:style>
  <w:style w:type="paragraph" w:customStyle="1" w:styleId="Point22">
    <w:name w:val="Point 2"/>
    <w:basedOn w:val="Normal"/>
    <w:pPr>
      <w:ind w:left="1984" w:hanging="567"/>
    </w:pPr>
  </w:style>
  <w:style w:type="paragraph" w:customStyle="1" w:styleId="Point32">
    <w:name w:val="Point 3"/>
    <w:basedOn w:val="Normal"/>
    <w:pPr>
      <w:ind w:left="2551" w:hanging="567"/>
    </w:pPr>
  </w:style>
  <w:style w:type="paragraph" w:customStyle="1" w:styleId="Point43">
    <w:name w:val="Point 4"/>
    <w:basedOn w:val="Normal"/>
    <w:pPr>
      <w:ind w:left="3118" w:hanging="567"/>
    </w:pPr>
  </w:style>
  <w:style w:type="paragraph" w:customStyle="1" w:styleId="ManualNumPar12">
    <w:name w:val="Manual NumPar 1"/>
    <w:basedOn w:val="Normal"/>
    <w:next w:val="Text1"/>
    <w:pPr>
      <w:ind w:left="850" w:hanging="850"/>
    </w:pPr>
  </w:style>
  <w:style w:type="paragraph" w:customStyle="1" w:styleId="Titrearticle3">
    <w:name w:val="Titre article"/>
    <w:basedOn w:val="Normal"/>
    <w:next w:val="Normal"/>
    <w:pPr>
      <w:keepNext/>
      <w:spacing w:before="360"/>
      <w:jc w:val="center"/>
    </w:pPr>
    <w:rPr>
      <w:i/>
    </w:rPr>
  </w:style>
  <w:style w:type="paragraph" w:customStyle="1" w:styleId="Text23">
    <w:name w:val="Text 2"/>
    <w:basedOn w:val="Normal"/>
    <w:pPr>
      <w:ind w:left="1417"/>
    </w:pPr>
  </w:style>
  <w:style w:type="paragraph" w:customStyle="1" w:styleId="NormalCentered3">
    <w:name w:val="Normal Centered"/>
    <w:basedOn w:val="Normal"/>
    <w:pPr>
      <w:jc w:val="center"/>
    </w:pPr>
  </w:style>
  <w:style w:type="paragraph" w:customStyle="1" w:styleId="Point03">
    <w:name w:val="Point 0"/>
    <w:basedOn w:val="Normal"/>
    <w:pPr>
      <w:ind w:left="850" w:hanging="850"/>
    </w:pPr>
  </w:style>
  <w:style w:type="paragraph" w:customStyle="1" w:styleId="Point13">
    <w:name w:val="Point 1"/>
    <w:basedOn w:val="Normal"/>
    <w:pPr>
      <w:ind w:left="1417" w:hanging="567"/>
    </w:pPr>
  </w:style>
  <w:style w:type="paragraph" w:customStyle="1" w:styleId="Point23">
    <w:name w:val="Point 2"/>
    <w:basedOn w:val="Normal"/>
    <w:pPr>
      <w:ind w:left="1984" w:hanging="567"/>
    </w:pPr>
  </w:style>
  <w:style w:type="paragraph" w:customStyle="1" w:styleId="Point33">
    <w:name w:val="Point 3"/>
    <w:basedOn w:val="Normal"/>
    <w:pPr>
      <w:ind w:left="2551" w:hanging="567"/>
    </w:pPr>
  </w:style>
  <w:style w:type="paragraph" w:customStyle="1" w:styleId="Point44">
    <w:name w:val="Point 4"/>
    <w:basedOn w:val="Normal"/>
    <w:pPr>
      <w:ind w:left="3118" w:hanging="567"/>
    </w:pPr>
  </w:style>
  <w:style w:type="paragraph" w:customStyle="1" w:styleId="ManualNumPar13">
    <w:name w:val="Manual NumPar 1"/>
    <w:basedOn w:val="Normal"/>
    <w:next w:val="Text1"/>
    <w:pPr>
      <w:ind w:left="850" w:hanging="850"/>
    </w:pPr>
  </w:style>
  <w:style w:type="paragraph" w:customStyle="1" w:styleId="Titrearticle4">
    <w:name w:val="Titre article"/>
    <w:basedOn w:val="Normal"/>
    <w:next w:val="Normal"/>
    <w:pPr>
      <w:keepNext/>
      <w:spacing w:before="360"/>
      <w:jc w:val="center"/>
    </w:pPr>
    <w:rPr>
      <w:i/>
    </w:rPr>
  </w:style>
  <w:style w:type="paragraph" w:customStyle="1" w:styleId="Text24">
    <w:name w:val="Text 2"/>
    <w:basedOn w:val="Normal"/>
    <w:pPr>
      <w:ind w:left="1417"/>
    </w:pPr>
  </w:style>
  <w:style w:type="paragraph" w:customStyle="1" w:styleId="NormalCentered4">
    <w:name w:val="Normal Centered"/>
    <w:basedOn w:val="Normal"/>
    <w:pPr>
      <w:jc w:val="center"/>
    </w:pPr>
  </w:style>
  <w:style w:type="paragraph" w:customStyle="1" w:styleId="Point04">
    <w:name w:val="Point 0"/>
    <w:basedOn w:val="Normal"/>
    <w:pPr>
      <w:ind w:left="850" w:hanging="850"/>
    </w:pPr>
  </w:style>
  <w:style w:type="paragraph" w:customStyle="1" w:styleId="Point14">
    <w:name w:val="Point 1"/>
    <w:basedOn w:val="Normal"/>
    <w:pPr>
      <w:ind w:left="1417" w:hanging="567"/>
    </w:pPr>
  </w:style>
  <w:style w:type="paragraph" w:customStyle="1" w:styleId="Point24">
    <w:name w:val="Point 2"/>
    <w:basedOn w:val="Normal"/>
    <w:pPr>
      <w:ind w:left="1984" w:hanging="567"/>
    </w:pPr>
  </w:style>
  <w:style w:type="paragraph" w:customStyle="1" w:styleId="Point34">
    <w:name w:val="Point 3"/>
    <w:basedOn w:val="Normal"/>
    <w:pPr>
      <w:ind w:left="2551" w:hanging="567"/>
    </w:pPr>
  </w:style>
  <w:style w:type="paragraph" w:customStyle="1" w:styleId="Point45">
    <w:name w:val="Point 4"/>
    <w:basedOn w:val="Normal"/>
    <w:pPr>
      <w:ind w:left="3118" w:hanging="567"/>
    </w:pPr>
  </w:style>
  <w:style w:type="paragraph" w:customStyle="1" w:styleId="ManualNumPar14">
    <w:name w:val="Manual NumPar 1"/>
    <w:basedOn w:val="Normal"/>
    <w:next w:val="Text1"/>
    <w:pPr>
      <w:ind w:left="850" w:hanging="850"/>
    </w:pPr>
  </w:style>
  <w:style w:type="paragraph" w:customStyle="1" w:styleId="Titrearticle5">
    <w:name w:val="Titre article"/>
    <w:basedOn w:val="Normal"/>
    <w:next w:val="Normal"/>
    <w:pPr>
      <w:keepNext/>
      <w:spacing w:before="360"/>
      <w:jc w:val="center"/>
    </w:pPr>
    <w:rPr>
      <w:i/>
    </w:rPr>
  </w:style>
  <w:style w:type="paragraph" w:customStyle="1" w:styleId="Text25">
    <w:name w:val="Text 2"/>
    <w:basedOn w:val="Normal"/>
    <w:pPr>
      <w:ind w:left="1417"/>
    </w:pPr>
  </w:style>
  <w:style w:type="paragraph" w:customStyle="1" w:styleId="NormalCentered5">
    <w:name w:val="Normal Centered"/>
    <w:basedOn w:val="Normal"/>
    <w:pPr>
      <w:jc w:val="center"/>
    </w:pPr>
  </w:style>
  <w:style w:type="paragraph" w:customStyle="1" w:styleId="Point05">
    <w:name w:val="Point 0"/>
    <w:basedOn w:val="Normal"/>
    <w:pPr>
      <w:ind w:left="850" w:hanging="850"/>
    </w:pPr>
  </w:style>
  <w:style w:type="paragraph" w:customStyle="1" w:styleId="Point15">
    <w:name w:val="Point 1"/>
    <w:basedOn w:val="Normal"/>
    <w:pPr>
      <w:ind w:left="1417" w:hanging="567"/>
    </w:pPr>
  </w:style>
  <w:style w:type="paragraph" w:customStyle="1" w:styleId="Point25">
    <w:name w:val="Point 2"/>
    <w:basedOn w:val="Normal"/>
    <w:pPr>
      <w:ind w:left="1984" w:hanging="567"/>
    </w:pPr>
  </w:style>
  <w:style w:type="paragraph" w:customStyle="1" w:styleId="Point35">
    <w:name w:val="Point 3"/>
    <w:basedOn w:val="Normal"/>
    <w:pPr>
      <w:ind w:left="2551" w:hanging="567"/>
    </w:pPr>
  </w:style>
  <w:style w:type="paragraph" w:customStyle="1" w:styleId="Point46">
    <w:name w:val="Point 4"/>
    <w:basedOn w:val="Normal"/>
    <w:pPr>
      <w:ind w:left="3118" w:hanging="567"/>
    </w:pPr>
  </w:style>
  <w:style w:type="paragraph" w:customStyle="1" w:styleId="ManualNumPar15">
    <w:name w:val="Manual NumPar 1"/>
    <w:basedOn w:val="Normal"/>
    <w:next w:val="Text1"/>
    <w:pPr>
      <w:ind w:left="850" w:hanging="850"/>
    </w:pPr>
  </w:style>
  <w:style w:type="paragraph" w:customStyle="1" w:styleId="Titrearticle6">
    <w:name w:val="Titre article"/>
    <w:basedOn w:val="Normal"/>
    <w:next w:val="Normal"/>
    <w:pPr>
      <w:keepNext/>
      <w:spacing w:before="360"/>
      <w:jc w:val="center"/>
    </w:pPr>
    <w:rPr>
      <w:i/>
    </w:rPr>
  </w:style>
  <w:style w:type="paragraph" w:customStyle="1" w:styleId="Text26">
    <w:name w:val="Text 2"/>
    <w:basedOn w:val="Normal"/>
    <w:pPr>
      <w:ind w:left="1417"/>
    </w:pPr>
  </w:style>
  <w:style w:type="paragraph" w:customStyle="1" w:styleId="NormalCentered6">
    <w:name w:val="Normal Centered"/>
    <w:basedOn w:val="Normal"/>
    <w:pPr>
      <w:jc w:val="center"/>
    </w:pPr>
  </w:style>
  <w:style w:type="paragraph" w:customStyle="1" w:styleId="Point06">
    <w:name w:val="Point 0"/>
    <w:basedOn w:val="Normal"/>
    <w:pPr>
      <w:ind w:left="850" w:hanging="850"/>
    </w:pPr>
  </w:style>
  <w:style w:type="paragraph" w:customStyle="1" w:styleId="Point16">
    <w:name w:val="Point 1"/>
    <w:basedOn w:val="Normal"/>
    <w:pPr>
      <w:ind w:left="1417" w:hanging="567"/>
    </w:pPr>
  </w:style>
  <w:style w:type="paragraph" w:customStyle="1" w:styleId="Point26">
    <w:name w:val="Point 2"/>
    <w:basedOn w:val="Normal"/>
    <w:pPr>
      <w:ind w:left="1984" w:hanging="567"/>
    </w:pPr>
  </w:style>
  <w:style w:type="paragraph" w:customStyle="1" w:styleId="Point36">
    <w:name w:val="Point 3"/>
    <w:basedOn w:val="Normal"/>
    <w:pPr>
      <w:ind w:left="2551" w:hanging="567"/>
    </w:pPr>
  </w:style>
  <w:style w:type="paragraph" w:customStyle="1" w:styleId="Point47">
    <w:name w:val="Point 4"/>
    <w:basedOn w:val="Normal"/>
    <w:pPr>
      <w:ind w:left="3118" w:hanging="567"/>
    </w:pPr>
  </w:style>
  <w:style w:type="paragraph" w:customStyle="1" w:styleId="ManualNumPar16">
    <w:name w:val="Manual NumPar 1"/>
    <w:basedOn w:val="Normal"/>
    <w:next w:val="Text1"/>
    <w:pPr>
      <w:ind w:left="850" w:hanging="850"/>
    </w:pPr>
  </w:style>
  <w:style w:type="paragraph" w:customStyle="1" w:styleId="Titrearticle7">
    <w:name w:val="Titre article"/>
    <w:basedOn w:val="Normal"/>
    <w:next w:val="Normal"/>
    <w:pPr>
      <w:keepNext/>
      <w:spacing w:before="360"/>
      <w:jc w:val="center"/>
    </w:pPr>
    <w:rPr>
      <w:i/>
    </w:rPr>
  </w:style>
  <w:style w:type="paragraph" w:customStyle="1" w:styleId="Text27">
    <w:name w:val="Text 2"/>
    <w:basedOn w:val="Normal"/>
    <w:pPr>
      <w:ind w:left="1417"/>
    </w:pPr>
  </w:style>
  <w:style w:type="paragraph" w:customStyle="1" w:styleId="NormalCentered7">
    <w:name w:val="Normal Centered"/>
    <w:basedOn w:val="Normal"/>
    <w:pPr>
      <w:jc w:val="center"/>
    </w:pPr>
  </w:style>
  <w:style w:type="paragraph" w:customStyle="1" w:styleId="Point07">
    <w:name w:val="Point 0"/>
    <w:basedOn w:val="Normal"/>
    <w:pPr>
      <w:ind w:left="850" w:hanging="850"/>
    </w:pPr>
  </w:style>
  <w:style w:type="paragraph" w:customStyle="1" w:styleId="Point17">
    <w:name w:val="Point 1"/>
    <w:basedOn w:val="Normal"/>
    <w:pPr>
      <w:ind w:left="1417" w:hanging="567"/>
    </w:pPr>
  </w:style>
  <w:style w:type="paragraph" w:customStyle="1" w:styleId="Point27">
    <w:name w:val="Point 2"/>
    <w:basedOn w:val="Normal"/>
    <w:pPr>
      <w:ind w:left="1984" w:hanging="567"/>
    </w:pPr>
  </w:style>
  <w:style w:type="paragraph" w:customStyle="1" w:styleId="Point37">
    <w:name w:val="Point 3"/>
    <w:basedOn w:val="Normal"/>
    <w:pPr>
      <w:ind w:left="2551" w:hanging="567"/>
    </w:pPr>
  </w:style>
  <w:style w:type="paragraph" w:customStyle="1" w:styleId="Point48">
    <w:name w:val="Point 4"/>
    <w:basedOn w:val="Normal"/>
    <w:pPr>
      <w:ind w:left="3118" w:hanging="567"/>
    </w:pPr>
  </w:style>
  <w:style w:type="paragraph" w:customStyle="1" w:styleId="ManualNumPar17">
    <w:name w:val="Manual NumPar 1"/>
    <w:basedOn w:val="Normal"/>
    <w:next w:val="Text1"/>
    <w:pPr>
      <w:ind w:left="850" w:hanging="850"/>
    </w:pPr>
  </w:style>
  <w:style w:type="paragraph" w:customStyle="1" w:styleId="Titrearticle8">
    <w:name w:val="Titre article"/>
    <w:basedOn w:val="Normal"/>
    <w:next w:val="Normal"/>
    <w:pPr>
      <w:keepNext/>
      <w:spacing w:before="360"/>
      <w:jc w:val="center"/>
    </w:pPr>
    <w:rPr>
      <w:i/>
    </w:rPr>
  </w:style>
  <w:style w:type="paragraph" w:customStyle="1" w:styleId="Text28">
    <w:name w:val="Text 2"/>
    <w:basedOn w:val="Normal"/>
    <w:pPr>
      <w:ind w:left="1417"/>
    </w:pPr>
  </w:style>
  <w:style w:type="paragraph" w:customStyle="1" w:styleId="NormalCentered8">
    <w:name w:val="Normal Centered"/>
    <w:basedOn w:val="Normal"/>
    <w:pPr>
      <w:jc w:val="center"/>
    </w:pPr>
  </w:style>
  <w:style w:type="paragraph" w:customStyle="1" w:styleId="Point08">
    <w:name w:val="Point 0"/>
    <w:basedOn w:val="Normal"/>
    <w:pPr>
      <w:ind w:left="850" w:hanging="850"/>
    </w:pPr>
  </w:style>
  <w:style w:type="paragraph" w:customStyle="1" w:styleId="Point18">
    <w:name w:val="Point 1"/>
    <w:basedOn w:val="Normal"/>
    <w:pPr>
      <w:ind w:left="1417" w:hanging="567"/>
    </w:pPr>
  </w:style>
  <w:style w:type="paragraph" w:customStyle="1" w:styleId="Point28">
    <w:name w:val="Point 2"/>
    <w:basedOn w:val="Normal"/>
    <w:pPr>
      <w:ind w:left="1984" w:hanging="567"/>
    </w:pPr>
  </w:style>
  <w:style w:type="paragraph" w:customStyle="1" w:styleId="Point38">
    <w:name w:val="Point 3"/>
    <w:basedOn w:val="Normal"/>
    <w:pPr>
      <w:ind w:left="2551" w:hanging="567"/>
    </w:pPr>
  </w:style>
  <w:style w:type="paragraph" w:customStyle="1" w:styleId="Point49">
    <w:name w:val="Point 4"/>
    <w:basedOn w:val="Normal"/>
    <w:pPr>
      <w:ind w:left="3118" w:hanging="567"/>
    </w:pPr>
  </w:style>
  <w:style w:type="paragraph" w:customStyle="1" w:styleId="ManualNumPar18">
    <w:name w:val="Manual NumPar 1"/>
    <w:basedOn w:val="Normal"/>
    <w:next w:val="Text1"/>
    <w:pPr>
      <w:ind w:left="850" w:hanging="850"/>
    </w:pPr>
  </w:style>
  <w:style w:type="paragraph" w:customStyle="1" w:styleId="Titrearticle9">
    <w:name w:val="Titre article"/>
    <w:basedOn w:val="Normal"/>
    <w:next w:val="Normal"/>
    <w:pPr>
      <w:keepNext/>
      <w:spacing w:before="360"/>
      <w:jc w:val="center"/>
    </w:pPr>
    <w:rPr>
      <w:i/>
    </w:rPr>
  </w:style>
  <w:style w:type="paragraph" w:customStyle="1" w:styleId="Text29">
    <w:name w:val="Text 2"/>
    <w:basedOn w:val="Normal"/>
    <w:pPr>
      <w:ind w:left="1417"/>
    </w:pPr>
  </w:style>
  <w:style w:type="paragraph" w:customStyle="1" w:styleId="NormalCentered9">
    <w:name w:val="Normal Centered"/>
    <w:basedOn w:val="Normal"/>
    <w:pPr>
      <w:jc w:val="center"/>
    </w:pPr>
  </w:style>
  <w:style w:type="paragraph" w:customStyle="1" w:styleId="Point09">
    <w:name w:val="Point 0"/>
    <w:basedOn w:val="Normal"/>
    <w:pPr>
      <w:ind w:left="850" w:hanging="850"/>
    </w:pPr>
  </w:style>
  <w:style w:type="paragraph" w:customStyle="1" w:styleId="Point19">
    <w:name w:val="Point 1"/>
    <w:basedOn w:val="Normal"/>
    <w:pPr>
      <w:ind w:left="1417" w:hanging="567"/>
    </w:pPr>
  </w:style>
  <w:style w:type="paragraph" w:customStyle="1" w:styleId="Point29">
    <w:name w:val="Point 2"/>
    <w:basedOn w:val="Normal"/>
    <w:pPr>
      <w:ind w:left="1984" w:hanging="567"/>
    </w:pPr>
  </w:style>
  <w:style w:type="paragraph" w:customStyle="1" w:styleId="Point39">
    <w:name w:val="Point 3"/>
    <w:basedOn w:val="Normal"/>
    <w:pPr>
      <w:ind w:left="2551" w:hanging="567"/>
    </w:pPr>
  </w:style>
  <w:style w:type="paragraph" w:customStyle="1" w:styleId="Point4a">
    <w:name w:val="Point 4"/>
    <w:basedOn w:val="Normal"/>
    <w:pPr>
      <w:ind w:left="3118" w:hanging="567"/>
    </w:pPr>
  </w:style>
  <w:style w:type="paragraph" w:customStyle="1" w:styleId="ManualNumPar19">
    <w:name w:val="Manual NumPar 1"/>
    <w:basedOn w:val="Normal"/>
    <w:next w:val="Text1"/>
    <w:pPr>
      <w:ind w:left="850" w:hanging="850"/>
    </w:pPr>
  </w:style>
  <w:style w:type="paragraph" w:customStyle="1" w:styleId="Titrearticlea">
    <w:name w:val="Titre article"/>
    <w:basedOn w:val="Normal"/>
    <w:next w:val="Normal"/>
    <w:pPr>
      <w:keepNext/>
      <w:spacing w:before="360"/>
      <w:jc w:val="center"/>
    </w:pPr>
    <w:rPr>
      <w:i/>
    </w:rPr>
  </w:style>
  <w:style w:type="paragraph" w:customStyle="1" w:styleId="Text2a">
    <w:name w:val="Text 2"/>
    <w:basedOn w:val="Normal"/>
    <w:pPr>
      <w:ind w:left="1417"/>
    </w:pPr>
  </w:style>
  <w:style w:type="paragraph" w:customStyle="1" w:styleId="NormalCentereda">
    <w:name w:val="Normal Centered"/>
    <w:basedOn w:val="Normal"/>
    <w:pPr>
      <w:jc w:val="center"/>
    </w:pPr>
  </w:style>
  <w:style w:type="paragraph" w:customStyle="1" w:styleId="Point0a">
    <w:name w:val="Point 0"/>
    <w:basedOn w:val="Normal"/>
    <w:pPr>
      <w:ind w:left="850" w:hanging="850"/>
    </w:pPr>
  </w:style>
  <w:style w:type="paragraph" w:customStyle="1" w:styleId="Point1a">
    <w:name w:val="Point 1"/>
    <w:basedOn w:val="Normal"/>
    <w:pPr>
      <w:ind w:left="1417" w:hanging="567"/>
    </w:pPr>
  </w:style>
  <w:style w:type="paragraph" w:customStyle="1" w:styleId="Point2a">
    <w:name w:val="Point 2"/>
    <w:basedOn w:val="Normal"/>
    <w:pPr>
      <w:ind w:left="1984" w:hanging="567"/>
    </w:pPr>
  </w:style>
  <w:style w:type="paragraph" w:customStyle="1" w:styleId="Point3a">
    <w:name w:val="Point 3"/>
    <w:basedOn w:val="Normal"/>
    <w:pPr>
      <w:ind w:left="2551" w:hanging="567"/>
    </w:pPr>
  </w:style>
  <w:style w:type="paragraph" w:customStyle="1" w:styleId="Point4b">
    <w:name w:val="Point 4"/>
    <w:basedOn w:val="Normal"/>
    <w:pPr>
      <w:ind w:left="3118" w:hanging="567"/>
    </w:pPr>
  </w:style>
  <w:style w:type="paragraph" w:customStyle="1" w:styleId="ManualNumPar1a">
    <w:name w:val="Manual NumPar 1"/>
    <w:basedOn w:val="Normal"/>
    <w:next w:val="Text1"/>
    <w:pPr>
      <w:ind w:left="850" w:hanging="850"/>
    </w:pPr>
  </w:style>
  <w:style w:type="paragraph" w:customStyle="1" w:styleId="Titrearticleb">
    <w:name w:val="Titre article"/>
    <w:basedOn w:val="Normal"/>
    <w:next w:val="Normal"/>
    <w:pPr>
      <w:keepNext/>
      <w:spacing w:before="360"/>
      <w:jc w:val="center"/>
    </w:pPr>
    <w:rPr>
      <w:i/>
    </w:rPr>
  </w:style>
  <w:style w:type="paragraph" w:customStyle="1" w:styleId="Text2b">
    <w:name w:val="Text 2"/>
    <w:basedOn w:val="Normal"/>
    <w:pPr>
      <w:ind w:left="1417"/>
    </w:pPr>
  </w:style>
  <w:style w:type="paragraph" w:customStyle="1" w:styleId="NormalCenteredb">
    <w:name w:val="Normal Centered"/>
    <w:basedOn w:val="Normal"/>
    <w:pPr>
      <w:jc w:val="center"/>
    </w:pPr>
  </w:style>
  <w:style w:type="paragraph" w:customStyle="1" w:styleId="Point0b">
    <w:name w:val="Point 0"/>
    <w:basedOn w:val="Normal"/>
    <w:pPr>
      <w:ind w:left="850" w:hanging="850"/>
    </w:pPr>
  </w:style>
  <w:style w:type="paragraph" w:customStyle="1" w:styleId="Point1b">
    <w:name w:val="Point 1"/>
    <w:basedOn w:val="Normal"/>
    <w:pPr>
      <w:ind w:left="1417" w:hanging="567"/>
    </w:pPr>
  </w:style>
  <w:style w:type="paragraph" w:customStyle="1" w:styleId="Point2b">
    <w:name w:val="Point 2"/>
    <w:basedOn w:val="Normal"/>
    <w:pPr>
      <w:ind w:left="1984" w:hanging="567"/>
    </w:pPr>
  </w:style>
  <w:style w:type="paragraph" w:customStyle="1" w:styleId="Point3b">
    <w:name w:val="Point 3"/>
    <w:basedOn w:val="Normal"/>
    <w:pPr>
      <w:ind w:left="2551" w:hanging="567"/>
    </w:pPr>
  </w:style>
  <w:style w:type="paragraph" w:customStyle="1" w:styleId="Point4c">
    <w:name w:val="Point 4"/>
    <w:basedOn w:val="Normal"/>
    <w:pPr>
      <w:ind w:left="3118" w:hanging="567"/>
    </w:pPr>
  </w:style>
  <w:style w:type="paragraph" w:customStyle="1" w:styleId="ManualNumPar1b">
    <w:name w:val="Manual NumPar 1"/>
    <w:basedOn w:val="Normal"/>
    <w:next w:val="Text1"/>
    <w:pPr>
      <w:ind w:left="850" w:hanging="850"/>
    </w:pPr>
  </w:style>
  <w:style w:type="paragraph" w:customStyle="1" w:styleId="Titrearticlec">
    <w:name w:val="Titre article"/>
    <w:basedOn w:val="Normal"/>
    <w:next w:val="Normal"/>
    <w:pPr>
      <w:keepNext/>
      <w:spacing w:before="360"/>
      <w:jc w:val="center"/>
    </w:pPr>
    <w:rPr>
      <w:i/>
    </w:rPr>
  </w:style>
  <w:style w:type="paragraph" w:customStyle="1" w:styleId="Text2c">
    <w:name w:val="Text 2"/>
    <w:basedOn w:val="Normal"/>
    <w:pPr>
      <w:ind w:left="1417"/>
    </w:pPr>
  </w:style>
  <w:style w:type="paragraph" w:customStyle="1" w:styleId="NormalCenteredc">
    <w:name w:val="Normal Centered"/>
    <w:basedOn w:val="Normal"/>
    <w:pPr>
      <w:jc w:val="center"/>
    </w:pPr>
  </w:style>
  <w:style w:type="paragraph" w:customStyle="1" w:styleId="Point0c">
    <w:name w:val="Point 0"/>
    <w:basedOn w:val="Normal"/>
    <w:pPr>
      <w:ind w:left="850" w:hanging="850"/>
    </w:pPr>
  </w:style>
  <w:style w:type="paragraph" w:customStyle="1" w:styleId="Point1c">
    <w:name w:val="Point 1"/>
    <w:basedOn w:val="Normal"/>
    <w:pPr>
      <w:ind w:left="1417" w:hanging="567"/>
    </w:pPr>
  </w:style>
  <w:style w:type="paragraph" w:customStyle="1" w:styleId="Point2c">
    <w:name w:val="Point 2"/>
    <w:basedOn w:val="Normal"/>
    <w:pPr>
      <w:ind w:left="1984" w:hanging="567"/>
    </w:pPr>
  </w:style>
  <w:style w:type="paragraph" w:customStyle="1" w:styleId="Point3c">
    <w:name w:val="Point 3"/>
    <w:basedOn w:val="Normal"/>
    <w:pPr>
      <w:ind w:left="2551" w:hanging="567"/>
    </w:pPr>
  </w:style>
  <w:style w:type="paragraph" w:customStyle="1" w:styleId="Point4d">
    <w:name w:val="Point 4"/>
    <w:basedOn w:val="Normal"/>
    <w:pPr>
      <w:ind w:left="3118" w:hanging="567"/>
    </w:pPr>
  </w:style>
  <w:style w:type="paragraph" w:customStyle="1" w:styleId="ManualNumPar1c">
    <w:name w:val="Manual NumPar 1"/>
    <w:basedOn w:val="Normal"/>
    <w:next w:val="Text1"/>
    <w:pPr>
      <w:ind w:left="850" w:hanging="850"/>
    </w:pPr>
  </w:style>
  <w:style w:type="paragraph" w:customStyle="1" w:styleId="Titrearticled">
    <w:name w:val="Titre article"/>
    <w:basedOn w:val="Normal"/>
    <w:next w:val="Normal"/>
    <w:pPr>
      <w:keepNext/>
      <w:spacing w:before="360"/>
      <w:jc w:val="center"/>
    </w:pPr>
    <w:rPr>
      <w:i/>
    </w:rPr>
  </w:style>
  <w:style w:type="paragraph" w:customStyle="1" w:styleId="Text2d">
    <w:name w:val="Text 2"/>
    <w:basedOn w:val="Normal"/>
    <w:pPr>
      <w:ind w:left="1417"/>
    </w:pPr>
  </w:style>
  <w:style w:type="paragraph" w:customStyle="1" w:styleId="NormalCenteredd">
    <w:name w:val="Normal Centered"/>
    <w:basedOn w:val="Normal"/>
    <w:pPr>
      <w:jc w:val="center"/>
    </w:pPr>
  </w:style>
  <w:style w:type="paragraph" w:customStyle="1" w:styleId="Point0d">
    <w:name w:val="Point 0"/>
    <w:basedOn w:val="Normal"/>
    <w:pPr>
      <w:ind w:left="850" w:hanging="850"/>
    </w:pPr>
  </w:style>
  <w:style w:type="paragraph" w:customStyle="1" w:styleId="Point1d">
    <w:name w:val="Point 1"/>
    <w:basedOn w:val="Normal"/>
    <w:pPr>
      <w:ind w:left="1417" w:hanging="567"/>
    </w:pPr>
  </w:style>
  <w:style w:type="paragraph" w:customStyle="1" w:styleId="Point2d">
    <w:name w:val="Point 2"/>
    <w:basedOn w:val="Normal"/>
    <w:pPr>
      <w:ind w:left="1984" w:hanging="567"/>
    </w:pPr>
  </w:style>
  <w:style w:type="paragraph" w:customStyle="1" w:styleId="Point3d">
    <w:name w:val="Point 3"/>
    <w:basedOn w:val="Normal"/>
    <w:pPr>
      <w:ind w:left="2551" w:hanging="567"/>
    </w:pPr>
  </w:style>
  <w:style w:type="paragraph" w:customStyle="1" w:styleId="Point4e">
    <w:name w:val="Point 4"/>
    <w:basedOn w:val="Normal"/>
    <w:pPr>
      <w:ind w:left="3118" w:hanging="567"/>
    </w:pPr>
  </w:style>
  <w:style w:type="paragraph" w:customStyle="1" w:styleId="ManualNumPar1d">
    <w:name w:val="Manual NumPar 1"/>
    <w:basedOn w:val="Normal"/>
    <w:next w:val="Text1"/>
    <w:pPr>
      <w:ind w:left="850" w:hanging="850"/>
    </w:pPr>
  </w:style>
  <w:style w:type="paragraph" w:customStyle="1" w:styleId="Titrearticlee">
    <w:name w:val="Titre article"/>
    <w:basedOn w:val="Normal"/>
    <w:next w:val="Normal"/>
    <w:pPr>
      <w:keepNext/>
      <w:spacing w:before="360"/>
      <w:jc w:val="center"/>
    </w:pPr>
    <w:rPr>
      <w:i/>
    </w:rPr>
  </w:style>
  <w:style w:type="paragraph" w:customStyle="1" w:styleId="Text2e">
    <w:name w:val="Text 2"/>
    <w:basedOn w:val="Normal"/>
    <w:pPr>
      <w:ind w:left="1417"/>
    </w:pPr>
  </w:style>
  <w:style w:type="paragraph" w:customStyle="1" w:styleId="NormalCenterede">
    <w:name w:val="Normal Centered"/>
    <w:basedOn w:val="Normal"/>
    <w:pPr>
      <w:jc w:val="center"/>
    </w:pPr>
  </w:style>
  <w:style w:type="paragraph" w:customStyle="1" w:styleId="Point0e">
    <w:name w:val="Point 0"/>
    <w:basedOn w:val="Normal"/>
    <w:pPr>
      <w:ind w:left="850" w:hanging="850"/>
    </w:pPr>
  </w:style>
  <w:style w:type="paragraph" w:customStyle="1" w:styleId="Point1e">
    <w:name w:val="Point 1"/>
    <w:basedOn w:val="Normal"/>
    <w:pPr>
      <w:ind w:left="1417" w:hanging="567"/>
    </w:pPr>
  </w:style>
  <w:style w:type="paragraph" w:customStyle="1" w:styleId="Point2e">
    <w:name w:val="Point 2"/>
    <w:basedOn w:val="Normal"/>
    <w:pPr>
      <w:ind w:left="1984" w:hanging="567"/>
    </w:pPr>
  </w:style>
  <w:style w:type="paragraph" w:customStyle="1" w:styleId="Point3e">
    <w:name w:val="Point 3"/>
    <w:basedOn w:val="Normal"/>
    <w:pPr>
      <w:ind w:left="2551" w:hanging="567"/>
    </w:pPr>
  </w:style>
  <w:style w:type="paragraph" w:customStyle="1" w:styleId="Point4f">
    <w:name w:val="Point 4"/>
    <w:basedOn w:val="Normal"/>
    <w:pPr>
      <w:ind w:left="3118" w:hanging="567"/>
    </w:pPr>
  </w:style>
  <w:style w:type="paragraph" w:customStyle="1" w:styleId="ManualNumPar1e">
    <w:name w:val="Manual NumPar 1"/>
    <w:basedOn w:val="Normal"/>
    <w:next w:val="Text1"/>
    <w:pPr>
      <w:ind w:left="850" w:hanging="850"/>
    </w:pPr>
  </w:style>
  <w:style w:type="paragraph" w:customStyle="1" w:styleId="Titrearticlef">
    <w:name w:val="Titre article"/>
    <w:basedOn w:val="Normal"/>
    <w:next w:val="Normal"/>
    <w:pPr>
      <w:keepNext/>
      <w:spacing w:before="360"/>
      <w:jc w:val="center"/>
    </w:pPr>
    <w:rPr>
      <w:i/>
    </w:rPr>
  </w:style>
  <w:style w:type="paragraph" w:customStyle="1" w:styleId="Text2f">
    <w:name w:val="Text 2"/>
    <w:basedOn w:val="Normal"/>
    <w:pPr>
      <w:ind w:left="1417"/>
    </w:pPr>
  </w:style>
  <w:style w:type="paragraph" w:customStyle="1" w:styleId="NormalCenteredf">
    <w:name w:val="Normal Centered"/>
    <w:basedOn w:val="Normal"/>
    <w:pPr>
      <w:jc w:val="center"/>
    </w:pPr>
  </w:style>
  <w:style w:type="paragraph" w:customStyle="1" w:styleId="Point0f">
    <w:name w:val="Point 0"/>
    <w:basedOn w:val="Normal"/>
    <w:pPr>
      <w:ind w:left="850" w:hanging="850"/>
    </w:pPr>
  </w:style>
  <w:style w:type="paragraph" w:customStyle="1" w:styleId="Point1f">
    <w:name w:val="Point 1"/>
    <w:basedOn w:val="Normal"/>
    <w:pPr>
      <w:ind w:left="1417" w:hanging="567"/>
    </w:pPr>
  </w:style>
  <w:style w:type="paragraph" w:customStyle="1" w:styleId="Point2f">
    <w:name w:val="Point 2"/>
    <w:basedOn w:val="Normal"/>
    <w:pPr>
      <w:ind w:left="1984" w:hanging="567"/>
    </w:pPr>
  </w:style>
  <w:style w:type="paragraph" w:customStyle="1" w:styleId="Point3f">
    <w:name w:val="Point 3"/>
    <w:basedOn w:val="Normal"/>
    <w:pPr>
      <w:ind w:left="2551" w:hanging="567"/>
    </w:pPr>
  </w:style>
  <w:style w:type="paragraph" w:customStyle="1" w:styleId="Point4f0">
    <w:name w:val="Point 4"/>
    <w:basedOn w:val="Normal"/>
    <w:pPr>
      <w:ind w:left="3118" w:hanging="567"/>
    </w:pPr>
  </w:style>
  <w:style w:type="paragraph" w:customStyle="1" w:styleId="ManualNumPar1f">
    <w:name w:val="Manual NumPar 1"/>
    <w:basedOn w:val="Normal"/>
    <w:next w:val="Text1"/>
    <w:pPr>
      <w:ind w:left="850" w:hanging="850"/>
    </w:pPr>
  </w:style>
  <w:style w:type="paragraph" w:customStyle="1" w:styleId="Titrearticlef0">
    <w:name w:val="Titre article"/>
    <w:basedOn w:val="Normal"/>
    <w:next w:val="Normal"/>
    <w:pPr>
      <w:keepNext/>
      <w:spacing w:before="360"/>
      <w:jc w:val="center"/>
    </w:pPr>
    <w:rPr>
      <w:i/>
    </w:rPr>
  </w:style>
  <w:style w:type="paragraph" w:customStyle="1" w:styleId="Text2f0">
    <w:name w:val="Text 2"/>
    <w:basedOn w:val="Normal"/>
    <w:pPr>
      <w:ind w:left="1417"/>
    </w:pPr>
  </w:style>
  <w:style w:type="paragraph" w:customStyle="1" w:styleId="NormalCenteredf0">
    <w:name w:val="Normal Centered"/>
    <w:basedOn w:val="Normal"/>
    <w:pPr>
      <w:jc w:val="center"/>
    </w:pPr>
  </w:style>
  <w:style w:type="paragraph" w:customStyle="1" w:styleId="Point0f0">
    <w:name w:val="Point 0"/>
    <w:basedOn w:val="Normal"/>
    <w:pPr>
      <w:ind w:left="850" w:hanging="850"/>
    </w:pPr>
  </w:style>
  <w:style w:type="paragraph" w:customStyle="1" w:styleId="Point1f0">
    <w:name w:val="Point 1"/>
    <w:basedOn w:val="Normal"/>
    <w:pPr>
      <w:ind w:left="1417" w:hanging="567"/>
    </w:pPr>
  </w:style>
  <w:style w:type="paragraph" w:customStyle="1" w:styleId="Point2f0">
    <w:name w:val="Point 2"/>
    <w:basedOn w:val="Normal"/>
    <w:pPr>
      <w:ind w:left="1984" w:hanging="567"/>
    </w:pPr>
  </w:style>
  <w:style w:type="paragraph" w:customStyle="1" w:styleId="Point3f0">
    <w:name w:val="Point 3"/>
    <w:basedOn w:val="Normal"/>
    <w:pPr>
      <w:ind w:left="2551" w:hanging="567"/>
    </w:pPr>
  </w:style>
  <w:style w:type="paragraph" w:customStyle="1" w:styleId="Point4f1">
    <w:name w:val="Point 4"/>
    <w:basedOn w:val="Normal"/>
    <w:pPr>
      <w:ind w:left="3118" w:hanging="567"/>
    </w:pPr>
  </w:style>
  <w:style w:type="paragraph" w:customStyle="1" w:styleId="ManualNumPar1f0">
    <w:name w:val="Manual NumPar 1"/>
    <w:basedOn w:val="Normal"/>
    <w:next w:val="Text1"/>
    <w:pPr>
      <w:ind w:left="850" w:hanging="850"/>
    </w:pPr>
  </w:style>
  <w:style w:type="paragraph" w:customStyle="1" w:styleId="Titrearticlef1">
    <w:name w:val="Titre article"/>
    <w:basedOn w:val="Normal"/>
    <w:next w:val="Normal"/>
    <w:pPr>
      <w:keepNext/>
      <w:spacing w:before="360"/>
      <w:jc w:val="center"/>
    </w:pPr>
    <w:rPr>
      <w:i/>
    </w:rPr>
  </w:style>
  <w:style w:type="paragraph" w:customStyle="1" w:styleId="Text2f1">
    <w:name w:val="Text 2"/>
    <w:basedOn w:val="Normal"/>
    <w:pPr>
      <w:ind w:left="1417"/>
    </w:pPr>
  </w:style>
  <w:style w:type="paragraph" w:customStyle="1" w:styleId="NormalCenteredf1">
    <w:name w:val="Normal Centered"/>
    <w:basedOn w:val="Normal"/>
    <w:pPr>
      <w:jc w:val="center"/>
    </w:pPr>
  </w:style>
  <w:style w:type="paragraph" w:customStyle="1" w:styleId="Point0f1">
    <w:name w:val="Point 0"/>
    <w:basedOn w:val="Normal"/>
    <w:pPr>
      <w:ind w:left="850" w:hanging="850"/>
    </w:pPr>
  </w:style>
  <w:style w:type="paragraph" w:customStyle="1" w:styleId="Point1f1">
    <w:name w:val="Point 1"/>
    <w:basedOn w:val="Normal"/>
    <w:pPr>
      <w:ind w:left="1417" w:hanging="567"/>
    </w:pPr>
  </w:style>
  <w:style w:type="paragraph" w:customStyle="1" w:styleId="Point2f1">
    <w:name w:val="Point 2"/>
    <w:basedOn w:val="Normal"/>
    <w:pPr>
      <w:ind w:left="1984" w:hanging="567"/>
    </w:pPr>
  </w:style>
  <w:style w:type="paragraph" w:customStyle="1" w:styleId="Point3f1">
    <w:name w:val="Point 3"/>
    <w:basedOn w:val="Normal"/>
    <w:pPr>
      <w:ind w:left="2551" w:hanging="567"/>
    </w:pPr>
  </w:style>
  <w:style w:type="paragraph" w:customStyle="1" w:styleId="Point4f2">
    <w:name w:val="Point 4"/>
    <w:basedOn w:val="Normal"/>
    <w:pPr>
      <w:ind w:left="3118" w:hanging="567"/>
    </w:pPr>
  </w:style>
  <w:style w:type="paragraph" w:customStyle="1" w:styleId="ManualNumPar1f1">
    <w:name w:val="Manual NumPar 1"/>
    <w:basedOn w:val="Normal"/>
    <w:next w:val="Text1"/>
    <w:pPr>
      <w:ind w:left="850" w:hanging="850"/>
    </w:pPr>
  </w:style>
  <w:style w:type="paragraph" w:customStyle="1" w:styleId="Titrearticlef2">
    <w:name w:val="Titre article"/>
    <w:basedOn w:val="Normal"/>
    <w:next w:val="Normal"/>
    <w:pPr>
      <w:keepNext/>
      <w:spacing w:before="360"/>
      <w:jc w:val="center"/>
    </w:pPr>
    <w:rPr>
      <w:i/>
    </w:rPr>
  </w:style>
  <w:style w:type="paragraph" w:customStyle="1" w:styleId="Text2f2">
    <w:name w:val="Text 2"/>
    <w:basedOn w:val="Normal"/>
    <w:pPr>
      <w:ind w:left="1417"/>
    </w:pPr>
  </w:style>
  <w:style w:type="paragraph" w:customStyle="1" w:styleId="NormalCenteredf2">
    <w:name w:val="Normal Centered"/>
    <w:basedOn w:val="Normal"/>
    <w:pPr>
      <w:jc w:val="center"/>
    </w:pPr>
  </w:style>
  <w:style w:type="paragraph" w:customStyle="1" w:styleId="Point0f2">
    <w:name w:val="Point 0"/>
    <w:basedOn w:val="Normal"/>
    <w:pPr>
      <w:ind w:left="850" w:hanging="850"/>
    </w:pPr>
  </w:style>
  <w:style w:type="paragraph" w:customStyle="1" w:styleId="Point1f2">
    <w:name w:val="Point 1"/>
    <w:basedOn w:val="Normal"/>
    <w:pPr>
      <w:ind w:left="1417" w:hanging="567"/>
    </w:pPr>
  </w:style>
  <w:style w:type="paragraph" w:customStyle="1" w:styleId="Point2f2">
    <w:name w:val="Point 2"/>
    <w:basedOn w:val="Normal"/>
    <w:pPr>
      <w:ind w:left="1984" w:hanging="567"/>
    </w:pPr>
  </w:style>
  <w:style w:type="paragraph" w:customStyle="1" w:styleId="Point3f2">
    <w:name w:val="Point 3"/>
    <w:basedOn w:val="Normal"/>
    <w:pPr>
      <w:ind w:left="2551" w:hanging="567"/>
    </w:pPr>
  </w:style>
  <w:style w:type="paragraph" w:customStyle="1" w:styleId="Point4f3">
    <w:name w:val="Point 4"/>
    <w:basedOn w:val="Normal"/>
    <w:pPr>
      <w:ind w:left="3118" w:hanging="567"/>
    </w:pPr>
  </w:style>
  <w:style w:type="paragraph" w:customStyle="1" w:styleId="ManualNumPar1f2">
    <w:name w:val="Manual NumPar 1"/>
    <w:basedOn w:val="Normal"/>
    <w:next w:val="Text1"/>
    <w:pPr>
      <w:ind w:left="850" w:hanging="850"/>
    </w:pPr>
  </w:style>
  <w:style w:type="paragraph" w:customStyle="1" w:styleId="Sous-titreobjet">
    <w:name w:val="Sous-titre objet"/>
    <w:basedOn w:val="Normal"/>
    <w:pPr>
      <w:spacing w:before="0" w:after="0"/>
      <w:jc w:val="center"/>
    </w:pPr>
    <w:rPr>
      <w:b/>
    </w:rPr>
  </w:style>
  <w:style w:type="paragraph" w:customStyle="1" w:styleId="Titrearticlef3">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customStyle="1" w:styleId="Text2f3">
    <w:name w:val="Text 2"/>
    <w:basedOn w:val="Normal"/>
    <w:pPr>
      <w:ind w:left="1417"/>
    </w:pPr>
  </w:style>
  <w:style w:type="paragraph" w:customStyle="1" w:styleId="NormalCenteredf3">
    <w:name w:val="Normal Centered"/>
    <w:basedOn w:val="Normal"/>
    <w:pPr>
      <w:jc w:val="center"/>
    </w:pPr>
  </w:style>
  <w:style w:type="paragraph" w:customStyle="1" w:styleId="Point0f3">
    <w:name w:val="Point 0"/>
    <w:basedOn w:val="Normal"/>
    <w:pPr>
      <w:ind w:left="850" w:hanging="850"/>
    </w:pPr>
  </w:style>
  <w:style w:type="paragraph" w:customStyle="1" w:styleId="Point1f3">
    <w:name w:val="Point 1"/>
    <w:basedOn w:val="Normal"/>
    <w:pPr>
      <w:ind w:left="1417" w:hanging="567"/>
    </w:pPr>
  </w:style>
  <w:style w:type="paragraph" w:customStyle="1" w:styleId="Point2f3">
    <w:name w:val="Point 2"/>
    <w:basedOn w:val="Normal"/>
    <w:pPr>
      <w:ind w:left="1984" w:hanging="567"/>
    </w:pPr>
  </w:style>
  <w:style w:type="paragraph" w:customStyle="1" w:styleId="Point3f3">
    <w:name w:val="Point 3"/>
    <w:basedOn w:val="Normal"/>
    <w:pPr>
      <w:ind w:left="2551" w:hanging="567"/>
    </w:pPr>
  </w:style>
  <w:style w:type="paragraph" w:customStyle="1" w:styleId="Point4f4">
    <w:name w:val="Point 4"/>
    <w:basedOn w:val="Normal"/>
    <w:pPr>
      <w:ind w:left="3118" w:hanging="567"/>
    </w:pPr>
  </w:style>
  <w:style w:type="paragraph" w:customStyle="1" w:styleId="ManualNumPar1f3">
    <w:name w:val="Manual NumPar 1"/>
    <w:basedOn w:val="Normal"/>
    <w:next w:val="Text1"/>
    <w:pPr>
      <w:ind w:left="850" w:hanging="850"/>
    </w:pPr>
  </w:style>
  <w:style w:type="paragraph" w:customStyle="1" w:styleId="Titrearticlef4">
    <w:name w:val="Titre article"/>
    <w:basedOn w:val="Normal"/>
    <w:next w:val="Normal"/>
    <w:pPr>
      <w:keepNext/>
      <w:spacing w:before="360"/>
      <w:jc w:val="center"/>
    </w:pPr>
    <w:rPr>
      <w:i/>
    </w:rPr>
  </w:style>
  <w:style w:type="paragraph" w:customStyle="1" w:styleId="Text2f4">
    <w:name w:val="Text 2"/>
    <w:basedOn w:val="Normal"/>
    <w:pPr>
      <w:ind w:left="1417"/>
    </w:pPr>
  </w:style>
  <w:style w:type="paragraph" w:customStyle="1" w:styleId="NormalCenteredf4">
    <w:name w:val="Normal Centered"/>
    <w:basedOn w:val="Normal"/>
    <w:pPr>
      <w:jc w:val="center"/>
    </w:pPr>
  </w:style>
  <w:style w:type="paragraph" w:customStyle="1" w:styleId="Point0f4">
    <w:name w:val="Point 0"/>
    <w:basedOn w:val="Normal"/>
    <w:pPr>
      <w:ind w:left="850" w:hanging="850"/>
    </w:pPr>
  </w:style>
  <w:style w:type="paragraph" w:customStyle="1" w:styleId="Point1f4">
    <w:name w:val="Point 1"/>
    <w:basedOn w:val="Normal"/>
    <w:pPr>
      <w:ind w:left="1417" w:hanging="567"/>
    </w:pPr>
  </w:style>
  <w:style w:type="paragraph" w:customStyle="1" w:styleId="Point2f4">
    <w:name w:val="Point 2"/>
    <w:basedOn w:val="Normal"/>
    <w:pPr>
      <w:ind w:left="1984" w:hanging="567"/>
    </w:pPr>
  </w:style>
  <w:style w:type="paragraph" w:customStyle="1" w:styleId="Point3f4">
    <w:name w:val="Point 3"/>
    <w:basedOn w:val="Normal"/>
    <w:pPr>
      <w:ind w:left="2551" w:hanging="567"/>
    </w:pPr>
  </w:style>
  <w:style w:type="paragraph" w:customStyle="1" w:styleId="Point4f5">
    <w:name w:val="Point 4"/>
    <w:basedOn w:val="Normal"/>
    <w:pPr>
      <w:ind w:left="3118" w:hanging="567"/>
    </w:pPr>
  </w:style>
  <w:style w:type="paragraph" w:customStyle="1" w:styleId="ManualNumPar1f4">
    <w:name w:val="Manual NumPar 1"/>
    <w:basedOn w:val="Normal"/>
    <w:next w:val="Text1"/>
    <w:pPr>
      <w:ind w:left="850" w:hanging="850"/>
    </w:pPr>
  </w:style>
  <w:style w:type="paragraph" w:customStyle="1" w:styleId="Titrearticlef5">
    <w:name w:val="Titre article"/>
    <w:basedOn w:val="Normal"/>
    <w:next w:val="Normal"/>
    <w:pPr>
      <w:keepNext/>
      <w:spacing w:before="360"/>
      <w:jc w:val="center"/>
    </w:pPr>
    <w:rPr>
      <w:i/>
    </w:rPr>
  </w:style>
  <w:style w:type="paragraph" w:customStyle="1" w:styleId="Text2f5">
    <w:name w:val="Text 2"/>
    <w:basedOn w:val="Normal"/>
    <w:pPr>
      <w:ind w:left="1417"/>
    </w:pPr>
  </w:style>
  <w:style w:type="paragraph" w:customStyle="1" w:styleId="NormalCenteredf5">
    <w:name w:val="Normal Centered"/>
    <w:basedOn w:val="Normal"/>
    <w:pPr>
      <w:jc w:val="center"/>
    </w:pPr>
  </w:style>
  <w:style w:type="paragraph" w:customStyle="1" w:styleId="Point0f5">
    <w:name w:val="Point 0"/>
    <w:basedOn w:val="Normal"/>
    <w:pPr>
      <w:ind w:left="850" w:hanging="850"/>
    </w:pPr>
  </w:style>
  <w:style w:type="paragraph" w:customStyle="1" w:styleId="Point1f5">
    <w:name w:val="Point 1"/>
    <w:basedOn w:val="Normal"/>
    <w:pPr>
      <w:ind w:left="1417" w:hanging="567"/>
    </w:pPr>
  </w:style>
  <w:style w:type="paragraph" w:customStyle="1" w:styleId="Point2f5">
    <w:name w:val="Point 2"/>
    <w:basedOn w:val="Normal"/>
    <w:pPr>
      <w:ind w:left="1984" w:hanging="567"/>
    </w:pPr>
  </w:style>
  <w:style w:type="paragraph" w:customStyle="1" w:styleId="Point3f5">
    <w:name w:val="Point 3"/>
    <w:basedOn w:val="Normal"/>
    <w:pPr>
      <w:ind w:left="2551" w:hanging="567"/>
    </w:pPr>
  </w:style>
  <w:style w:type="paragraph" w:customStyle="1" w:styleId="Point4f6">
    <w:name w:val="Point 4"/>
    <w:basedOn w:val="Normal"/>
    <w:pPr>
      <w:ind w:left="3118" w:hanging="567"/>
    </w:pPr>
  </w:style>
  <w:style w:type="paragraph" w:customStyle="1" w:styleId="ManualNumPar1f5">
    <w:name w:val="Manual NumPar 1"/>
    <w:basedOn w:val="Normal"/>
    <w:next w:val="Text1"/>
    <w:pPr>
      <w:ind w:left="850" w:hanging="850"/>
    </w:pPr>
  </w:style>
  <w:style w:type="paragraph" w:customStyle="1" w:styleId="Titrearticlef6">
    <w:name w:val="Titre article"/>
    <w:basedOn w:val="Normal"/>
    <w:next w:val="Normal"/>
    <w:pPr>
      <w:keepNext/>
      <w:spacing w:before="360"/>
      <w:jc w:val="center"/>
    </w:pPr>
    <w:rPr>
      <w:i/>
    </w:rPr>
  </w:style>
  <w:style w:type="paragraph" w:customStyle="1" w:styleId="Text2f6">
    <w:name w:val="Text 2"/>
    <w:basedOn w:val="Normal"/>
    <w:pPr>
      <w:ind w:left="1417"/>
    </w:pPr>
  </w:style>
  <w:style w:type="paragraph" w:customStyle="1" w:styleId="NormalCenteredf6">
    <w:name w:val="Normal Centered"/>
    <w:basedOn w:val="Normal"/>
    <w:pPr>
      <w:jc w:val="center"/>
    </w:pPr>
  </w:style>
  <w:style w:type="paragraph" w:customStyle="1" w:styleId="Point0f6">
    <w:name w:val="Point 0"/>
    <w:basedOn w:val="Normal"/>
    <w:pPr>
      <w:ind w:left="850" w:hanging="850"/>
    </w:pPr>
  </w:style>
  <w:style w:type="paragraph" w:customStyle="1" w:styleId="Point1f6">
    <w:name w:val="Point 1"/>
    <w:basedOn w:val="Normal"/>
    <w:pPr>
      <w:ind w:left="1417" w:hanging="567"/>
    </w:pPr>
  </w:style>
  <w:style w:type="paragraph" w:customStyle="1" w:styleId="Point2f6">
    <w:name w:val="Point 2"/>
    <w:basedOn w:val="Normal"/>
    <w:pPr>
      <w:ind w:left="1984" w:hanging="567"/>
    </w:pPr>
  </w:style>
  <w:style w:type="paragraph" w:customStyle="1" w:styleId="Point3f6">
    <w:name w:val="Point 3"/>
    <w:basedOn w:val="Normal"/>
    <w:pPr>
      <w:ind w:left="2551" w:hanging="567"/>
    </w:pPr>
  </w:style>
  <w:style w:type="paragraph" w:customStyle="1" w:styleId="Point4f7">
    <w:name w:val="Point 4"/>
    <w:basedOn w:val="Normal"/>
    <w:pPr>
      <w:ind w:left="3118" w:hanging="567"/>
    </w:pPr>
  </w:style>
  <w:style w:type="paragraph" w:customStyle="1" w:styleId="ManualNumPar1f6">
    <w:name w:val="Manual NumPar 1"/>
    <w:basedOn w:val="Normal"/>
    <w:next w:val="Text1"/>
    <w:pPr>
      <w:ind w:left="850" w:hanging="850"/>
    </w:pPr>
  </w:style>
  <w:style w:type="paragraph" w:customStyle="1" w:styleId="Titrearticlef7">
    <w:name w:val="Titre article"/>
    <w:basedOn w:val="Normal"/>
    <w:next w:val="Normal"/>
    <w:pPr>
      <w:keepNext/>
      <w:spacing w:before="360"/>
      <w:jc w:val="center"/>
    </w:pPr>
    <w:rPr>
      <w:i/>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f7">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f7">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f7">
    <w:name w:val="Point 0"/>
    <w:basedOn w:val="Normal"/>
    <w:pPr>
      <w:ind w:left="850" w:hanging="850"/>
    </w:pPr>
  </w:style>
  <w:style w:type="paragraph" w:customStyle="1" w:styleId="Point1f7">
    <w:name w:val="Point 1"/>
    <w:basedOn w:val="Normal"/>
    <w:pPr>
      <w:ind w:left="1417" w:hanging="567"/>
    </w:pPr>
  </w:style>
  <w:style w:type="paragraph" w:customStyle="1" w:styleId="Point2f7">
    <w:name w:val="Point 2"/>
    <w:basedOn w:val="Normal"/>
    <w:pPr>
      <w:ind w:left="1984" w:hanging="567"/>
    </w:pPr>
  </w:style>
  <w:style w:type="paragraph" w:customStyle="1" w:styleId="Point3f7">
    <w:name w:val="Point 3"/>
    <w:basedOn w:val="Normal"/>
    <w:pPr>
      <w:ind w:left="2551" w:hanging="567"/>
    </w:pPr>
  </w:style>
  <w:style w:type="paragraph" w:customStyle="1" w:styleId="Point4f8">
    <w:name w:val="Point 4"/>
    <w:basedOn w:val="Normal"/>
    <w:pPr>
      <w:ind w:left="3118" w:hanging="567"/>
    </w:pPr>
  </w:style>
  <w:style w:type="paragraph" w:customStyle="1" w:styleId="Tiret0">
    <w:name w:val="Tiret 0"/>
    <w:basedOn w:val="Point0f7"/>
    <w:pPr>
      <w:numPr>
        <w:numId w:val="35"/>
      </w:numPr>
    </w:pPr>
  </w:style>
  <w:style w:type="paragraph" w:customStyle="1" w:styleId="Tiret1">
    <w:name w:val="Tiret 1"/>
    <w:basedOn w:val="Point1f7"/>
    <w:pPr>
      <w:numPr>
        <w:numId w:val="36"/>
      </w:numPr>
    </w:pPr>
  </w:style>
  <w:style w:type="paragraph" w:customStyle="1" w:styleId="Tiret2">
    <w:name w:val="Tiret 2"/>
    <w:basedOn w:val="Point2f7"/>
    <w:pPr>
      <w:numPr>
        <w:numId w:val="37"/>
      </w:numPr>
    </w:pPr>
  </w:style>
  <w:style w:type="paragraph" w:customStyle="1" w:styleId="Tiret3">
    <w:name w:val="Tiret 3"/>
    <w:basedOn w:val="Point3f7"/>
    <w:pPr>
      <w:numPr>
        <w:numId w:val="38"/>
      </w:numPr>
    </w:pPr>
  </w:style>
  <w:style w:type="paragraph" w:customStyle="1" w:styleId="Tiret4">
    <w:name w:val="Tiret 4"/>
    <w:basedOn w:val="Point4f8"/>
    <w:pPr>
      <w:numPr>
        <w:numId w:val="3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0"/>
      </w:numPr>
    </w:pPr>
  </w:style>
  <w:style w:type="paragraph" w:customStyle="1" w:styleId="NumPar2">
    <w:name w:val="NumPar 2"/>
    <w:basedOn w:val="Normal"/>
    <w:next w:val="Text1"/>
    <w:pPr>
      <w:numPr>
        <w:ilvl w:val="1"/>
        <w:numId w:val="40"/>
      </w:numPr>
    </w:pPr>
  </w:style>
  <w:style w:type="paragraph" w:customStyle="1" w:styleId="NumPar3">
    <w:name w:val="NumPar 3"/>
    <w:basedOn w:val="Normal"/>
    <w:next w:val="Text1"/>
    <w:pPr>
      <w:numPr>
        <w:ilvl w:val="2"/>
        <w:numId w:val="40"/>
      </w:numPr>
    </w:pPr>
  </w:style>
  <w:style w:type="paragraph" w:customStyle="1" w:styleId="NumPar4">
    <w:name w:val="NumPar 4"/>
    <w:basedOn w:val="Normal"/>
    <w:next w:val="Text1"/>
    <w:pPr>
      <w:numPr>
        <w:ilvl w:val="3"/>
        <w:numId w:val="40"/>
      </w:numPr>
    </w:pPr>
  </w:style>
  <w:style w:type="paragraph" w:customStyle="1" w:styleId="ManualNumPar1f7">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2"/>
      </w:numPr>
    </w:pPr>
  </w:style>
  <w:style w:type="paragraph" w:customStyle="1" w:styleId="Point1number">
    <w:name w:val="Point 1 (number)"/>
    <w:basedOn w:val="Normal"/>
    <w:pPr>
      <w:numPr>
        <w:ilvl w:val="2"/>
        <w:numId w:val="42"/>
      </w:numPr>
    </w:pPr>
  </w:style>
  <w:style w:type="paragraph" w:customStyle="1" w:styleId="Point2number">
    <w:name w:val="Point 2 (number)"/>
    <w:basedOn w:val="Normal"/>
    <w:pPr>
      <w:numPr>
        <w:ilvl w:val="4"/>
        <w:numId w:val="42"/>
      </w:numPr>
    </w:pPr>
  </w:style>
  <w:style w:type="paragraph" w:customStyle="1" w:styleId="Point3number">
    <w:name w:val="Point 3 (number)"/>
    <w:basedOn w:val="Normal"/>
    <w:pPr>
      <w:numPr>
        <w:ilvl w:val="6"/>
        <w:numId w:val="42"/>
      </w:numPr>
    </w:pPr>
  </w:style>
  <w:style w:type="paragraph" w:customStyle="1" w:styleId="Point0letter">
    <w:name w:val="Point 0 (letter)"/>
    <w:basedOn w:val="Normal"/>
    <w:pPr>
      <w:numPr>
        <w:ilvl w:val="1"/>
        <w:numId w:val="42"/>
      </w:numPr>
    </w:pPr>
  </w:style>
  <w:style w:type="paragraph" w:customStyle="1" w:styleId="Point1letter">
    <w:name w:val="Point 1 (letter)"/>
    <w:basedOn w:val="Normal"/>
    <w:pPr>
      <w:numPr>
        <w:ilvl w:val="3"/>
        <w:numId w:val="42"/>
      </w:numPr>
    </w:pPr>
  </w:style>
  <w:style w:type="paragraph" w:customStyle="1" w:styleId="Point2letter">
    <w:name w:val="Point 2 (letter)"/>
    <w:basedOn w:val="Normal"/>
    <w:pPr>
      <w:numPr>
        <w:ilvl w:val="5"/>
        <w:numId w:val="42"/>
      </w:numPr>
    </w:pPr>
  </w:style>
  <w:style w:type="paragraph" w:customStyle="1" w:styleId="Point3letter">
    <w:name w:val="Point 3 (letter)"/>
    <w:basedOn w:val="Normal"/>
    <w:pPr>
      <w:numPr>
        <w:ilvl w:val="7"/>
        <w:numId w:val="42"/>
      </w:numPr>
    </w:pPr>
  </w:style>
  <w:style w:type="paragraph" w:customStyle="1" w:styleId="Point4letter">
    <w:name w:val="Point 4 (letter)"/>
    <w:basedOn w:val="Normal"/>
    <w:pPr>
      <w:numPr>
        <w:ilvl w:val="8"/>
        <w:numId w:val="42"/>
      </w:numPr>
    </w:pPr>
  </w:style>
  <w:style w:type="paragraph" w:customStyle="1" w:styleId="Bullet0">
    <w:name w:val="Bullet 0"/>
    <w:basedOn w:val="Normal"/>
    <w:pPr>
      <w:numPr>
        <w:numId w:val="43"/>
      </w:numPr>
    </w:pPr>
  </w:style>
  <w:style w:type="paragraph" w:customStyle="1" w:styleId="Bullet1">
    <w:name w:val="Bullet 1"/>
    <w:basedOn w:val="Normal"/>
    <w:pPr>
      <w:numPr>
        <w:numId w:val="44"/>
      </w:numPr>
    </w:pPr>
  </w:style>
  <w:style w:type="paragraph" w:customStyle="1" w:styleId="Bullet2">
    <w:name w:val="Bullet 2"/>
    <w:basedOn w:val="Normal"/>
    <w:pPr>
      <w:numPr>
        <w:numId w:val="45"/>
      </w:numPr>
    </w:pPr>
  </w:style>
  <w:style w:type="paragraph" w:customStyle="1" w:styleId="Bullet3">
    <w:name w:val="Bullet 3"/>
    <w:basedOn w:val="Normal"/>
    <w:pPr>
      <w:numPr>
        <w:numId w:val="46"/>
      </w:numPr>
    </w:pPr>
  </w:style>
  <w:style w:type="paragraph" w:customStyle="1" w:styleId="Bullet4">
    <w:name w:val="Bullet 4"/>
    <w:basedOn w:val="Normal"/>
    <w:pPr>
      <w:numPr>
        <w:numId w:val="4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f8"/>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f8">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f8"/>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91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45106-9346-4E38-B022-F8237098D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TotalTime>
  <Pages>16</Pages>
  <Words>6279</Words>
  <Characters>29202</Characters>
  <Application>Microsoft Office Word</Application>
  <DocSecurity>0</DocSecurity>
  <Lines>2654</Lines>
  <Paragraphs>2087</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33394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dcterms:created xsi:type="dcterms:W3CDTF">2017-10-30T13:26:00Z</dcterms:created>
  <dcterms:modified xsi:type="dcterms:W3CDTF">2017-11-14T09:48:00Z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5.8.86.0</vt:lpwstr>
  </property>
  <property fmtid="{D5CDD505-2E9C-101B-9397-08002B2CF9AE}" pid="4" name="Last edited using">
    <vt:lpwstr>LW 6.0, Build 20171009</vt:lpwstr>
  </property>
  <property fmtid="{D5CDD505-2E9C-101B-9397-08002B2CF9AE}" pid="5" name="Created using">
    <vt:lpwstr>LW 5.8.4, Build 20150407</vt:lpwstr>
  </property>
  <property fmtid="{D5CDD505-2E9C-101B-9397-08002B2CF9AE}" pid="6" name="First annex">
    <vt:lpwstr>1</vt:lpwstr>
  </property>
  <property fmtid="{D5CDD505-2E9C-101B-9397-08002B2CF9AE}" pid="7" name="Last annex">
    <vt:lpwstr>1</vt:lpwstr>
  </property>
  <property fmtid="{D5CDD505-2E9C-101B-9397-08002B2CF9AE}" pid="8" name="Part">
    <vt:lpwstr>1</vt:lpwstr>
  </property>
  <property fmtid="{D5CDD505-2E9C-101B-9397-08002B2CF9AE}" pid="9" name="Total parts">
    <vt:lpwstr>1</vt:lpwstr>
  </property>
  <property fmtid="{D5CDD505-2E9C-101B-9397-08002B2CF9AE}" pid="10" name="LWTemplateID">
    <vt:lpwstr>SG-017</vt:lpwstr>
  </property>
  <property fmtid="{D5CDD505-2E9C-101B-9397-08002B2CF9AE}" pid="11" name="Level of sensitivity">
    <vt:lpwstr>Standard treatment</vt:lpwstr>
  </property>
  <property fmtid="{D5CDD505-2E9C-101B-9397-08002B2CF9AE}" pid="12" name="Unique annex">
    <vt:lpwstr>1</vt:lpwstr>
  </property>
  <property fmtid="{D5CDD505-2E9C-101B-9397-08002B2CF9AE}" pid="13" name="DQCStatus">
    <vt:lpwstr>Green (DQC version 03)</vt:lpwstr>
  </property>
  <property name="OP_sanitized" fmtid="{D5CDD505-2E9C-101B-9397-08002B2CF9AE}" pid="14">
    <vt:lpwstr>True</vt:lpwstr>
  </property>
</Properties>
</file>