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5A1BD716-7647-430F-A576-0579F48E8FFB" style="width:451.25pt;height:406.9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EXPUNERE DE MOTIVE</w:t>
      </w:r>
    </w:p>
    <w:p>
      <w:pPr>
        <w:pStyle w:val="ManualHeading1"/>
        <w:rPr>
          <w:rFonts w:eastAsia="Arial Unicode MS"/>
          <w:noProof/>
        </w:rPr>
      </w:pPr>
      <w:r>
        <w:t>1.</w:t>
      </w:r>
      <w:r>
        <w:tab/>
      </w:r>
      <w:r>
        <w:rPr>
          <w:noProof/>
        </w:rPr>
        <w:t>Obiectul propunerii</w:t>
      </w:r>
    </w:p>
    <w:p>
      <w:pPr>
        <w:pBdr>
          <w:top w:val="nil"/>
          <w:left w:val="nil"/>
          <w:bottom w:val="nil"/>
          <w:right w:val="nil"/>
          <w:between w:val="nil"/>
          <w:bar w:val="nil"/>
        </w:pBdr>
        <w:spacing w:before="0" w:after="240"/>
        <w:rPr>
          <w:noProof/>
        </w:rPr>
      </w:pPr>
      <w:r>
        <w:rPr>
          <w:noProof/>
        </w:rPr>
        <w:t>Prezenta propunere se referă la decizia de stabilire a poziției care trebuie adoptată în numele Uniunii în cadrul Consiliului de asociere în legătură cu modificarea preconizată a anexei I-A și la o decizie a Comitetului de asociere reunit în configurația comerț cu privire la recalcularea programului de eliminare a taxelor la export prevăzut în anexele I-C și I-D la Acordul de asociere între Uniunea Europeană și Comunitatea Europeană a Energiei Atomice și statele membre ale acestora, pe de o parte, și Ucraina, pe de altă parte (denumit în continuare „acordul”). Propunerea introduce, de asemenea, un amendament corectiv la anexa I-C.</w:t>
      </w:r>
    </w:p>
    <w:p>
      <w:pPr>
        <w:pStyle w:val="ManualHeading1"/>
        <w:rPr>
          <w:rFonts w:eastAsia="Times New Roman"/>
          <w:noProof/>
        </w:rPr>
      </w:pPr>
      <w:r>
        <w:t>2.</w:t>
      </w:r>
      <w:r>
        <w:tab/>
      </w:r>
      <w:r>
        <w:rPr>
          <w:noProof/>
        </w:rPr>
        <w:t>Contextul propunerii</w:t>
      </w:r>
    </w:p>
    <w:p>
      <w:pPr>
        <w:pStyle w:val="ManualHeading2"/>
        <w:rPr>
          <w:noProof/>
        </w:rPr>
      </w:pPr>
      <w:r>
        <w:t>2.1.</w:t>
      </w:r>
      <w:r>
        <w:tab/>
      </w:r>
      <w:r>
        <w:rPr>
          <w:noProof/>
        </w:rPr>
        <w:t xml:space="preserve">Acordul de asociere între Uniunea Europeană și Comunitatea Europeană a Energiei Atomice și statele membre ale acestora, pe de o parte, și Ucraina, pe de altă parte </w:t>
      </w:r>
    </w:p>
    <w:p>
      <w:pPr>
        <w:pBdr>
          <w:top w:val="nil"/>
          <w:left w:val="nil"/>
          <w:bottom w:val="nil"/>
          <w:right w:val="nil"/>
          <w:between w:val="nil"/>
          <w:bar w:val="nil"/>
        </w:pBdr>
        <w:spacing w:before="0" w:after="240"/>
        <w:rPr>
          <w:noProof/>
        </w:rPr>
      </w:pPr>
      <w:r>
        <w:rPr>
          <w:noProof/>
        </w:rPr>
        <w:t>Acordul are ca scop stabilirea condițiilor pentru consolidarea relațiilor economice și comerciale care să conducă la integrarea progresivă a Ucrainei în cadrul pieței interne a UE. Acordul a fost semnat la 21 martie și 27 iunie 2014 și este aplicat parțial, cu titlu provizoriu. Titlul IV privind comerțul și aspectele legate de comerț se aplică cu titlu provizoriu de la 1 ianuarie 2016.</w:t>
      </w:r>
    </w:p>
    <w:p>
      <w:pPr>
        <w:pStyle w:val="ManualHeading2"/>
        <w:rPr>
          <w:noProof/>
        </w:rPr>
      </w:pPr>
      <w:r>
        <w:t>2.2.</w:t>
      </w:r>
      <w:r>
        <w:tab/>
      </w:r>
      <w:r>
        <w:rPr>
          <w:noProof/>
        </w:rPr>
        <w:t xml:space="preserve">Consiliul de asociere și Comitetul de asociere reunit în configurația comerț </w:t>
      </w:r>
    </w:p>
    <w:p>
      <w:pPr>
        <w:pStyle w:val="ManualHeading3"/>
        <w:rPr>
          <w:noProof/>
        </w:rPr>
      </w:pPr>
      <w:r>
        <w:t>2.2.1.</w:t>
      </w:r>
      <w:r>
        <w:tab/>
      </w:r>
      <w:r>
        <w:rPr>
          <w:noProof/>
        </w:rPr>
        <w:t>Consiliul de asociere</w:t>
      </w:r>
    </w:p>
    <w:p>
      <w:pPr>
        <w:pBdr>
          <w:top w:val="nil"/>
          <w:left w:val="nil"/>
          <w:bottom w:val="nil"/>
          <w:right w:val="nil"/>
          <w:between w:val="nil"/>
          <w:bar w:val="nil"/>
        </w:pBdr>
        <w:spacing w:before="0" w:after="240"/>
        <w:rPr>
          <w:noProof/>
        </w:rPr>
      </w:pPr>
      <w:r>
        <w:rPr>
          <w:noProof/>
        </w:rPr>
        <w:t xml:space="preserve">Consiliul de asociere este un organism instituit prin acord care se reunește la intervale regulate cel puțin o dată pe an, la nivel ministerial, pentru a purta un dialog politic și strategic. Acesta supraveghează și monitorizează punerea în aplicare și aplicarea acestui acord și reexaminează periodic funcționarea acordului în lumina obiectivelor sale. Acesta este alcătuit din membri ai Consiliului Uniunii Europene și din membri ai Comisiei Europene, pe de o parte, și din membri ai Guvernului Ucrainei, pe de altă parte. Consiliul de asociere are competența de a lua decizii în domeniul de aplicare al acordului și în cazurile prevăzute de acesta. Aceste decizii sunt obligatorii pentru părți, care trebuie să adopte măsurile necesare, inclusiv, dacă este necesar, acțiuni în cadrul organismelor specifice stabilite în conformitate cu prezentul acord pentru punerea în aplicare a deciziilor luate. Acesta adoptă decizii și formulează recomandări pe baza consensului între părți, în urma finalizării procedurilor interne respective necesare. </w:t>
      </w:r>
    </w:p>
    <w:p>
      <w:pPr>
        <w:pStyle w:val="ManualHeading3"/>
        <w:rPr>
          <w:noProof/>
        </w:rPr>
      </w:pPr>
      <w:r>
        <w:t>2.2.2.</w:t>
      </w:r>
      <w:r>
        <w:tab/>
      </w:r>
      <w:r>
        <w:rPr>
          <w:noProof/>
        </w:rPr>
        <w:t xml:space="preserve">Comitetul de asociere reunit în configurația comerț </w:t>
      </w:r>
    </w:p>
    <w:p>
      <w:pPr>
        <w:pBdr>
          <w:top w:val="nil"/>
          <w:left w:val="nil"/>
          <w:bottom w:val="nil"/>
          <w:right w:val="nil"/>
          <w:between w:val="nil"/>
          <w:bar w:val="nil"/>
        </w:pBdr>
        <w:spacing w:before="0" w:after="240"/>
        <w:rPr>
          <w:noProof/>
        </w:rPr>
      </w:pPr>
      <w:r>
        <w:rPr>
          <w:noProof/>
        </w:rPr>
        <w:t xml:space="preserve">Comitetul de asociere reunit în configurația comerț este un organism creat prin articolul 465 alineatul (4) din acord, care, în conformitate cu articolul 465 alineatul (3) din acord, dispune de competența de a adopta decizii în cazurile prevăzute în acord și în domeniile în care Consiliul de asociere i-a delegat competențe. Aceste decizii sunt obligatorii pentru părți, care iau măsurile adecvate pentru a le pune în aplicare. </w:t>
      </w:r>
    </w:p>
    <w:p>
      <w:pPr>
        <w:pBdr>
          <w:top w:val="nil"/>
          <w:left w:val="nil"/>
          <w:bottom w:val="nil"/>
          <w:right w:val="nil"/>
          <w:between w:val="nil"/>
          <w:bar w:val="nil"/>
        </w:pBdr>
        <w:spacing w:before="0" w:after="240"/>
        <w:rPr>
          <w:noProof/>
        </w:rPr>
      </w:pPr>
      <w:r>
        <w:rPr>
          <w:noProof/>
        </w:rPr>
        <w:t xml:space="preserve">Astfel cum se prevede la articolul 465 alineatul (4) din acord, Comitetul de asociere se reunește în configurația comerț pentru a soluționa toate chestiunile legate de titlul IV (Comerț și aspecte legate de comerț) din acord. Astfel cum se precizează la articolul 1 alineatul (4) din regulamentul de procedură al Comitetului de asociere și al subcomitetelor (denumit în </w:t>
      </w:r>
      <w:r>
        <w:rPr>
          <w:noProof/>
        </w:rPr>
        <w:lastRenderedPageBreak/>
        <w:t>continuare „regulamentul de procedură”)</w:t>
      </w:r>
      <w:r>
        <w:rPr>
          <w:rStyle w:val="FootnoteReference"/>
          <w:noProof/>
        </w:rPr>
        <w:footnoteReference w:id="1"/>
      </w:r>
      <w:r>
        <w:rPr>
          <w:noProof/>
        </w:rPr>
        <w:t>, Comitetul de asociere reunit în configurația comerț este alcătuit din înalți funcționari ai Comisiei Europene și ai Ucrainei care sunt responsabili pentru comerț și aspecte legate de comerț. Un reprezentant al Comisiei Europene sau al Ucrainei care este responsabil pentru comerț și aspecte legate de comerț exercită funcția de președinte al Comitetului de asociere reunit în configurația comerț. La reuniuni participă, de asemenea, un reprezentant al Serviciului European de Acțiune Externă.</w:t>
      </w:r>
    </w:p>
    <w:p>
      <w:pPr>
        <w:pBdr>
          <w:top w:val="nil"/>
          <w:left w:val="nil"/>
          <w:bottom w:val="nil"/>
          <w:right w:val="nil"/>
          <w:between w:val="nil"/>
          <w:bar w:val="nil"/>
        </w:pBdr>
        <w:spacing w:before="0" w:after="240"/>
        <w:rPr>
          <w:noProof/>
        </w:rPr>
      </w:pPr>
      <w:r>
        <w:rPr>
          <w:noProof/>
        </w:rPr>
        <w:t>În conformitate cu articolul 465 alineatul (3) din acord și cu articolul 11 alineatul (1) din regulamentul de procedură, Comitetul de asociere reunit în configurația comerț își adoptă deciziile prin acord comun între părți și după finalizarea procedurilor lor interne respective. Fiecare decizie sau recomandare se semnează de către președintele Comitetului de asociere și se autentifică de către secretarii Comitetului de asociere.</w:t>
      </w:r>
    </w:p>
    <w:p>
      <w:pPr>
        <w:pStyle w:val="ManualHeading2"/>
        <w:rPr>
          <w:noProof/>
        </w:rPr>
      </w:pPr>
      <w:r>
        <w:t>2.3.</w:t>
      </w:r>
      <w:r>
        <w:tab/>
      </w:r>
      <w:r>
        <w:rPr>
          <w:noProof/>
        </w:rPr>
        <w:t>Actul preconizat a fi adoptat de către organisme</w:t>
      </w:r>
    </w:p>
    <w:p>
      <w:pPr>
        <w:pStyle w:val="ManualHeading3"/>
        <w:rPr>
          <w:noProof/>
        </w:rPr>
      </w:pPr>
      <w:r>
        <w:t>2.3.1.</w:t>
      </w:r>
      <w:r>
        <w:tab/>
      </w:r>
      <w:r>
        <w:rPr>
          <w:noProof/>
        </w:rPr>
        <w:t>Actul preconizat a fi adoptat de Consiliul de asociere</w:t>
      </w:r>
    </w:p>
    <w:p>
      <w:pPr>
        <w:pBdr>
          <w:top w:val="nil"/>
          <w:left w:val="nil"/>
          <w:bottom w:val="nil"/>
          <w:right w:val="nil"/>
          <w:between w:val="nil"/>
          <w:bar w:val="nil"/>
        </w:pBdr>
        <w:spacing w:before="0" w:after="240"/>
        <w:rPr>
          <w:rFonts w:eastAsia="Arial Unicode MS"/>
          <w:noProof/>
          <w:color w:val="000000"/>
        </w:rPr>
      </w:pPr>
      <w:r>
        <w:rPr>
          <w:noProof/>
          <w:color w:val="000000"/>
        </w:rPr>
        <w:t xml:space="preserve">Consiliul </w:t>
      </w:r>
      <w:r>
        <w:rPr>
          <w:noProof/>
        </w:rPr>
        <w:t xml:space="preserve">de asociere </w:t>
      </w:r>
      <w:r>
        <w:rPr>
          <w:noProof/>
          <w:color w:val="000000"/>
        </w:rPr>
        <w:t>urmează să adopte o</w:t>
      </w:r>
      <w:r>
        <w:rPr>
          <w:noProof/>
        </w:rPr>
        <w:t xml:space="preserve"> decizie </w:t>
      </w:r>
      <w:r>
        <w:rPr>
          <w:noProof/>
          <w:color w:val="000000"/>
        </w:rPr>
        <w:t xml:space="preserve">cu privire </w:t>
      </w:r>
      <w:r>
        <w:rPr>
          <w:noProof/>
        </w:rPr>
        <w:t>la modificarea anexei I-A.</w:t>
      </w:r>
      <w:r>
        <w:rPr>
          <w:noProof/>
          <w:color w:val="000000"/>
        </w:rPr>
        <w:t xml:space="preserve"> </w:t>
      </w:r>
    </w:p>
    <w:p>
      <w:pPr>
        <w:pStyle w:val="ManualHeading3"/>
        <w:rPr>
          <w:noProof/>
        </w:rPr>
      </w:pPr>
      <w:r>
        <w:t>2.3.2.</w:t>
      </w:r>
      <w:r>
        <w:tab/>
      </w:r>
      <w:r>
        <w:rPr>
          <w:noProof/>
        </w:rPr>
        <w:t>Actul preconizat a fi adoptat de Comitetul de asociere reunit în configurația comerț</w:t>
      </w:r>
    </w:p>
    <w:p>
      <w:pPr>
        <w:pBdr>
          <w:top w:val="nil"/>
          <w:left w:val="nil"/>
          <w:bottom w:val="nil"/>
          <w:right w:val="nil"/>
          <w:between w:val="nil"/>
          <w:bar w:val="nil"/>
        </w:pBdr>
        <w:spacing w:before="0" w:after="240"/>
        <w:rPr>
          <w:noProof/>
        </w:rPr>
      </w:pPr>
      <w:r>
        <w:rPr>
          <w:noProof/>
        </w:rPr>
        <w:t>Comitetul de asociere reunit în configurația comerț</w:t>
      </w:r>
      <w:r>
        <w:rPr>
          <w:noProof/>
          <w:color w:val="000000"/>
        </w:rPr>
        <w:t xml:space="preserve"> urmează să adopte o</w:t>
      </w:r>
      <w:r>
        <w:rPr>
          <w:noProof/>
        </w:rPr>
        <w:t xml:space="preserve"> decizie privind recalcularea programului de eliminare a taxelor la export prevăzut în anexele I-C și I-D la acord. Propunerea introduce, de asemenea, un amendament corectiv la anexa I-C.</w:t>
      </w:r>
    </w:p>
    <w:p>
      <w:pPr>
        <w:pBdr>
          <w:top w:val="nil"/>
          <w:left w:val="nil"/>
          <w:bottom w:val="nil"/>
          <w:right w:val="nil"/>
          <w:between w:val="nil"/>
          <w:bar w:val="nil"/>
        </w:pBdr>
        <w:spacing w:before="0" w:after="240"/>
        <w:rPr>
          <w:noProof/>
        </w:rPr>
      </w:pPr>
      <w:r>
        <w:rPr>
          <w:noProof/>
        </w:rPr>
        <w:t xml:space="preserve">Deși nu implică vreo modificare de fond, adăugarea apendicelui C la anexa I-A necesită, cu toate acestea, prevederea unui maximum de claritate în ceea ce privește punerea în aplicare a acordului. Recalcularea taxelor la export pentru anexele I-C și I-D este mandatată în acordul propriu-zis, și este esențială pentru a menține preferința relativă (aceeași proporție) în comparație cu nivelurile taxelor la export în conformitate cu OMC aplicabile în cursul perioadei de eliminare a taxelor la export. </w:t>
      </w:r>
    </w:p>
    <w:p>
      <w:pPr>
        <w:pBdr>
          <w:top w:val="nil"/>
          <w:left w:val="nil"/>
          <w:bottom w:val="nil"/>
          <w:right w:val="nil"/>
          <w:between w:val="nil"/>
          <w:bar w:val="nil"/>
        </w:pBdr>
        <w:spacing w:before="0" w:after="240"/>
        <w:rPr>
          <w:noProof/>
        </w:rPr>
      </w:pPr>
      <w:r>
        <w:rPr>
          <w:noProof/>
        </w:rPr>
        <w:t>Actele preconizate devin obligatorii pentru părțile la acord în conformitate cu articolul 465 alineatul (3) din acord, care stipulează: „Comitetul de asociere are competența de a adopta decizii în cazurile prevăzute în prezentul acord și în domeniile în care Consiliul de asociere i-a delegat competențe. Aceste decizii sunt obligatorii pentru părți, care iau măsurile necesare pentru a le pune în aplicare. Comitetul de asociere adoptă deciziile prin acord între părți”.</w:t>
      </w:r>
    </w:p>
    <w:p>
      <w:pPr>
        <w:pStyle w:val="ManualHeading1"/>
        <w:rPr>
          <w:noProof/>
        </w:rPr>
      </w:pPr>
      <w:r>
        <w:t>3.</w:t>
      </w:r>
      <w:r>
        <w:tab/>
      </w:r>
      <w:r>
        <w:rPr>
          <w:noProof/>
        </w:rPr>
        <w:t>Poziția care trebuie adoptată în numele Uniunii</w:t>
      </w:r>
    </w:p>
    <w:p>
      <w:pPr>
        <w:pBdr>
          <w:top w:val="nil"/>
          <w:left w:val="nil"/>
          <w:bottom w:val="nil"/>
          <w:right w:val="nil"/>
          <w:between w:val="nil"/>
          <w:bar w:val="nil"/>
        </w:pBdr>
        <w:spacing w:before="0" w:after="240"/>
        <w:rPr>
          <w:noProof/>
        </w:rPr>
      </w:pPr>
      <w:r>
        <w:rPr>
          <w:noProof/>
        </w:rPr>
        <w:t>Propunerea anexată de decizie a Consiliului stabilește poziția Uniunii cu privire la o decizie a Consiliului de asociere privind modificarea anexei I-A și o decizie a Comitetului de asociere reunit în configurația comerț privind recalcularea programului de eliminare a taxelor la export prevăzut în anexele I-C și I-D la acord. Propunerea introduce, de asemenea, un amendament corectiv la anexa I-C.</w:t>
      </w:r>
    </w:p>
    <w:p>
      <w:pPr>
        <w:pBdr>
          <w:top w:val="nil"/>
          <w:left w:val="nil"/>
          <w:bottom w:val="nil"/>
          <w:right w:val="nil"/>
          <w:between w:val="nil"/>
          <w:bar w:val="nil"/>
        </w:pBdr>
        <w:spacing w:before="0" w:after="240"/>
        <w:rPr>
          <w:rFonts w:eastAsia="Arial Unicode MS"/>
          <w:noProof/>
        </w:rPr>
      </w:pPr>
      <w:r>
        <w:rPr>
          <w:noProof/>
        </w:rPr>
        <w:t>Prezenta propunere pune în aplicare politica comercială comună a Uniunii față de Ucraina pe baza dispozițiilor din acordul de asociere menționat anterior. Unul dintre scopurile acordului de asociere este stabilirea condițiilor pentru consolidarea relațiilor economice și comerciale care să conducă la integrarea progresivă a Ucrainei în cadrul pieței interne a UE.</w:t>
      </w:r>
    </w:p>
    <w:p>
      <w:pPr>
        <w:pBdr>
          <w:top w:val="nil"/>
          <w:left w:val="nil"/>
          <w:bottom w:val="nil"/>
          <w:right w:val="nil"/>
          <w:between w:val="nil"/>
          <w:bar w:val="nil"/>
        </w:pBdr>
        <w:spacing w:before="0" w:after="240"/>
        <w:rPr>
          <w:noProof/>
        </w:rPr>
      </w:pPr>
      <w:r>
        <w:rPr>
          <w:noProof/>
        </w:rPr>
        <w:lastRenderedPageBreak/>
        <w:t>Prezenta propunere este conformă cu și completează celelalte politici externe ale Uniunii, în special politica europeană de vecinătate și politica de cooperare pentru dezvoltare în relațiile cu Ucraina.</w:t>
      </w:r>
    </w:p>
    <w:p>
      <w:pPr>
        <w:pBdr>
          <w:top w:val="nil"/>
          <w:left w:val="nil"/>
          <w:bottom w:val="nil"/>
          <w:right w:val="nil"/>
          <w:between w:val="nil"/>
          <w:bar w:val="nil"/>
        </w:pBdr>
        <w:spacing w:before="0" w:after="240"/>
        <w:rPr>
          <w:rFonts w:eastAsia="Arial Unicode MS"/>
          <w:noProof/>
        </w:rPr>
      </w:pPr>
      <w:r>
        <w:rPr>
          <w:noProof/>
        </w:rPr>
        <w:t xml:space="preserve">Acordul de asociere între Uniune și Ucraina nu face obiectul procedurilor REFIT; el nu implică niciun cost pentru IMM-urile din Uniune și nu ridică nicio problemă din punctul de vedere al mediului digital. </w:t>
      </w:r>
    </w:p>
    <w:p>
      <w:pPr>
        <w:pStyle w:val="ManualHeading1"/>
        <w:rPr>
          <w:noProof/>
        </w:rPr>
      </w:pPr>
      <w:r>
        <w:t>4.</w:t>
      </w:r>
      <w:r>
        <w:tab/>
      </w:r>
      <w:r>
        <w:rPr>
          <w:noProof/>
        </w:rPr>
        <w:t>Temei juridic</w:t>
      </w:r>
    </w:p>
    <w:p>
      <w:pPr>
        <w:pStyle w:val="ManualHeading2"/>
        <w:rPr>
          <w:noProof/>
        </w:rPr>
      </w:pPr>
      <w:r>
        <w:t>4.1.</w:t>
      </w:r>
      <w:r>
        <w:tab/>
      </w:r>
      <w:r>
        <w:rPr>
          <w:noProof/>
        </w:rPr>
        <w:t>Temeiul juridic procedural</w:t>
      </w:r>
    </w:p>
    <w:p>
      <w:pPr>
        <w:pStyle w:val="ManualHeading3"/>
        <w:rPr>
          <w:noProof/>
        </w:rPr>
      </w:pPr>
      <w:r>
        <w:t>4.1.1.</w:t>
      </w:r>
      <w:r>
        <w:tab/>
      </w:r>
      <w:r>
        <w:rPr>
          <w:noProof/>
        </w:rPr>
        <w:t>Principii</w:t>
      </w:r>
    </w:p>
    <w:p>
      <w:pPr>
        <w:rPr>
          <w:noProof/>
        </w:rPr>
      </w:pPr>
      <w:r>
        <w:rPr>
          <w:noProof/>
        </w:rPr>
        <w:t>Articolul 218 alineatul (9) din Tratatul privind funcționarea Uniunii Europene (TFUE) prevede adoptarea deciziilor de stabilire „a pozițiilor care trebuie adoptate în numele Uniunii în cadrul unui organism creat printr-un acord, în cazul în care acest organism trebuie să adopte acte cu efecte juridice, cu excepția actelor care modifică sau completează cadrul instituțional al acordului”.</w:t>
      </w:r>
    </w:p>
    <w:p>
      <w:pPr>
        <w:rPr>
          <w:noProof/>
        </w:rPr>
      </w:pPr>
      <w:r>
        <w:rPr>
          <w:noProof/>
        </w:rPr>
        <w:t>Noțiunea de „</w:t>
      </w:r>
      <w:r>
        <w:rPr>
          <w:i/>
          <w:noProof/>
        </w:rPr>
        <w:t>acte cu efecte juridice</w:t>
      </w:r>
      <w:r>
        <w:rPr>
          <w:noProof/>
        </w:rPr>
        <w:t>” include actele care au efecte juridice în temeiul normelor de drept internațional aplicabile organismului în cauză. Această noțiune include, de asemenea, instrumentele care nu au un caracter obligatoriu în temeiul dreptului internațional, dar care „</w:t>
      </w:r>
      <w:r>
        <w:rPr>
          <w:i/>
          <w:noProof/>
        </w:rPr>
        <w:t>au vocația de a influența în mod decisiv conținutul reglementării adoptate de legiuitorul Uniunii</w:t>
      </w:r>
      <w:r>
        <w:rPr>
          <w:noProof/>
        </w:rPr>
        <w:t>”</w:t>
      </w:r>
      <w:r>
        <w:rPr>
          <w:rStyle w:val="FootnoteReference"/>
          <w:noProof/>
        </w:rPr>
        <w:footnoteReference w:id="2"/>
      </w:r>
      <w:r>
        <w:rPr>
          <w:noProof/>
        </w:rPr>
        <w:t>.</w:t>
      </w:r>
    </w:p>
    <w:p>
      <w:pPr>
        <w:pStyle w:val="ManualHeading3"/>
        <w:rPr>
          <w:noProof/>
        </w:rPr>
      </w:pPr>
      <w:r>
        <w:t>4.1.2.</w:t>
      </w:r>
      <w:r>
        <w:tab/>
      </w:r>
      <w:r>
        <w:rPr>
          <w:noProof/>
        </w:rPr>
        <w:t>Aplicarea în cazul de față</w:t>
      </w:r>
    </w:p>
    <w:p>
      <w:pPr>
        <w:rPr>
          <w:noProof/>
          <w:color w:val="000000"/>
        </w:rPr>
      </w:pPr>
      <w:r>
        <w:rPr>
          <w:noProof/>
        </w:rPr>
        <w:t xml:space="preserve">În conformitate cu articolul 465 alineatul (4) din acord, Comitetul de asociere se reunește în configurația comerț pentru a soluționa toate chestiunile legate de titlul IV (Comerț și aspecte legate de comerț) din acord. </w:t>
      </w:r>
    </w:p>
    <w:p>
      <w:pPr>
        <w:rPr>
          <w:noProof/>
        </w:rPr>
      </w:pPr>
      <w:r>
        <w:rPr>
          <w:noProof/>
        </w:rPr>
        <w:t xml:space="preserve">Conform articolului 463 alineatul (3) din acord, Consiliul de asociere este împuternicit să actualizeze sau să modifice anexele la acord. În temeiul articolului 465 alineatul (2) din acord, Consiliul de asociere poate delega Comitetului de asociere reunit în </w:t>
      </w:r>
      <w:r>
        <w:rPr>
          <w:i/>
          <w:noProof/>
        </w:rPr>
        <w:t>configurația</w:t>
      </w:r>
      <w:r>
        <w:rPr>
          <w:noProof/>
        </w:rPr>
        <w:t xml:space="preserve"> comerț oricare dintre competențele sale, inclusiv competența de a lua decizii cu caracter obligatoriu. Consiliul de asociere a delegat Comitetului de asociere reunit în configurația comerț, prin Decizia sa nr. 3/2014 din 15 decembrie 2014, competența de a actualiza sau de a modifica anumite anexe legate de comerț.</w:t>
      </w:r>
    </w:p>
    <w:p>
      <w:pPr>
        <w:rPr>
          <w:noProof/>
        </w:rPr>
      </w:pPr>
      <w:r>
        <w:rPr>
          <w:noProof/>
        </w:rPr>
        <w:t xml:space="preserve">Actele pe care </w:t>
      </w:r>
      <w:r>
        <w:rPr>
          <w:noProof/>
          <w:color w:val="000000"/>
        </w:rPr>
        <w:t>Comitetul</w:t>
      </w:r>
      <w:r>
        <w:rPr>
          <w:noProof/>
        </w:rPr>
        <w:t xml:space="preserve"> de asociere reunit în configurația comerț </w:t>
      </w:r>
      <w:r>
        <w:rPr>
          <w:noProof/>
          <w:color w:val="000000"/>
        </w:rPr>
        <w:t>este invitat să le adopte constituie acte cu efecte juridice</w:t>
      </w:r>
      <w:r>
        <w:rPr>
          <w:noProof/>
        </w:rPr>
        <w:t>.</w:t>
      </w:r>
      <w:r>
        <w:rPr>
          <w:noProof/>
          <w:color w:val="000000"/>
        </w:rPr>
        <w:t xml:space="preserve"> Actele preconizate vor fi obligatorii pentru părți, în conformitate cu articolul 465 alineatul (3) din</w:t>
      </w:r>
      <w:r>
        <w:rPr>
          <w:noProof/>
        </w:rPr>
        <w:t xml:space="preserve"> acord. Actele preconizate nu completează și nu modifică cadrul instituțional al acordului. În consecință, pozițiile Uniunii trebuie adoptate în cadrul Comitetului de asociere UE-Ucraina reunit în configurația comerț în aplicarea articolului 218 alineatul (9) din TFUE.</w:t>
      </w:r>
    </w:p>
    <w:p>
      <w:pPr>
        <w:rPr>
          <w:noProof/>
        </w:rPr>
      </w:pPr>
      <w:r>
        <w:rPr>
          <w:noProof/>
        </w:rPr>
        <w:t>Temeiul juridic procedural al deciziei propuse este, prin urmare, articolul 218 alineatul (9) din TFUE.</w:t>
      </w:r>
    </w:p>
    <w:p>
      <w:pPr>
        <w:pStyle w:val="ManualHeading2"/>
        <w:rPr>
          <w:bCs/>
          <w:noProof/>
        </w:rPr>
      </w:pPr>
      <w:r>
        <w:lastRenderedPageBreak/>
        <w:t>4.2.</w:t>
      </w:r>
      <w:r>
        <w:tab/>
      </w:r>
      <w:r>
        <w:rPr>
          <w:noProof/>
        </w:rPr>
        <w:t>Temeiul juridic material</w:t>
      </w:r>
    </w:p>
    <w:p>
      <w:pPr>
        <w:pStyle w:val="ManualHeading3"/>
        <w:rPr>
          <w:bCs/>
          <w:noProof/>
        </w:rPr>
      </w:pPr>
      <w:r>
        <w:t>4.2.1.</w:t>
      </w:r>
      <w:r>
        <w:tab/>
      </w:r>
      <w:r>
        <w:rPr>
          <w:noProof/>
        </w:rPr>
        <w:t>Principii</w:t>
      </w:r>
    </w:p>
    <w:p>
      <w:pPr>
        <w:rPr>
          <w:noProof/>
        </w:rPr>
      </w:pPr>
      <w:r>
        <w:rPr>
          <w:noProof/>
        </w:rPr>
        <w:t>Temeiul juridic material al unei decizii adoptate în temeiul articolului 218 alineatul (9) din TFUE depinde în primul rând de obiectivul și de conținutul actului preconizat cu privire la care se adoptă o poziție în numele Uniunii. În cazul în care actul preconizat urmărește două obiective sau include două elemente, iar unul dintre aceste obiective sau elemente poate fi identificat ca fiind obiectivul sau elementul principal, iar celălalt obiectiv sau element are mai degrabă un caracter accesoriu, decizia adoptată în temeiul articolului 218 alineatul (9) din TFUE trebuie să se întemeieze pe un singur temei juridic material, respectiv cel impus de obiectivul sau de elementul principal sau predominant.</w:t>
      </w:r>
    </w:p>
    <w:p>
      <w:pPr>
        <w:pStyle w:val="ManualHeading3"/>
        <w:rPr>
          <w:bCs/>
          <w:noProof/>
        </w:rPr>
      </w:pPr>
      <w:r>
        <w:t>4.2.2.</w:t>
      </w:r>
      <w:r>
        <w:tab/>
      </w:r>
      <w:r>
        <w:rPr>
          <w:noProof/>
        </w:rPr>
        <w:t>Aplicarea în cazul de față</w:t>
      </w:r>
    </w:p>
    <w:p>
      <w:pPr>
        <w:rPr>
          <w:noProof/>
        </w:rPr>
      </w:pPr>
      <w:r>
        <w:rPr>
          <w:noProof/>
        </w:rPr>
        <w:t xml:space="preserve">Obiectivul principal și conținutul actelor preconizate este modificarea anexei I-A și recalcularea programului de eliminare a taxelor la export prevăzut în anexele I-C și I-D la acord. În consecință, obiectivul principal și conținutul actului preconizat se referă </w:t>
      </w:r>
      <w:r>
        <w:rPr>
          <w:noProof/>
          <w:color w:val="000000"/>
        </w:rPr>
        <w:t>la</w:t>
      </w:r>
      <w:r>
        <w:rPr>
          <w:noProof/>
        </w:rPr>
        <w:t xml:space="preserve"> politica comercială comună, în conformitate cu articolul 207.</w:t>
      </w:r>
    </w:p>
    <w:p>
      <w:pPr>
        <w:rPr>
          <w:noProof/>
        </w:rPr>
      </w:pPr>
      <w:r>
        <w:rPr>
          <w:noProof/>
          <w:color w:val="000000"/>
        </w:rPr>
        <w:t>Temeiul juridic material al propunerii de decizie este, prin urmare, articolul 207 din TFUE</w:t>
      </w:r>
      <w:r>
        <w:rPr>
          <w:noProof/>
        </w:rPr>
        <w:t>.</w:t>
      </w:r>
    </w:p>
    <w:p>
      <w:pPr>
        <w:rPr>
          <w:noProof/>
        </w:rPr>
      </w:pPr>
      <w:r>
        <w:rPr>
          <w:noProof/>
        </w:rPr>
        <w:t>Încheierea acordului ca acord mixt nu necesită consimțământul tuturor părților, deoarece actualizarea anexelor menționate mai sus privind tarifele vamale ține de un domeniu aflat în competența exclusivă a Uniunii, în temeiul articolului 3 alineatul (1) și al articolului 207 din TFUE.</w:t>
      </w:r>
    </w:p>
    <w:p>
      <w:pPr>
        <w:pStyle w:val="ManualHeading2"/>
        <w:rPr>
          <w:bCs/>
          <w:noProof/>
        </w:rPr>
      </w:pPr>
      <w:r>
        <w:t>4.3.</w:t>
      </w:r>
      <w:r>
        <w:tab/>
      </w:r>
      <w:r>
        <w:rPr>
          <w:noProof/>
        </w:rPr>
        <w:t>Concluzie</w:t>
      </w:r>
    </w:p>
    <w:p>
      <w:pPr>
        <w:rPr>
          <w:noProof/>
          <w:color w:val="000000"/>
        </w:rPr>
      </w:pPr>
      <w:r>
        <w:rPr>
          <w:noProof/>
          <w:color w:val="000000"/>
        </w:rPr>
        <w:t>Temeiul juridic a propunerii de decizie a Consiliului este</w:t>
      </w:r>
      <w:r>
        <w:rPr>
          <w:noProof/>
        </w:rPr>
        <w:t xml:space="preserve"> articolul 207 </w:t>
      </w:r>
      <w:r>
        <w:rPr>
          <w:noProof/>
          <w:color w:val="000000"/>
        </w:rPr>
        <w:t>coroborat cu articolul 218 alineatul (9) din TFUE.</w:t>
      </w:r>
    </w:p>
    <w:p>
      <w:pPr>
        <w:pBdr>
          <w:top w:val="nil"/>
          <w:left w:val="nil"/>
          <w:bottom w:val="nil"/>
          <w:right w:val="nil"/>
          <w:between w:val="nil"/>
          <w:bar w:val="nil"/>
        </w:pBdr>
        <w:spacing w:before="0" w:after="240"/>
        <w:rPr>
          <w:rFonts w:eastAsia="Arial Unicode MS"/>
          <w:noProof/>
        </w:rPr>
        <w:sectPr>
          <w:footerReference w:type="default" r:id="rId16"/>
          <w:footerReference w:type="first" r:id="rId17"/>
          <w:pgSz w:w="11907" w:h="16839"/>
          <w:pgMar w:top="1134" w:right="1417" w:bottom="1134" w:left="1417" w:header="709" w:footer="709" w:gutter="0"/>
          <w:pgNumType w:start="2"/>
          <w:cols w:space="720"/>
          <w:docGrid w:linePitch="360"/>
        </w:sectPr>
      </w:pPr>
    </w:p>
    <w:p>
      <w:pPr>
        <w:pStyle w:val="Rfrenceinterinstitutionnelle"/>
        <w:rPr>
          <w:noProof/>
        </w:rPr>
      </w:pPr>
      <w:r>
        <w:rPr>
          <w:noProof/>
        </w:rPr>
        <w:lastRenderedPageBreak/>
        <w:t>2017/0298 (NLE)</w:t>
      </w:r>
    </w:p>
    <w:p>
      <w:pPr>
        <w:pStyle w:val="Statut"/>
        <w:rPr>
          <w:noProof/>
        </w:rPr>
      </w:pPr>
      <w:r>
        <w:rPr>
          <w:noProof/>
        </w:rPr>
        <w:t>Propunere de</w:t>
      </w:r>
    </w:p>
    <w:p>
      <w:pPr>
        <w:pStyle w:val="Typedudocument"/>
        <w:rPr>
          <w:noProof/>
        </w:rPr>
      </w:pPr>
      <w:r>
        <w:rPr>
          <w:noProof/>
        </w:rPr>
        <w:t>DECIZIE A CONSILIULUI</w:t>
      </w:r>
    </w:p>
    <w:p>
      <w:pPr>
        <w:pStyle w:val="Titreobjet"/>
        <w:rPr>
          <w:noProof/>
        </w:rPr>
      </w:pPr>
      <w:r>
        <w:rPr>
          <w:noProof/>
        </w:rPr>
        <w:t>privind poziția care trebuie adoptată în numele Uniunii în cadrul Consiliului de asociere înființat prin Acordul de asociere între Uniunea Europeană și Comunitatea Europeană a Energiei Atomice și statele membre ale acestora, pe de o parte, și Ucraina, pe de altă parte, în ceea ce privește completarea anexei I-A, și în cadrul Comitetului de asociere reunit în configurația comerț, în ceea ce privește recalcularea programului de eliminare a taxelor la export prevăzut în anexele I-C și I-D la Acordul de asociere</w:t>
      </w:r>
    </w:p>
    <w:p>
      <w:pPr>
        <w:pStyle w:val="Institutionquiagit"/>
        <w:rPr>
          <w:noProof/>
        </w:rPr>
      </w:pPr>
      <w:r>
        <w:rPr>
          <w:noProof/>
        </w:rPr>
        <w:t>CONSILIUL UNIUNII EUROPENE,</w:t>
      </w:r>
    </w:p>
    <w:p>
      <w:pPr>
        <w:rPr>
          <w:noProof/>
        </w:rPr>
      </w:pPr>
      <w:r>
        <w:rPr>
          <w:noProof/>
        </w:rPr>
        <w:t>având în vedere Tratatul privind funcționarea Uniunii Europene, în special articolul 207 și articolul 218 alineatul (9),</w:t>
      </w:r>
    </w:p>
    <w:p>
      <w:pPr>
        <w:rPr>
          <w:noProof/>
        </w:rPr>
      </w:pPr>
      <w:r>
        <w:rPr>
          <w:noProof/>
        </w:rPr>
        <w:t>având în vedere propunerea Comisiei Europene,</w:t>
      </w:r>
    </w:p>
    <w:p>
      <w:pPr>
        <w:rPr>
          <w:noProof/>
        </w:rPr>
      </w:pPr>
      <w:r>
        <w:rPr>
          <w:noProof/>
        </w:rPr>
        <w:t>întrucât:</w:t>
      </w:r>
    </w:p>
    <w:p>
      <w:pPr>
        <w:pStyle w:val="ManualConsidrant"/>
        <w:rPr>
          <w:noProof/>
        </w:rPr>
      </w:pPr>
      <w:r>
        <w:t>(1)</w:t>
      </w:r>
      <w:r>
        <w:tab/>
      </w:r>
      <w:r>
        <w:rPr>
          <w:noProof/>
        </w:rPr>
        <w:t>Articolul 486 alineatele (3) și (4) din Acordul de asociere între Uniunea Europeană și Comunitatea Europeană a Energiei Atomice și statele membre ale acestora, pe de o parte, și Ucraina, pe de altă parte (denumit în continuare „acordul”), prevede aplicarea parțială și cu titlu provizoriu a acordului, astfel cum se precizează de către Uniune.</w:t>
      </w:r>
    </w:p>
    <w:p>
      <w:pPr>
        <w:pStyle w:val="ManualConsidrant"/>
        <w:rPr>
          <w:noProof/>
        </w:rPr>
      </w:pPr>
      <w:r>
        <w:t>(2)</w:t>
      </w:r>
      <w:r>
        <w:tab/>
      </w:r>
      <w:r>
        <w:rPr>
          <w:noProof/>
        </w:rPr>
        <w:t>Articolul 4 din Decizia 2014/668/UE a Consiliului</w:t>
      </w:r>
      <w:r>
        <w:rPr>
          <w:rStyle w:val="FootnoteReference"/>
          <w:noProof/>
        </w:rPr>
        <w:footnoteReference w:id="3"/>
      </w:r>
      <w:r>
        <w:rPr>
          <w:noProof/>
        </w:rPr>
        <w:t xml:space="preserve"> prevede dispozițiile acordului care urmează să fie aplicate cu titlu provizoriu, inclusiv dispozițiile referitoare la eliminarea taxelor vamale și cele referitoare la anexele I-A, I-B, I-C și I-D la acord. Aplicarea cu titlu provizoriu este în vigoare de la 1 ianuarie 2016.</w:t>
      </w:r>
    </w:p>
    <w:p>
      <w:pPr>
        <w:pStyle w:val="ManualConsidrant"/>
        <w:rPr>
          <w:noProof/>
        </w:rPr>
      </w:pPr>
      <w:r>
        <w:t>(3)</w:t>
      </w:r>
      <w:r>
        <w:tab/>
      </w:r>
      <w:r>
        <w:rPr>
          <w:noProof/>
        </w:rPr>
        <w:t>Anticipând în mod unilateral punerea în aplicare a listei de concesii tarifare prevăzută în anexa I-A la acord prin intermediul preferințelor comerciale autonome prevăzute în Regulamentul (UE) nr. 374/2014 al Parlamentului European și al Consiliului</w:t>
      </w:r>
      <w:r>
        <w:rPr>
          <w:rStyle w:val="FootnoteReference"/>
          <w:noProof/>
        </w:rPr>
        <w:footnoteReference w:id="4"/>
      </w:r>
      <w:r>
        <w:rPr>
          <w:noProof/>
        </w:rPr>
        <w:t xml:space="preserve">, Uniunea a aplicat deja modalitățile specifice de punere în aplicare a listei („categorii în etapa eliminării”) care au fost convenite de către părți. </w:t>
      </w:r>
    </w:p>
    <w:p>
      <w:pPr>
        <w:pStyle w:val="ManualConsidrant"/>
        <w:rPr>
          <w:noProof/>
        </w:rPr>
      </w:pPr>
      <w:r>
        <w:t>(4)</w:t>
      </w:r>
      <w:r>
        <w:tab/>
      </w:r>
      <w:r>
        <w:rPr>
          <w:noProof/>
        </w:rPr>
        <w:t>O clarificare privind modalitățile de eliminare a tarifelor a fost adoptată în contextul modificării preferințelor comerciale autonome</w:t>
      </w:r>
      <w:r>
        <w:rPr>
          <w:rStyle w:val="FootnoteReference"/>
          <w:noProof/>
        </w:rPr>
        <w:footnoteReference w:id="5"/>
      </w:r>
      <w:r>
        <w:rPr>
          <w:noProof/>
        </w:rPr>
        <w:t xml:space="preserve"> în vederea stabilirii reducerii ce se </w:t>
      </w:r>
      <w:r>
        <w:rPr>
          <w:noProof/>
        </w:rPr>
        <w:lastRenderedPageBreak/>
        <w:t>aplică la nivelul de bază al taxelor vamale pentru fiecare categorie în etapa eliminării menționată în anexa I la Regulamentul (UE) nr. 374/2014.</w:t>
      </w:r>
    </w:p>
    <w:p>
      <w:pPr>
        <w:pStyle w:val="ManualConsidrant"/>
        <w:rPr>
          <w:noProof/>
        </w:rPr>
      </w:pPr>
      <w:r>
        <w:t>(5)</w:t>
      </w:r>
      <w:r>
        <w:tab/>
      </w:r>
      <w:r>
        <w:rPr>
          <w:noProof/>
        </w:rPr>
        <w:t>O clarificare echivalentă este necesară pentru a se asigura faptul că aceleași modalități, care reflectă înțelegerea comună la care au ajuns părțile în timpul negocierilor, sunt stabilite în mod clar pentru punerea în aplicare optimă a listei de concesii tarifare. Astfel de modalități trebuie să fie aplicate de ambele părți la acord,</w:t>
      </w:r>
    </w:p>
    <w:p>
      <w:pPr>
        <w:pStyle w:val="ManualConsidrant"/>
        <w:rPr>
          <w:noProof/>
        </w:rPr>
      </w:pPr>
      <w:r>
        <w:t>(6)</w:t>
      </w:r>
      <w:r>
        <w:tab/>
      </w:r>
      <w:r>
        <w:rPr>
          <w:noProof/>
        </w:rPr>
        <w:t>Anexa I-C la capitolul 1 din acord, de stabilire a programelor de eliminare a taxelor la export pentru Ucraina, prevede că recalcularea tabelului este necesară pentru a menține preferința relativă (aceeași proporție) în comparație cu nivelurile taxei la export în conformitate cu OMC aplicabile pentru fiecare perioadă în cazul în care dispozițiile comerciale ale acordului vor intra în vigoare după 15 mai 2014.</w:t>
      </w:r>
    </w:p>
    <w:p>
      <w:pPr>
        <w:pStyle w:val="ManualConsidrant"/>
        <w:rPr>
          <w:noProof/>
        </w:rPr>
      </w:pPr>
      <w:r>
        <w:t>(7)</w:t>
      </w:r>
      <w:r>
        <w:tab/>
      </w:r>
      <w:r>
        <w:rPr>
          <w:noProof/>
        </w:rPr>
        <w:t>Anexa I-D la capitolul 1 din acord, de stabilire a măsurilor de salvgardare sub forma unei suprataxe care trebuie aplicată taxei la export pentru anumite produse prevede, de asemenea, că recalcularea tabelului este necesară pentru a menține preferința relativă (aceeași proporție) în comparație cu nivelurile taxei la export în conformitate cu OMC aplicabile pentru fiecare perioadă în cazul în care dispozițiile comerciale ale acordului vor intra în vigoare după 15 mai 2014.</w:t>
      </w:r>
    </w:p>
    <w:p>
      <w:pPr>
        <w:pStyle w:val="ManualConsidrant"/>
        <w:rPr>
          <w:noProof/>
        </w:rPr>
      </w:pPr>
      <w:r>
        <w:t>(8)</w:t>
      </w:r>
      <w:r>
        <w:tab/>
      </w:r>
      <w:r>
        <w:rPr>
          <w:noProof/>
        </w:rPr>
        <w:t xml:space="preserve">O modificare de ordin tehnic în anexa I-C este necesară pentru codul tarifar 1207 9997 00 pentru a reflecta descrierea corectă în conformitate cu Clasificatorul unificat al mărfurilor (UKTZED) din Ucraina. </w:t>
      </w:r>
    </w:p>
    <w:p>
      <w:pPr>
        <w:pStyle w:val="ManualConsidrant"/>
        <w:rPr>
          <w:noProof/>
        </w:rPr>
      </w:pPr>
      <w:r>
        <w:t>(9)</w:t>
      </w:r>
      <w:r>
        <w:tab/>
      </w:r>
      <w:r>
        <w:rPr>
          <w:noProof/>
        </w:rPr>
        <w:t>Prin Decizia nr. 3/2014 din 15 decembrie 2014, Consiliului de asociere UE-Ucraina a împuternicit Comitetul de asociere reunit în configurația comerț să actualizeze sau să modifice anumite anexe care se referă la comerț, inclusiv anexele I-C și I-D la acord.</w:t>
      </w:r>
    </w:p>
    <w:p>
      <w:pPr>
        <w:pStyle w:val="ManualConsidrant"/>
        <w:rPr>
          <w:noProof/>
        </w:rPr>
      </w:pPr>
      <w:r>
        <w:t>(10)</w:t>
      </w:r>
      <w:r>
        <w:tab/>
      </w:r>
      <w:r>
        <w:rPr>
          <w:noProof/>
        </w:rPr>
        <w:t xml:space="preserve">Poziția Uniunii în cadrul Consiliului de asociere și în cadrul Comitetului de asociere reunit în configurația comerț ar trebui, prin urmare, să se bazeze pe proiectele de decizie, astfel cum figurează în anexă, </w:t>
      </w:r>
    </w:p>
    <w:p>
      <w:pPr>
        <w:pStyle w:val="Formuledadoption"/>
        <w:rPr>
          <w:noProof/>
        </w:rPr>
      </w:pPr>
      <w:r>
        <w:rPr>
          <w:noProof/>
        </w:rPr>
        <w:t xml:space="preserve">ADOPTĂ PREZENTA DECIZIE: </w:t>
      </w:r>
    </w:p>
    <w:p>
      <w:pPr>
        <w:pStyle w:val="Titrearticle"/>
        <w:rPr>
          <w:noProof/>
        </w:rPr>
      </w:pPr>
      <w:r>
        <w:rPr>
          <w:noProof/>
        </w:rPr>
        <w:t>Articolul 1</w:t>
      </w:r>
    </w:p>
    <w:p>
      <w:pPr>
        <w:rPr>
          <w:noProof/>
        </w:rPr>
      </w:pPr>
      <w:r>
        <w:rPr>
          <w:noProof/>
        </w:rPr>
        <w:t xml:space="preserve">Poziția care trebuie adoptată în numele Uniunii în cadrul Consiliului de asociere în ceea ce privește completarea anexei I-A la acord și în cadrul Comitetului de asociere reunit în configurația comerț în ceea ce privește completarea anexelor I-C și I-D la acord se bazează pe proiectele de decizie, astfel cum figurează în anexă. </w:t>
      </w:r>
    </w:p>
    <w:p>
      <w:pPr>
        <w:pStyle w:val="Titrearticle"/>
        <w:keepNext w:val="0"/>
        <w:rPr>
          <w:noProof/>
        </w:rPr>
      </w:pPr>
      <w:r>
        <w:rPr>
          <w:noProof/>
        </w:rPr>
        <w:t>Articolul 2</w:t>
      </w:r>
    </w:p>
    <w:p>
      <w:pPr>
        <w:keepLines/>
        <w:rPr>
          <w:noProof/>
        </w:rPr>
      </w:pPr>
      <w:r>
        <w:rPr>
          <w:noProof/>
        </w:rPr>
        <w:t xml:space="preserve">Prezenta decizie intră în vigoare la data adoptării sale. </w:t>
      </w:r>
    </w:p>
    <w:p>
      <w:pPr>
        <w:pStyle w:val="Titrearticle"/>
        <w:rPr>
          <w:noProof/>
        </w:rPr>
      </w:pPr>
      <w:r>
        <w:rPr>
          <w:noProof/>
        </w:rPr>
        <w:t>Articolul 3</w:t>
      </w:r>
    </w:p>
    <w:p>
      <w:pPr>
        <w:rPr>
          <w:noProof/>
        </w:rPr>
      </w:pPr>
      <w:r>
        <w:rPr>
          <w:noProof/>
        </w:rPr>
        <w:t xml:space="preserve">După adoptare, deciziile Consiliului de asociere și ale Comitetului de asociere reunit în configurația comerț se publică în </w:t>
      </w:r>
      <w:r>
        <w:rPr>
          <w:i/>
          <w:noProof/>
        </w:rPr>
        <w:t>Jurnalul Oficial al Uniunii Europene</w:t>
      </w:r>
      <w:r>
        <w:rPr>
          <w:noProof/>
        </w:rPr>
        <w:t>.</w:t>
      </w:r>
    </w:p>
    <w:p>
      <w:pPr>
        <w:keepLines/>
        <w:jc w:val="center"/>
        <w:rPr>
          <w:i/>
          <w:noProof/>
        </w:rPr>
      </w:pPr>
      <w:r>
        <w:rPr>
          <w:i/>
          <w:noProof/>
        </w:rPr>
        <w:t>Articolul 4</w:t>
      </w:r>
    </w:p>
    <w:p>
      <w:pPr>
        <w:pStyle w:val="Titrearticle"/>
        <w:jc w:val="both"/>
        <w:rPr>
          <w:i w:val="0"/>
          <w:noProof/>
        </w:rPr>
      </w:pPr>
      <w:r>
        <w:rPr>
          <w:i w:val="0"/>
          <w:noProof/>
        </w:rPr>
        <w:lastRenderedPageBreak/>
        <w:t>Prezenta decizie se adresează Comisiei.</w:t>
      </w:r>
    </w:p>
    <w:p>
      <w:pPr>
        <w:pStyle w:val="Fait"/>
        <w:rPr>
          <w:noProof/>
        </w:rPr>
      </w:pPr>
      <w:r>
        <w:t>Adoptată la Bruxelles,</w:t>
      </w:r>
    </w:p>
    <w:p>
      <w:pPr>
        <w:pStyle w:val="Institutionquisigne"/>
        <w:rPr>
          <w:noProof/>
        </w:rPr>
      </w:pPr>
      <w:r>
        <w:rPr>
          <w:noProof/>
        </w:rPr>
        <w:tab/>
        <w:t>Pentru Consiliu</w:t>
      </w:r>
    </w:p>
    <w:p>
      <w:pPr>
        <w:pStyle w:val="Personnequisigne"/>
        <w:rPr>
          <w:noProof/>
        </w:rPr>
      </w:pPr>
      <w:r>
        <w:rPr>
          <w:noProof/>
        </w:rPr>
        <w:tab/>
        <w:t>Președintele</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8</w:t>
    </w:r>
    <w:r>
      <w:fldChar w:fldCharType="end"/>
    </w:r>
    <w:r>
      <w:tab/>
    </w:r>
    <w:r>
      <w:tab/>
    </w:r>
    <w:r>
      <w:rPr>
        <w:rFonts w:ascii="Arial" w:hAnsi="Arial" w:cs="Arial"/>
        <w:b/>
        <w:sz w:val="48"/>
      </w:rPr>
      <w:t>RO</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JO L 157, 23.6.2015, p. 99</w:t>
      </w:r>
    </w:p>
  </w:footnote>
  <w:footnote w:id="2">
    <w:p>
      <w:pPr>
        <w:pStyle w:val="FootnoteText"/>
      </w:pPr>
      <w:r>
        <w:rPr>
          <w:rStyle w:val="FootnoteReference"/>
        </w:rPr>
        <w:footnoteRef/>
      </w:r>
      <w:r>
        <w:tab/>
        <w:t xml:space="preserve">Cauza C-399/12, Germania/Consiliu (OIV), ECLI:EU:C:2014:2258, punctele 61-64. </w:t>
      </w:r>
    </w:p>
  </w:footnote>
  <w:footnote w:id="3">
    <w:p>
      <w:pPr>
        <w:pStyle w:val="FootnoteText"/>
      </w:pPr>
      <w:r>
        <w:rPr>
          <w:rStyle w:val="FootnoteReference"/>
        </w:rPr>
        <w:footnoteRef/>
      </w:r>
      <w:r>
        <w:tab/>
        <w:t>Decizia 2014/668/UE a Consiliului din 23 iunie 2014 privind semnarea, în numele Uniunii Europene, și aplicarea cu titlu provizoriu a Acordului de asociere dintre Uniunea Europeană și Comunitatea Europeană a Energiei Atomice și statele membre ale acestora, pe de o parte, și Ucraina, pe de altă parte, în ceea ce privește titlul III (cu excepția dispozițiilor referitoare la tratamentul aplicat resortisanților țărilor terțe care lucrează cu forme legale pe teritoriul celeilalte părți) și titlurile IV, V, VI și VII din acord, precum și a anexelor și protocoalelor aferente (JO L 278, 20.9.2014, p. 1).</w:t>
      </w:r>
    </w:p>
  </w:footnote>
  <w:footnote w:id="4">
    <w:p>
      <w:pPr>
        <w:pStyle w:val="FootnoteText"/>
      </w:pPr>
      <w:r>
        <w:rPr>
          <w:rStyle w:val="FootnoteReference"/>
        </w:rPr>
        <w:footnoteRef/>
      </w:r>
      <w:r>
        <w:tab/>
        <w:t>Regulamentul (UE) nr . 374/2014 al Parlamentului European și al Consiliului din 16 aprilie 2014 privind reducerea sau eliminarea taxelor vamale aplicabile mărfurilor originare din Ucraina (JO L 118, 22.4.2014, p. 1)</w:t>
      </w:r>
    </w:p>
  </w:footnote>
  <w:footnote w:id="5">
    <w:p>
      <w:pPr>
        <w:pStyle w:val="FootnoteText"/>
      </w:pPr>
      <w:r>
        <w:rPr>
          <w:rStyle w:val="FootnoteReference"/>
        </w:rPr>
        <w:footnoteRef/>
      </w:r>
      <w:r>
        <w:tab/>
        <w:t>Regulamentul (UE) nr. 1150/2014 al Parlamentului European și al Consiliului din 29 octombrie 2014 de modificare a Regulamentului (UE) nr. 374/2014 privind reducerea sau eliminarea taxelor vamale aplicabile mărfurilor originare din Ucraina (OJ L 313, 31.10.2014, p.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7D43E32"/>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852A1406"/>
    <w:lvl w:ilvl="0">
      <w:start w:val="1"/>
      <w:numFmt w:val="decimal"/>
      <w:pStyle w:val="ListNumber3"/>
      <w:lvlText w:val="%1."/>
      <w:lvlJc w:val="left"/>
      <w:pPr>
        <w:tabs>
          <w:tab w:val="num" w:pos="926"/>
        </w:tabs>
        <w:ind w:left="926" w:hanging="360"/>
      </w:pPr>
    </w:lvl>
  </w:abstractNum>
  <w:abstractNum w:abstractNumId="2">
    <w:nsid w:val="FFFFFF7F"/>
    <w:multiLevelType w:val="singleLevel"/>
    <w:tmpl w:val="F5D81F38"/>
    <w:lvl w:ilvl="0">
      <w:start w:val="1"/>
      <w:numFmt w:val="decimal"/>
      <w:pStyle w:val="ListNumber2"/>
      <w:lvlText w:val="%1."/>
      <w:lvlJc w:val="left"/>
      <w:pPr>
        <w:tabs>
          <w:tab w:val="num" w:pos="643"/>
        </w:tabs>
        <w:ind w:left="643" w:hanging="360"/>
      </w:pPr>
    </w:lvl>
  </w:abstractNum>
  <w:abstractNum w:abstractNumId="3">
    <w:nsid w:val="FFFFFF81"/>
    <w:multiLevelType w:val="singleLevel"/>
    <w:tmpl w:val="CC80F8D4"/>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E2F4505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9BD47E70"/>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002CFCC2"/>
    <w:lvl w:ilvl="0">
      <w:start w:val="1"/>
      <w:numFmt w:val="decimal"/>
      <w:pStyle w:val="ListNumber"/>
      <w:lvlText w:val="%1."/>
      <w:lvlJc w:val="left"/>
      <w:pPr>
        <w:tabs>
          <w:tab w:val="num" w:pos="360"/>
        </w:tabs>
        <w:ind w:left="360" w:hanging="360"/>
      </w:pPr>
    </w:lvl>
  </w:abstractNum>
  <w:abstractNum w:abstractNumId="7">
    <w:nsid w:val="FFFFFF89"/>
    <w:multiLevelType w:val="singleLevel"/>
    <w:tmpl w:val="92AC32A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1"/>
    <w:lvlOverride w:ilvl="0">
      <w:startOverride w:val="1"/>
    </w:lvlOverride>
  </w:num>
  <w:num w:numId="2">
    <w:abstractNumId w:val="7"/>
  </w:num>
  <w:num w:numId="3">
    <w:abstractNumId w:val="5"/>
  </w:num>
  <w:num w:numId="4">
    <w:abstractNumId w:val="4"/>
  </w:num>
  <w:num w:numId="5">
    <w:abstractNumId w:val="3"/>
  </w:num>
  <w:num w:numId="6">
    <w:abstractNumId w:val="6"/>
  </w:num>
  <w:num w:numId="7">
    <w:abstractNumId w:val="2"/>
  </w:num>
  <w:num w:numId="8">
    <w:abstractNumId w:val="1"/>
  </w:num>
  <w:num w:numId="9">
    <w:abstractNumId w:val="0"/>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 w:numId="25">
    <w:abstractNumId w:val="18"/>
  </w:num>
  <w:num w:numId="26">
    <w:abstractNumId w:val="12"/>
  </w:num>
  <w:num w:numId="27">
    <w:abstractNumId w:val="20"/>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7-11-14 10:46:25"/>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1"/>
    <w:docVar w:name="DQCResult_StructureCheck" w:val="0;0"/>
    <w:docVar w:name="DQCResult_SuperfluousWhitespace" w:val="0;0"/>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5A1BD716-7647-430F-A576-0579F48E8FFB"/>
    <w:docVar w:name="LW_COVERPAGE_TYPE" w:val="1"/>
    <w:docVar w:name="LW_CROSSREFERENCE" w:val="&lt;UNUSED&gt;"/>
    <w:docVar w:name="LW_DocType" w:val="COM"/>
    <w:docVar w:name="LW_EMISSION" w:val="16.11.2017"/>
    <w:docVar w:name="LW_EMISSION_ISODATE" w:val="2017-11-16"/>
    <w:docVar w:name="LW_EMISSION_LOCATION" w:val="BRX"/>
    <w:docVar w:name="LW_EMISSION_PREFIX" w:val="Bruxelles, "/>
    <w:docVar w:name="LW_EMISSION_SUFFIX" w:val=" "/>
    <w:docVar w:name="LW_ID_DOCMODEL" w:val="SJ-019"/>
    <w:docVar w:name="LW_ID_DOCSIGNATURE" w:val="SJ-019"/>
    <w:docVar w:name="LW_ID_DOCSTRUCTURE" w:val="COM/PL/ORG"/>
    <w:docVar w:name="LW_ID_DOCTYPE" w:val="SJ-019"/>
    <w:docVar w:name="LW_ID_STATUT" w:val="SJ-019"/>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298"/>
    <w:docVar w:name="LW_REF.II.NEW.CP_YEAR" w:val="2017"/>
    <w:docVar w:name="LW_REF.INST.NEW" w:val="COM"/>
    <w:docVar w:name="LW_REF.INST.NEW_ADOPTED" w:val="final"/>
    <w:docVar w:name="LW_REF.INST.NEW_TEXT" w:val="(2017) 66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OUS.TITRE.OBJ.CP" w:val="&lt;UNUSED&gt;"/>
    <w:docVar w:name="LW_STATUT.CP" w:val="Propunere de"/>
    <w:docVar w:name="LW_SUPERTITRE" w:val="&lt;UNUSED&gt;"/>
    <w:docVar w:name="LW_TITRE.OBJ.CP" w:val="privind pozi\u539?ia care trebuie adoptat\u259? în numele Uniunii în cadrul Consiliului de asociere înfiin\u539?at prin Acordul de asociere între Uniunea European\u259? \u537?i Comunitatea European\u259? a Energiei Atomice \u537?i statele membre ale acestora, pe de o parte, \u537?i Ucraina, pe de alt\u259? parte, în ceea ce prive\u537?te completarea anexei I-A, \u537?i în cadrul Comitetului de asociere reunit în configura\u539?ia comer\u539?, în ceea ce prive\u537?te recalcularea programului de eliminare a taxelor la export prev\u259?zut în anexele I-C \u537?i I-D la Acordul de asociere"/>
    <w:docVar w:name="LW_TYPE.DOC.CP" w:val="DECIZIE A CONSILIULUI"/>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customStyle="1" w:styleId="CM11">
    <w:name w:val="CM1+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1">
    <w:name w:val="CM3+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14">
    <w:name w:val="CM1+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4">
    <w:name w:val="CM3+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rPr>
  </w:style>
  <w:style w:type="paragraph" w:styleId="ListParagraph">
    <w:name w:val="List Paragraph"/>
    <w:basedOn w:val="Normal"/>
    <w:uiPriority w:val="34"/>
    <w:qFormat/>
    <w:pPr>
      <w:spacing w:before="0" w:after="0"/>
      <w:ind w:left="720"/>
      <w:contextualSpacing/>
      <w:jc w:val="left"/>
    </w:pPr>
    <w:rPr>
      <w:rFonts w:eastAsia="Times New Roman"/>
      <w:szCs w:val="24"/>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ro-RO" w:bidi="ro-RO"/>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ro-RO"/>
    </w:rPr>
  </w:style>
  <w:style w:type="paragraph" w:customStyle="1" w:styleId="CM11">
    <w:name w:val="CM1+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1">
    <w:name w:val="CM3+1"/>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14">
    <w:name w:val="CM1+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customStyle="1" w:styleId="CM34">
    <w:name w:val="CM3+4"/>
    <w:basedOn w:val="Normal"/>
    <w:next w:val="Normal"/>
    <w:uiPriority w:val="99"/>
    <w:pPr>
      <w:autoSpaceDE w:val="0"/>
      <w:autoSpaceDN w:val="0"/>
      <w:adjustRightInd w:val="0"/>
      <w:spacing w:before="0" w:after="0"/>
      <w:jc w:val="left"/>
    </w:pPr>
    <w:rPr>
      <w:rFonts w:ascii="EUAlbertina" w:hAnsi="EUAlbertina" w:cstheme="minorBidi"/>
      <w:szCs w:val="24"/>
    </w:rPr>
  </w:style>
  <w:style w:type="paragraph" w:styleId="NormalWeb">
    <w:name w:val="Normal (Web)"/>
    <w:basedOn w:val="Normal"/>
    <w:uiPriority w:val="99"/>
    <w:semiHidden/>
    <w:unhideWhenUsed/>
    <w:pPr>
      <w:spacing w:before="100" w:beforeAutospacing="1" w:after="100" w:afterAutospacing="1"/>
      <w:jc w:val="left"/>
    </w:pPr>
    <w:rPr>
      <w:rFonts w:eastAsia="Times New Roman"/>
      <w:szCs w:val="24"/>
    </w:rPr>
  </w:style>
  <w:style w:type="paragraph" w:styleId="ListParagraph">
    <w:name w:val="List Paragraph"/>
    <w:basedOn w:val="Normal"/>
    <w:uiPriority w:val="34"/>
    <w:qFormat/>
    <w:pPr>
      <w:spacing w:before="0" w:after="0"/>
      <w:ind w:left="720"/>
      <w:contextualSpacing/>
      <w:jc w:val="left"/>
    </w:pPr>
    <w:rPr>
      <w:rFonts w:eastAsia="Times New Roman"/>
      <w:szCs w:val="24"/>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lang w:eastAsia="en-US" w:bidi="ar-SA"/>
    </w:r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368795">
      <w:bodyDiv w:val="1"/>
      <w:marLeft w:val="0"/>
      <w:marRight w:val="0"/>
      <w:marTop w:val="0"/>
      <w:marBottom w:val="0"/>
      <w:divBdr>
        <w:top w:val="none" w:sz="0" w:space="0" w:color="auto"/>
        <w:left w:val="none" w:sz="0" w:space="0" w:color="auto"/>
        <w:bottom w:val="none" w:sz="0" w:space="0" w:color="auto"/>
        <w:right w:val="none" w:sz="0" w:space="0" w:color="auto"/>
      </w:divBdr>
    </w:div>
    <w:div w:id="912744037">
      <w:bodyDiv w:val="1"/>
      <w:marLeft w:val="0"/>
      <w:marRight w:val="0"/>
      <w:marTop w:val="0"/>
      <w:marBottom w:val="0"/>
      <w:divBdr>
        <w:top w:val="none" w:sz="0" w:space="0" w:color="auto"/>
        <w:left w:val="none" w:sz="0" w:space="0" w:color="auto"/>
        <w:bottom w:val="none" w:sz="0" w:space="0" w:color="auto"/>
        <w:right w:val="none" w:sz="0" w:space="0" w:color="auto"/>
      </w:divBdr>
      <w:divsChild>
        <w:div w:id="1835804286">
          <w:marLeft w:val="446"/>
          <w:marRight w:val="0"/>
          <w:marTop w:val="0"/>
          <w:marBottom w:val="120"/>
          <w:divBdr>
            <w:top w:val="none" w:sz="0" w:space="0" w:color="auto"/>
            <w:left w:val="none" w:sz="0" w:space="0" w:color="auto"/>
            <w:bottom w:val="none" w:sz="0" w:space="0" w:color="auto"/>
            <w:right w:val="none" w:sz="0" w:space="0" w:color="auto"/>
          </w:divBdr>
        </w:div>
        <w:div w:id="219287514">
          <w:marLeft w:val="446"/>
          <w:marRight w:val="0"/>
          <w:marTop w:val="0"/>
          <w:marBottom w:val="120"/>
          <w:divBdr>
            <w:top w:val="none" w:sz="0" w:space="0" w:color="auto"/>
            <w:left w:val="none" w:sz="0" w:space="0" w:color="auto"/>
            <w:bottom w:val="none" w:sz="0" w:space="0" w:color="auto"/>
            <w:right w:val="none" w:sz="0" w:space="0" w:color="auto"/>
          </w:divBdr>
        </w:div>
      </w:divsChild>
    </w:div>
    <w:div w:id="1041899167">
      <w:bodyDiv w:val="1"/>
      <w:marLeft w:val="0"/>
      <w:marRight w:val="0"/>
      <w:marTop w:val="0"/>
      <w:marBottom w:val="0"/>
      <w:divBdr>
        <w:top w:val="none" w:sz="0" w:space="0" w:color="auto"/>
        <w:left w:val="none" w:sz="0" w:space="0" w:color="auto"/>
        <w:bottom w:val="none" w:sz="0" w:space="0" w:color="auto"/>
        <w:right w:val="none" w:sz="0" w:space="0" w:color="auto"/>
      </w:divBdr>
    </w:div>
    <w:div w:id="1564681926">
      <w:bodyDiv w:val="1"/>
      <w:marLeft w:val="0"/>
      <w:marRight w:val="0"/>
      <w:marTop w:val="0"/>
      <w:marBottom w:val="0"/>
      <w:divBdr>
        <w:top w:val="none" w:sz="0" w:space="0" w:color="auto"/>
        <w:left w:val="none" w:sz="0" w:space="0" w:color="auto"/>
        <w:bottom w:val="none" w:sz="0" w:space="0" w:color="auto"/>
        <w:right w:val="none" w:sz="0" w:space="0" w:color="auto"/>
      </w:divBdr>
    </w:div>
    <w:div w:id="1604147280">
      <w:bodyDiv w:val="1"/>
      <w:marLeft w:val="0"/>
      <w:marRight w:val="0"/>
      <w:marTop w:val="0"/>
      <w:marBottom w:val="0"/>
      <w:divBdr>
        <w:top w:val="none" w:sz="0" w:space="0" w:color="auto"/>
        <w:left w:val="none" w:sz="0" w:space="0" w:color="auto"/>
        <w:bottom w:val="none" w:sz="0" w:space="0" w:color="auto"/>
        <w:right w:val="none" w:sz="0" w:space="0" w:color="auto"/>
      </w:divBdr>
    </w:div>
    <w:div w:id="1660692365">
      <w:bodyDiv w:val="1"/>
      <w:marLeft w:val="0"/>
      <w:marRight w:val="0"/>
      <w:marTop w:val="0"/>
      <w:marBottom w:val="0"/>
      <w:divBdr>
        <w:top w:val="none" w:sz="0" w:space="0" w:color="auto"/>
        <w:left w:val="none" w:sz="0" w:space="0" w:color="auto"/>
        <w:bottom w:val="none" w:sz="0" w:space="0" w:color="auto"/>
        <w:right w:val="none" w:sz="0" w:space="0" w:color="auto"/>
      </w:divBdr>
    </w:div>
    <w:div w:id="181633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AB1E4-AF44-48D7-8577-EC15B1893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8</Pages>
  <Words>2363</Words>
  <Characters>13402</Characters>
  <Application>Microsoft Office Word</Application>
  <DocSecurity>0</DocSecurity>
  <Lines>219</Lines>
  <Paragraphs>87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18</cp:revision>
  <cp:lastPrinted>2017-05-05T14:38:00Z</cp:lastPrinted>
  <dcterms:created xsi:type="dcterms:W3CDTF">2017-10-27T09:59:00Z</dcterms:created>
  <dcterms:modified xsi:type="dcterms:W3CDTF">2017-11-14T09:46:00Z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5.8.86.0</vt:lpwstr>
  </property>
  <property fmtid="{D5CDD505-2E9C-101B-9397-08002B2CF9AE}" pid="4" name="Last edited using">
    <vt:lpwstr>LW 6.0, Build 20171009</vt:lpwstr>
  </property>
  <property fmtid="{D5CDD505-2E9C-101B-9397-08002B2CF9AE}" pid="5" name="Created using">
    <vt:lpwstr>LW 5.8.4, Build 20150407</vt:lpwstr>
  </property>
  <property fmtid="{D5CDD505-2E9C-101B-9397-08002B2CF9AE}" pid="6" name="Part">
    <vt:lpwstr>1</vt:lpwstr>
  </property>
  <property fmtid="{D5CDD505-2E9C-101B-9397-08002B2CF9AE}" pid="7" name="Total parts">
    <vt:lpwstr>1</vt:lpwstr>
  </property>
  <property fmtid="{D5CDD505-2E9C-101B-9397-08002B2CF9AE}" pid="8" name="LWTemplateID">
    <vt:lpwstr>SJ-019</vt:lpwstr>
  </property>
  <property fmtid="{D5CDD505-2E9C-101B-9397-08002B2CF9AE}" pid="9" name="Level of sensitivity">
    <vt:lpwstr>Standard treatment</vt:lpwstr>
  </property>
  <property fmtid="{D5CDD505-2E9C-101B-9397-08002B2CF9AE}" pid="10" name="DQCStatus">
    <vt:lpwstr>Green (DQC version 03)</vt:lpwstr>
  </property>
  <property name="OP_sanitized" fmtid="{D5CDD505-2E9C-101B-9397-08002B2CF9AE}" pid="11">
    <vt:lpwstr>True</vt:lpwstr>
  </property>
</Properties>
</file>