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46974476960B4CE99B63F0B4C0979878" style="width:450.75pt;height:379.5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0"/>
          <w:cols w:space="720"/>
          <w:docGrid w:linePitch="360"/>
        </w:sectPr>
      </w:pPr>
    </w:p>
    <w:p>
      <w:pPr>
        <w:spacing w:after="240" w:line="240" w:lineRule="auto"/>
        <w:jc w:val="center"/>
        <w:rPr>
          <w:rFonts w:ascii="Times New Roman" w:eastAsia="Times New Roman" w:hAnsi="Times New Roman" w:cs="Times New Roman"/>
          <w:b/>
          <w:noProof/>
          <w:sz w:val="24"/>
          <w:szCs w:val="24"/>
          <w:u w:val="single"/>
        </w:rPr>
      </w:pPr>
      <w:bookmarkStart w:id="1" w:name="_GoBack"/>
      <w:bookmarkEnd w:id="1"/>
      <w:r>
        <w:rPr>
          <w:rFonts w:ascii="Times New Roman" w:hAnsi="Times New Roman"/>
          <w:b/>
          <w:noProof/>
          <w:sz w:val="24"/>
          <w:u w:val="single"/>
        </w:rPr>
        <w:lastRenderedPageBreak/>
        <w:t xml:space="preserve">Priloga </w:t>
      </w:r>
    </w:p>
    <w:p>
      <w:pPr>
        <w:autoSpaceDE w:val="0"/>
        <w:autoSpaceDN w:val="0"/>
        <w:adjustRightInd w:val="0"/>
        <w:spacing w:after="240" w:line="240" w:lineRule="auto"/>
        <w:jc w:val="center"/>
        <w:rPr>
          <w:rFonts w:ascii="Times New Roman" w:eastAsia="Times New Roman" w:hAnsi="Times New Roman" w:cs="Times New Roman"/>
          <w:b/>
          <w:noProof/>
          <w:sz w:val="24"/>
          <w:szCs w:val="24"/>
        </w:rPr>
      </w:pPr>
      <w:r>
        <w:rPr>
          <w:rFonts w:ascii="Times New Roman" w:hAnsi="Times New Roman"/>
          <w:b/>
          <w:noProof/>
          <w:sz w:val="24"/>
        </w:rPr>
        <w:t>Seznam dokumentov Komisije, glede katerih je Komisija leta 2015 prejela obrazložena mnenja</w:t>
      </w:r>
      <w:r>
        <w:rPr>
          <w:rFonts w:ascii="Times New Roman" w:hAnsi="Times New Roman"/>
          <w:b/>
          <w:noProof/>
          <w:sz w:val="24"/>
          <w:vertAlign w:val="superscript"/>
        </w:rPr>
        <w:footnoteReference w:id="1"/>
      </w:r>
      <w:r>
        <w:rPr>
          <w:rFonts w:ascii="Times New Roman" w:hAnsi="Times New Roman"/>
          <w:b/>
          <w:noProof/>
          <w:sz w:val="24"/>
        </w:rPr>
        <w:t xml:space="preserve"> nacionalnih parlamentov v zvezi s skladnostjo z načelom subsidiarnosti</w:t>
      </w: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1701"/>
        <w:gridCol w:w="2694"/>
        <w:gridCol w:w="1417"/>
        <w:gridCol w:w="1276"/>
        <w:gridCol w:w="2410"/>
      </w:tblGrid>
      <w:tr>
        <w:trPr>
          <w:cantSplit/>
          <w:trHeight w:val="1636"/>
        </w:trPr>
        <w:tc>
          <w:tcPr>
            <w:tcW w:w="284" w:type="dxa"/>
            <w:tcBorders>
              <w:top w:val="nil"/>
              <w:left w:val="nil"/>
            </w:tcBorders>
            <w:shd w:val="clear" w:color="auto" w:fill="auto"/>
            <w:vAlign w:val="center"/>
          </w:tcPr>
          <w:p>
            <w:pPr>
              <w:spacing w:after="240" w:line="240" w:lineRule="auto"/>
              <w:jc w:val="center"/>
              <w:rPr>
                <w:rFonts w:ascii="Times New Roman" w:eastAsia="Times New Roman" w:hAnsi="Times New Roman" w:cs="Times New Roman"/>
                <w:noProof/>
                <w:sz w:val="24"/>
                <w:szCs w:val="24"/>
              </w:rPr>
            </w:pPr>
          </w:p>
        </w:tc>
        <w:tc>
          <w:tcPr>
            <w:tcW w:w="1701" w:type="dxa"/>
            <w:shd w:val="clear" w:color="auto" w:fill="auto"/>
            <w:vAlign w:val="center"/>
          </w:tcPr>
          <w:p>
            <w:pPr>
              <w:spacing w:after="240" w:line="240" w:lineRule="auto"/>
              <w:jc w:val="center"/>
              <w:rPr>
                <w:rFonts w:ascii="Times New Roman" w:eastAsia="Times New Roman" w:hAnsi="Times New Roman" w:cs="Times New Roman"/>
                <w:b/>
                <w:noProof/>
                <w:sz w:val="24"/>
                <w:szCs w:val="24"/>
              </w:rPr>
            </w:pPr>
            <w:r>
              <w:rPr>
                <w:rFonts w:ascii="Times New Roman" w:hAnsi="Times New Roman"/>
                <w:b/>
                <w:noProof/>
                <w:sz w:val="24"/>
              </w:rPr>
              <w:t>Dokument Komisije</w:t>
            </w:r>
          </w:p>
        </w:tc>
        <w:tc>
          <w:tcPr>
            <w:tcW w:w="2694" w:type="dxa"/>
            <w:shd w:val="clear" w:color="auto" w:fill="auto"/>
            <w:vAlign w:val="center"/>
          </w:tcPr>
          <w:p>
            <w:pPr>
              <w:spacing w:after="240" w:line="240" w:lineRule="auto"/>
              <w:jc w:val="center"/>
              <w:rPr>
                <w:rFonts w:ascii="Times New Roman" w:eastAsia="Times New Roman" w:hAnsi="Times New Roman" w:cs="Times New Roman"/>
                <w:noProof/>
                <w:sz w:val="24"/>
                <w:szCs w:val="24"/>
              </w:rPr>
            </w:pPr>
            <w:r>
              <w:rPr>
                <w:rFonts w:ascii="Times New Roman" w:hAnsi="Times New Roman"/>
                <w:b/>
                <w:noProof/>
                <w:sz w:val="24"/>
              </w:rPr>
              <w:t>Naslov</w:t>
            </w:r>
          </w:p>
        </w:tc>
        <w:tc>
          <w:tcPr>
            <w:tcW w:w="1417" w:type="dxa"/>
            <w:shd w:val="clear" w:color="auto" w:fill="auto"/>
            <w:vAlign w:val="center"/>
          </w:tcPr>
          <w:p>
            <w:pPr>
              <w:spacing w:after="240" w:line="240" w:lineRule="auto"/>
              <w:jc w:val="center"/>
              <w:rPr>
                <w:rFonts w:ascii="Times New Roman" w:eastAsia="Times New Roman" w:hAnsi="Times New Roman" w:cs="Times New Roman"/>
                <w:noProof/>
                <w:sz w:val="24"/>
                <w:szCs w:val="24"/>
              </w:rPr>
            </w:pPr>
            <w:r>
              <w:rPr>
                <w:rFonts w:ascii="Times New Roman" w:hAnsi="Times New Roman"/>
                <w:b/>
                <w:noProof/>
                <w:sz w:val="24"/>
              </w:rPr>
              <w:t>Število obrazloženih mnenj (Protokol št. 2)</w:t>
            </w:r>
          </w:p>
        </w:tc>
        <w:tc>
          <w:tcPr>
            <w:tcW w:w="1276" w:type="dxa"/>
            <w:shd w:val="clear" w:color="auto" w:fill="auto"/>
            <w:vAlign w:val="center"/>
          </w:tcPr>
          <w:p>
            <w:pPr>
              <w:spacing w:after="240" w:line="240" w:lineRule="auto"/>
              <w:jc w:val="center"/>
              <w:rPr>
                <w:rFonts w:ascii="Times New Roman" w:eastAsia="Times New Roman" w:hAnsi="Times New Roman" w:cs="Times New Roman"/>
                <w:noProof/>
                <w:sz w:val="24"/>
                <w:szCs w:val="24"/>
              </w:rPr>
            </w:pPr>
            <w:r>
              <w:rPr>
                <w:rFonts w:ascii="Times New Roman" w:hAnsi="Times New Roman"/>
                <w:b/>
                <w:noProof/>
                <w:sz w:val="24"/>
              </w:rPr>
              <w:t>Število glasov (Protokol št. 2)</w:t>
            </w:r>
            <w:r>
              <w:rPr>
                <w:rFonts w:ascii="Times New Roman" w:hAnsi="Times New Roman"/>
                <w:noProof/>
                <w:sz w:val="24"/>
                <w:vertAlign w:val="superscript"/>
              </w:rPr>
              <w:footnoteReference w:id="2"/>
            </w:r>
          </w:p>
        </w:tc>
        <w:tc>
          <w:tcPr>
            <w:tcW w:w="2410" w:type="dxa"/>
            <w:shd w:val="clear" w:color="auto" w:fill="auto"/>
            <w:vAlign w:val="center"/>
          </w:tcPr>
          <w:p>
            <w:pPr>
              <w:spacing w:after="240" w:line="240" w:lineRule="auto"/>
              <w:jc w:val="center"/>
              <w:rPr>
                <w:rFonts w:ascii="Times New Roman" w:eastAsia="Times New Roman" w:hAnsi="Times New Roman" w:cs="Times New Roman"/>
                <w:noProof/>
                <w:sz w:val="24"/>
                <w:szCs w:val="24"/>
              </w:rPr>
            </w:pPr>
            <w:r>
              <w:rPr>
                <w:rFonts w:ascii="Times New Roman" w:hAnsi="Times New Roman"/>
                <w:b/>
                <w:noProof/>
                <w:sz w:val="24"/>
              </w:rPr>
              <w:t>Nacionalni parlamentarni domovi, ki so predložili obrazložena mnenja</w:t>
            </w:r>
          </w:p>
        </w:tc>
      </w:tr>
      <w:tr>
        <w:trPr>
          <w:cantSplit/>
          <w:trHeight w:val="3531"/>
        </w:trPr>
        <w:tc>
          <w:tcPr>
            <w:tcW w:w="284" w:type="dxa"/>
            <w:shd w:val="clear" w:color="auto" w:fill="auto"/>
          </w:tcPr>
          <w:p>
            <w:pPr>
              <w:spacing w:after="240" w:line="240" w:lineRule="auto"/>
              <w:jc w:val="center"/>
              <w:rPr>
                <w:rFonts w:ascii="Times New Roman" w:eastAsia="Times New Roman" w:hAnsi="Times New Roman" w:cs="Times New Roman"/>
                <w:noProof/>
              </w:rPr>
            </w:pPr>
            <w:r>
              <w:rPr>
                <w:rFonts w:ascii="Times New Roman" w:hAnsi="Times New Roman"/>
                <w:noProof/>
              </w:rPr>
              <w:t>1</w:t>
            </w:r>
          </w:p>
        </w:tc>
        <w:tc>
          <w:tcPr>
            <w:tcW w:w="1701" w:type="dxa"/>
            <w:shd w:val="clear" w:color="auto" w:fill="auto"/>
          </w:tcPr>
          <w:p>
            <w:pPr>
              <w:spacing w:after="240" w:line="240" w:lineRule="auto"/>
              <w:jc w:val="center"/>
              <w:rPr>
                <w:rFonts w:ascii="Times New Roman" w:eastAsia="Times New Roman" w:hAnsi="Times New Roman" w:cs="Times New Roman"/>
                <w:noProof/>
              </w:rPr>
            </w:pPr>
            <w:r>
              <w:rPr>
                <w:rFonts w:ascii="Times New Roman" w:hAnsi="Times New Roman"/>
                <w:noProof/>
              </w:rPr>
              <w:t>COM(2015) 450</w:t>
            </w:r>
          </w:p>
        </w:tc>
        <w:tc>
          <w:tcPr>
            <w:tcW w:w="2694" w:type="dxa"/>
            <w:shd w:val="clear" w:color="auto" w:fill="auto"/>
          </w:tcPr>
          <w:p>
            <w:pPr>
              <w:spacing w:after="240" w:line="240" w:lineRule="auto"/>
              <w:jc w:val="both"/>
              <w:rPr>
                <w:rFonts w:ascii="Times New Roman" w:eastAsia="Times New Roman" w:hAnsi="Times New Roman" w:cs="Times New Roman"/>
                <w:noProof/>
                <w:color w:val="000000"/>
              </w:rPr>
            </w:pPr>
            <w:r>
              <w:rPr>
                <w:rFonts w:ascii="Times New Roman" w:hAnsi="Times New Roman"/>
                <w:noProof/>
                <w:color w:val="000000"/>
              </w:rPr>
              <w:t>Predlog uredbe o vzpostavitvi kriznega mehanizma za premestitev in spremembi Uredbe (EU) št. 604/2013 o vzpostavitvi meril in mehanizmov za določitev države članice, odgovorne za obravnavanje prošnje za mednarodno zaščito, ki jo v eni od držav članic vloži državljan tretje države ali oseba brez državljanstva</w:t>
            </w:r>
          </w:p>
        </w:tc>
        <w:tc>
          <w:tcPr>
            <w:tcW w:w="1417" w:type="dxa"/>
            <w:shd w:val="clear" w:color="auto" w:fill="auto"/>
          </w:tcPr>
          <w:p>
            <w:pPr>
              <w:spacing w:after="240" w:line="240" w:lineRule="auto"/>
              <w:jc w:val="center"/>
              <w:rPr>
                <w:rFonts w:ascii="Times New Roman" w:eastAsia="Times New Roman" w:hAnsi="Times New Roman" w:cs="Times New Roman"/>
                <w:noProof/>
              </w:rPr>
            </w:pPr>
            <w:r>
              <w:rPr>
                <w:rFonts w:ascii="Times New Roman" w:hAnsi="Times New Roman"/>
                <w:noProof/>
              </w:rPr>
              <w:t>5</w:t>
            </w:r>
          </w:p>
        </w:tc>
        <w:tc>
          <w:tcPr>
            <w:tcW w:w="1276" w:type="dxa"/>
            <w:shd w:val="clear" w:color="auto" w:fill="auto"/>
          </w:tcPr>
          <w:p>
            <w:pPr>
              <w:spacing w:after="240" w:line="240" w:lineRule="auto"/>
              <w:jc w:val="center"/>
              <w:rPr>
                <w:rFonts w:ascii="Times New Roman" w:eastAsia="Times New Roman" w:hAnsi="Times New Roman" w:cs="Times New Roman"/>
                <w:noProof/>
              </w:rPr>
            </w:pPr>
            <w:r>
              <w:rPr>
                <w:rFonts w:ascii="Times New Roman" w:hAnsi="Times New Roman"/>
                <w:noProof/>
              </w:rPr>
              <w:t xml:space="preserve">7 </w:t>
            </w:r>
          </w:p>
        </w:tc>
        <w:tc>
          <w:tcPr>
            <w:tcW w:w="2410" w:type="dxa"/>
            <w:shd w:val="clear" w:color="auto" w:fill="auto"/>
          </w:tcPr>
          <w:p>
            <w:pPr>
              <w:spacing w:after="240" w:line="240" w:lineRule="auto"/>
              <w:jc w:val="center"/>
              <w:rPr>
                <w:rFonts w:ascii="Times New Roman" w:eastAsia="Times New Roman" w:hAnsi="Times New Roman" w:cs="Times New Roman"/>
                <w:noProof/>
              </w:rPr>
            </w:pPr>
            <w:r>
              <w:rPr>
                <w:rFonts w:ascii="Times New Roman" w:hAnsi="Times New Roman"/>
                <w:noProof/>
              </w:rPr>
              <w:t xml:space="preserve">CZ </w:t>
            </w:r>
            <w:r>
              <w:rPr>
                <w:rFonts w:ascii="Times New Roman" w:hAnsi="Times New Roman"/>
                <w:i/>
                <w:noProof/>
                <w:sz w:val="24"/>
              </w:rPr>
              <w:t xml:space="preserve">Senát </w:t>
            </w:r>
            <w:r>
              <w:rPr>
                <w:rFonts w:ascii="Times New Roman" w:hAnsi="Times New Roman"/>
                <w:noProof/>
                <w:sz w:val="24"/>
              </w:rPr>
              <w:t>(1 glas)</w:t>
            </w:r>
          </w:p>
          <w:p>
            <w:pPr>
              <w:spacing w:after="240" w:line="240" w:lineRule="auto"/>
              <w:jc w:val="center"/>
              <w:rPr>
                <w:rFonts w:ascii="Times New Roman" w:eastAsia="Times New Roman" w:hAnsi="Times New Roman" w:cs="Times New Roman"/>
                <w:noProof/>
              </w:rPr>
            </w:pPr>
            <w:r>
              <w:rPr>
                <w:rFonts w:ascii="Times New Roman" w:hAnsi="Times New Roman"/>
                <w:noProof/>
              </w:rPr>
              <w:t xml:space="preserve">CZ </w:t>
            </w:r>
            <w:r>
              <w:rPr>
                <w:rFonts w:ascii="Times New Roman" w:hAnsi="Times New Roman"/>
                <w:i/>
                <w:noProof/>
              </w:rPr>
              <w:t>Poslanecká sněmovna</w:t>
            </w:r>
            <w:r>
              <w:rPr>
                <w:rFonts w:ascii="Times New Roman" w:hAnsi="Times New Roman"/>
                <w:noProof/>
              </w:rPr>
              <w:t xml:space="preserve"> (1 glas)</w:t>
            </w:r>
          </w:p>
          <w:p>
            <w:pPr>
              <w:spacing w:after="240" w:line="240" w:lineRule="auto"/>
              <w:jc w:val="center"/>
              <w:rPr>
                <w:rFonts w:ascii="Times New Roman" w:eastAsia="Times New Roman" w:hAnsi="Times New Roman" w:cs="Times New Roman"/>
                <w:noProof/>
              </w:rPr>
            </w:pPr>
            <w:r>
              <w:rPr>
                <w:rFonts w:ascii="Times New Roman" w:hAnsi="Times New Roman"/>
                <w:noProof/>
              </w:rPr>
              <w:t xml:space="preserve">HU </w:t>
            </w:r>
            <w:r>
              <w:rPr>
                <w:rFonts w:ascii="Times New Roman" w:hAnsi="Times New Roman"/>
                <w:i/>
                <w:noProof/>
              </w:rPr>
              <w:t xml:space="preserve">Országgyűlés </w:t>
            </w:r>
            <w:r>
              <w:rPr>
                <w:rFonts w:ascii="Times New Roman" w:hAnsi="Times New Roman"/>
                <w:noProof/>
              </w:rPr>
              <w:t>(2 glasova)</w:t>
            </w:r>
          </w:p>
          <w:p>
            <w:pPr>
              <w:spacing w:after="240" w:line="240" w:lineRule="auto"/>
              <w:jc w:val="center"/>
              <w:rPr>
                <w:rFonts w:ascii="Times New Roman" w:eastAsia="Times New Roman" w:hAnsi="Times New Roman" w:cs="Times New Roman"/>
                <w:noProof/>
              </w:rPr>
            </w:pPr>
            <w:r>
              <w:rPr>
                <w:rFonts w:ascii="Times New Roman" w:hAnsi="Times New Roman"/>
                <w:noProof/>
              </w:rPr>
              <w:t xml:space="preserve">RO </w:t>
            </w:r>
            <w:r>
              <w:rPr>
                <w:rFonts w:ascii="Times New Roman" w:hAnsi="Times New Roman"/>
                <w:i/>
                <w:noProof/>
              </w:rPr>
              <w:t xml:space="preserve">Camera Deputaților </w:t>
            </w:r>
            <w:r>
              <w:rPr>
                <w:rFonts w:ascii="Times New Roman" w:hAnsi="Times New Roman"/>
                <w:noProof/>
              </w:rPr>
              <w:t>(1 glas)</w:t>
            </w:r>
          </w:p>
          <w:p>
            <w:pPr>
              <w:spacing w:after="0" w:line="240" w:lineRule="auto"/>
              <w:jc w:val="center"/>
              <w:rPr>
                <w:rFonts w:ascii="Times New Roman" w:eastAsia="Times New Roman" w:hAnsi="Times New Roman" w:cs="Times New Roman"/>
                <w:i/>
                <w:noProof/>
              </w:rPr>
            </w:pPr>
            <w:r>
              <w:rPr>
                <w:rFonts w:ascii="Times New Roman" w:hAnsi="Times New Roman"/>
                <w:noProof/>
              </w:rPr>
              <w:t xml:space="preserve">SK </w:t>
            </w:r>
            <w:r>
              <w:rPr>
                <w:rFonts w:ascii="Times New Roman" w:hAnsi="Times New Roman"/>
                <w:i/>
                <w:noProof/>
              </w:rPr>
              <w:t>Národná Rada</w:t>
            </w:r>
          </w:p>
          <w:p>
            <w:pPr>
              <w:spacing w:after="240" w:line="240" w:lineRule="auto"/>
              <w:jc w:val="center"/>
              <w:rPr>
                <w:rFonts w:ascii="Times New Roman" w:eastAsia="Times New Roman" w:hAnsi="Times New Roman" w:cs="Times New Roman"/>
                <w:noProof/>
              </w:rPr>
            </w:pPr>
            <w:r>
              <w:rPr>
                <w:rFonts w:ascii="Times New Roman" w:hAnsi="Times New Roman"/>
                <w:noProof/>
              </w:rPr>
              <w:t xml:space="preserve"> (2 glasova)</w:t>
            </w:r>
          </w:p>
        </w:tc>
      </w:tr>
      <w:tr>
        <w:trPr>
          <w:cantSplit/>
          <w:trHeight w:val="1967"/>
        </w:trPr>
        <w:tc>
          <w:tcPr>
            <w:tcW w:w="284" w:type="dxa"/>
            <w:shd w:val="clear" w:color="auto" w:fill="auto"/>
          </w:tcPr>
          <w:p>
            <w:pPr>
              <w:spacing w:after="240" w:line="240" w:lineRule="auto"/>
              <w:jc w:val="center"/>
              <w:rPr>
                <w:rFonts w:ascii="Times New Roman" w:eastAsia="Times New Roman" w:hAnsi="Times New Roman" w:cs="Times New Roman"/>
                <w:noProof/>
              </w:rPr>
            </w:pPr>
            <w:r>
              <w:rPr>
                <w:rFonts w:ascii="Times New Roman" w:hAnsi="Times New Roman"/>
                <w:noProof/>
              </w:rPr>
              <w:t>2</w:t>
            </w:r>
          </w:p>
        </w:tc>
        <w:tc>
          <w:tcPr>
            <w:tcW w:w="1701" w:type="dxa"/>
            <w:shd w:val="clear" w:color="auto" w:fill="auto"/>
          </w:tcPr>
          <w:p>
            <w:pPr>
              <w:spacing w:after="240" w:line="240" w:lineRule="auto"/>
              <w:jc w:val="center"/>
              <w:rPr>
                <w:rFonts w:ascii="Times New Roman" w:eastAsia="Times New Roman" w:hAnsi="Times New Roman" w:cs="Times New Roman"/>
                <w:noProof/>
              </w:rPr>
            </w:pPr>
            <w:r>
              <w:rPr>
                <w:rFonts w:ascii="Times New Roman" w:hAnsi="Times New Roman"/>
                <w:noProof/>
              </w:rPr>
              <w:t>COM(2015) 177</w:t>
            </w:r>
          </w:p>
        </w:tc>
        <w:tc>
          <w:tcPr>
            <w:tcW w:w="2694" w:type="dxa"/>
            <w:shd w:val="clear" w:color="auto" w:fill="auto"/>
          </w:tcPr>
          <w:p>
            <w:pPr>
              <w:spacing w:after="240" w:line="240" w:lineRule="auto"/>
              <w:jc w:val="both"/>
              <w:rPr>
                <w:rFonts w:ascii="Times New Roman" w:eastAsia="Times New Roman" w:hAnsi="Times New Roman" w:cs="Times New Roman"/>
                <w:noProof/>
              </w:rPr>
            </w:pPr>
            <w:r>
              <w:rPr>
                <w:rFonts w:ascii="Times New Roman" w:hAnsi="Times New Roman"/>
                <w:noProof/>
                <w:color w:val="000000"/>
              </w:rPr>
              <w:t>Predlog uredbe o spremembi Uredbe (ES) št. 1829/2003 v zvezi z možnostjo držav članic, da na svojem ozemlju omejijo ali prepovejo uporabo gensko spremenjenih živil in krme</w:t>
            </w:r>
          </w:p>
        </w:tc>
        <w:tc>
          <w:tcPr>
            <w:tcW w:w="1417" w:type="dxa"/>
            <w:shd w:val="clear" w:color="auto" w:fill="auto"/>
          </w:tcPr>
          <w:p>
            <w:pPr>
              <w:spacing w:after="240" w:line="240" w:lineRule="auto"/>
              <w:jc w:val="center"/>
              <w:rPr>
                <w:rFonts w:ascii="Times New Roman" w:eastAsia="Times New Roman" w:hAnsi="Times New Roman" w:cs="Times New Roman"/>
                <w:noProof/>
              </w:rPr>
            </w:pPr>
            <w:r>
              <w:rPr>
                <w:rFonts w:ascii="Times New Roman" w:hAnsi="Times New Roman"/>
                <w:noProof/>
              </w:rPr>
              <w:t>2</w:t>
            </w:r>
            <w:r>
              <w:rPr>
                <w:rFonts w:ascii="Times New Roman" w:hAnsi="Times New Roman"/>
                <w:noProof/>
                <w:vertAlign w:val="superscript"/>
              </w:rPr>
              <w:footnoteReference w:id="3"/>
            </w:r>
          </w:p>
        </w:tc>
        <w:tc>
          <w:tcPr>
            <w:tcW w:w="1276" w:type="dxa"/>
            <w:shd w:val="clear" w:color="auto" w:fill="auto"/>
          </w:tcPr>
          <w:p>
            <w:pPr>
              <w:spacing w:after="240" w:line="240" w:lineRule="auto"/>
              <w:jc w:val="center"/>
              <w:rPr>
                <w:rFonts w:ascii="Times New Roman" w:eastAsia="Times New Roman" w:hAnsi="Times New Roman" w:cs="Times New Roman"/>
                <w:noProof/>
              </w:rPr>
            </w:pPr>
            <w:r>
              <w:rPr>
                <w:rFonts w:ascii="Times New Roman" w:hAnsi="Times New Roman"/>
                <w:noProof/>
              </w:rPr>
              <w:t>3</w:t>
            </w:r>
          </w:p>
        </w:tc>
        <w:tc>
          <w:tcPr>
            <w:tcW w:w="2410" w:type="dxa"/>
            <w:shd w:val="clear" w:color="auto" w:fill="auto"/>
          </w:tcPr>
          <w:p>
            <w:pPr>
              <w:spacing w:after="0" w:line="240" w:lineRule="auto"/>
              <w:jc w:val="center"/>
              <w:rPr>
                <w:rFonts w:ascii="Times New Roman" w:eastAsia="Times New Roman" w:hAnsi="Times New Roman" w:cs="Times New Roman"/>
                <w:noProof/>
              </w:rPr>
            </w:pPr>
            <w:r>
              <w:rPr>
                <w:rFonts w:ascii="Times New Roman" w:hAnsi="Times New Roman"/>
                <w:noProof/>
              </w:rPr>
              <w:t xml:space="preserve">ES </w:t>
            </w:r>
            <w:r>
              <w:rPr>
                <w:rFonts w:ascii="Times New Roman" w:hAnsi="Times New Roman"/>
                <w:i/>
                <w:noProof/>
              </w:rPr>
              <w:t>Congreso de los Diputados / Senado</w:t>
            </w:r>
            <w:r>
              <w:rPr>
                <w:rFonts w:ascii="Times New Roman" w:hAnsi="Times New Roman"/>
                <w:noProof/>
              </w:rPr>
              <w:t xml:space="preserve"> </w:t>
            </w:r>
          </w:p>
          <w:p>
            <w:pPr>
              <w:spacing w:after="240" w:line="240" w:lineRule="auto"/>
              <w:jc w:val="center"/>
              <w:rPr>
                <w:rFonts w:ascii="Times New Roman" w:eastAsia="Times New Roman" w:hAnsi="Times New Roman" w:cs="Times New Roman"/>
                <w:noProof/>
              </w:rPr>
            </w:pPr>
            <w:r>
              <w:rPr>
                <w:rFonts w:ascii="Times New Roman" w:hAnsi="Times New Roman"/>
                <w:noProof/>
              </w:rPr>
              <w:t>(oba domova – 2 glasova)</w:t>
            </w:r>
          </w:p>
          <w:p>
            <w:pPr>
              <w:spacing w:after="0" w:line="240" w:lineRule="auto"/>
              <w:jc w:val="center"/>
              <w:rPr>
                <w:rFonts w:ascii="Times New Roman" w:eastAsia="Times New Roman" w:hAnsi="Times New Roman" w:cs="Times New Roman"/>
                <w:i/>
                <w:noProof/>
              </w:rPr>
            </w:pPr>
            <w:r>
              <w:rPr>
                <w:rFonts w:ascii="Times New Roman" w:hAnsi="Times New Roman"/>
                <w:noProof/>
              </w:rPr>
              <w:t xml:space="preserve">NL </w:t>
            </w:r>
            <w:r>
              <w:rPr>
                <w:rFonts w:ascii="Times New Roman" w:hAnsi="Times New Roman"/>
                <w:i/>
                <w:noProof/>
              </w:rPr>
              <w:t xml:space="preserve">Tweede Kamer </w:t>
            </w:r>
          </w:p>
          <w:p>
            <w:pPr>
              <w:spacing w:after="240" w:line="240" w:lineRule="auto"/>
              <w:jc w:val="center"/>
              <w:rPr>
                <w:rFonts w:ascii="Times New Roman" w:eastAsia="Times New Roman" w:hAnsi="Times New Roman" w:cs="Times New Roman"/>
                <w:noProof/>
              </w:rPr>
            </w:pPr>
            <w:r>
              <w:rPr>
                <w:rFonts w:ascii="Times New Roman" w:hAnsi="Times New Roman"/>
                <w:noProof/>
              </w:rPr>
              <w:t>(1 glas)</w:t>
            </w:r>
          </w:p>
        </w:tc>
      </w:tr>
      <w:tr>
        <w:trPr>
          <w:cantSplit/>
          <w:trHeight w:val="1838"/>
        </w:trPr>
        <w:tc>
          <w:tcPr>
            <w:tcW w:w="284" w:type="dxa"/>
            <w:shd w:val="clear" w:color="auto" w:fill="auto"/>
          </w:tcPr>
          <w:p>
            <w:pPr>
              <w:spacing w:after="240" w:line="240" w:lineRule="auto"/>
              <w:jc w:val="center"/>
              <w:rPr>
                <w:rFonts w:ascii="Times New Roman" w:eastAsia="Times New Roman" w:hAnsi="Times New Roman" w:cs="Times New Roman"/>
                <w:noProof/>
              </w:rPr>
            </w:pPr>
            <w:r>
              <w:rPr>
                <w:rFonts w:ascii="Times New Roman" w:hAnsi="Times New Roman"/>
                <w:noProof/>
              </w:rPr>
              <w:t>3</w:t>
            </w:r>
          </w:p>
        </w:tc>
        <w:tc>
          <w:tcPr>
            <w:tcW w:w="1701" w:type="dxa"/>
            <w:shd w:val="clear" w:color="auto" w:fill="auto"/>
          </w:tcPr>
          <w:p>
            <w:pPr>
              <w:spacing w:after="240" w:line="240" w:lineRule="auto"/>
              <w:jc w:val="center"/>
              <w:rPr>
                <w:rFonts w:ascii="Times New Roman" w:eastAsia="Times New Roman" w:hAnsi="Times New Roman" w:cs="Times New Roman"/>
                <w:noProof/>
              </w:rPr>
            </w:pPr>
            <w:r>
              <w:rPr>
                <w:rFonts w:ascii="Times New Roman" w:hAnsi="Times New Roman"/>
                <w:noProof/>
              </w:rPr>
              <w:t>COM(2015) 135</w:t>
            </w:r>
          </w:p>
        </w:tc>
        <w:tc>
          <w:tcPr>
            <w:tcW w:w="2694" w:type="dxa"/>
            <w:shd w:val="clear" w:color="auto" w:fill="auto"/>
          </w:tcPr>
          <w:p>
            <w:pPr>
              <w:spacing w:after="240" w:line="240" w:lineRule="auto"/>
              <w:jc w:val="both"/>
              <w:rPr>
                <w:rFonts w:ascii="Times New Roman" w:eastAsia="Times New Roman" w:hAnsi="Times New Roman" w:cs="Times New Roman"/>
                <w:noProof/>
              </w:rPr>
            </w:pPr>
            <w:r>
              <w:rPr>
                <w:rFonts w:ascii="Times New Roman" w:hAnsi="Times New Roman"/>
                <w:noProof/>
                <w:color w:val="000000"/>
              </w:rPr>
              <w:t>Predlog direktive Sveta o spremembi Direktive 2011/16/EU glede obvezne avtomatične izmenjave podatkov na področju obdavčenja</w:t>
            </w:r>
          </w:p>
        </w:tc>
        <w:tc>
          <w:tcPr>
            <w:tcW w:w="1417" w:type="dxa"/>
            <w:shd w:val="clear" w:color="auto" w:fill="auto"/>
          </w:tcPr>
          <w:p>
            <w:pPr>
              <w:spacing w:after="240" w:line="240" w:lineRule="auto"/>
              <w:jc w:val="center"/>
              <w:rPr>
                <w:rFonts w:ascii="Times New Roman" w:eastAsia="Times New Roman" w:hAnsi="Times New Roman" w:cs="Times New Roman"/>
                <w:noProof/>
              </w:rPr>
            </w:pPr>
            <w:r>
              <w:rPr>
                <w:rFonts w:ascii="Times New Roman" w:hAnsi="Times New Roman"/>
                <w:noProof/>
              </w:rPr>
              <w:t>1</w:t>
            </w:r>
          </w:p>
        </w:tc>
        <w:tc>
          <w:tcPr>
            <w:tcW w:w="1276" w:type="dxa"/>
            <w:shd w:val="clear" w:color="auto" w:fill="auto"/>
          </w:tcPr>
          <w:p>
            <w:pPr>
              <w:spacing w:after="240" w:line="240" w:lineRule="auto"/>
              <w:jc w:val="center"/>
              <w:rPr>
                <w:rFonts w:ascii="Times New Roman" w:eastAsia="Times New Roman" w:hAnsi="Times New Roman" w:cs="Times New Roman"/>
                <w:noProof/>
              </w:rPr>
            </w:pPr>
            <w:r>
              <w:rPr>
                <w:rFonts w:ascii="Times New Roman" w:hAnsi="Times New Roman"/>
                <w:noProof/>
              </w:rPr>
              <w:t>2</w:t>
            </w:r>
          </w:p>
        </w:tc>
        <w:tc>
          <w:tcPr>
            <w:tcW w:w="2410" w:type="dxa"/>
            <w:tcBorders>
              <w:bottom w:val="single" w:sz="4" w:space="0" w:color="auto"/>
            </w:tcBorders>
            <w:shd w:val="clear" w:color="auto" w:fill="auto"/>
          </w:tcPr>
          <w:p>
            <w:pPr>
              <w:spacing w:after="240" w:line="240" w:lineRule="auto"/>
              <w:jc w:val="center"/>
              <w:rPr>
                <w:rFonts w:ascii="Times New Roman" w:eastAsia="Times New Roman" w:hAnsi="Times New Roman" w:cs="Times New Roman"/>
                <w:noProof/>
              </w:rPr>
            </w:pPr>
            <w:r>
              <w:rPr>
                <w:rFonts w:ascii="Times New Roman" w:hAnsi="Times New Roman"/>
                <w:noProof/>
              </w:rPr>
              <w:t xml:space="preserve">SE </w:t>
            </w:r>
            <w:r>
              <w:rPr>
                <w:rFonts w:ascii="Times New Roman" w:hAnsi="Times New Roman"/>
                <w:i/>
                <w:noProof/>
              </w:rPr>
              <w:t xml:space="preserve">Riksdag </w:t>
            </w:r>
            <w:r>
              <w:rPr>
                <w:rFonts w:ascii="Times New Roman" w:hAnsi="Times New Roman"/>
                <w:noProof/>
              </w:rPr>
              <w:t>(2 glasova)</w:t>
            </w:r>
          </w:p>
        </w:tc>
      </w:tr>
      <w:tr>
        <w:trPr>
          <w:trHeight w:val="416"/>
        </w:trPr>
        <w:tc>
          <w:tcPr>
            <w:tcW w:w="4679" w:type="dxa"/>
            <w:gridSpan w:val="3"/>
            <w:shd w:val="clear" w:color="auto" w:fill="auto"/>
            <w:vAlign w:val="center"/>
          </w:tcPr>
          <w:p>
            <w:pPr>
              <w:spacing w:after="240" w:line="240" w:lineRule="auto"/>
              <w:rPr>
                <w:rFonts w:ascii="Times New Roman" w:eastAsia="Times New Roman" w:hAnsi="Times New Roman" w:cs="Times New Roman"/>
                <w:b/>
                <w:noProof/>
              </w:rPr>
            </w:pPr>
            <w:r>
              <w:rPr>
                <w:rFonts w:ascii="Times New Roman" w:hAnsi="Times New Roman"/>
                <w:b/>
                <w:noProof/>
              </w:rPr>
              <w:t xml:space="preserve">SKUPAJ </w:t>
            </w:r>
          </w:p>
        </w:tc>
        <w:tc>
          <w:tcPr>
            <w:tcW w:w="1417" w:type="dxa"/>
            <w:shd w:val="clear" w:color="auto" w:fill="auto"/>
            <w:vAlign w:val="center"/>
          </w:tcPr>
          <w:p>
            <w:pPr>
              <w:spacing w:after="240" w:line="240" w:lineRule="auto"/>
              <w:jc w:val="center"/>
              <w:rPr>
                <w:rFonts w:ascii="Times New Roman" w:eastAsia="Times New Roman" w:hAnsi="Times New Roman" w:cs="Times New Roman"/>
                <w:b/>
                <w:noProof/>
              </w:rPr>
            </w:pPr>
            <w:r>
              <w:rPr>
                <w:rFonts w:ascii="Times New Roman" w:hAnsi="Times New Roman"/>
                <w:b/>
                <w:noProof/>
              </w:rPr>
              <w:t>8</w:t>
            </w:r>
          </w:p>
        </w:tc>
        <w:tc>
          <w:tcPr>
            <w:tcW w:w="1276" w:type="dxa"/>
            <w:shd w:val="clear" w:color="auto" w:fill="auto"/>
            <w:vAlign w:val="center"/>
          </w:tcPr>
          <w:p>
            <w:pPr>
              <w:spacing w:after="240" w:line="240" w:lineRule="auto"/>
              <w:jc w:val="center"/>
              <w:rPr>
                <w:rFonts w:ascii="Times New Roman" w:eastAsia="Times New Roman" w:hAnsi="Times New Roman" w:cs="Times New Roman"/>
                <w:b/>
                <w:noProof/>
              </w:rPr>
            </w:pPr>
            <w:r>
              <w:rPr>
                <w:rFonts w:ascii="Times New Roman" w:hAnsi="Times New Roman"/>
                <w:b/>
                <w:noProof/>
              </w:rPr>
              <w:t>12</w:t>
            </w:r>
          </w:p>
        </w:tc>
        <w:tc>
          <w:tcPr>
            <w:tcW w:w="2410" w:type="dxa"/>
            <w:tcBorders>
              <w:bottom w:val="nil"/>
              <w:right w:val="nil"/>
            </w:tcBorders>
            <w:shd w:val="clear" w:color="auto" w:fill="auto"/>
            <w:vAlign w:val="center"/>
          </w:tcPr>
          <w:p>
            <w:pPr>
              <w:spacing w:after="240" w:line="240" w:lineRule="auto"/>
              <w:jc w:val="center"/>
              <w:rPr>
                <w:rFonts w:ascii="Times New Roman" w:eastAsia="Times New Roman" w:hAnsi="Times New Roman" w:cs="Times New Roman"/>
                <w:b/>
                <w:i/>
                <w:noProof/>
              </w:rPr>
            </w:pPr>
          </w:p>
        </w:tc>
      </w:tr>
    </w:tbl>
    <w:p>
      <w:pPr>
        <w:autoSpaceDE w:val="0"/>
        <w:autoSpaceDN w:val="0"/>
        <w:adjustRightInd w:val="0"/>
        <w:spacing w:after="240" w:line="240" w:lineRule="auto"/>
        <w:jc w:val="both"/>
        <w:rPr>
          <w:rFonts w:asciiTheme="majorBidi" w:hAnsiTheme="majorBidi" w:cstheme="majorBidi"/>
          <w:noProof/>
          <w:sz w:val="24"/>
          <w:szCs w:val="24"/>
        </w:rPr>
      </w:pPr>
    </w:p>
    <w:sectPr>
      <w:headerReference w:type="even" r:id="rId16"/>
      <w:headerReference w:type="default" r:id="rId17"/>
      <w:footerReference w:type="even" r:id="rId18"/>
      <w:footerReference w:type="default" r:id="rId19"/>
      <w:headerReference w:type="first" r:id="rId20"/>
      <w:footerReference w:type="first" r:id="rId21"/>
      <w:pgSz w:w="11906" w:h="16838"/>
      <w:pgMar w:top="993" w:right="1133" w:bottom="1135" w:left="1417" w:header="708" w:footer="441"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SL</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SL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2720636"/>
      <w:docPartObj>
        <w:docPartGallery w:val="Page Numbers (Bottom of Page)"/>
        <w:docPartUnique/>
      </w:docPartObj>
    </w:sdtPr>
    <w:sdtEndPr>
      <w:rPr>
        <w:rFonts w:asciiTheme="majorBidi" w:hAnsiTheme="majorBidi" w:cstheme="majorBidi"/>
        <w:noProof/>
      </w:rPr>
    </w:sdtEndPr>
    <w:sdtContent>
      <w:p>
        <w:pPr>
          <w:pStyle w:val="Footer"/>
          <w:jc w:val="center"/>
          <w:rPr>
            <w:rFonts w:asciiTheme="majorBidi" w:hAnsiTheme="majorBidi" w:cstheme="majorBidi"/>
          </w:rPr>
        </w:pPr>
        <w:r>
          <w:rPr>
            <w:rFonts w:asciiTheme="majorBidi" w:hAnsiTheme="majorBidi" w:cstheme="majorBidi"/>
          </w:rPr>
          <w:fldChar w:fldCharType="begin"/>
        </w:r>
        <w:r>
          <w:rPr>
            <w:rFonts w:asciiTheme="majorBidi" w:hAnsiTheme="majorBidi" w:cstheme="majorBidi"/>
          </w:rPr>
          <w:instrText xml:space="preserve"> PAGE   \* MERGEFORMAT </w:instrText>
        </w:r>
        <w:r>
          <w:rPr>
            <w:rFonts w:asciiTheme="majorBidi" w:hAnsiTheme="majorBidi" w:cstheme="majorBidi"/>
          </w:rPr>
          <w:fldChar w:fldCharType="separate"/>
        </w:r>
        <w:r>
          <w:rPr>
            <w:rFonts w:asciiTheme="majorBidi" w:hAnsiTheme="majorBidi" w:cstheme="majorBidi"/>
            <w:noProof/>
          </w:rPr>
          <w:t>2</w:t>
        </w:r>
        <w:r>
          <w:rPr>
            <w:rFonts w:asciiTheme="majorBidi" w:hAnsiTheme="majorBidi" w:cstheme="majorBidi"/>
            <w:noProof/>
          </w:rPr>
          <w:fldChar w:fldCharType="end"/>
        </w:r>
      </w:p>
    </w:sdtContent>
  </w:sdt>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Da se lahko obravnava kot obrazloženo mnenje v skladu z opredelitvijo iz Protokola št. 2, mora biti v mnenju navedeno, zakaj nacionalni parlament meni, da zakonodajni predlog ni skladen z načelom subsidiarnosti, Komisiji pa ga je treba poslati v osmih tednih od predložitve predloga nacionalnim parlamentom.</w:t>
      </w:r>
    </w:p>
  </w:footnote>
  <w:footnote w:id="2">
    <w:p>
      <w:pPr>
        <w:pStyle w:val="FootnoteText"/>
        <w:ind w:left="284" w:hanging="284"/>
        <w:jc w:val="both"/>
        <w:rPr>
          <w:rFonts w:asciiTheme="majorBidi" w:hAnsiTheme="majorBidi" w:cstheme="majorBidi"/>
          <w:b/>
        </w:rPr>
      </w:pPr>
      <w:r>
        <w:rPr>
          <w:rStyle w:val="FootnoteReference"/>
          <w:rFonts w:asciiTheme="majorBidi" w:hAnsiTheme="majorBidi" w:cstheme="majorBidi"/>
        </w:rPr>
        <w:footnoteRef/>
      </w:r>
      <w:r>
        <w:rPr>
          <w:rFonts w:asciiTheme="majorBidi" w:hAnsiTheme="majorBidi" w:cstheme="majorBidi"/>
        </w:rPr>
        <w:tab/>
        <w:t>V skladu s Protokolom št. 2 ima vsak nacionalni parlament po dva glasova; v primeru dvodomnih parlamentarnih sistemov ima vsak dom parlamenta po en glas. Če obrazložena mnenja ustrezajo najmanj tretjini (za predloge na podlagi člena 76 PDEU četrtini) vseh glasov, dodeljenih nacionalnim parlamentom, to pomeni, da je dosežen prag za uporabo postopka rumenega kartona in je treba osnutek znova proučiti. Tretjino vseh dodeljenih glasov predstavlja 19 glasov od skupno 56.</w:t>
      </w:r>
    </w:p>
  </w:footnote>
  <w:footnote w:id="3">
    <w:p>
      <w:pPr>
        <w:pStyle w:val="FootnoteText"/>
        <w:ind w:left="284" w:hanging="284"/>
        <w:jc w:val="both"/>
        <w:rPr>
          <w:rFonts w:asciiTheme="majorBidi" w:hAnsiTheme="majorBidi" w:cstheme="majorBidi"/>
          <w:b/>
        </w:rPr>
      </w:pPr>
      <w:r>
        <w:rPr>
          <w:rStyle w:val="FootnoteReference"/>
          <w:rFonts w:asciiTheme="majorBidi" w:hAnsiTheme="majorBidi" w:cstheme="majorBidi"/>
        </w:rPr>
        <w:footnoteRef/>
      </w:r>
      <w:r>
        <w:rPr>
          <w:rFonts w:asciiTheme="majorBidi" w:hAnsiTheme="majorBidi" w:cstheme="majorBidi"/>
        </w:rPr>
        <w:tab/>
        <w:t xml:space="preserve">Od katerih sta eno mnenje skupaj predložila oba domova španskega parlamenta, </w:t>
      </w:r>
      <w:r>
        <w:rPr>
          <w:rFonts w:asciiTheme="majorBidi" w:hAnsiTheme="majorBidi" w:cstheme="majorBidi"/>
          <w:i/>
        </w:rPr>
        <w:t>Congreso de los Diputados</w:t>
      </w:r>
      <w:r>
        <w:rPr>
          <w:rFonts w:asciiTheme="majorBidi" w:hAnsiTheme="majorBidi" w:cstheme="majorBidi"/>
        </w:rPr>
        <w:t xml:space="preserve"> in </w:t>
      </w:r>
      <w:r>
        <w:rPr>
          <w:rFonts w:asciiTheme="majorBidi" w:hAnsiTheme="majorBidi" w:cstheme="majorBidi"/>
          <w:i/>
        </w:rPr>
        <w:t>Senado.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73B95"/>
    <w:multiLevelType w:val="hybridMultilevel"/>
    <w:tmpl w:val="51B28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007B60"/>
    <w:multiLevelType w:val="hybridMultilevel"/>
    <w:tmpl w:val="DB04CB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1E9D374B"/>
    <w:multiLevelType w:val="hybridMultilevel"/>
    <w:tmpl w:val="D38A0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1D03FD8"/>
    <w:multiLevelType w:val="hybridMultilevel"/>
    <w:tmpl w:val="23083F58"/>
    <w:lvl w:ilvl="0" w:tplc="0809000F">
      <w:start w:val="1"/>
      <w:numFmt w:val="decimal"/>
      <w:lvlText w:val="%1."/>
      <w:lvlJc w:val="left"/>
      <w:pPr>
        <w:ind w:left="72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4">
    <w:nsid w:val="46A6227C"/>
    <w:multiLevelType w:val="hybridMultilevel"/>
    <w:tmpl w:val="470CF6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
    <w:nsid w:val="64972EA2"/>
    <w:multiLevelType w:val="hybridMultilevel"/>
    <w:tmpl w:val="D08066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revisionView w:markup="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ocStatus" w:val="Green"/>
    <w:docVar w:name="LW_ACCOMPAGNANT.CP" w:val="k"/>
    <w:docVar w:name="LW_ANNEX_NBR_FIRST" w:val="1"/>
    <w:docVar w:name="LW_ANNEX_NBR_LAST" w:val="1"/>
    <w:docVar w:name="LW_CONFIDENCE" w:val=" "/>
    <w:docVar w:name="LW_CONST_RESTREINT_UE" w:val="RESTREINT UE"/>
    <w:docVar w:name="LW_CORRIGENDUM" w:val="&lt;UNUSED&gt;"/>
    <w:docVar w:name="LW_COVERPAGE_GUID" w:val="46974476960B4CE99B63F0B4C0979878"/>
    <w:docVar w:name="LW_CROSSREFERENCE" w:val="&lt;UNUSED&gt;"/>
    <w:docVar w:name="LW_DocType" w:val="NORMAL"/>
    <w:docVar w:name="LW_EMISSION" w:val="15.7.2016"/>
    <w:docVar w:name="LW_EMISSION_ISODATE" w:val="2016-07-15"/>
    <w:docVar w:name="LW_EMISSION_LOCATION" w:val="BRX"/>
    <w:docVar w:name="LW_EMISSION_PREFIX" w:val="Bruselj, "/>
    <w:docVar w:name="LW_EMISSION_SUFFIX" w:val=" "/>
    <w:docVar w:name="LW_ID_DOCTYPE_NONLW" w:val="CP-039"/>
    <w:docVar w:name="LW_LANGUE" w:val="SL"/>
    <w:docVar w:name="LW_MARKING" w:val="&lt;UNUSED&gt;"/>
    <w:docVar w:name="LW_NOM.INST" w:val="EVROPSKA KOMISIJA"/>
    <w:docVar w:name="LW_NOM.INST_JOINTDOC" w:val="&lt;EMPTY&gt;"/>
    <w:docVar w:name="LW_OBJETACTEPRINCIPAL.CP" w:val="Letno poro\u269?ilo_x000b_o subsidiarnosti in sorazmernosti za leto 2015"/>
    <w:docVar w:name="LW_PART_NBR" w:val="1"/>
    <w:docVar w:name="LW_PART_NBR_TOTAL" w:val="1"/>
    <w:docVar w:name="LW_REF.INST.NEW" w:val="COM"/>
    <w:docVar w:name="LW_REF.INST.NEW_ADOPTED" w:val="final"/>
    <w:docVar w:name="LW_REF.INST.NEW_TEXT" w:val="(2016) 469"/>
    <w:docVar w:name="LW_REF.INTERNE" w:val="&lt;UNUSED&gt;"/>
    <w:docVar w:name="LW_SUPERTITRE" w:val="&lt;UNUSED&gt;"/>
    <w:docVar w:name="LW_TITRE.OBJ.CP" w:val="&lt;UNUSED&gt;"/>
    <w:docVar w:name="LW_TYPE.DOC.CP" w:val="PRILOGA_x000b_"/>
    <w:docVar w:name="LW_TYPEACTEPRINCIPAL.CP" w:val="PORO\u268?ILU KOMISIJE"/>
  </w:docVar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sl-SI" w:bidi="sl-SI"/>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uiPriority w:val="99"/>
    <w:semiHidden/>
    <w:rPr>
      <w:shd w:val="clear" w:color="auto" w:fill="auto"/>
      <w:vertAlign w:val="superscript"/>
    </w:rPr>
  </w:style>
  <w:style w:type="character" w:styleId="Hyperlink">
    <w:name w:val="Hyperlink"/>
    <w:rPr>
      <w:color w:val="0000FF"/>
      <w:u w:val="single"/>
      <w:shd w:val="clear" w:color="auto" w:fill="auto"/>
    </w:rPr>
  </w:style>
  <w:style w:type="paragraph" w:styleId="Header">
    <w:name w:val="header"/>
    <w:basedOn w:val="Normal"/>
    <w:link w:val="HeaderChar"/>
    <w:uiPriority w:val="99"/>
    <w:unhideWhenUsed/>
    <w:pPr>
      <w:tabs>
        <w:tab w:val="center" w:pos="4536"/>
        <w:tab w:val="right" w:pos="9072"/>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36"/>
        <w:tab w:val="right" w:pos="9072"/>
      </w:tabs>
      <w:spacing w:after="0" w:line="240" w:lineRule="auto"/>
    </w:pPr>
  </w:style>
  <w:style w:type="character" w:customStyle="1" w:styleId="FooterChar">
    <w:name w:val="Footer Char"/>
    <w:basedOn w:val="DefaultParagraphFont"/>
    <w:link w:val="Footer"/>
    <w:uiPriority w:val="99"/>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character" w:styleId="Strong">
    <w:name w:val="Strong"/>
    <w:basedOn w:val="DefaultParagraphFont"/>
    <w:uiPriority w:val="22"/>
    <w:qFormat/>
    <w:rPr>
      <w:b/>
      <w:bC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eastAsia="Times New Roman" w:hAnsi="Times New Roman" w:cs="Times New Roman"/>
      <w:noProof/>
      <w:sz w:val="24"/>
      <w:szCs w:val="24"/>
    </w:rPr>
  </w:style>
  <w:style w:type="character" w:customStyle="1" w:styleId="FooterCoverPageChar">
    <w:name w:val="Footer Cover Page Char"/>
    <w:basedOn w:val="DefaultParagraphFont"/>
    <w:link w:val="FooterCoverPage"/>
    <w:rPr>
      <w:rFonts w:ascii="Times New Roman" w:eastAsia="Times New Roman" w:hAnsi="Times New Roman" w:cs="Times New Roman"/>
      <w:noProof/>
      <w:sz w:val="24"/>
      <w:szCs w:val="24"/>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eastAsia="Times New Roman" w:hAnsi="Times New Roman" w:cs="Times New Roman"/>
      <w:noProof/>
      <w:sz w:val="24"/>
      <w:szCs w:val="24"/>
    </w:rPr>
  </w:style>
  <w:style w:type="character" w:customStyle="1" w:styleId="HeaderCoverPageChar">
    <w:name w:val="Header Cover Page Char"/>
    <w:basedOn w:val="DefaultParagraphFont"/>
    <w:link w:val="HeaderCoverPage"/>
    <w:rPr>
      <w:rFonts w:ascii="Times New Roman" w:eastAsia="Times New Roman" w:hAnsi="Times New Roman" w:cs="Times New Roman"/>
      <w:noProo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sl-SI" w:bidi="sl-SI"/>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uiPriority w:val="99"/>
    <w:semiHidden/>
    <w:rPr>
      <w:shd w:val="clear" w:color="auto" w:fill="auto"/>
      <w:vertAlign w:val="superscript"/>
    </w:rPr>
  </w:style>
  <w:style w:type="character" w:styleId="Hyperlink">
    <w:name w:val="Hyperlink"/>
    <w:rPr>
      <w:color w:val="0000FF"/>
      <w:u w:val="single"/>
      <w:shd w:val="clear" w:color="auto" w:fill="auto"/>
    </w:rPr>
  </w:style>
  <w:style w:type="paragraph" w:styleId="Header">
    <w:name w:val="header"/>
    <w:basedOn w:val="Normal"/>
    <w:link w:val="HeaderChar"/>
    <w:uiPriority w:val="99"/>
    <w:unhideWhenUsed/>
    <w:pPr>
      <w:tabs>
        <w:tab w:val="center" w:pos="4536"/>
        <w:tab w:val="right" w:pos="9072"/>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36"/>
        <w:tab w:val="right" w:pos="9072"/>
      </w:tabs>
      <w:spacing w:after="0" w:line="240" w:lineRule="auto"/>
    </w:pPr>
  </w:style>
  <w:style w:type="character" w:customStyle="1" w:styleId="FooterChar">
    <w:name w:val="Footer Char"/>
    <w:basedOn w:val="DefaultParagraphFont"/>
    <w:link w:val="Footer"/>
    <w:uiPriority w:val="99"/>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character" w:styleId="Strong">
    <w:name w:val="Strong"/>
    <w:basedOn w:val="DefaultParagraphFont"/>
    <w:uiPriority w:val="22"/>
    <w:qFormat/>
    <w:rPr>
      <w:b/>
      <w:bC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eastAsia="Times New Roman" w:hAnsi="Times New Roman" w:cs="Times New Roman"/>
      <w:noProof/>
      <w:sz w:val="24"/>
      <w:szCs w:val="24"/>
    </w:rPr>
  </w:style>
  <w:style w:type="character" w:customStyle="1" w:styleId="FooterCoverPageChar">
    <w:name w:val="Footer Cover Page Char"/>
    <w:basedOn w:val="DefaultParagraphFont"/>
    <w:link w:val="FooterCoverPage"/>
    <w:rPr>
      <w:rFonts w:ascii="Times New Roman" w:eastAsia="Times New Roman" w:hAnsi="Times New Roman" w:cs="Times New Roman"/>
      <w:noProof/>
      <w:sz w:val="24"/>
      <w:szCs w:val="24"/>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eastAsia="Times New Roman" w:hAnsi="Times New Roman" w:cs="Times New Roman"/>
      <w:noProof/>
      <w:sz w:val="24"/>
      <w:szCs w:val="24"/>
    </w:rPr>
  </w:style>
  <w:style w:type="character" w:customStyle="1" w:styleId="HeaderCoverPageChar">
    <w:name w:val="Header Cover Page Char"/>
    <w:basedOn w:val="DefaultParagraphFont"/>
    <w:link w:val="HeaderCoverPage"/>
    <w:rPr>
      <w:rFonts w:ascii="Times New Roman" w:eastAsia="Times New Roman" w:hAnsi="Times New Roman" w:cs="Times New Roman"/>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5668163">
      <w:bodyDiv w:val="1"/>
      <w:marLeft w:val="0"/>
      <w:marRight w:val="0"/>
      <w:marTop w:val="0"/>
      <w:marBottom w:val="0"/>
      <w:divBdr>
        <w:top w:val="none" w:sz="0" w:space="0" w:color="auto"/>
        <w:left w:val="none" w:sz="0" w:space="0" w:color="auto"/>
        <w:bottom w:val="none" w:sz="0" w:space="0" w:color="auto"/>
        <w:right w:val="none" w:sz="0" w:space="0" w:color="auto"/>
      </w:divBdr>
      <w:divsChild>
        <w:div w:id="1518040080">
          <w:marLeft w:val="0"/>
          <w:marRight w:val="0"/>
          <w:marTop w:val="0"/>
          <w:marBottom w:val="0"/>
          <w:divBdr>
            <w:top w:val="none" w:sz="0" w:space="0" w:color="auto"/>
            <w:left w:val="none" w:sz="0" w:space="0" w:color="auto"/>
            <w:bottom w:val="none" w:sz="0" w:space="0" w:color="auto"/>
            <w:right w:val="none" w:sz="0" w:space="0" w:color="auto"/>
          </w:divBdr>
          <w:divsChild>
            <w:div w:id="344675339">
              <w:marLeft w:val="0"/>
              <w:marRight w:val="0"/>
              <w:marTop w:val="0"/>
              <w:marBottom w:val="150"/>
              <w:divBdr>
                <w:top w:val="none" w:sz="0" w:space="0" w:color="auto"/>
                <w:left w:val="none" w:sz="0" w:space="0" w:color="auto"/>
                <w:bottom w:val="none" w:sz="0" w:space="0" w:color="auto"/>
                <w:right w:val="none" w:sz="0" w:space="0" w:color="auto"/>
              </w:divBdr>
              <w:divsChild>
                <w:div w:id="507720318">
                  <w:marLeft w:val="0"/>
                  <w:marRight w:val="0"/>
                  <w:marTop w:val="0"/>
                  <w:marBottom w:val="0"/>
                  <w:divBdr>
                    <w:top w:val="none" w:sz="0" w:space="0" w:color="auto"/>
                    <w:left w:val="none" w:sz="0" w:space="0" w:color="auto"/>
                    <w:bottom w:val="none" w:sz="0" w:space="0" w:color="auto"/>
                    <w:right w:val="none" w:sz="0" w:space="0" w:color="auto"/>
                  </w:divBdr>
                  <w:divsChild>
                    <w:div w:id="235210810">
                      <w:marLeft w:val="0"/>
                      <w:marRight w:val="0"/>
                      <w:marTop w:val="0"/>
                      <w:marBottom w:val="0"/>
                      <w:divBdr>
                        <w:top w:val="none" w:sz="0" w:space="0" w:color="auto"/>
                        <w:left w:val="none" w:sz="0" w:space="0" w:color="auto"/>
                        <w:bottom w:val="none" w:sz="0" w:space="0" w:color="auto"/>
                        <w:right w:val="none" w:sz="0" w:space="0" w:color="auto"/>
                      </w:divBdr>
                      <w:divsChild>
                        <w:div w:id="1620331022">
                          <w:marLeft w:val="0"/>
                          <w:marRight w:val="0"/>
                          <w:marTop w:val="0"/>
                          <w:marBottom w:val="0"/>
                          <w:divBdr>
                            <w:top w:val="none" w:sz="0" w:space="0" w:color="auto"/>
                            <w:left w:val="none" w:sz="0" w:space="0" w:color="auto"/>
                            <w:bottom w:val="none" w:sz="0" w:space="0" w:color="auto"/>
                            <w:right w:val="none" w:sz="0" w:space="0" w:color="auto"/>
                          </w:divBdr>
                          <w:divsChild>
                            <w:div w:id="1681664893">
                              <w:marLeft w:val="0"/>
                              <w:marRight w:val="0"/>
                              <w:marTop w:val="0"/>
                              <w:marBottom w:val="0"/>
                              <w:divBdr>
                                <w:top w:val="none" w:sz="0" w:space="0" w:color="auto"/>
                                <w:left w:val="none" w:sz="0" w:space="0" w:color="auto"/>
                                <w:bottom w:val="none" w:sz="0" w:space="0" w:color="auto"/>
                                <w:right w:val="none" w:sz="0" w:space="0" w:color="auto"/>
                              </w:divBdr>
                              <w:divsChild>
                                <w:div w:id="685182276">
                                  <w:marLeft w:val="0"/>
                                  <w:marRight w:val="-3600"/>
                                  <w:marTop w:val="150"/>
                                  <w:marBottom w:val="0"/>
                                  <w:divBdr>
                                    <w:top w:val="none" w:sz="0" w:space="0" w:color="auto"/>
                                    <w:left w:val="none" w:sz="0" w:space="0" w:color="auto"/>
                                    <w:bottom w:val="none" w:sz="0" w:space="0" w:color="auto"/>
                                    <w:right w:val="none" w:sz="0" w:space="0" w:color="auto"/>
                                  </w:divBdr>
                                  <w:divsChild>
                                    <w:div w:id="933053736">
                                      <w:marLeft w:val="0"/>
                                      <w:marRight w:val="3600"/>
                                      <w:marTop w:val="0"/>
                                      <w:marBottom w:val="0"/>
                                      <w:divBdr>
                                        <w:top w:val="none" w:sz="0" w:space="0" w:color="auto"/>
                                        <w:left w:val="none" w:sz="0" w:space="0" w:color="auto"/>
                                        <w:bottom w:val="none" w:sz="0" w:space="0" w:color="auto"/>
                                        <w:right w:val="none" w:sz="0" w:space="0" w:color="auto"/>
                                      </w:divBdr>
                                      <w:divsChild>
                                        <w:div w:id="1823814357">
                                          <w:marLeft w:val="0"/>
                                          <w:marRight w:val="0"/>
                                          <w:marTop w:val="0"/>
                                          <w:marBottom w:val="0"/>
                                          <w:divBdr>
                                            <w:top w:val="none" w:sz="0" w:space="0" w:color="auto"/>
                                            <w:left w:val="none" w:sz="0" w:space="0" w:color="auto"/>
                                            <w:bottom w:val="none" w:sz="0" w:space="0" w:color="auto"/>
                                            <w:right w:val="none" w:sz="0" w:space="0" w:color="auto"/>
                                          </w:divBdr>
                                          <w:divsChild>
                                            <w:div w:id="1460952187">
                                              <w:marLeft w:val="0"/>
                                              <w:marRight w:val="0"/>
                                              <w:marTop w:val="0"/>
                                              <w:marBottom w:val="0"/>
                                              <w:divBdr>
                                                <w:top w:val="none" w:sz="0" w:space="0" w:color="auto"/>
                                                <w:left w:val="none" w:sz="0" w:space="0" w:color="auto"/>
                                                <w:bottom w:val="none" w:sz="0" w:space="0" w:color="auto"/>
                                                <w:right w:val="none" w:sz="0" w:space="0" w:color="auto"/>
                                              </w:divBdr>
                                              <w:divsChild>
                                                <w:div w:id="1819303504">
                                                  <w:marLeft w:val="0"/>
                                                  <w:marRight w:val="0"/>
                                                  <w:marTop w:val="0"/>
                                                  <w:marBottom w:val="0"/>
                                                  <w:divBdr>
                                                    <w:top w:val="none" w:sz="0" w:space="0" w:color="auto"/>
                                                    <w:left w:val="none" w:sz="0" w:space="0" w:color="auto"/>
                                                    <w:bottom w:val="none" w:sz="0" w:space="0" w:color="auto"/>
                                                    <w:right w:val="none" w:sz="0" w:space="0" w:color="auto"/>
                                                  </w:divBdr>
                                                  <w:divsChild>
                                                    <w:div w:id="1913351185">
                                                      <w:marLeft w:val="0"/>
                                                      <w:marRight w:val="0"/>
                                                      <w:marTop w:val="0"/>
                                                      <w:marBottom w:val="0"/>
                                                      <w:divBdr>
                                                        <w:top w:val="none" w:sz="0" w:space="0" w:color="auto"/>
                                                        <w:left w:val="none" w:sz="0" w:space="0" w:color="auto"/>
                                                        <w:bottom w:val="none" w:sz="0" w:space="0" w:color="auto"/>
                                                        <w:right w:val="none" w:sz="0" w:space="0" w:color="auto"/>
                                                      </w:divBdr>
                                                      <w:divsChild>
                                                        <w:div w:id="41212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CE0CB-26F8-404A-8ED1-73EDDC421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195</Words>
  <Characters>1092</Characters>
  <Application>Microsoft Office Word</Application>
  <DocSecurity>0</DocSecurity>
  <Lines>84</Lines>
  <Paragraphs>42</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14</cp:revision>
  <cp:lastPrinted>2016-05-27T10:28:00Z</cp:lastPrinted>
  <dcterms:created xsi:type="dcterms:W3CDTF">2016-05-27T09:58:00Z</dcterms:created>
  <dcterms:modified xsi:type="dcterms:W3CDTF">2016-07-18T11:00:00Z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rst annex">
    <vt:lpwstr>1</vt:lpwstr>
  </property>
  <property fmtid="{D5CDD505-2E9C-101B-9397-08002B2CF9AE}" pid="3" name="Last annex">
    <vt:lpwstr>1</vt:lpwstr>
  </property>
  <property fmtid="{D5CDD505-2E9C-101B-9397-08002B2CF9AE}" pid="4" name="Part">
    <vt:lpwstr>1</vt:lpwstr>
  </property>
  <property fmtid="{D5CDD505-2E9C-101B-9397-08002B2CF9AE}" pid="5" name="Total parts">
    <vt:lpwstr>1</vt:lpwstr>
  </property>
  <property fmtid="{D5CDD505-2E9C-101B-9397-08002B2CF9AE}" pid="6" name="DocStatus">
    <vt:lpwstr>Green</vt:lpwstr>
  </property>
  <property fmtid="{D5CDD505-2E9C-101B-9397-08002B2CF9AE}" pid="7" name="Classification">
    <vt:lpwstr> </vt:lpwstr>
  </property>
  <property name="OP_sanitized" fmtid="{D5CDD505-2E9C-101B-9397-08002B2CF9AE}" pid="8">
    <vt:lpwstr>True</vt:lpwstr>
  </property>
</Properties>
</file>