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60C" w:rsidRPr="007E4E52" w:rsidRDefault="00010DB4" w:rsidP="00010DB4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7FB66168-6FEB-41F1-952B-FFEA3C1F348D" style="width:455.25pt;height:414pt">
            <v:imagedata r:id="rId11" o:title=""/>
          </v:shape>
        </w:pict>
      </w:r>
    </w:p>
    <w:p w:rsidR="0073160C" w:rsidRPr="007E4E52" w:rsidRDefault="0073160C" w:rsidP="0073160C">
      <w:pPr>
        <w:rPr>
          <w:noProof/>
        </w:rPr>
        <w:sectPr w:rsidR="0073160C" w:rsidRPr="007E4E52" w:rsidSect="00010DB4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64122F" w:rsidRPr="007E4E52" w:rsidRDefault="0064122F" w:rsidP="0064122F">
      <w:pPr>
        <w:pStyle w:val="Exposdesmotifstitre"/>
        <w:rPr>
          <w:noProof/>
        </w:rPr>
      </w:pPr>
      <w:bookmarkStart w:id="0" w:name="_GoBack"/>
      <w:bookmarkEnd w:id="0"/>
      <w:r w:rsidRPr="007E4E52">
        <w:rPr>
          <w:noProof/>
        </w:rPr>
        <w:lastRenderedPageBreak/>
        <w:t>EXPOSIÇÃO DE MOTIVOS</w:t>
      </w:r>
    </w:p>
    <w:p w:rsidR="0064122F" w:rsidRPr="007E4E52" w:rsidRDefault="0064122F" w:rsidP="0064122F">
      <w:pPr>
        <w:pStyle w:val="ManualHeading1"/>
        <w:rPr>
          <w:noProof/>
        </w:rPr>
      </w:pPr>
      <w:r w:rsidRPr="007E4E52">
        <w:rPr>
          <w:noProof/>
        </w:rPr>
        <w:t>1.</w:t>
      </w:r>
      <w:r w:rsidRPr="007E4E52">
        <w:rPr>
          <w:noProof/>
        </w:rPr>
        <w:tab/>
        <w:t>CONTEXTO DO ATO DELEGADO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O sistema de alerta rápido «Safety Gate» permite a rápida circulação de informações sobre medidas tomadas contra produtos não alimentares perigosos entre as autoridades nacionais responsáveis pela segurança dos produtos na UE. O sistema foi inicialmente criado sob a designação «RAPEX» através da Diretiva 2001/95/CE do Parlamento Europeu e do Conselho, de 3 de dezembro de 2001, relativa à segurança geral dos produtos. Em 13 de dezembro de</w:t>
      </w:r>
      <w:r w:rsidR="00C439C2">
        <w:rPr>
          <w:noProof/>
        </w:rPr>
        <w:t> </w:t>
      </w:r>
      <w:r w:rsidRPr="007E4E52">
        <w:rPr>
          <w:noProof/>
        </w:rPr>
        <w:t>2024, a referida diretiva será revogada e substituída pelo Regulamento (UE) 2023/988 («Regulamento Segurança Geral dos Produtos»). Os artigos 25.º e 26.º do regulamento contêm disposições novas e atualizadas sobre o sistema de alerta rápido «Safety Gate» (novo nome do atual sistema «RAPEX»).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A fim de assegurar regras uniformes para o funcionamento do sistema de alerta rápido «Safety Gate» e a avaliação dos riscos decorrentes dos produtos, foram estabelecidas regras de funcionamento uniformes e uma metodologia de avaliação dos riscos na Decisão de Execução (UE) 2019/417 da Comissão, de 8 de novembro de 2018, que estabelece orientações para a gestão do Sistema de Troca Rápida de Informação da União Europeia (RAPEX). É necessário atualizar estes critérios de avaliação dos riscos e as regras de funcionamento do sistema RAPEX para ter em conta as disposições e os objetivos do Regulamento Segurança Geral dos Produtos, especialmente no que respeita ao sistema de alerta rápido «Safety Gate», sendo este o objetivo do presente regulamento delegado.</w:t>
      </w:r>
    </w:p>
    <w:p w:rsidR="0064122F" w:rsidRPr="007E4E52" w:rsidRDefault="0064122F" w:rsidP="0064122F">
      <w:pPr>
        <w:pStyle w:val="ManualHeading1"/>
        <w:rPr>
          <w:noProof/>
        </w:rPr>
      </w:pPr>
      <w:r w:rsidRPr="007E4E52">
        <w:rPr>
          <w:noProof/>
        </w:rPr>
        <w:t>2.</w:t>
      </w:r>
      <w:r w:rsidRPr="007E4E52">
        <w:rPr>
          <w:noProof/>
        </w:rPr>
        <w:tab/>
        <w:t>CONSULTAS ANTERIORES À ADOÇÃO DO ATO</w:t>
      </w:r>
    </w:p>
    <w:p w:rsidR="004D7FC2" w:rsidRPr="007E4E52" w:rsidRDefault="004D7FC2" w:rsidP="004D7FC2">
      <w:pPr>
        <w:rPr>
          <w:noProof/>
          <w:sz w:val="22"/>
        </w:rPr>
      </w:pPr>
      <w:r w:rsidRPr="007E4E52">
        <w:rPr>
          <w:noProof/>
        </w:rPr>
        <w:t>Os critérios atualmente especificados nas orientações relativas à avaliação dos riscos constantes da Decisão de Execução (UE) 2019/417 da Comissão são cruciais para assegurar que o sistema de alerta rápido «Safety Gate» funciona de forma eficaz e eficiente e que as regras de segurança dos produtos são aplicadas de forma coerente no mercado único da UE.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Com a entrada em vigor do Regulamento (UE) 2023/988 relativo à segurança geral dos produtos, é necessário ajustar a anterior metodologia de avaliação dos riscos e clarificar a sua aplicação aos produtos abrangidos pela legislação de harmonização da UE, que também estão sujeitos a notificação através do sistema de alerta rápido «Safety Gate» caso constituam um risco grave.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A fim de reunir contributos de todas as partes interessadas para uma metodologia modernizada de avaliação dos riscos, a Comissão criou um grupo de trabalho de peritos, que funcionou como subgrupo da Rede de Segurança dos Consumidores, criada nos termos do artigo 10.º da Diretiva 2001/95/CE.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Na reunião da Rede de Segurança dos Consumidores, de 11 de maio de 2023, foi dado conhecimento aos representantes dos Estados-Membros da criação deste subgrupo, tendo o mesmo sido oficialmente criado em junho de 2023, com adesão aberta às autoridades de todos os Estados-Membros que manifestaram interesse em participar nos seus trabalhos. Os seguintes países enviaram representantes: Bélgica, Chéquia, Dinamarca, Alemanha, Irlanda, França, Lituânia, Luxemburgo, Polónia, Eslováquia, Finlândia e Suécia.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O subgrupo foi igualmente aberto a quem detinha o estatuto de observador na Rede de Segurança dos Consumidores. A ANEC («a voz dos consumidores europeus na normalização») e o BEUC (o Gabinete Europeu das Uniões de Consumidores) também participaram ativamente. Foram igualmente admitidos no grupo de trabalho vários peritos independentes e peritos da indústria que manifestaram interesse, tendo dado um contributo valioso.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O subgrupo reuniu-se quatro vezes entre junho e dezembro de 2023 e os resultados foram comunicados regularmente aos representantes dos Estados-Membros na Rede de Segurança dos Consumidores e aos representantes dos Estados-Membros da Rede da União para a Conformidade dos Produtos, criada ao abrigo do Regulamento (UE) 2019/1020 relativo à fiscalização do mercado e à conformidade dos produtos.</w:t>
      </w:r>
    </w:p>
    <w:p w:rsidR="0064122F" w:rsidRPr="007E4E52" w:rsidRDefault="0064122F" w:rsidP="0064122F">
      <w:pPr>
        <w:pStyle w:val="ManualHeading1"/>
        <w:rPr>
          <w:noProof/>
        </w:rPr>
      </w:pPr>
      <w:r w:rsidRPr="007E4E52">
        <w:rPr>
          <w:noProof/>
        </w:rPr>
        <w:t>3.</w:t>
      </w:r>
      <w:r w:rsidRPr="007E4E52">
        <w:rPr>
          <w:noProof/>
        </w:rPr>
        <w:tab/>
        <w:t>ELEMENTOS JURÍDICOS DO ATO DELEGADO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O artigo 26.º, n.º 10, do Regulamento Segurança Geral dos Produtos exige que a Comissão adote atos delegados para especificar vários aspetos do sistema de alerta rápido «Safety</w:t>
      </w:r>
      <w:r w:rsidR="007E4E52">
        <w:rPr>
          <w:noProof/>
        </w:rPr>
        <w:noBreakHyphen/>
      </w:r>
      <w:r w:rsidRPr="007E4E52">
        <w:rPr>
          <w:noProof/>
        </w:rPr>
        <w:t>Gate», a saber: o acesso ao sistema, o seu modo de funcionamento, as informações a introduzir no mesmo, os requisitos aplicáveis às notificações e os critérios de avaliação dos riscos.</w:t>
      </w:r>
    </w:p>
    <w:p w:rsidR="004D7FC2" w:rsidRPr="007E4E52" w:rsidRDefault="004D7FC2" w:rsidP="004D7FC2">
      <w:pPr>
        <w:rPr>
          <w:noProof/>
        </w:rPr>
      </w:pPr>
      <w:r w:rsidRPr="007E4E52">
        <w:rPr>
          <w:noProof/>
        </w:rPr>
        <w:t>Neste contexto, o anexo I do regulamento delegado estabelece regras sobre o funcionamento do sistema de alerta rápido «Safety Gate», sobre as informações a introduzir no sistema e outras disposições operacionais. As regras especificam os processos para o envio de notificações através do sistema de alerta rápido «Safety Gate», a sua validação no sistema (ou seja, a transmissão aos Estados-Membros), bem como a respetiva atualização, remoção e retirada. Dizem igualmente respeito à publicação de informações selecionadas sobre as notificações no portal do «Safety Gate».</w:t>
      </w:r>
    </w:p>
    <w:p w:rsidR="004D7FC2" w:rsidRPr="007E4E52" w:rsidRDefault="00497C71" w:rsidP="00595BB1">
      <w:pPr>
        <w:rPr>
          <w:noProof/>
        </w:rPr>
      </w:pPr>
      <w:r w:rsidRPr="007E4E52">
        <w:rPr>
          <w:noProof/>
        </w:rPr>
        <w:t xml:space="preserve">O anexo II do regulamento delegado descreve os critérios e a metodologia para avaliar o nível de risco decorrente de um produto abrangido pelo presente regulamento delegado. A metodologia contém uma explicação das medidas a tomar durante uma avaliação dos riscos e garante a correta utilização dos critérios de avaliação dos riscos e, consequentemente, uma correta determinação do nível de risco pelos Estados-Membros no que respeita aos produtos notificados através do sistema de alerta «Safety Gate». O anexo II descreve ainda os casos em que se pode presumir sistematicamente que um produto representa um risco grave sem necessidade de uma avaliação individual dos riscos. </w:t>
      </w:r>
    </w:p>
    <w:p w:rsidR="00276985" w:rsidRPr="007E4E52" w:rsidRDefault="004D7FC2" w:rsidP="00276985">
      <w:pPr>
        <w:rPr>
          <w:noProof/>
          <w:sz w:val="22"/>
        </w:rPr>
      </w:pPr>
      <w:r w:rsidRPr="007E4E52">
        <w:rPr>
          <w:noProof/>
        </w:rPr>
        <w:t>As regras de funcionamento e os critérios de avaliação dos riscos devem aplicar-se aos produtos abrangidos pelo âmbito de aplicação do Regulamento Segurança Geral dos Produtos e do Regulamento (UE) 2019/1020 do Parlamento Europeu e do Conselho, de 20 de junho de 2019, relativo à fiscalização do mercado e à conformidade dos produtos. Especificamente, as regras de funcionamento e os critérios de avaliação dos riscos devem aplicar-se aos riscos para a saúde e a segurança que os produtos abrangidos pelo Regulamento (UE) 2023/988 representam para os consumidores e aos riscos para a saúde e a segurança que os produtos sujeitos ao Regulamento (UE) 2019/1020 representam para os utilizadores finais. O regulamento deve igualmente aplicar-se aos riscos para outros interesses públicos no que respeita aos produtos abrangidos pelo Regulamento (UE) 2019/1020. Dada a natureza específica desses outros interesses públicos protegidos pela legislação de harmonização da União, os critérios para a avaliação do nível de risco para esses interesses devem ter em conta os objetivos e requisitos específicos da legislação de harmonização da União aplicável e, por conseguinte, podem diferir dos critérios de avaliação do nível de risco para a saúde e a segurança. No que respeita à avaliação dos riscos para interesses públicos que não a saúde e a segurança protegidos pela legislação de harmonização da União, importa recordar que os grupos de cooperação administrativa desempenham um papel especial, uma vez que, em conformidade com o artigo 32.º, n.º 2, alínea g), do Regulamento (UE) 2019/1020, têm por missão facilitar a avaliação setorial de produtos sujeitos à legislação de harmonização da União, incluindo as avaliações dos riscos.</w:t>
      </w:r>
    </w:p>
    <w:p w:rsidR="004070C2" w:rsidRPr="007E4E52" w:rsidRDefault="004070C2" w:rsidP="004070C2">
      <w:pPr>
        <w:rPr>
          <w:noProof/>
        </w:rPr>
      </w:pPr>
    </w:p>
    <w:p w:rsidR="0064122F" w:rsidRPr="007E4E52" w:rsidRDefault="0064122F">
      <w:pPr>
        <w:spacing w:before="0" w:after="200" w:line="276" w:lineRule="auto"/>
        <w:jc w:val="left"/>
        <w:rPr>
          <w:b/>
          <w:noProof/>
        </w:rPr>
      </w:pPr>
      <w:r w:rsidRPr="007E4E52">
        <w:rPr>
          <w:noProof/>
        </w:rPr>
        <w:br w:type="page"/>
      </w:r>
    </w:p>
    <w:p w:rsidR="0073160C" w:rsidRPr="007E4E52" w:rsidRDefault="007E4E52" w:rsidP="007E4E52">
      <w:pPr>
        <w:pStyle w:val="Typedudocument"/>
        <w:rPr>
          <w:noProof/>
        </w:rPr>
      </w:pPr>
      <w:r w:rsidRPr="007E4E52">
        <w:rPr>
          <w:noProof/>
        </w:rPr>
        <w:t>REGULAMENTO DELEGADO (UE) …/... DA COMISSÃO</w:t>
      </w:r>
    </w:p>
    <w:p w:rsidR="0073160C" w:rsidRPr="007E4E52" w:rsidRDefault="00207CEF" w:rsidP="007E4E52">
      <w:pPr>
        <w:pStyle w:val="Datedadoption"/>
        <w:rPr>
          <w:noProof/>
        </w:rPr>
      </w:pPr>
      <w:r>
        <w:rPr>
          <w:noProof/>
        </w:rPr>
        <w:t>de 27.8.2024</w:t>
      </w:r>
    </w:p>
    <w:p w:rsidR="0073160C" w:rsidRPr="007E4E52" w:rsidRDefault="007E4E52" w:rsidP="007E4E52">
      <w:pPr>
        <w:pStyle w:val="Titreobjet"/>
        <w:rPr>
          <w:noProof/>
        </w:rPr>
      </w:pPr>
      <w:r w:rsidRPr="007E4E52">
        <w:rPr>
          <w:noProof/>
        </w:rPr>
        <w:t>que completa o Regulamento (UE) 2023/988 do Parlamento Europeu e do Conselho no que diz respeito às regras relativas ao acesso e ao funcionamento do sistema de alerta rápido «Safety Gate», às informações a introduzir nesse sistema, aos requisitos de notificação e aos critérios de avaliação do nível de risco</w:t>
      </w:r>
    </w:p>
    <w:p w:rsidR="0073160C" w:rsidRPr="007E4E52" w:rsidRDefault="007E4E52" w:rsidP="007E4E52">
      <w:pPr>
        <w:pStyle w:val="IntrtEEE"/>
        <w:rPr>
          <w:noProof/>
        </w:rPr>
      </w:pPr>
      <w:r w:rsidRPr="007E4E52">
        <w:rPr>
          <w:noProof/>
        </w:rPr>
        <w:t>(Texto relevante para efeitos do EEE)</w:t>
      </w:r>
    </w:p>
    <w:p w:rsidR="0073160C" w:rsidRPr="007E4E52" w:rsidRDefault="0073160C">
      <w:pPr>
        <w:pStyle w:val="Institutionquiagit"/>
        <w:rPr>
          <w:noProof/>
        </w:rPr>
      </w:pPr>
      <w:r w:rsidRPr="007E4E52">
        <w:rPr>
          <w:noProof/>
        </w:rPr>
        <w:t>A COMISSÃO EUROPEIA,</w:t>
      </w:r>
    </w:p>
    <w:p w:rsidR="00F107FA" w:rsidRPr="007E4E52" w:rsidRDefault="00F107FA" w:rsidP="003E1CE5">
      <w:pPr>
        <w:rPr>
          <w:noProof/>
        </w:rPr>
      </w:pPr>
      <w:r w:rsidRPr="007E4E52">
        <w:rPr>
          <w:noProof/>
        </w:rPr>
        <w:t>Tendo em conta o Tratado sobre o Funcionamento da União Europeia,</w:t>
      </w:r>
    </w:p>
    <w:p w:rsidR="003E1CE5" w:rsidRPr="007E4E52" w:rsidRDefault="003E1CE5" w:rsidP="003E1CE5">
      <w:pPr>
        <w:rPr>
          <w:noProof/>
        </w:rPr>
      </w:pPr>
      <w:r w:rsidRPr="007E4E52">
        <w:rPr>
          <w:noProof/>
        </w:rPr>
        <w:t xml:space="preserve">Tendo em conta o </w:t>
      </w:r>
      <w:bookmarkStart w:id="1" w:name="_Hlk170404075"/>
      <w:r w:rsidRPr="007E4E52">
        <w:rPr>
          <w:noProof/>
        </w:rPr>
        <w:t>Regulamento (UE) 2023/988</w:t>
      </w:r>
      <w:bookmarkEnd w:id="1"/>
      <w:r w:rsidRPr="007E4E52">
        <w:rPr>
          <w:noProof/>
        </w:rPr>
        <w:t xml:space="preserve"> do Parlamento Europeu e do Conselho, de 10</w:t>
      </w:r>
      <w:r w:rsidR="00C439C2">
        <w:rPr>
          <w:noProof/>
        </w:rPr>
        <w:t> </w:t>
      </w:r>
      <w:r w:rsidRPr="007E4E52">
        <w:rPr>
          <w:noProof/>
        </w:rPr>
        <w:t>de maio de 2023, relativo à segurança geral dos produtos</w:t>
      </w:r>
      <w:r w:rsidRPr="007E4E52">
        <w:rPr>
          <w:rStyle w:val="FootnoteReference"/>
          <w:noProof/>
        </w:rPr>
        <w:footnoteReference w:id="2"/>
      </w:r>
      <w:r w:rsidRPr="007E4E52">
        <w:rPr>
          <w:noProof/>
        </w:rPr>
        <w:t>, nomeadamente o artigo 26.º, n.º 10,</w:t>
      </w:r>
    </w:p>
    <w:p w:rsidR="0073160C" w:rsidRPr="007E4E52" w:rsidRDefault="0073160C">
      <w:pPr>
        <w:rPr>
          <w:noProof/>
        </w:rPr>
      </w:pPr>
      <w:r w:rsidRPr="007E4E52">
        <w:rPr>
          <w:noProof/>
        </w:rPr>
        <w:t>Considerando o seguinte:</w:t>
      </w:r>
    </w:p>
    <w:p w:rsidR="003E1CE5" w:rsidRPr="007E4E52" w:rsidRDefault="00395F47" w:rsidP="00395F47">
      <w:pPr>
        <w:pStyle w:val="ManualConsidrant"/>
        <w:rPr>
          <w:noProof/>
        </w:rPr>
      </w:pPr>
      <w:bookmarkStart w:id="2" w:name="_Hlk161041957"/>
      <w:r w:rsidRPr="00395F47">
        <w:rPr>
          <w:noProof/>
        </w:rPr>
        <w:t>(1)</w:t>
      </w:r>
      <w:r w:rsidRPr="00395F47">
        <w:rPr>
          <w:noProof/>
        </w:rPr>
        <w:tab/>
      </w:r>
      <w:r w:rsidR="00A47B1A" w:rsidRPr="007E4E52">
        <w:rPr>
          <w:noProof/>
        </w:rPr>
        <w:t xml:space="preserve">A fim de garantir um funcionamento adequado e eficiente do sistema de alerta rápido «Safety Gate», é essencial prever regras pormenorizadas relativas ao acesso e ao funcionamento desse sistema, às informações a introduzir no mesmo e aos requisitos de notificação, bem como introduzir </w:t>
      </w:r>
      <w:bookmarkStart w:id="3" w:name="_Hlk170404120"/>
      <w:r w:rsidR="00A47B1A" w:rsidRPr="007E4E52">
        <w:rPr>
          <w:noProof/>
        </w:rPr>
        <w:t>os critérios para avaliar o nível de risco</w:t>
      </w:r>
      <w:bookmarkEnd w:id="3"/>
      <w:r w:rsidR="00A47B1A" w:rsidRPr="007E4E52">
        <w:rPr>
          <w:noProof/>
        </w:rPr>
        <w:t xml:space="preserve"> decorrente dos produtos. </w:t>
      </w:r>
    </w:p>
    <w:bookmarkEnd w:id="2"/>
    <w:p w:rsidR="002042FF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(2)</w:t>
      </w:r>
      <w:r w:rsidRPr="00395F47">
        <w:rPr>
          <w:noProof/>
        </w:rPr>
        <w:tab/>
      </w:r>
      <w:r w:rsidR="00E801E8" w:rsidRPr="007E4E52">
        <w:rPr>
          <w:noProof/>
        </w:rPr>
        <w:t>Em conformidade com o artigo 26.º do Regulamento (UE) 2023/988, os Estados-Membros devem ou podem, de acordo com o nível de risco apresentado pelo produto, notificar as medidas corretivas tomadas ou previstas em relação aos produtos perigosos com base nesse regulamento e com base no artigo 20.º do Regulamento (UE) 2019/1020 do Parlamento Europeu e do Conselho</w:t>
      </w:r>
      <w:r w:rsidR="00042077" w:rsidRPr="007E4E52">
        <w:rPr>
          <w:rStyle w:val="FootnoteReference"/>
          <w:noProof/>
        </w:rPr>
        <w:footnoteReference w:id="3"/>
      </w:r>
      <w:r w:rsidR="00E801E8" w:rsidRPr="007E4E52">
        <w:rPr>
          <w:noProof/>
        </w:rPr>
        <w:t xml:space="preserve">, para os produtos abrangidos por esses dois regulamentos. Uma vez que o artigo 26.º, n.º 10, do Regulamento (UE) 2023/988, nos termos do qual a Comissão deve adotar um ato delegado que especifique, nomeadamente, os requisitos de notificação desses produtos e os critérios para avaliar o seu risco, se aplica, em conformidade com o artigo 2.º, n.º 1, do Regulamento (UE) 2023/988, tanto aos produtos abrangidos pela legislação específica de harmonização da União como pelo Regulamento (UE) 2023/988, é necessário estabelecer regras pormenorizadas para o sistema de alerta rápido «Safety Gate» e critérios para avaliar o nível de risco dos produtos sujeitos tanto ao Regulamento (UE) 2023/988 como ao Regulamento (UE) 2019/1020. </w:t>
      </w:r>
    </w:p>
    <w:p w:rsidR="00E801E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(3)</w:t>
      </w:r>
      <w:r w:rsidRPr="00395F47">
        <w:rPr>
          <w:noProof/>
        </w:rPr>
        <w:tab/>
      </w:r>
      <w:r w:rsidR="00E801E8" w:rsidRPr="007E4E52">
        <w:rPr>
          <w:noProof/>
        </w:rPr>
        <w:t>A fim de facilitar o intercâmbio de informações sobre todos os produtos perigosos disponibilizados no mercado da União através de um instrumento único, deve ser possível para os Estados-Membros comunicarem, através do sistema de alerta rápido «Safety Gate», todas as medidas corretivas previstas ou tomadas relativamente a produtos perigosos, incluindo as medidas relativas aos produtos que apresentem um risco de nível inferior a grave.</w:t>
      </w:r>
    </w:p>
    <w:p w:rsidR="00E801E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(4)</w:t>
      </w:r>
      <w:r w:rsidRPr="00395F47">
        <w:rPr>
          <w:noProof/>
        </w:rPr>
        <w:tab/>
      </w:r>
      <w:r w:rsidR="00E801E8" w:rsidRPr="007E4E52">
        <w:rPr>
          <w:noProof/>
        </w:rPr>
        <w:t xml:space="preserve">É importante que as notificações apresentadas pelas autoridades nacionais através do sistema de alerta rápido «Safety Gate» sejam tão pormenorizadas quanto possível, a fim de assegurar que o produto em questão possa ser identificado por outras autoridades que devam ou possam adotar medidas de acompanhamento. Por conseguinte, é necessário especificar os requisitos que essas notificações devem cumprir, em especial as informações a fornecer para os diferentes tipos de notificações. </w:t>
      </w:r>
    </w:p>
    <w:p w:rsidR="00E801E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(5)</w:t>
      </w:r>
      <w:r w:rsidRPr="00395F47">
        <w:rPr>
          <w:noProof/>
        </w:rPr>
        <w:tab/>
      </w:r>
      <w:r w:rsidR="007B135B" w:rsidRPr="007E4E52">
        <w:rPr>
          <w:noProof/>
        </w:rPr>
        <w:t>Por conseguinte, importa que a Comissão verifique a exaustividade das notificações, tendo em conta, em especial, as informações a fornecer para os diferentes tipos de notificações. Ao mesmo tempo, a Comissão deve poder solicitar informações adicionais pertinentes ou uma correção das informações notificadas, se necessário, antes de a Comissão validar essa notificação no sistema e, ao fazê-lo, transmiti-la aos outros Estados-Membros.</w:t>
      </w:r>
    </w:p>
    <w:p w:rsidR="00E801E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(6)</w:t>
      </w:r>
      <w:r w:rsidRPr="00395F47">
        <w:rPr>
          <w:noProof/>
        </w:rPr>
        <w:tab/>
      </w:r>
      <w:r w:rsidR="00E801E8" w:rsidRPr="007E4E52">
        <w:rPr>
          <w:noProof/>
        </w:rPr>
        <w:t>A fim de assegurar que, em conformidade com o artigo 34.º, n.º 1, do Regulamento (UE) 2023/988, o público em geral tem acesso gratuito e aberto às informações selecionadas notificadas através do sistema de alerta rápido «Safety Gate», nomeadamente às informações sobre produtos perigosos e às medidas corretivas tomadas em relação aos mesmos, a Comissão deve publicar no portal do «Safety</w:t>
      </w:r>
      <w:r w:rsidR="007E4E52">
        <w:rPr>
          <w:noProof/>
        </w:rPr>
        <w:noBreakHyphen/>
      </w:r>
      <w:r w:rsidR="00E801E8" w:rsidRPr="007E4E52">
        <w:rPr>
          <w:noProof/>
        </w:rPr>
        <w:t xml:space="preserve">Gate» informações selecionadas contidas nas notificações enviadas através do </w:t>
      </w:r>
      <w:bookmarkStart w:id="4" w:name="_Hlk170140761"/>
      <w:r w:rsidR="00E801E8" w:rsidRPr="007E4E52">
        <w:rPr>
          <w:noProof/>
        </w:rPr>
        <w:t>sistema de alerta rápido «Safety Gate»</w:t>
      </w:r>
      <w:bookmarkEnd w:id="4"/>
      <w:r w:rsidR="00E801E8" w:rsidRPr="007E4E52">
        <w:rPr>
          <w:noProof/>
        </w:rPr>
        <w:t xml:space="preserve">. </w:t>
      </w:r>
    </w:p>
    <w:p w:rsidR="00E801E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(7)</w:t>
      </w:r>
      <w:r w:rsidRPr="00395F47">
        <w:rPr>
          <w:noProof/>
        </w:rPr>
        <w:tab/>
      </w:r>
      <w:r w:rsidR="00E801E8" w:rsidRPr="007E4E52">
        <w:rPr>
          <w:noProof/>
        </w:rPr>
        <w:t>Com base nas informações do Estado-Membro que apresentou a notificação, a Comissão deve atualizar as notificações no sistema de alerta rápido «Safety Gate», atualizações essas que devem dizer respeito apenas à notificação em relação à qual esse Estado-Membro tenha indicado uma atualização. Para assegurar que as informações constantes do portal do «Safety Gate» estão atualizadas, a Comissão deve também atualizar as informações apresentadas no portal ou removê-las, se for caso disso.</w:t>
      </w:r>
    </w:p>
    <w:p w:rsidR="00DD1B43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(8)</w:t>
      </w:r>
      <w:r w:rsidRPr="00395F47">
        <w:rPr>
          <w:noProof/>
        </w:rPr>
        <w:tab/>
      </w:r>
      <w:r w:rsidR="00063F7B" w:rsidRPr="007E4E52">
        <w:rPr>
          <w:noProof/>
        </w:rPr>
        <w:t>O presente regulamento deve aplicar-se aos riscos para a saúde e a segurança que os produtos abrangidos pelo Regulamento (UE) 2023/988 representam para os consumidores e aos riscos para a saúde e a segurança que os produtos sujeitos ao Regulamento (UE) 2019/1020 representam para os utilizadores finais. É necessário que o presente regulamento estabeleça os critérios para a avaliação do nível de risco desses produtos.</w:t>
      </w:r>
    </w:p>
    <w:p w:rsidR="00582B24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(9)</w:t>
      </w:r>
      <w:r w:rsidRPr="00395F47">
        <w:rPr>
          <w:noProof/>
        </w:rPr>
        <w:tab/>
      </w:r>
      <w:r w:rsidR="00582B24" w:rsidRPr="007E4E52">
        <w:rPr>
          <w:noProof/>
        </w:rPr>
        <w:t xml:space="preserve">O presente regulamento deve aplicar-se igualmente aos riscos para outros interesses públicos no que respeita aos produtos abrangidos pelo Regulamento (UE) 2019/1020. Dada a natureza específica desses outros interesses públicos protegidos pela legislação de harmonização da União, os critérios para a avaliação do nível de risco para esses interesses devem ter em conta os objetivos e requisitos específicos da legislação de harmonização da União aplicável e, por conseguinte, podem diferir dos critérios de avaliação do nível de risco para a saúde e a segurança. No que respeita à avaliação dos riscos para interesses públicos que não a saúde e a segurança protegidos pela legislação de harmonização da União, os grupos de cooperação administrativa desempenham um papel especial, uma vez que, em conformidade com o artigo 32.º, n.º 2, alínea g), do Regulamento (UE) 2019/1020, têm por missão facilitar a avaliação setorial de produtos sujeitos à legislação de harmonização da União, incluindo as avaliações dos riscos. </w:t>
      </w:r>
    </w:p>
    <w:p w:rsidR="00F07878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(10)</w:t>
      </w:r>
      <w:r w:rsidRPr="00395F47">
        <w:rPr>
          <w:noProof/>
        </w:rPr>
        <w:tab/>
      </w:r>
      <w:r w:rsidR="00A1494B" w:rsidRPr="007E4E52">
        <w:rPr>
          <w:noProof/>
        </w:rPr>
        <w:t xml:space="preserve">Tendo em conta a boa experiência com as orientações em matéria de avaliação dos riscos incluídas na Decisão de Execução (UE) 2019/417 da Comissão que estabelece orientações para a gestão do Sistema de Troca Rápida de Informação da União Europeia (RAPEX), a necessidade de preservar a continuidade entre o RAPEX e o sistema de alerta rápido «Safety Gate» e o objetivo de assegurar um funcionamento correto e eficaz do sistema de alerta rápido «Safety Gate», os critérios para avaliar o nível de riscos devem incluir também uma metodologia que permita às autoridades nacionais avaliar a forma como um dano ou um perigo se pode transformar num risco e, nesse contexto, de que forma o nível do risco deve ser avaliado e determinado. Esta abordagem garante a correta utilização desses critérios e, consequentemente, a correta determinação do nível de risco pelos Estados-Membros no que respeita aos produtos notificados através do sistema de alerta «Safety Gate». </w:t>
      </w:r>
    </w:p>
    <w:p w:rsidR="003E1CE5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(11)</w:t>
      </w:r>
      <w:r w:rsidRPr="00395F47">
        <w:rPr>
          <w:noProof/>
        </w:rPr>
        <w:tab/>
      </w:r>
      <w:r w:rsidR="00F819B5" w:rsidRPr="007E4E52">
        <w:rPr>
          <w:noProof/>
        </w:rPr>
        <w:t xml:space="preserve">As autoridades nacionais que notificam produtos através do sistema de alerta rápido «Safety Gate» devem poder ter em conta o facto de, em determinadas situações ou no que respeita a produtos com determinadas características, existirem já provas bem estabelecidas, como estatísticas, resultados da fiscalização do mercado ou avaliações de risco, que permitam presumir a existência de um risco grave que esses produtos representam. Nessas situações, as autoridades nacionais não devem ser obrigadas a apresentar avaliações de risco individuais para efeitos da notificação através do sistema de alerta rápido «Safety Gate».  </w:t>
      </w:r>
    </w:p>
    <w:p w:rsidR="003E1CE5" w:rsidRPr="007E4E52" w:rsidRDefault="00395F47" w:rsidP="00395F47">
      <w:pPr>
        <w:pStyle w:val="ManualConsidrant"/>
        <w:rPr>
          <w:noProof/>
        </w:rPr>
      </w:pPr>
      <w:r w:rsidRPr="00395F47">
        <w:rPr>
          <w:noProof/>
        </w:rPr>
        <w:t>(12)</w:t>
      </w:r>
      <w:r w:rsidRPr="00395F47">
        <w:rPr>
          <w:noProof/>
        </w:rPr>
        <w:tab/>
      </w:r>
      <w:r w:rsidR="003E1CE5" w:rsidRPr="007E4E52">
        <w:rPr>
          <w:noProof/>
        </w:rPr>
        <w:t>O presente regulamento deve ser aplicável a partir da mesma data que o Regulamento (UE) 2023/988,</w:t>
      </w:r>
    </w:p>
    <w:p w:rsidR="00C236A4" w:rsidRPr="007E4E52" w:rsidRDefault="00C236A4" w:rsidP="00C236A4">
      <w:pPr>
        <w:rPr>
          <w:noProof/>
        </w:rPr>
      </w:pPr>
    </w:p>
    <w:p w:rsidR="0073160C" w:rsidRPr="007E4E52" w:rsidRDefault="0073160C">
      <w:pPr>
        <w:pStyle w:val="Formuledadoption"/>
        <w:rPr>
          <w:noProof/>
        </w:rPr>
      </w:pPr>
      <w:r w:rsidRPr="007E4E52">
        <w:rPr>
          <w:noProof/>
        </w:rPr>
        <w:t>ADOTOU O PRESENTE REGULAMENTO:</w:t>
      </w:r>
    </w:p>
    <w:p w:rsidR="0073160C" w:rsidRPr="007E4E52" w:rsidRDefault="0073160C">
      <w:pPr>
        <w:pStyle w:val="Titrearticle"/>
        <w:rPr>
          <w:noProof/>
        </w:rPr>
      </w:pPr>
      <w:r w:rsidRPr="007E4E52">
        <w:rPr>
          <w:noProof/>
        </w:rPr>
        <w:t>Artigo 1.º</w:t>
      </w:r>
    </w:p>
    <w:p w:rsidR="003E1CE5" w:rsidRPr="007E4E52" w:rsidRDefault="001F706C" w:rsidP="003E1CE5">
      <w:pPr>
        <w:rPr>
          <w:noProof/>
        </w:rPr>
      </w:pPr>
      <w:r w:rsidRPr="007E4E52">
        <w:rPr>
          <w:noProof/>
        </w:rPr>
        <w:t xml:space="preserve">O sistema de alerta rápido «Safety Gate» deve funcionar em conformidade com as regras relativas ao acesso e ao funcionamento do sistema de alerta rápido «Safety Gate», às informações a introduzir nesse sistema e aos requisitos de notificação estabelecidos no anexo I. </w:t>
      </w:r>
    </w:p>
    <w:p w:rsidR="0073160C" w:rsidRPr="007E4E52" w:rsidRDefault="0073160C">
      <w:pPr>
        <w:pStyle w:val="Titrearticle"/>
        <w:rPr>
          <w:noProof/>
        </w:rPr>
      </w:pPr>
      <w:r w:rsidRPr="007E4E52">
        <w:rPr>
          <w:noProof/>
        </w:rPr>
        <w:t>Artigo 2.º</w:t>
      </w:r>
    </w:p>
    <w:p w:rsidR="003E1CE5" w:rsidRPr="007E4E52" w:rsidRDefault="00D33D32" w:rsidP="003E1CE5">
      <w:pPr>
        <w:rPr>
          <w:noProof/>
        </w:rPr>
      </w:pPr>
      <w:r w:rsidRPr="007E4E52">
        <w:rPr>
          <w:noProof/>
        </w:rPr>
        <w:t>O nível de risco decorrente de um produto representa deve ser avaliado em conformidade com os critérios estabelecidos no anexo II.</w:t>
      </w:r>
    </w:p>
    <w:p w:rsidR="003E1CE5" w:rsidRPr="007E4E52" w:rsidRDefault="003E1CE5" w:rsidP="003E1CE5">
      <w:pPr>
        <w:rPr>
          <w:noProof/>
        </w:rPr>
      </w:pPr>
    </w:p>
    <w:p w:rsidR="003E1CE5" w:rsidRPr="007E4E52" w:rsidRDefault="003E1CE5" w:rsidP="003E1CE5">
      <w:pPr>
        <w:pStyle w:val="Titrearticle"/>
        <w:rPr>
          <w:noProof/>
        </w:rPr>
      </w:pPr>
      <w:r w:rsidRPr="007E4E52">
        <w:rPr>
          <w:noProof/>
        </w:rPr>
        <w:t>Artigo 3.º</w:t>
      </w:r>
    </w:p>
    <w:p w:rsidR="003E1CE5" w:rsidRPr="007E4E52" w:rsidRDefault="003E1CE5" w:rsidP="003E1CE5">
      <w:pPr>
        <w:rPr>
          <w:noProof/>
        </w:rPr>
      </w:pPr>
      <w:r w:rsidRPr="007E4E52">
        <w:rPr>
          <w:noProof/>
        </w:rPr>
        <w:t xml:space="preserve">O presente regulamento entra em vigor no vigésimo dia seguinte ao da sua publicação no </w:t>
      </w:r>
      <w:r w:rsidRPr="007E4E52">
        <w:rPr>
          <w:i/>
          <w:noProof/>
        </w:rPr>
        <w:t>Jornal Oficial da União Europeia</w:t>
      </w:r>
      <w:r w:rsidRPr="007E4E52">
        <w:rPr>
          <w:noProof/>
        </w:rPr>
        <w:t>.</w:t>
      </w:r>
    </w:p>
    <w:p w:rsidR="00F043DE" w:rsidRPr="007E4E52" w:rsidRDefault="00F043DE" w:rsidP="00F043DE">
      <w:pPr>
        <w:rPr>
          <w:noProof/>
        </w:rPr>
      </w:pPr>
      <w:r w:rsidRPr="007E4E52">
        <w:rPr>
          <w:noProof/>
        </w:rPr>
        <w:t>O presente regulamento é aplicável a partir de 13 de dezembro de 2024.</w:t>
      </w:r>
    </w:p>
    <w:p w:rsidR="00F043DE" w:rsidRPr="007E4E52" w:rsidRDefault="00F043DE" w:rsidP="00F043DE">
      <w:pPr>
        <w:rPr>
          <w:noProof/>
        </w:rPr>
      </w:pPr>
    </w:p>
    <w:p w:rsidR="00071670" w:rsidRPr="007E4E52" w:rsidRDefault="00071670" w:rsidP="00F043DE">
      <w:pPr>
        <w:rPr>
          <w:noProof/>
        </w:rPr>
      </w:pPr>
    </w:p>
    <w:p w:rsidR="00071670" w:rsidRPr="007E4E52" w:rsidRDefault="00071670" w:rsidP="00F043DE">
      <w:pPr>
        <w:rPr>
          <w:noProof/>
        </w:rPr>
      </w:pPr>
    </w:p>
    <w:p w:rsidR="00D04A48" w:rsidRPr="007E4E52" w:rsidRDefault="00D04A48" w:rsidP="00D04A48">
      <w:pPr>
        <w:rPr>
          <w:noProof/>
        </w:rPr>
      </w:pPr>
      <w:r w:rsidRPr="007E4E52">
        <w:rPr>
          <w:noProof/>
        </w:rPr>
        <w:t xml:space="preserve">O presente regulamento é obrigatório em todos os seus elementos e diretamente aplicável em todos os Estados-Membros. </w:t>
      </w:r>
    </w:p>
    <w:p w:rsidR="003E1CE5" w:rsidRPr="007E4E52" w:rsidRDefault="003E1CE5" w:rsidP="003E1CE5">
      <w:pPr>
        <w:rPr>
          <w:noProof/>
        </w:rPr>
      </w:pPr>
    </w:p>
    <w:p w:rsidR="0073160C" w:rsidRPr="007E4E52" w:rsidRDefault="00207CEF" w:rsidP="00E84AB9">
      <w:pPr>
        <w:pStyle w:val="Fait"/>
        <w:rPr>
          <w:noProof/>
        </w:rPr>
      </w:pPr>
      <w:r>
        <w:rPr>
          <w:noProof/>
        </w:rPr>
        <w:t>Feito em Bruxelas, em 27.8.2024</w:t>
      </w:r>
    </w:p>
    <w:p w:rsidR="0073160C" w:rsidRPr="007E4E52" w:rsidRDefault="0073160C" w:rsidP="00E84AB9">
      <w:pPr>
        <w:pStyle w:val="Institutionquisigne"/>
        <w:rPr>
          <w:noProof/>
        </w:rPr>
      </w:pPr>
      <w:r w:rsidRPr="007E4E52">
        <w:rPr>
          <w:noProof/>
        </w:rPr>
        <w:tab/>
        <w:t>Pela Comissão</w:t>
      </w:r>
    </w:p>
    <w:p w:rsidR="0073160C" w:rsidRPr="007E4E52" w:rsidRDefault="00A82684" w:rsidP="0073160C">
      <w:pPr>
        <w:pStyle w:val="Personnequisigne"/>
        <w:rPr>
          <w:noProof/>
        </w:rPr>
      </w:pPr>
      <w:r>
        <w:rPr>
          <w:noProof/>
        </w:rPr>
        <w:tab/>
        <w:t>A Presidente</w:t>
      </w:r>
      <w:r>
        <w:rPr>
          <w:noProof/>
        </w:rPr>
        <w:br/>
      </w:r>
      <w:r>
        <w:rPr>
          <w:noProof/>
        </w:rPr>
        <w:tab/>
        <w:t>Ursula VON DER LEYEN</w:t>
      </w:r>
    </w:p>
    <w:sectPr w:rsidR="0073160C" w:rsidRPr="007E4E52" w:rsidSect="00010DB4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F98" w:rsidRDefault="00660F98" w:rsidP="0073160C">
      <w:pPr>
        <w:spacing w:before="0" w:after="0"/>
      </w:pPr>
      <w:r>
        <w:separator/>
      </w:r>
    </w:p>
  </w:endnote>
  <w:endnote w:type="continuationSeparator" w:id="0">
    <w:p w:rsidR="00660F98" w:rsidRDefault="00660F98" w:rsidP="0073160C">
      <w:pPr>
        <w:spacing w:before="0" w:after="0"/>
      </w:pPr>
      <w:r>
        <w:continuationSeparator/>
      </w:r>
    </w:p>
  </w:endnote>
  <w:endnote w:type="continuationNotice" w:id="1">
    <w:p w:rsidR="00660F98" w:rsidRDefault="00660F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Pr="00010DB4" w:rsidRDefault="00010DB4" w:rsidP="00010DB4">
    <w:pPr>
      <w:pStyle w:val="Footer"/>
      <w:rPr>
        <w:rFonts w:ascii="Arial" w:hAnsi="Arial" w:cs="Arial"/>
        <w:b/>
        <w:sz w:val="48"/>
      </w:rPr>
    </w:pPr>
    <w:r w:rsidRPr="00010DB4">
      <w:rPr>
        <w:rFonts w:ascii="Arial" w:hAnsi="Arial" w:cs="Arial"/>
        <w:b/>
        <w:sz w:val="48"/>
      </w:rPr>
      <w:t>PT</w:t>
    </w:r>
    <w:r w:rsidRPr="00010DB4">
      <w:rPr>
        <w:rFonts w:ascii="Arial" w:hAnsi="Arial" w:cs="Arial"/>
        <w:b/>
        <w:sz w:val="48"/>
      </w:rPr>
      <w:tab/>
    </w:r>
    <w:r w:rsidRPr="00010DB4">
      <w:rPr>
        <w:rFonts w:ascii="Arial" w:hAnsi="Arial" w:cs="Arial"/>
        <w:b/>
        <w:sz w:val="48"/>
      </w:rPr>
      <w:tab/>
    </w:r>
    <w:r w:rsidRPr="00010DB4">
      <w:tab/>
    </w:r>
    <w:r w:rsidRPr="00010DB4">
      <w:rPr>
        <w:rFonts w:ascii="Arial" w:hAnsi="Arial" w:cs="Arial"/>
        <w:b/>
        <w:sz w:val="48"/>
      </w:rPr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Pr="00010DB4" w:rsidRDefault="00010DB4" w:rsidP="00010DB4">
    <w:pPr>
      <w:pStyle w:val="Footer"/>
      <w:rPr>
        <w:rFonts w:ascii="Arial" w:hAnsi="Arial" w:cs="Arial"/>
        <w:b/>
        <w:sz w:val="48"/>
      </w:rPr>
    </w:pPr>
    <w:r w:rsidRPr="00010DB4">
      <w:rPr>
        <w:rFonts w:ascii="Arial" w:hAnsi="Arial" w:cs="Arial"/>
        <w:b/>
        <w:sz w:val="48"/>
      </w:rPr>
      <w:t>PT</w:t>
    </w:r>
    <w:r w:rsidRPr="00010DB4">
      <w:rPr>
        <w:rFonts w:ascii="Arial" w:hAnsi="Arial" w:cs="Arial"/>
        <w:b/>
        <w:sz w:val="48"/>
      </w:rPr>
      <w:tab/>
    </w:r>
    <w:r w:rsidRPr="00010DB4">
      <w:rPr>
        <w:rFonts w:ascii="Arial" w:hAnsi="Arial" w:cs="Arial"/>
        <w:b/>
        <w:sz w:val="48"/>
      </w:rPr>
      <w:tab/>
    </w:r>
    <w:r w:rsidRPr="00010DB4">
      <w:tab/>
    </w:r>
    <w:r w:rsidRPr="00010DB4">
      <w:rPr>
        <w:rFonts w:ascii="Arial" w:hAnsi="Arial" w:cs="Arial"/>
        <w:b/>
        <w:sz w:val="48"/>
      </w:rPr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Default="00010DB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Pr="00010DB4" w:rsidRDefault="00010DB4" w:rsidP="00010DB4">
    <w:pPr>
      <w:pStyle w:val="Footer"/>
      <w:rPr>
        <w:rFonts w:ascii="Arial" w:hAnsi="Arial" w:cs="Arial"/>
        <w:b/>
        <w:sz w:val="48"/>
      </w:rPr>
    </w:pPr>
    <w:r w:rsidRPr="00010DB4">
      <w:rPr>
        <w:rFonts w:ascii="Arial" w:hAnsi="Arial" w:cs="Arial"/>
        <w:b/>
        <w:sz w:val="48"/>
      </w:rPr>
      <w:t>PT</w:t>
    </w:r>
    <w:r w:rsidRPr="00010DB4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E84AB9">
      <w:rPr>
        <w:noProof/>
      </w:rPr>
      <w:t>7</w:t>
    </w:r>
    <w:r>
      <w:fldChar w:fldCharType="end"/>
    </w:r>
    <w:r>
      <w:tab/>
    </w:r>
    <w:r w:rsidRPr="00010DB4">
      <w:tab/>
    </w:r>
    <w:r w:rsidRPr="00010DB4">
      <w:rPr>
        <w:rFonts w:ascii="Arial" w:hAnsi="Arial" w:cs="Arial"/>
        <w:b/>
        <w:sz w:val="48"/>
      </w:rPr>
      <w:t>PT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Default="00010DB4" w:rsidP="00010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F98" w:rsidRDefault="00660F98" w:rsidP="0073160C">
      <w:pPr>
        <w:spacing w:before="0" w:after="0"/>
      </w:pPr>
      <w:r>
        <w:separator/>
      </w:r>
    </w:p>
  </w:footnote>
  <w:footnote w:type="continuationSeparator" w:id="0">
    <w:p w:rsidR="00660F98" w:rsidRDefault="00660F98" w:rsidP="0073160C">
      <w:pPr>
        <w:spacing w:before="0" w:after="0"/>
      </w:pPr>
      <w:r>
        <w:continuationSeparator/>
      </w:r>
    </w:p>
  </w:footnote>
  <w:footnote w:type="continuationNotice" w:id="1">
    <w:p w:rsidR="00660F98" w:rsidRDefault="00660F98">
      <w:pPr>
        <w:spacing w:before="0" w:after="0"/>
      </w:pPr>
    </w:p>
  </w:footnote>
  <w:footnote w:id="2">
    <w:p w:rsidR="003E1CE5" w:rsidRPr="007E4E52" w:rsidRDefault="003E1CE5" w:rsidP="003E1CE5">
      <w:pPr>
        <w:pStyle w:val="FootnoteText"/>
      </w:pPr>
      <w:r>
        <w:rPr>
          <w:rStyle w:val="FootnoteReference"/>
        </w:rPr>
        <w:footnoteRef/>
      </w:r>
      <w:r w:rsidRPr="007E4E52">
        <w:tab/>
        <w:t xml:space="preserve">JO L 135 de 23.5.2023, p. 1, ELI: </w:t>
      </w:r>
      <w:hyperlink r:id="rId1" w:tooltip="Acesso a este documento através do respetivo ELI URI." w:history="1">
        <w:r w:rsidRPr="007E4E52">
          <w:rPr>
            <w:rStyle w:val="Hyperlink"/>
          </w:rPr>
          <w:t>http://data.europa.eu/eli/reg/2023/988/oj</w:t>
        </w:r>
      </w:hyperlink>
      <w:r w:rsidRPr="007E4E52">
        <w:t>.</w:t>
      </w:r>
    </w:p>
  </w:footnote>
  <w:footnote w:id="3">
    <w:p w:rsidR="00042077" w:rsidRPr="007E4E52" w:rsidRDefault="00042077">
      <w:pPr>
        <w:pStyle w:val="FootnoteText"/>
      </w:pPr>
      <w:r>
        <w:rPr>
          <w:rStyle w:val="FootnoteReference"/>
        </w:rPr>
        <w:footnoteRef/>
      </w:r>
      <w:r w:rsidRPr="007E4E52">
        <w:tab/>
        <w:t xml:space="preserve">Regulamento (UE) 2019/1020 do Parlamento Europeu e do Conselho, de 20 de junho de 2019, relativo à fiscalização do mercado e à conformidade dos produtos e que altera a Diretiva 2004/42/CE e os Regulamentos (CE) n.º 765/2008 e (UE) n.º 305/2011 (JO L 169 de 25.6.2019, p. 1, ELI: </w:t>
      </w:r>
      <w:hyperlink r:id="rId2" w:tooltip="Acesso a este documento através do respetivo ELI URI." w:history="1">
        <w:r w:rsidRPr="007E4E52">
          <w:rPr>
            <w:rStyle w:val="Hyperlink"/>
          </w:rPr>
          <w:t>http://data.europa.eu/eli/reg/2019/1020/oj</w:t>
        </w:r>
      </w:hyperlink>
      <w:r w:rsidRPr="007E4E52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Default="00010D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B4" w:rsidRDefault="00010D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0D4616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995627E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53E0CA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C087D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08-23 12:40:01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7FB66168-6FEB-41F1-952B-FFEA3C1F348D"/>
    <w:docVar w:name="LW_COVERPAGE_TYPE" w:val="1"/>
    <w:docVar w:name="LW_CROSSREFERENCE" w:val="&lt;UNUSED&gt;"/>
    <w:docVar w:name="LW_DATE.ADOPT.CP" w:val="de 27.8.2024"/>
    <w:docVar w:name="LW_DATE.ADOPT.CP_DATEFORMAT" w:val="de %DATE%"/>
    <w:docVar w:name="LW_DATE.ADOPT.CP_ISODATE" w:val="2024-08-27"/>
    <w:docVar w:name="LW_DocType" w:val="COM"/>
    <w:docVar w:name="LW_EMISSION" w:val="27.8.2024"/>
    <w:docVar w:name="LW_EMISSION_ISODATE" w:val="2024-08-27"/>
    <w:docVar w:name="LW_EMISSION_LOCATION" w:val="BRX"/>
    <w:docVar w:name="LW_EMISSION_PREFIX" w:val="Bruxelas, "/>
    <w:docVar w:name="LW_EMISSION_SUFFIX" w:val=" "/>
    <w:docVar w:name="LW_ID_DOCMODEL" w:val="SJ-003"/>
    <w:docVar w:name="LW_ID_DOCSIGNATURE" w:val="SJ-003"/>
    <w:docVar w:name="LW_ID_DOCSTRUCTURE" w:val="COM/AA"/>
    <w:docVar w:name="LW_ID_DOCTYPE" w:val="SJ-003"/>
    <w:docVar w:name="LW_INSERT_EXP.MOTIFS.NEW" w:val="1"/>
    <w:docVar w:name="LW_INTERETEEE.CP" w:val="(Texto relevante para efeitos do EEE)"/>
    <w:docVar w:name="LW_LANGUE" w:val="PT"/>
    <w:docVar w:name="LW_LANGUESFAISANTFOI.CP" w:val="&lt;UNUSED&gt;"/>
    <w:docVar w:name="LW_LEVEL_OF_SENSITIVITY" w:val="Standard treatment"/>
    <w:docVar w:name="LW_NOM.INST" w:val="COMISSÃO EUROPEIA"/>
    <w:docVar w:name="LW_NOM.INST_JOINTDOC" w:val="&lt;EMPTY&gt;"/>
    <w:docVar w:name="LW_PART_NBR" w:val="1"/>
    <w:docVar w:name="LW_PART_NBR_TOTAL" w:val="1"/>
    <w:docVar w:name="LW_REF.INST.NEW" w:val="C"/>
    <w:docVar w:name="LW_REF.INST.NEW_ADOPTED" w:val="final"/>
    <w:docVar w:name="LW_REF.INST.NEW_TEXT" w:val="(2024) 6023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ITRE.OBJ.CP" w:val="que completa o Regulamento (UE) 2023/988 do Parlamento Europeu e do Conselho no que diz respeito às regras relativas ao acesso e ao funcionamento do sistema de alerta rápido «Safety Gate», às informações a introduzir nesse sistema, aos requisitos de notificação e aos critérios de avaliação do nível de risco"/>
    <w:docVar w:name="LW_TYPE.DOC.CP" w:val="REGULAMENTO DELEGADO (UE) \u8230?/... DA COMISSÃO"/>
    <w:docVar w:name="LwApiVersions" w:val="LW4CoDe 1.24.5.0; LW 9.0, Build 20240221"/>
  </w:docVars>
  <w:rsids>
    <w:rsidRoot w:val="0073160C"/>
    <w:rsid w:val="00002C0F"/>
    <w:rsid w:val="00003475"/>
    <w:rsid w:val="000035A6"/>
    <w:rsid w:val="00005C4F"/>
    <w:rsid w:val="00005E97"/>
    <w:rsid w:val="00010DB4"/>
    <w:rsid w:val="0001159C"/>
    <w:rsid w:val="000116C6"/>
    <w:rsid w:val="000118AC"/>
    <w:rsid w:val="00015E47"/>
    <w:rsid w:val="00020517"/>
    <w:rsid w:val="00024094"/>
    <w:rsid w:val="00024CFE"/>
    <w:rsid w:val="00031B6C"/>
    <w:rsid w:val="000327D0"/>
    <w:rsid w:val="00037EDB"/>
    <w:rsid w:val="00042077"/>
    <w:rsid w:val="00042B8D"/>
    <w:rsid w:val="00044D62"/>
    <w:rsid w:val="0005431A"/>
    <w:rsid w:val="00063712"/>
    <w:rsid w:val="00063F7B"/>
    <w:rsid w:val="00064E26"/>
    <w:rsid w:val="00067424"/>
    <w:rsid w:val="00071670"/>
    <w:rsid w:val="000726B4"/>
    <w:rsid w:val="0007595B"/>
    <w:rsid w:val="00080F8C"/>
    <w:rsid w:val="00081396"/>
    <w:rsid w:val="00081594"/>
    <w:rsid w:val="00082476"/>
    <w:rsid w:val="000842B0"/>
    <w:rsid w:val="00085AFE"/>
    <w:rsid w:val="00086F7D"/>
    <w:rsid w:val="0009016B"/>
    <w:rsid w:val="00091134"/>
    <w:rsid w:val="00093EA3"/>
    <w:rsid w:val="00095F6F"/>
    <w:rsid w:val="000A0359"/>
    <w:rsid w:val="000A2955"/>
    <w:rsid w:val="000A3D7B"/>
    <w:rsid w:val="000A4F0E"/>
    <w:rsid w:val="000A6D07"/>
    <w:rsid w:val="000A7AC8"/>
    <w:rsid w:val="000B4599"/>
    <w:rsid w:val="000B5653"/>
    <w:rsid w:val="000C00E9"/>
    <w:rsid w:val="000C4652"/>
    <w:rsid w:val="000D22C4"/>
    <w:rsid w:val="000D2D9D"/>
    <w:rsid w:val="000D5BFC"/>
    <w:rsid w:val="000D7167"/>
    <w:rsid w:val="000D784D"/>
    <w:rsid w:val="000E587B"/>
    <w:rsid w:val="000E7662"/>
    <w:rsid w:val="000F072D"/>
    <w:rsid w:val="000F4C95"/>
    <w:rsid w:val="000F4F45"/>
    <w:rsid w:val="00100104"/>
    <w:rsid w:val="0010215A"/>
    <w:rsid w:val="001049B7"/>
    <w:rsid w:val="00104AF9"/>
    <w:rsid w:val="00105D4E"/>
    <w:rsid w:val="00105FF8"/>
    <w:rsid w:val="001063A3"/>
    <w:rsid w:val="001065F5"/>
    <w:rsid w:val="00106FE1"/>
    <w:rsid w:val="001076EE"/>
    <w:rsid w:val="001134B3"/>
    <w:rsid w:val="001229E8"/>
    <w:rsid w:val="001238EF"/>
    <w:rsid w:val="00123961"/>
    <w:rsid w:val="0013111F"/>
    <w:rsid w:val="00131957"/>
    <w:rsid w:val="00131DA0"/>
    <w:rsid w:val="0013589A"/>
    <w:rsid w:val="00137EB0"/>
    <w:rsid w:val="00143352"/>
    <w:rsid w:val="00144ED6"/>
    <w:rsid w:val="00147A9B"/>
    <w:rsid w:val="001528E6"/>
    <w:rsid w:val="00152FF4"/>
    <w:rsid w:val="00153B29"/>
    <w:rsid w:val="00153DF6"/>
    <w:rsid w:val="00160E26"/>
    <w:rsid w:val="00165C92"/>
    <w:rsid w:val="00166D6E"/>
    <w:rsid w:val="00167CDC"/>
    <w:rsid w:val="00170ABE"/>
    <w:rsid w:val="00170EB6"/>
    <w:rsid w:val="0017346D"/>
    <w:rsid w:val="001756AF"/>
    <w:rsid w:val="00176F2E"/>
    <w:rsid w:val="00182079"/>
    <w:rsid w:val="0018509A"/>
    <w:rsid w:val="00186C0B"/>
    <w:rsid w:val="0018720F"/>
    <w:rsid w:val="001875FE"/>
    <w:rsid w:val="0019536B"/>
    <w:rsid w:val="00197613"/>
    <w:rsid w:val="001A25FF"/>
    <w:rsid w:val="001A528F"/>
    <w:rsid w:val="001B0548"/>
    <w:rsid w:val="001B068D"/>
    <w:rsid w:val="001B0E9D"/>
    <w:rsid w:val="001B38BD"/>
    <w:rsid w:val="001B4B6B"/>
    <w:rsid w:val="001B60DC"/>
    <w:rsid w:val="001C0FFC"/>
    <w:rsid w:val="001C6187"/>
    <w:rsid w:val="001C70D7"/>
    <w:rsid w:val="001D24B3"/>
    <w:rsid w:val="001D2957"/>
    <w:rsid w:val="001D3407"/>
    <w:rsid w:val="001D5EF9"/>
    <w:rsid w:val="001E5F2B"/>
    <w:rsid w:val="001F0EAC"/>
    <w:rsid w:val="001F1739"/>
    <w:rsid w:val="001F1D49"/>
    <w:rsid w:val="001F57C3"/>
    <w:rsid w:val="001F706C"/>
    <w:rsid w:val="00201E1D"/>
    <w:rsid w:val="002042FF"/>
    <w:rsid w:val="0020516F"/>
    <w:rsid w:val="00207CEF"/>
    <w:rsid w:val="00217C02"/>
    <w:rsid w:val="00220BA5"/>
    <w:rsid w:val="00221D30"/>
    <w:rsid w:val="00223E7D"/>
    <w:rsid w:val="00224373"/>
    <w:rsid w:val="00224C37"/>
    <w:rsid w:val="0022635A"/>
    <w:rsid w:val="00230370"/>
    <w:rsid w:val="00231AA2"/>
    <w:rsid w:val="00233DC7"/>
    <w:rsid w:val="00240A1C"/>
    <w:rsid w:val="00245365"/>
    <w:rsid w:val="00247779"/>
    <w:rsid w:val="00260D53"/>
    <w:rsid w:val="00264FFE"/>
    <w:rsid w:val="0027069B"/>
    <w:rsid w:val="00270AB8"/>
    <w:rsid w:val="00275C0B"/>
    <w:rsid w:val="00276985"/>
    <w:rsid w:val="00280B16"/>
    <w:rsid w:val="0028141B"/>
    <w:rsid w:val="00284073"/>
    <w:rsid w:val="00285815"/>
    <w:rsid w:val="00285BEE"/>
    <w:rsid w:val="0029395C"/>
    <w:rsid w:val="0029533F"/>
    <w:rsid w:val="00297759"/>
    <w:rsid w:val="002A102C"/>
    <w:rsid w:val="002A55D7"/>
    <w:rsid w:val="002A7D84"/>
    <w:rsid w:val="002B0CBD"/>
    <w:rsid w:val="002B24F6"/>
    <w:rsid w:val="002B28B4"/>
    <w:rsid w:val="002B30AF"/>
    <w:rsid w:val="002B351B"/>
    <w:rsid w:val="002B3558"/>
    <w:rsid w:val="002C014B"/>
    <w:rsid w:val="002C0346"/>
    <w:rsid w:val="002C0A77"/>
    <w:rsid w:val="002C3B71"/>
    <w:rsid w:val="002D155B"/>
    <w:rsid w:val="002D231B"/>
    <w:rsid w:val="002D25B8"/>
    <w:rsid w:val="002D4462"/>
    <w:rsid w:val="002D4C72"/>
    <w:rsid w:val="002D72A8"/>
    <w:rsid w:val="002E48A3"/>
    <w:rsid w:val="002F0D1B"/>
    <w:rsid w:val="002F4F58"/>
    <w:rsid w:val="002F5900"/>
    <w:rsid w:val="002F6AD4"/>
    <w:rsid w:val="003022F1"/>
    <w:rsid w:val="0030236B"/>
    <w:rsid w:val="0030648A"/>
    <w:rsid w:val="003178AB"/>
    <w:rsid w:val="003324A1"/>
    <w:rsid w:val="0033344A"/>
    <w:rsid w:val="00333DA2"/>
    <w:rsid w:val="00337DEE"/>
    <w:rsid w:val="00342ACD"/>
    <w:rsid w:val="00342FD5"/>
    <w:rsid w:val="0035610F"/>
    <w:rsid w:val="00357918"/>
    <w:rsid w:val="0036202B"/>
    <w:rsid w:val="00365EFE"/>
    <w:rsid w:val="0037019C"/>
    <w:rsid w:val="00373F4C"/>
    <w:rsid w:val="00374568"/>
    <w:rsid w:val="00376327"/>
    <w:rsid w:val="00380B19"/>
    <w:rsid w:val="00383614"/>
    <w:rsid w:val="00385FC7"/>
    <w:rsid w:val="003878E8"/>
    <w:rsid w:val="00392D21"/>
    <w:rsid w:val="00393290"/>
    <w:rsid w:val="003941C8"/>
    <w:rsid w:val="00394FFA"/>
    <w:rsid w:val="00395F47"/>
    <w:rsid w:val="00396C81"/>
    <w:rsid w:val="00396E96"/>
    <w:rsid w:val="003A0367"/>
    <w:rsid w:val="003A0F98"/>
    <w:rsid w:val="003A4D51"/>
    <w:rsid w:val="003B01BE"/>
    <w:rsid w:val="003B0887"/>
    <w:rsid w:val="003B32F6"/>
    <w:rsid w:val="003B3B4E"/>
    <w:rsid w:val="003B708E"/>
    <w:rsid w:val="003C7499"/>
    <w:rsid w:val="003D49FC"/>
    <w:rsid w:val="003D59A2"/>
    <w:rsid w:val="003D793B"/>
    <w:rsid w:val="003E1A03"/>
    <w:rsid w:val="003E1CE5"/>
    <w:rsid w:val="003E217B"/>
    <w:rsid w:val="003E3FAF"/>
    <w:rsid w:val="003F7C16"/>
    <w:rsid w:val="00406429"/>
    <w:rsid w:val="00406514"/>
    <w:rsid w:val="004070C2"/>
    <w:rsid w:val="00410107"/>
    <w:rsid w:val="0041094B"/>
    <w:rsid w:val="00413B3D"/>
    <w:rsid w:val="0042028D"/>
    <w:rsid w:val="0042648E"/>
    <w:rsid w:val="00431FF1"/>
    <w:rsid w:val="00434001"/>
    <w:rsid w:val="00435B86"/>
    <w:rsid w:val="004367CF"/>
    <w:rsid w:val="00444DC5"/>
    <w:rsid w:val="004529E1"/>
    <w:rsid w:val="00461E98"/>
    <w:rsid w:val="0046387F"/>
    <w:rsid w:val="00465C9F"/>
    <w:rsid w:val="00470FC8"/>
    <w:rsid w:val="00472293"/>
    <w:rsid w:val="004723F8"/>
    <w:rsid w:val="00472502"/>
    <w:rsid w:val="00473868"/>
    <w:rsid w:val="00483338"/>
    <w:rsid w:val="00486D17"/>
    <w:rsid w:val="0049216D"/>
    <w:rsid w:val="00493105"/>
    <w:rsid w:val="0049326F"/>
    <w:rsid w:val="004936D2"/>
    <w:rsid w:val="004957D3"/>
    <w:rsid w:val="00497C71"/>
    <w:rsid w:val="004A0BB5"/>
    <w:rsid w:val="004A0D8E"/>
    <w:rsid w:val="004A108F"/>
    <w:rsid w:val="004A1B02"/>
    <w:rsid w:val="004A7D89"/>
    <w:rsid w:val="004B56BC"/>
    <w:rsid w:val="004B69C5"/>
    <w:rsid w:val="004C372C"/>
    <w:rsid w:val="004C4412"/>
    <w:rsid w:val="004C5DB7"/>
    <w:rsid w:val="004D4671"/>
    <w:rsid w:val="004D7D24"/>
    <w:rsid w:val="004D7FC2"/>
    <w:rsid w:val="004E6DA8"/>
    <w:rsid w:val="004F0C98"/>
    <w:rsid w:val="004F47B1"/>
    <w:rsid w:val="004F6993"/>
    <w:rsid w:val="00504AC3"/>
    <w:rsid w:val="00510D5E"/>
    <w:rsid w:val="00512978"/>
    <w:rsid w:val="005158AE"/>
    <w:rsid w:val="00520D91"/>
    <w:rsid w:val="0052663E"/>
    <w:rsid w:val="00526AD9"/>
    <w:rsid w:val="00531FED"/>
    <w:rsid w:val="00532EFF"/>
    <w:rsid w:val="00534C1B"/>
    <w:rsid w:val="00543A78"/>
    <w:rsid w:val="00543DE6"/>
    <w:rsid w:val="00556CE1"/>
    <w:rsid w:val="005620A6"/>
    <w:rsid w:val="0056373E"/>
    <w:rsid w:val="0056434B"/>
    <w:rsid w:val="00567DCA"/>
    <w:rsid w:val="00571252"/>
    <w:rsid w:val="00574975"/>
    <w:rsid w:val="00581C1A"/>
    <w:rsid w:val="00582B24"/>
    <w:rsid w:val="00582E5D"/>
    <w:rsid w:val="00586EC4"/>
    <w:rsid w:val="0059081C"/>
    <w:rsid w:val="00593127"/>
    <w:rsid w:val="00595BB1"/>
    <w:rsid w:val="005966DD"/>
    <w:rsid w:val="005A060C"/>
    <w:rsid w:val="005A3773"/>
    <w:rsid w:val="005A64DF"/>
    <w:rsid w:val="005B1AAE"/>
    <w:rsid w:val="005B1C58"/>
    <w:rsid w:val="005B1EB6"/>
    <w:rsid w:val="005B556F"/>
    <w:rsid w:val="005B6654"/>
    <w:rsid w:val="005B6957"/>
    <w:rsid w:val="005C01A3"/>
    <w:rsid w:val="005C417A"/>
    <w:rsid w:val="005C671F"/>
    <w:rsid w:val="005D138A"/>
    <w:rsid w:val="005D22BF"/>
    <w:rsid w:val="005D54A9"/>
    <w:rsid w:val="005D5FB1"/>
    <w:rsid w:val="005D7267"/>
    <w:rsid w:val="005D7C04"/>
    <w:rsid w:val="005E400A"/>
    <w:rsid w:val="005E732E"/>
    <w:rsid w:val="005F019E"/>
    <w:rsid w:val="0061372D"/>
    <w:rsid w:val="006237BC"/>
    <w:rsid w:val="0062603B"/>
    <w:rsid w:val="00627285"/>
    <w:rsid w:val="00632C94"/>
    <w:rsid w:val="00632DBA"/>
    <w:rsid w:val="0064115D"/>
    <w:rsid w:val="0064122F"/>
    <w:rsid w:val="00641386"/>
    <w:rsid w:val="00641A1B"/>
    <w:rsid w:val="00643772"/>
    <w:rsid w:val="00643993"/>
    <w:rsid w:val="00643EAC"/>
    <w:rsid w:val="00650466"/>
    <w:rsid w:val="00651F12"/>
    <w:rsid w:val="00660F98"/>
    <w:rsid w:val="00662628"/>
    <w:rsid w:val="006675C8"/>
    <w:rsid w:val="006705DB"/>
    <w:rsid w:val="00670A40"/>
    <w:rsid w:val="0067138A"/>
    <w:rsid w:val="00672C17"/>
    <w:rsid w:val="00675684"/>
    <w:rsid w:val="00677D97"/>
    <w:rsid w:val="006808AD"/>
    <w:rsid w:val="00681E50"/>
    <w:rsid w:val="00682C9A"/>
    <w:rsid w:val="0068418B"/>
    <w:rsid w:val="00690565"/>
    <w:rsid w:val="0069551A"/>
    <w:rsid w:val="00695BCB"/>
    <w:rsid w:val="006A06A7"/>
    <w:rsid w:val="006A3AEB"/>
    <w:rsid w:val="006A47AD"/>
    <w:rsid w:val="006A598D"/>
    <w:rsid w:val="006B2CDD"/>
    <w:rsid w:val="006B34D6"/>
    <w:rsid w:val="006B4B2D"/>
    <w:rsid w:val="006C3250"/>
    <w:rsid w:val="006C3A4A"/>
    <w:rsid w:val="006D4DB8"/>
    <w:rsid w:val="006E2022"/>
    <w:rsid w:val="006F3AD6"/>
    <w:rsid w:val="006F3B80"/>
    <w:rsid w:val="006F3F38"/>
    <w:rsid w:val="006F7A10"/>
    <w:rsid w:val="00707201"/>
    <w:rsid w:val="00707F5B"/>
    <w:rsid w:val="007137FF"/>
    <w:rsid w:val="00717974"/>
    <w:rsid w:val="00723C6C"/>
    <w:rsid w:val="007300C3"/>
    <w:rsid w:val="00731029"/>
    <w:rsid w:val="0073160C"/>
    <w:rsid w:val="007327E7"/>
    <w:rsid w:val="007354C3"/>
    <w:rsid w:val="007446CC"/>
    <w:rsid w:val="00744D6A"/>
    <w:rsid w:val="00754787"/>
    <w:rsid w:val="00756591"/>
    <w:rsid w:val="007579B9"/>
    <w:rsid w:val="0077281B"/>
    <w:rsid w:val="00773331"/>
    <w:rsid w:val="00773684"/>
    <w:rsid w:val="00783A2B"/>
    <w:rsid w:val="00787451"/>
    <w:rsid w:val="007902F8"/>
    <w:rsid w:val="00790A87"/>
    <w:rsid w:val="007932EF"/>
    <w:rsid w:val="00793F9E"/>
    <w:rsid w:val="007A01A8"/>
    <w:rsid w:val="007A053C"/>
    <w:rsid w:val="007A648E"/>
    <w:rsid w:val="007A670F"/>
    <w:rsid w:val="007B135B"/>
    <w:rsid w:val="007C138D"/>
    <w:rsid w:val="007C7025"/>
    <w:rsid w:val="007D427D"/>
    <w:rsid w:val="007E0361"/>
    <w:rsid w:val="007E05B0"/>
    <w:rsid w:val="007E175A"/>
    <w:rsid w:val="007E1C2D"/>
    <w:rsid w:val="007E4432"/>
    <w:rsid w:val="007E4E52"/>
    <w:rsid w:val="007E545B"/>
    <w:rsid w:val="007E56E4"/>
    <w:rsid w:val="007F275C"/>
    <w:rsid w:val="007F338D"/>
    <w:rsid w:val="007F4CEF"/>
    <w:rsid w:val="007F5BDE"/>
    <w:rsid w:val="007F6470"/>
    <w:rsid w:val="007F7D6E"/>
    <w:rsid w:val="00801237"/>
    <w:rsid w:val="0080283B"/>
    <w:rsid w:val="00803C82"/>
    <w:rsid w:val="0080428D"/>
    <w:rsid w:val="0080757E"/>
    <w:rsid w:val="008157DE"/>
    <w:rsid w:val="008206C4"/>
    <w:rsid w:val="00821D14"/>
    <w:rsid w:val="008223A4"/>
    <w:rsid w:val="00822440"/>
    <w:rsid w:val="00823C90"/>
    <w:rsid w:val="008259F5"/>
    <w:rsid w:val="008269FF"/>
    <w:rsid w:val="00836093"/>
    <w:rsid w:val="00841888"/>
    <w:rsid w:val="00842555"/>
    <w:rsid w:val="008427AE"/>
    <w:rsid w:val="00845524"/>
    <w:rsid w:val="00846A10"/>
    <w:rsid w:val="00847833"/>
    <w:rsid w:val="0085070B"/>
    <w:rsid w:val="00851D33"/>
    <w:rsid w:val="00860855"/>
    <w:rsid w:val="00862E2C"/>
    <w:rsid w:val="00865DC1"/>
    <w:rsid w:val="00873F97"/>
    <w:rsid w:val="00874D22"/>
    <w:rsid w:val="008756EA"/>
    <w:rsid w:val="00876246"/>
    <w:rsid w:val="00887F3A"/>
    <w:rsid w:val="00896EBE"/>
    <w:rsid w:val="008A1163"/>
    <w:rsid w:val="008A2120"/>
    <w:rsid w:val="008A2914"/>
    <w:rsid w:val="008A4408"/>
    <w:rsid w:val="008A4E10"/>
    <w:rsid w:val="008A57B4"/>
    <w:rsid w:val="008A6405"/>
    <w:rsid w:val="008A6D18"/>
    <w:rsid w:val="008B197A"/>
    <w:rsid w:val="008B1AF1"/>
    <w:rsid w:val="008B36E0"/>
    <w:rsid w:val="008C1F90"/>
    <w:rsid w:val="008C65C6"/>
    <w:rsid w:val="008D2691"/>
    <w:rsid w:val="008D2778"/>
    <w:rsid w:val="008D278D"/>
    <w:rsid w:val="008D38CB"/>
    <w:rsid w:val="008D4F4B"/>
    <w:rsid w:val="008D6638"/>
    <w:rsid w:val="008E4D8E"/>
    <w:rsid w:val="008E5E91"/>
    <w:rsid w:val="008F049D"/>
    <w:rsid w:val="008F0A16"/>
    <w:rsid w:val="008F0FCD"/>
    <w:rsid w:val="008F1B86"/>
    <w:rsid w:val="00900A97"/>
    <w:rsid w:val="009032DE"/>
    <w:rsid w:val="009043C2"/>
    <w:rsid w:val="00904C98"/>
    <w:rsid w:val="00910C25"/>
    <w:rsid w:val="009119E8"/>
    <w:rsid w:val="009120D9"/>
    <w:rsid w:val="00915C0B"/>
    <w:rsid w:val="00917A73"/>
    <w:rsid w:val="009277AA"/>
    <w:rsid w:val="00930A17"/>
    <w:rsid w:val="009348DD"/>
    <w:rsid w:val="00940188"/>
    <w:rsid w:val="00943B3C"/>
    <w:rsid w:val="00943E87"/>
    <w:rsid w:val="00943F3B"/>
    <w:rsid w:val="009443BC"/>
    <w:rsid w:val="00962FD1"/>
    <w:rsid w:val="00964180"/>
    <w:rsid w:val="00964E24"/>
    <w:rsid w:val="009659E1"/>
    <w:rsid w:val="009665DB"/>
    <w:rsid w:val="009719F0"/>
    <w:rsid w:val="00982731"/>
    <w:rsid w:val="0099747A"/>
    <w:rsid w:val="009A69EC"/>
    <w:rsid w:val="009A78B8"/>
    <w:rsid w:val="009A7F01"/>
    <w:rsid w:val="009B05AF"/>
    <w:rsid w:val="009B0CB8"/>
    <w:rsid w:val="009B103D"/>
    <w:rsid w:val="009B1760"/>
    <w:rsid w:val="009B2CAD"/>
    <w:rsid w:val="009B3862"/>
    <w:rsid w:val="009C1861"/>
    <w:rsid w:val="009C443E"/>
    <w:rsid w:val="009C4BB9"/>
    <w:rsid w:val="009C616A"/>
    <w:rsid w:val="009C715A"/>
    <w:rsid w:val="009D020C"/>
    <w:rsid w:val="009D545A"/>
    <w:rsid w:val="009E3FD6"/>
    <w:rsid w:val="00A028A9"/>
    <w:rsid w:val="00A02C91"/>
    <w:rsid w:val="00A10583"/>
    <w:rsid w:val="00A11C52"/>
    <w:rsid w:val="00A1494B"/>
    <w:rsid w:val="00A1535E"/>
    <w:rsid w:val="00A17C51"/>
    <w:rsid w:val="00A23757"/>
    <w:rsid w:val="00A24A48"/>
    <w:rsid w:val="00A24B85"/>
    <w:rsid w:val="00A2753B"/>
    <w:rsid w:val="00A3244F"/>
    <w:rsid w:val="00A328D3"/>
    <w:rsid w:val="00A348EE"/>
    <w:rsid w:val="00A34AC6"/>
    <w:rsid w:val="00A406D0"/>
    <w:rsid w:val="00A40D15"/>
    <w:rsid w:val="00A41585"/>
    <w:rsid w:val="00A42AD8"/>
    <w:rsid w:val="00A47B1A"/>
    <w:rsid w:val="00A47C52"/>
    <w:rsid w:val="00A52057"/>
    <w:rsid w:val="00A52E0D"/>
    <w:rsid w:val="00A537A1"/>
    <w:rsid w:val="00A53EC0"/>
    <w:rsid w:val="00A573B1"/>
    <w:rsid w:val="00A61D51"/>
    <w:rsid w:val="00A64380"/>
    <w:rsid w:val="00A70ACD"/>
    <w:rsid w:val="00A75729"/>
    <w:rsid w:val="00A75D8F"/>
    <w:rsid w:val="00A80BAC"/>
    <w:rsid w:val="00A82684"/>
    <w:rsid w:val="00A85A34"/>
    <w:rsid w:val="00A86570"/>
    <w:rsid w:val="00A87DE3"/>
    <w:rsid w:val="00A913DB"/>
    <w:rsid w:val="00A97B15"/>
    <w:rsid w:val="00AA1264"/>
    <w:rsid w:val="00AA63C0"/>
    <w:rsid w:val="00AB4B53"/>
    <w:rsid w:val="00AB53A1"/>
    <w:rsid w:val="00AB5E13"/>
    <w:rsid w:val="00AC090D"/>
    <w:rsid w:val="00AC5B1E"/>
    <w:rsid w:val="00AD09B7"/>
    <w:rsid w:val="00AE1366"/>
    <w:rsid w:val="00AE680D"/>
    <w:rsid w:val="00AE7FD1"/>
    <w:rsid w:val="00AF11CA"/>
    <w:rsid w:val="00AF441A"/>
    <w:rsid w:val="00B04E1F"/>
    <w:rsid w:val="00B10E34"/>
    <w:rsid w:val="00B21845"/>
    <w:rsid w:val="00B27B93"/>
    <w:rsid w:val="00B37D54"/>
    <w:rsid w:val="00B41023"/>
    <w:rsid w:val="00B432D0"/>
    <w:rsid w:val="00B46EB5"/>
    <w:rsid w:val="00B50DB6"/>
    <w:rsid w:val="00B52032"/>
    <w:rsid w:val="00B5214E"/>
    <w:rsid w:val="00B54DAB"/>
    <w:rsid w:val="00B565E5"/>
    <w:rsid w:val="00B617AA"/>
    <w:rsid w:val="00B623AA"/>
    <w:rsid w:val="00B6638D"/>
    <w:rsid w:val="00B70A3E"/>
    <w:rsid w:val="00B73D4F"/>
    <w:rsid w:val="00B75D9E"/>
    <w:rsid w:val="00B77763"/>
    <w:rsid w:val="00B80BF4"/>
    <w:rsid w:val="00B836DA"/>
    <w:rsid w:val="00B86EF0"/>
    <w:rsid w:val="00B8782E"/>
    <w:rsid w:val="00B92AD8"/>
    <w:rsid w:val="00B97A47"/>
    <w:rsid w:val="00BA141C"/>
    <w:rsid w:val="00BA2AF0"/>
    <w:rsid w:val="00BA476F"/>
    <w:rsid w:val="00BB1BA0"/>
    <w:rsid w:val="00BB3307"/>
    <w:rsid w:val="00BB39BD"/>
    <w:rsid w:val="00BC1AD4"/>
    <w:rsid w:val="00BC7529"/>
    <w:rsid w:val="00BD0751"/>
    <w:rsid w:val="00BD23BC"/>
    <w:rsid w:val="00BD48EB"/>
    <w:rsid w:val="00BD6835"/>
    <w:rsid w:val="00BE0D0A"/>
    <w:rsid w:val="00BE7ED8"/>
    <w:rsid w:val="00BF3BB5"/>
    <w:rsid w:val="00BF533B"/>
    <w:rsid w:val="00C033F2"/>
    <w:rsid w:val="00C041F2"/>
    <w:rsid w:val="00C0733B"/>
    <w:rsid w:val="00C12301"/>
    <w:rsid w:val="00C129F9"/>
    <w:rsid w:val="00C12C6D"/>
    <w:rsid w:val="00C179EB"/>
    <w:rsid w:val="00C222EB"/>
    <w:rsid w:val="00C231CC"/>
    <w:rsid w:val="00C236A4"/>
    <w:rsid w:val="00C25542"/>
    <w:rsid w:val="00C33276"/>
    <w:rsid w:val="00C439C2"/>
    <w:rsid w:val="00C44CD8"/>
    <w:rsid w:val="00C44DBF"/>
    <w:rsid w:val="00C455B9"/>
    <w:rsid w:val="00C46748"/>
    <w:rsid w:val="00C52470"/>
    <w:rsid w:val="00C52505"/>
    <w:rsid w:val="00C53C3A"/>
    <w:rsid w:val="00C5476C"/>
    <w:rsid w:val="00C56488"/>
    <w:rsid w:val="00C57219"/>
    <w:rsid w:val="00C6078B"/>
    <w:rsid w:val="00C60D66"/>
    <w:rsid w:val="00C63970"/>
    <w:rsid w:val="00C67F37"/>
    <w:rsid w:val="00C70FDB"/>
    <w:rsid w:val="00C81976"/>
    <w:rsid w:val="00C84817"/>
    <w:rsid w:val="00C90267"/>
    <w:rsid w:val="00C92087"/>
    <w:rsid w:val="00C942E4"/>
    <w:rsid w:val="00C977B2"/>
    <w:rsid w:val="00C9799B"/>
    <w:rsid w:val="00CA1EF6"/>
    <w:rsid w:val="00CB2AF0"/>
    <w:rsid w:val="00CB5AB1"/>
    <w:rsid w:val="00CC1132"/>
    <w:rsid w:val="00CC462E"/>
    <w:rsid w:val="00CC5194"/>
    <w:rsid w:val="00CC7743"/>
    <w:rsid w:val="00CD0FBF"/>
    <w:rsid w:val="00CD1B48"/>
    <w:rsid w:val="00CD33F6"/>
    <w:rsid w:val="00CD6600"/>
    <w:rsid w:val="00CE2F17"/>
    <w:rsid w:val="00CE3859"/>
    <w:rsid w:val="00CE3F85"/>
    <w:rsid w:val="00CE4236"/>
    <w:rsid w:val="00CE429B"/>
    <w:rsid w:val="00CE42F5"/>
    <w:rsid w:val="00CE7353"/>
    <w:rsid w:val="00CF43A1"/>
    <w:rsid w:val="00CF4ACB"/>
    <w:rsid w:val="00D04A48"/>
    <w:rsid w:val="00D15B27"/>
    <w:rsid w:val="00D20381"/>
    <w:rsid w:val="00D22F94"/>
    <w:rsid w:val="00D24D36"/>
    <w:rsid w:val="00D334BC"/>
    <w:rsid w:val="00D33D32"/>
    <w:rsid w:val="00D41F76"/>
    <w:rsid w:val="00D44730"/>
    <w:rsid w:val="00D458E2"/>
    <w:rsid w:val="00D54466"/>
    <w:rsid w:val="00D55368"/>
    <w:rsid w:val="00D5619D"/>
    <w:rsid w:val="00D565DF"/>
    <w:rsid w:val="00D607E9"/>
    <w:rsid w:val="00D62028"/>
    <w:rsid w:val="00D63A22"/>
    <w:rsid w:val="00D63B20"/>
    <w:rsid w:val="00D645B0"/>
    <w:rsid w:val="00D65C0A"/>
    <w:rsid w:val="00D71295"/>
    <w:rsid w:val="00D773FF"/>
    <w:rsid w:val="00D83A32"/>
    <w:rsid w:val="00D86EF0"/>
    <w:rsid w:val="00D96E12"/>
    <w:rsid w:val="00DA035A"/>
    <w:rsid w:val="00DA0B9F"/>
    <w:rsid w:val="00DA15A2"/>
    <w:rsid w:val="00DA2770"/>
    <w:rsid w:val="00DA68DF"/>
    <w:rsid w:val="00DB044F"/>
    <w:rsid w:val="00DC10E2"/>
    <w:rsid w:val="00DC1140"/>
    <w:rsid w:val="00DC19AC"/>
    <w:rsid w:val="00DD0974"/>
    <w:rsid w:val="00DD1B43"/>
    <w:rsid w:val="00DD28BE"/>
    <w:rsid w:val="00DE273B"/>
    <w:rsid w:val="00DE43EC"/>
    <w:rsid w:val="00DE533D"/>
    <w:rsid w:val="00DE63BB"/>
    <w:rsid w:val="00DF131A"/>
    <w:rsid w:val="00DF3422"/>
    <w:rsid w:val="00E003C6"/>
    <w:rsid w:val="00E01519"/>
    <w:rsid w:val="00E015AD"/>
    <w:rsid w:val="00E020CD"/>
    <w:rsid w:val="00E023DF"/>
    <w:rsid w:val="00E05CDC"/>
    <w:rsid w:val="00E10B52"/>
    <w:rsid w:val="00E126EC"/>
    <w:rsid w:val="00E14EC6"/>
    <w:rsid w:val="00E231CD"/>
    <w:rsid w:val="00E27BDE"/>
    <w:rsid w:val="00E300DD"/>
    <w:rsid w:val="00E31D41"/>
    <w:rsid w:val="00E32F35"/>
    <w:rsid w:val="00E35FF7"/>
    <w:rsid w:val="00E418DB"/>
    <w:rsid w:val="00E43299"/>
    <w:rsid w:val="00E43BDA"/>
    <w:rsid w:val="00E46EF2"/>
    <w:rsid w:val="00E4792C"/>
    <w:rsid w:val="00E516B8"/>
    <w:rsid w:val="00E53E57"/>
    <w:rsid w:val="00E6034D"/>
    <w:rsid w:val="00E66EB7"/>
    <w:rsid w:val="00E70B7F"/>
    <w:rsid w:val="00E73854"/>
    <w:rsid w:val="00E801E8"/>
    <w:rsid w:val="00E84AB9"/>
    <w:rsid w:val="00E84BF6"/>
    <w:rsid w:val="00E95E0E"/>
    <w:rsid w:val="00EA14FF"/>
    <w:rsid w:val="00EA1C71"/>
    <w:rsid w:val="00EA3986"/>
    <w:rsid w:val="00EA3E49"/>
    <w:rsid w:val="00EA4C35"/>
    <w:rsid w:val="00EA5B96"/>
    <w:rsid w:val="00EA5CDF"/>
    <w:rsid w:val="00EA7072"/>
    <w:rsid w:val="00EA7CB0"/>
    <w:rsid w:val="00EC0D42"/>
    <w:rsid w:val="00EC1087"/>
    <w:rsid w:val="00EC32AE"/>
    <w:rsid w:val="00EC6536"/>
    <w:rsid w:val="00ED7FDA"/>
    <w:rsid w:val="00EE1106"/>
    <w:rsid w:val="00EE1A99"/>
    <w:rsid w:val="00EE2802"/>
    <w:rsid w:val="00EE2BC6"/>
    <w:rsid w:val="00EE2F1D"/>
    <w:rsid w:val="00EE351D"/>
    <w:rsid w:val="00EE35BB"/>
    <w:rsid w:val="00EF0717"/>
    <w:rsid w:val="00EF2581"/>
    <w:rsid w:val="00EF38B9"/>
    <w:rsid w:val="00EF53E6"/>
    <w:rsid w:val="00EF644F"/>
    <w:rsid w:val="00EF746D"/>
    <w:rsid w:val="00F00868"/>
    <w:rsid w:val="00F014EC"/>
    <w:rsid w:val="00F020C5"/>
    <w:rsid w:val="00F02339"/>
    <w:rsid w:val="00F03C95"/>
    <w:rsid w:val="00F043DE"/>
    <w:rsid w:val="00F06C02"/>
    <w:rsid w:val="00F07878"/>
    <w:rsid w:val="00F107FA"/>
    <w:rsid w:val="00F1096D"/>
    <w:rsid w:val="00F10BB1"/>
    <w:rsid w:val="00F10F72"/>
    <w:rsid w:val="00F158F4"/>
    <w:rsid w:val="00F231A9"/>
    <w:rsid w:val="00F26A50"/>
    <w:rsid w:val="00F30CC6"/>
    <w:rsid w:val="00F320B0"/>
    <w:rsid w:val="00F32EEA"/>
    <w:rsid w:val="00F35F56"/>
    <w:rsid w:val="00F40736"/>
    <w:rsid w:val="00F47659"/>
    <w:rsid w:val="00F55635"/>
    <w:rsid w:val="00F55702"/>
    <w:rsid w:val="00F56865"/>
    <w:rsid w:val="00F56CD8"/>
    <w:rsid w:val="00F57B2D"/>
    <w:rsid w:val="00F61476"/>
    <w:rsid w:val="00F618EA"/>
    <w:rsid w:val="00F62D0F"/>
    <w:rsid w:val="00F633AD"/>
    <w:rsid w:val="00F70B1F"/>
    <w:rsid w:val="00F70D81"/>
    <w:rsid w:val="00F72756"/>
    <w:rsid w:val="00F765DC"/>
    <w:rsid w:val="00F775EF"/>
    <w:rsid w:val="00F80B8B"/>
    <w:rsid w:val="00F80D7D"/>
    <w:rsid w:val="00F819B5"/>
    <w:rsid w:val="00F81D2E"/>
    <w:rsid w:val="00F82113"/>
    <w:rsid w:val="00F828DD"/>
    <w:rsid w:val="00F83200"/>
    <w:rsid w:val="00F923B5"/>
    <w:rsid w:val="00F92AD3"/>
    <w:rsid w:val="00F92EFF"/>
    <w:rsid w:val="00F94191"/>
    <w:rsid w:val="00F9616D"/>
    <w:rsid w:val="00F966FE"/>
    <w:rsid w:val="00FA0638"/>
    <w:rsid w:val="00FA10F4"/>
    <w:rsid w:val="00FA45DD"/>
    <w:rsid w:val="00FA4CF5"/>
    <w:rsid w:val="00FA5FE5"/>
    <w:rsid w:val="00FA6368"/>
    <w:rsid w:val="00FB649C"/>
    <w:rsid w:val="00FC38F8"/>
    <w:rsid w:val="00FC71F5"/>
    <w:rsid w:val="00FD33AF"/>
    <w:rsid w:val="00FE1699"/>
    <w:rsid w:val="00FE16AC"/>
    <w:rsid w:val="00FE7D43"/>
    <w:rsid w:val="00FE7EB5"/>
    <w:rsid w:val="00FF5D3A"/>
    <w:rsid w:val="030EF94E"/>
    <w:rsid w:val="092D8FF8"/>
    <w:rsid w:val="0E26356A"/>
    <w:rsid w:val="127F0945"/>
    <w:rsid w:val="1951F593"/>
    <w:rsid w:val="1A98ACEC"/>
    <w:rsid w:val="1B2E1302"/>
    <w:rsid w:val="21640EA2"/>
    <w:rsid w:val="3799C876"/>
    <w:rsid w:val="3E51FA1D"/>
    <w:rsid w:val="3EE298F1"/>
    <w:rsid w:val="41BFC7B9"/>
    <w:rsid w:val="427022B0"/>
    <w:rsid w:val="47B68049"/>
    <w:rsid w:val="4971DA0E"/>
    <w:rsid w:val="4B79F111"/>
    <w:rsid w:val="4BFD1649"/>
    <w:rsid w:val="4FD1E442"/>
    <w:rsid w:val="5616D5A1"/>
    <w:rsid w:val="57440CEF"/>
    <w:rsid w:val="61CF4BB6"/>
    <w:rsid w:val="6338FD3A"/>
    <w:rsid w:val="63C11008"/>
    <w:rsid w:val="6775117B"/>
    <w:rsid w:val="7A1F9D7D"/>
    <w:rsid w:val="7E92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AA3CA587-02F3-4A9F-AF10-2B3A8743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t-P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3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3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3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3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A10F4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ListBullet">
    <w:name w:val="List Bullet"/>
    <w:basedOn w:val="Normal"/>
    <w:uiPriority w:val="99"/>
    <w:semiHidden/>
    <w:unhideWhenUsed/>
    <w:rsid w:val="00F8320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8320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8320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83200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34C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4C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4C1B"/>
    <w:rPr>
      <w:rFonts w:ascii="Times New Roman" w:hAnsi="Times New Roman" w:cs="Times New Roma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1B"/>
    <w:rPr>
      <w:rFonts w:ascii="Times New Roman" w:hAnsi="Times New Roman" w:cs="Times New Roman"/>
      <w:b/>
      <w:bCs/>
      <w:sz w:val="20"/>
      <w:szCs w:val="20"/>
      <w:lang w:val="pt-PT"/>
    </w:rPr>
  </w:style>
  <w:style w:type="character" w:styleId="Hyperlink">
    <w:name w:val="Hyperlink"/>
    <w:basedOn w:val="DefaultParagraphFont"/>
    <w:uiPriority w:val="99"/>
    <w:unhideWhenUsed/>
    <w:rsid w:val="00153B2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E7353"/>
    <w:rPr>
      <w:color w:val="605E5C"/>
      <w:shd w:val="clear" w:color="auto" w:fill="E1DFDD"/>
    </w:rPr>
  </w:style>
  <w:style w:type="character" w:customStyle="1" w:styleId="Mention">
    <w:name w:val="Mention"/>
    <w:basedOn w:val="DefaultParagraphFont"/>
    <w:uiPriority w:val="99"/>
    <w:unhideWhenUsed/>
    <w:rsid w:val="00C53C3A"/>
    <w:rPr>
      <w:color w:val="2B579A"/>
      <w:shd w:val="clear" w:color="auto" w:fill="E1DFDD"/>
    </w:rPr>
  </w:style>
  <w:style w:type="paragraph" w:customStyle="1" w:styleId="pf0">
    <w:name w:val="pf0"/>
    <w:basedOn w:val="Normal"/>
    <w:rsid w:val="002042FF"/>
    <w:pPr>
      <w:spacing w:before="100" w:beforeAutospacing="1" w:after="100" w:afterAutospacing="1"/>
      <w:jc w:val="center"/>
    </w:pPr>
    <w:rPr>
      <w:rFonts w:eastAsia="Times New Roman"/>
      <w:szCs w:val="24"/>
      <w:lang w:eastAsia="en-IE"/>
    </w:rPr>
  </w:style>
  <w:style w:type="character" w:customStyle="1" w:styleId="cf01">
    <w:name w:val="cf01"/>
    <w:basedOn w:val="DefaultParagraphFont"/>
    <w:rsid w:val="002042FF"/>
    <w:rPr>
      <w:rFonts w:ascii="Segoe UI" w:hAnsi="Segoe UI" w:cs="Segoe UI" w:hint="default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010DB4"/>
    <w:rPr>
      <w:rFonts w:ascii="Times New Roman" w:hAnsi="Times New Roman" w:cs="Times New Roman"/>
      <w:sz w:val="24"/>
      <w:lang w:val="pt-PT"/>
    </w:rPr>
  </w:style>
  <w:style w:type="character" w:customStyle="1" w:styleId="FooterChar">
    <w:name w:val="Footer Char"/>
    <w:basedOn w:val="DefaultParagraphFont"/>
    <w:link w:val="Footer"/>
    <w:uiPriority w:val="99"/>
    <w:rsid w:val="00010DB4"/>
    <w:rPr>
      <w:rFonts w:ascii="Times New Roman" w:hAnsi="Times New Roman" w:cs="Times New Roman"/>
      <w:sz w:val="24"/>
      <w:lang w:val="pt-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pt-PT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pt-PT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pt-PT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pt-PT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pt-PT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pt-PT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010DB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010DB4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010DB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6"/>
      </w:numPr>
    </w:pPr>
  </w:style>
  <w:style w:type="paragraph" w:customStyle="1" w:styleId="Tiret1">
    <w:name w:val="Tiret 1"/>
    <w:basedOn w:val="Point1"/>
    <w:pPr>
      <w:numPr>
        <w:numId w:val="7"/>
      </w:numPr>
    </w:pPr>
  </w:style>
  <w:style w:type="paragraph" w:customStyle="1" w:styleId="Tiret2">
    <w:name w:val="Tiret 2"/>
    <w:basedOn w:val="Point2"/>
    <w:pPr>
      <w:numPr>
        <w:numId w:val="8"/>
      </w:numPr>
    </w:pPr>
  </w:style>
  <w:style w:type="paragraph" w:customStyle="1" w:styleId="Tiret3">
    <w:name w:val="Tiret 3"/>
    <w:basedOn w:val="Point3"/>
    <w:pPr>
      <w:numPr>
        <w:numId w:val="9"/>
      </w:numPr>
    </w:pPr>
  </w:style>
  <w:style w:type="paragraph" w:customStyle="1" w:styleId="Tiret4">
    <w:name w:val="Tiret 4"/>
    <w:basedOn w:val="Point4"/>
    <w:pPr>
      <w:numPr>
        <w:numId w:val="10"/>
      </w:numPr>
    </w:pPr>
  </w:style>
  <w:style w:type="paragraph" w:customStyle="1" w:styleId="Tiret5">
    <w:name w:val="Tiret 5"/>
    <w:basedOn w:val="Point5"/>
    <w:pPr>
      <w:numPr>
        <w:numId w:val="1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2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2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2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4"/>
      </w:numPr>
    </w:pPr>
  </w:style>
  <w:style w:type="paragraph" w:customStyle="1" w:styleId="Point1number">
    <w:name w:val="Point 1 (number)"/>
    <w:basedOn w:val="Normal"/>
    <w:pPr>
      <w:numPr>
        <w:ilvl w:val="2"/>
        <w:numId w:val="14"/>
      </w:numPr>
    </w:pPr>
  </w:style>
  <w:style w:type="paragraph" w:customStyle="1" w:styleId="Point2number">
    <w:name w:val="Point 2 (number)"/>
    <w:basedOn w:val="Normal"/>
    <w:pPr>
      <w:numPr>
        <w:ilvl w:val="4"/>
        <w:numId w:val="14"/>
      </w:numPr>
    </w:pPr>
  </w:style>
  <w:style w:type="paragraph" w:customStyle="1" w:styleId="Point3number">
    <w:name w:val="Point 3 (number)"/>
    <w:basedOn w:val="Normal"/>
    <w:pPr>
      <w:numPr>
        <w:ilvl w:val="6"/>
        <w:numId w:val="14"/>
      </w:numPr>
    </w:pPr>
  </w:style>
  <w:style w:type="paragraph" w:customStyle="1" w:styleId="Point0letter">
    <w:name w:val="Point 0 (letter)"/>
    <w:basedOn w:val="Normal"/>
    <w:pPr>
      <w:numPr>
        <w:ilvl w:val="1"/>
        <w:numId w:val="14"/>
      </w:numPr>
    </w:pPr>
  </w:style>
  <w:style w:type="paragraph" w:customStyle="1" w:styleId="Point1letter">
    <w:name w:val="Point 1 (letter)"/>
    <w:basedOn w:val="Normal"/>
    <w:pPr>
      <w:numPr>
        <w:ilvl w:val="3"/>
        <w:numId w:val="14"/>
      </w:numPr>
    </w:pPr>
  </w:style>
  <w:style w:type="paragraph" w:customStyle="1" w:styleId="Point2letter">
    <w:name w:val="Point 2 (letter)"/>
    <w:basedOn w:val="Normal"/>
    <w:pPr>
      <w:numPr>
        <w:ilvl w:val="5"/>
        <w:numId w:val="14"/>
      </w:numPr>
    </w:pPr>
  </w:style>
  <w:style w:type="paragraph" w:customStyle="1" w:styleId="Point3letter">
    <w:name w:val="Point 3 (letter)"/>
    <w:basedOn w:val="Normal"/>
    <w:pPr>
      <w:numPr>
        <w:ilvl w:val="7"/>
        <w:numId w:val="14"/>
      </w:numPr>
    </w:pPr>
  </w:style>
  <w:style w:type="paragraph" w:customStyle="1" w:styleId="Point4letter">
    <w:name w:val="Point 4 (letter)"/>
    <w:basedOn w:val="Normal"/>
    <w:pPr>
      <w:numPr>
        <w:ilvl w:val="8"/>
        <w:numId w:val="14"/>
      </w:numPr>
    </w:pPr>
  </w:style>
  <w:style w:type="paragraph" w:customStyle="1" w:styleId="Bullet0">
    <w:name w:val="Bullet 0"/>
    <w:basedOn w:val="Normal"/>
    <w:pPr>
      <w:numPr>
        <w:numId w:val="15"/>
      </w:numPr>
    </w:pPr>
  </w:style>
  <w:style w:type="paragraph" w:customStyle="1" w:styleId="Bullet1">
    <w:name w:val="Bullet 1"/>
    <w:basedOn w:val="Normal"/>
    <w:pPr>
      <w:numPr>
        <w:numId w:val="16"/>
      </w:numPr>
    </w:pPr>
  </w:style>
  <w:style w:type="paragraph" w:customStyle="1" w:styleId="Bullet2">
    <w:name w:val="Bullet 2"/>
    <w:basedOn w:val="Normal"/>
    <w:pPr>
      <w:numPr>
        <w:numId w:val="17"/>
      </w:numPr>
    </w:pPr>
  </w:style>
  <w:style w:type="paragraph" w:customStyle="1" w:styleId="Bullet3">
    <w:name w:val="Bullet 3"/>
    <w:basedOn w:val="Normal"/>
    <w:pPr>
      <w:numPr>
        <w:numId w:val="18"/>
      </w:numPr>
    </w:pPr>
  </w:style>
  <w:style w:type="paragraph" w:customStyle="1" w:styleId="Bullet4">
    <w:name w:val="Bullet 4"/>
    <w:basedOn w:val="Normal"/>
    <w:pPr>
      <w:numPr>
        <w:numId w:val="1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010DB4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010DB4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010DB4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010DB4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8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'1.0' encoding='UTF-8' standalone='yes'?>
<Relationships xmlns="http://schemas.openxmlformats.org/package/2006/relationships"><Relationship Id="rId2" Type="http://schemas.openxmlformats.org/officeDocument/2006/relationships/hyperlink" Target="http://data.europa.eu/eli/reg/2019/1020/oj" TargetMode="External"/><Relationship Id="rId1" Type="http://schemas.openxmlformats.org/officeDocument/2006/relationships/hyperlink" Target="http://data.europa.eu/eli/reg/2023/988/oj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BAD999D84E12C74482EA5120F5227F6F00217DECAAC21D6B43958DFE68658C192E" ma:contentTypeVersion="20" ma:contentTypeDescription="Create a new document in this library." ma:contentTypeScope="" ma:versionID="a11a0ef1cef77ae5bc99683c69172be9">
  <xsd:schema xmlns:xsd="http://www.w3.org/2001/XMLSchema" xmlns:xs="http://www.w3.org/2001/XMLSchema" xmlns:p="http://schemas.microsoft.com/office/2006/metadata/properties" xmlns:ns2="http://schemas.microsoft.com/sharepoint/v3/fields" xmlns:ns3="144c03d0-0f03-451f-9d46-5279004462a4" xmlns:ns4="f7bb8512-91eb-4bfd-be42-d6f021407e9a" targetNamespace="http://schemas.microsoft.com/office/2006/metadata/properties" ma:root="true" ma:fieldsID="5b5c64f28700cfc2c401d7b87f113873" ns2:_="" ns3:_="" ns4:_="">
    <xsd:import namespace="http://schemas.microsoft.com/sharepoint/v3/fields"/>
    <xsd:import namespace="144c03d0-0f03-451f-9d46-5279004462a4"/>
    <xsd:import namespace="f7bb8512-91eb-4bfd-be42-d6f021407e9a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2:_Status" minOccurs="0"/>
                <xsd:element ref="ns3:EC_Collab_DocumentLanguage"/>
                <xsd:element ref="ns3:SharedWithUsers" minOccurs="0"/>
                <xsd:element ref="ns3:SharedWithDetails" minOccurs="0"/>
                <xsd:element ref="ns3:EC_Collab_Statu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3" nillable="true" ma:displayName="État" ma:default="Non commencé" ma:hidden="true" ma:internalName="_Status" ma:readOnly="false">
      <xsd:simpleType>
        <xsd:union memberTypes="dms:Text">
          <xsd:simpleType>
            <xsd:restriction base="dms:Choice">
              <xsd:enumeration value="Non commencé"/>
              <xsd:enumeration value="Brouillon"/>
              <xsd:enumeration value="Révisé"/>
              <xsd:enumeration value="Planifié"/>
              <xsd:enumeration value="Publié"/>
              <xsd:enumeration value="Final"/>
              <xsd:enumeration value="Date d'expiration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c03d0-0f03-451f-9d46-5279004462a4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 ma:readOnly="false">
      <xsd:simpleType>
        <xsd:restriction base="dms:Text"/>
      </xsd:simpleType>
    </xsd:element>
    <xsd:element name="EC_Collab_DocumentLanguage" ma:index="14" ma:displayName="Language" ma:default="EN" ma:format="Dropdown" ma:internalName="EC_Collab_DocumentLanguage" ma:readOnly="fals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EC_Collab_Status" ma:index="17" nillable="true" ma:displayName="EC Status" ma:default="Not Started" ma:format="Dropdown" ma:internalName="EC_Collab_Status" ma:readOnly="false">
      <xsd:simpleType>
        <xsd:restriction base="dms:Choice">
          <xsd:enumeration value="Not Started"/>
          <xsd:enumeration value="Draft"/>
          <xsd:enumeration value="Reviewed"/>
          <xsd:enumeration value="Scheduled"/>
          <xsd:enumeration value="Published"/>
          <xsd:enumeration value="Final"/>
          <xsd:enumeration value="Expir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b8512-91eb-4bfd-be42-d6f021407e9a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7" ma:displayName="Titr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État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_Collab_Reference xmlns="144c03d0-0f03-451f-9d46-5279004462a4" xsi:nil="true"/>
    <EC_Collab_Status xmlns="144c03d0-0f03-451f-9d46-5279004462a4">Not Started</EC_Collab_Status>
    <_Status xmlns="http://schemas.microsoft.com/sharepoint/v3/fields">Not Started</_Status>
    <EC_Collab_DocumentLanguage xmlns="144c03d0-0f03-451f-9d46-5279004462a4">EN</EC_Collab_DocumentLanguag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DBB74-1145-4A92-87DE-12D93F800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144c03d0-0f03-451f-9d46-5279004462a4"/>
    <ds:schemaRef ds:uri="f7bb8512-91eb-4bfd-be42-d6f021407e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3D1C6E-04FA-4FEF-988B-A532C76FB5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0E9EB-7482-46FD-9E94-7FF034D8363F}">
  <ds:schemaRefs>
    <ds:schemaRef ds:uri="http://schemas.microsoft.com/office/2006/metadata/properties"/>
    <ds:schemaRef ds:uri="http://schemas.microsoft.com/office/infopath/2007/PartnerControls"/>
    <ds:schemaRef ds:uri="144c03d0-0f03-451f-9d46-5279004462a4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04A1FBAF-727D-4044-AECE-1B1A125F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14</TotalTime>
  <Pages>7</Pages>
  <Words>2364</Words>
  <Characters>13480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15813</CharactersWithSpaces>
  <SharedDoc>false</SharedDoc>
  <HLinks>
    <vt:vector size="18" baseType="variant">
      <vt:variant>
        <vt:i4>6422639</vt:i4>
      </vt:variant>
      <vt:variant>
        <vt:i4>3</vt:i4>
      </vt:variant>
      <vt:variant>
        <vt:i4>0</vt:i4>
      </vt:variant>
      <vt:variant>
        <vt:i4>5</vt:i4>
      </vt:variant>
      <vt:variant>
        <vt:lpwstr>http://data.europa.eu/eli/reg/2019/1020/oj</vt:lpwstr>
      </vt:variant>
      <vt:variant>
        <vt:lpwstr/>
      </vt:variant>
      <vt:variant>
        <vt:i4>4194324</vt:i4>
      </vt:variant>
      <vt:variant>
        <vt:i4>0</vt:i4>
      </vt:variant>
      <vt:variant>
        <vt:i4>0</vt:i4>
      </vt:variant>
      <vt:variant>
        <vt:i4>5</vt:i4>
      </vt:variant>
      <vt:variant>
        <vt:lpwstr>http://data.europa.eu/eli/reg/2023/988/oj</vt:lpwstr>
      </vt:variant>
      <vt:variant>
        <vt:lpwstr/>
      </vt:variant>
      <vt:variant>
        <vt:i4>6684715</vt:i4>
      </vt:variant>
      <vt:variant>
        <vt:i4>0</vt:i4>
      </vt:variant>
      <vt:variant>
        <vt:i4>0</vt:i4>
      </vt:variant>
      <vt:variant>
        <vt:i4>5</vt:i4>
      </vt:variant>
      <vt:variant>
        <vt:lpwstr>https://webgate.ec.europa.eu/fpfis/wikis/pages/viewpage.action?pageId=343284579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43</cp:revision>
  <cp:lastPrinted>2024-06-17T11:27:00Z</cp:lastPrinted>
  <dcterms:created xsi:type="dcterms:W3CDTF">2024-08-22T11:25:00Z</dcterms:created>
  <dcterms:modified xsi:type="dcterms:W3CDTF">2024-08-23T10:40:00Z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COM/AA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MSIP_Label_6bd9ddd1-4d20-43f6-abfa-fc3c07406f94_Enabled">
    <vt:lpwstr>true</vt:lpwstr>
  </property>
  <property fmtid="{D5CDD505-2E9C-101B-9397-08002B2CF9AE}" pid="6" name="MSIP_Label_6bd9ddd1-4d20-43f6-abfa-fc3c07406f94_SetDate">
    <vt:lpwstr>2024-02-28T15:26:07Z</vt:lpwstr>
  </property>
  <property fmtid="{D5CDD505-2E9C-101B-9397-08002B2CF9AE}" pid="7" name="MSIP_Label_6bd9ddd1-4d20-43f6-abfa-fc3c07406f94_Method">
    <vt:lpwstr>Standard</vt:lpwstr>
  </property>
  <property fmtid="{D5CDD505-2E9C-101B-9397-08002B2CF9AE}" pid="8" name="MSIP_Label_6bd9ddd1-4d20-43f6-abfa-fc3c07406f94_Name">
    <vt:lpwstr>Commission Use</vt:lpwstr>
  </property>
  <property fmtid="{D5CDD505-2E9C-101B-9397-08002B2CF9AE}" pid="9" name="MSIP_Label_6bd9ddd1-4d20-43f6-abfa-fc3c07406f94_SiteId">
    <vt:lpwstr>b24c8b06-522c-46fe-9080-70926f8dddb1</vt:lpwstr>
  </property>
  <property fmtid="{D5CDD505-2E9C-101B-9397-08002B2CF9AE}" pid="10" name="MSIP_Label_6bd9ddd1-4d20-43f6-abfa-fc3c07406f94_ActionId">
    <vt:lpwstr>add0d701-d89d-4707-b28e-25ec5e0c302c</vt:lpwstr>
  </property>
  <property fmtid="{D5CDD505-2E9C-101B-9397-08002B2CF9AE}" pid="11" name="MSIP_Label_6bd9ddd1-4d20-43f6-abfa-fc3c07406f94_ContentBits">
    <vt:lpwstr>0</vt:lpwstr>
  </property>
  <property fmtid="{D5CDD505-2E9C-101B-9397-08002B2CF9AE}" pid="12" name="Created using">
    <vt:lpwstr>LW 9.0, Build 20230317</vt:lpwstr>
  </property>
  <property fmtid="{D5CDD505-2E9C-101B-9397-08002B2CF9AE}" pid="13" name="Part">
    <vt:lpwstr>1</vt:lpwstr>
  </property>
  <property fmtid="{D5CDD505-2E9C-101B-9397-08002B2CF9AE}" pid="14" name="Total parts">
    <vt:lpwstr>1</vt:lpwstr>
  </property>
  <property fmtid="{D5CDD505-2E9C-101B-9397-08002B2CF9AE}" pid="15" name="Level of sensitivity">
    <vt:lpwstr>Standard treatment</vt:lpwstr>
  </property>
  <property fmtid="{D5CDD505-2E9C-101B-9397-08002B2CF9AE}" pid="16" name="LWTemplateID">
    <vt:lpwstr>SJ-003</vt:lpwstr>
  </property>
  <property fmtid="{D5CDD505-2E9C-101B-9397-08002B2CF9AE}" pid="17" name="ContentTypeId">
    <vt:lpwstr>0x010100BAD999D84E12C74482EA5120F5227F6F00217DECAAC21D6B43958DFE68658C192E</vt:lpwstr>
  </property>
  <property fmtid="{D5CDD505-2E9C-101B-9397-08002B2CF9AE}" pid="18" name="DQCStatus">
    <vt:lpwstr>Green (DQC version 03)</vt:lpwstr>
  </property>
  <property name="OP_sanitized" fmtid="{D5CDD505-2E9C-101B-9397-08002B2CF9AE}" pid="19">
    <vt:lpwstr>True</vt:lpwstr>
  </property>
</Properties>
</file>