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4F899D" w14:textId="1D51F1E4" w:rsidR="00440B59" w:rsidRPr="006B039F" w:rsidRDefault="003B79DA" w:rsidP="003B79DA">
      <w:pPr>
        <w:pStyle w:val="Pagedecouverture"/>
        <w:rPr>
          <w:noProof/>
        </w:rPr>
      </w:pPr>
      <w:bookmarkStart w:id="0" w:name="LW_BM_COVERPAGE"/>
      <w:r>
        <w:rPr>
          <w:noProof/>
        </w:rPr>
        <w:pict w14:anchorId="54DEA3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206A3D88-E916-4F9B-845D-5AB6EBAED416" style="width:455.25pt;height:396.75pt">
            <v:imagedata r:id="rId7" o:title=""/>
          </v:shape>
        </w:pict>
      </w:r>
    </w:p>
    <w:bookmarkEnd w:id="0"/>
    <w:p w14:paraId="1E0416C1" w14:textId="77777777" w:rsidR="00440B59" w:rsidRPr="006B039F" w:rsidRDefault="00440B59" w:rsidP="00440B59">
      <w:pPr>
        <w:rPr>
          <w:rFonts w:ascii="Times New Roman" w:hAnsi="Times New Roman" w:cs="Times New Roman"/>
          <w:noProof/>
        </w:rPr>
        <w:sectPr w:rsidR="00440B59" w:rsidRPr="006B039F" w:rsidSect="003B79DA">
          <w:headerReference w:type="even" r:id="rId8"/>
          <w:headerReference w:type="default" r:id="rId9"/>
          <w:footerReference w:type="even" r:id="rId10"/>
          <w:footerReference w:type="default" r:id="rId11"/>
          <w:headerReference w:type="first" r:id="rId12"/>
          <w:footerReference w:type="first" r:id="rId13"/>
          <w:pgSz w:w="11906" w:h="16838"/>
          <w:pgMar w:top="1134" w:right="1417" w:bottom="1134" w:left="1417" w:header="709" w:footer="709" w:gutter="0"/>
          <w:pgNumType w:start="0"/>
          <w:cols w:space="720"/>
          <w:docGrid w:linePitch="360"/>
        </w:sectPr>
      </w:pPr>
    </w:p>
    <w:p w14:paraId="3E1C897D" w14:textId="77777777" w:rsidR="00440B59" w:rsidRPr="006B039F" w:rsidRDefault="00440B59" w:rsidP="00440B59">
      <w:pPr>
        <w:pStyle w:val="Annexetitre"/>
        <w:rPr>
          <w:noProof/>
        </w:rPr>
      </w:pPr>
      <w:bookmarkStart w:id="1" w:name="_GoBack"/>
      <w:bookmarkEnd w:id="1"/>
      <w:r w:rsidRPr="006B039F">
        <w:rPr>
          <w:noProof/>
        </w:rPr>
        <w:lastRenderedPageBreak/>
        <w:t>Príloha I</w:t>
      </w:r>
    </w:p>
    <w:p w14:paraId="67D3468A" w14:textId="15425243" w:rsidR="00440B59" w:rsidRPr="006B039F" w:rsidRDefault="00440B59" w:rsidP="00440B59">
      <w:pPr>
        <w:rPr>
          <w:rFonts w:ascii="Times New Roman" w:hAnsi="Times New Roman" w:cs="Times New Roman"/>
          <w:noProof/>
        </w:rPr>
      </w:pPr>
      <w:r w:rsidRPr="006B039F">
        <w:rPr>
          <w:rFonts w:ascii="Times New Roman" w:hAnsi="Times New Roman"/>
          <w:noProof/>
        </w:rPr>
        <w:t>V prílohe II sa vypúšťa bod 4.</w:t>
      </w:r>
    </w:p>
    <w:p w14:paraId="2F461CF0" w14:textId="77777777" w:rsidR="00440B59" w:rsidRPr="006B039F" w:rsidRDefault="00440B59" w:rsidP="00440B59">
      <w:pPr>
        <w:jc w:val="center"/>
        <w:rPr>
          <w:rFonts w:ascii="Times New Roman" w:hAnsi="Times New Roman" w:cs="Times New Roman"/>
          <w:b/>
          <w:bCs/>
          <w:noProof/>
        </w:rPr>
      </w:pPr>
    </w:p>
    <w:p w14:paraId="2FD0DFE1" w14:textId="77777777" w:rsidR="00440B59" w:rsidRPr="006B039F" w:rsidRDefault="00440B59" w:rsidP="00440B59">
      <w:pPr>
        <w:pStyle w:val="Annexetitre"/>
        <w:rPr>
          <w:noProof/>
        </w:rPr>
      </w:pPr>
      <w:r w:rsidRPr="006B039F">
        <w:rPr>
          <w:noProof/>
        </w:rPr>
        <w:t>Príloha II</w:t>
      </w:r>
    </w:p>
    <w:p w14:paraId="7B299985" w14:textId="77777777" w:rsidR="00440B59" w:rsidRPr="006B039F" w:rsidRDefault="00440B59" w:rsidP="00440B59">
      <w:pPr>
        <w:jc w:val="center"/>
        <w:rPr>
          <w:rFonts w:ascii="Times New Roman" w:hAnsi="Times New Roman" w:cs="Times New Roman"/>
          <w:noProof/>
        </w:rPr>
      </w:pPr>
      <w:r w:rsidRPr="006B039F">
        <w:rPr>
          <w:rFonts w:ascii="Times New Roman" w:hAnsi="Times New Roman"/>
          <w:i/>
          <w:noProof/>
        </w:rPr>
        <w:t>„PRÍLOHA III</w:t>
      </w:r>
    </w:p>
    <w:p w14:paraId="05F37AE8" w14:textId="7E4D2B5B" w:rsidR="00440B59" w:rsidRPr="006B039F" w:rsidRDefault="00440B59" w:rsidP="00440B59">
      <w:pPr>
        <w:jc w:val="center"/>
        <w:rPr>
          <w:rFonts w:ascii="Times New Roman" w:hAnsi="Times New Roman" w:cs="Times New Roman"/>
          <w:noProof/>
        </w:rPr>
      </w:pPr>
      <w:r w:rsidRPr="006B039F">
        <w:rPr>
          <w:rFonts w:ascii="Times New Roman" w:hAnsi="Times New Roman"/>
          <w:b/>
          <w:noProof/>
        </w:rPr>
        <w:t>Zjednodušené vyhlásenie</w:t>
      </w:r>
      <w:r w:rsidR="006B039F">
        <w:rPr>
          <w:rFonts w:ascii="Times New Roman" w:hAnsi="Times New Roman"/>
          <w:b/>
          <w:noProof/>
        </w:rPr>
        <w:t xml:space="preserve"> v </w:t>
      </w:r>
      <w:r w:rsidRPr="006B039F">
        <w:rPr>
          <w:rFonts w:ascii="Times New Roman" w:hAnsi="Times New Roman"/>
          <w:b/>
          <w:noProof/>
        </w:rPr>
        <w:t>prípade primárnych hospodárskych mikrosubjektov</w:t>
      </w:r>
      <w:r w:rsidR="006B039F">
        <w:rPr>
          <w:rFonts w:ascii="Times New Roman" w:hAnsi="Times New Roman"/>
          <w:b/>
          <w:noProof/>
        </w:rPr>
        <w:t xml:space="preserve"> a </w:t>
      </w:r>
      <w:r w:rsidRPr="006B039F">
        <w:rPr>
          <w:rFonts w:ascii="Times New Roman" w:hAnsi="Times New Roman"/>
          <w:b/>
          <w:noProof/>
        </w:rPr>
        <w:t>malých primárnych hospodárskych subjektov</w:t>
      </w:r>
    </w:p>
    <w:p w14:paraId="68BEC5DC" w14:textId="2182481F" w:rsidR="00440B59" w:rsidRPr="006B039F" w:rsidRDefault="00440B59" w:rsidP="00440B59">
      <w:pPr>
        <w:rPr>
          <w:rFonts w:ascii="Times New Roman" w:hAnsi="Times New Roman" w:cs="Times New Roman"/>
          <w:noProof/>
        </w:rPr>
      </w:pPr>
      <w:r w:rsidRPr="006B039F">
        <w:rPr>
          <w:rFonts w:ascii="Times New Roman" w:hAnsi="Times New Roman"/>
          <w:noProof/>
        </w:rPr>
        <w:t>Informácie, ktoré má obsahovať zjednodušené vyhlásenie primárnych hospodárskych mikrosubjektov</w:t>
      </w:r>
      <w:r w:rsidR="006B039F">
        <w:rPr>
          <w:rFonts w:ascii="Times New Roman" w:hAnsi="Times New Roman"/>
          <w:noProof/>
        </w:rPr>
        <w:t xml:space="preserve"> a </w:t>
      </w:r>
      <w:r w:rsidRPr="006B039F">
        <w:rPr>
          <w:rFonts w:ascii="Times New Roman" w:hAnsi="Times New Roman"/>
          <w:noProof/>
        </w:rPr>
        <w:t>malých primárnych hospodárskych subjektov</w:t>
      </w:r>
      <w:r w:rsidR="006B039F">
        <w:rPr>
          <w:rFonts w:ascii="Times New Roman" w:hAnsi="Times New Roman"/>
          <w:noProof/>
        </w:rPr>
        <w:t xml:space="preserve"> v </w:t>
      </w:r>
      <w:r w:rsidRPr="006B039F">
        <w:rPr>
          <w:rFonts w:ascii="Times New Roman" w:hAnsi="Times New Roman"/>
          <w:noProof/>
        </w:rPr>
        <w:t>súlade</w:t>
      </w:r>
      <w:r w:rsidR="006B039F">
        <w:rPr>
          <w:rFonts w:ascii="Times New Roman" w:hAnsi="Times New Roman"/>
          <w:noProof/>
        </w:rPr>
        <w:t xml:space="preserve"> s </w:t>
      </w:r>
      <w:r w:rsidRPr="006B039F">
        <w:rPr>
          <w:rFonts w:ascii="Times New Roman" w:hAnsi="Times New Roman"/>
          <w:noProof/>
        </w:rPr>
        <w:t>článkom 4a ods. 3:</w:t>
      </w:r>
    </w:p>
    <w:p w14:paraId="07046A69" w14:textId="2415B759" w:rsidR="006B039F" w:rsidRDefault="00440B59" w:rsidP="00440B59">
      <w:pPr>
        <w:numPr>
          <w:ilvl w:val="0"/>
          <w:numId w:val="2"/>
        </w:numPr>
        <w:spacing w:before="120" w:after="120" w:line="240" w:lineRule="auto"/>
        <w:jc w:val="both"/>
        <w:rPr>
          <w:rFonts w:ascii="Times New Roman" w:hAnsi="Times New Roman"/>
          <w:noProof/>
        </w:rPr>
      </w:pPr>
      <w:r w:rsidRPr="006B039F">
        <w:rPr>
          <w:rFonts w:ascii="Times New Roman" w:hAnsi="Times New Roman"/>
          <w:noProof/>
        </w:rPr>
        <w:t>Názov</w:t>
      </w:r>
      <w:r w:rsidR="006B039F">
        <w:rPr>
          <w:rFonts w:ascii="Times New Roman" w:hAnsi="Times New Roman"/>
          <w:noProof/>
        </w:rPr>
        <w:t xml:space="preserve"> a </w:t>
      </w:r>
      <w:r w:rsidRPr="006B039F">
        <w:rPr>
          <w:rFonts w:ascii="Times New Roman" w:hAnsi="Times New Roman"/>
          <w:noProof/>
        </w:rPr>
        <w:t>adresa hospodárskeho subjektu</w:t>
      </w:r>
      <w:r w:rsidR="006B039F">
        <w:rPr>
          <w:rFonts w:ascii="Times New Roman" w:hAnsi="Times New Roman"/>
          <w:noProof/>
        </w:rPr>
        <w:t xml:space="preserve"> a v </w:t>
      </w:r>
      <w:r w:rsidRPr="006B039F">
        <w:rPr>
          <w:rFonts w:ascii="Times New Roman" w:hAnsi="Times New Roman"/>
          <w:noProof/>
        </w:rPr>
        <w:t>prípade príslušných komodít</w:t>
      </w:r>
      <w:r w:rsidR="006B039F">
        <w:rPr>
          <w:rFonts w:ascii="Times New Roman" w:hAnsi="Times New Roman"/>
          <w:noProof/>
        </w:rPr>
        <w:t xml:space="preserve"> a </w:t>
      </w:r>
      <w:r w:rsidRPr="006B039F">
        <w:rPr>
          <w:rFonts w:ascii="Times New Roman" w:hAnsi="Times New Roman"/>
          <w:noProof/>
        </w:rPr>
        <w:t>príslušných výrobkov vstupujúcich na trh alebo opúšťajúcich trh číslo registrácie</w:t>
      </w:r>
      <w:r w:rsidR="006B039F">
        <w:rPr>
          <w:rFonts w:ascii="Times New Roman" w:hAnsi="Times New Roman"/>
          <w:noProof/>
        </w:rPr>
        <w:t xml:space="preserve"> a </w:t>
      </w:r>
      <w:r w:rsidRPr="006B039F">
        <w:rPr>
          <w:rFonts w:ascii="Times New Roman" w:hAnsi="Times New Roman"/>
          <w:noProof/>
        </w:rPr>
        <w:t>identifikácie hospodárskych subjektov (EORI)</w:t>
      </w:r>
      <w:r w:rsidR="006B039F">
        <w:rPr>
          <w:rFonts w:ascii="Times New Roman" w:hAnsi="Times New Roman"/>
          <w:noProof/>
        </w:rPr>
        <w:t xml:space="preserve"> v </w:t>
      </w:r>
      <w:r w:rsidRPr="006B039F">
        <w:rPr>
          <w:rFonts w:ascii="Times New Roman" w:hAnsi="Times New Roman"/>
          <w:noProof/>
        </w:rPr>
        <w:t>súlade</w:t>
      </w:r>
      <w:r w:rsidR="006B039F">
        <w:rPr>
          <w:rFonts w:ascii="Times New Roman" w:hAnsi="Times New Roman"/>
          <w:noProof/>
        </w:rPr>
        <w:t xml:space="preserve"> s </w:t>
      </w:r>
      <w:r w:rsidRPr="006B039F">
        <w:rPr>
          <w:rFonts w:ascii="Times New Roman" w:hAnsi="Times New Roman"/>
          <w:noProof/>
        </w:rPr>
        <w:t>článkom 9 nariadenia (EÚ) č. 952/2013</w:t>
      </w:r>
      <w:r w:rsidR="006B039F">
        <w:rPr>
          <w:rFonts w:ascii="Times New Roman" w:hAnsi="Times New Roman"/>
          <w:noProof/>
        </w:rPr>
        <w:t>.</w:t>
      </w:r>
    </w:p>
    <w:p w14:paraId="5A05ADE1" w14:textId="2EF8A007" w:rsidR="00440B59" w:rsidRPr="006B039F" w:rsidRDefault="00440B59" w:rsidP="00440B59">
      <w:pPr>
        <w:numPr>
          <w:ilvl w:val="0"/>
          <w:numId w:val="2"/>
        </w:numPr>
        <w:spacing w:before="120" w:after="120" w:line="240" w:lineRule="auto"/>
        <w:jc w:val="both"/>
        <w:rPr>
          <w:rFonts w:ascii="Times New Roman" w:hAnsi="Times New Roman" w:cs="Times New Roman"/>
          <w:noProof/>
        </w:rPr>
      </w:pPr>
      <w:r w:rsidRPr="006B039F">
        <w:rPr>
          <w:rFonts w:ascii="Times New Roman" w:hAnsi="Times New Roman"/>
          <w:noProof/>
        </w:rPr>
        <w:t>Číselný znak harmonizovaného systému</w:t>
      </w:r>
      <w:r w:rsidR="006B039F">
        <w:rPr>
          <w:rFonts w:ascii="Times New Roman" w:hAnsi="Times New Roman"/>
          <w:noProof/>
        </w:rPr>
        <w:t xml:space="preserve"> a </w:t>
      </w:r>
      <w:r w:rsidRPr="006B039F">
        <w:rPr>
          <w:rFonts w:ascii="Times New Roman" w:hAnsi="Times New Roman"/>
          <w:noProof/>
        </w:rPr>
        <w:t>opis príslušných výrobkov vo forme voľného textu vrátane obchodného názvu</w:t>
      </w:r>
      <w:r w:rsidR="006B039F">
        <w:rPr>
          <w:rFonts w:ascii="Times New Roman" w:hAnsi="Times New Roman"/>
          <w:noProof/>
        </w:rPr>
        <w:t xml:space="preserve"> a </w:t>
      </w:r>
      <w:r w:rsidRPr="006B039F">
        <w:rPr>
          <w:rFonts w:ascii="Times New Roman" w:hAnsi="Times New Roman"/>
          <w:noProof/>
        </w:rPr>
        <w:t>ročné množstvo príslušných výrobkov, ktoré sa majú umiestniť na trh alebo vyviezť, vyjadrené</w:t>
      </w:r>
      <w:r w:rsidR="006B039F">
        <w:rPr>
          <w:rFonts w:ascii="Times New Roman" w:hAnsi="Times New Roman"/>
          <w:noProof/>
        </w:rPr>
        <w:t xml:space="preserve"> v </w:t>
      </w:r>
      <w:r w:rsidRPr="006B039F">
        <w:rPr>
          <w:rFonts w:ascii="Times New Roman" w:hAnsi="Times New Roman"/>
          <w:noProof/>
        </w:rPr>
        <w:t>čistej hmotnosti</w:t>
      </w:r>
      <w:r w:rsidR="006B039F">
        <w:rPr>
          <w:rFonts w:ascii="Times New Roman" w:hAnsi="Times New Roman"/>
          <w:noProof/>
        </w:rPr>
        <w:t xml:space="preserve"> s </w:t>
      </w:r>
      <w:r w:rsidRPr="006B039F">
        <w:rPr>
          <w:rFonts w:ascii="Times New Roman" w:hAnsi="Times New Roman"/>
          <w:noProof/>
        </w:rPr>
        <w:t>uvedením percentuálneho odhadu alebo odchýlky, prípadne objemu alebo počtu kusov.</w:t>
      </w:r>
      <w:r w:rsidR="006B039F">
        <w:rPr>
          <w:rFonts w:ascii="Times New Roman" w:hAnsi="Times New Roman"/>
          <w:noProof/>
        </w:rPr>
        <w:t xml:space="preserve"> V </w:t>
      </w:r>
      <w:r w:rsidRPr="006B039F">
        <w:rPr>
          <w:rFonts w:ascii="Times New Roman" w:hAnsi="Times New Roman"/>
          <w:noProof/>
        </w:rPr>
        <w:t>prípade príslušných výrobkov, ktoré vstupujú na trh alebo ho opúšťajú, množstvo je vyjadrené</w:t>
      </w:r>
      <w:r w:rsidR="006B039F">
        <w:rPr>
          <w:rFonts w:ascii="Times New Roman" w:hAnsi="Times New Roman"/>
          <w:noProof/>
        </w:rPr>
        <w:t xml:space="preserve"> v </w:t>
      </w:r>
      <w:r w:rsidRPr="006B039F">
        <w:rPr>
          <w:rFonts w:ascii="Times New Roman" w:hAnsi="Times New Roman"/>
          <w:noProof/>
        </w:rPr>
        <w:t>kilogramoch čistej hmotnosti</w:t>
      </w:r>
      <w:r w:rsidR="006B039F">
        <w:rPr>
          <w:rFonts w:ascii="Times New Roman" w:hAnsi="Times New Roman"/>
          <w:noProof/>
        </w:rPr>
        <w:t xml:space="preserve"> a </w:t>
      </w:r>
      <w:r w:rsidRPr="006B039F">
        <w:rPr>
          <w:rFonts w:ascii="Times New Roman" w:hAnsi="Times New Roman"/>
          <w:noProof/>
        </w:rPr>
        <w:t>prípadne</w:t>
      </w:r>
      <w:r w:rsidR="006B039F">
        <w:rPr>
          <w:rFonts w:ascii="Times New Roman" w:hAnsi="Times New Roman"/>
          <w:noProof/>
        </w:rPr>
        <w:t xml:space="preserve"> v </w:t>
      </w:r>
      <w:r w:rsidRPr="006B039F">
        <w:rPr>
          <w:rFonts w:ascii="Times New Roman" w:hAnsi="Times New Roman"/>
          <w:noProof/>
        </w:rPr>
        <w:t>doplnkovej jednotke stanovenej</w:t>
      </w:r>
      <w:r w:rsidR="006B039F">
        <w:rPr>
          <w:rFonts w:ascii="Times New Roman" w:hAnsi="Times New Roman"/>
          <w:noProof/>
        </w:rPr>
        <w:t xml:space="preserve"> v </w:t>
      </w:r>
      <w:r w:rsidRPr="006B039F">
        <w:rPr>
          <w:rFonts w:ascii="Times New Roman" w:hAnsi="Times New Roman"/>
          <w:noProof/>
        </w:rPr>
        <w:t>prílohe I</w:t>
      </w:r>
      <w:r w:rsidR="006B039F">
        <w:rPr>
          <w:rFonts w:ascii="Times New Roman" w:hAnsi="Times New Roman"/>
          <w:noProof/>
        </w:rPr>
        <w:t xml:space="preserve"> k </w:t>
      </w:r>
      <w:r w:rsidRPr="006B039F">
        <w:rPr>
          <w:rFonts w:ascii="Times New Roman" w:hAnsi="Times New Roman"/>
          <w:noProof/>
        </w:rPr>
        <w:t>nariadeniu (EHS) č. 2658/87 vo vzťahu</w:t>
      </w:r>
      <w:r w:rsidR="006B039F">
        <w:rPr>
          <w:rFonts w:ascii="Times New Roman" w:hAnsi="Times New Roman"/>
          <w:noProof/>
        </w:rPr>
        <w:t xml:space="preserve"> k </w:t>
      </w:r>
      <w:r w:rsidRPr="006B039F">
        <w:rPr>
          <w:rFonts w:ascii="Times New Roman" w:hAnsi="Times New Roman"/>
          <w:noProof/>
        </w:rPr>
        <w:t>uvedenému číselnému znaku harmonizovaného systému alebo vo všetkých ostatných prípadoch vyjadrené</w:t>
      </w:r>
      <w:r w:rsidR="006B039F">
        <w:rPr>
          <w:rFonts w:ascii="Times New Roman" w:hAnsi="Times New Roman"/>
          <w:noProof/>
        </w:rPr>
        <w:t xml:space="preserve"> v </w:t>
      </w:r>
      <w:r w:rsidRPr="006B039F">
        <w:rPr>
          <w:rFonts w:ascii="Times New Roman" w:hAnsi="Times New Roman"/>
          <w:noProof/>
        </w:rPr>
        <w:t>čistej hmotnosti</w:t>
      </w:r>
      <w:r w:rsidR="006B039F">
        <w:rPr>
          <w:rFonts w:ascii="Times New Roman" w:hAnsi="Times New Roman"/>
          <w:noProof/>
        </w:rPr>
        <w:t xml:space="preserve"> s </w:t>
      </w:r>
      <w:r w:rsidRPr="006B039F">
        <w:rPr>
          <w:rFonts w:ascii="Times New Roman" w:hAnsi="Times New Roman"/>
          <w:noProof/>
        </w:rPr>
        <w:t>uvedením predpokladaného percentuálneho odhadu alebo odchýlky alebo prípadne</w:t>
      </w:r>
      <w:r w:rsidR="006B039F">
        <w:rPr>
          <w:rFonts w:ascii="Times New Roman" w:hAnsi="Times New Roman"/>
          <w:noProof/>
        </w:rPr>
        <w:t xml:space="preserve"> v </w:t>
      </w:r>
      <w:r w:rsidRPr="006B039F">
        <w:rPr>
          <w:rFonts w:ascii="Times New Roman" w:hAnsi="Times New Roman"/>
          <w:noProof/>
        </w:rPr>
        <w:t>objeme alebo počte položiek. Doplnková jednotka je uplatniteľná, ak je jednotne definovaná pre všetky možné podpoložky pod číselným znakom harmonizovaného systému uvedeným vo vyhlásení</w:t>
      </w:r>
      <w:r w:rsidR="006B039F">
        <w:rPr>
          <w:rFonts w:ascii="Times New Roman" w:hAnsi="Times New Roman"/>
          <w:noProof/>
        </w:rPr>
        <w:t xml:space="preserve"> o </w:t>
      </w:r>
      <w:r w:rsidRPr="006B039F">
        <w:rPr>
          <w:rFonts w:ascii="Times New Roman" w:hAnsi="Times New Roman"/>
          <w:noProof/>
        </w:rPr>
        <w:t>náležitej starostlivosti.</w:t>
      </w:r>
    </w:p>
    <w:p w14:paraId="26EC71EC" w14:textId="35E979A9" w:rsidR="00440B59" w:rsidRPr="006B039F" w:rsidRDefault="00440B59" w:rsidP="00440B59">
      <w:pPr>
        <w:numPr>
          <w:ilvl w:val="0"/>
          <w:numId w:val="2"/>
        </w:numPr>
        <w:spacing w:before="120" w:after="120" w:line="240" w:lineRule="auto"/>
        <w:jc w:val="both"/>
        <w:rPr>
          <w:rFonts w:ascii="Times New Roman" w:hAnsi="Times New Roman" w:cs="Times New Roman"/>
          <w:noProof/>
        </w:rPr>
      </w:pPr>
      <w:r w:rsidRPr="006B039F">
        <w:rPr>
          <w:rFonts w:ascii="Times New Roman" w:hAnsi="Times New Roman"/>
          <w:noProof/>
        </w:rPr>
        <w:t>Krajina výroby</w:t>
      </w:r>
      <w:r w:rsidR="006B039F">
        <w:rPr>
          <w:rFonts w:ascii="Times New Roman" w:hAnsi="Times New Roman"/>
          <w:noProof/>
        </w:rPr>
        <w:t xml:space="preserve"> a </w:t>
      </w:r>
      <w:r w:rsidRPr="006B039F">
        <w:rPr>
          <w:rFonts w:ascii="Times New Roman" w:hAnsi="Times New Roman"/>
          <w:noProof/>
        </w:rPr>
        <w:t>poštová adresa alebo geolokalizácia všetkých plôch pozemku, na ktorých primárny hospodársky mikrosubjekt</w:t>
      </w:r>
      <w:r w:rsidR="006B039F">
        <w:rPr>
          <w:rFonts w:ascii="Times New Roman" w:hAnsi="Times New Roman"/>
          <w:noProof/>
        </w:rPr>
        <w:t xml:space="preserve"> a </w:t>
      </w:r>
      <w:r w:rsidRPr="006B039F">
        <w:rPr>
          <w:rFonts w:ascii="Times New Roman" w:hAnsi="Times New Roman"/>
          <w:noProof/>
        </w:rPr>
        <w:t>malý primárny hospodársky subjekt vyrábajú príslušné komodity.</w:t>
      </w:r>
      <w:r w:rsidR="006B039F">
        <w:rPr>
          <w:rFonts w:ascii="Times New Roman" w:hAnsi="Times New Roman"/>
          <w:noProof/>
        </w:rPr>
        <w:t xml:space="preserve"> V </w:t>
      </w:r>
      <w:r w:rsidRPr="006B039F">
        <w:rPr>
          <w:rFonts w:ascii="Times New Roman" w:hAnsi="Times New Roman"/>
          <w:noProof/>
        </w:rPr>
        <w:t>prípade príslušných výrobkov, ktoré obsahujú časti hovädzieho dobytka alebo boli vyrobené</w:t>
      </w:r>
      <w:r w:rsidR="006B039F">
        <w:rPr>
          <w:rFonts w:ascii="Times New Roman" w:hAnsi="Times New Roman"/>
          <w:noProof/>
        </w:rPr>
        <w:t xml:space="preserve"> s </w:t>
      </w:r>
      <w:r w:rsidRPr="006B039F">
        <w:rPr>
          <w:rFonts w:ascii="Times New Roman" w:hAnsi="Times New Roman"/>
          <w:noProof/>
        </w:rPr>
        <w:t>jeho použitím,</w:t>
      </w:r>
      <w:r w:rsidR="006B039F">
        <w:rPr>
          <w:rFonts w:ascii="Times New Roman" w:hAnsi="Times New Roman"/>
          <w:noProof/>
        </w:rPr>
        <w:t xml:space="preserve"> a v </w:t>
      </w:r>
      <w:r w:rsidRPr="006B039F">
        <w:rPr>
          <w:rFonts w:ascii="Times New Roman" w:hAnsi="Times New Roman"/>
          <w:noProof/>
        </w:rPr>
        <w:t>prípade takých príslušných výrobkov, ktoré boli kŕmené príslušnými výrobkami, sa poštová adresa alebo geolokalizácia vzťahuje na každé zo zariadení, kde sa chová daný hovädzí dobytok. Ak sa príslušné výrobky produkujú na rôznych plochách pozemku, uvedie sa poštová adresa alebo geolokalizácia všetkých plôch pozemku</w:t>
      </w:r>
      <w:r w:rsidR="006B039F">
        <w:rPr>
          <w:rFonts w:ascii="Times New Roman" w:hAnsi="Times New Roman"/>
          <w:noProof/>
        </w:rPr>
        <w:t xml:space="preserve"> v </w:t>
      </w:r>
      <w:r w:rsidRPr="006B039F">
        <w:rPr>
          <w:rFonts w:ascii="Times New Roman" w:hAnsi="Times New Roman"/>
          <w:noProof/>
        </w:rPr>
        <w:t>súlade</w:t>
      </w:r>
      <w:r w:rsidR="006B039F">
        <w:rPr>
          <w:rFonts w:ascii="Times New Roman" w:hAnsi="Times New Roman"/>
          <w:noProof/>
        </w:rPr>
        <w:t xml:space="preserve"> s </w:t>
      </w:r>
      <w:r w:rsidRPr="006B039F">
        <w:rPr>
          <w:rFonts w:ascii="Times New Roman" w:hAnsi="Times New Roman"/>
          <w:noProof/>
        </w:rPr>
        <w:t>článkom 9 ods. 1 písm. d).</w:t>
      </w:r>
    </w:p>
    <w:p w14:paraId="7840EAF1" w14:textId="208EEBF9" w:rsidR="00BE557E" w:rsidRPr="006B039F" w:rsidRDefault="00440B59" w:rsidP="00440B59">
      <w:pPr>
        <w:numPr>
          <w:ilvl w:val="0"/>
          <w:numId w:val="2"/>
        </w:numPr>
        <w:spacing w:before="120" w:after="120" w:line="240" w:lineRule="auto"/>
        <w:jc w:val="both"/>
        <w:rPr>
          <w:rFonts w:ascii="Times New Roman" w:hAnsi="Times New Roman" w:cs="Times New Roman"/>
          <w:noProof/>
        </w:rPr>
      </w:pPr>
      <w:r w:rsidRPr="006B039F">
        <w:rPr>
          <w:rFonts w:ascii="Times New Roman" w:hAnsi="Times New Roman"/>
          <w:noProof/>
        </w:rPr>
        <w:t>Znenie: „Týmto vyhlásením primárny hospodársky mikrosubjekt</w:t>
      </w:r>
      <w:r w:rsidR="006B039F">
        <w:rPr>
          <w:rFonts w:ascii="Times New Roman" w:hAnsi="Times New Roman"/>
          <w:noProof/>
        </w:rPr>
        <w:t xml:space="preserve"> a </w:t>
      </w:r>
      <w:r w:rsidRPr="006B039F">
        <w:rPr>
          <w:rFonts w:ascii="Times New Roman" w:hAnsi="Times New Roman"/>
          <w:noProof/>
        </w:rPr>
        <w:t>malý primárny hospodársky subjekt potvrdzujú, že budú uplatňovať náležitú starostlivosť</w:t>
      </w:r>
      <w:r w:rsidR="006B039F">
        <w:rPr>
          <w:rFonts w:ascii="Times New Roman" w:hAnsi="Times New Roman"/>
          <w:noProof/>
        </w:rPr>
        <w:t xml:space="preserve"> v </w:t>
      </w:r>
      <w:r w:rsidRPr="006B039F">
        <w:rPr>
          <w:rFonts w:ascii="Times New Roman" w:hAnsi="Times New Roman"/>
          <w:noProof/>
        </w:rPr>
        <w:t>súlade</w:t>
      </w:r>
      <w:r w:rsidR="006B039F">
        <w:rPr>
          <w:rFonts w:ascii="Times New Roman" w:hAnsi="Times New Roman"/>
          <w:noProof/>
        </w:rPr>
        <w:t xml:space="preserve"> s </w:t>
      </w:r>
      <w:r w:rsidRPr="006B039F">
        <w:rPr>
          <w:rFonts w:ascii="Times New Roman" w:hAnsi="Times New Roman"/>
          <w:noProof/>
        </w:rPr>
        <w:t>nariadením (EÚ) 2023/1115</w:t>
      </w:r>
      <w:r w:rsidR="006B039F">
        <w:rPr>
          <w:rFonts w:ascii="Times New Roman" w:hAnsi="Times New Roman"/>
          <w:noProof/>
        </w:rPr>
        <w:t xml:space="preserve"> v </w:t>
      </w:r>
      <w:r w:rsidRPr="006B039F">
        <w:rPr>
          <w:rFonts w:ascii="Times New Roman" w:hAnsi="Times New Roman"/>
          <w:noProof/>
        </w:rPr>
        <w:t>prípade príslušných výrobkov, ktoré umiestňujú na trh alebo vyvážajú,</w:t>
      </w:r>
      <w:r w:rsidR="006B039F">
        <w:rPr>
          <w:rFonts w:ascii="Times New Roman" w:hAnsi="Times New Roman"/>
          <w:noProof/>
        </w:rPr>
        <w:t xml:space="preserve"> a </w:t>
      </w:r>
      <w:r w:rsidRPr="006B039F">
        <w:rPr>
          <w:rFonts w:ascii="Times New Roman" w:hAnsi="Times New Roman"/>
          <w:noProof/>
        </w:rPr>
        <w:t xml:space="preserve">že ich </w:t>
      </w:r>
      <w:r w:rsidR="006B039F" w:rsidRPr="006B039F">
        <w:rPr>
          <w:rFonts w:ascii="Times New Roman" w:hAnsi="Times New Roman"/>
          <w:noProof/>
        </w:rPr>
        <w:t>umiestnia</w:t>
      </w:r>
      <w:r w:rsidRPr="006B039F">
        <w:rPr>
          <w:rFonts w:ascii="Times New Roman" w:hAnsi="Times New Roman"/>
          <w:noProof/>
        </w:rPr>
        <w:t xml:space="preserve"> na trh alebo vyvezú len vtedy, ak sa nezistí žiadne riziko alebo sa zistí len zanedbateľné riziko, že príslušné výrobky nie sú</w:t>
      </w:r>
      <w:r w:rsidR="006B039F">
        <w:rPr>
          <w:rFonts w:ascii="Times New Roman" w:hAnsi="Times New Roman"/>
          <w:noProof/>
        </w:rPr>
        <w:t xml:space="preserve"> v </w:t>
      </w:r>
      <w:r w:rsidRPr="006B039F">
        <w:rPr>
          <w:rFonts w:ascii="Times New Roman" w:hAnsi="Times New Roman"/>
          <w:noProof/>
        </w:rPr>
        <w:t>súlade</w:t>
      </w:r>
      <w:r w:rsidR="006B039F">
        <w:rPr>
          <w:rFonts w:ascii="Times New Roman" w:hAnsi="Times New Roman"/>
          <w:noProof/>
        </w:rPr>
        <w:t xml:space="preserve"> s </w:t>
      </w:r>
      <w:r w:rsidRPr="006B039F">
        <w:rPr>
          <w:rFonts w:ascii="Times New Roman" w:hAnsi="Times New Roman"/>
          <w:noProof/>
        </w:rPr>
        <w:t>článkom 3 písm. a) alebo b) uvedeného nariadenia.</w:t>
      </w:r>
    </w:p>
    <w:sectPr w:rsidR="00BE557E" w:rsidRPr="006B039F" w:rsidSect="00440B59">
      <w:headerReference w:type="even" r:id="rId14"/>
      <w:headerReference w:type="default" r:id="rId15"/>
      <w:footerReference w:type="even" r:id="rId16"/>
      <w:footerReference w:type="default" r:id="rId17"/>
      <w:headerReference w:type="first" r:id="rId18"/>
      <w:footerReference w:type="first" r:id="rId19"/>
      <w:footnotePr>
        <w:numRestart w:val="eachSect"/>
      </w:footnotePr>
      <w:pgSz w:w="11907" w:h="16839"/>
      <w:pgMar w:top="1134" w:right="1417" w:bottom="1134" w:left="1417"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4454CC" w14:textId="77777777" w:rsidR="005E78C5" w:rsidRDefault="005E78C5" w:rsidP="00440B59">
      <w:pPr>
        <w:spacing w:after="0" w:line="240" w:lineRule="auto"/>
      </w:pPr>
      <w:r>
        <w:separator/>
      </w:r>
    </w:p>
  </w:endnote>
  <w:endnote w:type="continuationSeparator" w:id="0">
    <w:p w14:paraId="35CA3DAD" w14:textId="77777777" w:rsidR="005E78C5" w:rsidRDefault="005E78C5" w:rsidP="00440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138A5" w14:textId="4B51AC49" w:rsidR="003B79DA" w:rsidRPr="003B79DA" w:rsidRDefault="003B79DA" w:rsidP="003B79DA">
    <w:pPr>
      <w:pStyle w:val="FooterCoverPage"/>
      <w:rPr>
        <w:rFonts w:ascii="Arial" w:hAnsi="Arial" w:cs="Arial"/>
        <w:b/>
        <w:sz w:val="48"/>
      </w:rPr>
    </w:pPr>
    <w:r w:rsidRPr="003B79DA">
      <w:rPr>
        <w:rFonts w:ascii="Arial" w:hAnsi="Arial" w:cs="Arial"/>
        <w:b/>
        <w:sz w:val="48"/>
      </w:rPr>
      <w:t>SK</w:t>
    </w:r>
    <w:r w:rsidRPr="003B79DA">
      <w:rPr>
        <w:rFonts w:ascii="Arial" w:hAnsi="Arial" w:cs="Arial"/>
        <w:b/>
        <w:sz w:val="48"/>
      </w:rPr>
      <w:tab/>
    </w:r>
    <w:r w:rsidRPr="003B79DA">
      <w:rPr>
        <w:rFonts w:ascii="Arial" w:hAnsi="Arial" w:cs="Arial"/>
        <w:b/>
        <w:sz w:val="48"/>
      </w:rPr>
      <w:tab/>
    </w:r>
    <w:r w:rsidRPr="003B79DA">
      <w:tab/>
    </w:r>
    <w:r w:rsidRPr="003B79DA">
      <w:rPr>
        <w:rFonts w:ascii="Arial" w:hAnsi="Arial" w:cs="Arial"/>
        <w:b/>
        <w:sz w:val="48"/>
      </w:rPr>
      <w:t>SK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8C2DD" w14:textId="3EAB17B1" w:rsidR="003B79DA" w:rsidRPr="003B79DA" w:rsidRDefault="003B79DA" w:rsidP="003B79DA">
    <w:pPr>
      <w:pStyle w:val="FooterCoverPage"/>
      <w:rPr>
        <w:rFonts w:ascii="Arial" w:hAnsi="Arial" w:cs="Arial"/>
        <w:b/>
        <w:sz w:val="48"/>
      </w:rPr>
    </w:pPr>
    <w:r w:rsidRPr="003B79DA">
      <w:rPr>
        <w:rFonts w:ascii="Arial" w:hAnsi="Arial" w:cs="Arial"/>
        <w:b/>
        <w:sz w:val="48"/>
      </w:rPr>
      <w:t>SK</w:t>
    </w:r>
    <w:r w:rsidRPr="003B79DA">
      <w:rPr>
        <w:rFonts w:ascii="Arial" w:hAnsi="Arial" w:cs="Arial"/>
        <w:b/>
        <w:sz w:val="48"/>
      </w:rPr>
      <w:tab/>
    </w:r>
    <w:r w:rsidRPr="003B79DA">
      <w:rPr>
        <w:rFonts w:ascii="Arial" w:hAnsi="Arial" w:cs="Arial"/>
        <w:b/>
        <w:sz w:val="48"/>
      </w:rPr>
      <w:tab/>
    </w:r>
    <w:r w:rsidRPr="003B79DA">
      <w:tab/>
    </w:r>
    <w:r w:rsidRPr="003B79DA">
      <w:rPr>
        <w:rFonts w:ascii="Arial" w:hAnsi="Arial" w:cs="Arial"/>
        <w:b/>
        <w:sz w:val="48"/>
      </w:rPr>
      <w:t>SK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5D6A7" w14:textId="77777777" w:rsidR="003B79DA" w:rsidRPr="003B79DA" w:rsidRDefault="003B79DA" w:rsidP="003B79DA">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B57C8" w14:textId="77777777" w:rsidR="00B430BF" w:rsidRPr="00440B59" w:rsidRDefault="00B430BF" w:rsidP="00440B59">
    <w:pPr>
      <w:pStyle w:val="FooterCoverPage"/>
      <w:rPr>
        <w:rFonts w:ascii="Arial" w:hAnsi="Arial" w:cs="Arial"/>
        <w:b/>
        <w:sz w:val="48"/>
      </w:rPr>
    </w:pPr>
    <w:r>
      <w:rPr>
        <w:rFonts w:ascii="Arial" w:hAnsi="Arial"/>
        <w:b/>
        <w:sz w:val="48"/>
      </w:rPr>
      <w:t>SK</w:t>
    </w:r>
    <w:r>
      <w:tab/>
    </w:r>
    <w:r>
      <w:tab/>
    </w:r>
    <w:r>
      <w:tab/>
    </w:r>
    <w:r>
      <w:rPr>
        <w:rFonts w:ascii="Arial" w:hAnsi="Arial"/>
        <w:b/>
        <w:sz w:val="48"/>
      </w:rPr>
      <w:t>SK</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CD5074" w14:textId="77777777" w:rsidR="00B430BF" w:rsidRPr="00440B59" w:rsidRDefault="00B430BF" w:rsidP="00440B59">
    <w:pPr>
      <w:pStyle w:val="FooterCoverPage"/>
      <w:rPr>
        <w:rFonts w:ascii="Arial" w:hAnsi="Arial" w:cs="Arial"/>
        <w:b/>
        <w:sz w:val="48"/>
      </w:rPr>
    </w:pPr>
    <w:r>
      <w:rPr>
        <w:rFonts w:ascii="Arial" w:hAnsi="Arial"/>
        <w:b/>
        <w:sz w:val="48"/>
      </w:rPr>
      <w:t>SK</w:t>
    </w:r>
    <w:r>
      <w:tab/>
    </w:r>
    <w:r>
      <w:tab/>
    </w:r>
    <w:r>
      <w:tab/>
    </w:r>
    <w:r>
      <w:rPr>
        <w:rFonts w:ascii="Arial" w:hAnsi="Arial"/>
        <w:b/>
        <w:sz w:val="48"/>
      </w:rPr>
      <w:t>SK</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73FD5" w14:textId="77777777" w:rsidR="00B430BF" w:rsidRDefault="00B430BF" w:rsidP="00DA2D54">
    <w:pPr>
      <w:pStyle w:val="FooterLandscap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1ECD9A" w14:textId="77777777" w:rsidR="005E78C5" w:rsidRDefault="005E78C5" w:rsidP="00440B59">
      <w:pPr>
        <w:spacing w:after="0" w:line="240" w:lineRule="auto"/>
      </w:pPr>
      <w:r>
        <w:separator/>
      </w:r>
    </w:p>
  </w:footnote>
  <w:footnote w:type="continuationSeparator" w:id="0">
    <w:p w14:paraId="3F8B3E1B" w14:textId="77777777" w:rsidR="005E78C5" w:rsidRDefault="005E78C5" w:rsidP="00440B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8FA6A" w14:textId="77777777" w:rsidR="003B79DA" w:rsidRPr="003B79DA" w:rsidRDefault="003B79DA" w:rsidP="003B79DA">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21E57" w14:textId="77777777" w:rsidR="003B79DA" w:rsidRPr="003B79DA" w:rsidRDefault="003B79DA" w:rsidP="003B79DA">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7DCD3" w14:textId="77777777" w:rsidR="003B79DA" w:rsidRPr="003B79DA" w:rsidRDefault="003B79DA" w:rsidP="003B79DA">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FCF1A" w14:textId="77777777" w:rsidR="00B430BF" w:rsidRDefault="00B430B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2AC97" w14:textId="77777777" w:rsidR="00B430BF" w:rsidRDefault="00B430B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B4FB1" w14:textId="77777777" w:rsidR="00B430BF" w:rsidRDefault="00B430BF" w:rsidP="00DA2D54">
    <w:pPr>
      <w:pStyle w:val="HeaderLandscap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BE4812"/>
    <w:multiLevelType w:val="singleLevel"/>
    <w:tmpl w:val="BB6800CC"/>
    <w:name w:val="Considérant"/>
    <w:lvl w:ilvl="0">
      <w:start w:val="1"/>
      <w:numFmt w:val="decimal"/>
      <w:lvlRestart w:val="0"/>
      <w:pStyle w:val="Considrant"/>
      <w:lvlText w:val="(%1)"/>
      <w:lvlJc w:val="left"/>
      <w:pPr>
        <w:tabs>
          <w:tab w:val="num" w:pos="709"/>
        </w:tabs>
        <w:ind w:left="709" w:hanging="709"/>
      </w:pPr>
      <w:rPr>
        <w:rFonts w:hint="default"/>
      </w:rPr>
    </w:lvl>
  </w:abstractNum>
  <w:abstractNum w:abstractNumId="1" w15:restartNumberingAfterBreak="0">
    <w:nsid w:val="7D2701AA"/>
    <w:multiLevelType w:val="hybridMultilevel"/>
    <w:tmpl w:val="6C28B0E0"/>
    <w:lvl w:ilvl="0" w:tplc="36829DA0">
      <w:start w:val="1"/>
      <w:numFmt w:val="decimal"/>
      <w:lvlText w:val="%1."/>
      <w:lvlJc w:val="left"/>
      <w:pPr>
        <w:ind w:left="1015" w:hanging="360"/>
      </w:pPr>
    </w:lvl>
    <w:lvl w:ilvl="1" w:tplc="A5FAF38E">
      <w:start w:val="1"/>
      <w:numFmt w:val="lowerLetter"/>
      <w:lvlText w:val="%2."/>
      <w:lvlJc w:val="left"/>
      <w:pPr>
        <w:ind w:left="1735" w:hanging="360"/>
      </w:pPr>
    </w:lvl>
    <w:lvl w:ilvl="2" w:tplc="51348FEA">
      <w:start w:val="1"/>
      <w:numFmt w:val="lowerRoman"/>
      <w:lvlText w:val="%3."/>
      <w:lvlJc w:val="right"/>
      <w:pPr>
        <w:ind w:left="2455" w:hanging="180"/>
      </w:pPr>
    </w:lvl>
    <w:lvl w:ilvl="3" w:tplc="7B2E204C">
      <w:start w:val="1"/>
      <w:numFmt w:val="decimal"/>
      <w:lvlText w:val="%4."/>
      <w:lvlJc w:val="left"/>
      <w:pPr>
        <w:ind w:left="3175" w:hanging="360"/>
      </w:pPr>
    </w:lvl>
    <w:lvl w:ilvl="4" w:tplc="7182EB8C">
      <w:start w:val="1"/>
      <w:numFmt w:val="lowerLetter"/>
      <w:lvlText w:val="%5."/>
      <w:lvlJc w:val="left"/>
      <w:pPr>
        <w:ind w:left="3895" w:hanging="360"/>
      </w:pPr>
    </w:lvl>
    <w:lvl w:ilvl="5" w:tplc="E91A2406">
      <w:start w:val="1"/>
      <w:numFmt w:val="lowerRoman"/>
      <w:lvlText w:val="%6."/>
      <w:lvlJc w:val="right"/>
      <w:pPr>
        <w:ind w:left="4615" w:hanging="180"/>
      </w:pPr>
    </w:lvl>
    <w:lvl w:ilvl="6" w:tplc="3B4AF6D4">
      <w:start w:val="1"/>
      <w:numFmt w:val="decimal"/>
      <w:lvlText w:val="%7."/>
      <w:lvlJc w:val="left"/>
      <w:pPr>
        <w:ind w:left="5335" w:hanging="360"/>
      </w:pPr>
    </w:lvl>
    <w:lvl w:ilvl="7" w:tplc="C192B5E4">
      <w:start w:val="1"/>
      <w:numFmt w:val="lowerLetter"/>
      <w:lvlText w:val="%8."/>
      <w:lvlJc w:val="left"/>
      <w:pPr>
        <w:ind w:left="6055" w:hanging="360"/>
      </w:pPr>
    </w:lvl>
    <w:lvl w:ilvl="8" w:tplc="65F85E10">
      <w:start w:val="1"/>
      <w:numFmt w:val="lowerRoman"/>
      <w:lvlText w:val="%9."/>
      <w:lvlJc w:val="right"/>
      <w:pPr>
        <w:ind w:left="677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markup="0"/>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
  <w:docVars>
    <w:docVar w:name="DocStatus" w:val="Green"/>
    <w:docVar w:name="LW_ACCOMPAGNANT.CP" w:val="k návrhu"/>
    <w:docVar w:name="LW_ANNEX_NBR_FIRST" w:val="1"/>
    <w:docVar w:name="LW_ANNEX_NBR_LAST" w:val="2"/>
    <w:docVar w:name="LW_ANNEX_UNIQUE" w:val="0"/>
    <w:docVar w:name="LW_CORRIGENDUM" w:val="&lt;UNUSED&gt;"/>
    <w:docVar w:name="LW_COVERPAGE_EXISTS" w:val="True"/>
    <w:docVar w:name="LW_COVERPAGE_GUID" w:val="206A3D88-E916-4F9B-845D-5AB6EBAED416"/>
    <w:docVar w:name="LW_COVERPAGE_TYPE" w:val="1"/>
    <w:docVar w:name="LW_CROSSREFERENCE" w:val="&lt;UNUSED&gt;"/>
    <w:docVar w:name="LW_DocType" w:val="NORMAL"/>
    <w:docVar w:name="LW_EMISSION" w:val="21. 10. 2025"/>
    <w:docVar w:name="LW_EMISSION_ISODATE" w:val="2025-10-21"/>
    <w:docVar w:name="LW_EMISSION_LOCATION" w:val="BRX"/>
    <w:docVar w:name="LW_EMISSION_PREFIX" w:val="V Bruseli"/>
    <w:docVar w:name="LW_EMISSION_SUFFIX" w:val=" "/>
    <w:docVar w:name="LW_ID_DOCTYPE_NONLW" w:val="CP-036"/>
    <w:docVar w:name="LW_LANGUE" w:val="SK"/>
    <w:docVar w:name="LW_LEVEL_OF_SENSITIVITY" w:val="Standard treatment"/>
    <w:docVar w:name="LW_NOM.INST" w:val="EURÓPSKA KOMISIA"/>
    <w:docVar w:name="LW_NOM.INST_JOINTDOC" w:val="&lt;EMPTY&gt;"/>
    <w:docVar w:name="LW_OBJETACTEPRINCIPAL.CP" w:val="ktorým sa mení nariadenie (EÚ) 2023/1115, pokia\u318? ide o ur\u269?ité povinnosti hospodárskych subjektov a obchodníkov_x000d__x000d__x000d__x000b_"/>
    <w:docVar w:name="LW_PART_NBR" w:val="&lt;UNUSED&gt;"/>
    <w:docVar w:name="LW_PART_NBR_TOTAL" w:val="&lt;UNUSED&gt;"/>
    <w:docVar w:name="LW_REF.INST.NEW" w:val="COM"/>
    <w:docVar w:name="LW_REF.INST.NEW_ADOPTED" w:val="final"/>
    <w:docVar w:name="LW_REF.INST.NEW_TEXT" w:val="(2025) 652"/>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PRÍLOHY_x000b_"/>
    <w:docVar w:name="LW_TYPEACTEPRINCIPAL.CP" w:val="NARIADENIA EURÓPSKEHO PARLAMENTU A RADY,"/>
    <w:docVar w:name="LwApiVersions" w:val="LW4CoDe 1.24.5.0; LW 9.0, Build 20240221"/>
  </w:docVars>
  <w:rsids>
    <w:rsidRoot w:val="00440B59"/>
    <w:rsid w:val="00012087"/>
    <w:rsid w:val="00025B59"/>
    <w:rsid w:val="00055926"/>
    <w:rsid w:val="000B7417"/>
    <w:rsid w:val="000C3CAA"/>
    <w:rsid w:val="000C599F"/>
    <w:rsid w:val="000C7D26"/>
    <w:rsid w:val="000D67F3"/>
    <w:rsid w:val="00122F4C"/>
    <w:rsid w:val="00133345"/>
    <w:rsid w:val="00155D95"/>
    <w:rsid w:val="001759FE"/>
    <w:rsid w:val="001902B1"/>
    <w:rsid w:val="001903FB"/>
    <w:rsid w:val="001A3F23"/>
    <w:rsid w:val="001A5A1D"/>
    <w:rsid w:val="001A624B"/>
    <w:rsid w:val="001A7AC3"/>
    <w:rsid w:val="001C756B"/>
    <w:rsid w:val="001F01DC"/>
    <w:rsid w:val="002130F7"/>
    <w:rsid w:val="002374DF"/>
    <w:rsid w:val="0024315D"/>
    <w:rsid w:val="0024471E"/>
    <w:rsid w:val="0024513A"/>
    <w:rsid w:val="00245163"/>
    <w:rsid w:val="00293BC4"/>
    <w:rsid w:val="002A277A"/>
    <w:rsid w:val="002C177A"/>
    <w:rsid w:val="002C24FF"/>
    <w:rsid w:val="002E77D3"/>
    <w:rsid w:val="00351071"/>
    <w:rsid w:val="00383337"/>
    <w:rsid w:val="00394140"/>
    <w:rsid w:val="003A3FC6"/>
    <w:rsid w:val="003A43ED"/>
    <w:rsid w:val="003B4FDF"/>
    <w:rsid w:val="003B79DA"/>
    <w:rsid w:val="003E3BC2"/>
    <w:rsid w:val="003E6B07"/>
    <w:rsid w:val="003F37A3"/>
    <w:rsid w:val="00402C39"/>
    <w:rsid w:val="00423B8F"/>
    <w:rsid w:val="00440B59"/>
    <w:rsid w:val="00445AE1"/>
    <w:rsid w:val="00475600"/>
    <w:rsid w:val="00492A39"/>
    <w:rsid w:val="004A4610"/>
    <w:rsid w:val="004A7997"/>
    <w:rsid w:val="004B6401"/>
    <w:rsid w:val="004F7A74"/>
    <w:rsid w:val="005171DE"/>
    <w:rsid w:val="005260E7"/>
    <w:rsid w:val="0054318C"/>
    <w:rsid w:val="00545453"/>
    <w:rsid w:val="00561AB7"/>
    <w:rsid w:val="005647B2"/>
    <w:rsid w:val="00577F16"/>
    <w:rsid w:val="005B2C78"/>
    <w:rsid w:val="005C155D"/>
    <w:rsid w:val="005E78C5"/>
    <w:rsid w:val="005F2045"/>
    <w:rsid w:val="005F4C57"/>
    <w:rsid w:val="005F7397"/>
    <w:rsid w:val="006051AD"/>
    <w:rsid w:val="00617315"/>
    <w:rsid w:val="006266FA"/>
    <w:rsid w:val="00633AF8"/>
    <w:rsid w:val="00651F7E"/>
    <w:rsid w:val="00664D86"/>
    <w:rsid w:val="00691251"/>
    <w:rsid w:val="006B039F"/>
    <w:rsid w:val="006D2068"/>
    <w:rsid w:val="006F3497"/>
    <w:rsid w:val="00700845"/>
    <w:rsid w:val="00700A41"/>
    <w:rsid w:val="00711616"/>
    <w:rsid w:val="00713397"/>
    <w:rsid w:val="00724A08"/>
    <w:rsid w:val="007567C1"/>
    <w:rsid w:val="007B39CE"/>
    <w:rsid w:val="007E1398"/>
    <w:rsid w:val="007E2009"/>
    <w:rsid w:val="008040C0"/>
    <w:rsid w:val="00807E7D"/>
    <w:rsid w:val="008746BA"/>
    <w:rsid w:val="00876753"/>
    <w:rsid w:val="00880A44"/>
    <w:rsid w:val="00896B02"/>
    <w:rsid w:val="00897DA0"/>
    <w:rsid w:val="008B2B31"/>
    <w:rsid w:val="008E7F78"/>
    <w:rsid w:val="00912045"/>
    <w:rsid w:val="009233C1"/>
    <w:rsid w:val="00956C08"/>
    <w:rsid w:val="009726BC"/>
    <w:rsid w:val="0097561B"/>
    <w:rsid w:val="00981326"/>
    <w:rsid w:val="009B1489"/>
    <w:rsid w:val="009F2BE5"/>
    <w:rsid w:val="00A11283"/>
    <w:rsid w:val="00A154BD"/>
    <w:rsid w:val="00A410A0"/>
    <w:rsid w:val="00A75C7A"/>
    <w:rsid w:val="00A91F64"/>
    <w:rsid w:val="00AF17E7"/>
    <w:rsid w:val="00B019EF"/>
    <w:rsid w:val="00B1457A"/>
    <w:rsid w:val="00B15505"/>
    <w:rsid w:val="00B16B7F"/>
    <w:rsid w:val="00B31048"/>
    <w:rsid w:val="00B430BF"/>
    <w:rsid w:val="00B4371C"/>
    <w:rsid w:val="00B7206C"/>
    <w:rsid w:val="00B7675E"/>
    <w:rsid w:val="00B82925"/>
    <w:rsid w:val="00B92E6B"/>
    <w:rsid w:val="00B94A5A"/>
    <w:rsid w:val="00BA036F"/>
    <w:rsid w:val="00BA4E9B"/>
    <w:rsid w:val="00BB22C1"/>
    <w:rsid w:val="00BB7622"/>
    <w:rsid w:val="00BC5107"/>
    <w:rsid w:val="00BE557E"/>
    <w:rsid w:val="00BF175A"/>
    <w:rsid w:val="00BF2A6F"/>
    <w:rsid w:val="00C01591"/>
    <w:rsid w:val="00C031EF"/>
    <w:rsid w:val="00C2412F"/>
    <w:rsid w:val="00C469EB"/>
    <w:rsid w:val="00C64FD8"/>
    <w:rsid w:val="00C92464"/>
    <w:rsid w:val="00C96A9A"/>
    <w:rsid w:val="00CA0D88"/>
    <w:rsid w:val="00CA2325"/>
    <w:rsid w:val="00CA5695"/>
    <w:rsid w:val="00CC570F"/>
    <w:rsid w:val="00CD467D"/>
    <w:rsid w:val="00CE5261"/>
    <w:rsid w:val="00D03EA0"/>
    <w:rsid w:val="00D10E50"/>
    <w:rsid w:val="00D2703F"/>
    <w:rsid w:val="00D31875"/>
    <w:rsid w:val="00D357FE"/>
    <w:rsid w:val="00D631ED"/>
    <w:rsid w:val="00D74255"/>
    <w:rsid w:val="00D74D51"/>
    <w:rsid w:val="00D76625"/>
    <w:rsid w:val="00DA2335"/>
    <w:rsid w:val="00DB48A7"/>
    <w:rsid w:val="00DB573A"/>
    <w:rsid w:val="00DB6C0C"/>
    <w:rsid w:val="00DC2887"/>
    <w:rsid w:val="00DD5483"/>
    <w:rsid w:val="00DE7F83"/>
    <w:rsid w:val="00E217AA"/>
    <w:rsid w:val="00E21EFA"/>
    <w:rsid w:val="00E22F28"/>
    <w:rsid w:val="00E24512"/>
    <w:rsid w:val="00E35E55"/>
    <w:rsid w:val="00E47D4E"/>
    <w:rsid w:val="00E80F23"/>
    <w:rsid w:val="00EC4260"/>
    <w:rsid w:val="00F026CF"/>
    <w:rsid w:val="00F11825"/>
    <w:rsid w:val="00F70856"/>
    <w:rsid w:val="00F74794"/>
    <w:rsid w:val="00FE6C6E"/>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7DE2386"/>
  <w15:chartTrackingRefBased/>
  <w15:docId w15:val="{386BAFA1-08E9-4348-9ABA-2D50C9A54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40B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0B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0B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0B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0B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0B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0B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0B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0B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B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0B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0B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0B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0B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0B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0B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0B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0B59"/>
    <w:rPr>
      <w:rFonts w:eastAsiaTheme="majorEastAsia" w:cstheme="majorBidi"/>
      <w:color w:val="272727" w:themeColor="text1" w:themeTint="D8"/>
    </w:rPr>
  </w:style>
  <w:style w:type="paragraph" w:styleId="Title">
    <w:name w:val="Title"/>
    <w:basedOn w:val="Normal"/>
    <w:next w:val="Normal"/>
    <w:link w:val="TitleChar"/>
    <w:uiPriority w:val="10"/>
    <w:qFormat/>
    <w:rsid w:val="00440B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B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0B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0B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0B59"/>
    <w:pPr>
      <w:spacing w:before="160"/>
      <w:jc w:val="center"/>
    </w:pPr>
    <w:rPr>
      <w:i/>
      <w:iCs/>
      <w:color w:val="404040" w:themeColor="text1" w:themeTint="BF"/>
    </w:rPr>
  </w:style>
  <w:style w:type="character" w:customStyle="1" w:styleId="QuoteChar">
    <w:name w:val="Quote Char"/>
    <w:basedOn w:val="DefaultParagraphFont"/>
    <w:link w:val="Quote"/>
    <w:uiPriority w:val="29"/>
    <w:rsid w:val="00440B59"/>
    <w:rPr>
      <w:i/>
      <w:iCs/>
      <w:color w:val="404040" w:themeColor="text1" w:themeTint="BF"/>
    </w:rPr>
  </w:style>
  <w:style w:type="paragraph" w:styleId="ListParagraph">
    <w:name w:val="List Paragraph"/>
    <w:basedOn w:val="Normal"/>
    <w:uiPriority w:val="34"/>
    <w:qFormat/>
    <w:rsid w:val="00440B59"/>
    <w:pPr>
      <w:ind w:left="720"/>
      <w:contextualSpacing/>
    </w:pPr>
  </w:style>
  <w:style w:type="character" w:styleId="IntenseEmphasis">
    <w:name w:val="Intense Emphasis"/>
    <w:basedOn w:val="DefaultParagraphFont"/>
    <w:uiPriority w:val="21"/>
    <w:qFormat/>
    <w:rsid w:val="00440B59"/>
    <w:rPr>
      <w:i/>
      <w:iCs/>
      <w:color w:val="0F4761" w:themeColor="accent1" w:themeShade="BF"/>
    </w:rPr>
  </w:style>
  <w:style w:type="paragraph" w:styleId="IntenseQuote">
    <w:name w:val="Intense Quote"/>
    <w:basedOn w:val="Normal"/>
    <w:next w:val="Normal"/>
    <w:link w:val="IntenseQuoteChar"/>
    <w:uiPriority w:val="30"/>
    <w:qFormat/>
    <w:rsid w:val="00440B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0B59"/>
    <w:rPr>
      <w:i/>
      <w:iCs/>
      <w:color w:val="0F4761" w:themeColor="accent1" w:themeShade="BF"/>
    </w:rPr>
  </w:style>
  <w:style w:type="character" w:styleId="IntenseReference">
    <w:name w:val="Intense Reference"/>
    <w:basedOn w:val="DefaultParagraphFont"/>
    <w:uiPriority w:val="32"/>
    <w:qFormat/>
    <w:rsid w:val="00440B59"/>
    <w:rPr>
      <w:b/>
      <w:bCs/>
      <w:smallCaps/>
      <w:color w:val="0F4761" w:themeColor="accent1" w:themeShade="BF"/>
      <w:spacing w:val="5"/>
    </w:rPr>
  </w:style>
  <w:style w:type="character" w:customStyle="1" w:styleId="Marker">
    <w:name w:val="Marker"/>
    <w:basedOn w:val="DefaultParagraphFont"/>
    <w:rsid w:val="00440B59"/>
    <w:rPr>
      <w:color w:val="0000FF"/>
      <w:shd w:val="clear" w:color="auto" w:fill="auto"/>
    </w:rPr>
  </w:style>
  <w:style w:type="paragraph" w:styleId="Header">
    <w:name w:val="header"/>
    <w:basedOn w:val="Normal"/>
    <w:link w:val="HeaderChar"/>
    <w:uiPriority w:val="99"/>
    <w:unhideWhenUsed/>
    <w:rsid w:val="00440B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0B59"/>
  </w:style>
  <w:style w:type="paragraph" w:styleId="Footer">
    <w:name w:val="footer"/>
    <w:basedOn w:val="Normal"/>
    <w:link w:val="FooterChar"/>
    <w:uiPriority w:val="99"/>
    <w:unhideWhenUsed/>
    <w:rsid w:val="00440B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0B59"/>
  </w:style>
  <w:style w:type="paragraph" w:customStyle="1" w:styleId="Pagedecouverture">
    <w:name w:val="Page de couverture"/>
    <w:basedOn w:val="Normal"/>
    <w:next w:val="Normal"/>
    <w:rsid w:val="00440B59"/>
    <w:pPr>
      <w:spacing w:after="0" w:line="240" w:lineRule="auto"/>
      <w:jc w:val="both"/>
    </w:pPr>
    <w:rPr>
      <w:rFonts w:ascii="Times New Roman" w:hAnsi="Times New Roman" w:cs="Times New Roman"/>
      <w:kern w:val="0"/>
      <w:sz w:val="24"/>
    </w:rPr>
  </w:style>
  <w:style w:type="paragraph" w:customStyle="1" w:styleId="FooterCoverPage">
    <w:name w:val="Footer Cover Page"/>
    <w:basedOn w:val="Normal"/>
    <w:link w:val="FooterCoverPageChar"/>
    <w:rsid w:val="00440B59"/>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sid w:val="00440B59"/>
    <w:rPr>
      <w:rFonts w:ascii="Times New Roman" w:hAnsi="Times New Roman" w:cs="Times New Roman"/>
      <w:sz w:val="24"/>
    </w:rPr>
  </w:style>
  <w:style w:type="paragraph" w:customStyle="1" w:styleId="FooterSensitivity">
    <w:name w:val="Footer Sensitivity"/>
    <w:basedOn w:val="Normal"/>
    <w:link w:val="FooterSensitivityChar"/>
    <w:rsid w:val="00440B59"/>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sid w:val="00440B59"/>
    <w:rPr>
      <w:rFonts w:ascii="Times New Roman" w:hAnsi="Times New Roman" w:cs="Times New Roman"/>
      <w:b/>
      <w:sz w:val="32"/>
    </w:rPr>
  </w:style>
  <w:style w:type="paragraph" w:customStyle="1" w:styleId="HeaderCoverPage">
    <w:name w:val="Header Cover Page"/>
    <w:basedOn w:val="Normal"/>
    <w:link w:val="HeaderCoverPageChar"/>
    <w:rsid w:val="00440B59"/>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sid w:val="00440B59"/>
    <w:rPr>
      <w:rFonts w:ascii="Times New Roman" w:hAnsi="Times New Roman" w:cs="Times New Roman"/>
      <w:sz w:val="24"/>
    </w:rPr>
  </w:style>
  <w:style w:type="paragraph" w:customStyle="1" w:styleId="HeaderSensitivity">
    <w:name w:val="Header Sensitivity"/>
    <w:basedOn w:val="Normal"/>
    <w:link w:val="HeaderSensitivityChar"/>
    <w:rsid w:val="00440B59"/>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sid w:val="00440B59"/>
    <w:rPr>
      <w:rFonts w:ascii="Times New Roman" w:hAnsi="Times New Roman" w:cs="Times New Roman"/>
      <w:b/>
      <w:sz w:val="32"/>
    </w:rPr>
  </w:style>
  <w:style w:type="paragraph" w:customStyle="1" w:styleId="HeaderSensitivityRight">
    <w:name w:val="Header Sensitivity Right"/>
    <w:basedOn w:val="Normal"/>
    <w:link w:val="HeaderSensitivityRightChar"/>
    <w:rsid w:val="00440B59"/>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sid w:val="00440B59"/>
    <w:rPr>
      <w:rFonts w:ascii="Times New Roman" w:hAnsi="Times New Roman" w:cs="Times New Roman"/>
      <w:sz w:val="28"/>
    </w:rPr>
  </w:style>
  <w:style w:type="paragraph" w:customStyle="1" w:styleId="an">
    <w:name w:val="an"/>
    <w:basedOn w:val="Normal"/>
    <w:rsid w:val="00440B59"/>
  </w:style>
  <w:style w:type="paragraph" w:customStyle="1" w:styleId="Annexetitre">
    <w:name w:val="Annexe titre"/>
    <w:basedOn w:val="Normal"/>
    <w:next w:val="Normal"/>
    <w:rsid w:val="00440B59"/>
    <w:pPr>
      <w:spacing w:before="120" w:after="120" w:line="240" w:lineRule="auto"/>
      <w:jc w:val="center"/>
    </w:pPr>
    <w:rPr>
      <w:rFonts w:ascii="Times New Roman" w:hAnsi="Times New Roman" w:cs="Times New Roman"/>
      <w:b/>
      <w:kern w:val="0"/>
      <w:sz w:val="24"/>
      <w:u w:val="single"/>
    </w:rPr>
  </w:style>
  <w:style w:type="paragraph" w:customStyle="1" w:styleId="Considrant">
    <w:name w:val="Considérant"/>
    <w:basedOn w:val="Normal"/>
    <w:rsid w:val="00440B59"/>
    <w:pPr>
      <w:numPr>
        <w:numId w:val="1"/>
      </w:numPr>
      <w:spacing w:before="120" w:after="120" w:line="240" w:lineRule="auto"/>
      <w:jc w:val="both"/>
    </w:pPr>
    <w:rPr>
      <w:rFonts w:ascii="Times New Roman" w:hAnsi="Times New Roman" w:cs="Times New Roman"/>
      <w:kern w:val="0"/>
      <w:sz w:val="24"/>
    </w:rPr>
  </w:style>
  <w:style w:type="paragraph" w:customStyle="1" w:styleId="Personnequisigne">
    <w:name w:val="Personne qui signe"/>
    <w:basedOn w:val="Normal"/>
    <w:next w:val="Normal"/>
    <w:rsid w:val="00440B59"/>
    <w:pPr>
      <w:tabs>
        <w:tab w:val="left" w:pos="4252"/>
      </w:tabs>
      <w:spacing w:after="0" w:line="240" w:lineRule="auto"/>
    </w:pPr>
    <w:rPr>
      <w:rFonts w:ascii="Times New Roman" w:hAnsi="Times New Roman" w:cs="Times New Roman"/>
      <w:i/>
      <w:kern w:val="0"/>
      <w:sz w:val="24"/>
    </w:rPr>
  </w:style>
  <w:style w:type="paragraph" w:customStyle="1" w:styleId="HeaderLandscape">
    <w:name w:val="HeaderLandscape"/>
    <w:basedOn w:val="Normal"/>
    <w:rsid w:val="00440B59"/>
    <w:pPr>
      <w:tabs>
        <w:tab w:val="center" w:pos="7285"/>
        <w:tab w:val="right" w:pos="14003"/>
      </w:tabs>
      <w:spacing w:after="120" w:line="240" w:lineRule="auto"/>
      <w:jc w:val="both"/>
    </w:pPr>
    <w:rPr>
      <w:rFonts w:ascii="Times New Roman" w:hAnsi="Times New Roman" w:cs="Times New Roman"/>
      <w:kern w:val="0"/>
      <w:sz w:val="24"/>
    </w:rPr>
  </w:style>
  <w:style w:type="paragraph" w:customStyle="1" w:styleId="FooterLandscape">
    <w:name w:val="FooterLandscape"/>
    <w:basedOn w:val="Normal"/>
    <w:rsid w:val="00440B59"/>
    <w:pPr>
      <w:tabs>
        <w:tab w:val="center" w:pos="7285"/>
        <w:tab w:val="center" w:pos="10913"/>
        <w:tab w:val="right" w:pos="15137"/>
      </w:tabs>
      <w:spacing w:before="360" w:after="0" w:line="240" w:lineRule="auto"/>
      <w:ind w:left="-567" w:right="-567"/>
    </w:pPr>
    <w:rPr>
      <w:rFonts w:ascii="Times New Roman" w:hAnsi="Times New Roman" w:cs="Times New Roman"/>
      <w:kern w:val="0"/>
      <w:sz w:val="24"/>
    </w:rPr>
  </w:style>
  <w:style w:type="paragraph" w:styleId="Revision">
    <w:name w:val="Revision"/>
    <w:hidden/>
    <w:uiPriority w:val="99"/>
    <w:semiHidden/>
    <w:rsid w:val="000C7D26"/>
    <w:pPr>
      <w:spacing w:after="0" w:line="240" w:lineRule="auto"/>
    </w:pPr>
  </w:style>
  <w:style w:type="character" w:styleId="CommentReference">
    <w:name w:val="annotation reference"/>
    <w:basedOn w:val="DefaultParagraphFont"/>
    <w:uiPriority w:val="99"/>
    <w:semiHidden/>
    <w:unhideWhenUsed/>
    <w:rsid w:val="00876753"/>
    <w:rPr>
      <w:sz w:val="16"/>
      <w:szCs w:val="16"/>
    </w:rPr>
  </w:style>
  <w:style w:type="paragraph" w:styleId="CommentText">
    <w:name w:val="annotation text"/>
    <w:basedOn w:val="Normal"/>
    <w:link w:val="CommentTextChar"/>
    <w:uiPriority w:val="99"/>
    <w:unhideWhenUsed/>
    <w:rsid w:val="00876753"/>
    <w:pPr>
      <w:spacing w:line="240" w:lineRule="auto"/>
    </w:pPr>
    <w:rPr>
      <w:sz w:val="20"/>
      <w:szCs w:val="20"/>
    </w:rPr>
  </w:style>
  <w:style w:type="character" w:customStyle="1" w:styleId="CommentTextChar">
    <w:name w:val="Comment Text Char"/>
    <w:basedOn w:val="DefaultParagraphFont"/>
    <w:link w:val="CommentText"/>
    <w:uiPriority w:val="99"/>
    <w:rsid w:val="00876753"/>
    <w:rPr>
      <w:sz w:val="20"/>
      <w:szCs w:val="20"/>
    </w:rPr>
  </w:style>
  <w:style w:type="paragraph" w:styleId="CommentSubject">
    <w:name w:val="annotation subject"/>
    <w:basedOn w:val="CommentText"/>
    <w:next w:val="CommentText"/>
    <w:link w:val="CommentSubjectChar"/>
    <w:uiPriority w:val="99"/>
    <w:semiHidden/>
    <w:unhideWhenUsed/>
    <w:rsid w:val="00876753"/>
    <w:rPr>
      <w:b/>
      <w:bCs/>
    </w:rPr>
  </w:style>
  <w:style w:type="character" w:customStyle="1" w:styleId="CommentSubjectChar">
    <w:name w:val="Comment Subject Char"/>
    <w:basedOn w:val="CommentTextChar"/>
    <w:link w:val="CommentSubject"/>
    <w:uiPriority w:val="99"/>
    <w:semiHidden/>
    <w:rsid w:val="0087675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398</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10</cp:revision>
  <dcterms:created xsi:type="dcterms:W3CDTF">2025-10-21T09:50:00Z</dcterms:created>
  <dcterms:modified xsi:type="dcterms:W3CDTF">2025-10-31T11:21:00Z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First annex">
    <vt:lpwstr>1</vt:lpwstr>
  </property>
  <property fmtid="{D5CDD505-2E9C-101B-9397-08002B2CF9AE}" pid="4" name="Last annex">
    <vt:lpwstr>2</vt:lpwstr>
  </property>
  <property fmtid="{D5CDD505-2E9C-101B-9397-08002B2CF9AE}" pid="5" name="Unique annex">
    <vt:lpwstr>0</vt:lpwstr>
  </property>
  <property fmtid="{D5CDD505-2E9C-101B-9397-08002B2CF9AE}" pid="6" name="Part">
    <vt:lpwstr>&lt;UNUSED&gt;</vt:lpwstr>
  </property>
  <property fmtid="{D5CDD505-2E9C-101B-9397-08002B2CF9AE}" pid="7" name="Total parts">
    <vt:lpwstr>&lt;UNUSED&gt;</vt:lpwstr>
  </property>
  <property fmtid="{D5CDD505-2E9C-101B-9397-08002B2CF9AE}" pid="8" name="DocStatus">
    <vt:lpwstr>Green</vt:lpwstr>
  </property>
  <property fmtid="{D5CDD505-2E9C-101B-9397-08002B2CF9AE}" pid="9" name="CPTemplateID">
    <vt:lpwstr>CP-036</vt:lpwstr>
  </property>
  <property fmtid="{D5CDD505-2E9C-101B-9397-08002B2CF9AE}" pid="10" name="Last edited using">
    <vt:lpwstr>LW 9.1, Build 20240808</vt:lpwstr>
  </property>
  <property fmtid="{D5CDD505-2E9C-101B-9397-08002B2CF9AE}" pid="11" name="Created using">
    <vt:lpwstr>LW 9.1, Build 20240808</vt:lpwstr>
  </property>
  <property fmtid="{D5CDD505-2E9C-101B-9397-08002B2CF9AE}" pid="12" name="MSIP_Label_6bd9ddd1-4d20-43f6-abfa-fc3c07406f94_Enabled">
    <vt:lpwstr>true</vt:lpwstr>
  </property>
  <property fmtid="{D5CDD505-2E9C-101B-9397-08002B2CF9AE}" pid="13" name="MSIP_Label_6bd9ddd1-4d20-43f6-abfa-fc3c07406f94_SetDate">
    <vt:lpwstr>2025-10-20T12:48:26Z</vt:lpwstr>
  </property>
  <property fmtid="{D5CDD505-2E9C-101B-9397-08002B2CF9AE}" pid="14" name="MSIP_Label_6bd9ddd1-4d20-43f6-abfa-fc3c07406f94_Method">
    <vt:lpwstr>Standard</vt:lpwstr>
  </property>
  <property fmtid="{D5CDD505-2E9C-101B-9397-08002B2CF9AE}" pid="15" name="MSIP_Label_6bd9ddd1-4d20-43f6-abfa-fc3c07406f94_Name">
    <vt:lpwstr>Commission Use</vt:lpwstr>
  </property>
  <property fmtid="{D5CDD505-2E9C-101B-9397-08002B2CF9AE}" pid="16" name="MSIP_Label_6bd9ddd1-4d20-43f6-abfa-fc3c07406f94_SiteId">
    <vt:lpwstr>b24c8b06-522c-46fe-9080-70926f8dddb1</vt:lpwstr>
  </property>
  <property fmtid="{D5CDD505-2E9C-101B-9397-08002B2CF9AE}" pid="17" name="MSIP_Label_6bd9ddd1-4d20-43f6-abfa-fc3c07406f94_ActionId">
    <vt:lpwstr>9079b7e2-1e1f-44f7-8035-b294232daeb7</vt:lpwstr>
  </property>
  <property fmtid="{D5CDD505-2E9C-101B-9397-08002B2CF9AE}" pid="18" name="MSIP_Label_6bd9ddd1-4d20-43f6-abfa-fc3c07406f94_ContentBits">
    <vt:lpwstr>0</vt:lpwstr>
  </property>
  <property fmtid="{D5CDD505-2E9C-101B-9397-08002B2CF9AE}" pid="19" name="MSIP_Label_6bd9ddd1-4d20-43f6-abfa-fc3c07406f94_Tag">
    <vt:lpwstr>10, 3, 0, 1</vt:lpwstr>
  </property>
</Properties>
</file>