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B02A8" w14:textId="0097069F" w:rsidR="00FA089C" w:rsidRPr="00B933FD" w:rsidRDefault="00E560E5" w:rsidP="00E560E5">
      <w:pPr>
        <w:pStyle w:val="Pagedecouverture"/>
        <w:rPr>
          <w:noProof/>
        </w:rPr>
      </w:pPr>
      <w:r>
        <w:rPr>
          <w:noProof/>
        </w:rPr>
        <w:pict w14:anchorId="008CF1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30155DF9-34B0-42B5-8819-83FA6991C726" style="width:455.25pt;height:456.75pt">
            <v:imagedata r:id="rId8" o:title=""/>
          </v:shape>
        </w:pict>
      </w:r>
    </w:p>
    <w:p w14:paraId="32E1D028" w14:textId="77777777" w:rsidR="00FA089C" w:rsidRPr="00B933FD" w:rsidRDefault="00FA089C" w:rsidP="00FA089C">
      <w:pPr>
        <w:rPr>
          <w:noProof/>
        </w:rPr>
        <w:sectPr w:rsidR="00FA089C" w:rsidRPr="00B933FD" w:rsidSect="00E560E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1BFB624E" w14:textId="77777777" w:rsidR="00FA089C" w:rsidRPr="00B933FD" w:rsidRDefault="00FA089C" w:rsidP="00FA089C">
      <w:pPr>
        <w:pStyle w:val="Annexetitre"/>
        <w:rPr>
          <w:noProof/>
        </w:rPr>
      </w:pPr>
      <w:bookmarkStart w:id="0" w:name="_GoBack"/>
      <w:bookmarkEnd w:id="0"/>
      <w:r w:rsidRPr="00B933FD">
        <w:rPr>
          <w:noProof/>
        </w:rPr>
        <w:lastRenderedPageBreak/>
        <w:t xml:space="preserve">PRILOG </w:t>
      </w:r>
    </w:p>
    <w:p w14:paraId="15F700A9" w14:textId="77777777" w:rsidR="00BB37E9" w:rsidRPr="00B933FD" w:rsidRDefault="00FB471D" w:rsidP="00BB37E9">
      <w:pPr>
        <w:pStyle w:val="Body"/>
        <w:spacing w:before="360" w:after="0"/>
        <w:jc w:val="center"/>
        <w:rPr>
          <w:b/>
          <w:bCs/>
          <w:noProof/>
        </w:rPr>
      </w:pPr>
      <w:r w:rsidRPr="00B933FD">
        <w:rPr>
          <w:b/>
          <w:noProof/>
        </w:rPr>
        <w:t>NACRT ODLUKE ZAJEDNIČKOG ODBORA EGP-a</w:t>
      </w:r>
    </w:p>
    <w:p w14:paraId="3FE12152" w14:textId="77777777" w:rsidR="00AD5A9B" w:rsidRPr="00B933FD" w:rsidRDefault="00AD5A9B" w:rsidP="00AD5A9B">
      <w:pPr>
        <w:spacing w:after="0"/>
        <w:jc w:val="center"/>
        <w:rPr>
          <w:b/>
          <w:noProof/>
          <w:color w:val="0000FF"/>
          <w:szCs w:val="24"/>
        </w:rPr>
      </w:pPr>
      <w:r w:rsidRPr="00B933FD">
        <w:rPr>
          <w:b/>
          <w:noProof/>
        </w:rPr>
        <w:t xml:space="preserve">br. </w:t>
      </w:r>
      <w:r w:rsidRPr="00B933FD">
        <w:rPr>
          <w:b/>
          <w:noProof/>
          <w:color w:val="0000FF"/>
        </w:rPr>
        <w:t>[…]</w:t>
      </w:r>
    </w:p>
    <w:p w14:paraId="3AC81D08" w14:textId="77777777" w:rsidR="00AD5A9B" w:rsidRPr="00B933FD" w:rsidRDefault="00AD5A9B" w:rsidP="00AD5A9B">
      <w:pPr>
        <w:spacing w:before="360" w:after="0"/>
        <w:jc w:val="center"/>
        <w:rPr>
          <w:b/>
          <w:noProof/>
          <w:color w:val="0000FF"/>
          <w:szCs w:val="24"/>
        </w:rPr>
      </w:pPr>
      <w:r w:rsidRPr="00B933FD">
        <w:rPr>
          <w:b/>
          <w:noProof/>
          <w:color w:val="000000" w:themeColor="text1"/>
        </w:rPr>
        <w:t>od</w:t>
      </w:r>
      <w:r w:rsidRPr="00B933FD">
        <w:rPr>
          <w:b/>
          <w:noProof/>
        </w:rPr>
        <w:t xml:space="preserve"> </w:t>
      </w:r>
      <w:r w:rsidRPr="00B933FD">
        <w:rPr>
          <w:b/>
          <w:noProof/>
          <w:color w:val="0000FF"/>
        </w:rPr>
        <w:t>[…]</w:t>
      </w:r>
    </w:p>
    <w:p w14:paraId="2A0E985F" w14:textId="77777777" w:rsidR="00AD5A9B" w:rsidRPr="00B933FD" w:rsidRDefault="00AD5A9B" w:rsidP="00AD5A9B">
      <w:pPr>
        <w:spacing w:before="360" w:after="360"/>
        <w:jc w:val="center"/>
        <w:rPr>
          <w:rFonts w:ascii="Times New Roman Bold" w:hAnsi="Times New Roman Bold"/>
          <w:b/>
          <w:noProof/>
          <w:color w:val="000000" w:themeColor="text1"/>
          <w:szCs w:val="24"/>
        </w:rPr>
      </w:pPr>
      <w:r w:rsidRPr="00B933FD">
        <w:rPr>
          <w:rFonts w:ascii="Times New Roman Bold" w:hAnsi="Times New Roman Bold"/>
          <w:b/>
          <w:noProof/>
          <w:color w:val="000000" w:themeColor="text1"/>
        </w:rPr>
        <w:t>o izmjeni Protokola 31. uz Sporazum o EGP-u o suradnji u posebnim područjima izvan četiriju sloboda</w:t>
      </w:r>
    </w:p>
    <w:p w14:paraId="0CF82D89" w14:textId="77777777" w:rsidR="00AD5A9B" w:rsidRPr="00B933FD" w:rsidRDefault="00AD5A9B" w:rsidP="00AD5A9B">
      <w:pPr>
        <w:spacing w:before="600"/>
        <w:rPr>
          <w:noProof/>
          <w:color w:val="000000" w:themeColor="text1"/>
          <w:szCs w:val="24"/>
        </w:rPr>
      </w:pPr>
      <w:r w:rsidRPr="00B933FD">
        <w:rPr>
          <w:noProof/>
          <w:color w:val="000000" w:themeColor="text1"/>
        </w:rPr>
        <w:t>ZAJEDNIČKI ODBOR EGP-a,</w:t>
      </w:r>
    </w:p>
    <w:p w14:paraId="27F79D04" w14:textId="77777777" w:rsidR="00AD5A9B" w:rsidRPr="00B933FD" w:rsidRDefault="00AD5A9B" w:rsidP="00AD5A9B">
      <w:pPr>
        <w:rPr>
          <w:noProof/>
          <w:color w:val="000000" w:themeColor="text1"/>
          <w:szCs w:val="24"/>
        </w:rPr>
      </w:pPr>
      <w:r w:rsidRPr="00B933FD">
        <w:rPr>
          <w:noProof/>
          <w:color w:val="000000" w:themeColor="text1"/>
        </w:rPr>
        <w:t>uzimajući u obzir Sporazum o Europskom gospodarskom prostoru („Sporazum o EGP-u”), a posebno njegove članke 86. i 98.,</w:t>
      </w:r>
    </w:p>
    <w:p w14:paraId="614F576D" w14:textId="77777777" w:rsidR="00AD5A9B" w:rsidRPr="00B933FD" w:rsidRDefault="00AD5A9B" w:rsidP="00AD5A9B">
      <w:pPr>
        <w:rPr>
          <w:noProof/>
          <w:color w:val="000000" w:themeColor="text1"/>
          <w:szCs w:val="24"/>
        </w:rPr>
      </w:pPr>
      <w:r w:rsidRPr="00B933FD">
        <w:rPr>
          <w:noProof/>
          <w:color w:val="000000" w:themeColor="text1"/>
        </w:rPr>
        <w:t>budući da:</w:t>
      </w:r>
    </w:p>
    <w:p w14:paraId="3BD9DA8C" w14:textId="77777777" w:rsidR="00AD5A9B" w:rsidRPr="00B933FD" w:rsidRDefault="00AD5A9B" w:rsidP="000D440C">
      <w:pPr>
        <w:pStyle w:val="Point0number"/>
        <w:numPr>
          <w:ilvl w:val="0"/>
          <w:numId w:val="13"/>
        </w:numPr>
        <w:rPr>
          <w:noProof/>
        </w:rPr>
      </w:pPr>
      <w:r w:rsidRPr="00B933FD">
        <w:rPr>
          <w:noProof/>
        </w:rPr>
        <w:t xml:space="preserve">Primjereno je </w:t>
      </w:r>
      <w:bookmarkStart w:id="1" w:name="_Hlk159256736"/>
      <w:r w:rsidRPr="00B933FD">
        <w:rPr>
          <w:noProof/>
        </w:rPr>
        <w:t xml:space="preserve">proširiti suradnju ugovornih stranaka Sporazuma o EGP-u kako bi se uključila </w:t>
      </w:r>
      <w:bookmarkStart w:id="2" w:name="_Hlk82077743"/>
      <w:r w:rsidRPr="00B933FD">
        <w:rPr>
          <w:noProof/>
        </w:rPr>
        <w:t>Uredba (EU) 2019/127 Europskog parlamenta i Vijeća od 16. siječnja 2019. o osnivanju Europske zaklade za poboljšanje životnih i radnih uvjeta (Eurofound) i stavljanju izvan snage Uredbe Vijeća (EEZ) br. 1365/75</w:t>
      </w:r>
      <w:r w:rsidRPr="00B933FD">
        <w:rPr>
          <w:rStyle w:val="FootnoteReference"/>
          <w:noProof/>
          <w:szCs w:val="24"/>
        </w:rPr>
        <w:footnoteReference w:id="1"/>
      </w:r>
      <w:bookmarkEnd w:id="1"/>
      <w:bookmarkEnd w:id="2"/>
      <w:r w:rsidRPr="00B933FD">
        <w:rPr>
          <w:noProof/>
        </w:rPr>
        <w:t>.</w:t>
      </w:r>
    </w:p>
    <w:p w14:paraId="2FA2008E" w14:textId="77777777" w:rsidR="00AD5A9B" w:rsidRPr="00B933FD" w:rsidRDefault="00AD5A9B" w:rsidP="00AD5A9B">
      <w:pPr>
        <w:pStyle w:val="Point0number"/>
        <w:rPr>
          <w:noProof/>
          <w:color w:val="000000" w:themeColor="text1"/>
          <w:szCs w:val="24"/>
        </w:rPr>
      </w:pPr>
      <w:bookmarkStart w:id="4" w:name="_Hlk159257556"/>
      <w:r w:rsidRPr="00B933FD">
        <w:rPr>
          <w:noProof/>
          <w:color w:val="000000" w:themeColor="text1"/>
        </w:rPr>
        <w:t>Načini sudjelovanja država EFTA-e u Eurofoundu utvrđeni su u „Okvirnom sporazumu o načinima sudjelovanja u Europskoj zakladi za poboljšanje životnih i radnih uvjeta / suradnje EFTA-e” od 12. rujna 1994.</w:t>
      </w:r>
      <w:bookmarkEnd w:id="4"/>
    </w:p>
    <w:p w14:paraId="74FC1D4D" w14:textId="77777777" w:rsidR="00AD5A9B" w:rsidRPr="00B933FD" w:rsidRDefault="00AD5A9B" w:rsidP="00AD5A9B">
      <w:pPr>
        <w:pStyle w:val="Point0number"/>
        <w:rPr>
          <w:noProof/>
          <w:color w:val="000000" w:themeColor="text1"/>
          <w:szCs w:val="24"/>
        </w:rPr>
      </w:pPr>
      <w:r w:rsidRPr="00B933FD">
        <w:rPr>
          <w:noProof/>
        </w:rPr>
        <w:t>Uredbom (EU) 2019/127 stavlja se izvan snage Uredba Vijeća (EEZ) br. 1365/75, koja je uključena u Sporazum o EGP-u i koja se stoga treba isključiti iz njega.</w:t>
      </w:r>
    </w:p>
    <w:p w14:paraId="06FD0B63" w14:textId="77777777" w:rsidR="00AD5A9B" w:rsidRPr="00B933FD" w:rsidRDefault="00AD5A9B" w:rsidP="00AD5A9B">
      <w:pPr>
        <w:pStyle w:val="Point0number"/>
        <w:rPr>
          <w:noProof/>
          <w:color w:val="000000" w:themeColor="text1"/>
          <w:szCs w:val="24"/>
        </w:rPr>
      </w:pPr>
      <w:r w:rsidRPr="00B933FD">
        <w:rPr>
          <w:noProof/>
        </w:rPr>
        <w:t>Protokol 31. uz Sporazum o EGP-u trebalo bi stoga izmijeniti kako bi se omogućila provedba te proširene suradnje,</w:t>
      </w:r>
    </w:p>
    <w:p w14:paraId="34AA848C" w14:textId="77777777" w:rsidR="00AD5A9B" w:rsidRPr="00B933FD" w:rsidRDefault="00AD5A9B" w:rsidP="00AD5A9B">
      <w:pPr>
        <w:keepNext/>
        <w:tabs>
          <w:tab w:val="left" w:pos="709"/>
        </w:tabs>
        <w:rPr>
          <w:noProof/>
          <w:color w:val="000000" w:themeColor="text1"/>
          <w:szCs w:val="24"/>
        </w:rPr>
      </w:pPr>
      <w:r w:rsidRPr="00B933FD">
        <w:rPr>
          <w:noProof/>
          <w:color w:val="000000" w:themeColor="text1"/>
        </w:rPr>
        <w:t>DONIO JE OVU ODLUKU:</w:t>
      </w:r>
    </w:p>
    <w:p w14:paraId="0CABAF73" w14:textId="77777777" w:rsidR="00AD5A9B" w:rsidRPr="00B933FD" w:rsidRDefault="00AD5A9B" w:rsidP="00AD5A9B">
      <w:pPr>
        <w:pStyle w:val="Articleheading"/>
        <w:rPr>
          <w:noProof/>
        </w:rPr>
      </w:pPr>
      <w:r w:rsidRPr="00B933FD">
        <w:rPr>
          <w:noProof/>
        </w:rPr>
        <w:t>Članak 1.</w:t>
      </w:r>
    </w:p>
    <w:p w14:paraId="31769849" w14:textId="77777777" w:rsidR="00AD5A9B" w:rsidRPr="00B933FD" w:rsidRDefault="00AD5A9B" w:rsidP="00AD5A9B">
      <w:pPr>
        <w:pStyle w:val="Articletext"/>
        <w:rPr>
          <w:noProof/>
        </w:rPr>
      </w:pPr>
      <w:r w:rsidRPr="00B933FD">
        <w:rPr>
          <w:noProof/>
        </w:rPr>
        <w:t>Tekst članka 5. točke 10. Protokola 31. zamjenjuje se sljedećim:</w:t>
      </w:r>
    </w:p>
    <w:p w14:paraId="2DBCE344" w14:textId="77777777" w:rsidR="00AD5A9B" w:rsidRPr="00B933FD" w:rsidRDefault="00AD5A9B" w:rsidP="00AD5A9B">
      <w:pPr>
        <w:pStyle w:val="Articletext"/>
        <w:rPr>
          <w:noProof/>
        </w:rPr>
      </w:pPr>
      <w:r w:rsidRPr="00B933FD">
        <w:rPr>
          <w:noProof/>
        </w:rPr>
        <w:t>„Države ugovornice nastoje ojačati suradnju u okviru sljedećih akata:</w:t>
      </w:r>
    </w:p>
    <w:p w14:paraId="42676AC4" w14:textId="77777777" w:rsidR="00AD5A9B" w:rsidRPr="00B933FD" w:rsidRDefault="00AD5A9B" w:rsidP="00AD5A9B">
      <w:pPr>
        <w:pStyle w:val="Point0"/>
        <w:rPr>
          <w:noProof/>
        </w:rPr>
      </w:pPr>
      <w:r w:rsidRPr="00B933FD">
        <w:rPr>
          <w:noProof/>
        </w:rPr>
        <w:t>—</w:t>
      </w:r>
      <w:r w:rsidRPr="00B933FD">
        <w:rPr>
          <w:noProof/>
        </w:rPr>
        <w:tab/>
      </w:r>
      <w:r w:rsidRPr="00B933FD">
        <w:rPr>
          <w:b/>
          <w:noProof/>
        </w:rPr>
        <w:t>32019 R 0127</w:t>
      </w:r>
      <w:r w:rsidRPr="00B933FD">
        <w:rPr>
          <w:noProof/>
        </w:rPr>
        <w:t>: Uredba (EU) 2019/127 Europskog parlamenta i Vijeća od 16. siječnja 2019. o osnivanju Europske zaklade za poboljšanje životnih i radnih uvjeta (Eurofound) i stavljanju izvan snage Uredbe Vijeća (EEZ) br. 1365/75 (SL L 30, 31.1.2019., str. 74.).”.</w:t>
      </w:r>
    </w:p>
    <w:p w14:paraId="1477AA7C" w14:textId="77777777" w:rsidR="00AD5A9B" w:rsidRPr="00B933FD" w:rsidRDefault="00AD5A9B" w:rsidP="00AD5A9B">
      <w:pPr>
        <w:pStyle w:val="Articleheading"/>
        <w:rPr>
          <w:noProof/>
        </w:rPr>
      </w:pPr>
      <w:r w:rsidRPr="00B933FD">
        <w:rPr>
          <w:noProof/>
        </w:rPr>
        <w:t>Članak 2.</w:t>
      </w:r>
    </w:p>
    <w:p w14:paraId="4DD42340" w14:textId="0F5E63E5" w:rsidR="00AD5A9B" w:rsidRPr="00B933FD" w:rsidRDefault="00AD5A9B" w:rsidP="00AD5A9B">
      <w:pPr>
        <w:pStyle w:val="Articletext"/>
        <w:rPr>
          <w:noProof/>
        </w:rPr>
      </w:pPr>
      <w:r w:rsidRPr="00B933FD">
        <w:rPr>
          <w:noProof/>
        </w:rPr>
        <w:t>Ova Odluka stupa na snagu dan nakon zadnje obavijesti iz članka 103. stavka 1. Sporazuma o EGP-u</w:t>
      </w:r>
      <w:r w:rsidRPr="00B933FD">
        <w:rPr>
          <w:rStyle w:val="FootnoteReference"/>
          <w:b/>
          <w:noProof/>
        </w:rPr>
        <w:footnoteReference w:customMarkFollows="1" w:id="2"/>
        <w:sym w:font="Symbol" w:char="F02A"/>
      </w:r>
      <w:r w:rsidRPr="00B933FD">
        <w:rPr>
          <w:noProof/>
        </w:rPr>
        <w:t>.</w:t>
      </w:r>
    </w:p>
    <w:p w14:paraId="5E591DAC" w14:textId="77777777" w:rsidR="00AD5A9B" w:rsidRPr="00B933FD" w:rsidRDefault="00AD5A9B" w:rsidP="00AD5A9B">
      <w:pPr>
        <w:pStyle w:val="Articletext"/>
        <w:rPr>
          <w:noProof/>
        </w:rPr>
      </w:pPr>
      <w:r w:rsidRPr="00B933FD">
        <w:rPr>
          <w:noProof/>
        </w:rPr>
        <w:t>Primjenjuje se od 1. siječnja [godina].</w:t>
      </w:r>
    </w:p>
    <w:p w14:paraId="1BD43E02" w14:textId="77777777" w:rsidR="00AD5A9B" w:rsidRPr="00B933FD" w:rsidRDefault="00AD5A9B" w:rsidP="00AD5A9B">
      <w:pPr>
        <w:pStyle w:val="Articleheading"/>
        <w:rPr>
          <w:noProof/>
        </w:rPr>
      </w:pPr>
      <w:r w:rsidRPr="00B933FD">
        <w:rPr>
          <w:noProof/>
        </w:rPr>
        <w:t>Članak 3.</w:t>
      </w:r>
    </w:p>
    <w:p w14:paraId="385B8322" w14:textId="77777777" w:rsidR="00AD5A9B" w:rsidRPr="00B933FD" w:rsidRDefault="00AD5A9B" w:rsidP="00AD5A9B">
      <w:pPr>
        <w:pStyle w:val="Articletext"/>
        <w:rPr>
          <w:noProof/>
        </w:rPr>
      </w:pPr>
      <w:r w:rsidRPr="00B933FD">
        <w:rPr>
          <w:noProof/>
        </w:rPr>
        <w:t xml:space="preserve">Ova se Odluka objavljuje u odjeljku o EGP-u </w:t>
      </w:r>
      <w:r w:rsidRPr="00B933FD">
        <w:rPr>
          <w:i/>
          <w:iCs/>
          <w:noProof/>
        </w:rPr>
        <w:t>Službenog lista Europske unije</w:t>
      </w:r>
      <w:r w:rsidRPr="00B933FD">
        <w:rPr>
          <w:noProof/>
        </w:rPr>
        <w:t xml:space="preserve"> i u Dodatku o EGP-u </w:t>
      </w:r>
      <w:r w:rsidRPr="00B933FD">
        <w:rPr>
          <w:i/>
          <w:iCs/>
          <w:noProof/>
        </w:rPr>
        <w:t>Službenom listu Europske unije</w:t>
      </w:r>
      <w:r w:rsidRPr="00B933FD">
        <w:rPr>
          <w:noProof/>
        </w:rPr>
        <w:t>.</w:t>
      </w:r>
    </w:p>
    <w:p w14:paraId="29C26FDE" w14:textId="77777777" w:rsidR="00AD5A9B" w:rsidRPr="00B933FD" w:rsidRDefault="00AD5A9B" w:rsidP="00AD5A9B">
      <w:pPr>
        <w:rPr>
          <w:noProof/>
          <w:szCs w:val="24"/>
        </w:rPr>
      </w:pPr>
      <w:r w:rsidRPr="00B933FD">
        <w:rPr>
          <w:noProof/>
        </w:rPr>
        <w:t xml:space="preserve">Sastavljeno u Bruxellesu </w:t>
      </w:r>
      <w:r w:rsidRPr="00B933FD">
        <w:rPr>
          <w:rStyle w:val="Marker"/>
          <w:noProof/>
        </w:rPr>
        <w:t>[…]</w:t>
      </w:r>
      <w:r w:rsidRPr="00B933FD">
        <w:rPr>
          <w:noProof/>
        </w:rPr>
        <w:t>.</w:t>
      </w:r>
    </w:p>
    <w:p w14:paraId="234A5A30" w14:textId="77777777" w:rsidR="00AD5A9B" w:rsidRPr="00B933FD" w:rsidRDefault="00AD5A9B" w:rsidP="00AD5A9B">
      <w:pPr>
        <w:tabs>
          <w:tab w:val="left" w:pos="4253"/>
        </w:tabs>
        <w:spacing w:before="720" w:after="0"/>
        <w:rPr>
          <w:i/>
          <w:noProof/>
          <w:szCs w:val="24"/>
        </w:rPr>
      </w:pPr>
      <w:r w:rsidRPr="00B933FD">
        <w:rPr>
          <w:i/>
          <w:noProof/>
        </w:rPr>
        <w:tab/>
        <w:t>Za Zajednički odbor EGP-a</w:t>
      </w:r>
    </w:p>
    <w:p w14:paraId="7672A24D" w14:textId="77777777" w:rsidR="00AD5A9B" w:rsidRPr="00B933FD" w:rsidRDefault="00AD5A9B" w:rsidP="00AD5A9B">
      <w:pPr>
        <w:tabs>
          <w:tab w:val="left" w:pos="4253"/>
        </w:tabs>
        <w:spacing w:after="0"/>
        <w:rPr>
          <w:i/>
          <w:noProof/>
          <w:szCs w:val="24"/>
        </w:rPr>
      </w:pPr>
      <w:r w:rsidRPr="00B933FD">
        <w:rPr>
          <w:i/>
          <w:noProof/>
        </w:rPr>
        <w:tab/>
        <w:t>Predsjednik</w:t>
      </w:r>
    </w:p>
    <w:p w14:paraId="26C94D06" w14:textId="77777777" w:rsidR="00AD5A9B" w:rsidRPr="00B933FD" w:rsidRDefault="00AD5A9B" w:rsidP="00AD5A9B">
      <w:pPr>
        <w:tabs>
          <w:tab w:val="left" w:pos="4253"/>
        </w:tabs>
        <w:spacing w:after="0"/>
        <w:rPr>
          <w:i/>
          <w:noProof/>
          <w:szCs w:val="24"/>
        </w:rPr>
      </w:pPr>
      <w:r w:rsidRPr="00B933FD">
        <w:rPr>
          <w:i/>
          <w:noProof/>
        </w:rPr>
        <w:tab/>
      </w:r>
      <w:r w:rsidRPr="00B933FD">
        <w:rPr>
          <w:rStyle w:val="Marker"/>
          <w:i/>
          <w:noProof/>
        </w:rPr>
        <w:t>[…]</w:t>
      </w:r>
    </w:p>
    <w:p w14:paraId="139CAC22" w14:textId="77777777" w:rsidR="00AD5A9B" w:rsidRPr="00B933FD" w:rsidRDefault="00AD5A9B" w:rsidP="00AD5A9B">
      <w:pPr>
        <w:pStyle w:val="ListParagraph"/>
        <w:ind w:left="0"/>
        <w:rPr>
          <w:rStyle w:val="Marker"/>
          <w:noProof/>
        </w:rPr>
      </w:pPr>
    </w:p>
    <w:p w14:paraId="7C845CBB" w14:textId="77777777" w:rsidR="00AD5A9B" w:rsidRPr="00B933FD" w:rsidRDefault="00AD5A9B" w:rsidP="00AD5A9B">
      <w:pPr>
        <w:pStyle w:val="ListParagraph"/>
        <w:ind w:left="0"/>
        <w:rPr>
          <w:rStyle w:val="Marker"/>
          <w:noProof/>
        </w:rPr>
      </w:pPr>
    </w:p>
    <w:p w14:paraId="7CE65D9A" w14:textId="77777777" w:rsidR="00AD5A9B" w:rsidRPr="00B933FD" w:rsidRDefault="00AD5A9B" w:rsidP="00AD5A9B">
      <w:pPr>
        <w:pStyle w:val="ListParagraph"/>
        <w:tabs>
          <w:tab w:val="left" w:pos="4253"/>
        </w:tabs>
        <w:ind w:left="0"/>
        <w:rPr>
          <w:rFonts w:cs="Times New Roman"/>
          <w:i/>
          <w:noProof/>
          <w:szCs w:val="24"/>
        </w:rPr>
      </w:pPr>
      <w:r w:rsidRPr="00B933FD">
        <w:rPr>
          <w:i/>
          <w:noProof/>
        </w:rPr>
        <w:tab/>
        <w:t>Tajnici</w:t>
      </w:r>
    </w:p>
    <w:p w14:paraId="2CA1DDE6" w14:textId="77777777" w:rsidR="00AD5A9B" w:rsidRPr="00B933FD" w:rsidRDefault="00AD5A9B" w:rsidP="00AD5A9B">
      <w:pPr>
        <w:pStyle w:val="ListParagraph"/>
        <w:tabs>
          <w:tab w:val="left" w:pos="4253"/>
        </w:tabs>
        <w:ind w:left="0"/>
        <w:rPr>
          <w:rFonts w:cs="Times New Roman"/>
          <w:i/>
          <w:noProof/>
          <w:szCs w:val="24"/>
        </w:rPr>
      </w:pPr>
      <w:r w:rsidRPr="00B933FD">
        <w:rPr>
          <w:i/>
          <w:noProof/>
        </w:rPr>
        <w:tab/>
        <w:t>Zajedničkog odbora EGP-a</w:t>
      </w:r>
    </w:p>
    <w:p w14:paraId="58CA8B42" w14:textId="77777777" w:rsidR="00AD5A9B" w:rsidRPr="00B933FD" w:rsidRDefault="00AD5A9B" w:rsidP="00AD5A9B">
      <w:pPr>
        <w:pStyle w:val="ListParagraph"/>
        <w:tabs>
          <w:tab w:val="left" w:pos="4253"/>
        </w:tabs>
        <w:ind w:left="0"/>
        <w:rPr>
          <w:rFonts w:cs="Times New Roman"/>
          <w:i/>
          <w:noProof/>
          <w:szCs w:val="24"/>
        </w:rPr>
      </w:pPr>
      <w:r w:rsidRPr="00B933FD">
        <w:rPr>
          <w:i/>
          <w:noProof/>
        </w:rPr>
        <w:tab/>
      </w:r>
      <w:r w:rsidRPr="00B933FD">
        <w:rPr>
          <w:rStyle w:val="Marker"/>
          <w:i/>
          <w:noProof/>
        </w:rPr>
        <w:t>[…]</w:t>
      </w:r>
    </w:p>
    <w:p w14:paraId="6D4D407C" w14:textId="77777777" w:rsidR="00AD5A9B" w:rsidRPr="00B933FD" w:rsidRDefault="00AD5A9B" w:rsidP="00AD5A9B">
      <w:pPr>
        <w:rPr>
          <w:noProof/>
        </w:rPr>
      </w:pPr>
    </w:p>
    <w:p w14:paraId="47AFC943" w14:textId="77777777" w:rsidR="00AD5A9B" w:rsidRPr="00B933FD" w:rsidRDefault="00AD5A9B" w:rsidP="00AD5A9B">
      <w:pPr>
        <w:pStyle w:val="Point4b"/>
        <w:rPr>
          <w:noProof/>
        </w:rPr>
      </w:pPr>
    </w:p>
    <w:sectPr w:rsidR="00AD5A9B" w:rsidRPr="00B933FD" w:rsidSect="00E560E5">
      <w:headerReference w:type="even" r:id="rId15"/>
      <w:footerReference w:type="even" r:id="rId16"/>
      <w:footerReference w:type="default" r:id="rId17"/>
      <w:headerReference w:type="first" r:id="rId18"/>
      <w:footerReference w:type="first" r:id="rId19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6E98F4" w14:textId="77777777" w:rsidR="00FA089C" w:rsidRDefault="00FA089C" w:rsidP="00FA089C">
      <w:pPr>
        <w:spacing w:before="0" w:after="0"/>
      </w:pPr>
      <w:r>
        <w:separator/>
      </w:r>
    </w:p>
  </w:endnote>
  <w:endnote w:type="continuationSeparator" w:id="0">
    <w:p w14:paraId="51DB97D3" w14:textId="77777777" w:rsidR="00FA089C" w:rsidRDefault="00FA089C" w:rsidP="00FA089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0D7D" w14:textId="48DB9F38" w:rsidR="00E560E5" w:rsidRPr="00E560E5" w:rsidRDefault="00E560E5" w:rsidP="00E560E5">
    <w:pPr>
      <w:pStyle w:val="Footer"/>
      <w:rPr>
        <w:rFonts w:ascii="Arial" w:hAnsi="Arial" w:cs="Arial"/>
        <w:b/>
        <w:sz w:val="48"/>
      </w:rPr>
    </w:pPr>
    <w:r w:rsidRPr="00E560E5">
      <w:rPr>
        <w:rFonts w:ascii="Arial" w:hAnsi="Arial" w:cs="Arial"/>
        <w:b/>
        <w:sz w:val="48"/>
      </w:rPr>
      <w:t>HR</w:t>
    </w:r>
    <w:r w:rsidRPr="00E560E5">
      <w:rPr>
        <w:rFonts w:ascii="Arial" w:hAnsi="Arial" w:cs="Arial"/>
        <w:b/>
        <w:sz w:val="48"/>
      </w:rPr>
      <w:tab/>
    </w:r>
    <w:r w:rsidRPr="00E560E5">
      <w:rPr>
        <w:rFonts w:ascii="Arial" w:hAnsi="Arial" w:cs="Arial"/>
        <w:b/>
        <w:sz w:val="48"/>
      </w:rPr>
      <w:tab/>
    </w:r>
    <w:r w:rsidRPr="00E560E5">
      <w:tab/>
    </w:r>
    <w:r w:rsidRPr="00E560E5">
      <w:rPr>
        <w:rFonts w:ascii="Arial" w:hAnsi="Arial" w:cs="Arial"/>
        <w:b/>
        <w:sz w:val="48"/>
      </w:rPr>
      <w:t>HR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05210" w14:textId="7EBDFF3D" w:rsidR="00E560E5" w:rsidRPr="00E560E5" w:rsidRDefault="00E560E5" w:rsidP="00E560E5">
    <w:pPr>
      <w:pStyle w:val="Footer"/>
      <w:rPr>
        <w:rFonts w:ascii="Arial" w:hAnsi="Arial" w:cs="Arial"/>
        <w:b/>
        <w:sz w:val="48"/>
      </w:rPr>
    </w:pPr>
    <w:r w:rsidRPr="00E560E5">
      <w:rPr>
        <w:rFonts w:ascii="Arial" w:hAnsi="Arial" w:cs="Arial"/>
        <w:b/>
        <w:sz w:val="48"/>
      </w:rPr>
      <w:t>HR</w:t>
    </w:r>
    <w:r w:rsidRPr="00E560E5">
      <w:rPr>
        <w:rFonts w:ascii="Arial" w:hAnsi="Arial" w:cs="Arial"/>
        <w:b/>
        <w:sz w:val="48"/>
      </w:rPr>
      <w:tab/>
    </w:r>
    <w:r w:rsidRPr="00E560E5">
      <w:rPr>
        <w:rFonts w:ascii="Arial" w:hAnsi="Arial" w:cs="Arial"/>
        <w:b/>
        <w:sz w:val="48"/>
      </w:rPr>
      <w:tab/>
    </w:r>
    <w:r w:rsidRPr="00E560E5">
      <w:tab/>
    </w:r>
    <w:r w:rsidRPr="00E560E5">
      <w:rPr>
        <w:rFonts w:ascii="Arial" w:hAnsi="Arial" w:cs="Arial"/>
        <w:b/>
        <w:sz w:val="48"/>
      </w:rPr>
      <w:t>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85881" w14:textId="77777777" w:rsidR="00E560E5" w:rsidRPr="00E560E5" w:rsidRDefault="00E560E5" w:rsidP="00E560E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38A6A" w14:textId="77777777" w:rsidR="00E560E5" w:rsidRDefault="00E560E5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F4508" w14:textId="0547C0A7" w:rsidR="00E560E5" w:rsidRPr="00E560E5" w:rsidRDefault="00E560E5" w:rsidP="00E560E5">
    <w:pPr>
      <w:pStyle w:val="Footer"/>
      <w:rPr>
        <w:rFonts w:ascii="Arial" w:hAnsi="Arial" w:cs="Arial"/>
        <w:b/>
        <w:sz w:val="48"/>
      </w:rPr>
    </w:pPr>
    <w:r w:rsidRPr="00E560E5">
      <w:rPr>
        <w:rFonts w:ascii="Arial" w:hAnsi="Arial" w:cs="Arial"/>
        <w:b/>
        <w:sz w:val="48"/>
      </w:rPr>
      <w:t>HR</w:t>
    </w:r>
    <w:r w:rsidRPr="00E560E5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E560E5">
      <w:tab/>
    </w:r>
    <w:r w:rsidRPr="00E560E5">
      <w:rPr>
        <w:rFonts w:ascii="Arial" w:hAnsi="Arial" w:cs="Arial"/>
        <w:b/>
        <w:sz w:val="48"/>
      </w:rPr>
      <w:t>HR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208FF" w14:textId="77777777" w:rsidR="00E560E5" w:rsidRDefault="00E560E5" w:rsidP="00E560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EB51E" w14:textId="77777777" w:rsidR="00FA089C" w:rsidRDefault="00FA089C" w:rsidP="00FA089C">
      <w:pPr>
        <w:spacing w:before="0" w:after="0"/>
      </w:pPr>
      <w:r>
        <w:separator/>
      </w:r>
    </w:p>
  </w:footnote>
  <w:footnote w:type="continuationSeparator" w:id="0">
    <w:p w14:paraId="3815565C" w14:textId="77777777" w:rsidR="00FA089C" w:rsidRDefault="00FA089C" w:rsidP="00FA089C">
      <w:pPr>
        <w:spacing w:before="0" w:after="0"/>
      </w:pPr>
      <w:r>
        <w:continuationSeparator/>
      </w:r>
    </w:p>
  </w:footnote>
  <w:footnote w:id="1">
    <w:p w14:paraId="39F9730F" w14:textId="4732D461" w:rsidR="00AD5A9B" w:rsidRPr="007365CA" w:rsidRDefault="00AD5A9B" w:rsidP="00AD5A9B">
      <w:pPr>
        <w:pStyle w:val="FootnoteText"/>
        <w:rPr>
          <w:color w:val="0000FF"/>
        </w:rPr>
      </w:pPr>
      <w:r>
        <w:rPr>
          <w:rStyle w:val="FootnoteReference"/>
        </w:rPr>
        <w:footnoteRef/>
      </w:r>
      <w:r>
        <w:tab/>
      </w:r>
      <w:bookmarkStart w:id="3" w:name="_Hlk159257017"/>
      <w:r>
        <w:t>SL L 30, 31.1.2019., str. 74.</w:t>
      </w:r>
      <w:bookmarkEnd w:id="3"/>
    </w:p>
  </w:footnote>
  <w:footnote w:id="2">
    <w:p w14:paraId="31BFEA41" w14:textId="77777777" w:rsidR="00AD5A9B" w:rsidRPr="003608F0" w:rsidRDefault="00AD5A9B" w:rsidP="00AD5A9B">
      <w:pPr>
        <w:pStyle w:val="FootnoteText"/>
      </w:pPr>
      <w:r>
        <w:rPr>
          <w:rStyle w:val="FootnoteReference"/>
        </w:rPr>
        <w:sym w:font="Symbol" w:char="F02A"/>
      </w:r>
      <w:r>
        <w:tab/>
        <w:t>[Ustavni zahtjevi nisu navedeni.] [Ustavni su zahtjevi navedeni.]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F2C08" w14:textId="77777777" w:rsidR="00E560E5" w:rsidRPr="00E560E5" w:rsidRDefault="00E560E5" w:rsidP="00E560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F46470" w14:textId="77777777" w:rsidR="00E560E5" w:rsidRPr="00E560E5" w:rsidRDefault="00E560E5" w:rsidP="00E560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32496" w14:textId="77777777" w:rsidR="00E560E5" w:rsidRPr="00E560E5" w:rsidRDefault="00E560E5" w:rsidP="00E560E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512407" w14:textId="77777777" w:rsidR="00E560E5" w:rsidRDefault="00E560E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08BDE" w14:textId="77777777" w:rsidR="00E560E5" w:rsidRDefault="00E560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C048214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3EE2F7B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321E28C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D8AE4D9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14D6D6A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BB44C5C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CA70C68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81A2A96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38317848"/>
    <w:multiLevelType w:val="hybridMultilevel"/>
    <w:tmpl w:val="4F1C422C"/>
    <w:styleLink w:val="ImportedStyle5"/>
    <w:lvl w:ilvl="0" w:tplc="EC5AFA20">
      <w:start w:val="1"/>
      <w:numFmt w:val="lowerRoman"/>
      <w:lvlText w:val="(%1)"/>
      <w:lvlJc w:val="left"/>
      <w:pPr>
        <w:tabs>
          <w:tab w:val="left" w:pos="4253"/>
        </w:tabs>
        <w:ind w:left="1429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C88343C">
      <w:start w:val="1"/>
      <w:numFmt w:val="lowerLetter"/>
      <w:lvlText w:val="%2."/>
      <w:lvlJc w:val="left"/>
      <w:pPr>
        <w:tabs>
          <w:tab w:val="left" w:pos="4253"/>
        </w:tabs>
        <w:ind w:left="17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6EC5040">
      <w:start w:val="1"/>
      <w:numFmt w:val="lowerRoman"/>
      <w:lvlText w:val="%3."/>
      <w:lvlJc w:val="left"/>
      <w:pPr>
        <w:tabs>
          <w:tab w:val="left" w:pos="4253"/>
        </w:tabs>
        <w:ind w:left="2509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06782A">
      <w:start w:val="1"/>
      <w:numFmt w:val="decimal"/>
      <w:lvlText w:val="%4."/>
      <w:lvlJc w:val="left"/>
      <w:pPr>
        <w:tabs>
          <w:tab w:val="left" w:pos="4253"/>
        </w:tabs>
        <w:ind w:left="322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B64606E">
      <w:start w:val="1"/>
      <w:numFmt w:val="lowerLetter"/>
      <w:lvlText w:val="%5."/>
      <w:lvlJc w:val="left"/>
      <w:pPr>
        <w:tabs>
          <w:tab w:val="left" w:pos="4253"/>
        </w:tabs>
        <w:ind w:left="394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92C608E">
      <w:start w:val="1"/>
      <w:numFmt w:val="lowerRoman"/>
      <w:lvlText w:val="%6."/>
      <w:lvlJc w:val="left"/>
      <w:pPr>
        <w:tabs>
          <w:tab w:val="left" w:pos="4253"/>
        </w:tabs>
        <w:ind w:left="4669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8140508">
      <w:start w:val="1"/>
      <w:numFmt w:val="decimal"/>
      <w:lvlText w:val="%7."/>
      <w:lvlJc w:val="left"/>
      <w:pPr>
        <w:tabs>
          <w:tab w:val="left" w:pos="4253"/>
        </w:tabs>
        <w:ind w:left="53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ECC0AC">
      <w:start w:val="1"/>
      <w:numFmt w:val="lowerLetter"/>
      <w:lvlText w:val="%8."/>
      <w:lvlJc w:val="left"/>
      <w:pPr>
        <w:tabs>
          <w:tab w:val="left" w:pos="4253"/>
        </w:tabs>
        <w:ind w:left="61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0708CAC">
      <w:start w:val="1"/>
      <w:numFmt w:val="lowerRoman"/>
      <w:lvlText w:val="%9."/>
      <w:lvlJc w:val="left"/>
      <w:pPr>
        <w:tabs>
          <w:tab w:val="left" w:pos="4253"/>
        </w:tabs>
        <w:ind w:left="6829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396A54C1"/>
    <w:multiLevelType w:val="hybridMultilevel"/>
    <w:tmpl w:val="92CE67CA"/>
    <w:styleLink w:val="ImportedStyle2"/>
    <w:lvl w:ilvl="0" w:tplc="250EEA4C">
      <w:start w:val="1"/>
      <w:numFmt w:val="decimal"/>
      <w:lvlText w:val="(%1)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BCCA95A">
      <w:start w:val="1"/>
      <w:numFmt w:val="lowerLetter"/>
      <w:lvlText w:val="%2."/>
      <w:lvlJc w:val="left"/>
      <w:pPr>
        <w:tabs>
          <w:tab w:val="left" w:pos="709"/>
        </w:tabs>
        <w:ind w:left="142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B44E02">
      <w:start w:val="1"/>
      <w:numFmt w:val="lowerRoman"/>
      <w:lvlText w:val="%3."/>
      <w:lvlJc w:val="left"/>
      <w:pPr>
        <w:tabs>
          <w:tab w:val="left" w:pos="709"/>
        </w:tabs>
        <w:ind w:left="2149" w:hanging="6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0CA95AE">
      <w:start w:val="1"/>
      <w:numFmt w:val="decimal"/>
      <w:lvlText w:val="%4."/>
      <w:lvlJc w:val="left"/>
      <w:pPr>
        <w:tabs>
          <w:tab w:val="left" w:pos="709"/>
        </w:tabs>
        <w:ind w:left="286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E2A348">
      <w:start w:val="1"/>
      <w:numFmt w:val="lowerLetter"/>
      <w:lvlText w:val="%5."/>
      <w:lvlJc w:val="left"/>
      <w:pPr>
        <w:tabs>
          <w:tab w:val="left" w:pos="709"/>
        </w:tabs>
        <w:ind w:left="358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B94ADAA">
      <w:start w:val="1"/>
      <w:numFmt w:val="lowerRoman"/>
      <w:lvlText w:val="%6."/>
      <w:lvlJc w:val="left"/>
      <w:pPr>
        <w:tabs>
          <w:tab w:val="left" w:pos="709"/>
        </w:tabs>
        <w:ind w:left="4309" w:hanging="6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99A3974">
      <w:start w:val="1"/>
      <w:numFmt w:val="decimal"/>
      <w:lvlText w:val="%7."/>
      <w:lvlJc w:val="left"/>
      <w:pPr>
        <w:tabs>
          <w:tab w:val="left" w:pos="709"/>
        </w:tabs>
        <w:ind w:left="502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B8CF956">
      <w:start w:val="1"/>
      <w:numFmt w:val="lowerLetter"/>
      <w:lvlText w:val="%8."/>
      <w:lvlJc w:val="left"/>
      <w:pPr>
        <w:tabs>
          <w:tab w:val="left" w:pos="709"/>
        </w:tabs>
        <w:ind w:left="574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2A9D0A">
      <w:start w:val="1"/>
      <w:numFmt w:val="lowerRoman"/>
      <w:lvlText w:val="%9."/>
      <w:lvlJc w:val="left"/>
      <w:pPr>
        <w:tabs>
          <w:tab w:val="left" w:pos="709"/>
        </w:tabs>
        <w:ind w:left="6469" w:hanging="6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5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6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7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8" w15:restartNumberingAfterBreak="0">
    <w:nsid w:val="4D8772F7"/>
    <w:multiLevelType w:val="hybridMultilevel"/>
    <w:tmpl w:val="8F262F1E"/>
    <w:styleLink w:val="ImportedStyle3"/>
    <w:lvl w:ilvl="0" w:tplc="F5905822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2C7186">
      <w:start w:val="1"/>
      <w:numFmt w:val="lowerLetter"/>
      <w:lvlText w:val="%2."/>
      <w:lvlJc w:val="left"/>
      <w:pPr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AE3022">
      <w:start w:val="1"/>
      <w:numFmt w:val="lowerRoman"/>
      <w:lvlText w:val="%3."/>
      <w:lvlJc w:val="left"/>
      <w:pPr>
        <w:ind w:left="216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756AE04">
      <w:start w:val="1"/>
      <w:numFmt w:val="decimal"/>
      <w:lvlText w:val="%4."/>
      <w:lvlJc w:val="left"/>
      <w:pPr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F103FAA">
      <w:start w:val="1"/>
      <w:numFmt w:val="lowerLetter"/>
      <w:lvlText w:val="%5."/>
      <w:lvlJc w:val="left"/>
      <w:pPr>
        <w:ind w:left="360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15E06E4">
      <w:start w:val="1"/>
      <w:numFmt w:val="lowerRoman"/>
      <w:lvlText w:val="%6."/>
      <w:lvlJc w:val="left"/>
      <w:pPr>
        <w:ind w:left="432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9421980">
      <w:start w:val="1"/>
      <w:numFmt w:val="decimal"/>
      <w:lvlText w:val="%7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2CE9B8">
      <w:start w:val="1"/>
      <w:numFmt w:val="lowerLetter"/>
      <w:lvlText w:val="%8."/>
      <w:lvlJc w:val="left"/>
      <w:pPr>
        <w:ind w:left="576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E3EA410">
      <w:start w:val="1"/>
      <w:numFmt w:val="lowerRoman"/>
      <w:lvlText w:val="%9."/>
      <w:lvlJc w:val="left"/>
      <w:pPr>
        <w:ind w:left="648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20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21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2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3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7101E9E"/>
    <w:multiLevelType w:val="hybridMultilevel"/>
    <w:tmpl w:val="8B24477A"/>
    <w:styleLink w:val="ImportedStyle4"/>
    <w:lvl w:ilvl="0" w:tplc="6A3876E8">
      <w:start w:val="1"/>
      <w:numFmt w:val="bullet"/>
      <w:lvlText w:val="-"/>
      <w:lvlJc w:val="left"/>
      <w:pPr>
        <w:tabs>
          <w:tab w:val="left" w:pos="4253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60F91A">
      <w:start w:val="1"/>
      <w:numFmt w:val="bullet"/>
      <w:lvlText w:val="o"/>
      <w:lvlJc w:val="left"/>
      <w:pPr>
        <w:tabs>
          <w:tab w:val="left" w:pos="4253"/>
        </w:tabs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2839A2">
      <w:start w:val="1"/>
      <w:numFmt w:val="bullet"/>
      <w:lvlText w:val="▪"/>
      <w:lvlJc w:val="left"/>
      <w:pPr>
        <w:tabs>
          <w:tab w:val="left" w:pos="4253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569132">
      <w:start w:val="1"/>
      <w:numFmt w:val="bullet"/>
      <w:lvlText w:val="•"/>
      <w:lvlJc w:val="left"/>
      <w:pPr>
        <w:tabs>
          <w:tab w:val="left" w:pos="4253"/>
        </w:tabs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49A3050">
      <w:start w:val="1"/>
      <w:numFmt w:val="bullet"/>
      <w:lvlText w:val="o"/>
      <w:lvlJc w:val="left"/>
      <w:pPr>
        <w:tabs>
          <w:tab w:val="left" w:pos="4253"/>
        </w:tabs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59A70DC">
      <w:start w:val="1"/>
      <w:numFmt w:val="bullet"/>
      <w:lvlText w:val="▪"/>
      <w:lvlJc w:val="left"/>
      <w:pPr>
        <w:tabs>
          <w:tab w:val="left" w:pos="4253"/>
        </w:tabs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25AA64E">
      <w:start w:val="1"/>
      <w:numFmt w:val="bullet"/>
      <w:lvlText w:val="•"/>
      <w:lvlJc w:val="left"/>
      <w:pPr>
        <w:tabs>
          <w:tab w:val="left" w:pos="4253"/>
        </w:tabs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708338">
      <w:start w:val="1"/>
      <w:numFmt w:val="bullet"/>
      <w:lvlText w:val="o"/>
      <w:lvlJc w:val="left"/>
      <w:pPr>
        <w:tabs>
          <w:tab w:val="left" w:pos="4253"/>
        </w:tabs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9ACCA00">
      <w:start w:val="1"/>
      <w:numFmt w:val="bullet"/>
      <w:lvlText w:val="▪"/>
      <w:lvlJc w:val="left"/>
      <w:pPr>
        <w:tabs>
          <w:tab w:val="left" w:pos="4253"/>
        </w:tabs>
        <w:ind w:left="68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6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3"/>
  </w:num>
  <w:num w:numId="10">
    <w:abstractNumId w:val="18"/>
  </w:num>
  <w:num w:numId="11">
    <w:abstractNumId w:val="24"/>
  </w:num>
  <w:num w:numId="12">
    <w:abstractNumId w:val="12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4"/>
  </w:num>
  <w:num w:numId="16">
    <w:abstractNumId w:val="25"/>
  </w:num>
  <w:num w:numId="17">
    <w:abstractNumId w:val="11"/>
  </w:num>
  <w:num w:numId="18">
    <w:abstractNumId w:val="15"/>
  </w:num>
  <w:num w:numId="19">
    <w:abstractNumId w:val="16"/>
  </w:num>
  <w:num w:numId="20">
    <w:abstractNumId w:val="9"/>
  </w:num>
  <w:num w:numId="21">
    <w:abstractNumId w:val="23"/>
  </w:num>
  <w:num w:numId="22">
    <w:abstractNumId w:val="8"/>
  </w:num>
  <w:num w:numId="23">
    <w:abstractNumId w:val="17"/>
  </w:num>
  <w:num w:numId="24">
    <w:abstractNumId w:val="20"/>
  </w:num>
  <w:num w:numId="25">
    <w:abstractNumId w:val="21"/>
  </w:num>
  <w:num w:numId="26">
    <w:abstractNumId w:val="10"/>
  </w:num>
  <w:num w:numId="27">
    <w:abstractNumId w:val="19"/>
  </w:num>
  <w:num w:numId="28">
    <w:abstractNumId w:val="2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R_RefLast" w:val="0"/>
    <w:docVar w:name="DQCDateTime" w:val="2024-05-16 09:21:02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  "/>
    <w:docVar w:name="LW_ACCOMPAGNANT.CP" w:val="  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30155DF9-34B0-42B5-8819-83FA6991C726"/>
    <w:docVar w:name="LW_COVERPAGE_TYPE" w:val="1"/>
    <w:docVar w:name="LW_CROSSREFERENCE" w:val="&lt;UNUSED&gt;"/>
    <w:docVar w:name="LW_DocType" w:val="ANNEX"/>
    <w:docVar w:name="LW_EMISSION" w:val="17.5.2024."/>
    <w:docVar w:name="LW_EMISSION_ISODATE" w:val="2024-05-17"/>
    <w:docVar w:name="LW_EMISSION_LOCATION" w:val="BRX"/>
    <w:docVar w:name="LW_EMISSION_PREFIX" w:val="Bruxelles, "/>
    <w:docVar w:name="LW_EMISSION_SUFFIX" w:val="&lt;EMPTY&gt;"/>
    <w:docVar w:name="LW_ID_DOCSTRUCTURE" w:val="COM/ANNEX"/>
    <w:docVar w:name="LW_ID_DOCTYPE" w:val="SG-017"/>
    <w:docVar w:name="LW_LANGUE" w:val="HR"/>
    <w:docVar w:name="LW_LEVEL_OF_SENSITIVITY" w:val="Standard treatment"/>
    <w:docVar w:name="LW_NOM.INST" w:val="EUROPSKA KOMISIJA"/>
    <w:docVar w:name="LW_NOM.INST_JOINTDOC" w:val="&lt;EMPTY&gt;"/>
    <w:docVar w:name="LW_OBJETACTEPRINCIPAL" w:val="o stajali\u353?tu koje treba zauzeti u ime Europske unije u okviru Zajedni\u269?kog odbora EGP-a u vezi s izmjenom Protokola 31. uz Sporazum o EGP-u o suradnji u posebnim podru\u269?jima izvan \u269?etiriju sloboda_x000d__x000d__x000d__x000d__x000d__x000d__x000d__x000b__x000d__x000d__x000d__x000d__x000d__x000d__x000d__x000b_(Eurofound)"/>
    <w:docVar w:name="LW_OBJETACTEPRINCIPAL.CP" w:val="o stajali\u353?tu koje treba zauzeti u ime Europske unije u okviru Zajedni\u269?kog odbora EGP-a u vezi s izmjenom Protokola 31. uz Sporazum o EGP-u o suradnji u posebnim podru\u269?jima izvan \u269?etiriju sloboda_x000d__x000d__x000d__x000d__x000d__x000d__x000d__x000b__x000d__x000d__x000d__x000d__x000d__x000d__x000d__x000b_(Eurofound)"/>
    <w:docVar w:name="LW_PART_NBR" w:val="1"/>
    <w:docVar w:name="LW_PART_NBR_TOTAL" w:val="1"/>
    <w:docVar w:name="LW_REF.INST.NEW" w:val="COM"/>
    <w:docVar w:name="LW_REF.INST.NEW_ADOPTED" w:val="final"/>
    <w:docVar w:name="LW_REF.INST.NEW_TEXT" w:val="(2024) 205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PRILOG"/>
    <w:docVar w:name="LW_TYPE.DOC.CP" w:val="PRILOG"/>
    <w:docVar w:name="LW_TYPEACTEPRINCIPAL" w:val="Prijedlogu_x000b__x000b_ODLUKE VIJE\u262?A"/>
    <w:docVar w:name="LW_TYPEACTEPRINCIPAL.CP" w:val="Prijedlogu_x000b__x000b_ODLUKE VIJE\u262?A"/>
    <w:docVar w:name="LwApiVersions" w:val="LW4CoDe 1.24.5.0; LW 9.0, Build 20240221"/>
  </w:docVars>
  <w:rsids>
    <w:rsidRoot w:val="00FA089C"/>
    <w:rsid w:val="00004945"/>
    <w:rsid w:val="00034722"/>
    <w:rsid w:val="000440A0"/>
    <w:rsid w:val="0005237D"/>
    <w:rsid w:val="00061BBD"/>
    <w:rsid w:val="000C69A7"/>
    <w:rsid w:val="000D440C"/>
    <w:rsid w:val="000E198E"/>
    <w:rsid w:val="000F3476"/>
    <w:rsid w:val="0012014F"/>
    <w:rsid w:val="0012048A"/>
    <w:rsid w:val="00153FF9"/>
    <w:rsid w:val="001770F8"/>
    <w:rsid w:val="00185721"/>
    <w:rsid w:val="00192B5B"/>
    <w:rsid w:val="001C2816"/>
    <w:rsid w:val="001D6F25"/>
    <w:rsid w:val="002152FC"/>
    <w:rsid w:val="00285931"/>
    <w:rsid w:val="00294524"/>
    <w:rsid w:val="002D3DFC"/>
    <w:rsid w:val="002F2559"/>
    <w:rsid w:val="002F61FE"/>
    <w:rsid w:val="00320A4E"/>
    <w:rsid w:val="00327C3C"/>
    <w:rsid w:val="00373143"/>
    <w:rsid w:val="003920FB"/>
    <w:rsid w:val="003E52B4"/>
    <w:rsid w:val="003F0E54"/>
    <w:rsid w:val="00407DF3"/>
    <w:rsid w:val="00415CCF"/>
    <w:rsid w:val="004369FD"/>
    <w:rsid w:val="004476AE"/>
    <w:rsid w:val="00455DDA"/>
    <w:rsid w:val="00484058"/>
    <w:rsid w:val="004C146F"/>
    <w:rsid w:val="00500040"/>
    <w:rsid w:val="005210EF"/>
    <w:rsid w:val="005845A6"/>
    <w:rsid w:val="005E5466"/>
    <w:rsid w:val="005E7F03"/>
    <w:rsid w:val="005F59E6"/>
    <w:rsid w:val="005F61A3"/>
    <w:rsid w:val="006531D7"/>
    <w:rsid w:val="00655FE8"/>
    <w:rsid w:val="006A5177"/>
    <w:rsid w:val="006C59B2"/>
    <w:rsid w:val="006E054A"/>
    <w:rsid w:val="006E255E"/>
    <w:rsid w:val="00731592"/>
    <w:rsid w:val="00761D40"/>
    <w:rsid w:val="0076759F"/>
    <w:rsid w:val="00780782"/>
    <w:rsid w:val="007921C7"/>
    <w:rsid w:val="007D7772"/>
    <w:rsid w:val="007E131B"/>
    <w:rsid w:val="00810E27"/>
    <w:rsid w:val="00826EE6"/>
    <w:rsid w:val="00827826"/>
    <w:rsid w:val="008612AB"/>
    <w:rsid w:val="008A1F01"/>
    <w:rsid w:val="008E43D6"/>
    <w:rsid w:val="00952E0F"/>
    <w:rsid w:val="00974C60"/>
    <w:rsid w:val="00986B33"/>
    <w:rsid w:val="00987AD5"/>
    <w:rsid w:val="009F0A00"/>
    <w:rsid w:val="009F5467"/>
    <w:rsid w:val="00A145EF"/>
    <w:rsid w:val="00A164EF"/>
    <w:rsid w:val="00A16CA5"/>
    <w:rsid w:val="00A255F3"/>
    <w:rsid w:val="00A52F7E"/>
    <w:rsid w:val="00A71FC6"/>
    <w:rsid w:val="00A93C8A"/>
    <w:rsid w:val="00AA31D7"/>
    <w:rsid w:val="00AB1D15"/>
    <w:rsid w:val="00AD5A9B"/>
    <w:rsid w:val="00B048CF"/>
    <w:rsid w:val="00B05913"/>
    <w:rsid w:val="00B0658F"/>
    <w:rsid w:val="00B14D97"/>
    <w:rsid w:val="00B42901"/>
    <w:rsid w:val="00B45548"/>
    <w:rsid w:val="00B704E9"/>
    <w:rsid w:val="00B711EC"/>
    <w:rsid w:val="00B856AB"/>
    <w:rsid w:val="00B87013"/>
    <w:rsid w:val="00B90126"/>
    <w:rsid w:val="00B933FD"/>
    <w:rsid w:val="00BB0CF3"/>
    <w:rsid w:val="00BB37E9"/>
    <w:rsid w:val="00BC2EB6"/>
    <w:rsid w:val="00BF17AA"/>
    <w:rsid w:val="00BF5C8E"/>
    <w:rsid w:val="00C24294"/>
    <w:rsid w:val="00C24556"/>
    <w:rsid w:val="00C362A9"/>
    <w:rsid w:val="00C445CB"/>
    <w:rsid w:val="00C5255D"/>
    <w:rsid w:val="00C55C9C"/>
    <w:rsid w:val="00C61C6D"/>
    <w:rsid w:val="00C91E25"/>
    <w:rsid w:val="00CF4F2E"/>
    <w:rsid w:val="00CF7406"/>
    <w:rsid w:val="00D05904"/>
    <w:rsid w:val="00D15D13"/>
    <w:rsid w:val="00D7412A"/>
    <w:rsid w:val="00D801B5"/>
    <w:rsid w:val="00D9211B"/>
    <w:rsid w:val="00DF0D83"/>
    <w:rsid w:val="00E10491"/>
    <w:rsid w:val="00E420DD"/>
    <w:rsid w:val="00E560E5"/>
    <w:rsid w:val="00E7115E"/>
    <w:rsid w:val="00E871BC"/>
    <w:rsid w:val="00EA2DD0"/>
    <w:rsid w:val="00EC53A0"/>
    <w:rsid w:val="00EE0A65"/>
    <w:rsid w:val="00EF3F78"/>
    <w:rsid w:val="00EF3FF8"/>
    <w:rsid w:val="00F00E4B"/>
    <w:rsid w:val="00F016EA"/>
    <w:rsid w:val="00F310E2"/>
    <w:rsid w:val="00F34A2B"/>
    <w:rsid w:val="00F4246A"/>
    <w:rsid w:val="00F44453"/>
    <w:rsid w:val="00F57F03"/>
    <w:rsid w:val="00F614F4"/>
    <w:rsid w:val="00F81EBC"/>
    <w:rsid w:val="00FA089C"/>
    <w:rsid w:val="00FB471D"/>
    <w:rsid w:val="00FD1983"/>
    <w:rsid w:val="00FE16A2"/>
    <w:rsid w:val="00FE66CD"/>
    <w:rsid w:val="00FF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0C621342"/>
  <w15:docId w15:val="{A60AE7C3-E0C1-400A-AE34-C2811ECB8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hr-HR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1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1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1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1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21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21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21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89C"/>
    <w:pPr>
      <w:spacing w:before="0" w:after="200" w:line="276" w:lineRule="auto"/>
      <w:ind w:left="720"/>
      <w:contextualSpacing/>
      <w:jc w:val="left"/>
    </w:pPr>
    <w:rPr>
      <w:rFonts w:cstheme="minorBidi"/>
      <w:sz w:val="20"/>
      <w:szCs w:val="20"/>
    </w:rPr>
  </w:style>
  <w:style w:type="paragraph" w:customStyle="1" w:styleId="Articleheading">
    <w:name w:val="Article heading"/>
    <w:basedOn w:val="Normal"/>
    <w:link w:val="ArticleheadingChar"/>
    <w:qFormat/>
    <w:rsid w:val="00FA089C"/>
    <w:pPr>
      <w:keepNext/>
      <w:tabs>
        <w:tab w:val="left" w:pos="709"/>
      </w:tabs>
      <w:spacing w:before="360"/>
      <w:jc w:val="center"/>
    </w:pPr>
    <w:rPr>
      <w:i/>
      <w:color w:val="000000" w:themeColor="text1"/>
      <w:szCs w:val="24"/>
    </w:rPr>
  </w:style>
  <w:style w:type="paragraph" w:customStyle="1" w:styleId="Articletext">
    <w:name w:val="Article text"/>
    <w:basedOn w:val="Articleheading"/>
    <w:link w:val="ArticletextChar"/>
    <w:qFormat/>
    <w:rsid w:val="00FA089C"/>
    <w:pPr>
      <w:keepNext w:val="0"/>
      <w:spacing w:before="120"/>
      <w:jc w:val="both"/>
    </w:pPr>
    <w:rPr>
      <w:i w:val="0"/>
    </w:rPr>
  </w:style>
  <w:style w:type="character" w:customStyle="1" w:styleId="ArticleheadingChar">
    <w:name w:val="Article heading Char"/>
    <w:basedOn w:val="DefaultParagraphFont"/>
    <w:link w:val="Articleheading"/>
    <w:rsid w:val="00FA089C"/>
    <w:rPr>
      <w:rFonts w:ascii="Times New Roman" w:hAnsi="Times New Roman" w:cs="Times New Roman"/>
      <w:i/>
      <w:color w:val="000000" w:themeColor="text1"/>
      <w:sz w:val="24"/>
      <w:szCs w:val="24"/>
    </w:rPr>
  </w:style>
  <w:style w:type="character" w:customStyle="1" w:styleId="ArticletextChar">
    <w:name w:val="Article text Char"/>
    <w:basedOn w:val="ArticleheadingChar"/>
    <w:link w:val="Articletext"/>
    <w:rsid w:val="00FA089C"/>
    <w:rPr>
      <w:rFonts w:ascii="Times New Roman" w:hAnsi="Times New Roman" w:cs="Times New Roman"/>
      <w:i w:val="0"/>
      <w:color w:val="000000" w:themeColor="text1"/>
      <w:sz w:val="24"/>
      <w:szCs w:val="24"/>
    </w:rPr>
  </w:style>
  <w:style w:type="character" w:customStyle="1" w:styleId="Point1Char">
    <w:name w:val="Point 1 Char"/>
    <w:basedOn w:val="ArticletextChar"/>
    <w:rsid w:val="00FA089C"/>
    <w:rPr>
      <w:rFonts w:ascii="Times New Roman" w:hAnsi="Times New Roman" w:cs="Times New Roman"/>
      <w:i w:val="0"/>
      <w:color w:val="000000" w:themeColor="text1"/>
      <w:sz w:val="24"/>
      <w:szCs w:val="24"/>
      <w:lang w:val="hr-HR"/>
    </w:rPr>
  </w:style>
  <w:style w:type="character" w:customStyle="1" w:styleId="Point0Char">
    <w:name w:val="Point 0 Char"/>
    <w:basedOn w:val="Point1Char"/>
    <w:rsid w:val="00FA089C"/>
    <w:rPr>
      <w:rFonts w:ascii="Times New Roman" w:hAnsi="Times New Roman" w:cs="Times New Roman"/>
      <w:i w:val="0"/>
      <w:color w:val="000000" w:themeColor="text1"/>
      <w:sz w:val="24"/>
      <w:szCs w:val="24"/>
      <w:lang w:val="hr-HR"/>
    </w:rPr>
  </w:style>
  <w:style w:type="paragraph" w:customStyle="1" w:styleId="Adaptation">
    <w:name w:val="Adaptation"/>
    <w:basedOn w:val="Point1"/>
    <w:link w:val="AdaptationChar"/>
    <w:qFormat/>
    <w:rsid w:val="00FA089C"/>
    <w:pPr>
      <w:ind w:left="851" w:firstLine="0"/>
    </w:pPr>
    <w:rPr>
      <w:color w:val="000000" w:themeColor="text1"/>
      <w:szCs w:val="24"/>
    </w:rPr>
  </w:style>
  <w:style w:type="character" w:customStyle="1" w:styleId="AdaptationChar">
    <w:name w:val="Adaptation Char"/>
    <w:basedOn w:val="Point1Char"/>
    <w:link w:val="Adaptation"/>
    <w:rsid w:val="00FA089C"/>
    <w:rPr>
      <w:rFonts w:ascii="Times New Roman" w:hAnsi="Times New Roman" w:cs="Times New Roman"/>
      <w:i w:val="0"/>
      <w:color w:val="000000" w:themeColor="text1"/>
      <w:sz w:val="24"/>
      <w:szCs w:val="24"/>
      <w:lang w:val="hr-HR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016EA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F016EA"/>
    <w:pPr>
      <w:spacing w:after="0"/>
    </w:pPr>
  </w:style>
  <w:style w:type="paragraph" w:styleId="ListBullet">
    <w:name w:val="List Bullet"/>
    <w:basedOn w:val="Normal"/>
    <w:uiPriority w:val="99"/>
    <w:semiHidden/>
    <w:unhideWhenUsed/>
    <w:rsid w:val="00F016EA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F016EA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F016EA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F016EA"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rsid w:val="00F016EA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F016EA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F016EA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F016EA"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25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255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255D"/>
    <w:rPr>
      <w:rFonts w:ascii="Times New Roman" w:hAnsi="Times New Roman" w:cs="Times New Roman"/>
      <w:sz w:val="20"/>
      <w:szCs w:val="20"/>
      <w:lang w:val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5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55D"/>
    <w:rPr>
      <w:rFonts w:ascii="Times New Roman" w:hAnsi="Times New Roman" w:cs="Times New Roman"/>
      <w:b/>
      <w:bCs/>
      <w:sz w:val="20"/>
      <w:szCs w:val="20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55D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55D"/>
    <w:rPr>
      <w:rFonts w:ascii="Segoe UI" w:hAnsi="Segoe UI" w:cs="Segoe UI"/>
      <w:sz w:val="18"/>
      <w:szCs w:val="18"/>
      <w:lang w:val="hr-HR"/>
    </w:rPr>
  </w:style>
  <w:style w:type="character" w:styleId="Hyperlink">
    <w:name w:val="Hyperlink"/>
    <w:basedOn w:val="DefaultParagraphFont"/>
    <w:uiPriority w:val="99"/>
    <w:unhideWhenUsed/>
    <w:rsid w:val="00C5255D"/>
    <w:rPr>
      <w:color w:val="0000FF" w:themeColor="hyperlink"/>
      <w:u w:val="single"/>
    </w:rPr>
  </w:style>
  <w:style w:type="paragraph" w:customStyle="1" w:styleId="Text0">
    <w:name w:val="Text 0"/>
    <w:basedOn w:val="Text1"/>
    <w:rsid w:val="00826EE6"/>
  </w:style>
  <w:style w:type="paragraph" w:customStyle="1" w:styleId="Body">
    <w:name w:val="Body"/>
    <w:rsid w:val="00BB37E9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BB37E9"/>
    <w:pPr>
      <w:numPr>
        <w:numId w:val="9"/>
      </w:numPr>
    </w:pPr>
  </w:style>
  <w:style w:type="numbering" w:customStyle="1" w:styleId="ImportedStyle3">
    <w:name w:val="Imported Style 3"/>
    <w:rsid w:val="00BB37E9"/>
    <w:pPr>
      <w:numPr>
        <w:numId w:val="10"/>
      </w:numPr>
    </w:pPr>
  </w:style>
  <w:style w:type="numbering" w:customStyle="1" w:styleId="ImportedStyle4">
    <w:name w:val="Imported Style 4"/>
    <w:rsid w:val="00BB37E9"/>
    <w:pPr>
      <w:numPr>
        <w:numId w:val="11"/>
      </w:numPr>
    </w:pPr>
  </w:style>
  <w:style w:type="numbering" w:customStyle="1" w:styleId="ImportedStyle5">
    <w:name w:val="Imported Style 5"/>
    <w:rsid w:val="00BB37E9"/>
    <w:pPr>
      <w:numPr>
        <w:numId w:val="12"/>
      </w:numPr>
    </w:pPr>
  </w:style>
  <w:style w:type="paragraph" w:styleId="Revision">
    <w:name w:val="Revision"/>
    <w:hidden/>
    <w:uiPriority w:val="99"/>
    <w:semiHidden/>
    <w:rsid w:val="00B0658F"/>
    <w:pPr>
      <w:spacing w:after="0" w:line="240" w:lineRule="auto"/>
    </w:pPr>
    <w:rPr>
      <w:rFonts w:ascii="Times New Roman" w:hAnsi="Times New Roman" w:cs="Times New Roman"/>
      <w:sz w:val="24"/>
    </w:rPr>
  </w:style>
  <w:style w:type="paragraph" w:customStyle="1" w:styleId="Point4b">
    <w:name w:val="Point 4b"/>
    <w:basedOn w:val="Point4"/>
    <w:qFormat/>
    <w:rsid w:val="00AD5A9B"/>
    <w:pPr>
      <w:tabs>
        <w:tab w:val="left" w:pos="1453"/>
      </w:tabs>
      <w:ind w:left="2552" w:firstLine="0"/>
      <w:jc w:val="left"/>
    </w:pPr>
    <w:rPr>
      <w:rFonts w:cstheme="minorBidi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E560E5"/>
    <w:rPr>
      <w:rFonts w:ascii="Times New Roman" w:hAnsi="Times New Roman" w:cs="Times New Roman"/>
      <w:sz w:val="24"/>
      <w:lang w:val="hr-HR"/>
    </w:rPr>
  </w:style>
  <w:style w:type="character" w:customStyle="1" w:styleId="FooterChar">
    <w:name w:val="Footer Char"/>
    <w:basedOn w:val="DefaultParagraphFont"/>
    <w:link w:val="Footer"/>
    <w:uiPriority w:val="99"/>
    <w:rsid w:val="00E560E5"/>
    <w:rPr>
      <w:rFonts w:ascii="Times New Roman" w:hAnsi="Times New Roman" w:cs="Times New Roman"/>
      <w:sz w:val="24"/>
      <w:lang w:val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hr-HR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hr-HR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hr-HR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hr-HR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lang w:val="hr-HR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lang w:val="hr-HR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lang w:val="hr-HR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E560E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E560E5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E560E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14"/>
      </w:numPr>
    </w:pPr>
  </w:style>
  <w:style w:type="paragraph" w:customStyle="1" w:styleId="Tiret1">
    <w:name w:val="Tiret 1"/>
    <w:basedOn w:val="Point1"/>
    <w:pPr>
      <w:numPr>
        <w:numId w:val="15"/>
      </w:numPr>
    </w:pPr>
  </w:style>
  <w:style w:type="paragraph" w:customStyle="1" w:styleId="Tiret2">
    <w:name w:val="Tiret 2"/>
    <w:basedOn w:val="Point2"/>
    <w:pPr>
      <w:numPr>
        <w:numId w:val="16"/>
      </w:numPr>
    </w:pPr>
  </w:style>
  <w:style w:type="paragraph" w:customStyle="1" w:styleId="Tiret3">
    <w:name w:val="Tiret 3"/>
    <w:basedOn w:val="Point3"/>
    <w:pPr>
      <w:numPr>
        <w:numId w:val="17"/>
      </w:numPr>
    </w:pPr>
  </w:style>
  <w:style w:type="paragraph" w:customStyle="1" w:styleId="Tiret4">
    <w:name w:val="Tiret 4"/>
    <w:basedOn w:val="Point4"/>
    <w:pPr>
      <w:numPr>
        <w:numId w:val="18"/>
      </w:numPr>
    </w:pPr>
  </w:style>
  <w:style w:type="paragraph" w:customStyle="1" w:styleId="Tiret5">
    <w:name w:val="Tiret 5"/>
    <w:basedOn w:val="Point5"/>
    <w:pPr>
      <w:numPr>
        <w:numId w:val="19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0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0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0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0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20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20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20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22"/>
      </w:numPr>
    </w:pPr>
  </w:style>
  <w:style w:type="paragraph" w:customStyle="1" w:styleId="Point1number">
    <w:name w:val="Point 1 (number)"/>
    <w:basedOn w:val="Normal"/>
    <w:pPr>
      <w:numPr>
        <w:ilvl w:val="2"/>
        <w:numId w:val="22"/>
      </w:numPr>
    </w:pPr>
  </w:style>
  <w:style w:type="paragraph" w:customStyle="1" w:styleId="Point2number">
    <w:name w:val="Point 2 (number)"/>
    <w:basedOn w:val="Normal"/>
    <w:pPr>
      <w:numPr>
        <w:ilvl w:val="4"/>
        <w:numId w:val="22"/>
      </w:numPr>
    </w:pPr>
  </w:style>
  <w:style w:type="paragraph" w:customStyle="1" w:styleId="Point3number">
    <w:name w:val="Point 3 (number)"/>
    <w:basedOn w:val="Normal"/>
    <w:pPr>
      <w:numPr>
        <w:ilvl w:val="6"/>
        <w:numId w:val="22"/>
      </w:numPr>
    </w:pPr>
  </w:style>
  <w:style w:type="paragraph" w:customStyle="1" w:styleId="Point0letter">
    <w:name w:val="Point 0 (letter)"/>
    <w:basedOn w:val="Normal"/>
    <w:pPr>
      <w:numPr>
        <w:ilvl w:val="1"/>
        <w:numId w:val="22"/>
      </w:numPr>
    </w:pPr>
  </w:style>
  <w:style w:type="paragraph" w:customStyle="1" w:styleId="Point1letter">
    <w:name w:val="Point 1 (letter)"/>
    <w:basedOn w:val="Normal"/>
    <w:pPr>
      <w:numPr>
        <w:ilvl w:val="3"/>
        <w:numId w:val="22"/>
      </w:numPr>
    </w:pPr>
  </w:style>
  <w:style w:type="paragraph" w:customStyle="1" w:styleId="Point2letter">
    <w:name w:val="Point 2 (letter)"/>
    <w:basedOn w:val="Normal"/>
    <w:pPr>
      <w:numPr>
        <w:ilvl w:val="5"/>
        <w:numId w:val="22"/>
      </w:numPr>
    </w:pPr>
  </w:style>
  <w:style w:type="paragraph" w:customStyle="1" w:styleId="Point3letter">
    <w:name w:val="Point 3 (letter)"/>
    <w:basedOn w:val="Normal"/>
    <w:pPr>
      <w:numPr>
        <w:ilvl w:val="7"/>
        <w:numId w:val="22"/>
      </w:numPr>
    </w:pPr>
  </w:style>
  <w:style w:type="paragraph" w:customStyle="1" w:styleId="Point4letter">
    <w:name w:val="Point 4 (letter)"/>
    <w:basedOn w:val="Normal"/>
    <w:pPr>
      <w:numPr>
        <w:ilvl w:val="8"/>
        <w:numId w:val="22"/>
      </w:numPr>
    </w:pPr>
  </w:style>
  <w:style w:type="paragraph" w:customStyle="1" w:styleId="Bullet0">
    <w:name w:val="Bullet 0"/>
    <w:basedOn w:val="Normal"/>
    <w:pPr>
      <w:numPr>
        <w:numId w:val="23"/>
      </w:numPr>
    </w:pPr>
  </w:style>
  <w:style w:type="paragraph" w:customStyle="1" w:styleId="Bullet1">
    <w:name w:val="Bullet 1"/>
    <w:basedOn w:val="Normal"/>
    <w:pPr>
      <w:numPr>
        <w:numId w:val="24"/>
      </w:numPr>
    </w:pPr>
  </w:style>
  <w:style w:type="paragraph" w:customStyle="1" w:styleId="Bullet2">
    <w:name w:val="Bullet 2"/>
    <w:basedOn w:val="Normal"/>
    <w:pPr>
      <w:numPr>
        <w:numId w:val="25"/>
      </w:numPr>
    </w:pPr>
  </w:style>
  <w:style w:type="paragraph" w:customStyle="1" w:styleId="Bullet3">
    <w:name w:val="Bullet 3"/>
    <w:basedOn w:val="Normal"/>
    <w:pPr>
      <w:numPr>
        <w:numId w:val="26"/>
      </w:numPr>
    </w:pPr>
  </w:style>
  <w:style w:type="paragraph" w:customStyle="1" w:styleId="Bullet4">
    <w:name w:val="Bullet 4"/>
    <w:basedOn w:val="Normal"/>
    <w:pPr>
      <w:numPr>
        <w:numId w:val="27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8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E560E5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E560E5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E560E5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E560E5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14351-86B7-4AB7-89A3-30CBC84B4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17</TotalTime>
  <Pages>3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28</cp:revision>
  <dcterms:created xsi:type="dcterms:W3CDTF">2022-10-25T08:43:00Z</dcterms:created>
  <dcterms:modified xsi:type="dcterms:W3CDTF">2024-05-16T07:21:00Z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7.0.8.0</vt:lpwstr>
  </property>
  <property fmtid="{D5CDD505-2E9C-101B-9397-08002B2CF9AE}" pid="4" name="Last edited using">
    <vt:lpwstr>LW 9.0, Build 20230317</vt:lpwstr>
  </property>
  <property fmtid="{D5CDD505-2E9C-101B-9397-08002B2CF9AE}" pid="5" name="Created using">
    <vt:lpwstr>LW 7.0, Build 20190717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2024-02-19T17:00:06Z</vt:lpwstr>
  </property>
  <property fmtid="{D5CDD505-2E9C-101B-9397-08002B2CF9AE}" pid="15" name="MSIP_Label_6bd9ddd1-4d20-43f6-abfa-fc3c07406f94_Method">
    <vt:lpwstr>Privileged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b4865270-d5fe-4ee2-ae14-aba61fe8d069</vt:lpwstr>
  </property>
  <property fmtid="{D5CDD505-2E9C-101B-9397-08002B2CF9AE}" pid="19" name="MSIP_Label_6bd9ddd1-4d20-43f6-abfa-fc3c07406f94_ContentBits">
    <vt:lpwstr>0</vt:lpwstr>
  </property>
  <property fmtid="{D5CDD505-2E9C-101B-9397-08002B2CF9AE}" pid="20" name="DQCStatus">
    <vt:lpwstr>Green (DQC version 03)</vt:lpwstr>
  </property>
  <property name="OP_sanitized" fmtid="{D5CDD505-2E9C-101B-9397-08002B2CF9AE}" pid="21">
    <vt:lpwstr>True</vt:lpwstr>
  </property>
</Properties>
</file>