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alt="B048876F-CDCA-4EE8-8324-A6345702AAD9" style="width:450.45pt;height:410.7pt">
            <v:imagedata r:id="rId8" o:title=""/>
          </v:shape>
        </w:pict>
      </w:r>
    </w:p>
    <w:p>
      <w:pPr>
        <w:rPr>
          <w:noProof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1418" w:bottom="1134" w:left="1418" w:header="709" w:footer="709" w:gutter="0"/>
          <w:pgNumType w:start="0"/>
          <w:cols w:space="720"/>
          <w:rtlGutter/>
          <w:docGrid w:linePitch="326"/>
        </w:sectPr>
      </w:pPr>
    </w:p>
    <w:p>
      <w:pPr>
        <w:rPr>
          <w:noProof/>
        </w:rPr>
      </w:pPr>
      <w:bookmarkStart w:id="0" w:name="_GoBack"/>
      <w:bookmarkEnd w:id="0"/>
    </w:p>
    <w:p>
      <w:pPr>
        <w:pStyle w:val="Annexetitre"/>
        <w:rPr>
          <w:noProof/>
        </w:rPr>
      </w:pPr>
      <w:r>
        <w:rPr>
          <w:noProof/>
        </w:rPr>
        <w:t>PRÍLOHA I</w:t>
      </w:r>
    </w:p>
    <w:p>
      <w:pPr>
        <w:widowControl w:val="0"/>
        <w:tabs>
          <w:tab w:val="right" w:pos="9600"/>
        </w:tabs>
        <w:suppressAutoHyphens/>
        <w:spacing w:before="0" w:after="240"/>
        <w:jc w:val="center"/>
        <w:rPr>
          <w:noProof/>
        </w:rPr>
      </w:pPr>
      <w:r>
        <w:rPr>
          <w:noProof/>
        </w:rPr>
        <w:t>Zoznam lehôt na transpozíciu do vnútroštátneho práva</w:t>
      </w:r>
    </w:p>
    <w:p>
      <w:pPr>
        <w:widowControl w:val="0"/>
        <w:tabs>
          <w:tab w:val="right" w:pos="9600"/>
        </w:tabs>
        <w:suppressAutoHyphens/>
        <w:spacing w:before="0" w:after="240"/>
        <w:jc w:val="center"/>
        <w:rPr>
          <w:noProof/>
        </w:rPr>
      </w:pPr>
      <w:r>
        <w:rPr>
          <w:noProof/>
        </w:rPr>
        <w:t>(v zmysle článku 25)</w:t>
      </w:r>
    </w:p>
    <w:p>
      <w:pPr>
        <w:keepNext/>
        <w:tabs>
          <w:tab w:val="right" w:pos="9600"/>
        </w:tabs>
        <w:suppressAutoHyphens/>
        <w:spacing w:before="0" w:after="240"/>
        <w:jc w:val="center"/>
        <w:rPr>
          <w:noProof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9"/>
        <w:gridCol w:w="3107"/>
        <w:gridCol w:w="3100"/>
      </w:tblGrid>
      <w:tr>
        <w:trPr>
          <w:jc w:val="center"/>
        </w:trPr>
        <w:tc>
          <w:tcPr>
            <w:tcW w:w="3079" w:type="dxa"/>
          </w:tcPr>
          <w:p>
            <w:pPr>
              <w:tabs>
                <w:tab w:val="right" w:pos="9600"/>
              </w:tabs>
              <w:suppressAutoHyphens/>
              <w:spacing w:before="0" w:after="240"/>
              <w:jc w:val="center"/>
              <w:rPr>
                <w:noProof/>
                <w:szCs w:val="20"/>
              </w:rPr>
            </w:pPr>
            <w:r>
              <w:rPr>
                <w:noProof/>
              </w:rPr>
              <w:t>Smernica</w:t>
            </w:r>
          </w:p>
        </w:tc>
        <w:tc>
          <w:tcPr>
            <w:tcW w:w="3107" w:type="dxa"/>
          </w:tcPr>
          <w:p>
            <w:pPr>
              <w:tabs>
                <w:tab w:val="right" w:pos="9600"/>
              </w:tabs>
              <w:suppressAutoHyphens/>
              <w:spacing w:before="0" w:after="240"/>
              <w:jc w:val="center"/>
              <w:rPr>
                <w:noProof/>
                <w:szCs w:val="20"/>
              </w:rPr>
            </w:pPr>
            <w:r>
              <w:rPr>
                <w:noProof/>
              </w:rPr>
              <w:t>Lehota na transpozíciu</w:t>
            </w:r>
          </w:p>
        </w:tc>
        <w:tc>
          <w:tcPr>
            <w:tcW w:w="3100" w:type="dxa"/>
          </w:tcPr>
          <w:p>
            <w:pPr>
              <w:tabs>
                <w:tab w:val="right" w:pos="9600"/>
              </w:tabs>
              <w:suppressAutoHyphens/>
              <w:spacing w:before="0" w:after="240"/>
              <w:jc w:val="center"/>
              <w:rPr>
                <w:noProof/>
                <w:szCs w:val="20"/>
              </w:rPr>
            </w:pPr>
            <w:r>
              <w:rPr>
                <w:noProof/>
              </w:rPr>
              <w:t>Lehota na transpozíciu článku 14 ods. 1 a 2</w:t>
            </w:r>
          </w:p>
        </w:tc>
      </w:tr>
      <w:tr>
        <w:trPr>
          <w:jc w:val="center"/>
        </w:trPr>
        <w:tc>
          <w:tcPr>
            <w:tcW w:w="3079" w:type="dxa"/>
          </w:tcPr>
          <w:p>
            <w:pPr>
              <w:tabs>
                <w:tab w:val="right" w:pos="9600"/>
              </w:tabs>
              <w:suppressAutoHyphens/>
              <w:spacing w:before="0" w:after="240"/>
              <w:jc w:val="center"/>
              <w:rPr>
                <w:noProof/>
                <w:szCs w:val="20"/>
              </w:rPr>
            </w:pPr>
            <w:r>
              <w:rPr>
                <w:noProof/>
              </w:rPr>
              <w:t>2008/115/ES</w:t>
            </w:r>
          </w:p>
        </w:tc>
        <w:tc>
          <w:tcPr>
            <w:tcW w:w="3107" w:type="dxa"/>
          </w:tcPr>
          <w:p>
            <w:pPr>
              <w:tabs>
                <w:tab w:val="right" w:pos="9600"/>
              </w:tabs>
              <w:suppressAutoHyphens/>
              <w:spacing w:before="0" w:after="240"/>
              <w:jc w:val="center"/>
              <w:rPr>
                <w:noProof/>
                <w:szCs w:val="20"/>
              </w:rPr>
            </w:pPr>
            <w:r>
              <w:rPr>
                <w:noProof/>
              </w:rPr>
              <w:t>[šesť mesiacov po dni nadobudnutia účinnosti]</w:t>
            </w:r>
          </w:p>
        </w:tc>
        <w:tc>
          <w:tcPr>
            <w:tcW w:w="3100" w:type="dxa"/>
          </w:tcPr>
          <w:p>
            <w:pPr>
              <w:tabs>
                <w:tab w:val="right" w:pos="9600"/>
              </w:tabs>
              <w:suppressAutoHyphens/>
              <w:spacing w:before="0" w:after="240"/>
              <w:jc w:val="center"/>
              <w:rPr>
                <w:noProof/>
                <w:szCs w:val="20"/>
              </w:rPr>
            </w:pPr>
            <w:r>
              <w:rPr>
                <w:noProof/>
              </w:rPr>
              <w:t>[1 rok po dni nadobudnutia účinnosti]</w:t>
            </w:r>
          </w:p>
        </w:tc>
      </w:tr>
    </w:tbl>
    <w:p>
      <w:pPr>
        <w:jc w:val="center"/>
        <w:rPr>
          <w:noProof/>
          <w:szCs w:val="20"/>
        </w:rPr>
      </w:pPr>
      <w:r>
        <w:rPr>
          <w:noProof/>
        </w:rPr>
        <w:t>_____________</w:t>
      </w:r>
    </w:p>
    <w:p>
      <w:pPr>
        <w:pStyle w:val="Annexetitre"/>
        <w:rPr>
          <w:noProof/>
        </w:rPr>
      </w:pPr>
      <w:r>
        <w:rPr>
          <w:noProof/>
        </w:rPr>
        <w:br w:type="page"/>
      </w:r>
      <w:r>
        <w:rPr>
          <w:noProof/>
        </w:rPr>
        <w:lastRenderedPageBreak/>
        <w:t>PRÍLOHA II</w:t>
      </w:r>
    </w:p>
    <w:p>
      <w:pPr>
        <w:keepNext/>
        <w:spacing w:before="360"/>
        <w:jc w:val="center"/>
        <w:outlineLvl w:val="0"/>
        <w:rPr>
          <w:b/>
          <w:smallCaps/>
          <w:noProof/>
          <w:szCs w:val="20"/>
        </w:rPr>
      </w:pPr>
      <w:r>
        <w:rPr>
          <w:b/>
          <w:smallCaps/>
          <w:noProof/>
        </w:rPr>
        <w:t>Tabuľka zhody</w:t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4"/>
      </w:tblGrid>
      <w:tr>
        <w:tc>
          <w:tcPr>
            <w:tcW w:w="4674" w:type="dxa"/>
            <w:tcBorders>
              <w:left w:val="nil"/>
            </w:tcBorders>
          </w:tcPr>
          <w:p>
            <w:pPr>
              <w:jc w:val="center"/>
              <w:rPr>
                <w:noProof/>
              </w:rPr>
            </w:pPr>
            <w:r>
              <w:rPr>
                <w:noProof/>
              </w:rPr>
              <w:t>Smernica 2008/115/ES</w:t>
            </w:r>
          </w:p>
        </w:tc>
        <w:tc>
          <w:tcPr>
            <w:tcW w:w="4674" w:type="dxa"/>
            <w:tcBorders>
              <w:right w:val="nil"/>
            </w:tcBorders>
          </w:tcPr>
          <w:p>
            <w:pPr>
              <w:jc w:val="center"/>
              <w:rPr>
                <w:noProof/>
              </w:rPr>
            </w:pPr>
            <w:r>
              <w:rPr>
                <w:noProof/>
              </w:rPr>
              <w:t>Táto smernica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Články 1 až 5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Články 1 až 5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_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Články 6 a 7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6 ods. 1 až 5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8 ods. 1 až 5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_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8 ods. 6 prvý pododsek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6 ods. 6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8 ods. 6 druhý pododsek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_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8 ods. 6 tretí pododsek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7 ods. 1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9 ods. 1 prvý a druhý pododsek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_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9 ods. 1 tretí pododsek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7 ods. 2 až 4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9 ods. 2 až 4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8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10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_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10 ods. 1 druhý pododsek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9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11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10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12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11 ods. 1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13 ods. 1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_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13 ods. 2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11 ods. 2 až 5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13 ods. 3 až 7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_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14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12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15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13 ods. 1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16 ods. 1 prvý pododsek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_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16 ods. 1 druhý pododsek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13 ods. 2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16 ods. 2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_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16 ods. 3 a 4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13 ods. 3 a 4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16 ods. 5 a 6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14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17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lastRenderedPageBreak/>
              <w:t>Článok 15 ods. 1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18 ods. 1 prvý pododsek písm. a) a b)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_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18 ods. 1 prvý pododsek písm. c) a druhý pododsek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15 ods. 2 až 6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18 ods. 2 až 6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Články 16 až 18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Články 19 až 21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_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22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19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23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20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25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21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24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22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27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23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Článok 28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_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Príloha I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_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jc w:val="left"/>
              <w:rPr>
                <w:noProof/>
              </w:rPr>
            </w:pPr>
            <w:r>
              <w:rPr>
                <w:noProof/>
              </w:rPr>
              <w:t>Príloha II</w:t>
            </w:r>
          </w:p>
        </w:tc>
      </w:tr>
    </w:tbl>
    <w:p>
      <w:pPr>
        <w:jc w:val="center"/>
        <w:rPr>
          <w:noProof/>
          <w:szCs w:val="20"/>
        </w:rPr>
      </w:pPr>
      <w:r>
        <w:rPr>
          <w:noProof/>
        </w:rPr>
        <w:t>_____________</w:t>
      </w:r>
    </w:p>
    <w:p>
      <w:pPr>
        <w:rPr>
          <w:noProof/>
        </w:rPr>
      </w:pPr>
    </w:p>
    <w:sectPr>
      <w:footerReference w:type="default" r:id="rId15"/>
      <w:footerReference w:type="first" r:id="rId16"/>
      <w:pgSz w:w="11906" w:h="16838"/>
      <w:pgMar w:top="1134" w:right="1418" w:bottom="1134" w:left="1418" w:header="709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SK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tab/>
    </w:r>
    <w:r>
      <w:rPr>
        <w:rFonts w:ascii="Arial" w:hAnsi="Arial" w:cs="Arial"/>
        <w:b/>
        <w:sz w:val="48"/>
      </w:rPr>
      <w:t>SK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SK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>
      <w:tab/>
    </w:r>
    <w:r>
      <w:rPr>
        <w:rFonts w:ascii="Arial" w:hAnsi="Arial" w:cs="Arial"/>
        <w:b/>
        <w:sz w:val="48"/>
      </w:rPr>
      <w:t>SK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D9A2CCE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3040602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DF3EE77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03FAFFB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D44AB57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0A941FD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9FBC79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C268A38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8"/>
  </w:num>
  <w:num w:numId="10">
    <w:abstractNumId w:val="12"/>
  </w:num>
  <w:num w:numId="11">
    <w:abstractNumId w:val="20"/>
  </w:num>
  <w:num w:numId="12">
    <w:abstractNumId w:val="11"/>
  </w:num>
  <w:num w:numId="13">
    <w:abstractNumId w:val="13"/>
  </w:num>
  <w:num w:numId="14">
    <w:abstractNumId w:val="9"/>
  </w:num>
  <w:num w:numId="15">
    <w:abstractNumId w:val="19"/>
  </w:num>
  <w:num w:numId="16">
    <w:abstractNumId w:val="8"/>
  </w:num>
  <w:num w:numId="17">
    <w:abstractNumId w:val="14"/>
  </w:num>
  <w:num w:numId="18">
    <w:abstractNumId w:val="16"/>
  </w:num>
  <w:num w:numId="19">
    <w:abstractNumId w:val="17"/>
  </w:num>
  <w:num w:numId="20">
    <w:abstractNumId w:val="10"/>
  </w:num>
  <w:num w:numId="21">
    <w:abstractNumId w:val="15"/>
  </w:num>
  <w:num w:numId="22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30"/>
  <w:hideSpellingErrors/>
  <w:hideGrammaticalErrors/>
  <w:attachedTemplate r:id="rId1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18-10-01 10:07:26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1"/>
    <w:docVar w:name="DQCResult_StructureCheck" w:val="0;0"/>
    <w:docVar w:name="DQCResult_SuperfluousWhitespace" w:val="0;2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ACCOMPAGNANT" w:val="k"/>
    <w:docVar w:name="LW_ACCOMPAGNANT.CP" w:val="k"/>
    <w:docVar w:name="LW_ANNEX_NBR_FIRST" w:val="1"/>
    <w:docVar w:name="LW_ANNEX_NBR_LAST" w:val="2"/>
    <w:docVar w:name="LW_ANNEX_UNIQUE" w:val="0"/>
    <w:docVar w:name="LW_CORRIGENDUM" w:val="&lt;UNUSED&gt;"/>
    <w:docVar w:name="LW_COVERPAGE_EXISTS" w:val="True"/>
    <w:docVar w:name="LW_COVERPAGE_GUID" w:val="B048876F-CDCA-4EE8-8324-A6345702AAD9"/>
    <w:docVar w:name="LW_COVERPAGE_TYPE" w:val="1"/>
    <w:docVar w:name="LW_CROSSREFERENCE" w:val="&lt;UNUSED&gt;"/>
    <w:docVar w:name="LW_DocType" w:val="ANNEX"/>
    <w:docVar w:name="LW_EMISSION" w:val="12. 9. 2018"/>
    <w:docVar w:name="LW_EMISSION_ISODATE" w:val="2018-09-12"/>
    <w:docVar w:name="LW_EMISSION_LOCATION" w:val="BRX"/>
    <w:docVar w:name="LW_EMISSION_PREFIX" w:val="V Bruseli"/>
    <w:docVar w:name="LW_EMISSION_SUFFIX" w:val=" "/>
    <w:docVar w:name="LW_ID_DOCSTRUCTURE" w:val="COM/ANNEX"/>
    <w:docVar w:name="LW_ID_DOCTYPE" w:val="SG-017"/>
    <w:docVar w:name="LW_LANGUE" w:val="SK"/>
    <w:docVar w:name="LW_LEVEL_OF_SENSITIVITY" w:val="Standard treatment"/>
    <w:docVar w:name="LW_NOM.INST" w:val="EURÓPSKA KOMISIA"/>
    <w:docVar w:name="LW_NOM.INST_JOINTDOC" w:val="&lt;EMPTY&gt;"/>
    <w:docVar w:name="LW_OBJETACTEPRINCIPAL" w:val="o spolo\u269?ných normách a postupoch \u269?lenských \u353?tátov na ú\u269?ely návratu \u353?tátnych príslu\u353?níkov tretích krajín, ktorí sa neoprávnene zdr\u382?iavajú na ich území (prepracované znenie)_x000b_"/>
    <w:docVar w:name="LW_OBJETACTEPRINCIPAL.CP" w:val="o spolo\u269?ných normách a postupoch \u269?lenských \u353?tátov na ú\u269?ely návratu \u353?tátnych príslu\u353?níkov tretích krajín, ktorí sa neoprávnene zdr\u382?iavajú na ich území (prepracované znenie)_x000b_"/>
    <w:docVar w:name="LW_PART_NBR" w:val="&lt;UNUSED&gt;"/>
    <w:docVar w:name="LW_PART_NBR_TOTAL" w:val="&lt;UNUSED&gt;"/>
    <w:docVar w:name="LW_REF.INST.NEW" w:val="COM"/>
    <w:docVar w:name="LW_REF.INST.NEW_ADOPTED" w:val="final"/>
    <w:docVar w:name="LW_REF.INST.NEW_TEXT" w:val="(2018) 634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 xsi:nil=&quot;true&quot; /&gt;_x000d__x000a_  &lt;limited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footnote xsi:nil=&quot;true&quot; /&gt;_x000d__x000a_  &lt;isRestricted&gt;false&lt;/isRestricted&gt;_x000d__x000a_&lt;/SensitivityLevel&gt;"/>
    <w:docVar w:name="LW_SUPERTITRE" w:val="&lt;UNUSED&gt;"/>
    <w:docVar w:name="LW_TYPE.DOC" w:val="PRÍLOHY"/>
    <w:docVar w:name="LW_TYPE.DOC.CP" w:val="PRÍLOHY"/>
    <w:docVar w:name="LW_TYPEACTEPRINCIPAL" w:val="návrhu SMERNICE EURÓPSKEHO PARLAMENTU A RADY"/>
    <w:docVar w:name="LW_TYPEACTEPRINCIPAL.CP" w:val="návrhu SMERNICE EURÓPSKEHO PARLAMENTU A RADY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sk-SK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5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5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5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5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sk-SK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sk-SK"/>
    </w:rPr>
  </w:style>
  <w:style w:type="paragraph" w:customStyle="1" w:styleId="CRSeparator">
    <w:name w:val="CR Separator"/>
    <w:basedOn w:val="Normal"/>
    <w:link w:val="CRSeparatorChar"/>
    <w:pPr>
      <w:keepNext/>
      <w:pBdr>
        <w:top w:val="single" w:sz="4" w:space="1" w:color="auto"/>
      </w:pBdr>
      <w:autoSpaceDE w:val="0"/>
      <w:autoSpaceDN w:val="0"/>
      <w:spacing w:before="240"/>
      <w:ind w:right="40"/>
    </w:pPr>
    <w:rPr>
      <w:rFonts w:eastAsia="Times New Roman"/>
    </w:rPr>
  </w:style>
  <w:style w:type="character" w:customStyle="1" w:styleId="CRSeparatorChar">
    <w:name w:val="CR Separator Char"/>
    <w:link w:val="CRSeparator"/>
    <w:locked/>
    <w:rPr>
      <w:rFonts w:ascii="Times New Roman" w:eastAsia="Times New Roman" w:hAnsi="Times New Roman" w:cs="Times New Roman"/>
      <w:sz w:val="24"/>
      <w:lang w:val="sk-SK" w:eastAsia="sk-SK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val="sk-SK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val="sk-SK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9"/>
      </w:numPr>
    </w:pPr>
  </w:style>
  <w:style w:type="paragraph" w:customStyle="1" w:styleId="Tiret1">
    <w:name w:val="Tiret 1"/>
    <w:basedOn w:val="Point1"/>
    <w:pPr>
      <w:numPr>
        <w:numId w:val="10"/>
      </w:numPr>
    </w:pPr>
  </w:style>
  <w:style w:type="paragraph" w:customStyle="1" w:styleId="Tiret2">
    <w:name w:val="Tiret 2"/>
    <w:basedOn w:val="Point2"/>
    <w:pPr>
      <w:numPr>
        <w:numId w:val="11"/>
      </w:numPr>
    </w:pPr>
  </w:style>
  <w:style w:type="paragraph" w:customStyle="1" w:styleId="Tiret3">
    <w:name w:val="Tiret 3"/>
    <w:basedOn w:val="Point3"/>
    <w:pPr>
      <w:numPr>
        <w:numId w:val="12"/>
      </w:numPr>
    </w:pPr>
  </w:style>
  <w:style w:type="paragraph" w:customStyle="1" w:styleId="Tiret4">
    <w:name w:val="Tiret 4"/>
    <w:basedOn w:val="Point4"/>
    <w:pPr>
      <w:numPr>
        <w:numId w:val="13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4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4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4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4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6"/>
      </w:numPr>
    </w:pPr>
  </w:style>
  <w:style w:type="paragraph" w:customStyle="1" w:styleId="Point1number">
    <w:name w:val="Point 1 (number)"/>
    <w:basedOn w:val="Normal"/>
    <w:pPr>
      <w:numPr>
        <w:ilvl w:val="2"/>
        <w:numId w:val="16"/>
      </w:numPr>
    </w:pPr>
  </w:style>
  <w:style w:type="paragraph" w:customStyle="1" w:styleId="Point2number">
    <w:name w:val="Point 2 (number)"/>
    <w:basedOn w:val="Normal"/>
    <w:pPr>
      <w:numPr>
        <w:ilvl w:val="4"/>
        <w:numId w:val="16"/>
      </w:numPr>
    </w:pPr>
  </w:style>
  <w:style w:type="paragraph" w:customStyle="1" w:styleId="Point3number">
    <w:name w:val="Point 3 (number)"/>
    <w:basedOn w:val="Normal"/>
    <w:pPr>
      <w:numPr>
        <w:ilvl w:val="6"/>
        <w:numId w:val="16"/>
      </w:numPr>
    </w:pPr>
  </w:style>
  <w:style w:type="paragraph" w:customStyle="1" w:styleId="Point0letter">
    <w:name w:val="Point 0 (letter)"/>
    <w:basedOn w:val="Normal"/>
    <w:pPr>
      <w:numPr>
        <w:ilvl w:val="1"/>
        <w:numId w:val="16"/>
      </w:numPr>
    </w:pPr>
  </w:style>
  <w:style w:type="paragraph" w:customStyle="1" w:styleId="Point1letter">
    <w:name w:val="Point 1 (letter)"/>
    <w:basedOn w:val="Normal"/>
    <w:pPr>
      <w:numPr>
        <w:ilvl w:val="3"/>
        <w:numId w:val="16"/>
      </w:numPr>
    </w:pPr>
  </w:style>
  <w:style w:type="paragraph" w:customStyle="1" w:styleId="Point2letter">
    <w:name w:val="Point 2 (letter)"/>
    <w:basedOn w:val="Normal"/>
    <w:pPr>
      <w:numPr>
        <w:ilvl w:val="5"/>
        <w:numId w:val="16"/>
      </w:numPr>
    </w:pPr>
  </w:style>
  <w:style w:type="paragraph" w:customStyle="1" w:styleId="Point3letter">
    <w:name w:val="Point 3 (letter)"/>
    <w:basedOn w:val="Normal"/>
    <w:pPr>
      <w:numPr>
        <w:ilvl w:val="7"/>
        <w:numId w:val="16"/>
      </w:numPr>
    </w:pPr>
  </w:style>
  <w:style w:type="paragraph" w:customStyle="1" w:styleId="Point4letter">
    <w:name w:val="Point 4 (letter)"/>
    <w:basedOn w:val="Normal"/>
    <w:pPr>
      <w:numPr>
        <w:ilvl w:val="8"/>
        <w:numId w:val="16"/>
      </w:numPr>
    </w:pPr>
  </w:style>
  <w:style w:type="paragraph" w:customStyle="1" w:styleId="Bullet0">
    <w:name w:val="Bullet 0"/>
    <w:basedOn w:val="Normal"/>
    <w:pPr>
      <w:numPr>
        <w:numId w:val="17"/>
      </w:numPr>
    </w:pPr>
  </w:style>
  <w:style w:type="paragraph" w:customStyle="1" w:styleId="Bullet1">
    <w:name w:val="Bullet 1"/>
    <w:basedOn w:val="Normal"/>
    <w:pPr>
      <w:numPr>
        <w:numId w:val="18"/>
      </w:numPr>
    </w:pPr>
  </w:style>
  <w:style w:type="paragraph" w:customStyle="1" w:styleId="Bullet2">
    <w:name w:val="Bullet 2"/>
    <w:basedOn w:val="Normal"/>
    <w:pPr>
      <w:numPr>
        <w:numId w:val="19"/>
      </w:numPr>
    </w:pPr>
  </w:style>
  <w:style w:type="paragraph" w:customStyle="1" w:styleId="Bullet3">
    <w:name w:val="Bullet 3"/>
    <w:basedOn w:val="Normal"/>
    <w:pPr>
      <w:numPr>
        <w:numId w:val="20"/>
      </w:numPr>
    </w:pPr>
  </w:style>
  <w:style w:type="paragraph" w:customStyle="1" w:styleId="Bullet4">
    <w:name w:val="Bullet 4"/>
    <w:basedOn w:val="Normal"/>
    <w:pPr>
      <w:numPr>
        <w:numId w:val="21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2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sk-SK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5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5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5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5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sk-SK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sk-SK"/>
    </w:rPr>
  </w:style>
  <w:style w:type="paragraph" w:customStyle="1" w:styleId="CRSeparator">
    <w:name w:val="CR Separator"/>
    <w:basedOn w:val="Normal"/>
    <w:link w:val="CRSeparatorChar"/>
    <w:pPr>
      <w:keepNext/>
      <w:pBdr>
        <w:top w:val="single" w:sz="4" w:space="1" w:color="auto"/>
      </w:pBdr>
      <w:autoSpaceDE w:val="0"/>
      <w:autoSpaceDN w:val="0"/>
      <w:spacing w:before="240"/>
      <w:ind w:right="40"/>
    </w:pPr>
    <w:rPr>
      <w:rFonts w:eastAsia="Times New Roman"/>
    </w:rPr>
  </w:style>
  <w:style w:type="character" w:customStyle="1" w:styleId="CRSeparatorChar">
    <w:name w:val="CR Separator Char"/>
    <w:link w:val="CRSeparator"/>
    <w:locked/>
    <w:rPr>
      <w:rFonts w:ascii="Times New Roman" w:eastAsia="Times New Roman" w:hAnsi="Times New Roman" w:cs="Times New Roman"/>
      <w:sz w:val="24"/>
      <w:lang w:val="sk-SK" w:eastAsia="sk-SK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val="sk-SK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val="sk-SK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9"/>
      </w:numPr>
    </w:pPr>
  </w:style>
  <w:style w:type="paragraph" w:customStyle="1" w:styleId="Tiret1">
    <w:name w:val="Tiret 1"/>
    <w:basedOn w:val="Point1"/>
    <w:pPr>
      <w:numPr>
        <w:numId w:val="10"/>
      </w:numPr>
    </w:pPr>
  </w:style>
  <w:style w:type="paragraph" w:customStyle="1" w:styleId="Tiret2">
    <w:name w:val="Tiret 2"/>
    <w:basedOn w:val="Point2"/>
    <w:pPr>
      <w:numPr>
        <w:numId w:val="11"/>
      </w:numPr>
    </w:pPr>
  </w:style>
  <w:style w:type="paragraph" w:customStyle="1" w:styleId="Tiret3">
    <w:name w:val="Tiret 3"/>
    <w:basedOn w:val="Point3"/>
    <w:pPr>
      <w:numPr>
        <w:numId w:val="12"/>
      </w:numPr>
    </w:pPr>
  </w:style>
  <w:style w:type="paragraph" w:customStyle="1" w:styleId="Tiret4">
    <w:name w:val="Tiret 4"/>
    <w:basedOn w:val="Point4"/>
    <w:pPr>
      <w:numPr>
        <w:numId w:val="13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4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4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4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4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6"/>
      </w:numPr>
    </w:pPr>
  </w:style>
  <w:style w:type="paragraph" w:customStyle="1" w:styleId="Point1number">
    <w:name w:val="Point 1 (number)"/>
    <w:basedOn w:val="Normal"/>
    <w:pPr>
      <w:numPr>
        <w:ilvl w:val="2"/>
        <w:numId w:val="16"/>
      </w:numPr>
    </w:pPr>
  </w:style>
  <w:style w:type="paragraph" w:customStyle="1" w:styleId="Point2number">
    <w:name w:val="Point 2 (number)"/>
    <w:basedOn w:val="Normal"/>
    <w:pPr>
      <w:numPr>
        <w:ilvl w:val="4"/>
        <w:numId w:val="16"/>
      </w:numPr>
    </w:pPr>
  </w:style>
  <w:style w:type="paragraph" w:customStyle="1" w:styleId="Point3number">
    <w:name w:val="Point 3 (number)"/>
    <w:basedOn w:val="Normal"/>
    <w:pPr>
      <w:numPr>
        <w:ilvl w:val="6"/>
        <w:numId w:val="16"/>
      </w:numPr>
    </w:pPr>
  </w:style>
  <w:style w:type="paragraph" w:customStyle="1" w:styleId="Point0letter">
    <w:name w:val="Point 0 (letter)"/>
    <w:basedOn w:val="Normal"/>
    <w:pPr>
      <w:numPr>
        <w:ilvl w:val="1"/>
        <w:numId w:val="16"/>
      </w:numPr>
    </w:pPr>
  </w:style>
  <w:style w:type="paragraph" w:customStyle="1" w:styleId="Point1letter">
    <w:name w:val="Point 1 (letter)"/>
    <w:basedOn w:val="Normal"/>
    <w:pPr>
      <w:numPr>
        <w:ilvl w:val="3"/>
        <w:numId w:val="16"/>
      </w:numPr>
    </w:pPr>
  </w:style>
  <w:style w:type="paragraph" w:customStyle="1" w:styleId="Point2letter">
    <w:name w:val="Point 2 (letter)"/>
    <w:basedOn w:val="Normal"/>
    <w:pPr>
      <w:numPr>
        <w:ilvl w:val="5"/>
        <w:numId w:val="16"/>
      </w:numPr>
    </w:pPr>
  </w:style>
  <w:style w:type="paragraph" w:customStyle="1" w:styleId="Point3letter">
    <w:name w:val="Point 3 (letter)"/>
    <w:basedOn w:val="Normal"/>
    <w:pPr>
      <w:numPr>
        <w:ilvl w:val="7"/>
        <w:numId w:val="16"/>
      </w:numPr>
    </w:pPr>
  </w:style>
  <w:style w:type="paragraph" w:customStyle="1" w:styleId="Point4letter">
    <w:name w:val="Point 4 (letter)"/>
    <w:basedOn w:val="Normal"/>
    <w:pPr>
      <w:numPr>
        <w:ilvl w:val="8"/>
        <w:numId w:val="16"/>
      </w:numPr>
    </w:pPr>
  </w:style>
  <w:style w:type="paragraph" w:customStyle="1" w:styleId="Bullet0">
    <w:name w:val="Bullet 0"/>
    <w:basedOn w:val="Normal"/>
    <w:pPr>
      <w:numPr>
        <w:numId w:val="17"/>
      </w:numPr>
    </w:pPr>
  </w:style>
  <w:style w:type="paragraph" w:customStyle="1" w:styleId="Bullet1">
    <w:name w:val="Bullet 1"/>
    <w:basedOn w:val="Normal"/>
    <w:pPr>
      <w:numPr>
        <w:numId w:val="18"/>
      </w:numPr>
    </w:pPr>
  </w:style>
  <w:style w:type="paragraph" w:customStyle="1" w:styleId="Bullet2">
    <w:name w:val="Bullet 2"/>
    <w:basedOn w:val="Normal"/>
    <w:pPr>
      <w:numPr>
        <w:numId w:val="19"/>
      </w:numPr>
    </w:pPr>
  </w:style>
  <w:style w:type="paragraph" w:customStyle="1" w:styleId="Bullet3">
    <w:name w:val="Bullet 3"/>
    <w:basedOn w:val="Normal"/>
    <w:pPr>
      <w:numPr>
        <w:numId w:val="20"/>
      </w:numPr>
    </w:pPr>
  </w:style>
  <w:style w:type="paragraph" w:customStyle="1" w:styleId="Bullet4">
    <w:name w:val="Bullet 4"/>
    <w:basedOn w:val="Normal"/>
    <w:pPr>
      <w:numPr>
        <w:numId w:val="21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2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</TotalTime>
  <Pages>4</Pages>
  <Words>313</Words>
  <Characters>1159</Characters>
  <Application>Microsoft Office Word</Application>
  <DocSecurity>0</DocSecurity>
  <Lines>105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Mauro.GAGLIARDI@ec.europa.eu</dc:creator>
  <cp:lastModifiedBy>DIGIT/A3</cp:lastModifiedBy>
  <cp:revision>10</cp:revision>
  <dcterms:created xsi:type="dcterms:W3CDTF">2018-09-27T14:13:00Z</dcterms:created>
  <dcterms:modified xsi:type="dcterms:W3CDTF">2018-10-01T08:07:00Z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6.0.1.0</vt:lpwstr>
  </property>
  <property fmtid="{D5CDD505-2E9C-101B-9397-08002B2CF9AE}" pid="4" name="Last edited using">
    <vt:lpwstr>LW 6.0.1, Build 20180503</vt:lpwstr>
  </property>
  <property fmtid="{D5CDD505-2E9C-101B-9397-08002B2CF9AE}" pid="5" name="Created using">
    <vt:lpwstr>LW 6.0.1, Build 20180503</vt:lpwstr>
  </property>
  <property fmtid="{D5CDD505-2E9C-101B-9397-08002B2CF9AE}" pid="6" name="First annex">
    <vt:lpwstr>1</vt:lpwstr>
  </property>
  <property fmtid="{D5CDD505-2E9C-101B-9397-08002B2CF9AE}" pid="7" name="Last annex">
    <vt:lpwstr>2</vt:lpwstr>
  </property>
  <property fmtid="{D5CDD505-2E9C-101B-9397-08002B2CF9AE}" pid="8" name="Unique annex">
    <vt:lpwstr>0</vt:lpwstr>
  </property>
  <property fmtid="{D5CDD505-2E9C-101B-9397-08002B2CF9AE}" pid="9" name="Part">
    <vt:lpwstr>&lt;UNUSED&gt;</vt:lpwstr>
  </property>
  <property fmtid="{D5CDD505-2E9C-101B-9397-08002B2CF9AE}" pid="10" name="Total parts">
    <vt:lpwstr>&lt;UNUSED&gt;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DQCStatus">
    <vt:lpwstr>Green (DQC version 03)</vt:lpwstr>
  </property>
</Properties>
</file>