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008201" w14:textId="607B4F01" w:rsidR="0040364E" w:rsidRPr="00427AA3" w:rsidRDefault="00DE4035" w:rsidP="00DE4035">
      <w:pPr>
        <w:pStyle w:val="Pagedecouverture"/>
        <w:rPr>
          <w:noProof/>
        </w:rPr>
      </w:pPr>
      <w:r>
        <w:rPr>
          <w:noProof/>
        </w:rPr>
        <w:pict w14:anchorId="51670E1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alt="9AA1FAE9-981A-41BA-906A-5B74F54B44D8" style="width:455pt;height:426pt">
            <v:imagedata r:id="rId7" o:title=""/>
          </v:shape>
        </w:pict>
      </w:r>
    </w:p>
    <w:p w14:paraId="1E88315D" w14:textId="77777777" w:rsidR="0040364E" w:rsidRPr="00427AA3" w:rsidRDefault="0040364E" w:rsidP="0040364E">
      <w:pPr>
        <w:rPr>
          <w:noProof/>
        </w:rPr>
        <w:sectPr w:rsidR="0040364E" w:rsidRPr="00427AA3" w:rsidSect="00DE4035">
          <w:headerReference w:type="even" r:id="rId8"/>
          <w:headerReference w:type="default" r:id="rId9"/>
          <w:footerReference w:type="even" r:id="rId10"/>
          <w:footerReference w:type="default" r:id="rId11"/>
          <w:headerReference w:type="first" r:id="rId12"/>
          <w:footerReference w:type="first" r:id="rId13"/>
          <w:pgSz w:w="11907" w:h="16839"/>
          <w:pgMar w:top="1134" w:right="1417" w:bottom="1134" w:left="1417" w:header="709" w:footer="709" w:gutter="0"/>
          <w:pgNumType w:start="0"/>
          <w:cols w:space="720"/>
          <w:docGrid w:linePitch="360"/>
        </w:sectPr>
      </w:pPr>
    </w:p>
    <w:p w14:paraId="69DA7DD2" w14:textId="77777777" w:rsidR="0040364E" w:rsidRPr="00427AA3" w:rsidRDefault="0040364E" w:rsidP="00BB6B30">
      <w:pPr>
        <w:pStyle w:val="Exposdesmotifstitre"/>
        <w:rPr>
          <w:noProof/>
        </w:rPr>
      </w:pPr>
      <w:r w:rsidRPr="00427AA3">
        <w:rPr>
          <w:noProof/>
        </w:rPr>
        <w:lastRenderedPageBreak/>
        <w:t>EXPUNERE DE MOTIVE</w:t>
      </w:r>
    </w:p>
    <w:p w14:paraId="7E19D49A" w14:textId="77777777" w:rsidR="0040364E" w:rsidRPr="00427AA3" w:rsidRDefault="00642C85" w:rsidP="00642C85">
      <w:pPr>
        <w:pStyle w:val="ManualHeading1"/>
        <w:rPr>
          <w:rFonts w:eastAsia="Arial Unicode MS"/>
          <w:noProof/>
        </w:rPr>
      </w:pPr>
      <w:r w:rsidRPr="00642C85">
        <w:rPr>
          <w:noProof/>
        </w:rPr>
        <w:t>1.</w:t>
      </w:r>
      <w:r w:rsidRPr="00642C85">
        <w:rPr>
          <w:noProof/>
        </w:rPr>
        <w:tab/>
      </w:r>
      <w:r w:rsidR="0040364E" w:rsidRPr="00427AA3">
        <w:rPr>
          <w:noProof/>
        </w:rPr>
        <w:t>Obiectul propunerii</w:t>
      </w:r>
    </w:p>
    <w:p w14:paraId="3FFE06B1" w14:textId="77777777" w:rsidR="0040364E" w:rsidRPr="00427AA3" w:rsidRDefault="00CE04C2" w:rsidP="00736AA9">
      <w:pPr>
        <w:rPr>
          <w:rFonts w:eastAsia="Arial Unicode MS"/>
          <w:noProof/>
        </w:rPr>
      </w:pPr>
      <w:r w:rsidRPr="00427AA3">
        <w:rPr>
          <w:noProof/>
        </w:rPr>
        <w:t>Comisia propune Consiliului să stabilească poziția care urmează să fie adoptată în numele Uniunii în cadrul Comitetului specializat privind transportul rutier, instituit prin Acordul comercial și de cooperare dintre Uniunea Europeană și Comunitatea Europeană a Energiei Atomice, pe de o parte, și Regatul Unit al Marii Britanii și Irlandei de Nord, pe de altă parte (denumit în continuare „Acordul comercial și de cooperare”), în ceea ce privește cuantumul și modalitățile contribuției financiare a Regatului Unit la sistemele de informații pentru transportul rutier gestionate de Uniune și de modificare a Deciziei nr. 1/2022 a Comitetului specializat privind transportul rutier.</w:t>
      </w:r>
    </w:p>
    <w:p w14:paraId="0F5379C3" w14:textId="77777777" w:rsidR="0040364E" w:rsidRPr="00427AA3" w:rsidRDefault="00642C85" w:rsidP="00642C85">
      <w:pPr>
        <w:pStyle w:val="ManualHeading1"/>
        <w:rPr>
          <w:noProof/>
        </w:rPr>
      </w:pPr>
      <w:r w:rsidRPr="00642C85">
        <w:rPr>
          <w:noProof/>
        </w:rPr>
        <w:t>2.</w:t>
      </w:r>
      <w:r w:rsidRPr="00642C85">
        <w:rPr>
          <w:noProof/>
        </w:rPr>
        <w:tab/>
      </w:r>
      <w:r w:rsidR="0040364E" w:rsidRPr="00427AA3">
        <w:rPr>
          <w:noProof/>
        </w:rPr>
        <w:t>Contextul propunerii</w:t>
      </w:r>
    </w:p>
    <w:p w14:paraId="1072EFEE" w14:textId="77777777" w:rsidR="0040364E" w:rsidRPr="00427AA3" w:rsidRDefault="00642C85" w:rsidP="00642C85">
      <w:pPr>
        <w:pStyle w:val="ManualHeading2"/>
        <w:rPr>
          <w:noProof/>
        </w:rPr>
      </w:pPr>
      <w:r w:rsidRPr="00642C85">
        <w:rPr>
          <w:noProof/>
        </w:rPr>
        <w:t>2.1.</w:t>
      </w:r>
      <w:r w:rsidRPr="00642C85">
        <w:rPr>
          <w:noProof/>
        </w:rPr>
        <w:tab/>
      </w:r>
      <w:r w:rsidR="0040364E" w:rsidRPr="00427AA3">
        <w:rPr>
          <w:noProof/>
        </w:rPr>
        <w:t>Comitetul specializat privind transportul rutier</w:t>
      </w:r>
    </w:p>
    <w:p w14:paraId="246B38E2" w14:textId="77777777" w:rsidR="0040364E" w:rsidRPr="00427AA3" w:rsidRDefault="00AC16DB" w:rsidP="00736AA9">
      <w:pPr>
        <w:rPr>
          <w:rFonts w:eastAsia="Arial Unicode MS"/>
          <w:noProof/>
        </w:rPr>
      </w:pPr>
      <w:r w:rsidRPr="00427AA3">
        <w:rPr>
          <w:noProof/>
        </w:rPr>
        <w:t>Comitetul specializat privind transportul rutier este un organism instituit în temeiul articolului 8 alineatul (1) litera (o) din Acordul comercial și de cooperare. În temeiul articolului 468 alineatul (5) litera (c) din Acordul comercial și de cooperare, precum și al secțiunii 1 articolul 14 și al părții A secțiunea 2 articolul 7 alineatul (6) din anexa 31 la acesta, Comitetul specializat privind transportul rutier este împuternicit să adopte decizii în ceea ce privește modalitățile financiare aferente schimburilor de informații în cadrul punerii în aplicare a titlului privind transportul rutier din Acordul comercial și de cooperare (denumită în continuare „decizia avută în vedere”).</w:t>
      </w:r>
    </w:p>
    <w:p w14:paraId="4071EB27" w14:textId="77777777" w:rsidR="0040364E" w:rsidRPr="00427AA3" w:rsidRDefault="00642C85" w:rsidP="00642C85">
      <w:pPr>
        <w:pStyle w:val="ManualHeading2"/>
        <w:rPr>
          <w:noProof/>
        </w:rPr>
      </w:pPr>
      <w:r w:rsidRPr="00642C85">
        <w:rPr>
          <w:noProof/>
        </w:rPr>
        <w:t>2.2.</w:t>
      </w:r>
      <w:r w:rsidRPr="00642C85">
        <w:rPr>
          <w:noProof/>
        </w:rPr>
        <w:tab/>
      </w:r>
      <w:r w:rsidR="0040364E" w:rsidRPr="00427AA3">
        <w:rPr>
          <w:noProof/>
        </w:rPr>
        <w:t>Actul avut în vedere de Comitetul specializat privind transportul rutier</w:t>
      </w:r>
    </w:p>
    <w:p w14:paraId="6D5701B8" w14:textId="77777777" w:rsidR="00AC16DB" w:rsidRPr="00427AA3" w:rsidRDefault="0040364E" w:rsidP="00736AA9">
      <w:pPr>
        <w:rPr>
          <w:rFonts w:eastAsia="Arial Unicode MS"/>
          <w:noProof/>
        </w:rPr>
      </w:pPr>
      <w:r w:rsidRPr="00427AA3">
        <w:rPr>
          <w:noProof/>
        </w:rPr>
        <w:t xml:space="preserve">Scopul principal al deciziei avute în vedere este de a stabili cuantumul și modalitățile contribuției financiare a Regatului Unit la sistemele de informații pentru transportul rutier utilizate la punerea în aplicare a Acordului comercial și de cooperare care sunt gestionate de Uniune. </w:t>
      </w:r>
    </w:p>
    <w:p w14:paraId="3DE9E5C8" w14:textId="77777777" w:rsidR="005C52FC" w:rsidRPr="00427AA3" w:rsidRDefault="00AC16DB" w:rsidP="00736AA9">
      <w:pPr>
        <w:rPr>
          <w:rFonts w:eastAsia="Arial Unicode MS"/>
          <w:noProof/>
        </w:rPr>
      </w:pPr>
      <w:r w:rsidRPr="00427AA3">
        <w:rPr>
          <w:noProof/>
        </w:rPr>
        <w:t>Cuantumul și modalitățile contribuției financiare a Regatului Unit la modulul pentru declarațiile de detașare în transportul rutier din cadrul Sistemului de informare al pieței interne (IMI) al UE au fost stabilite în Decizia nr. 1/2022 a Comitetului specializat privind transportul rutier</w:t>
      </w:r>
      <w:r w:rsidRPr="00427AA3">
        <w:rPr>
          <w:rStyle w:val="FootnoteReference"/>
          <w:rFonts w:eastAsia="Arial Unicode MS"/>
          <w:noProof/>
        </w:rPr>
        <w:footnoteReference w:id="1"/>
      </w:r>
      <w:r w:rsidRPr="00427AA3">
        <w:rPr>
          <w:noProof/>
        </w:rPr>
        <w:t xml:space="preserve">. </w:t>
      </w:r>
    </w:p>
    <w:p w14:paraId="5120FFE6" w14:textId="77777777" w:rsidR="005C52FC" w:rsidRPr="00427AA3" w:rsidRDefault="005C52FC" w:rsidP="00736AA9">
      <w:pPr>
        <w:rPr>
          <w:rFonts w:eastAsia="Arial Unicode MS"/>
          <w:noProof/>
        </w:rPr>
      </w:pPr>
      <w:r w:rsidRPr="00427AA3">
        <w:rPr>
          <w:noProof/>
        </w:rPr>
        <w:t xml:space="preserve">În prezent, se prevede, în cadrul unei propuneri separate de decizie a Consiliului, utilizarea Registrului european al întreprinderilor de transport rutier (ERRU) pentru schimbul anumitor informații menționate în partea A secțiunea 1 din anexa 31 la ACC. ERRU este gestionat de Comisie. ERRU a fost creat în timp ce Regatul Unit era încă stat membru al Uniunii. Prin urmare, Regatul Unit a contribuit la costurile de dezvoltare ale ERRU în calitate de stat membru al Uniunii. Cu toate acestea, Regatul Unit ar trebui să plătească o contribuție operațională și de întreținere anuală pentru ERRU, pe baza cheii de contribuție prevăzute la </w:t>
      </w:r>
      <w:r w:rsidRPr="00427AA3">
        <w:rPr>
          <w:noProof/>
        </w:rPr>
        <w:lastRenderedPageBreak/>
        <w:t xml:space="preserve">articolul 714 din Acordul comercial și de cooperare. În plus, Regatul Unit ar trebui să plătească o taxă de participare de 4 % din contribuția sa operațională și de întreținere. </w:t>
      </w:r>
    </w:p>
    <w:p w14:paraId="7A05F703" w14:textId="77777777" w:rsidR="0040364E" w:rsidRPr="00427AA3" w:rsidRDefault="005C52FC" w:rsidP="00736AA9">
      <w:pPr>
        <w:rPr>
          <w:rFonts w:eastAsia="Arial Unicode MS"/>
          <w:noProof/>
        </w:rPr>
      </w:pPr>
      <w:r w:rsidRPr="00427AA3">
        <w:rPr>
          <w:noProof/>
        </w:rPr>
        <w:t xml:space="preserve">Pentru a simplifica procedurile administrative și a lua în considerare sumele în cauză, se propune facturarea către Regatul Unit a unei plăți anuale unice corespunzătoare contribuției sale anuale la sistemele informatice pentru transportul rutier în cadrul punerii în aplicare a Acordului comercial și de cooperare, care sunt gestionate de Uniune și care sunt reprezentate în prezent de modulul pentru declarațiile de detașare în transportul rutier din cadrul IMI și ERRU. Modalitățile contribuției anuale unice atât pentru IMI, cât și pentru ERRU fac obiectul prezentei propuneri. Prin urmare, este necesar, de asemenea, să se modifice Decizia nr. 1/2022 a Comitetului specializat privind transportul rutier pentru a transfera modalitățile contribuției financiare a Regatului Unit în ceea ce privește modulul pentru declarațiile de detașare în transportul rutier din cadrul IMI în decizia Comitetului specializat privind transportul rutier cuprinsă în anexa la prezenta propunere. </w:t>
      </w:r>
    </w:p>
    <w:p w14:paraId="51E233D6" w14:textId="77777777" w:rsidR="0040364E" w:rsidRPr="00427AA3" w:rsidRDefault="00642C85" w:rsidP="00642C85">
      <w:pPr>
        <w:pStyle w:val="ManualHeading1"/>
        <w:rPr>
          <w:rFonts w:eastAsia="Arial Unicode MS"/>
          <w:noProof/>
        </w:rPr>
      </w:pPr>
      <w:r w:rsidRPr="00642C85">
        <w:rPr>
          <w:noProof/>
        </w:rPr>
        <w:t>3.</w:t>
      </w:r>
      <w:r w:rsidRPr="00642C85">
        <w:rPr>
          <w:noProof/>
        </w:rPr>
        <w:tab/>
      </w:r>
      <w:r w:rsidR="0040364E" w:rsidRPr="00427AA3">
        <w:rPr>
          <w:noProof/>
        </w:rPr>
        <w:t>Poziția care urmează să fie adoptată în numele Uniunii</w:t>
      </w:r>
    </w:p>
    <w:p w14:paraId="6DEB7B6C" w14:textId="77777777" w:rsidR="0040364E" w:rsidRPr="00427AA3" w:rsidRDefault="00CE04C2" w:rsidP="00736AA9">
      <w:pPr>
        <w:rPr>
          <w:noProof/>
          <w:color w:val="0000FF"/>
        </w:rPr>
      </w:pPr>
      <w:r w:rsidRPr="00427AA3">
        <w:rPr>
          <w:noProof/>
        </w:rPr>
        <w:t>Prin urmare, poziția Uniunii trebuie să fie aceea de a sprijini adoptarea unei decizii a Comitetului specializat privind transportul rutier, în conformitate cu proiectul de decizie anexat la propunere.</w:t>
      </w:r>
    </w:p>
    <w:p w14:paraId="7DEAC089" w14:textId="77777777" w:rsidR="0040364E" w:rsidRPr="00427AA3" w:rsidRDefault="00642C85" w:rsidP="00642C85">
      <w:pPr>
        <w:pStyle w:val="ManualHeading1"/>
        <w:rPr>
          <w:noProof/>
        </w:rPr>
      </w:pPr>
      <w:r w:rsidRPr="00642C85">
        <w:rPr>
          <w:noProof/>
        </w:rPr>
        <w:t>4.</w:t>
      </w:r>
      <w:r w:rsidRPr="00642C85">
        <w:rPr>
          <w:noProof/>
        </w:rPr>
        <w:tab/>
      </w:r>
      <w:r w:rsidR="0040364E" w:rsidRPr="00427AA3">
        <w:rPr>
          <w:noProof/>
        </w:rPr>
        <w:t>Temeiul juridic</w:t>
      </w:r>
    </w:p>
    <w:p w14:paraId="31E953F6" w14:textId="77777777" w:rsidR="0040364E" w:rsidRPr="00427AA3" w:rsidRDefault="00642C85" w:rsidP="00642C85">
      <w:pPr>
        <w:pStyle w:val="ManualHeading2"/>
        <w:rPr>
          <w:noProof/>
        </w:rPr>
      </w:pPr>
      <w:r w:rsidRPr="00642C85">
        <w:rPr>
          <w:noProof/>
        </w:rPr>
        <w:t>4.1.</w:t>
      </w:r>
      <w:r w:rsidRPr="00642C85">
        <w:rPr>
          <w:noProof/>
        </w:rPr>
        <w:tab/>
      </w:r>
      <w:r w:rsidR="0040364E" w:rsidRPr="00427AA3">
        <w:rPr>
          <w:noProof/>
        </w:rPr>
        <w:t>Temeiul juridic procedural</w:t>
      </w:r>
    </w:p>
    <w:p w14:paraId="5F46D883" w14:textId="77777777" w:rsidR="00CE04C2" w:rsidRPr="00427AA3" w:rsidRDefault="00CE04C2" w:rsidP="00CE04C2">
      <w:pPr>
        <w:rPr>
          <w:noProof/>
        </w:rPr>
      </w:pPr>
      <w:r w:rsidRPr="00427AA3">
        <w:rPr>
          <w:noProof/>
        </w:rPr>
        <w:t>Articolul 218 alineatul (9) din Tratatul privind funcționarea Uniunii Europene (TFUE) prevede posibilitatea adoptării unor decizii de stabilire „</w:t>
      </w:r>
      <w:r w:rsidRPr="00427AA3">
        <w:rPr>
          <w:i/>
          <w:noProof/>
        </w:rPr>
        <w:t>a pozițiilor care trebuie adoptate în numele Uniunii în cadrul unui organism creat printr-un acord, în cazul în care acest organism trebuie să adopte acte cu efecte juridice, cu excepția actelor care modifică sau completează cadrul instituțional al acordului</w:t>
      </w:r>
      <w:r w:rsidRPr="00427AA3">
        <w:rPr>
          <w:noProof/>
        </w:rPr>
        <w:t>.”</w:t>
      </w:r>
    </w:p>
    <w:p w14:paraId="3BECF2C1" w14:textId="77777777" w:rsidR="00CE04C2" w:rsidRPr="00427AA3" w:rsidRDefault="00CE04C2" w:rsidP="00CE04C2">
      <w:pPr>
        <w:rPr>
          <w:noProof/>
        </w:rPr>
      </w:pPr>
      <w:r w:rsidRPr="00427AA3">
        <w:rPr>
          <w:noProof/>
        </w:rPr>
        <w:t>Decizia pe care Comitetul specializat privind transportul rutier este invitat să o adopte constituie un act cu efecte juridice. Actul avut în vedere nu aduce modificări sau completări cadrului instituțional al Acordului comercial și de cooperare. Prin urmare, temeiul juridic procedural al deciziei propuse este articolul 218 alineatul (9) din TFUE.</w:t>
      </w:r>
    </w:p>
    <w:p w14:paraId="0C29B5CD" w14:textId="77777777" w:rsidR="0040364E" w:rsidRPr="00427AA3" w:rsidRDefault="00642C85" w:rsidP="00642C85">
      <w:pPr>
        <w:pStyle w:val="ManualHeading2"/>
        <w:rPr>
          <w:noProof/>
        </w:rPr>
      </w:pPr>
      <w:r w:rsidRPr="00642C85">
        <w:rPr>
          <w:noProof/>
        </w:rPr>
        <w:t>4.2.</w:t>
      </w:r>
      <w:r w:rsidRPr="00642C85">
        <w:rPr>
          <w:noProof/>
        </w:rPr>
        <w:tab/>
      </w:r>
      <w:r w:rsidR="0040364E" w:rsidRPr="00427AA3">
        <w:rPr>
          <w:noProof/>
        </w:rPr>
        <w:t>Temeiul juridic material</w:t>
      </w:r>
    </w:p>
    <w:p w14:paraId="37302B3A" w14:textId="77777777" w:rsidR="00CE04C2" w:rsidRPr="00427AA3" w:rsidRDefault="00CE04C2" w:rsidP="00CE04C2">
      <w:pPr>
        <w:rPr>
          <w:noProof/>
        </w:rPr>
      </w:pPr>
      <w:r w:rsidRPr="00427AA3">
        <w:rPr>
          <w:noProof/>
        </w:rPr>
        <w:t>Temeiul juridic material al unei decizii adoptate în temeiul articolului 218 alineatul (9) din TFUE depinde în primul rând de obiectivul și de conținutul actului avut în vedere cu privire la care o poziție este luată în numele Uniunii. În cazul în care actul avut în vedere urmărește două obiective sau include două elemente, iar unul dintre aceste obiective sau elemente poate fi identificat ca fiind obiectivul sau elementul principal, iar celălalt obiectiv sau element are mai degrabă un caracter accesoriu, decizia adoptată în temeiul articolului 218 alineatul (9) din TFUE trebuie să se întemeieze pe un singur temei juridic material, respectiv cel impus de obiectivul sau de elementul principal sau predominant.</w:t>
      </w:r>
    </w:p>
    <w:p w14:paraId="4DF71AEC" w14:textId="77777777" w:rsidR="00CE04C2" w:rsidRPr="00427AA3" w:rsidRDefault="00CE04C2" w:rsidP="00CE04C2">
      <w:pPr>
        <w:rPr>
          <w:noProof/>
        </w:rPr>
      </w:pPr>
      <w:r w:rsidRPr="00427AA3">
        <w:rPr>
          <w:noProof/>
        </w:rPr>
        <w:t>Obiectivul principal și conținutul actului avut în vedere se referă la politica în domeniul transporturilor.</w:t>
      </w:r>
    </w:p>
    <w:p w14:paraId="1BD0BB2F" w14:textId="77777777" w:rsidR="0040364E" w:rsidRPr="00427AA3" w:rsidRDefault="00CE04C2" w:rsidP="00736AA9">
      <w:pPr>
        <w:rPr>
          <w:noProof/>
        </w:rPr>
      </w:pPr>
      <w:r w:rsidRPr="00427AA3">
        <w:rPr>
          <w:noProof/>
        </w:rPr>
        <w:t>Prin urmare, temeiul juridic material al deciziei propuse este articolul 91 din TFUE.</w:t>
      </w:r>
    </w:p>
    <w:p w14:paraId="31A9BFAF" w14:textId="77777777" w:rsidR="0040364E" w:rsidRPr="00427AA3" w:rsidRDefault="00642C85" w:rsidP="00642C85">
      <w:pPr>
        <w:pStyle w:val="ManualHeading2"/>
        <w:rPr>
          <w:noProof/>
        </w:rPr>
      </w:pPr>
      <w:r w:rsidRPr="00642C85">
        <w:rPr>
          <w:noProof/>
        </w:rPr>
        <w:t>4.3.</w:t>
      </w:r>
      <w:r w:rsidRPr="00642C85">
        <w:rPr>
          <w:noProof/>
        </w:rPr>
        <w:tab/>
      </w:r>
      <w:r w:rsidR="0040364E" w:rsidRPr="00427AA3">
        <w:rPr>
          <w:noProof/>
        </w:rPr>
        <w:t>Concluzii</w:t>
      </w:r>
    </w:p>
    <w:p w14:paraId="582B6C99" w14:textId="77777777" w:rsidR="0040364E" w:rsidRPr="00427AA3" w:rsidRDefault="0040364E" w:rsidP="00736AA9">
      <w:pPr>
        <w:rPr>
          <w:noProof/>
        </w:rPr>
      </w:pPr>
      <w:r w:rsidRPr="00427AA3">
        <w:rPr>
          <w:noProof/>
        </w:rPr>
        <w:t>Temeiul juridic al deciziei propuse trebuie să fie articolul 91 din TFUE coroborat cu articolul 218 alineatul (9) din TFUE.</w:t>
      </w:r>
    </w:p>
    <w:p w14:paraId="14F20320" w14:textId="77777777" w:rsidR="0040364E" w:rsidRPr="00427AA3" w:rsidRDefault="00642C85" w:rsidP="00642C85">
      <w:pPr>
        <w:pStyle w:val="ManualHeading1"/>
        <w:rPr>
          <w:noProof/>
        </w:rPr>
      </w:pPr>
      <w:r w:rsidRPr="00642C85">
        <w:rPr>
          <w:noProof/>
        </w:rPr>
        <w:t>5.</w:t>
      </w:r>
      <w:r w:rsidRPr="00642C85">
        <w:rPr>
          <w:noProof/>
        </w:rPr>
        <w:tab/>
      </w:r>
      <w:r w:rsidR="0040364E" w:rsidRPr="00427AA3">
        <w:rPr>
          <w:noProof/>
        </w:rPr>
        <w:t>Publicarea actului avut în vedere</w:t>
      </w:r>
    </w:p>
    <w:p w14:paraId="236E986D" w14:textId="77777777" w:rsidR="0040364E" w:rsidRPr="00427AA3" w:rsidRDefault="00CE04C2" w:rsidP="00736AA9">
      <w:pPr>
        <w:rPr>
          <w:noProof/>
          <w:color w:val="008000"/>
        </w:rPr>
      </w:pPr>
      <w:r w:rsidRPr="00427AA3">
        <w:rPr>
          <w:noProof/>
        </w:rPr>
        <w:t xml:space="preserve">Decizia Comitetului specializat privind transportul rutier trebuie publicată, după adoptare, în </w:t>
      </w:r>
      <w:r w:rsidRPr="00427AA3">
        <w:rPr>
          <w:i/>
          <w:noProof/>
        </w:rPr>
        <w:t>Jurnalul Oficial al Uniunii Europene</w:t>
      </w:r>
      <w:r w:rsidRPr="00427AA3">
        <w:rPr>
          <w:noProof/>
        </w:rPr>
        <w:t>.</w:t>
      </w:r>
    </w:p>
    <w:p w14:paraId="64DA511B" w14:textId="77777777" w:rsidR="0040364E" w:rsidRPr="00427AA3" w:rsidRDefault="0040364E" w:rsidP="00FD40BA">
      <w:pPr>
        <w:rPr>
          <w:noProof/>
        </w:rPr>
        <w:sectPr w:rsidR="0040364E" w:rsidRPr="00427AA3" w:rsidSect="00DE4035">
          <w:headerReference w:type="even" r:id="rId14"/>
          <w:footerReference w:type="even" r:id="rId15"/>
          <w:footerReference w:type="default" r:id="rId16"/>
          <w:headerReference w:type="first" r:id="rId17"/>
          <w:footerReference w:type="first" r:id="rId18"/>
          <w:pgSz w:w="11907" w:h="16839"/>
          <w:pgMar w:top="1134" w:right="1417" w:bottom="1134" w:left="1417" w:header="709" w:footer="709" w:gutter="0"/>
          <w:cols w:space="708"/>
          <w:docGrid w:linePitch="360"/>
        </w:sectPr>
      </w:pPr>
    </w:p>
    <w:p w14:paraId="26666BE6" w14:textId="0EDA8030" w:rsidR="004E62B6" w:rsidRDefault="00DE4035" w:rsidP="00DE4035">
      <w:pPr>
        <w:pStyle w:val="Rfrenceinterinstitutionnelle"/>
        <w:rPr>
          <w:noProof/>
        </w:rPr>
      </w:pPr>
      <w:r w:rsidRPr="00DE4035">
        <w:t>2025/0279 (NLE)</w:t>
      </w:r>
    </w:p>
    <w:p w14:paraId="42463065" w14:textId="5F89B417" w:rsidR="0040364E" w:rsidRPr="00427AA3" w:rsidRDefault="00DE4035" w:rsidP="00DE4035">
      <w:pPr>
        <w:pStyle w:val="Statut"/>
        <w:rPr>
          <w:noProof/>
        </w:rPr>
      </w:pPr>
      <w:r w:rsidRPr="00DE4035">
        <w:t>Propunere de</w:t>
      </w:r>
    </w:p>
    <w:p w14:paraId="19BB645E" w14:textId="592407F7" w:rsidR="0040364E" w:rsidRPr="00427AA3" w:rsidRDefault="00DE4035" w:rsidP="00DE4035">
      <w:pPr>
        <w:pStyle w:val="Typedudocument"/>
        <w:rPr>
          <w:noProof/>
        </w:rPr>
      </w:pPr>
      <w:r w:rsidRPr="00DE4035">
        <w:t>DECIZIE A CONSILIULUI</w:t>
      </w:r>
    </w:p>
    <w:p w14:paraId="45061D2D" w14:textId="46A6B2E0" w:rsidR="0040364E" w:rsidRPr="00427AA3" w:rsidRDefault="00DE4035" w:rsidP="00DE4035">
      <w:pPr>
        <w:pStyle w:val="Titreobjet"/>
        <w:rPr>
          <w:noProof/>
        </w:rPr>
      </w:pPr>
      <w:r w:rsidRPr="00DE4035">
        <w:t>privind poziția care urmează să fie adoptată, în numele Uniunii Europene, în cadrul Comitetului specializat privind transportul rutier, constituit prin Acordul comercial și de cooperare dintre Uniunea Europeană și Comunitatea Europeană a Energiei Atomice, pe de o parte, și Regatul Unit al Marii Britanii și Irlandei de Nord, pe de altă parte, cu privire la cuantumul și modalitățile contribuției financiare a Regatului Unit la sistemele de informații pentru transportul rutier gestionate de Uniune și de modificare a Deciziei nr. 1/2022 a Comitetului specializat privind transportul rutier</w:t>
      </w:r>
    </w:p>
    <w:p w14:paraId="169A1593" w14:textId="77777777" w:rsidR="0040364E" w:rsidRPr="00427AA3" w:rsidRDefault="0040364E" w:rsidP="00BE7CB9">
      <w:pPr>
        <w:pStyle w:val="Institutionquiagit"/>
        <w:rPr>
          <w:noProof/>
        </w:rPr>
      </w:pPr>
      <w:r w:rsidRPr="00427AA3">
        <w:rPr>
          <w:noProof/>
        </w:rPr>
        <w:t>CONSILIUL UNIUNII EUROPENE,</w:t>
      </w:r>
    </w:p>
    <w:p w14:paraId="303A7428" w14:textId="77777777" w:rsidR="0040364E" w:rsidRPr="00427AA3" w:rsidRDefault="00427AA3" w:rsidP="00BE7CB9">
      <w:pPr>
        <w:rPr>
          <w:noProof/>
        </w:rPr>
      </w:pPr>
      <w:r w:rsidRPr="00427AA3">
        <w:rPr>
          <w:noProof/>
        </w:rPr>
        <w:t>a</w:t>
      </w:r>
      <w:r w:rsidR="0040364E" w:rsidRPr="00427AA3">
        <w:rPr>
          <w:noProof/>
        </w:rPr>
        <w:t>vând în vedere Tratatul privind funcționarea Uniunii Europene, în special articolul 91 coroborat cu articolul 218 alineatul (9),</w:t>
      </w:r>
    </w:p>
    <w:p w14:paraId="4D86EE82" w14:textId="77777777" w:rsidR="0040364E" w:rsidRPr="00427AA3" w:rsidRDefault="0040364E" w:rsidP="00BE7CB9">
      <w:pPr>
        <w:rPr>
          <w:noProof/>
        </w:rPr>
      </w:pPr>
      <w:r w:rsidRPr="00427AA3">
        <w:rPr>
          <w:noProof/>
        </w:rPr>
        <w:t>având în vedere propunerea Comisiei Europene,</w:t>
      </w:r>
    </w:p>
    <w:p w14:paraId="4C78D21C" w14:textId="77777777" w:rsidR="0040364E" w:rsidRPr="00427AA3" w:rsidRDefault="0040364E" w:rsidP="00BE7CB9">
      <w:pPr>
        <w:rPr>
          <w:noProof/>
        </w:rPr>
      </w:pPr>
      <w:r w:rsidRPr="00427AA3">
        <w:rPr>
          <w:noProof/>
        </w:rPr>
        <w:t>întrucât:</w:t>
      </w:r>
    </w:p>
    <w:p w14:paraId="522150B1" w14:textId="77777777" w:rsidR="0040364E" w:rsidRPr="00427AA3" w:rsidRDefault="00642C85" w:rsidP="00642C85">
      <w:pPr>
        <w:pStyle w:val="ManualConsidrant"/>
        <w:rPr>
          <w:noProof/>
          <w:color w:val="0000FF"/>
        </w:rPr>
      </w:pPr>
      <w:r w:rsidRPr="00642C85">
        <w:rPr>
          <w:noProof/>
        </w:rPr>
        <w:t>(1)</w:t>
      </w:r>
      <w:r w:rsidRPr="00642C85">
        <w:rPr>
          <w:noProof/>
        </w:rPr>
        <w:tab/>
      </w:r>
      <w:r w:rsidR="006B30A4" w:rsidRPr="00427AA3">
        <w:rPr>
          <w:noProof/>
        </w:rPr>
        <w:t>Acordul comercial și de cooperare dintre Uniunea Europeană și Comunitatea Europeană a Energiei Atomice, pe de o parte, și Regatul Unit al Marii Britanii și Irlandei de Nord, pe de altă parte („Acordul comercial și de cooperare”) a fost încheiat de către Uniune prin Decizia (UE) 2021/689 a Consiliului și a intrat în vigoare la 1 mai 2021.</w:t>
      </w:r>
    </w:p>
    <w:p w14:paraId="63216BF1" w14:textId="77777777" w:rsidR="006B30A4" w:rsidRPr="00427AA3" w:rsidRDefault="00642C85" w:rsidP="00642C85">
      <w:pPr>
        <w:pStyle w:val="ManualConsidrant"/>
        <w:rPr>
          <w:noProof/>
        </w:rPr>
      </w:pPr>
      <w:r w:rsidRPr="00642C85">
        <w:rPr>
          <w:noProof/>
        </w:rPr>
        <w:t>(2)</w:t>
      </w:r>
      <w:r w:rsidRPr="00642C85">
        <w:rPr>
          <w:noProof/>
        </w:rPr>
        <w:tab/>
      </w:r>
      <w:sdt>
        <w:sdtPr>
          <w:rPr>
            <w:noProof/>
          </w:rPr>
          <w:tag w:val="goog_rdk_13"/>
          <w:id w:val="496083944"/>
        </w:sdtPr>
        <w:sdtEndPr/>
        <w:sdtContent>
          <w:r w:rsidR="00683FCF" w:rsidRPr="00427AA3">
            <w:rPr>
              <w:noProof/>
            </w:rPr>
            <w:t>Anexa 31 la Acordul comercial și de cooperare prevede mai multe cazuri în care Comitetul specializat privind transportul rutier trebuie să decidă cu privire la modalitățile de realizare a schimbului de informații între autoritățile competente ale fiecărei părți în ceea ce privește transportul rutier de mărfuri în temeiul Acordului comercial și de cooperare</w:t>
          </w:r>
        </w:sdtContent>
      </w:sdt>
      <w:r w:rsidR="00683FCF" w:rsidRPr="00427AA3">
        <w:rPr>
          <w:noProof/>
        </w:rPr>
        <w:t>.</w:t>
      </w:r>
    </w:p>
    <w:p w14:paraId="1436EDFF" w14:textId="77777777" w:rsidR="006B30A4" w:rsidRPr="00427AA3" w:rsidRDefault="00642C85" w:rsidP="00642C85">
      <w:pPr>
        <w:pStyle w:val="ManualConsidrant"/>
        <w:rPr>
          <w:noProof/>
        </w:rPr>
      </w:pPr>
      <w:r w:rsidRPr="00642C85">
        <w:rPr>
          <w:noProof/>
        </w:rPr>
        <w:t>(3)</w:t>
      </w:r>
      <w:r w:rsidRPr="00642C85">
        <w:rPr>
          <w:noProof/>
        </w:rPr>
        <w:tab/>
      </w:r>
      <w:r w:rsidR="006B30A4" w:rsidRPr="00427AA3">
        <w:rPr>
          <w:noProof/>
        </w:rPr>
        <w:t>În primul rând, partea A secțiunea 2 din anexa 31 la Acordul comercial și de cooperare prevede un sistem de schimb de informații privind detașarea conducătorilor auto din sectorul transportului rutier, prin intermediul Sistemului de informare al pieței interne (IMI) al Uniunii. Sistemul respectiv este gestionat de Comisia Europeană, iar modalitățile tehnice de realizare a acestui schimb de informații sunt prevăzute în Decizia nr. 1/2022 a Comitetului specializat privind transportul rutier</w:t>
      </w:r>
      <w:r w:rsidR="006B30A4" w:rsidRPr="00427AA3">
        <w:rPr>
          <w:rStyle w:val="FootnoteReference"/>
          <w:noProof/>
        </w:rPr>
        <w:footnoteReference w:id="2"/>
      </w:r>
      <w:r w:rsidR="006B30A4" w:rsidRPr="00427AA3">
        <w:rPr>
          <w:noProof/>
        </w:rPr>
        <w:t>. Contribuția Regatului Unit la costurile de dezvoltare a modulului pentru declarațiile de detașare în transportul rutier din cadrul IMI a fost plătită în 2022, în conformitate cu articolul 5 alineatul (2) din Decizia nr. 1/2022 a Comitetului specializat privind transportul rutier.</w:t>
      </w:r>
    </w:p>
    <w:p w14:paraId="1A550344" w14:textId="77777777" w:rsidR="006B30A4" w:rsidRPr="00427AA3" w:rsidRDefault="00642C85" w:rsidP="00642C85">
      <w:pPr>
        <w:pStyle w:val="ManualConsidrant"/>
        <w:rPr>
          <w:noProof/>
        </w:rPr>
      </w:pPr>
      <w:r w:rsidRPr="00642C85">
        <w:rPr>
          <w:noProof/>
        </w:rPr>
        <w:t>(4)</w:t>
      </w:r>
      <w:r w:rsidRPr="00642C85">
        <w:rPr>
          <w:noProof/>
        </w:rPr>
        <w:tab/>
      </w:r>
      <w:r w:rsidR="006B30A4" w:rsidRPr="00427AA3">
        <w:rPr>
          <w:noProof/>
        </w:rPr>
        <w:t>În al doilea rând, articolul 14 din partea A secțiunea 1 din anexa 31 la Acordul comercial și de cooperare prevede schimbul de informații dintre părți cu privire, printre altele, la încălcările grave comise de operatori pe teritoriul celeilalte părți. Modalitățile de realizare a schimbului de informații fac obiectul unei poziții separate a Uniunii, prevăzută în Decizia (UE) 2025/XXXX a Consiliului</w:t>
      </w:r>
      <w:r w:rsidR="006B30A4" w:rsidRPr="00427AA3">
        <w:rPr>
          <w:rStyle w:val="FootnoteReference"/>
          <w:noProof/>
          <w:szCs w:val="24"/>
        </w:rPr>
        <w:footnoteReference w:id="3"/>
      </w:r>
      <w:r w:rsidR="006B30A4" w:rsidRPr="00427AA3">
        <w:rPr>
          <w:noProof/>
        </w:rPr>
        <w:t>. În acest scop este utilizat Registrul european al întreprinderilor de transport rutier (ERRU), gestionat de Comisia Europeană. Regatul Unit a participat la costurile de dezvoltare ale ERRU în calitate de stat membru al Uniunii.</w:t>
      </w:r>
    </w:p>
    <w:p w14:paraId="4A6B00F3" w14:textId="77777777" w:rsidR="006B30A4" w:rsidRPr="00427AA3" w:rsidRDefault="00642C85" w:rsidP="00642C85">
      <w:pPr>
        <w:pStyle w:val="ManualConsidrant"/>
        <w:rPr>
          <w:noProof/>
        </w:rPr>
      </w:pPr>
      <w:r w:rsidRPr="00642C85">
        <w:rPr>
          <w:noProof/>
        </w:rPr>
        <w:t>(5)</w:t>
      </w:r>
      <w:r w:rsidRPr="00642C85">
        <w:rPr>
          <w:noProof/>
        </w:rPr>
        <w:tab/>
      </w:r>
      <w:r w:rsidR="006B30A4" w:rsidRPr="00427AA3">
        <w:rPr>
          <w:noProof/>
        </w:rPr>
        <w:t>Articolul 714 din Acordul comercial și de cooperare prevede că participarea Regatului Unit la programele și activitățile Uniunii ori la părți ale acestora este, de asemenea, condiționată de plata unei contribuții financiare anuale.</w:t>
      </w:r>
    </w:p>
    <w:p w14:paraId="06103B6E" w14:textId="77777777" w:rsidR="006B30A4" w:rsidRPr="00427AA3" w:rsidRDefault="00642C85" w:rsidP="00642C85">
      <w:pPr>
        <w:pStyle w:val="ManualConsidrant"/>
        <w:rPr>
          <w:noProof/>
        </w:rPr>
      </w:pPr>
      <w:r w:rsidRPr="00642C85">
        <w:rPr>
          <w:noProof/>
        </w:rPr>
        <w:t>(6)</w:t>
      </w:r>
      <w:r w:rsidRPr="00642C85">
        <w:rPr>
          <w:noProof/>
        </w:rPr>
        <w:tab/>
      </w:r>
      <w:r w:rsidR="006B30A4" w:rsidRPr="00427AA3">
        <w:rPr>
          <w:noProof/>
        </w:rPr>
        <w:t>Deși modalitățile tehnice de realizare a schimbului de informații sunt specifice fiecărui sistem de informații și, prin urmare, sunt prevăzute în decizii distincte ale Comitetului specializat privind transportul rutier, este oportun, având în vedere sumele limitate în cauză și procedurile administrative necesare pentru prelucrarea plăților, să se stabilească o contribuție financiară anuală unică a Regatului Unit pentru participarea sa la sistemele de informații pentru transportul rutier gestionate de Comisia Europeană în cadrul Acordului comercial și de cooperare.</w:t>
      </w:r>
    </w:p>
    <w:p w14:paraId="37C49393" w14:textId="77777777" w:rsidR="006B30A4" w:rsidRPr="00427AA3" w:rsidRDefault="00642C85" w:rsidP="00642C85">
      <w:pPr>
        <w:pStyle w:val="ManualConsidrant"/>
        <w:rPr>
          <w:noProof/>
        </w:rPr>
      </w:pPr>
      <w:r w:rsidRPr="00642C85">
        <w:rPr>
          <w:noProof/>
        </w:rPr>
        <w:t>(7)</w:t>
      </w:r>
      <w:r w:rsidRPr="00642C85">
        <w:rPr>
          <w:noProof/>
        </w:rPr>
        <w:tab/>
      </w:r>
      <w:r w:rsidR="006B30A4" w:rsidRPr="00427AA3">
        <w:rPr>
          <w:noProof/>
        </w:rPr>
        <w:t>Decizia nr. 1/2022 a Comitetului specializat privind transportul rutier prevede contribuția specifică a Regatului Unit la IMI și, prin urmare, este necesar ca aceasta să fie modificată.</w:t>
      </w:r>
    </w:p>
    <w:p w14:paraId="0B5E331D" w14:textId="77777777" w:rsidR="006B30A4" w:rsidRPr="00427AA3" w:rsidRDefault="00642C85" w:rsidP="00642C85">
      <w:pPr>
        <w:pStyle w:val="ManualConsidrant"/>
        <w:rPr>
          <w:noProof/>
        </w:rPr>
      </w:pPr>
      <w:r w:rsidRPr="00642C85">
        <w:rPr>
          <w:noProof/>
        </w:rPr>
        <w:t>(8)</w:t>
      </w:r>
      <w:r w:rsidRPr="00642C85">
        <w:rPr>
          <w:noProof/>
        </w:rPr>
        <w:tab/>
      </w:r>
      <w:r w:rsidR="006B30A4" w:rsidRPr="00427AA3">
        <w:rPr>
          <w:noProof/>
        </w:rPr>
        <w:t>Prin urmare, pentru a asigura buna funcționare a rubricii a treia titlul I din Acordul comercial și de cooperare, Comitetul specializat privind transportul rutier ar trebui să stabilească contribuția anuală care trebuie plătită de Regatul Unit la sistemele de informații pentru transportul rutier gestionate de Uniune.</w:t>
      </w:r>
    </w:p>
    <w:p w14:paraId="37DBA8AA" w14:textId="77777777" w:rsidR="0040364E" w:rsidRPr="00427AA3" w:rsidRDefault="00642C85" w:rsidP="00642C85">
      <w:pPr>
        <w:pStyle w:val="ManualConsidrant"/>
        <w:rPr>
          <w:noProof/>
        </w:rPr>
      </w:pPr>
      <w:r w:rsidRPr="00642C85">
        <w:rPr>
          <w:noProof/>
        </w:rPr>
        <w:t>(9)</w:t>
      </w:r>
      <w:r w:rsidRPr="00642C85">
        <w:rPr>
          <w:noProof/>
        </w:rPr>
        <w:tab/>
      </w:r>
      <w:r w:rsidR="006B30A4" w:rsidRPr="00427AA3">
        <w:rPr>
          <w:noProof/>
        </w:rPr>
        <w:t>Este necesar, așadar, să se stabilească poziția care urmează să fie adoptată în numele Uniunii în cadrul Comitetului specializat privind transportul rutier, întrucât actul avut în vedere va fi obligatoriu pentru Uniune</w:t>
      </w:r>
      <w:r w:rsidR="003750CF" w:rsidRPr="00427AA3">
        <w:rPr>
          <w:noProof/>
        </w:rPr>
        <w:t>,</w:t>
      </w:r>
    </w:p>
    <w:p w14:paraId="00E26664" w14:textId="77777777" w:rsidR="0040364E" w:rsidRPr="00427AA3" w:rsidRDefault="0040364E" w:rsidP="00BE7CB9">
      <w:pPr>
        <w:pStyle w:val="Formuledadoption"/>
        <w:rPr>
          <w:noProof/>
        </w:rPr>
      </w:pPr>
      <w:r w:rsidRPr="00427AA3">
        <w:rPr>
          <w:noProof/>
        </w:rPr>
        <w:t>ADOPTĂ PREZENTA DECIZIE:</w:t>
      </w:r>
    </w:p>
    <w:p w14:paraId="087EBBA2" w14:textId="77777777" w:rsidR="0040364E" w:rsidRPr="00427AA3" w:rsidRDefault="0040364E" w:rsidP="00BE7CB9">
      <w:pPr>
        <w:pStyle w:val="Titrearticle"/>
        <w:rPr>
          <w:noProof/>
        </w:rPr>
      </w:pPr>
      <w:r w:rsidRPr="00427AA3">
        <w:rPr>
          <w:noProof/>
        </w:rPr>
        <w:t>Articolul 1</w:t>
      </w:r>
    </w:p>
    <w:p w14:paraId="00F0FD43" w14:textId="77777777" w:rsidR="006B30A4" w:rsidRPr="00427AA3" w:rsidRDefault="006B30A4" w:rsidP="00642C85">
      <w:pPr>
        <w:pStyle w:val="ManualNumPar1"/>
        <w:rPr>
          <w:noProof/>
        </w:rPr>
      </w:pPr>
      <w:r w:rsidRPr="00427AA3">
        <w:rPr>
          <w:noProof/>
        </w:rPr>
        <w:t>Poziția care urmează să fie adoptată în numele Uniunii în cadrul Comitetului specializat privind transportul rutier, instituit prin articolul 8 alineatul (1) litera (o) din Acordul comercial și de cooperare dintre Uniunea Europeană și Comunitatea Europeană a Energiei Atomice, pe de o parte, și Regatul Unit al Marii Britanii și Irlandei de Nord, pe de altă parte (denumit în continuare „Comitetul specializat privind transportul rutier”), în ceea ce privește cuantumul și modalitățile contribuției financiare a Regatului Unit la sistemele de informații pentru transportul rutier gestionate de Uniune și de modificare a Deciziei nr. 1/2022 a Comitetului specializat privind transportul rutier este stabilită în proiectul de decizie a Comitetului specializat privind transportul rutier anexat la prezenta decizie.</w:t>
      </w:r>
    </w:p>
    <w:p w14:paraId="3830B64A" w14:textId="77777777" w:rsidR="0040364E" w:rsidRPr="00427AA3" w:rsidRDefault="00642C85" w:rsidP="00642C85">
      <w:pPr>
        <w:pStyle w:val="ManualNumPar1"/>
        <w:rPr>
          <w:noProof/>
        </w:rPr>
      </w:pPr>
      <w:r w:rsidRPr="00642C85">
        <w:rPr>
          <w:noProof/>
        </w:rPr>
        <w:t>2.</w:t>
      </w:r>
      <w:r w:rsidRPr="00642C85">
        <w:rPr>
          <w:noProof/>
        </w:rPr>
        <w:tab/>
      </w:r>
      <w:r w:rsidR="006B30A4" w:rsidRPr="00427AA3">
        <w:rPr>
          <w:noProof/>
        </w:rPr>
        <w:t>Comisia poate decide asupra unor modificări minore ale proiectului de decizie anexat al Comitetului specializat privind transportul rutier, fără a fi necesară o nouă decizie a Consiliului.</w:t>
      </w:r>
    </w:p>
    <w:p w14:paraId="3FCE06E5" w14:textId="77777777" w:rsidR="0040364E" w:rsidRPr="00427AA3" w:rsidRDefault="0040364E" w:rsidP="004C4E11">
      <w:pPr>
        <w:pStyle w:val="Titrearticle"/>
        <w:rPr>
          <w:noProof/>
        </w:rPr>
      </w:pPr>
      <w:r w:rsidRPr="00427AA3">
        <w:rPr>
          <w:noProof/>
        </w:rPr>
        <w:t>Articolul 2</w:t>
      </w:r>
    </w:p>
    <w:p w14:paraId="5DEB49E5" w14:textId="77777777" w:rsidR="0040364E" w:rsidRPr="00427AA3" w:rsidRDefault="0040364E" w:rsidP="00BE7CB9">
      <w:pPr>
        <w:rPr>
          <w:noProof/>
        </w:rPr>
      </w:pPr>
      <w:r w:rsidRPr="00427AA3">
        <w:rPr>
          <w:noProof/>
        </w:rPr>
        <w:t>Prezenta decizie intră în vigoare la data adoptării.</w:t>
      </w:r>
    </w:p>
    <w:p w14:paraId="267EB3B4" w14:textId="3C57109C" w:rsidR="0040364E" w:rsidRPr="00427AA3" w:rsidRDefault="00DE4035" w:rsidP="00DE4035">
      <w:pPr>
        <w:pStyle w:val="Fait"/>
        <w:rPr>
          <w:noProof/>
        </w:rPr>
      </w:pPr>
      <w:r w:rsidRPr="00DE4035">
        <w:t>Adoptată la Bruxelles,</w:t>
      </w:r>
    </w:p>
    <w:p w14:paraId="65C0CE3D" w14:textId="77777777" w:rsidR="0040364E" w:rsidRPr="00427AA3" w:rsidRDefault="0040364E" w:rsidP="004C4E11">
      <w:pPr>
        <w:pStyle w:val="Institutionquisigne"/>
        <w:rPr>
          <w:noProof/>
        </w:rPr>
      </w:pPr>
      <w:r w:rsidRPr="00427AA3">
        <w:rPr>
          <w:noProof/>
        </w:rPr>
        <w:tab/>
        <w:t>Pentru Consiliu,</w:t>
      </w:r>
    </w:p>
    <w:p w14:paraId="30B4EFCD" w14:textId="77777777" w:rsidR="0040364E" w:rsidRPr="00427AA3" w:rsidRDefault="0040364E" w:rsidP="0040364E">
      <w:pPr>
        <w:pStyle w:val="Personnequisigne"/>
        <w:rPr>
          <w:noProof/>
        </w:rPr>
      </w:pPr>
      <w:r w:rsidRPr="00427AA3">
        <w:rPr>
          <w:noProof/>
        </w:rPr>
        <w:tab/>
        <w:t>Președintele</w:t>
      </w:r>
    </w:p>
    <w:sectPr w:rsidR="0040364E" w:rsidRPr="00427AA3" w:rsidSect="00DE4035">
      <w:pgSz w:w="11907" w:h="16839"/>
      <w:pgMar w:top="1134" w:right="1417" w:bottom="1134"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51F6C" w14:textId="77777777" w:rsidR="00DA786A" w:rsidRPr="00427AA3" w:rsidRDefault="00DA786A" w:rsidP="0040364E">
      <w:pPr>
        <w:spacing w:before="0" w:after="0"/>
      </w:pPr>
      <w:r w:rsidRPr="00427AA3">
        <w:separator/>
      </w:r>
    </w:p>
  </w:endnote>
  <w:endnote w:type="continuationSeparator" w:id="0">
    <w:p w14:paraId="2B79FBDC" w14:textId="77777777" w:rsidR="00DA786A" w:rsidRPr="00427AA3" w:rsidRDefault="00DA786A" w:rsidP="0040364E">
      <w:pPr>
        <w:spacing w:before="0" w:after="0"/>
      </w:pPr>
      <w:r w:rsidRPr="00427AA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947C6F" w14:textId="280B1783" w:rsidR="00F3301D" w:rsidRPr="00DE4035" w:rsidRDefault="00DE4035" w:rsidP="00DE4035">
    <w:pPr>
      <w:pStyle w:val="Footer"/>
      <w:rPr>
        <w:rFonts w:ascii="Arial" w:hAnsi="Arial" w:cs="Arial"/>
        <w:b/>
        <w:sz w:val="48"/>
      </w:rPr>
    </w:pPr>
    <w:r w:rsidRPr="00DE4035">
      <w:rPr>
        <w:rFonts w:ascii="Arial" w:hAnsi="Arial" w:cs="Arial"/>
        <w:b/>
        <w:sz w:val="48"/>
      </w:rPr>
      <w:t>RO</w:t>
    </w:r>
    <w:r w:rsidRPr="00DE4035">
      <w:rPr>
        <w:rFonts w:ascii="Arial" w:hAnsi="Arial" w:cs="Arial"/>
        <w:b/>
        <w:sz w:val="48"/>
      </w:rPr>
      <w:tab/>
    </w:r>
    <w:r w:rsidRPr="00DE4035">
      <w:rPr>
        <w:rFonts w:ascii="Arial" w:hAnsi="Arial" w:cs="Arial"/>
        <w:b/>
        <w:sz w:val="48"/>
      </w:rPr>
      <w:tab/>
    </w:r>
    <w:r w:rsidRPr="00DE4035">
      <w:tab/>
    </w:r>
    <w:r w:rsidRPr="00DE4035">
      <w:rPr>
        <w:rFonts w:ascii="Arial" w:hAnsi="Arial" w:cs="Arial"/>
        <w:b/>
        <w:sz w:val="48"/>
      </w:rPr>
      <w:t>RO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2DC025" w14:textId="28026903" w:rsidR="00F3301D" w:rsidRPr="00DE4035" w:rsidRDefault="00DE4035" w:rsidP="00DE4035">
    <w:pPr>
      <w:pStyle w:val="Footer"/>
      <w:rPr>
        <w:rFonts w:ascii="Arial" w:hAnsi="Arial" w:cs="Arial"/>
        <w:b/>
        <w:sz w:val="48"/>
      </w:rPr>
    </w:pPr>
    <w:r w:rsidRPr="00DE4035">
      <w:rPr>
        <w:rFonts w:ascii="Arial" w:hAnsi="Arial" w:cs="Arial"/>
        <w:b/>
        <w:sz w:val="48"/>
      </w:rPr>
      <w:t>RO</w:t>
    </w:r>
    <w:r w:rsidRPr="00DE4035">
      <w:rPr>
        <w:rFonts w:ascii="Arial" w:hAnsi="Arial" w:cs="Arial"/>
        <w:b/>
        <w:sz w:val="48"/>
      </w:rPr>
      <w:tab/>
    </w:r>
    <w:r w:rsidRPr="00DE4035">
      <w:rPr>
        <w:rFonts w:ascii="Arial" w:hAnsi="Arial" w:cs="Arial"/>
        <w:b/>
        <w:sz w:val="48"/>
      </w:rPr>
      <w:tab/>
    </w:r>
    <w:r w:rsidRPr="00DE4035">
      <w:tab/>
    </w:r>
    <w:r w:rsidRPr="00DE4035">
      <w:rPr>
        <w:rFonts w:ascii="Arial" w:hAnsi="Arial" w:cs="Arial"/>
        <w:b/>
        <w:sz w:val="48"/>
      </w:rPr>
      <w:t>RO</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263BA" w14:textId="77777777" w:rsidR="00DE4035" w:rsidRPr="00DE4035" w:rsidRDefault="00DE4035" w:rsidP="00DE4035">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ABF45E" w14:textId="77777777" w:rsidR="00F3301D" w:rsidRDefault="00F3301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5F689" w14:textId="4ECA5646" w:rsidR="00DE4035" w:rsidRPr="00DE4035" w:rsidRDefault="00DE4035" w:rsidP="00DE4035">
    <w:pPr>
      <w:pStyle w:val="Footer"/>
      <w:rPr>
        <w:rFonts w:ascii="Arial" w:hAnsi="Arial" w:cs="Arial"/>
        <w:b/>
        <w:sz w:val="48"/>
      </w:rPr>
    </w:pPr>
    <w:r w:rsidRPr="00DE4035">
      <w:rPr>
        <w:rFonts w:ascii="Arial" w:hAnsi="Arial" w:cs="Arial"/>
        <w:b/>
        <w:sz w:val="48"/>
      </w:rPr>
      <w:t>RO</w:t>
    </w:r>
    <w:r w:rsidRPr="00DE4035">
      <w:rPr>
        <w:rFonts w:ascii="Arial" w:hAnsi="Arial" w:cs="Arial"/>
        <w:b/>
        <w:sz w:val="48"/>
      </w:rPr>
      <w:tab/>
    </w:r>
    <w:r>
      <w:fldChar w:fldCharType="begin"/>
    </w:r>
    <w:r>
      <w:instrText xml:space="preserve"> PAGE  \* MERGEFORMAT </w:instrText>
    </w:r>
    <w:r>
      <w:fldChar w:fldCharType="separate"/>
    </w:r>
    <w:r>
      <w:rPr>
        <w:noProof/>
      </w:rPr>
      <w:t>0</w:t>
    </w:r>
    <w:r>
      <w:fldChar w:fldCharType="end"/>
    </w:r>
    <w:r>
      <w:tab/>
    </w:r>
    <w:r w:rsidRPr="00DE4035">
      <w:tab/>
    </w:r>
    <w:r w:rsidRPr="00DE4035">
      <w:rPr>
        <w:rFonts w:ascii="Arial" w:hAnsi="Arial" w:cs="Arial"/>
        <w:b/>
        <w:sz w:val="48"/>
      </w:rPr>
      <w:t>RO</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0966EA" w14:textId="77777777" w:rsidR="00F3301D" w:rsidRDefault="00F3301D" w:rsidP="00DE403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598098" w14:textId="77777777" w:rsidR="00DA786A" w:rsidRPr="00427AA3" w:rsidRDefault="00DA786A" w:rsidP="0040364E">
      <w:pPr>
        <w:spacing w:before="0" w:after="0"/>
      </w:pPr>
      <w:r w:rsidRPr="00427AA3">
        <w:separator/>
      </w:r>
    </w:p>
  </w:footnote>
  <w:footnote w:type="continuationSeparator" w:id="0">
    <w:p w14:paraId="5CCE358C" w14:textId="77777777" w:rsidR="00DA786A" w:rsidRPr="00427AA3" w:rsidRDefault="00DA786A" w:rsidP="0040364E">
      <w:pPr>
        <w:spacing w:before="0" w:after="0"/>
      </w:pPr>
      <w:r w:rsidRPr="00427AA3">
        <w:continuationSeparator/>
      </w:r>
    </w:p>
  </w:footnote>
  <w:footnote w:id="1">
    <w:p w14:paraId="3B06940A" w14:textId="77777777" w:rsidR="005C52FC" w:rsidRPr="00427AA3" w:rsidRDefault="005C52FC">
      <w:pPr>
        <w:pStyle w:val="FootnoteText"/>
      </w:pPr>
      <w:r w:rsidRPr="00427AA3">
        <w:rPr>
          <w:rStyle w:val="FootnoteReference"/>
        </w:rPr>
        <w:footnoteRef/>
      </w:r>
      <w:r w:rsidRPr="00427AA3">
        <w:tab/>
        <w:t>Decizia nr. 1/2022 a Comitetului specializat privind transportul rutier constituit prin Acordul comercial și de cooperare dintre Uniunea Europeană și Comunitatea Europeană a Energiei Atomice, pe de o parte, și Regatul Unit al Marii Britanii și Irlandei de Nord, pe de altă parte, din 21 noiembrie 2022 privind specificațiile tehnice și procedurale pentru utilizarea Sistemului de informare al pieței interne (IMI) de către Regatul Unit, participarea Regatului Unit la cooperarea administrativă în temeiul articolului 6 din partea A secțiunea 2 a anexei 31 la Acordul comercial și de cooperare și cuantumul și modalitățile aferente contribuției financiare la bugetul general al Uniunii care revine Regatului Unit aferentă costurilor generate de utilizarea IMI de către acesta, JO L 75, 14.3.2023, p. 26.</w:t>
      </w:r>
    </w:p>
  </w:footnote>
  <w:footnote w:id="2">
    <w:p w14:paraId="066A1B9A" w14:textId="77777777" w:rsidR="006B30A4" w:rsidRPr="00427AA3" w:rsidRDefault="006B30A4" w:rsidP="006B30A4">
      <w:pPr>
        <w:pStyle w:val="FootnoteText"/>
        <w:rPr>
          <w:iCs/>
        </w:rPr>
      </w:pPr>
      <w:r w:rsidRPr="00427AA3">
        <w:rPr>
          <w:rStyle w:val="FootnoteReference"/>
        </w:rPr>
        <w:footnoteRef/>
      </w:r>
      <w:r w:rsidRPr="00427AA3">
        <w:tab/>
        <w:t>Decizia nr. 1/2022 a Comitetului specializat privind transportul rutier constituit prin Acordul comercial și de cooperare dintre Uniunea Europeană și Comunitatea Europeană a Energiei Atomice, pe de o parte, și Regatul Unit al Marii Britanii și Irlandei de Nord, pe de altă parte, din 21 noiembrie 2022 privind specificațiile tehnice și procedurale pentru utilizarea Sistemului de informare al pieței interne (IMI) de către Regatul Unit, participarea Regatului Unit la cooperarea administrativă în temeiul articolului 6 din partea A secțiunea 2 a anexei 31 la Acordul comercial și de cooperare și cuantumul și modalitățile aferente contribuției financiare la bugetul general al Uniunii care revine Regatului Unit aferentă costurilor generate de utilizarea IMI de către acesta (JO L 75, 14.3.2023, p. 26, ELI: </w:t>
      </w:r>
      <w:hyperlink r:id="rId1" w:tooltip="Oferă acces la acest document prin intermediul identificatorului său uniform de resurse pentru ELI." w:history="1">
        <w:r w:rsidRPr="00427AA3">
          <w:t>http://data.europa.eu/eli/dec/2023/578/oj</w:t>
        </w:r>
      </w:hyperlink>
      <w:r w:rsidRPr="00427AA3">
        <w:t>).</w:t>
      </w:r>
    </w:p>
  </w:footnote>
  <w:footnote w:id="3">
    <w:p w14:paraId="2FB19FDD" w14:textId="77777777" w:rsidR="006B30A4" w:rsidRPr="007B7F6F" w:rsidRDefault="006B30A4" w:rsidP="006B30A4">
      <w:pPr>
        <w:pStyle w:val="FootnoteText"/>
      </w:pPr>
      <w:r w:rsidRPr="00427AA3">
        <w:rPr>
          <w:rStyle w:val="FootnoteReference"/>
        </w:rPr>
        <w:footnoteRef/>
      </w:r>
      <w:r w:rsidRPr="00427AA3">
        <w:tab/>
      </w:r>
      <w:r w:rsidRPr="00427AA3">
        <w:rPr>
          <w:highlight w:val="yellow"/>
        </w:rPr>
        <w:t>[Referință la publicare]</w:t>
      </w:r>
      <w:r w:rsidRPr="00427AA3">
        <w:t xml:space="preserve"> Propunere de decizie a Consiliului privind poziția care urmează să fie adoptată în numele UE în cadrul Comitetului specializat privind transportul rutier în ceea ce privește cerințele minime referitoare la registrele electronice naționale în transportul rutier și modalitățile tehnice de realizare a acestui schimb de informații [conexiunea Regatului Unit la Registrul european al întreprinderilor de transport rutier (ERRU)]</w:t>
      </w:r>
      <w:r w:rsidR="003750CF" w:rsidRPr="00427AA3">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447D49" w14:textId="77777777" w:rsidR="00DE4035" w:rsidRPr="00DE4035" w:rsidRDefault="00DE4035" w:rsidP="00DE403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29D761" w14:textId="77777777" w:rsidR="00DE4035" w:rsidRPr="00DE4035" w:rsidRDefault="00DE4035" w:rsidP="00DE403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F408DC" w14:textId="77777777" w:rsidR="00DE4035" w:rsidRPr="00DE4035" w:rsidRDefault="00DE4035" w:rsidP="00DE4035">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5F815" w14:textId="77777777" w:rsidR="00F3301D" w:rsidRDefault="00F3301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27E07" w14:textId="77777777" w:rsidR="00F3301D" w:rsidRDefault="00F3301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1"/>
    <w:multiLevelType w:val="singleLevel"/>
    <w:tmpl w:val="E71A5558"/>
    <w:lvl w:ilvl="0">
      <w:start w:val="1"/>
      <w:numFmt w:val="bullet"/>
      <w:pStyle w:val="ListBullet4"/>
      <w:lvlText w:val=""/>
      <w:lvlJc w:val="left"/>
      <w:pPr>
        <w:tabs>
          <w:tab w:val="num" w:pos="1209"/>
        </w:tabs>
        <w:ind w:left="1209" w:hanging="360"/>
      </w:pPr>
      <w:rPr>
        <w:rFonts w:ascii="Symbol" w:hAnsi="Symbol" w:hint="default"/>
      </w:rPr>
    </w:lvl>
  </w:abstractNum>
  <w:abstractNum w:abstractNumId="1" w15:restartNumberingAfterBreak="0">
    <w:nsid w:val="FFFFFF82"/>
    <w:multiLevelType w:val="singleLevel"/>
    <w:tmpl w:val="F5D0DF9C"/>
    <w:lvl w:ilvl="0">
      <w:start w:val="1"/>
      <w:numFmt w:val="bullet"/>
      <w:pStyle w:val="ListBullet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199A7E10"/>
    <w:lvl w:ilvl="0">
      <w:start w:val="1"/>
      <w:numFmt w:val="bullet"/>
      <w:pStyle w:val="ListBullet2"/>
      <w:lvlText w:val=""/>
      <w:lvlJc w:val="left"/>
      <w:pPr>
        <w:tabs>
          <w:tab w:val="num" w:pos="643"/>
        </w:tabs>
        <w:ind w:left="643" w:hanging="360"/>
      </w:pPr>
      <w:rPr>
        <w:rFonts w:ascii="Symbol" w:hAnsi="Symbol" w:hint="default"/>
      </w:rPr>
    </w:lvl>
  </w:abstractNum>
  <w:abstractNum w:abstractNumId="3" w15:restartNumberingAfterBreak="0">
    <w:nsid w:val="FFFFFF89"/>
    <w:multiLevelType w:val="singleLevel"/>
    <w:tmpl w:val="CF4C1160"/>
    <w:lvl w:ilvl="0">
      <w:start w:val="1"/>
      <w:numFmt w:val="bullet"/>
      <w:pStyle w:val="ListBullet"/>
      <w:lvlText w:val=""/>
      <w:lvlJc w:val="left"/>
      <w:pPr>
        <w:tabs>
          <w:tab w:val="num" w:pos="360"/>
        </w:tabs>
        <w:ind w:left="360" w:hanging="360"/>
      </w:pPr>
      <w:rPr>
        <w:rFonts w:ascii="Symbol" w:hAnsi="Symbol" w:hint="default"/>
      </w:rPr>
    </w:lvl>
  </w:abstractNum>
  <w:abstractNum w:abstractNumId="4"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5" w15:restartNumberingAfterBreak="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decimal"/>
      <w:pStyle w:val="NumPar5"/>
      <w:lvlText w:val="%1.%2.%3.%4.%5."/>
      <w:lvlJc w:val="left"/>
      <w:pPr>
        <w:tabs>
          <w:tab w:val="num" w:pos="1417"/>
        </w:tabs>
        <w:ind w:left="1417" w:hanging="1417"/>
      </w:pPr>
    </w:lvl>
    <w:lvl w:ilvl="5">
      <w:start w:val="1"/>
      <w:numFmt w:val="decimal"/>
      <w:pStyle w:val="NumPar6"/>
      <w:lvlText w:val="%1.%2.%3.%4.%5.%6."/>
      <w:lvlJc w:val="left"/>
      <w:pPr>
        <w:tabs>
          <w:tab w:val="num" w:pos="1417"/>
        </w:tabs>
        <w:ind w:left="1417" w:hanging="1417"/>
      </w:pPr>
    </w:lvl>
    <w:lvl w:ilvl="6">
      <w:start w:val="1"/>
      <w:numFmt w:val="decimal"/>
      <w:pStyle w:val="NumPar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7"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0" w15:restartNumberingAfterBreak="0">
    <w:nsid w:val="42FC077D"/>
    <w:multiLevelType w:val="singleLevel"/>
    <w:tmpl w:val="4128FD03"/>
    <w:name w:val="Tiret 5"/>
    <w:lvl w:ilvl="0">
      <w:start w:val="1"/>
      <w:numFmt w:val="bullet"/>
      <w:lvlRestart w:val="0"/>
      <w:pStyle w:val="Tiret5"/>
      <w:lvlText w:val="–"/>
      <w:lvlJc w:val="left"/>
      <w:pPr>
        <w:tabs>
          <w:tab w:val="num" w:pos="3685"/>
        </w:tabs>
        <w:ind w:left="3685" w:hanging="567"/>
      </w:pPr>
    </w:lvl>
  </w:abstractNum>
  <w:abstractNum w:abstractNumId="11"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2"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3"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14"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15"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16" w15:restartNumberingAfterBreak="0">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decimal"/>
      <w:pStyle w:val="Heading5"/>
      <w:lvlText w:val="%1.%2.%3.%4.%5."/>
      <w:lvlJc w:val="left"/>
      <w:pPr>
        <w:tabs>
          <w:tab w:val="num" w:pos="1417"/>
        </w:tabs>
        <w:ind w:left="1417" w:hanging="1417"/>
      </w:pPr>
    </w:lvl>
    <w:lvl w:ilvl="5">
      <w:start w:val="1"/>
      <w:numFmt w:val="decimal"/>
      <w:pStyle w:val="Heading6"/>
      <w:lvlText w:val="%1.%2.%3.%4.%5.%6."/>
      <w:lvlJc w:val="left"/>
      <w:pPr>
        <w:tabs>
          <w:tab w:val="num" w:pos="1417"/>
        </w:tabs>
        <w:ind w:left="1417" w:hanging="1417"/>
      </w:pPr>
    </w:lvl>
    <w:lvl w:ilvl="6">
      <w:start w:val="1"/>
      <w:numFmt w:val="decimal"/>
      <w:pStyle w:val="Heading7"/>
      <w:lvlText w:val="%1.%2.%3.%4.%5.%6.%7."/>
      <w:lvlJc w:val="left"/>
      <w:pPr>
        <w:tabs>
          <w:tab w:val="num" w:pos="1417"/>
        </w:tabs>
        <w:ind w:left="1417" w:hanging="1417"/>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18"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16cid:durableId="232391615">
    <w:abstractNumId w:val="3"/>
  </w:num>
  <w:num w:numId="2" w16cid:durableId="1139759847">
    <w:abstractNumId w:val="2"/>
  </w:num>
  <w:num w:numId="3" w16cid:durableId="1981227312">
    <w:abstractNumId w:val="1"/>
  </w:num>
  <w:num w:numId="4" w16cid:durableId="1181047530">
    <w:abstractNumId w:val="0"/>
  </w:num>
  <w:num w:numId="5" w16cid:durableId="4714068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2933349">
    <w:abstractNumId w:val="18"/>
    <w:lvlOverride w:ilvl="0">
      <w:startOverride w:val="1"/>
    </w:lvlOverride>
  </w:num>
  <w:num w:numId="7" w16cid:durableId="146862103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2072802099">
    <w:abstractNumId w:val="15"/>
  </w:num>
  <w:num w:numId="9" w16cid:durableId="1335499501">
    <w:abstractNumId w:val="8"/>
  </w:num>
  <w:num w:numId="10" w16cid:durableId="1368213240">
    <w:abstractNumId w:val="17"/>
  </w:num>
  <w:num w:numId="11" w16cid:durableId="616835467">
    <w:abstractNumId w:val="7"/>
  </w:num>
  <w:num w:numId="12" w16cid:durableId="1777290048">
    <w:abstractNumId w:val="9"/>
  </w:num>
  <w:num w:numId="13" w16cid:durableId="1642926253">
    <w:abstractNumId w:val="10"/>
  </w:num>
  <w:num w:numId="14" w16cid:durableId="2127381879">
    <w:abstractNumId w:val="5"/>
  </w:num>
  <w:num w:numId="15" w16cid:durableId="1244533065">
    <w:abstractNumId w:val="16"/>
  </w:num>
  <w:num w:numId="16" w16cid:durableId="943079178">
    <w:abstractNumId w:val="4"/>
  </w:num>
  <w:num w:numId="17" w16cid:durableId="1684428356">
    <w:abstractNumId w:val="11"/>
  </w:num>
  <w:num w:numId="18" w16cid:durableId="2121756652">
    <w:abstractNumId w:val="13"/>
  </w:num>
  <w:num w:numId="19" w16cid:durableId="922570499">
    <w:abstractNumId w:val="14"/>
  </w:num>
  <w:num w:numId="20" w16cid:durableId="1069155204">
    <w:abstractNumId w:val="6"/>
  </w:num>
  <w:num w:numId="21" w16cid:durableId="158350335">
    <w:abstractNumId w:val="12"/>
  </w:num>
  <w:num w:numId="22" w16cid:durableId="723406161">
    <w:abstractNumId w:val="18"/>
  </w:num>
  <w:num w:numId="23" w16cid:durableId="61409151">
    <w:abstractNumId w:val="15"/>
  </w:num>
  <w:num w:numId="24" w16cid:durableId="2143230538">
    <w:abstractNumId w:val="8"/>
  </w:num>
  <w:num w:numId="25" w16cid:durableId="1535574313">
    <w:abstractNumId w:val="17"/>
  </w:num>
  <w:num w:numId="26" w16cid:durableId="903610772">
    <w:abstractNumId w:val="7"/>
  </w:num>
  <w:num w:numId="27" w16cid:durableId="472522881">
    <w:abstractNumId w:val="9"/>
  </w:num>
  <w:num w:numId="28" w16cid:durableId="1116758199">
    <w:abstractNumId w:val="10"/>
  </w:num>
  <w:num w:numId="29" w16cid:durableId="19014268">
    <w:abstractNumId w:val="5"/>
  </w:num>
  <w:num w:numId="30" w16cid:durableId="2072804667">
    <w:abstractNumId w:val="16"/>
  </w:num>
  <w:num w:numId="31" w16cid:durableId="1875534311">
    <w:abstractNumId w:val="4"/>
  </w:num>
  <w:num w:numId="32" w16cid:durableId="870267917">
    <w:abstractNumId w:val="11"/>
  </w:num>
  <w:num w:numId="33" w16cid:durableId="161434975">
    <w:abstractNumId w:val="13"/>
  </w:num>
  <w:num w:numId="34" w16cid:durableId="663316128">
    <w:abstractNumId w:val="14"/>
  </w:num>
  <w:num w:numId="35" w16cid:durableId="2146312592">
    <w:abstractNumId w:val="6"/>
  </w:num>
  <w:num w:numId="36" w16cid:durableId="1892301120">
    <w:abstractNumId w:val="12"/>
  </w:num>
  <w:num w:numId="37" w16cid:durableId="720447233">
    <w:abstractNumId w:val="18"/>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zoom w:percent="100"/>
  <w:hideSpellingErrors/>
  <w:hideGrammaticalErrors/>
  <w:attachedTemplate r:id="rId1"/>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CR_RefLast" w:val="0"/>
    <w:docVar w:name="DQCDateTime" w:val="2025-11-03 11:35:21"/>
    <w:docVar w:name="DQCResult_Distribution" w:val="0;0"/>
    <w:docVar w:name="DQCResult_DocumentContent" w:val="0;0"/>
    <w:docVar w:name="DQCResult_DocumentSize" w:val="0;0"/>
    <w:docVar w:name="DQCResult_InvalidFootnotes" w:val="0;0"/>
    <w:docVar w:name="DQCResult_ModifiedMarkers" w:val="0;0"/>
    <w:docVar w:name="DQCResult_ModifiedNumbering" w:val="0;0"/>
    <w:docVar w:name="DQCResult_Objects" w:val="0;0"/>
    <w:docVar w:name="DQCResult_StructureCheck" w:val="0;0"/>
    <w:docVar w:name="DQCStatus" w:val="Yellow"/>
    <w:docVar w:name="DQCVersion" w:val="3"/>
    <w:docVar w:name="DQCWithWarnings" w:val="0"/>
    <w:docVar w:name="LW_CORRIGENDUM" w:val="&lt;UNUSED&gt;"/>
    <w:docVar w:name="LW_COVERPAGE_EXISTS" w:val="True"/>
    <w:docVar w:name="LW_COVERPAGE_GUID" w:val="9AA1FAE9-981A-41BA-906A-5B74F54B44D8"/>
    <w:docVar w:name="LW_COVERPAGE_TYPE" w:val="1"/>
    <w:docVar w:name="LW_CreatedUtc" w:val="2025-06-24T09:33:53.0782100Z"/>
    <w:docVar w:name="LW_CROSSREFERENCE" w:val="&lt;UNUSED&gt;"/>
    <w:docVar w:name="LW_DocType" w:val="COM"/>
    <w:docVar w:name="LW_EMISSION" w:val="18.9.2025"/>
    <w:docVar w:name="LW_EMISSION_ISODATE" w:val="2025-09-18"/>
    <w:docVar w:name="LW_EMISSION_LOCATION" w:val="BRX"/>
    <w:docVar w:name="LW_EMISSION_PREFIX" w:val="Bruxelles, "/>
    <w:docVar w:name="LW_EMISSION_SUFFIX" w:val=" "/>
    <w:docVar w:name="LW_ID_DOCMODEL" w:val="SJ-043"/>
    <w:docVar w:name="LW_ID_DOCSIGNATURE" w:val="SJ-019"/>
    <w:docVar w:name="LW_ID_DOCSTRUCTURE" w:val="COM/PL/ORG"/>
    <w:docVar w:name="LW_ID_DOCTYPE" w:val="SJ-043"/>
    <w:docVar w:name="LW_ID_STATUT" w:val="SJ-019"/>
    <w:docVar w:name="LW_INSERT_EXP.MOTIFS.NEW" w:val="1"/>
    <w:docVar w:name="LW_INTERETEEE.CP" w:val="&lt;UNUSED&gt;"/>
    <w:docVar w:name="LW_LANGUE" w:val="RO"/>
    <w:docVar w:name="LW_LEVEL_OF_SENSITIVITY" w:val="Standard treatment"/>
    <w:docVar w:name="LW_NOM.INST" w:val="COMISIA EUROPEAN\u258?"/>
    <w:docVar w:name="LW_NOM.INST_JOINTDOC" w:val="&lt;EMPTY&gt;"/>
    <w:docVar w:name="LW_PART_NBR" w:val="1"/>
    <w:docVar w:name="LW_PART_NBR_TOTAL" w:val="1"/>
    <w:docVar w:name="LW_REF.II.NEW.CP" w:val="NLE"/>
    <w:docVar w:name="LW_REF.II.NEW.CP_NUMBER" w:val="0279"/>
    <w:docVar w:name="LW_REF.II.NEW.CP_YEAR" w:val="2025"/>
    <w:docVar w:name="LW_REF.INST.NEW" w:val="COM"/>
    <w:docVar w:name="LW_REF.INST.NEW_ADOPTED" w:val="final/2          Downgraded on 4.11.2025"/>
    <w:docVar w:name="LW_REF.INST.NEW_TEXT" w:val="(2025) 498"/>
    <w:docVar w:name="LW_REF.INTERNE" w:val="&lt;UNUSED&gt;"/>
    <w:docVar w:name="LW_SENSITIVITY" w:val="&lt;?xml version=&quot;1.0&quot; encoding=&quot;utf-8&quot;?&gt;_x000d__x000a_&lt;SensitivityLevel xmlns:xsd=&quot;http://www.w3.org/2001/XMLSchema&quot; xmlns:xsi=&quot;http://www.w3.org/2001/XMLSchema-instance&quot; id=&quot;standard&quot;&gt;_x000d__x000a_  &lt;nicename EN=&quot;Standard treatment&quot; FR=&quot;Traitement standard&quot; /&gt;_x000d__x000a_  &lt;documentProperty&gt;Standard treatment&lt;/documentProperty&gt;_x000d__x000a_  &lt;markingConfig isAvailable=&quot;false&quot; isMandatory=&quot;false&quot; sensitiveMarkingMandatory=&quot;false&quot; specialMarkingMandatory=&quot;true&quot; isOptionDisplayInHeaderAvailable=&quot;true&quot; sensitiveMarkingListSee=&quot;SensitiveMarkings&quot; specialMarkingListSee=&quot;SpecialMarkings&quot; sensitiveFootnoteTextSee=&quot;sensitiveFootnote&quot; specialFootnoteTextSee=&quot;specialFootnote&quot; /&gt;_x000d__x000a_  &lt;chosenMainMarking xsi:nil=&quot;true&quot; /&gt;_x000d__x000a_  &lt;dateMarking xsi:nil=&quot;true&quot; /&gt;_x000d__x000a_  &lt;releasableToConfig isAvailable=&quot;false&quot; institutionListSee=&quot;DefaultInstitutions&quot; /&gt;_x000d__x000a_  &lt;chosenReleasableTo xsi:nil=&quot;true&quot; /&gt;_x000d__x000a_  &lt;detached xsi:nil=&quot;true&quot; /&gt;_x000d__x000a_  &lt;declassify xsi:nil=&quot;true&quot; /&gt;_x000d__x000a_  &lt;headerTexts xsi:nil=&quot;true&quot; /&gt;_x000d__x000a_  &lt;footerTexts xsi:nil=&quot;true&quot; /&gt;_x000d__x000a_  &lt;isRestricted&gt;false&lt;/isRestricted&gt;_x000d__x000a_&lt;/SensitivityLevel&gt;"/>
    <w:docVar w:name="LW_STATUT.CP" w:val="Propunere de"/>
    <w:docVar w:name="LW_SUPERTITRE" w:val="&lt;UNUSED&gt;"/>
    <w:docVar w:name="LW_TITRE.OBJ.CP" w:val="privind pozi\u539?ia care urmeaz\u259? s\u259? fie adoptat\u259?, în numele Uniunii Europene, în cadrul Comitetului specializat privind transportul rutier, constituit prin Acordul comercial \u537?i de cooperare dintre Uniunea European\u259? \u537?i Comunitatea European\u259? a Energiei Atomice, pe de o parte, \u537?i Regatul Unit al Marii Britanii \u537?i Irlandei de Nord, pe de alt\u259? parte, cu privire la cuantumul \u537?i modalit\u259?\u539?ile contribu\u539?iei financiare a Regatului Unit la sistemele de informa\u539?ii pentru transportul rutier gestionate de Uniune \u537?i de modificare a Deciziei nr. 1/2022 a Comitetului specializat privind transportul rutier"/>
    <w:docVar w:name="LW_TYPE.DOC.CP" w:val="DECIZIE A CONSILIULUI"/>
    <w:docVar w:name="LwApiVersions" w:val="LW4CoDe 1.24.5.0; LW 9.0, Build 20240221"/>
  </w:docVars>
  <w:rsids>
    <w:rsidRoot w:val="0040364E"/>
    <w:rsid w:val="00006C6E"/>
    <w:rsid w:val="00030FD8"/>
    <w:rsid w:val="000568EE"/>
    <w:rsid w:val="000847E7"/>
    <w:rsid w:val="000C0102"/>
    <w:rsid w:val="000E6456"/>
    <w:rsid w:val="001065F5"/>
    <w:rsid w:val="00121425"/>
    <w:rsid w:val="001238EF"/>
    <w:rsid w:val="00124EC4"/>
    <w:rsid w:val="00137930"/>
    <w:rsid w:val="0019216C"/>
    <w:rsid w:val="00197613"/>
    <w:rsid w:val="00197E92"/>
    <w:rsid w:val="001C1FB6"/>
    <w:rsid w:val="001C2541"/>
    <w:rsid w:val="00212D81"/>
    <w:rsid w:val="002216CF"/>
    <w:rsid w:val="00223FCA"/>
    <w:rsid w:val="00233DC7"/>
    <w:rsid w:val="002470ED"/>
    <w:rsid w:val="00247779"/>
    <w:rsid w:val="00282C49"/>
    <w:rsid w:val="00285BEE"/>
    <w:rsid w:val="002915CD"/>
    <w:rsid w:val="0029533F"/>
    <w:rsid w:val="002B30AF"/>
    <w:rsid w:val="002C13AF"/>
    <w:rsid w:val="00311F55"/>
    <w:rsid w:val="0033344A"/>
    <w:rsid w:val="003564AE"/>
    <w:rsid w:val="003750CF"/>
    <w:rsid w:val="003F1F31"/>
    <w:rsid w:val="0040364E"/>
    <w:rsid w:val="0042648E"/>
    <w:rsid w:val="00427AA3"/>
    <w:rsid w:val="00455906"/>
    <w:rsid w:val="004713F4"/>
    <w:rsid w:val="00471478"/>
    <w:rsid w:val="00471A04"/>
    <w:rsid w:val="004922EC"/>
    <w:rsid w:val="004936D2"/>
    <w:rsid w:val="004C4E11"/>
    <w:rsid w:val="004E62B6"/>
    <w:rsid w:val="00502600"/>
    <w:rsid w:val="0050367C"/>
    <w:rsid w:val="0051133B"/>
    <w:rsid w:val="005500F9"/>
    <w:rsid w:val="00556A92"/>
    <w:rsid w:val="005667F8"/>
    <w:rsid w:val="00591001"/>
    <w:rsid w:val="005A36CD"/>
    <w:rsid w:val="005B01C0"/>
    <w:rsid w:val="005B1EB6"/>
    <w:rsid w:val="005C52FC"/>
    <w:rsid w:val="005E4078"/>
    <w:rsid w:val="00614F34"/>
    <w:rsid w:val="0061564A"/>
    <w:rsid w:val="00642C85"/>
    <w:rsid w:val="00653F24"/>
    <w:rsid w:val="00657BE8"/>
    <w:rsid w:val="00665500"/>
    <w:rsid w:val="00683FCF"/>
    <w:rsid w:val="00692568"/>
    <w:rsid w:val="006B30A4"/>
    <w:rsid w:val="006D7C28"/>
    <w:rsid w:val="007105DD"/>
    <w:rsid w:val="00752FE2"/>
    <w:rsid w:val="00765C43"/>
    <w:rsid w:val="00773331"/>
    <w:rsid w:val="007932EF"/>
    <w:rsid w:val="007B7F6F"/>
    <w:rsid w:val="007D116A"/>
    <w:rsid w:val="007E05B0"/>
    <w:rsid w:val="00874D22"/>
    <w:rsid w:val="00896B89"/>
    <w:rsid w:val="008A2914"/>
    <w:rsid w:val="008B392F"/>
    <w:rsid w:val="008B4864"/>
    <w:rsid w:val="008D00B1"/>
    <w:rsid w:val="008E11D5"/>
    <w:rsid w:val="008E3BCD"/>
    <w:rsid w:val="008E4D8E"/>
    <w:rsid w:val="00917966"/>
    <w:rsid w:val="0099764F"/>
    <w:rsid w:val="009D2C90"/>
    <w:rsid w:val="00AA702D"/>
    <w:rsid w:val="00AB415E"/>
    <w:rsid w:val="00AC16DB"/>
    <w:rsid w:val="00AE19B9"/>
    <w:rsid w:val="00AF4EEC"/>
    <w:rsid w:val="00B20BB3"/>
    <w:rsid w:val="00B466D5"/>
    <w:rsid w:val="00B60B12"/>
    <w:rsid w:val="00B717DE"/>
    <w:rsid w:val="00BB1478"/>
    <w:rsid w:val="00BB2803"/>
    <w:rsid w:val="00BE6ACB"/>
    <w:rsid w:val="00C12301"/>
    <w:rsid w:val="00C826CB"/>
    <w:rsid w:val="00CB3FA1"/>
    <w:rsid w:val="00CE04C2"/>
    <w:rsid w:val="00CF27F8"/>
    <w:rsid w:val="00D01858"/>
    <w:rsid w:val="00D1792E"/>
    <w:rsid w:val="00D20381"/>
    <w:rsid w:val="00D26AF2"/>
    <w:rsid w:val="00D70236"/>
    <w:rsid w:val="00DA4182"/>
    <w:rsid w:val="00DA786A"/>
    <w:rsid w:val="00DE4035"/>
    <w:rsid w:val="00DE68CB"/>
    <w:rsid w:val="00E43AE9"/>
    <w:rsid w:val="00E77033"/>
    <w:rsid w:val="00F00B5D"/>
    <w:rsid w:val="00F21E29"/>
    <w:rsid w:val="00F3301D"/>
    <w:rsid w:val="00F441F4"/>
    <w:rsid w:val="00F550A2"/>
    <w:rsid w:val="00FC38F8"/>
    <w:rsid w:val="00FD1E69"/>
    <w:rsid w:val="00FE0B12"/>
    <w:rsid w:val="00FF467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F915D"/>
  <w15:docId w15:val="{E793DA6E-9579-4BF6-B680-8E75E0C32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before="120" w:after="120" w:line="240" w:lineRule="auto"/>
      <w:jc w:val="both"/>
    </w:pPr>
    <w:rPr>
      <w:rFonts w:ascii="Times New Roman" w:hAnsi="Times New Roman" w:cs="Times New Roman"/>
      <w:sz w:val="24"/>
      <w:lang w:val="ro-RO"/>
    </w:rPr>
  </w:style>
  <w:style w:type="paragraph" w:styleId="Heading1">
    <w:name w:val="heading 1"/>
    <w:basedOn w:val="Normal"/>
    <w:next w:val="Text1"/>
    <w:link w:val="Heading1Char"/>
    <w:uiPriority w:val="9"/>
    <w:qFormat/>
    <w:pPr>
      <w:keepNext/>
      <w:numPr>
        <w:numId w:val="30"/>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0"/>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0"/>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0"/>
      </w:numPr>
      <w:outlineLvl w:val="3"/>
    </w:pPr>
    <w:rPr>
      <w:rFonts w:eastAsiaTheme="majorEastAsia"/>
      <w:bCs/>
      <w:iCs/>
    </w:rPr>
  </w:style>
  <w:style w:type="paragraph" w:styleId="Heading5">
    <w:name w:val="heading 5"/>
    <w:basedOn w:val="Normal"/>
    <w:next w:val="Text2"/>
    <w:link w:val="Heading5Char"/>
    <w:uiPriority w:val="9"/>
    <w:semiHidden/>
    <w:unhideWhenUsed/>
    <w:qFormat/>
    <w:pPr>
      <w:keepNext/>
      <w:numPr>
        <w:ilvl w:val="4"/>
        <w:numId w:val="30"/>
      </w:numPr>
      <w:outlineLvl w:val="4"/>
    </w:pPr>
    <w:rPr>
      <w:rFonts w:eastAsiaTheme="majorEastAsia"/>
    </w:rPr>
  </w:style>
  <w:style w:type="paragraph" w:styleId="Heading6">
    <w:name w:val="heading 6"/>
    <w:basedOn w:val="Normal"/>
    <w:next w:val="Text2"/>
    <w:link w:val="Heading6Char"/>
    <w:uiPriority w:val="9"/>
    <w:semiHidden/>
    <w:unhideWhenUsed/>
    <w:qFormat/>
    <w:pPr>
      <w:keepNext/>
      <w:numPr>
        <w:ilvl w:val="5"/>
        <w:numId w:val="30"/>
      </w:numPr>
      <w:outlineLvl w:val="5"/>
    </w:pPr>
    <w:rPr>
      <w:rFonts w:eastAsiaTheme="majorEastAsia"/>
      <w:iCs/>
    </w:rPr>
  </w:style>
  <w:style w:type="paragraph" w:styleId="Heading7">
    <w:name w:val="heading 7"/>
    <w:basedOn w:val="Normal"/>
    <w:next w:val="Text2"/>
    <w:link w:val="Heading7Char"/>
    <w:uiPriority w:val="9"/>
    <w:semiHidden/>
    <w:unhideWhenUsed/>
    <w:qFormat/>
    <w:pPr>
      <w:keepNext/>
      <w:numPr>
        <w:ilvl w:val="6"/>
        <w:numId w:val="30"/>
      </w:numPr>
      <w:outlineLvl w:val="6"/>
    </w:pPr>
    <w:rPr>
      <w:rFonts w:eastAsiaTheme="majorEastAsia"/>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rsid w:val="00AC16DB"/>
    <w:pPr>
      <w:numPr>
        <w:numId w:val="1"/>
      </w:numPr>
      <w:contextualSpacing/>
    </w:pPr>
  </w:style>
  <w:style w:type="paragraph" w:styleId="ListBullet2">
    <w:name w:val="List Bullet 2"/>
    <w:basedOn w:val="Normal"/>
    <w:uiPriority w:val="99"/>
    <w:semiHidden/>
    <w:unhideWhenUsed/>
    <w:rsid w:val="00AC16DB"/>
    <w:pPr>
      <w:numPr>
        <w:numId w:val="2"/>
      </w:numPr>
      <w:contextualSpacing/>
    </w:pPr>
  </w:style>
  <w:style w:type="paragraph" w:styleId="ListBullet3">
    <w:name w:val="List Bullet 3"/>
    <w:basedOn w:val="Normal"/>
    <w:uiPriority w:val="99"/>
    <w:semiHidden/>
    <w:unhideWhenUsed/>
    <w:rsid w:val="00AC16DB"/>
    <w:pPr>
      <w:numPr>
        <w:numId w:val="3"/>
      </w:numPr>
      <w:contextualSpacing/>
    </w:pPr>
  </w:style>
  <w:style w:type="paragraph" w:styleId="ListBullet4">
    <w:name w:val="List Bullet 4"/>
    <w:basedOn w:val="Normal"/>
    <w:uiPriority w:val="99"/>
    <w:semiHidden/>
    <w:unhideWhenUsed/>
    <w:rsid w:val="00AC16DB"/>
    <w:pPr>
      <w:numPr>
        <w:numId w:val="4"/>
      </w:numPr>
      <w:contextualSpacing/>
    </w:pPr>
  </w:style>
  <w:style w:type="paragraph" w:styleId="Revision">
    <w:name w:val="Revision"/>
    <w:hidden/>
    <w:uiPriority w:val="99"/>
    <w:semiHidden/>
    <w:rsid w:val="00DA4182"/>
    <w:pPr>
      <w:spacing w:after="0" w:line="240" w:lineRule="auto"/>
    </w:pPr>
    <w:rPr>
      <w:rFonts w:ascii="Times New Roman" w:hAnsi="Times New Roman" w:cs="Times New Roman"/>
      <w:sz w:val="24"/>
    </w:rPr>
  </w:style>
  <w:style w:type="character" w:styleId="CommentReference">
    <w:name w:val="annotation reference"/>
    <w:basedOn w:val="DefaultParagraphFont"/>
    <w:uiPriority w:val="99"/>
    <w:semiHidden/>
    <w:unhideWhenUsed/>
    <w:rsid w:val="00DA4182"/>
    <w:rPr>
      <w:sz w:val="16"/>
      <w:szCs w:val="16"/>
    </w:rPr>
  </w:style>
  <w:style w:type="paragraph" w:styleId="CommentText">
    <w:name w:val="annotation text"/>
    <w:basedOn w:val="Normal"/>
    <w:link w:val="CommentTextChar"/>
    <w:uiPriority w:val="99"/>
    <w:unhideWhenUsed/>
    <w:rsid w:val="00DA4182"/>
    <w:rPr>
      <w:sz w:val="20"/>
      <w:szCs w:val="20"/>
    </w:rPr>
  </w:style>
  <w:style w:type="character" w:customStyle="1" w:styleId="CommentTextChar">
    <w:name w:val="Comment Text Char"/>
    <w:basedOn w:val="DefaultParagraphFont"/>
    <w:link w:val="CommentText"/>
    <w:uiPriority w:val="99"/>
    <w:rsid w:val="00DA4182"/>
    <w:rPr>
      <w:rFonts w:ascii="Times New Roman" w:hAnsi="Times New Roman" w:cs="Times New Roman"/>
      <w:sz w:val="20"/>
      <w:szCs w:val="20"/>
      <w:lang w:val="ro-RO"/>
    </w:rPr>
  </w:style>
  <w:style w:type="paragraph" w:styleId="CommentSubject">
    <w:name w:val="annotation subject"/>
    <w:basedOn w:val="CommentText"/>
    <w:next w:val="CommentText"/>
    <w:link w:val="CommentSubjectChar"/>
    <w:uiPriority w:val="99"/>
    <w:semiHidden/>
    <w:unhideWhenUsed/>
    <w:rsid w:val="00DA4182"/>
    <w:rPr>
      <w:b/>
      <w:bCs/>
    </w:rPr>
  </w:style>
  <w:style w:type="character" w:customStyle="1" w:styleId="CommentSubjectChar">
    <w:name w:val="Comment Subject Char"/>
    <w:basedOn w:val="CommentTextChar"/>
    <w:link w:val="CommentSubject"/>
    <w:uiPriority w:val="99"/>
    <w:semiHidden/>
    <w:rsid w:val="00DA4182"/>
    <w:rPr>
      <w:rFonts w:ascii="Times New Roman" w:hAnsi="Times New Roman" w:cs="Times New Roman"/>
      <w:b/>
      <w:bCs/>
      <w:sz w:val="20"/>
      <w:szCs w:val="20"/>
      <w:lang w:val="ro-RO"/>
    </w:rPr>
  </w:style>
  <w:style w:type="character" w:styleId="Hyperlink">
    <w:name w:val="Hyperlink"/>
    <w:basedOn w:val="DefaultParagraphFont"/>
    <w:uiPriority w:val="99"/>
    <w:unhideWhenUsed/>
    <w:rsid w:val="00896B89"/>
    <w:rPr>
      <w:color w:val="0000FF" w:themeColor="hyperlink"/>
      <w:u w:val="single"/>
    </w:rPr>
  </w:style>
  <w:style w:type="character" w:customStyle="1" w:styleId="UnresolvedMention1">
    <w:name w:val="Unresolved Mention1"/>
    <w:basedOn w:val="DefaultParagraphFont"/>
    <w:uiPriority w:val="99"/>
    <w:semiHidden/>
    <w:unhideWhenUsed/>
    <w:rsid w:val="00896B89"/>
    <w:rPr>
      <w:color w:val="605E5C"/>
      <w:shd w:val="clear" w:color="auto" w:fill="E1DFDD"/>
    </w:rPr>
  </w:style>
  <w:style w:type="character" w:customStyle="1" w:styleId="HeaderChar">
    <w:name w:val="Header Char"/>
    <w:basedOn w:val="DefaultParagraphFont"/>
    <w:link w:val="Header"/>
    <w:uiPriority w:val="99"/>
    <w:rsid w:val="00DE4035"/>
    <w:rPr>
      <w:rFonts w:ascii="Times New Roman" w:hAnsi="Times New Roman" w:cs="Times New Roman"/>
      <w:sz w:val="24"/>
      <w:lang w:val="ro-RO"/>
    </w:rPr>
  </w:style>
  <w:style w:type="character" w:customStyle="1" w:styleId="FooterChar">
    <w:name w:val="Footer Char"/>
    <w:basedOn w:val="DefaultParagraphFont"/>
    <w:link w:val="Footer"/>
    <w:uiPriority w:val="99"/>
    <w:rsid w:val="00DE4035"/>
    <w:rPr>
      <w:rFonts w:ascii="Times New Roman" w:hAnsi="Times New Roman" w:cs="Times New Roman"/>
      <w:sz w:val="24"/>
      <w:lang w:val="ro-RO"/>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character" w:customStyle="1" w:styleId="Heading5Char">
    <w:name w:val="Heading 5 Char"/>
    <w:basedOn w:val="DefaultParagraphFont"/>
    <w:link w:val="Heading5"/>
    <w:uiPriority w:val="9"/>
    <w:semiHidden/>
    <w:rPr>
      <w:rFonts w:ascii="Times New Roman" w:eastAsiaTheme="majorEastAsia" w:hAnsi="Times New Roman" w:cs="Times New Roman"/>
      <w:sz w:val="24"/>
      <w:shd w:val="clear" w:color="auto" w:fill="auto"/>
      <w:lang w:val="en-GB"/>
    </w:rPr>
  </w:style>
  <w:style w:type="character" w:customStyle="1" w:styleId="Heading6Char">
    <w:name w:val="Heading 6 Char"/>
    <w:basedOn w:val="DefaultParagraphFont"/>
    <w:link w:val="Heading6"/>
    <w:uiPriority w:val="9"/>
    <w:semiHidden/>
    <w:rPr>
      <w:rFonts w:ascii="Times New Roman" w:eastAsiaTheme="majorEastAsia" w:hAnsi="Times New Roman" w:cs="Times New Roman"/>
      <w:iCs/>
      <w:sz w:val="24"/>
      <w:shd w:val="clear" w:color="auto" w:fill="auto"/>
      <w:lang w:val="en-GB"/>
    </w:rPr>
  </w:style>
  <w:style w:type="character" w:customStyle="1" w:styleId="Heading7Char">
    <w:name w:val="Heading 7 Char"/>
    <w:basedOn w:val="DefaultParagraphFont"/>
    <w:link w:val="Heading7"/>
    <w:uiPriority w:val="9"/>
    <w:semiHidden/>
    <w:rPr>
      <w:rFonts w:ascii="Times New Roman" w:eastAsiaTheme="majorEastAsia" w:hAnsi="Times New Roman" w:cs="Times New Roman"/>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ind w:left="1417" w:hanging="141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HeaderSensitivity">
    <w:name w:val="Header Sensitivity"/>
    <w:basedOn w:val="Normal"/>
    <w:rsid w:val="00DE4035"/>
    <w:pPr>
      <w:pBdr>
        <w:top w:val="single" w:sz="4" w:space="1" w:color="auto"/>
        <w:left w:val="single" w:sz="4" w:space="4" w:color="auto"/>
        <w:bottom w:val="single" w:sz="4" w:space="1" w:color="auto"/>
        <w:right w:val="single" w:sz="4" w:space="4" w:color="auto"/>
      </w:pBdr>
      <w:spacing w:before="0"/>
      <w:ind w:left="113" w:right="113"/>
      <w:jc w:val="center"/>
    </w:pPr>
    <w:rPr>
      <w:b/>
      <w:sz w:val="32"/>
    </w:rPr>
  </w:style>
  <w:style w:type="paragraph" w:customStyle="1" w:styleId="HeaderSensitivityRight">
    <w:name w:val="Header Sensitivity Right"/>
    <w:basedOn w:val="Normal"/>
    <w:rsid w:val="00DE4035"/>
    <w:pPr>
      <w:spacing w:before="0"/>
      <w:jc w:val="right"/>
    </w:pPr>
    <w:rPr>
      <w:sz w:val="28"/>
    </w:rPr>
  </w:style>
  <w:style w:type="paragraph" w:customStyle="1" w:styleId="FooterSensitivity">
    <w:name w:val="Footer Sensitivity"/>
    <w:basedOn w:val="Normal"/>
    <w:rsid w:val="00DE4035"/>
    <w:pPr>
      <w:pBdr>
        <w:top w:val="single" w:sz="4" w:space="1" w:color="auto"/>
        <w:left w:val="single" w:sz="4" w:space="4" w:color="auto"/>
        <w:bottom w:val="single" w:sz="4" w:space="1" w:color="auto"/>
        <w:right w:val="single" w:sz="4" w:space="4" w:color="auto"/>
      </w:pBdr>
      <w:spacing w:before="360" w:after="0"/>
      <w:ind w:left="113" w:right="113"/>
      <w:jc w:val="center"/>
    </w:pPr>
    <w:rPr>
      <w:b/>
      <w:sz w:val="32"/>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Text5">
    <w:name w:val="Text 5"/>
    <w:basedOn w:val="Normal"/>
    <w:pPr>
      <w:ind w:left="3118"/>
    </w:pPr>
  </w:style>
  <w:style w:type="paragraph" w:customStyle="1" w:styleId="Text6">
    <w:name w:val="Text 6"/>
    <w:basedOn w:val="Normal"/>
    <w:pPr>
      <w:ind w:left="3685"/>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Point5">
    <w:name w:val="Point 5"/>
    <w:basedOn w:val="Normal"/>
    <w:pPr>
      <w:ind w:left="3685" w:hanging="567"/>
    </w:pPr>
  </w:style>
  <w:style w:type="paragraph" w:customStyle="1" w:styleId="Tiret0">
    <w:name w:val="Tiret 0"/>
    <w:basedOn w:val="Point0"/>
    <w:pPr>
      <w:numPr>
        <w:numId w:val="23"/>
      </w:numPr>
    </w:pPr>
  </w:style>
  <w:style w:type="paragraph" w:customStyle="1" w:styleId="Tiret1">
    <w:name w:val="Tiret 1"/>
    <w:basedOn w:val="Point1"/>
    <w:pPr>
      <w:numPr>
        <w:numId w:val="24"/>
      </w:numPr>
    </w:pPr>
  </w:style>
  <w:style w:type="paragraph" w:customStyle="1" w:styleId="Tiret2">
    <w:name w:val="Tiret 2"/>
    <w:basedOn w:val="Point2"/>
    <w:pPr>
      <w:numPr>
        <w:numId w:val="25"/>
      </w:numPr>
    </w:pPr>
  </w:style>
  <w:style w:type="paragraph" w:customStyle="1" w:styleId="Tiret3">
    <w:name w:val="Tiret 3"/>
    <w:basedOn w:val="Point3"/>
    <w:pPr>
      <w:numPr>
        <w:numId w:val="26"/>
      </w:numPr>
    </w:pPr>
  </w:style>
  <w:style w:type="paragraph" w:customStyle="1" w:styleId="Tiret4">
    <w:name w:val="Tiret 4"/>
    <w:basedOn w:val="Point4"/>
    <w:pPr>
      <w:numPr>
        <w:numId w:val="27"/>
      </w:numPr>
    </w:pPr>
  </w:style>
  <w:style w:type="paragraph" w:customStyle="1" w:styleId="Tiret5">
    <w:name w:val="Tiret 5"/>
    <w:basedOn w:val="Point5"/>
    <w:pPr>
      <w:numPr>
        <w:numId w:val="28"/>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29"/>
      </w:numPr>
    </w:pPr>
  </w:style>
  <w:style w:type="paragraph" w:customStyle="1" w:styleId="NumPar2">
    <w:name w:val="NumPar 2"/>
    <w:basedOn w:val="Normal"/>
    <w:next w:val="Text1"/>
    <w:pPr>
      <w:numPr>
        <w:ilvl w:val="1"/>
        <w:numId w:val="29"/>
      </w:numPr>
    </w:pPr>
  </w:style>
  <w:style w:type="paragraph" w:customStyle="1" w:styleId="NumPar3">
    <w:name w:val="NumPar 3"/>
    <w:basedOn w:val="Normal"/>
    <w:next w:val="Text1"/>
    <w:pPr>
      <w:numPr>
        <w:ilvl w:val="2"/>
        <w:numId w:val="29"/>
      </w:numPr>
    </w:pPr>
  </w:style>
  <w:style w:type="paragraph" w:customStyle="1" w:styleId="NumPar4">
    <w:name w:val="NumPar 4"/>
    <w:basedOn w:val="Normal"/>
    <w:next w:val="Text1"/>
    <w:pPr>
      <w:numPr>
        <w:ilvl w:val="3"/>
        <w:numId w:val="29"/>
      </w:numPr>
    </w:pPr>
  </w:style>
  <w:style w:type="paragraph" w:customStyle="1" w:styleId="NumPar5">
    <w:name w:val="NumPar 5"/>
    <w:basedOn w:val="Normal"/>
    <w:next w:val="Text2"/>
    <w:pPr>
      <w:numPr>
        <w:ilvl w:val="4"/>
        <w:numId w:val="29"/>
      </w:numPr>
    </w:pPr>
  </w:style>
  <w:style w:type="paragraph" w:customStyle="1" w:styleId="NumPar6">
    <w:name w:val="NumPar 6"/>
    <w:basedOn w:val="Normal"/>
    <w:next w:val="Text2"/>
    <w:pPr>
      <w:numPr>
        <w:ilvl w:val="5"/>
        <w:numId w:val="29"/>
      </w:numPr>
    </w:pPr>
  </w:style>
  <w:style w:type="paragraph" w:customStyle="1" w:styleId="NumPar7">
    <w:name w:val="NumPar 7"/>
    <w:basedOn w:val="Normal"/>
    <w:next w:val="Text2"/>
    <w:pPr>
      <w:numPr>
        <w:ilvl w:val="6"/>
        <w:numId w:val="29"/>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ManualNumPar5">
    <w:name w:val="Manual NumPar 5"/>
    <w:basedOn w:val="Normal"/>
    <w:next w:val="Text2"/>
    <w:pPr>
      <w:ind w:left="1417" w:hanging="1417"/>
    </w:pPr>
  </w:style>
  <w:style w:type="paragraph" w:customStyle="1" w:styleId="ManualNumPar6">
    <w:name w:val="Manual NumPar 6"/>
    <w:basedOn w:val="Normal"/>
    <w:next w:val="Text2"/>
    <w:pPr>
      <w:ind w:left="1417" w:hanging="1417"/>
    </w:pPr>
  </w:style>
  <w:style w:type="paragraph" w:customStyle="1" w:styleId="ManualNumPar7">
    <w:name w:val="Manual NumPar 7"/>
    <w:basedOn w:val="Normal"/>
    <w:next w:val="Text2"/>
    <w:pPr>
      <w:ind w:left="1417" w:hanging="1417"/>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ManualHeading5">
    <w:name w:val="Manual Heading 5"/>
    <w:basedOn w:val="Normal"/>
    <w:next w:val="Text2"/>
    <w:pPr>
      <w:keepNext/>
      <w:tabs>
        <w:tab w:val="left" w:pos="1417"/>
      </w:tabs>
      <w:ind w:left="1417" w:hanging="1417"/>
      <w:outlineLvl w:val="4"/>
    </w:pPr>
  </w:style>
  <w:style w:type="paragraph" w:customStyle="1" w:styleId="ManualHeading6">
    <w:name w:val="Manual Heading 6"/>
    <w:basedOn w:val="Normal"/>
    <w:next w:val="Text2"/>
    <w:pPr>
      <w:keepNext/>
      <w:tabs>
        <w:tab w:val="left" w:pos="1417"/>
      </w:tabs>
      <w:ind w:left="1417" w:hanging="1417"/>
      <w:outlineLvl w:val="5"/>
    </w:pPr>
  </w:style>
  <w:style w:type="paragraph" w:customStyle="1" w:styleId="ManualHeading7">
    <w:name w:val="Manual Heading 7"/>
    <w:basedOn w:val="Normal"/>
    <w:next w:val="Text2"/>
    <w:pPr>
      <w:keepNext/>
      <w:tabs>
        <w:tab w:val="left" w:pos="1417"/>
      </w:tabs>
      <w:ind w:left="1417" w:hanging="1417"/>
      <w:outlineLvl w:val="6"/>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1"/>
      </w:numPr>
    </w:pPr>
  </w:style>
  <w:style w:type="paragraph" w:customStyle="1" w:styleId="Point1number">
    <w:name w:val="Point 1 (number)"/>
    <w:basedOn w:val="Normal"/>
    <w:pPr>
      <w:numPr>
        <w:ilvl w:val="2"/>
        <w:numId w:val="31"/>
      </w:numPr>
    </w:pPr>
  </w:style>
  <w:style w:type="paragraph" w:customStyle="1" w:styleId="Point2number">
    <w:name w:val="Point 2 (number)"/>
    <w:basedOn w:val="Normal"/>
    <w:pPr>
      <w:numPr>
        <w:ilvl w:val="4"/>
        <w:numId w:val="31"/>
      </w:numPr>
    </w:pPr>
  </w:style>
  <w:style w:type="paragraph" w:customStyle="1" w:styleId="Point3number">
    <w:name w:val="Point 3 (number)"/>
    <w:basedOn w:val="Normal"/>
    <w:pPr>
      <w:numPr>
        <w:ilvl w:val="6"/>
        <w:numId w:val="31"/>
      </w:numPr>
    </w:pPr>
  </w:style>
  <w:style w:type="paragraph" w:customStyle="1" w:styleId="Point0letter">
    <w:name w:val="Point 0 (letter)"/>
    <w:basedOn w:val="Normal"/>
    <w:pPr>
      <w:numPr>
        <w:ilvl w:val="1"/>
        <w:numId w:val="31"/>
      </w:numPr>
    </w:pPr>
  </w:style>
  <w:style w:type="paragraph" w:customStyle="1" w:styleId="Point1letter">
    <w:name w:val="Point 1 (letter)"/>
    <w:basedOn w:val="Normal"/>
    <w:pPr>
      <w:numPr>
        <w:ilvl w:val="3"/>
        <w:numId w:val="31"/>
      </w:numPr>
    </w:pPr>
  </w:style>
  <w:style w:type="paragraph" w:customStyle="1" w:styleId="Point2letter">
    <w:name w:val="Point 2 (letter)"/>
    <w:basedOn w:val="Normal"/>
    <w:pPr>
      <w:numPr>
        <w:ilvl w:val="5"/>
        <w:numId w:val="31"/>
      </w:numPr>
    </w:pPr>
  </w:style>
  <w:style w:type="paragraph" w:customStyle="1" w:styleId="Point3letter">
    <w:name w:val="Point 3 (letter)"/>
    <w:basedOn w:val="Normal"/>
    <w:pPr>
      <w:numPr>
        <w:ilvl w:val="7"/>
        <w:numId w:val="31"/>
      </w:numPr>
    </w:pPr>
  </w:style>
  <w:style w:type="paragraph" w:customStyle="1" w:styleId="Point4letter">
    <w:name w:val="Point 4 (letter)"/>
    <w:basedOn w:val="Normal"/>
    <w:pPr>
      <w:numPr>
        <w:ilvl w:val="8"/>
        <w:numId w:val="31"/>
      </w:numPr>
    </w:pPr>
  </w:style>
  <w:style w:type="paragraph" w:customStyle="1" w:styleId="Bullet0">
    <w:name w:val="Bullet 0"/>
    <w:basedOn w:val="Normal"/>
    <w:pPr>
      <w:numPr>
        <w:numId w:val="32"/>
      </w:numPr>
    </w:pPr>
  </w:style>
  <w:style w:type="paragraph" w:customStyle="1" w:styleId="Bullet1">
    <w:name w:val="Bullet 1"/>
    <w:basedOn w:val="Normal"/>
    <w:pPr>
      <w:numPr>
        <w:numId w:val="33"/>
      </w:numPr>
    </w:pPr>
  </w:style>
  <w:style w:type="paragraph" w:customStyle="1" w:styleId="Bullet2">
    <w:name w:val="Bullet 2"/>
    <w:basedOn w:val="Normal"/>
    <w:pPr>
      <w:numPr>
        <w:numId w:val="34"/>
      </w:numPr>
    </w:pPr>
  </w:style>
  <w:style w:type="paragraph" w:customStyle="1" w:styleId="Bullet3">
    <w:name w:val="Bullet 3"/>
    <w:basedOn w:val="Normal"/>
    <w:pPr>
      <w:numPr>
        <w:numId w:val="35"/>
      </w:numPr>
    </w:pPr>
  </w:style>
  <w:style w:type="paragraph" w:customStyle="1" w:styleId="Bullet4">
    <w:name w:val="Bullet 4"/>
    <w:basedOn w:val="Normal"/>
    <w:pPr>
      <w:numPr>
        <w:numId w:val="36"/>
      </w:numPr>
    </w:p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Emission">
    <w:name w:val="Emission"/>
    <w:basedOn w:val="Normal"/>
    <w:next w:val="Rfrenceinstitutionnelle"/>
    <w:pPr>
      <w:spacing w:before="0" w:after="0"/>
      <w:ind w:left="5103"/>
      <w:jc w:val="left"/>
    </w:pPr>
  </w:style>
  <w:style w:type="paragraph" w:customStyle="1" w:styleId="Rfrenceinstitutionnelle">
    <w:name w:val="Référence institutionnelle"/>
    <w:basedOn w:val="Normal"/>
    <w:next w:val="Confidentialit"/>
    <w:pPr>
      <w:spacing w:before="0" w:after="240"/>
      <w:ind w:left="5103"/>
      <w:jc w:val="left"/>
    </w:pPr>
  </w:style>
  <w:style w:type="paragraph" w:customStyle="1" w:styleId="Pagedecouverture">
    <w:name w:val="Page de couverture"/>
    <w:basedOn w:val="Normal"/>
    <w:next w:val="Normal"/>
    <w:pPr>
      <w:spacing w:before="0" w:after="0"/>
    </w:pPr>
  </w:style>
  <w:style w:type="paragraph" w:customStyle="1" w:styleId="Declassification">
    <w:name w:val="Declassification"/>
    <w:basedOn w:val="Normal"/>
    <w:next w:val="Normal"/>
    <w:pPr>
      <w:spacing w:before="0" w:after="0"/>
    </w:pPr>
  </w:style>
  <w:style w:type="paragraph" w:customStyle="1" w:styleId="Disclaimer">
    <w:name w:val="Disclaimer"/>
    <w:basedOn w:val="Normal"/>
    <w:pPr>
      <w:framePr w:w="8220" w:wrap="notBeside" w:hAnchor="margin" w:xAlign="center" w:y="10401"/>
      <w:pBdr>
        <w:top w:val="single" w:sz="6" w:space="4" w:color="auto"/>
        <w:left w:val="single" w:sz="6" w:space="7" w:color="auto"/>
        <w:bottom w:val="single" w:sz="6" w:space="4" w:color="auto"/>
        <w:right w:val="single" w:sz="6" w:space="7" w:color="auto"/>
      </w:pBdr>
      <w:shd w:val="clear" w:color="FFFFFF" w:fill="auto"/>
    </w:pPr>
  </w:style>
  <w:style w:type="paragraph" w:customStyle="1" w:styleId="SecurityMarking">
    <w:name w:val="SecurityMarking"/>
    <w:basedOn w:val="Normal"/>
    <w:pPr>
      <w:spacing w:before="0" w:after="0" w:line="276" w:lineRule="auto"/>
      <w:ind w:left="5103"/>
      <w:jc w:val="left"/>
    </w:pPr>
    <w:rPr>
      <w:sz w:val="28"/>
    </w:rPr>
  </w:style>
  <w:style w:type="paragraph" w:customStyle="1" w:styleId="DateMarking">
    <w:name w:val="DateMarking"/>
    <w:basedOn w:val="Normal"/>
    <w:pPr>
      <w:spacing w:before="0" w:after="0" w:line="276" w:lineRule="auto"/>
      <w:ind w:left="5103"/>
      <w:jc w:val="left"/>
    </w:pPr>
    <w:rPr>
      <w:i/>
      <w:sz w:val="28"/>
    </w:rPr>
  </w:style>
  <w:style w:type="paragraph" w:customStyle="1" w:styleId="ReleasableTo">
    <w:name w:val="ReleasableTo"/>
    <w:basedOn w:val="Normal"/>
    <w:pPr>
      <w:spacing w:before="0" w:after="0" w:line="276" w:lineRule="auto"/>
      <w:ind w:left="5103"/>
      <w:jc w:val="left"/>
    </w:pPr>
    <w:rPr>
      <w:i/>
      <w:sz w:val="28"/>
    </w:r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37"/>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ManualConsidrant">
    <w:name w:val="Manual Considérant"/>
    <w:basedOn w:val="Normal"/>
    <w:pPr>
      <w:ind w:left="709" w:hanging="709"/>
    </w:p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IntrtEEE"/>
    <w:pPr>
      <w:spacing w:before="360" w:after="360"/>
      <w:jc w:val="center"/>
    </w:pPr>
    <w:rPr>
      <w:b/>
    </w:rPr>
  </w:style>
  <w:style w:type="paragraph" w:customStyle="1" w:styleId="Typedudocument">
    <w:name w:val="Type du document"/>
    <w:basedOn w:val="Normal"/>
    <w:next w:val="Titreobjet"/>
    <w:pPr>
      <w:spacing w:before="360" w:after="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IntrtEEE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0" w:after="240"/>
      <w:jc w:val="center"/>
    </w:pPr>
    <w:rPr>
      <w:b/>
      <w:i/>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 w:type="paragraph" w:styleId="Header">
    <w:name w:val="header"/>
    <w:basedOn w:val="Normal"/>
    <w:link w:val="HeaderChar"/>
    <w:uiPriority w:val="99"/>
    <w:unhideWhenUsed/>
    <w:rsid w:val="00DE4035"/>
    <w:pPr>
      <w:tabs>
        <w:tab w:val="center" w:pos="4535"/>
        <w:tab w:val="right" w:pos="9071"/>
      </w:tabs>
      <w:spacing w:before="0"/>
    </w:pPr>
  </w:style>
  <w:style w:type="paragraph" w:customStyle="1" w:styleId="HeaderLandscape">
    <w:name w:val="HeaderLandscape"/>
    <w:basedOn w:val="Normal"/>
    <w:rsid w:val="00DE4035"/>
    <w:pPr>
      <w:tabs>
        <w:tab w:val="center" w:pos="7285"/>
        <w:tab w:val="right" w:pos="14003"/>
      </w:tabs>
      <w:spacing w:before="0"/>
    </w:pPr>
  </w:style>
  <w:style w:type="paragraph" w:styleId="Footer">
    <w:name w:val="footer"/>
    <w:basedOn w:val="Normal"/>
    <w:link w:val="FooterChar"/>
    <w:uiPriority w:val="99"/>
    <w:unhideWhenUsed/>
    <w:rsid w:val="00DE4035"/>
    <w:pPr>
      <w:tabs>
        <w:tab w:val="center" w:pos="4535"/>
        <w:tab w:val="right" w:pos="9071"/>
        <w:tab w:val="right" w:pos="9921"/>
      </w:tabs>
      <w:spacing w:before="360" w:after="0"/>
      <w:ind w:left="-850" w:right="-850"/>
      <w:jc w:val="left"/>
    </w:pPr>
  </w:style>
  <w:style w:type="paragraph" w:customStyle="1" w:styleId="FooterLandscape">
    <w:name w:val="FooterLandscape"/>
    <w:basedOn w:val="Normal"/>
    <w:rsid w:val="00DE4035"/>
    <w:pPr>
      <w:tabs>
        <w:tab w:val="center" w:pos="7285"/>
        <w:tab w:val="center" w:pos="10913"/>
        <w:tab w:val="right" w:pos="15137"/>
      </w:tabs>
      <w:spacing w:before="360" w:after="0"/>
      <w:ind w:left="-567" w:right="-567"/>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oter" Target="footer6.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3.xml"/><Relationship Id="rId17" Type="http://schemas.openxmlformats.org/officeDocument/2006/relationships/header" Target="header5.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1.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data.europa.eu/eli/dec/2023/578/oj"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COM.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COM.dotm</Template>
  <TotalTime>28</TotalTime>
  <Pages>3</Pages>
  <Words>1697</Words>
  <Characters>10271</Characters>
  <Application>Microsoft Office Word</Application>
  <DocSecurity>0</DocSecurity>
  <Lines>320</Lines>
  <Paragraphs>132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11836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53</cp:revision>
  <dcterms:created xsi:type="dcterms:W3CDTF">2025-09-09T09:57:00Z</dcterms:created>
  <dcterms:modified xsi:type="dcterms:W3CDTF">2025-11-03T15:29:00Z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COM/PL/ORG</vt:lpwstr>
  </property>
  <property fmtid="{D5CDD505-2E9C-101B-9397-08002B2CF9AE}" pid="3" name="Version">
    <vt:lpwstr>8.0.25.0</vt:lpwstr>
  </property>
  <property fmtid="{D5CDD505-2E9C-101B-9397-08002B2CF9AE}" pid="4" name="Last edited using">
    <vt:lpwstr>LW 9.2, Build 20250828</vt:lpwstr>
  </property>
  <property fmtid="{D5CDD505-2E9C-101B-9397-08002B2CF9AE}" pid="5" name="Created using">
    <vt:lpwstr>LW 9.1, Build 20240808</vt:lpwstr>
  </property>
  <property fmtid="{D5CDD505-2E9C-101B-9397-08002B2CF9AE}" pid="6" name="Part">
    <vt:lpwstr>1</vt:lpwstr>
  </property>
  <property fmtid="{D5CDD505-2E9C-101B-9397-08002B2CF9AE}" pid="7" name="Total parts">
    <vt:lpwstr>1</vt:lpwstr>
  </property>
  <property fmtid="{D5CDD505-2E9C-101B-9397-08002B2CF9AE}" pid="8" name="Level of sensitivity">
    <vt:lpwstr>Standard treatment</vt:lpwstr>
  </property>
  <property fmtid="{D5CDD505-2E9C-101B-9397-08002B2CF9AE}" pid="9" name="LWTemplateID">
    <vt:lpwstr>SJ-043</vt:lpwstr>
  </property>
  <property fmtid="{D5CDD505-2E9C-101B-9397-08002B2CF9AE}" pid="10" name="MSIP_Label_6bd9ddd1-4d20-43f6-abfa-fc3c07406f94_Enabled">
    <vt:lpwstr>true</vt:lpwstr>
  </property>
  <property fmtid="{D5CDD505-2E9C-101B-9397-08002B2CF9AE}" pid="11" name="MSIP_Label_6bd9ddd1-4d20-43f6-abfa-fc3c07406f94_SetDate">
    <vt:lpwstr>2025-06-24T09:35:38Z</vt:lpwstr>
  </property>
  <property fmtid="{D5CDD505-2E9C-101B-9397-08002B2CF9AE}" pid="12" name="MSIP_Label_6bd9ddd1-4d20-43f6-abfa-fc3c07406f94_Method">
    <vt:lpwstr>Standard</vt:lpwstr>
  </property>
  <property fmtid="{D5CDD505-2E9C-101B-9397-08002B2CF9AE}" pid="13" name="MSIP_Label_6bd9ddd1-4d20-43f6-abfa-fc3c07406f94_Name">
    <vt:lpwstr>Commission Use</vt:lpwstr>
  </property>
  <property fmtid="{D5CDD505-2E9C-101B-9397-08002B2CF9AE}" pid="14" name="MSIP_Label_6bd9ddd1-4d20-43f6-abfa-fc3c07406f94_SiteId">
    <vt:lpwstr>b24c8b06-522c-46fe-9080-70926f8dddb1</vt:lpwstr>
  </property>
  <property fmtid="{D5CDD505-2E9C-101B-9397-08002B2CF9AE}" pid="15" name="MSIP_Label_6bd9ddd1-4d20-43f6-abfa-fc3c07406f94_ActionId">
    <vt:lpwstr>fa9195b0-575d-478f-8e75-f71a060457bd</vt:lpwstr>
  </property>
  <property fmtid="{D5CDD505-2E9C-101B-9397-08002B2CF9AE}" pid="16" name="MSIP_Label_6bd9ddd1-4d20-43f6-abfa-fc3c07406f94_ContentBits">
    <vt:lpwstr>0</vt:lpwstr>
  </property>
  <property fmtid="{D5CDD505-2E9C-101B-9397-08002B2CF9AE}" pid="17" name="DQCStatus">
    <vt:lpwstr>Yellow (DQC version 03)</vt:lpwstr>
  </property>
</Properties>
</file>