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59B" w:rsidRPr="0056056D" w:rsidRDefault="00097C38" w:rsidP="00097C38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4" type="#_x0000_t75" alt="D786DFC7-E18E-465B-9D79-EABCA7C8DD3C" style="width:455.25pt;height:369.75pt">
            <v:imagedata r:id="rId7" o:title=""/>
          </v:shape>
        </w:pict>
      </w:r>
    </w:p>
    <w:p w:rsidR="009A659B" w:rsidRPr="0056056D" w:rsidRDefault="009A659B" w:rsidP="009A659B">
      <w:pPr>
        <w:rPr>
          <w:noProof/>
        </w:rPr>
        <w:sectPr w:rsidR="009A659B" w:rsidRPr="0056056D" w:rsidSect="00097C38">
          <w:footerReference w:type="default" r:id="rId8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9A659B" w:rsidRPr="0056056D" w:rsidRDefault="009A659B" w:rsidP="00BB6B30">
      <w:pPr>
        <w:pStyle w:val="Exposdesmotifstitre"/>
        <w:rPr>
          <w:noProof/>
        </w:rPr>
      </w:pPr>
      <w:bookmarkStart w:id="0" w:name="_GoBack"/>
      <w:bookmarkEnd w:id="0"/>
      <w:r w:rsidRPr="0056056D">
        <w:rPr>
          <w:noProof/>
        </w:rPr>
        <w:lastRenderedPageBreak/>
        <w:t>OBRAZLOŽENJE</w:t>
      </w:r>
    </w:p>
    <w:p w:rsidR="009A659B" w:rsidRPr="0056056D" w:rsidRDefault="009A659B" w:rsidP="009A659B">
      <w:pPr>
        <w:pStyle w:val="ManualHeading1"/>
        <w:rPr>
          <w:noProof/>
        </w:rPr>
      </w:pPr>
      <w:r w:rsidRPr="0056056D">
        <w:rPr>
          <w:noProof/>
        </w:rPr>
        <w:t>1.</w:t>
      </w:r>
      <w:r w:rsidRPr="0056056D">
        <w:rPr>
          <w:noProof/>
        </w:rPr>
        <w:tab/>
        <w:t>KONTEKST PRIJEDLOGA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  <w:t>Razlozi i ciljevi prijedloga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 xml:space="preserve">Članak VI. Općeg sporazuma o trgovini uslugama (GATS) sadržava integrirani mandat za razvoj potrebnih pravila kojima se osigurava da mjere koje se odnose na zahtjeve i postupke za kvalifikacije, na tehničke standarde te na zahtjeve za izdavanje dozvola ne čine nepotrebne prepreke trgovini uslugama. Članice Svjetske trgovinske organizacije (WTO) mnogo su godina pregovarale o takvim pravilima o domaćim propisima, a od 1999. ti su se pregovori održavali u okviru Radne skupine o domaćim propisima. Multilateralni pregovori na temelju tog mandata još nisu doveli do sporazuma među svim članicama WTO-a unatoč nastojanjima da se pregovori obnove uoči 11. ministarske konferencije WTO-a (MC11) u Buenos Airesu. 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Stoga je za vrijeme te konferencije skupina od 59 članica WTO-a, uključujući Europsku uniju, izdala Zajedničku ministarsku izjavu o domaćim propisima o uslugama</w:t>
      </w:r>
      <w:r w:rsidRPr="0056056D">
        <w:rPr>
          <w:rStyle w:val="FootnoteReference"/>
          <w:noProof/>
        </w:rPr>
        <w:footnoteReference w:id="1"/>
      </w:r>
      <w:r w:rsidRPr="0056056D">
        <w:rPr>
          <w:noProof/>
        </w:rPr>
        <w:t xml:space="preserve">. Tom su izjavom ministri ponovno potvrdili svoju predanost ubrzavanju pregovora o domaćim propisima o uslugama i pozvali sve članice WTO-a da nakon 11. ministarske konferencije intenzivnije rade na zaključenju pregovora o pravilima o domaćim propisima. 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U svibnju 2019. izdana je nova zajednička izjava u kojoj su ministri 59 članica WTO-a pozdravili napredak u pregovorima koji je postignut nakon 11. ministarske konferencije i obvezali se da će i dalje raditi na otvorenim pitanjima u namjeri da rezultate rada uključe u svoje rasporede posebnih obveza prije održavanja 12. ministarske konferencije</w:t>
      </w:r>
      <w:r w:rsidRPr="0056056D">
        <w:rPr>
          <w:rStyle w:val="FootnoteReference"/>
          <w:noProof/>
        </w:rPr>
        <w:footnoteReference w:id="2"/>
      </w:r>
      <w:r w:rsidRPr="0056056D">
        <w:rPr>
          <w:noProof/>
        </w:rPr>
        <w:t>.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Pregovori o ovoj inicijativi za zajedničku izjavu uspješno su zaključeni 2. prosinca 2021., a rezultirali su Referentnim dokumentom o domaćim propisima o uslugama („Referentni dokument”)</w:t>
      </w:r>
      <w:r w:rsidRPr="0056056D">
        <w:rPr>
          <w:rStyle w:val="FootnoteReference"/>
          <w:noProof/>
        </w:rPr>
        <w:footnoteReference w:id="3"/>
      </w:r>
      <w:r w:rsidRPr="0056056D">
        <w:rPr>
          <w:noProof/>
        </w:rPr>
        <w:t>. U Izjavi o zaključenju pregovora o domaćim propisima o uslugama objavljenoj 2. prosinca 2021. („Izjava”)</w:t>
      </w:r>
      <w:r w:rsidRPr="0056056D">
        <w:rPr>
          <w:rStyle w:val="FootnoteReference"/>
          <w:noProof/>
        </w:rPr>
        <w:footnoteReference w:id="4"/>
      </w:r>
      <w:r w:rsidRPr="0056056D">
        <w:rPr>
          <w:noProof/>
        </w:rPr>
        <w:t xml:space="preserve"> 67 članica WTO-a potvrdilo je zaključenje pregovora u Referentnom dokumentu koji čini Prilog 1. Izjavi. Osim toga, pozdravile su rasporede posebnih obveza koje su dostavile kao doprinos dovršetku pregovora. Tih 67 članica WTO-a čini više od 90 % globalne trgovine uslugama. 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 xml:space="preserve">U skladu s odjeljkom 1. Referentnog dokumenta potpisnice Izjave potvrdile su namjeru da pravila iz Referentnog dokumenta (iz Priloga 1. Izjavi) uključe u svoje rasporede na temelju GATS-a kao dodatne obveze. Nakon </w:t>
      </w:r>
      <w:r w:rsidR="00110B3E">
        <w:rPr>
          <w:noProof/>
        </w:rPr>
        <w:t>dovršetka</w:t>
      </w:r>
      <w:r w:rsidRPr="0056056D">
        <w:rPr>
          <w:noProof/>
        </w:rPr>
        <w:t xml:space="preserve"> svih potrebnih nacionalnih postupaka sudionice namjeravaju dostaviti svoje rasporede posebnih obveza na potvrđivanje, u skladu s postupcima za potvrđivanje ispravaka ili poboljšanja rasporeda posebnih obveza</w:t>
      </w:r>
      <w:r w:rsidRPr="0056056D">
        <w:rPr>
          <w:rStyle w:val="FootnoteReference"/>
          <w:noProof/>
        </w:rPr>
        <w:footnoteReference w:id="5"/>
      </w:r>
      <w:r w:rsidRPr="0056056D">
        <w:rPr>
          <w:noProof/>
        </w:rPr>
        <w:t>, u roku od 12 mjeseci od datuma Izjave. Potvrđivanjem će sudionice dati pravni učinak pravilima iz Priloga 1. Izjavi tako što će ih uključiti kao dodatne obveze u rasporede posebnih obveza na temelju GATS-a.</w:t>
      </w:r>
    </w:p>
    <w:p w:rsidR="009A659B" w:rsidRPr="0056056D" w:rsidRDefault="00592E2C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>
        <w:rPr>
          <w:noProof/>
        </w:rPr>
        <w:t>Cilj je ovog Komisijina</w:t>
      </w:r>
      <w:r w:rsidR="009A659B" w:rsidRPr="0056056D">
        <w:rPr>
          <w:noProof/>
        </w:rPr>
        <w:t xml:space="preserve"> Prijedloga odluke Vijeća službeno sklapanje sporazuma o izmjeni rasporeda EU-a na temelju GATS-a kako bi se uključila pravila iz Referentnog dokumenta (Prilog 1. Izjavi), u skladu s člankom 218. stavkom 6. UFEU-a. Izmjene rasporeda EU-a na temelju GATS-a trebalo bi provesti u skladu s Unijinim rasporedom posebnih obveza prije finalizacije</w:t>
      </w:r>
      <w:r w:rsidR="009A659B" w:rsidRPr="0056056D">
        <w:rPr>
          <w:rStyle w:val="FootnoteReference"/>
          <w:noProof/>
        </w:rPr>
        <w:footnoteReference w:id="6"/>
      </w:r>
      <w:r w:rsidR="009A659B" w:rsidRPr="0056056D">
        <w:rPr>
          <w:noProof/>
        </w:rPr>
        <w:t>.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  <w:t>Dosljednost s postojećim odredbama politike u tom području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 xml:space="preserve">Pregovori su se vodili uz blisko savjetovanje s Odborom za trgovinsku politiku (usluge i ulaganja) kako je predviđeno člankom 218. stavkom 3. Službeni završetak pregovora Vijeća jedan je od potrebnih koraka na temelju članka 218. stavka 6., kojim se daje pravni učinak rezultatu pregovora i započinje izmjena rasporeda posebnih obveza EU-a. 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  <w:t>Dosljednost u odnosu na druge politike Unije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Sporazum je u potpunosti u skladu s politikama Europske unije. Sporazumom se štite javne usluge i ne utječe na pravo vlada na reguliranje u javnom interesu.</w:t>
      </w:r>
    </w:p>
    <w:p w:rsidR="009A659B" w:rsidRPr="0056056D" w:rsidRDefault="009A659B" w:rsidP="009A659B">
      <w:pPr>
        <w:pStyle w:val="ManualHeading1"/>
        <w:rPr>
          <w:noProof/>
        </w:rPr>
      </w:pPr>
      <w:r w:rsidRPr="0056056D">
        <w:rPr>
          <w:noProof/>
        </w:rPr>
        <w:t>2.</w:t>
      </w:r>
      <w:r w:rsidRPr="0056056D">
        <w:rPr>
          <w:noProof/>
        </w:rPr>
        <w:tab/>
        <w:t>PRAVNA OSNOVA, SUPSIDIJARNOST I PROPORCIONALNOST</w:t>
      </w:r>
    </w:p>
    <w:p w:rsidR="009A659B" w:rsidRPr="0056056D" w:rsidRDefault="009A659B" w:rsidP="009A659B">
      <w:pPr>
        <w:pStyle w:val="ManualHeading2"/>
        <w:rPr>
          <w:rFonts w:eastAsia="Arial Unicode MS"/>
          <w:noProof/>
          <w:u w:color="000000"/>
          <w:bdr w:val="nil"/>
        </w:rPr>
      </w:pPr>
      <w:r w:rsidRPr="0056056D">
        <w:rPr>
          <w:noProof/>
          <w:u w:color="000000"/>
          <w:bdr w:val="nil"/>
        </w:rPr>
        <w:t>•</w:t>
      </w:r>
      <w:r w:rsidRPr="0056056D">
        <w:rPr>
          <w:noProof/>
          <w:u w:color="000000"/>
          <w:bdr w:val="nil"/>
        </w:rPr>
        <w:tab/>
        <w:t>Pravna osnova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Sporazum treba sklopiti Europska unija u skladu s odlukom Vijeća na temelju članka 218. stavka 6. UFEU-a, uz prethodnu suglasnost Europskog parlamenta.</w:t>
      </w:r>
    </w:p>
    <w:p w:rsidR="009A659B" w:rsidRPr="0056056D" w:rsidRDefault="009A659B" w:rsidP="009A659B">
      <w:pPr>
        <w:pStyle w:val="ManualHeading2"/>
        <w:rPr>
          <w:rFonts w:eastAsia="Arial Unicode MS"/>
          <w:noProof/>
          <w:u w:color="000000"/>
          <w:bdr w:val="nil"/>
        </w:rPr>
      </w:pPr>
      <w:r w:rsidRPr="0056056D">
        <w:rPr>
          <w:noProof/>
          <w:u w:color="000000"/>
          <w:bdr w:val="nil"/>
        </w:rPr>
        <w:t>•</w:t>
      </w:r>
      <w:r w:rsidRPr="0056056D">
        <w:rPr>
          <w:noProof/>
          <w:u w:color="000000"/>
          <w:bdr w:val="nil"/>
        </w:rPr>
        <w:tab/>
        <w:t xml:space="preserve">Supsidijarnost (za neisključivu nadležnost) 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 xml:space="preserve">U skladu s člankom 5. stavkom 3. UEU-a načelo supsidijarnosti ne primjenjuje se u područjima isključive nadležnosti EU-a. </w:t>
      </w:r>
    </w:p>
    <w:p w:rsidR="009A659B" w:rsidRPr="0056056D" w:rsidRDefault="009A659B" w:rsidP="009A659B">
      <w:pPr>
        <w:pStyle w:val="ManualHeading2"/>
        <w:rPr>
          <w:rFonts w:eastAsia="Arial Unicode MS"/>
          <w:noProof/>
          <w:u w:color="000000"/>
          <w:bdr w:val="nil"/>
        </w:rPr>
      </w:pPr>
      <w:r w:rsidRPr="0056056D">
        <w:rPr>
          <w:noProof/>
          <w:u w:color="000000"/>
          <w:bdr w:val="nil"/>
        </w:rPr>
        <w:t>•</w:t>
      </w:r>
      <w:r w:rsidRPr="0056056D">
        <w:rPr>
          <w:noProof/>
          <w:u w:color="000000"/>
          <w:bdr w:val="nil"/>
        </w:rPr>
        <w:tab/>
        <w:t>Proporcionalnost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Prijedlog o sklapanju sporazuma ne prelazi ono što je potrebno za ostvarenje cilja preuzimanja dodatnih obveza na temelju GATS-a koje se odnose na domaće propise u ime Europske unije.</w:t>
      </w:r>
    </w:p>
    <w:p w:rsidR="009A659B" w:rsidRPr="0056056D" w:rsidRDefault="009A659B" w:rsidP="009A659B">
      <w:pPr>
        <w:pStyle w:val="ManualHeading2"/>
        <w:rPr>
          <w:rFonts w:eastAsia="Arial Unicode MS"/>
          <w:noProof/>
          <w:u w:color="000000"/>
          <w:bdr w:val="nil"/>
        </w:rPr>
      </w:pPr>
      <w:r w:rsidRPr="0056056D">
        <w:rPr>
          <w:noProof/>
          <w:u w:color="000000"/>
          <w:bdr w:val="nil"/>
        </w:rPr>
        <w:t>•</w:t>
      </w:r>
      <w:r w:rsidRPr="0056056D">
        <w:rPr>
          <w:noProof/>
          <w:u w:color="000000"/>
          <w:bdr w:val="nil"/>
        </w:rPr>
        <w:tab/>
        <w:t>Odabir instrumenta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Ovaj Prijedlog odluke Vijeća podnosi se u skladu s člankom 218. stavkom 6. UFEU-a, kojim se predviđa da Vijeće donosi odluku o odobravanju sklapanja sporazuma. Čini se da je to najprimjereniji pravni instrument za ostvarenje cilja iz ovog Prijedloga.</w:t>
      </w:r>
    </w:p>
    <w:p w:rsidR="009A659B" w:rsidRPr="0056056D" w:rsidRDefault="009A659B" w:rsidP="009A659B">
      <w:pPr>
        <w:pStyle w:val="ManualHeading1"/>
        <w:rPr>
          <w:noProof/>
        </w:rPr>
      </w:pPr>
      <w:r w:rsidRPr="0056056D">
        <w:rPr>
          <w:noProof/>
        </w:rPr>
        <w:t>3.</w:t>
      </w:r>
      <w:r w:rsidRPr="0056056D">
        <w:rPr>
          <w:noProof/>
        </w:rPr>
        <w:tab/>
        <w:t xml:space="preserve">REZULTATI </w:t>
      </w:r>
      <w:r w:rsidRPr="0056056D">
        <w:rPr>
          <w:i/>
          <w:noProof/>
        </w:rPr>
        <w:t>EX POST</w:t>
      </w:r>
      <w:r w:rsidRPr="0056056D">
        <w:rPr>
          <w:noProof/>
        </w:rPr>
        <w:t xml:space="preserve"> EVALUACIJA, SAVJETOVANJA S DIONICIMA I PROCJENA UČINKA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</w:r>
      <w:r w:rsidRPr="0056056D">
        <w:rPr>
          <w:i/>
          <w:noProof/>
        </w:rPr>
        <w:t>Ex post</w:t>
      </w:r>
      <w:r w:rsidRPr="0056056D">
        <w:rPr>
          <w:noProof/>
        </w:rPr>
        <w:t xml:space="preserve"> evaluacije/provjere primjerenosti postojećeg zakonodavstva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Nije primjenjivo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  <w:t>Savjetovanja s dionicima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Nije primjenjivo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  <w:t>Prikupljanje i primjena stručnog znanja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Nije primjenjivo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  <w:t>Procjena učinka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Nije primjenjivo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  <w:t>Primjerenost i pojednostavnjenje propisa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Sporazum ne podliježe postupcima Programa za primjerenost i učinkovitost propisa (REFIT).</w:t>
      </w:r>
    </w:p>
    <w:p w:rsidR="009A659B" w:rsidRPr="0056056D" w:rsidRDefault="009A659B" w:rsidP="009A659B">
      <w:pPr>
        <w:pStyle w:val="ManualHeading2"/>
        <w:rPr>
          <w:b w:val="0"/>
          <w:noProof/>
        </w:rPr>
      </w:pPr>
      <w:r w:rsidRPr="0056056D">
        <w:rPr>
          <w:noProof/>
        </w:rPr>
        <w:t>•</w:t>
      </w:r>
      <w:r w:rsidRPr="0056056D">
        <w:rPr>
          <w:noProof/>
        </w:rPr>
        <w:tab/>
        <w:t>Temeljna prava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Prijedlog ne utječe na zaštitu temeljnih prava u Europskoj uniji.</w:t>
      </w:r>
    </w:p>
    <w:p w:rsidR="009A659B" w:rsidRPr="0056056D" w:rsidRDefault="009A659B" w:rsidP="009A659B">
      <w:pPr>
        <w:pStyle w:val="ManualHeading1"/>
        <w:rPr>
          <w:b w:val="0"/>
          <w:smallCaps w:val="0"/>
          <w:noProof/>
        </w:rPr>
      </w:pPr>
      <w:r w:rsidRPr="0056056D">
        <w:rPr>
          <w:noProof/>
        </w:rPr>
        <w:t>4.</w:t>
      </w:r>
      <w:r w:rsidRPr="0056056D">
        <w:rPr>
          <w:noProof/>
        </w:rPr>
        <w:tab/>
        <w:t>UTJECAJ NA PRORAČUN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Ne očekuje se da će sporazum imati financijski učinak na proračun EU-a.</w:t>
      </w:r>
    </w:p>
    <w:p w:rsidR="009A659B" w:rsidRPr="0056056D" w:rsidRDefault="009A659B" w:rsidP="009A659B">
      <w:pPr>
        <w:pStyle w:val="ManualHeading1"/>
        <w:rPr>
          <w:noProof/>
        </w:rPr>
      </w:pPr>
      <w:r w:rsidRPr="0056056D">
        <w:rPr>
          <w:noProof/>
        </w:rPr>
        <w:t>5.</w:t>
      </w:r>
      <w:r w:rsidRPr="0056056D">
        <w:rPr>
          <w:noProof/>
        </w:rPr>
        <w:tab/>
        <w:t>DRUGI ELEMENTI</w:t>
      </w:r>
    </w:p>
    <w:p w:rsidR="009A659B" w:rsidRPr="0056056D" w:rsidRDefault="009A659B" w:rsidP="009A659B">
      <w:pPr>
        <w:pStyle w:val="ManualHeading2"/>
        <w:rPr>
          <w:rFonts w:eastAsia="Arial Unicode MS"/>
          <w:noProof/>
          <w:u w:color="000000"/>
          <w:bdr w:val="nil"/>
        </w:rPr>
      </w:pPr>
      <w:r w:rsidRPr="0056056D">
        <w:rPr>
          <w:noProof/>
          <w:u w:color="000000"/>
          <w:bdr w:val="nil"/>
        </w:rPr>
        <w:t>•</w:t>
      </w:r>
      <w:r w:rsidRPr="0056056D">
        <w:rPr>
          <w:noProof/>
          <w:u w:color="000000"/>
          <w:bdr w:val="nil"/>
        </w:rPr>
        <w:tab/>
        <w:t>Planovi provedbe i mehanizmi praćenja, evaluacije i izvješćivanja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Nije primjenjivo</w:t>
      </w:r>
    </w:p>
    <w:p w:rsidR="009A659B" w:rsidRPr="0056056D" w:rsidRDefault="009A659B" w:rsidP="00522F15">
      <w:pPr>
        <w:pStyle w:val="ManualHeading2"/>
        <w:rPr>
          <w:rFonts w:eastAsia="Arial Unicode MS"/>
          <w:noProof/>
          <w:u w:color="000000"/>
          <w:bdr w:val="nil"/>
        </w:rPr>
      </w:pPr>
      <w:r w:rsidRPr="0056056D">
        <w:rPr>
          <w:noProof/>
          <w:u w:color="000000"/>
          <w:bdr w:val="nil"/>
        </w:rPr>
        <w:t>•</w:t>
      </w:r>
      <w:r w:rsidRPr="0056056D">
        <w:rPr>
          <w:noProof/>
          <w:u w:color="000000"/>
          <w:bdr w:val="nil"/>
        </w:rPr>
        <w:tab/>
        <w:t>Dokumenti s objašnjenjima (za direktive)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Nije primjenjivo</w:t>
      </w:r>
    </w:p>
    <w:p w:rsidR="009A659B" w:rsidRPr="0056056D" w:rsidRDefault="009A659B" w:rsidP="009A659B">
      <w:pPr>
        <w:pStyle w:val="ManualHeading2"/>
        <w:rPr>
          <w:noProof/>
        </w:rPr>
      </w:pPr>
      <w:r w:rsidRPr="0056056D">
        <w:rPr>
          <w:noProof/>
          <w:u w:color="000000"/>
          <w:bdr w:val="nil"/>
        </w:rPr>
        <w:t>•</w:t>
      </w:r>
      <w:r w:rsidRPr="0056056D">
        <w:rPr>
          <w:noProof/>
          <w:u w:color="000000"/>
          <w:bdr w:val="nil"/>
        </w:rPr>
        <w:tab/>
        <w:t>Detaljno obrazloženje posebnih odredaba prijedloga</w:t>
      </w:r>
    </w:p>
    <w:p w:rsidR="009A659B" w:rsidRPr="0056056D" w:rsidRDefault="009A659B" w:rsidP="009A659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noProof/>
        </w:rPr>
      </w:pPr>
      <w:r w:rsidRPr="0056056D">
        <w:rPr>
          <w:noProof/>
        </w:rPr>
        <w:t>Sporazumom bi se omogućilo uključivanje pravila iz Priloga 1. Izjavi u raspored na temelju GATS-a koji se primjenjuje na područje Europske unije.</w:t>
      </w:r>
    </w:p>
    <w:p w:rsidR="009A659B" w:rsidRPr="0056056D" w:rsidRDefault="009A659B" w:rsidP="00FD40BA">
      <w:pPr>
        <w:rPr>
          <w:noProof/>
        </w:rPr>
        <w:sectPr w:rsidR="009A659B" w:rsidRPr="0056056D" w:rsidSect="00097C38">
          <w:footerReference w:type="default" r:id="rId9"/>
          <w:footerReference w:type="first" r:id="rId10"/>
          <w:pgSz w:w="11907" w:h="16839"/>
          <w:pgMar w:top="1134" w:right="1417" w:bottom="1134" w:left="1417" w:header="709" w:footer="709" w:gutter="0"/>
          <w:cols w:space="708"/>
          <w:docGrid w:linePitch="360"/>
        </w:sectPr>
      </w:pPr>
    </w:p>
    <w:p w:rsidR="000157BF" w:rsidRDefault="000157BF" w:rsidP="000157BF">
      <w:pPr>
        <w:pStyle w:val="Rfrenceinterinstitutionnelle"/>
        <w:rPr>
          <w:noProof/>
        </w:rPr>
      </w:pPr>
      <w:r w:rsidRPr="000157BF">
        <w:t>2022/0174 (NLE)</w:t>
      </w:r>
    </w:p>
    <w:p w:rsidR="009A659B" w:rsidRPr="0056056D" w:rsidRDefault="0056056D" w:rsidP="0056056D">
      <w:pPr>
        <w:pStyle w:val="Statut"/>
        <w:rPr>
          <w:noProof/>
        </w:rPr>
      </w:pPr>
      <w:r w:rsidRPr="0056056D">
        <w:rPr>
          <w:noProof/>
        </w:rPr>
        <w:t>Prijedlog</w:t>
      </w:r>
    </w:p>
    <w:p w:rsidR="009A659B" w:rsidRPr="0056056D" w:rsidRDefault="0056056D" w:rsidP="0056056D">
      <w:pPr>
        <w:pStyle w:val="Typedudocument"/>
        <w:rPr>
          <w:noProof/>
        </w:rPr>
      </w:pPr>
      <w:r w:rsidRPr="0056056D">
        <w:rPr>
          <w:noProof/>
        </w:rPr>
        <w:t>ODLUKE VIJEĆA</w:t>
      </w:r>
    </w:p>
    <w:p w:rsidR="009A659B" w:rsidRPr="0056056D" w:rsidRDefault="0056056D" w:rsidP="0056056D">
      <w:pPr>
        <w:pStyle w:val="Titreobjet"/>
        <w:rPr>
          <w:noProof/>
        </w:rPr>
      </w:pPr>
      <w:r w:rsidRPr="0056056D">
        <w:rPr>
          <w:noProof/>
        </w:rPr>
        <w:t>o sklapanju, u ime Europske unije, sporazuma o izmjeni rasporedâ posebnih obveza na temelju Općeg sporazuma o trgovini uslugama radi uključivanja Priloga 1. Izjavi o zaključenju pregovora o domaćim propisima o uslugama od 2. prosinca 2021.</w:t>
      </w:r>
    </w:p>
    <w:p w:rsidR="009A659B" w:rsidRPr="0056056D" w:rsidRDefault="009A659B" w:rsidP="009A659B">
      <w:pPr>
        <w:pStyle w:val="Institutionquiagit"/>
        <w:rPr>
          <w:noProof/>
        </w:rPr>
      </w:pPr>
      <w:r w:rsidRPr="0056056D">
        <w:rPr>
          <w:noProof/>
        </w:rPr>
        <w:t>VIJEĆE EUROPSKE UNIJE,</w:t>
      </w:r>
    </w:p>
    <w:p w:rsidR="009A659B" w:rsidRPr="0056056D" w:rsidRDefault="009A659B" w:rsidP="009A659B">
      <w:pPr>
        <w:rPr>
          <w:noProof/>
        </w:rPr>
      </w:pPr>
      <w:r w:rsidRPr="0056056D">
        <w:rPr>
          <w:noProof/>
        </w:rPr>
        <w:t xml:space="preserve">uzimajući u obzir Ugovor o funkcioniranju Europske unije, a posebno njegov članak 91., članak 100. stavak 2. i članak 207., u vezi s njegovim člankom 218. stavkom 6. točkom (a) podtočkom v., </w:t>
      </w:r>
    </w:p>
    <w:p w:rsidR="009A659B" w:rsidRPr="0056056D" w:rsidRDefault="009A659B" w:rsidP="009A659B">
      <w:pPr>
        <w:rPr>
          <w:noProof/>
        </w:rPr>
      </w:pPr>
      <w:r w:rsidRPr="0056056D">
        <w:rPr>
          <w:noProof/>
        </w:rPr>
        <w:t xml:space="preserve">uzimajući u obzir prijedlog Europske komisije, </w:t>
      </w:r>
    </w:p>
    <w:p w:rsidR="009A659B" w:rsidRPr="0056056D" w:rsidRDefault="009A659B" w:rsidP="009A659B">
      <w:pPr>
        <w:rPr>
          <w:noProof/>
        </w:rPr>
      </w:pPr>
      <w:r w:rsidRPr="0056056D">
        <w:rPr>
          <w:noProof/>
        </w:rPr>
        <w:t>uzimajući u obzir suglasnost Europskog parlamenta</w:t>
      </w:r>
      <w:r w:rsidRPr="0056056D">
        <w:rPr>
          <w:rStyle w:val="FootnoteReference"/>
          <w:noProof/>
        </w:rPr>
        <w:footnoteReference w:id="7"/>
      </w:r>
      <w:r w:rsidRPr="0056056D">
        <w:rPr>
          <w:noProof/>
        </w:rPr>
        <w:t xml:space="preserve">, </w:t>
      </w:r>
    </w:p>
    <w:p w:rsidR="009A659B" w:rsidRPr="0056056D" w:rsidRDefault="009A659B" w:rsidP="009A659B">
      <w:pPr>
        <w:rPr>
          <w:noProof/>
        </w:rPr>
      </w:pPr>
      <w:r w:rsidRPr="0056056D">
        <w:rPr>
          <w:noProof/>
        </w:rPr>
        <w:t>budući da:</w:t>
      </w:r>
    </w:p>
    <w:p w:rsidR="009A659B" w:rsidRPr="0056056D" w:rsidRDefault="0017794D" w:rsidP="0017794D">
      <w:pPr>
        <w:pStyle w:val="ManualConsidrant"/>
        <w:rPr>
          <w:noProof/>
        </w:rPr>
      </w:pPr>
      <w:r w:rsidRPr="0017794D">
        <w:t>(1)</w:t>
      </w:r>
      <w:r w:rsidRPr="0017794D">
        <w:tab/>
      </w:r>
      <w:r w:rsidR="009A659B" w:rsidRPr="0056056D">
        <w:rPr>
          <w:noProof/>
        </w:rPr>
        <w:t xml:space="preserve">Na 11. ministarskoj konferenciji Svjetske trgovinske organizacije skupina od 59 članica WTO-a, uključujući Europsku uniju, izdala je zajedničku ministarsku izjavu o domaćim propisima o uslugama, čime je pokrenula višestranu inicijativu za pregovore o pravilima o domaćim propisima o uslugama. </w:t>
      </w:r>
    </w:p>
    <w:p w:rsidR="009A659B" w:rsidRPr="0056056D" w:rsidRDefault="0017794D" w:rsidP="0017794D">
      <w:pPr>
        <w:pStyle w:val="ManualConsidrant"/>
        <w:rPr>
          <w:noProof/>
        </w:rPr>
      </w:pPr>
      <w:r w:rsidRPr="0017794D">
        <w:t>(2)</w:t>
      </w:r>
      <w:r w:rsidRPr="0017794D">
        <w:tab/>
      </w:r>
      <w:r w:rsidR="009A659B" w:rsidRPr="0056056D">
        <w:rPr>
          <w:noProof/>
        </w:rPr>
        <w:t xml:space="preserve">Pregovore je vodila Komisija u dogovoru s odborom koji je osnovan člankom 207. stavkom 3. Ugovora. S vremenom se broj sudionica te višestrane inicijative za zajedničku izjavu povećao na 67 članica WTO-a. </w:t>
      </w:r>
    </w:p>
    <w:p w:rsidR="009A659B" w:rsidRPr="0056056D" w:rsidRDefault="0017794D" w:rsidP="0017794D">
      <w:pPr>
        <w:pStyle w:val="ManualConsidrant"/>
        <w:rPr>
          <w:noProof/>
        </w:rPr>
      </w:pPr>
      <w:r w:rsidRPr="0017794D">
        <w:t>(3)</w:t>
      </w:r>
      <w:r w:rsidRPr="0017794D">
        <w:tab/>
      </w:r>
      <w:r w:rsidR="009A659B" w:rsidRPr="0056056D">
        <w:rPr>
          <w:noProof/>
        </w:rPr>
        <w:t>Sudionice tih pregovora izdale su 2. prosinca 2021. Izjavu o zaključenju pregovora o domaćim propisima o uslugama („Izjava”), kojom su objavile uspješno zaključenje pregovora. Sudionice su potvrdile zaključenje pregovora u Referentnom dokumentu o domaćim propisima o uslugama</w:t>
      </w:r>
      <w:r w:rsidR="009A659B" w:rsidRPr="0056056D">
        <w:rPr>
          <w:rStyle w:val="FootnoteReference"/>
          <w:noProof/>
        </w:rPr>
        <w:footnoteReference w:id="8"/>
      </w:r>
      <w:r w:rsidR="009A659B" w:rsidRPr="0056056D">
        <w:rPr>
          <w:noProof/>
        </w:rPr>
        <w:t xml:space="preserve"> („Referentni dokument”), koji čini Prilog 1. Izjavi. Osim toga, pozdravile su rasporede posebnih obveza</w:t>
      </w:r>
      <w:r w:rsidR="009A659B" w:rsidRPr="0056056D">
        <w:rPr>
          <w:rStyle w:val="FootnoteReference"/>
          <w:noProof/>
        </w:rPr>
        <w:footnoteReference w:id="9"/>
      </w:r>
      <w:r w:rsidR="009A659B" w:rsidRPr="0056056D">
        <w:rPr>
          <w:noProof/>
        </w:rPr>
        <w:t xml:space="preserve"> koje su članice dostavile kao svoje doprinose </w:t>
      </w:r>
      <w:r w:rsidR="004C25B6">
        <w:rPr>
          <w:noProof/>
        </w:rPr>
        <w:t>dovršetku</w:t>
      </w:r>
      <w:r w:rsidR="009A659B" w:rsidRPr="0056056D">
        <w:rPr>
          <w:noProof/>
        </w:rPr>
        <w:t xml:space="preserve"> pregovora i koje čine Prilog 2. Izjavi.</w:t>
      </w:r>
    </w:p>
    <w:p w:rsidR="009A659B" w:rsidRPr="0056056D" w:rsidRDefault="0017794D" w:rsidP="0017794D">
      <w:pPr>
        <w:pStyle w:val="ManualConsidrant"/>
        <w:rPr>
          <w:noProof/>
        </w:rPr>
      </w:pPr>
      <w:r w:rsidRPr="0017794D">
        <w:t>(4)</w:t>
      </w:r>
      <w:r w:rsidRPr="0017794D">
        <w:tab/>
      </w:r>
      <w:r w:rsidR="009A659B" w:rsidRPr="0056056D">
        <w:rPr>
          <w:noProof/>
        </w:rPr>
        <w:t>Potpisnice Izjave namjeravaju uključiti pravila iz Referentnog dokumenta (Prilog 1.) u svoje rasporede na temelju GATS-a kao dodatne obveze, u skladu s odjeljkom 1. Referentnog dokumenta. U skladu sa stavkom 5. Izjave sudionice namjeravaju dostaviti svoje rasporede posebnih obveza na potvrđivanje, u skladu s postupcima za potvrđivanje ispravaka ili poboljšanja rasporeda posebnih obveza</w:t>
      </w:r>
      <w:r w:rsidR="009A659B" w:rsidRPr="0056056D">
        <w:rPr>
          <w:rStyle w:val="FootnoteReference"/>
          <w:noProof/>
        </w:rPr>
        <w:footnoteReference w:id="10"/>
      </w:r>
      <w:r w:rsidR="009A659B" w:rsidRPr="0056056D">
        <w:rPr>
          <w:noProof/>
        </w:rPr>
        <w:t xml:space="preserve">, u roku od 12 mjeseci od datuma Izjave, nakon dovršetka svih potrebnih nacionalnih postupaka. </w:t>
      </w:r>
    </w:p>
    <w:p w:rsidR="009A659B" w:rsidRPr="0056056D" w:rsidRDefault="0017794D" w:rsidP="0017794D">
      <w:pPr>
        <w:pStyle w:val="ManualConsidrant"/>
        <w:rPr>
          <w:noProof/>
        </w:rPr>
      </w:pPr>
      <w:r w:rsidRPr="0017794D">
        <w:t>(5)</w:t>
      </w:r>
      <w:r w:rsidRPr="0017794D">
        <w:tab/>
      </w:r>
      <w:r w:rsidR="009A659B" w:rsidRPr="0056056D">
        <w:rPr>
          <w:noProof/>
        </w:rPr>
        <w:t xml:space="preserve">Sporazum o uključivanju pravila iz Priloga 1. u raspored EU-a na temelju GATS-a kao dodatnih obveza trebalo bi odobriti u ime Unije. </w:t>
      </w:r>
    </w:p>
    <w:p w:rsidR="009A659B" w:rsidRPr="0056056D" w:rsidRDefault="0017794D" w:rsidP="0017794D">
      <w:pPr>
        <w:pStyle w:val="ManualConsidrant"/>
        <w:rPr>
          <w:noProof/>
        </w:rPr>
      </w:pPr>
      <w:r w:rsidRPr="0017794D">
        <w:t>(6)</w:t>
      </w:r>
      <w:r w:rsidRPr="0017794D">
        <w:tab/>
      </w:r>
      <w:r w:rsidR="009A659B" w:rsidRPr="0056056D">
        <w:rPr>
          <w:noProof/>
        </w:rPr>
        <w:t>U skladu s Izjavom Unija bi WTO-u trebala dostaviti potrebne izmjene svojeg rasporeda na temelju GAT</w:t>
      </w:r>
      <w:r w:rsidR="00EB266B">
        <w:rPr>
          <w:noProof/>
        </w:rPr>
        <w:t>S-a, kako je utvrđeno u Unijinu</w:t>
      </w:r>
      <w:r w:rsidR="009A659B" w:rsidRPr="0056056D">
        <w:rPr>
          <w:noProof/>
        </w:rPr>
        <w:t xml:space="preserve"> rasporedu posebnih obveza prije finalizacije (INF/SDR/IDS/EU/Rev. 1), </w:t>
      </w:r>
    </w:p>
    <w:p w:rsidR="009A659B" w:rsidRPr="0056056D" w:rsidRDefault="009A659B" w:rsidP="009A659B">
      <w:pPr>
        <w:pStyle w:val="Formuledadoption"/>
        <w:rPr>
          <w:noProof/>
        </w:rPr>
      </w:pPr>
      <w:r w:rsidRPr="0056056D">
        <w:rPr>
          <w:noProof/>
        </w:rPr>
        <w:t xml:space="preserve">DONIJELO JE OVU ODLUKU: </w:t>
      </w:r>
    </w:p>
    <w:p w:rsidR="009A659B" w:rsidRPr="0056056D" w:rsidRDefault="009A659B" w:rsidP="009A659B">
      <w:pPr>
        <w:pStyle w:val="Titrearticle"/>
        <w:rPr>
          <w:noProof/>
        </w:rPr>
      </w:pPr>
      <w:r w:rsidRPr="0056056D">
        <w:rPr>
          <w:noProof/>
        </w:rPr>
        <w:t>Članak 1.</w:t>
      </w:r>
    </w:p>
    <w:p w:rsidR="009A659B" w:rsidRPr="0056056D" w:rsidRDefault="009A659B" w:rsidP="009A659B">
      <w:pPr>
        <w:rPr>
          <w:noProof/>
        </w:rPr>
      </w:pPr>
      <w:bookmarkStart w:id="1" w:name="_CopyToNewDocument_"/>
      <w:bookmarkEnd w:id="1"/>
      <w:r w:rsidRPr="0056056D">
        <w:rPr>
          <w:noProof/>
        </w:rPr>
        <w:t>Odobrava se, u ime Europske unije, uključivanje pravila iz Priloga 1. Izjavi o zaključenju pregovora o domaćim propisima o uslugama u raspored Europske unije na temelju GATS-a, kako je utvrđeno u dokumentu INF/SDR/IDS/EU/Rev. 1.</w:t>
      </w:r>
    </w:p>
    <w:p w:rsidR="009A659B" w:rsidRPr="0056056D" w:rsidRDefault="009A659B" w:rsidP="009A659B">
      <w:pPr>
        <w:rPr>
          <w:noProof/>
        </w:rPr>
      </w:pPr>
      <w:r w:rsidRPr="0056056D">
        <w:rPr>
          <w:noProof/>
        </w:rPr>
        <w:t>Tekst Izjave i raspored posebnih obveza Europske unije prije finalizacije prilažu se ovoj Odluci.</w:t>
      </w:r>
    </w:p>
    <w:p w:rsidR="009A659B" w:rsidRPr="0056056D" w:rsidRDefault="009A659B" w:rsidP="009A659B">
      <w:pPr>
        <w:pStyle w:val="Titrearticle"/>
        <w:rPr>
          <w:noProof/>
        </w:rPr>
      </w:pPr>
      <w:r w:rsidRPr="0056056D">
        <w:rPr>
          <w:noProof/>
        </w:rPr>
        <w:t>Članak 2.</w:t>
      </w:r>
    </w:p>
    <w:p w:rsidR="009A659B" w:rsidRPr="0056056D" w:rsidRDefault="009A659B" w:rsidP="009A659B">
      <w:pPr>
        <w:rPr>
          <w:noProof/>
        </w:rPr>
      </w:pPr>
      <w:r w:rsidRPr="0056056D">
        <w:rPr>
          <w:noProof/>
        </w:rPr>
        <w:t>Komisija se ovlašćuje da Svjetskoj trgovinskoj organizaciji dostavi potrebne izmjene rasporeda Europske unije na temelju GATS-a, kako je utvrđeno u rasporedu posebnih obveza Europske unije prije finalizacije (INF/SDR/IDS/EU/Rev.1).</w:t>
      </w:r>
    </w:p>
    <w:p w:rsidR="009A659B" w:rsidRPr="0056056D" w:rsidRDefault="009A659B" w:rsidP="007A390F">
      <w:pPr>
        <w:pStyle w:val="Titrearticle"/>
        <w:rPr>
          <w:noProof/>
        </w:rPr>
      </w:pPr>
      <w:r w:rsidRPr="0056056D">
        <w:rPr>
          <w:noProof/>
        </w:rPr>
        <w:t>Članak 3.</w:t>
      </w:r>
    </w:p>
    <w:p w:rsidR="009A659B" w:rsidRPr="0056056D" w:rsidRDefault="009A659B" w:rsidP="009A659B">
      <w:pPr>
        <w:rPr>
          <w:noProof/>
        </w:rPr>
      </w:pPr>
      <w:r w:rsidRPr="0056056D">
        <w:rPr>
          <w:noProof/>
        </w:rPr>
        <w:t xml:space="preserve">Ova odluka stupa na snagu na dan donošenja te se objavljuje u </w:t>
      </w:r>
      <w:r w:rsidRPr="0056056D">
        <w:rPr>
          <w:i/>
          <w:noProof/>
        </w:rPr>
        <w:t>Službenom listu Europske unije</w:t>
      </w:r>
      <w:r w:rsidRPr="0056056D">
        <w:rPr>
          <w:noProof/>
        </w:rPr>
        <w:t>.</w:t>
      </w:r>
    </w:p>
    <w:p w:rsidR="009A659B" w:rsidRPr="0056056D" w:rsidRDefault="00DF1513" w:rsidP="007A390F">
      <w:pPr>
        <w:pStyle w:val="Fait"/>
        <w:rPr>
          <w:noProof/>
        </w:rPr>
      </w:pPr>
      <w:r w:rsidRPr="00DF1513">
        <w:t>Sastavljeno u Bruxellesu,</w:t>
      </w:r>
    </w:p>
    <w:p w:rsidR="009A659B" w:rsidRPr="0056056D" w:rsidRDefault="009A659B" w:rsidP="007A390F">
      <w:pPr>
        <w:pStyle w:val="Institutionquisigne"/>
        <w:rPr>
          <w:noProof/>
        </w:rPr>
      </w:pPr>
      <w:r w:rsidRPr="0056056D">
        <w:rPr>
          <w:noProof/>
        </w:rPr>
        <w:tab/>
        <w:t>Za Vijeće</w:t>
      </w:r>
    </w:p>
    <w:p w:rsidR="009A659B" w:rsidRPr="0056056D" w:rsidRDefault="009A659B" w:rsidP="009A659B">
      <w:pPr>
        <w:pStyle w:val="Personnequisigne"/>
        <w:rPr>
          <w:noProof/>
        </w:rPr>
      </w:pPr>
      <w:r w:rsidRPr="0056056D">
        <w:rPr>
          <w:noProof/>
        </w:rPr>
        <w:tab/>
        <w:t>Predsjednik</w:t>
      </w:r>
    </w:p>
    <w:sectPr w:rsidR="009A659B" w:rsidRPr="0056056D" w:rsidSect="00097C38"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59B" w:rsidRDefault="009A659B" w:rsidP="009A659B">
      <w:pPr>
        <w:spacing w:before="0" w:after="0"/>
      </w:pPr>
      <w:r>
        <w:separator/>
      </w:r>
    </w:p>
  </w:endnote>
  <w:endnote w:type="continuationSeparator" w:id="0">
    <w:p w:rsidR="009A659B" w:rsidRDefault="009A659B" w:rsidP="009A659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56D" w:rsidRPr="00097C38" w:rsidRDefault="00097C38" w:rsidP="00097C38">
    <w:pPr>
      <w:pStyle w:val="Footer"/>
      <w:rPr>
        <w:rFonts w:ascii="Arial" w:hAnsi="Arial" w:cs="Arial"/>
        <w:b/>
        <w:sz w:val="48"/>
      </w:rPr>
    </w:pPr>
    <w:r w:rsidRPr="00097C38">
      <w:rPr>
        <w:rFonts w:ascii="Arial" w:hAnsi="Arial" w:cs="Arial"/>
        <w:b/>
        <w:sz w:val="48"/>
      </w:rPr>
      <w:t>HR</w:t>
    </w:r>
    <w:r w:rsidRPr="00097C38">
      <w:rPr>
        <w:rFonts w:ascii="Arial" w:hAnsi="Arial" w:cs="Arial"/>
        <w:b/>
        <w:sz w:val="48"/>
      </w:rPr>
      <w:tab/>
    </w:r>
    <w:r w:rsidRPr="00097C38">
      <w:rPr>
        <w:rFonts w:ascii="Arial" w:hAnsi="Arial" w:cs="Arial"/>
        <w:b/>
        <w:sz w:val="48"/>
      </w:rPr>
      <w:tab/>
    </w:r>
    <w:r w:rsidRPr="00097C38">
      <w:tab/>
    </w:r>
    <w:r w:rsidRPr="00097C38">
      <w:rPr>
        <w:rFonts w:ascii="Arial" w:hAnsi="Arial" w:cs="Arial"/>
        <w:b/>
        <w:sz w:val="48"/>
      </w:rPr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38" w:rsidRPr="00097C38" w:rsidRDefault="00097C38" w:rsidP="00097C38">
    <w:pPr>
      <w:pStyle w:val="Footer"/>
      <w:rPr>
        <w:rFonts w:ascii="Arial" w:hAnsi="Arial" w:cs="Arial"/>
        <w:b/>
        <w:sz w:val="48"/>
      </w:rPr>
    </w:pPr>
    <w:r w:rsidRPr="00097C38">
      <w:rPr>
        <w:rFonts w:ascii="Arial" w:hAnsi="Arial" w:cs="Arial"/>
        <w:b/>
        <w:sz w:val="48"/>
      </w:rPr>
      <w:t>HR</w:t>
    </w:r>
    <w:r w:rsidRPr="00097C38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7A390F">
      <w:rPr>
        <w:noProof/>
      </w:rPr>
      <w:t>5</w:t>
    </w:r>
    <w:r>
      <w:fldChar w:fldCharType="end"/>
    </w:r>
    <w:r>
      <w:tab/>
    </w:r>
    <w:r w:rsidRPr="00097C38">
      <w:tab/>
    </w:r>
    <w:r w:rsidRPr="00097C38">
      <w:rPr>
        <w:rFonts w:ascii="Arial" w:hAnsi="Arial" w:cs="Arial"/>
        <w:b/>
        <w:sz w:val="48"/>
      </w:rPr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C38" w:rsidRPr="00097C38" w:rsidRDefault="00097C38" w:rsidP="00097C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59B" w:rsidRDefault="009A659B" w:rsidP="009A659B">
      <w:pPr>
        <w:spacing w:before="0" w:after="0"/>
      </w:pPr>
      <w:r>
        <w:separator/>
      </w:r>
    </w:p>
  </w:footnote>
  <w:footnote w:type="continuationSeparator" w:id="0">
    <w:p w:rsidR="009A659B" w:rsidRDefault="009A659B" w:rsidP="009A659B">
      <w:pPr>
        <w:spacing w:before="0" w:after="0"/>
      </w:pPr>
      <w:r>
        <w:continuationSeparator/>
      </w:r>
    </w:p>
  </w:footnote>
  <w:footnote w:id="1">
    <w:p w:rsidR="009A659B" w:rsidRPr="00F468BA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WT/MIN(17)/61 od 13. prosinca 2017.</w:t>
      </w:r>
    </w:p>
  </w:footnote>
  <w:footnote w:id="2">
    <w:p w:rsidR="009A659B" w:rsidRPr="00F468BA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WT/L/1059 od 23. svibnja 2019.</w:t>
      </w:r>
    </w:p>
  </w:footnote>
  <w:footnote w:id="3">
    <w:p w:rsidR="009A659B" w:rsidRPr="00F468BA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INF/SDR/2 od 26. studenoga 2021., priložen dokumentu WT/L/1129 kao Prilog 1.</w:t>
      </w:r>
    </w:p>
  </w:footnote>
  <w:footnote w:id="4">
    <w:p w:rsidR="009A659B" w:rsidRPr="00F468BA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WT/L/1129 od 2. prosinca 2021.</w:t>
      </w:r>
    </w:p>
  </w:footnote>
  <w:footnote w:id="5">
    <w:p w:rsidR="009A659B" w:rsidRPr="00F468BA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S/L/84 od 14. travnja 2000.</w:t>
      </w:r>
    </w:p>
  </w:footnote>
  <w:footnote w:id="6">
    <w:p w:rsidR="009A659B" w:rsidRPr="00F5054B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INF/SDR/IDS/EU/Rev.1.</w:t>
      </w:r>
    </w:p>
  </w:footnote>
  <w:footnote w:id="7">
    <w:p w:rsidR="009A659B" w:rsidRPr="007B2BE1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SL C,……</w:t>
      </w:r>
    </w:p>
  </w:footnote>
  <w:footnote w:id="8">
    <w:p w:rsidR="009A659B" w:rsidRPr="00625A53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Dokument WTO-a INF/SDR/2, priložen Izjavi kao Prilog 1.</w:t>
      </w:r>
    </w:p>
  </w:footnote>
  <w:footnote w:id="9">
    <w:p w:rsidR="009A659B" w:rsidRPr="00625A53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Dokument WTO-a INF/SDR/3, priložen Izjavi kao Prilog 2.</w:t>
      </w:r>
    </w:p>
  </w:footnote>
  <w:footnote w:id="10">
    <w:p w:rsidR="009A659B" w:rsidRPr="00625A53" w:rsidRDefault="009A659B" w:rsidP="009A659B">
      <w:pPr>
        <w:pStyle w:val="FootnoteText"/>
      </w:pPr>
      <w:r>
        <w:rPr>
          <w:rStyle w:val="FootnoteReference"/>
        </w:rPr>
        <w:footnoteRef/>
      </w:r>
      <w:r>
        <w:tab/>
        <w:t>Dokument WTO-a S/L/84.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0BEA7A6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05722D6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A738A40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8774EC4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BFA0D44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6486FB9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4A2E5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A7CCCC3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22"/>
    <w:lvlOverride w:ilvl="0">
      <w:startOverride w:val="1"/>
    </w:lvlOverride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19"/>
  </w:num>
  <w:num w:numId="11">
    <w:abstractNumId w:val="12"/>
  </w:num>
  <w:num w:numId="12">
    <w:abstractNumId w:val="21"/>
  </w:num>
  <w:num w:numId="13">
    <w:abstractNumId w:val="11"/>
  </w:num>
  <w:num w:numId="14">
    <w:abstractNumId w:val="13"/>
  </w:num>
  <w:num w:numId="15">
    <w:abstractNumId w:val="14"/>
  </w:num>
  <w:num w:numId="16">
    <w:abstractNumId w:val="9"/>
  </w:num>
  <w:num w:numId="17">
    <w:abstractNumId w:val="20"/>
  </w:num>
  <w:num w:numId="18">
    <w:abstractNumId w:val="8"/>
  </w:num>
  <w:num w:numId="19">
    <w:abstractNumId w:val="15"/>
  </w:num>
  <w:num w:numId="20">
    <w:abstractNumId w:val="17"/>
  </w:num>
  <w:num w:numId="21">
    <w:abstractNumId w:val="18"/>
  </w:num>
  <w:num w:numId="22">
    <w:abstractNumId w:val="10"/>
  </w:num>
  <w:num w:numId="23">
    <w:abstractNumId w:val="16"/>
  </w:num>
  <w:num w:numId="2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2-05-30 08:09:28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LinkedStyl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Result_UnknownFonts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D786DFC7-E18E-465B-9D79-EABCA7C8DD3C"/>
    <w:docVar w:name="LW_COVERPAGE_TYPE" w:val="1"/>
    <w:docVar w:name="LW_CROSSREFERENCE" w:val="&lt;UNUSED&gt;"/>
    <w:docVar w:name="LW_DocType" w:val="COM"/>
    <w:docVar w:name="LW_EMISSION" w:val="7.6.2022."/>
    <w:docVar w:name="LW_EMISSION_ISODATE" w:val="2022-06-07"/>
    <w:docVar w:name="LW_EMISSION_LOCATION" w:val="BRX"/>
    <w:docVar w:name="LW_EMISSION_PREFIX" w:val="Bruxelles, "/>
    <w:docVar w:name="LW_EMISSION_SUFFIX" w:val="&lt;EMPTY&gt;"/>
    <w:docVar w:name="LW_ID_DOCMODEL" w:val="SJ-019"/>
    <w:docVar w:name="LW_ID_DOCSIGNATURE" w:val="SJ-019"/>
    <w:docVar w:name="LW_ID_DOCSTRUCTURE" w:val="COM/PL/ORG"/>
    <w:docVar w:name="LW_ID_DOCTYPE" w:val="SJ-019"/>
    <w:docVar w:name="LW_ID_EXP.MOTIFS.NEW" w:val="EM_PL_"/>
    <w:docVar w:name="LW_ID_STATUT" w:val="SJ-019"/>
    <w:docVar w:name="LW_INTERETEEE.CP" w:val="&lt;UNUSED&gt;"/>
    <w:docVar w:name="LW_LANGUE" w:val="HR"/>
    <w:docVar w:name="LW_LEVEL_OF_SENSITIVITY" w:val="Standard treatment"/>
    <w:docVar w:name="LW_NOM.INST" w:val="EUROPSKA KOMISIJA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174"/>
    <w:docVar w:name="LW_REF.II.NEW.CP_YEAR" w:val="2022"/>
    <w:docVar w:name="LW_REF.INST.NEW" w:val="COM"/>
    <w:docVar w:name="LW_REF.INST.NEW_ADOPTED" w:val="final"/>
    <w:docVar w:name="LW_REF.INST.NEW_TEXT" w:val="(2022) 257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Prijedlog"/>
    <w:docVar w:name="LW_SUPERTITRE" w:val="&lt;UNUSED&gt;"/>
    <w:docVar w:name="LW_TITRE.OBJ.CP" w:val="o sklapanju, u ime Europske unije, sporazuma o izmjeni rasporedâ posebnih obveza na temelju Općeg sporazuma o trgovini uslugama radi uključivanja Priloga 1. Izjavi o zaključenju pregovora o domaćim propisima o uslugama od 2. prosinca 2021."/>
    <w:docVar w:name="LW_TYPE.DOC.CP" w:val="ODLUKE VIJEĆA"/>
    <w:docVar w:name="LwApiVersions" w:val="LW4CoDe 1.23.2.0; LW 8.0, Build 20211117"/>
  </w:docVars>
  <w:rsids>
    <w:rsidRoot w:val="009A659B"/>
    <w:rsid w:val="000110C2"/>
    <w:rsid w:val="000157BF"/>
    <w:rsid w:val="00097C38"/>
    <w:rsid w:val="000A7517"/>
    <w:rsid w:val="000D7E89"/>
    <w:rsid w:val="000E198E"/>
    <w:rsid w:val="00110B3E"/>
    <w:rsid w:val="00153428"/>
    <w:rsid w:val="0017794D"/>
    <w:rsid w:val="001C2816"/>
    <w:rsid w:val="001D268C"/>
    <w:rsid w:val="001F53A2"/>
    <w:rsid w:val="0021477D"/>
    <w:rsid w:val="00232E98"/>
    <w:rsid w:val="0026510B"/>
    <w:rsid w:val="002D1A22"/>
    <w:rsid w:val="00324815"/>
    <w:rsid w:val="003259B2"/>
    <w:rsid w:val="004C25B6"/>
    <w:rsid w:val="004D574E"/>
    <w:rsid w:val="004F5213"/>
    <w:rsid w:val="00522F15"/>
    <w:rsid w:val="0056056D"/>
    <w:rsid w:val="00592E2C"/>
    <w:rsid w:val="00593893"/>
    <w:rsid w:val="00611AAC"/>
    <w:rsid w:val="006D71B2"/>
    <w:rsid w:val="0070128F"/>
    <w:rsid w:val="0075736B"/>
    <w:rsid w:val="007A390F"/>
    <w:rsid w:val="007C06F6"/>
    <w:rsid w:val="00863EFF"/>
    <w:rsid w:val="008D3CE2"/>
    <w:rsid w:val="008E650A"/>
    <w:rsid w:val="009255F1"/>
    <w:rsid w:val="00936240"/>
    <w:rsid w:val="00986B33"/>
    <w:rsid w:val="00987AD5"/>
    <w:rsid w:val="009A659B"/>
    <w:rsid w:val="009B7138"/>
    <w:rsid w:val="00A15D8F"/>
    <w:rsid w:val="00A933CF"/>
    <w:rsid w:val="00AC7667"/>
    <w:rsid w:val="00BE246D"/>
    <w:rsid w:val="00BF17AA"/>
    <w:rsid w:val="00C24556"/>
    <w:rsid w:val="00C75D0E"/>
    <w:rsid w:val="00D549A2"/>
    <w:rsid w:val="00DC1B1D"/>
    <w:rsid w:val="00DD5B92"/>
    <w:rsid w:val="00DF1513"/>
    <w:rsid w:val="00E11DF6"/>
    <w:rsid w:val="00EA3644"/>
    <w:rsid w:val="00EB266B"/>
    <w:rsid w:val="00ED45E2"/>
    <w:rsid w:val="00EF2C20"/>
    <w:rsid w:val="00EF30D5"/>
    <w:rsid w:val="00F20062"/>
    <w:rsid w:val="00F5054B"/>
    <w:rsid w:val="00FE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58D9C844-9334-49AA-A5BE-AD1B9CB1E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hr-HR"/>
    </w:rPr>
  </w:style>
  <w:style w:type="paragraph" w:styleId="Heading1">
    <w:name w:val="heading 1"/>
    <w:basedOn w:val="Normal"/>
    <w:next w:val="Text1"/>
    <w:link w:val="Heading1Char"/>
    <w:uiPriority w:val="9"/>
    <w:qFormat/>
    <w:rsid w:val="00517205"/>
    <w:pPr>
      <w:keepNext/>
      <w:numPr>
        <w:numId w:val="17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517205"/>
    <w:pPr>
      <w:keepNext/>
      <w:numPr>
        <w:ilvl w:val="1"/>
        <w:numId w:val="17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517205"/>
    <w:pPr>
      <w:keepNext/>
      <w:numPr>
        <w:ilvl w:val="2"/>
        <w:numId w:val="17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517205"/>
    <w:pPr>
      <w:keepNext/>
      <w:numPr>
        <w:ilvl w:val="3"/>
        <w:numId w:val="17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517205"/>
    <w:pPr>
      <w:keepNext/>
      <w:numPr>
        <w:ilvl w:val="4"/>
        <w:numId w:val="17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517205"/>
    <w:pPr>
      <w:keepNext/>
      <w:numPr>
        <w:ilvl w:val="5"/>
        <w:numId w:val="17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517205"/>
    <w:pPr>
      <w:keepNext/>
      <w:numPr>
        <w:ilvl w:val="6"/>
        <w:numId w:val="17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59B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611AAC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611AAC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611AAC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11AAC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11AAC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11AAC"/>
    <w:pPr>
      <w:numPr>
        <w:numId w:val="5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611AAC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11AAC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11AAC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11AAC"/>
    <w:pPr>
      <w:numPr>
        <w:numId w:val="9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2F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F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F15"/>
    <w:rPr>
      <w:rFonts w:ascii="Times New Roman" w:hAnsi="Times New Roman" w:cs="Times New Roman"/>
      <w:sz w:val="20"/>
      <w:szCs w:val="20"/>
      <w:lang w:val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F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F15"/>
    <w:rPr>
      <w:rFonts w:ascii="Times New Roman" w:hAnsi="Times New Roman" w:cs="Times New Roman"/>
      <w:b/>
      <w:bCs/>
      <w:sz w:val="20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F15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F15"/>
    <w:rPr>
      <w:rFonts w:ascii="Segoe UI" w:hAnsi="Segoe UI" w:cs="Segoe UI"/>
      <w:sz w:val="18"/>
      <w:szCs w:val="18"/>
      <w:lang w:val="hr-HR"/>
    </w:rPr>
  </w:style>
  <w:style w:type="character" w:styleId="Hyperlink">
    <w:name w:val="Hyperlink"/>
    <w:basedOn w:val="DefaultParagraphFont"/>
    <w:uiPriority w:val="99"/>
    <w:unhideWhenUsed/>
    <w:rsid w:val="00522F1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7C38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97C38"/>
    <w:rPr>
      <w:rFonts w:ascii="Times New Roman" w:hAnsi="Times New Roman" w:cs="Times New Roman"/>
      <w:sz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097C3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097C38"/>
    <w:rPr>
      <w:rFonts w:ascii="Times New Roman" w:hAnsi="Times New Roman" w:cs="Times New Roman"/>
      <w:sz w:val="24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205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205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17205"/>
    <w:rPr>
      <w:rFonts w:ascii="Times New Roman" w:eastAsiaTheme="majorEastAsia" w:hAnsi="Times New Roman" w:cs="Times New Roman"/>
      <w:b/>
      <w:bCs/>
      <w:smallCaps/>
      <w:sz w:val="24"/>
      <w:szCs w:val="28"/>
      <w:lang w:val="hr-H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7205"/>
    <w:rPr>
      <w:rFonts w:ascii="Times New Roman" w:eastAsiaTheme="majorEastAsia" w:hAnsi="Times New Roman" w:cs="Times New Roman"/>
      <w:b/>
      <w:bCs/>
      <w:sz w:val="24"/>
      <w:szCs w:val="26"/>
      <w:lang w:val="hr-H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7205"/>
    <w:rPr>
      <w:rFonts w:ascii="Times New Roman" w:eastAsiaTheme="majorEastAsia" w:hAnsi="Times New Roman" w:cs="Times New Roman"/>
      <w:bCs/>
      <w:i/>
      <w:sz w:val="24"/>
      <w:lang w:val="hr-H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7205"/>
    <w:rPr>
      <w:rFonts w:ascii="Times New Roman" w:eastAsiaTheme="majorEastAsia" w:hAnsi="Times New Roman" w:cs="Times New Roman"/>
      <w:bCs/>
      <w:iCs/>
      <w:sz w:val="24"/>
      <w:lang w:val="hr-H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7205"/>
    <w:rPr>
      <w:rFonts w:ascii="Times New Roman" w:eastAsiaTheme="majorEastAsia" w:hAnsi="Times New Roman" w:cs="Times New Roman"/>
      <w:sz w:val="24"/>
      <w:lang w:val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7205"/>
    <w:rPr>
      <w:rFonts w:ascii="Times New Roman" w:eastAsiaTheme="majorEastAsia" w:hAnsi="Times New Roman" w:cs="Times New Roman"/>
      <w:iCs/>
      <w:sz w:val="24"/>
      <w:lang w:val="hr-H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7205"/>
    <w:rPr>
      <w:rFonts w:ascii="Times New Roman" w:eastAsiaTheme="majorEastAsia" w:hAnsi="Times New Roman" w:cs="Times New Roman"/>
      <w:iCs/>
      <w:sz w:val="24"/>
      <w:lang w:val="hr-HR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517205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517205"/>
    <w:pPr>
      <w:tabs>
        <w:tab w:val="right" w:leader="dot" w:pos="9071"/>
      </w:tabs>
      <w:ind w:left="1417" w:hanging="1417"/>
      <w:jc w:val="left"/>
    </w:pPr>
  </w:style>
  <w:style w:type="paragraph" w:customStyle="1" w:styleId="HeaderLandscape">
    <w:name w:val="HeaderLandscape"/>
    <w:basedOn w:val="Normal"/>
    <w:rsid w:val="00097C38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097C38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517205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097C3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097C38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097C3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517205"/>
    <w:pPr>
      <w:ind w:left="850"/>
    </w:pPr>
  </w:style>
  <w:style w:type="paragraph" w:customStyle="1" w:styleId="Text2">
    <w:name w:val="Text 2"/>
    <w:basedOn w:val="Normal"/>
    <w:rsid w:val="00517205"/>
    <w:pPr>
      <w:ind w:left="1417"/>
    </w:pPr>
  </w:style>
  <w:style w:type="paragraph" w:customStyle="1" w:styleId="Text3">
    <w:name w:val="Text 3"/>
    <w:basedOn w:val="Normal"/>
    <w:rsid w:val="00517205"/>
    <w:pPr>
      <w:ind w:left="1984"/>
    </w:pPr>
  </w:style>
  <w:style w:type="paragraph" w:customStyle="1" w:styleId="Text4">
    <w:name w:val="Text 4"/>
    <w:basedOn w:val="Normal"/>
    <w:rsid w:val="00517205"/>
    <w:pPr>
      <w:ind w:left="2551"/>
    </w:pPr>
  </w:style>
  <w:style w:type="paragraph" w:customStyle="1" w:styleId="Text5">
    <w:name w:val="Text 5"/>
    <w:basedOn w:val="Normal"/>
    <w:rsid w:val="00517205"/>
    <w:pPr>
      <w:ind w:left="3118"/>
    </w:pPr>
  </w:style>
  <w:style w:type="paragraph" w:customStyle="1" w:styleId="Text6">
    <w:name w:val="Text 6"/>
    <w:basedOn w:val="Normal"/>
    <w:rsid w:val="00517205"/>
    <w:pPr>
      <w:ind w:left="3685"/>
    </w:pPr>
  </w:style>
  <w:style w:type="paragraph" w:customStyle="1" w:styleId="NormalCentered">
    <w:name w:val="Normal Centered"/>
    <w:basedOn w:val="Normal"/>
    <w:rsid w:val="00517205"/>
    <w:pPr>
      <w:jc w:val="center"/>
    </w:pPr>
  </w:style>
  <w:style w:type="paragraph" w:customStyle="1" w:styleId="NormalLeft">
    <w:name w:val="Normal Left"/>
    <w:basedOn w:val="Normal"/>
    <w:rsid w:val="00517205"/>
    <w:pPr>
      <w:jc w:val="left"/>
    </w:pPr>
  </w:style>
  <w:style w:type="paragraph" w:customStyle="1" w:styleId="NormalRight">
    <w:name w:val="Normal Right"/>
    <w:basedOn w:val="Normal"/>
    <w:rsid w:val="00517205"/>
    <w:pPr>
      <w:jc w:val="right"/>
    </w:pPr>
  </w:style>
  <w:style w:type="paragraph" w:customStyle="1" w:styleId="QuotedText">
    <w:name w:val="Quoted Text"/>
    <w:basedOn w:val="Normal"/>
    <w:rsid w:val="00517205"/>
    <w:pPr>
      <w:ind w:left="1417"/>
    </w:pPr>
  </w:style>
  <w:style w:type="paragraph" w:customStyle="1" w:styleId="Point0">
    <w:name w:val="Point 0"/>
    <w:basedOn w:val="Normal"/>
    <w:rsid w:val="00517205"/>
    <w:pPr>
      <w:ind w:left="850" w:hanging="850"/>
    </w:pPr>
  </w:style>
  <w:style w:type="paragraph" w:customStyle="1" w:styleId="Point1">
    <w:name w:val="Point 1"/>
    <w:basedOn w:val="Normal"/>
    <w:rsid w:val="00517205"/>
    <w:pPr>
      <w:ind w:left="1417" w:hanging="567"/>
    </w:pPr>
  </w:style>
  <w:style w:type="paragraph" w:customStyle="1" w:styleId="Point2">
    <w:name w:val="Point 2"/>
    <w:basedOn w:val="Normal"/>
    <w:rsid w:val="00517205"/>
    <w:pPr>
      <w:ind w:left="1984" w:hanging="567"/>
    </w:pPr>
  </w:style>
  <w:style w:type="paragraph" w:customStyle="1" w:styleId="Point3">
    <w:name w:val="Point 3"/>
    <w:basedOn w:val="Normal"/>
    <w:rsid w:val="00517205"/>
    <w:pPr>
      <w:ind w:left="2551" w:hanging="567"/>
    </w:pPr>
  </w:style>
  <w:style w:type="paragraph" w:customStyle="1" w:styleId="Point4">
    <w:name w:val="Point 4"/>
    <w:basedOn w:val="Normal"/>
    <w:rsid w:val="00517205"/>
    <w:pPr>
      <w:ind w:left="3118" w:hanging="567"/>
    </w:pPr>
  </w:style>
  <w:style w:type="paragraph" w:customStyle="1" w:styleId="Point5">
    <w:name w:val="Point 5"/>
    <w:basedOn w:val="Normal"/>
    <w:rsid w:val="00517205"/>
    <w:pPr>
      <w:ind w:left="3685" w:hanging="567"/>
    </w:pPr>
  </w:style>
  <w:style w:type="paragraph" w:customStyle="1" w:styleId="Tiret0">
    <w:name w:val="Tiret 0"/>
    <w:basedOn w:val="Point0"/>
    <w:rsid w:val="00517205"/>
    <w:pPr>
      <w:numPr>
        <w:numId w:val="10"/>
      </w:numPr>
    </w:pPr>
  </w:style>
  <w:style w:type="paragraph" w:customStyle="1" w:styleId="Tiret1">
    <w:name w:val="Tiret 1"/>
    <w:basedOn w:val="Point1"/>
    <w:rsid w:val="00517205"/>
    <w:pPr>
      <w:numPr>
        <w:numId w:val="11"/>
      </w:numPr>
    </w:pPr>
  </w:style>
  <w:style w:type="paragraph" w:customStyle="1" w:styleId="Tiret2">
    <w:name w:val="Tiret 2"/>
    <w:basedOn w:val="Point2"/>
    <w:rsid w:val="00517205"/>
    <w:pPr>
      <w:numPr>
        <w:numId w:val="12"/>
      </w:numPr>
    </w:pPr>
  </w:style>
  <w:style w:type="paragraph" w:customStyle="1" w:styleId="Tiret3">
    <w:name w:val="Tiret 3"/>
    <w:basedOn w:val="Point3"/>
    <w:rsid w:val="00517205"/>
    <w:pPr>
      <w:numPr>
        <w:numId w:val="13"/>
      </w:numPr>
    </w:pPr>
  </w:style>
  <w:style w:type="paragraph" w:customStyle="1" w:styleId="Tiret4">
    <w:name w:val="Tiret 4"/>
    <w:basedOn w:val="Point4"/>
    <w:rsid w:val="00517205"/>
    <w:pPr>
      <w:numPr>
        <w:numId w:val="14"/>
      </w:numPr>
    </w:pPr>
  </w:style>
  <w:style w:type="paragraph" w:customStyle="1" w:styleId="Tiret5">
    <w:name w:val="Tiret 5"/>
    <w:basedOn w:val="Point5"/>
    <w:rsid w:val="00517205"/>
    <w:pPr>
      <w:numPr>
        <w:numId w:val="15"/>
      </w:numPr>
    </w:pPr>
  </w:style>
  <w:style w:type="paragraph" w:customStyle="1" w:styleId="PointDouble0">
    <w:name w:val="PointDouble 0"/>
    <w:basedOn w:val="Normal"/>
    <w:rsid w:val="00517205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517205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517205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517205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517205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517205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517205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517205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517205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517205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517205"/>
    <w:pPr>
      <w:numPr>
        <w:numId w:val="16"/>
      </w:numPr>
    </w:pPr>
  </w:style>
  <w:style w:type="paragraph" w:customStyle="1" w:styleId="NumPar2">
    <w:name w:val="NumPar 2"/>
    <w:basedOn w:val="Normal"/>
    <w:next w:val="Text1"/>
    <w:rsid w:val="00517205"/>
    <w:pPr>
      <w:numPr>
        <w:ilvl w:val="1"/>
        <w:numId w:val="16"/>
      </w:numPr>
    </w:pPr>
  </w:style>
  <w:style w:type="paragraph" w:customStyle="1" w:styleId="NumPar3">
    <w:name w:val="NumPar 3"/>
    <w:basedOn w:val="Normal"/>
    <w:next w:val="Text1"/>
    <w:rsid w:val="00517205"/>
    <w:pPr>
      <w:numPr>
        <w:ilvl w:val="2"/>
        <w:numId w:val="16"/>
      </w:numPr>
    </w:pPr>
  </w:style>
  <w:style w:type="paragraph" w:customStyle="1" w:styleId="NumPar4">
    <w:name w:val="NumPar 4"/>
    <w:basedOn w:val="Normal"/>
    <w:next w:val="Text1"/>
    <w:rsid w:val="00517205"/>
    <w:pPr>
      <w:numPr>
        <w:ilvl w:val="3"/>
        <w:numId w:val="16"/>
      </w:numPr>
    </w:pPr>
  </w:style>
  <w:style w:type="paragraph" w:customStyle="1" w:styleId="NumPar5">
    <w:name w:val="NumPar 5"/>
    <w:basedOn w:val="Normal"/>
    <w:next w:val="Text2"/>
    <w:rsid w:val="00517205"/>
    <w:pPr>
      <w:numPr>
        <w:ilvl w:val="4"/>
        <w:numId w:val="16"/>
      </w:numPr>
    </w:pPr>
  </w:style>
  <w:style w:type="paragraph" w:customStyle="1" w:styleId="NumPar6">
    <w:name w:val="NumPar 6"/>
    <w:basedOn w:val="Normal"/>
    <w:next w:val="Text2"/>
    <w:rsid w:val="00517205"/>
    <w:pPr>
      <w:numPr>
        <w:ilvl w:val="5"/>
        <w:numId w:val="16"/>
      </w:numPr>
    </w:pPr>
  </w:style>
  <w:style w:type="paragraph" w:customStyle="1" w:styleId="NumPar7">
    <w:name w:val="NumPar 7"/>
    <w:basedOn w:val="Normal"/>
    <w:next w:val="Text2"/>
    <w:rsid w:val="00517205"/>
    <w:pPr>
      <w:numPr>
        <w:ilvl w:val="6"/>
        <w:numId w:val="16"/>
      </w:numPr>
    </w:pPr>
  </w:style>
  <w:style w:type="paragraph" w:customStyle="1" w:styleId="ManualNumPar1">
    <w:name w:val="Manual NumPar 1"/>
    <w:basedOn w:val="Normal"/>
    <w:next w:val="Text1"/>
    <w:rsid w:val="00517205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517205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517205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517205"/>
    <w:pPr>
      <w:ind w:left="850" w:hanging="850"/>
    </w:pPr>
  </w:style>
  <w:style w:type="paragraph" w:customStyle="1" w:styleId="ManualNumPar5">
    <w:name w:val="Manual NumPar 5"/>
    <w:basedOn w:val="Normal"/>
    <w:next w:val="Text2"/>
    <w:rsid w:val="00517205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517205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517205"/>
    <w:pPr>
      <w:ind w:left="1417" w:hanging="1417"/>
    </w:pPr>
  </w:style>
  <w:style w:type="paragraph" w:customStyle="1" w:styleId="QuotedNumPar">
    <w:name w:val="Quoted NumPar"/>
    <w:basedOn w:val="Normal"/>
    <w:rsid w:val="00517205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517205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517205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517205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517205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rsid w:val="00517205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517205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517205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rsid w:val="00517205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517205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517205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517205"/>
    <w:pPr>
      <w:jc w:val="center"/>
    </w:pPr>
    <w:rPr>
      <w:b/>
    </w:rPr>
  </w:style>
  <w:style w:type="character" w:customStyle="1" w:styleId="Marker">
    <w:name w:val="Marker"/>
    <w:basedOn w:val="DefaultParagraphFont"/>
    <w:rsid w:val="00517205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517205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517205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517205"/>
    <w:pPr>
      <w:numPr>
        <w:numId w:val="18"/>
      </w:numPr>
    </w:pPr>
  </w:style>
  <w:style w:type="paragraph" w:customStyle="1" w:styleId="Point1number">
    <w:name w:val="Point 1 (number)"/>
    <w:basedOn w:val="Normal"/>
    <w:rsid w:val="00517205"/>
    <w:pPr>
      <w:numPr>
        <w:ilvl w:val="2"/>
        <w:numId w:val="18"/>
      </w:numPr>
    </w:pPr>
  </w:style>
  <w:style w:type="paragraph" w:customStyle="1" w:styleId="Point2number">
    <w:name w:val="Point 2 (number)"/>
    <w:basedOn w:val="Normal"/>
    <w:rsid w:val="00517205"/>
    <w:pPr>
      <w:numPr>
        <w:ilvl w:val="4"/>
        <w:numId w:val="18"/>
      </w:numPr>
    </w:pPr>
  </w:style>
  <w:style w:type="paragraph" w:customStyle="1" w:styleId="Point3number">
    <w:name w:val="Point 3 (number)"/>
    <w:basedOn w:val="Normal"/>
    <w:rsid w:val="00517205"/>
    <w:pPr>
      <w:numPr>
        <w:ilvl w:val="6"/>
        <w:numId w:val="18"/>
      </w:numPr>
    </w:pPr>
  </w:style>
  <w:style w:type="paragraph" w:customStyle="1" w:styleId="Point0letter">
    <w:name w:val="Point 0 (letter)"/>
    <w:basedOn w:val="Normal"/>
    <w:rsid w:val="00517205"/>
    <w:pPr>
      <w:numPr>
        <w:ilvl w:val="1"/>
        <w:numId w:val="18"/>
      </w:numPr>
    </w:pPr>
  </w:style>
  <w:style w:type="paragraph" w:customStyle="1" w:styleId="Point1letter">
    <w:name w:val="Point 1 (letter)"/>
    <w:basedOn w:val="Normal"/>
    <w:rsid w:val="00517205"/>
    <w:pPr>
      <w:numPr>
        <w:ilvl w:val="3"/>
        <w:numId w:val="18"/>
      </w:numPr>
    </w:pPr>
  </w:style>
  <w:style w:type="paragraph" w:customStyle="1" w:styleId="Point2letter">
    <w:name w:val="Point 2 (letter)"/>
    <w:basedOn w:val="Normal"/>
    <w:rsid w:val="00517205"/>
    <w:pPr>
      <w:numPr>
        <w:ilvl w:val="5"/>
        <w:numId w:val="18"/>
      </w:numPr>
    </w:pPr>
  </w:style>
  <w:style w:type="paragraph" w:customStyle="1" w:styleId="Point3letter">
    <w:name w:val="Point 3 (letter)"/>
    <w:basedOn w:val="Normal"/>
    <w:rsid w:val="00517205"/>
    <w:pPr>
      <w:numPr>
        <w:ilvl w:val="7"/>
        <w:numId w:val="18"/>
      </w:numPr>
    </w:pPr>
  </w:style>
  <w:style w:type="paragraph" w:customStyle="1" w:styleId="Point4letter">
    <w:name w:val="Point 4 (letter)"/>
    <w:basedOn w:val="Normal"/>
    <w:rsid w:val="00517205"/>
    <w:pPr>
      <w:numPr>
        <w:ilvl w:val="8"/>
        <w:numId w:val="18"/>
      </w:numPr>
    </w:pPr>
  </w:style>
  <w:style w:type="paragraph" w:customStyle="1" w:styleId="Bullet0">
    <w:name w:val="Bullet 0"/>
    <w:basedOn w:val="Normal"/>
    <w:rsid w:val="00517205"/>
    <w:pPr>
      <w:numPr>
        <w:numId w:val="19"/>
      </w:numPr>
    </w:pPr>
  </w:style>
  <w:style w:type="paragraph" w:customStyle="1" w:styleId="Bullet1">
    <w:name w:val="Bullet 1"/>
    <w:basedOn w:val="Normal"/>
    <w:rsid w:val="00517205"/>
    <w:pPr>
      <w:numPr>
        <w:numId w:val="20"/>
      </w:numPr>
    </w:pPr>
  </w:style>
  <w:style w:type="paragraph" w:customStyle="1" w:styleId="Bullet2">
    <w:name w:val="Bullet 2"/>
    <w:basedOn w:val="Normal"/>
    <w:rsid w:val="00517205"/>
    <w:pPr>
      <w:numPr>
        <w:numId w:val="21"/>
      </w:numPr>
    </w:pPr>
  </w:style>
  <w:style w:type="paragraph" w:customStyle="1" w:styleId="Bullet3">
    <w:name w:val="Bullet 3"/>
    <w:basedOn w:val="Normal"/>
    <w:rsid w:val="00517205"/>
    <w:pPr>
      <w:numPr>
        <w:numId w:val="22"/>
      </w:numPr>
    </w:pPr>
  </w:style>
  <w:style w:type="paragraph" w:customStyle="1" w:styleId="Bullet4">
    <w:name w:val="Bullet 4"/>
    <w:basedOn w:val="Normal"/>
    <w:rsid w:val="00517205"/>
    <w:pPr>
      <w:numPr>
        <w:numId w:val="23"/>
      </w:numPr>
    </w:pPr>
  </w:style>
  <w:style w:type="paragraph" w:customStyle="1" w:styleId="Langue">
    <w:name w:val="Langue"/>
    <w:basedOn w:val="Normal"/>
    <w:next w:val="Rfrenceinterne"/>
    <w:rsid w:val="00517205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517205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517205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517205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517205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517205"/>
    <w:pPr>
      <w:spacing w:before="0" w:after="0"/>
    </w:pPr>
  </w:style>
  <w:style w:type="paragraph" w:customStyle="1" w:styleId="Disclaimer">
    <w:name w:val="Disclaimer"/>
    <w:basedOn w:val="Normal"/>
    <w:rsid w:val="00517205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517205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517205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517205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517205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517205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517205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517205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517205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517205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517205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517205"/>
    <w:pPr>
      <w:numPr>
        <w:numId w:val="24"/>
      </w:numPr>
    </w:pPr>
  </w:style>
  <w:style w:type="paragraph" w:customStyle="1" w:styleId="Corrigendum">
    <w:name w:val="Corrigendum"/>
    <w:basedOn w:val="Normal"/>
    <w:next w:val="Normal"/>
    <w:rsid w:val="00517205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rsid w:val="00517205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517205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517205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517205"/>
    <w:pPr>
      <w:keepNext/>
    </w:pPr>
  </w:style>
  <w:style w:type="paragraph" w:customStyle="1" w:styleId="Institutionquiagit">
    <w:name w:val="Institution qui agit"/>
    <w:basedOn w:val="Normal"/>
    <w:next w:val="Normal"/>
    <w:rsid w:val="00517205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517205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517205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517205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517205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517205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517205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rsid w:val="00517205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rsid w:val="00517205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rsid w:val="00517205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sid w:val="00517205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517205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517205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517205"/>
    <w:rPr>
      <w:i/>
      <w:caps/>
    </w:rPr>
  </w:style>
  <w:style w:type="paragraph" w:customStyle="1" w:styleId="Supertitre">
    <w:name w:val="Supertitre"/>
    <w:basedOn w:val="Normal"/>
    <w:next w:val="Normal"/>
    <w:rsid w:val="00517205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517205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517205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517205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  <w:rsid w:val="00517205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517205"/>
  </w:style>
  <w:style w:type="paragraph" w:customStyle="1" w:styleId="StatutPagedecouverture">
    <w:name w:val="Statut (Page de couverture)"/>
    <w:basedOn w:val="Statut"/>
    <w:next w:val="TypedudocumentPagedecouverture"/>
    <w:rsid w:val="00517205"/>
  </w:style>
  <w:style w:type="paragraph" w:customStyle="1" w:styleId="TitreobjetPagedecouverture">
    <w:name w:val="Titre objet (Page de couverture)"/>
    <w:basedOn w:val="Titreobjet"/>
    <w:next w:val="IntrtEEEPagedecouverture"/>
    <w:rsid w:val="00517205"/>
  </w:style>
  <w:style w:type="paragraph" w:customStyle="1" w:styleId="TypedudocumentPagedecouverture">
    <w:name w:val="Type du document (Page de couverture)"/>
    <w:basedOn w:val="Typedudocument"/>
    <w:next w:val="TitreobjetPagedecouverture"/>
    <w:rsid w:val="00517205"/>
  </w:style>
  <w:style w:type="paragraph" w:customStyle="1" w:styleId="Volume">
    <w:name w:val="Volume"/>
    <w:basedOn w:val="Normal"/>
    <w:next w:val="Confidentialit"/>
    <w:rsid w:val="00517205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517205"/>
    <w:pPr>
      <w:spacing w:after="240"/>
    </w:pPr>
  </w:style>
  <w:style w:type="paragraph" w:customStyle="1" w:styleId="Accompagnant">
    <w:name w:val="Accompagnant"/>
    <w:basedOn w:val="Normal"/>
    <w:next w:val="Typeacteprincipal"/>
    <w:rsid w:val="00517205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rsid w:val="00517205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517205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517205"/>
  </w:style>
  <w:style w:type="paragraph" w:customStyle="1" w:styleId="AccompagnantPagedecouverture">
    <w:name w:val="Accompagnant (Page de couverture)"/>
    <w:basedOn w:val="Accompagnant"/>
    <w:next w:val="TypeacteprincipalPagedecouverture"/>
    <w:rsid w:val="00517205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517205"/>
  </w:style>
  <w:style w:type="paragraph" w:customStyle="1" w:styleId="ObjetacteprincipalPagedecouverture">
    <w:name w:val="Objet acte principal (Page de couverture)"/>
    <w:basedOn w:val="Objetacteprincipal"/>
    <w:next w:val="Rfrencecroise"/>
    <w:rsid w:val="00517205"/>
  </w:style>
  <w:style w:type="paragraph" w:customStyle="1" w:styleId="LanguesfaisantfoiPagedecouverture">
    <w:name w:val="Langues faisant foi (Page de couverture)"/>
    <w:basedOn w:val="Normal"/>
    <w:next w:val="Normal"/>
    <w:rsid w:val="00517205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81</TotalTime>
  <Pages>6</Pages>
  <Words>1260</Words>
  <Characters>7497</Characters>
  <Application>Microsoft Office Word</Application>
  <DocSecurity>0</DocSecurity>
  <Lines>147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61</cp:revision>
  <dcterms:created xsi:type="dcterms:W3CDTF">2022-05-06T12:29:00Z</dcterms:created>
  <dcterms:modified xsi:type="dcterms:W3CDTF">2022-05-30T06:09:00Z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7.0.9.0</vt:lpwstr>
  </property>
  <property fmtid="{D5CDD505-2E9C-101B-9397-08002B2CF9AE}" pid="4" name="Last edited using">
    <vt:lpwstr>LW 8.0, Build 20220128</vt:lpwstr>
  </property>
  <property fmtid="{D5CDD505-2E9C-101B-9397-08002B2CF9AE}" pid="5" name="Created using">
    <vt:lpwstr>LW 7.0.1, Build 20200226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evel of sensitivity">
    <vt:lpwstr>Standard treatment</vt:lpwstr>
  </property>
  <property fmtid="{D5CDD505-2E9C-101B-9397-08002B2CF9AE}" pid="9" name="LWTemplateID">
    <vt:lpwstr>SJ-019</vt:lpwstr>
  </property>
  <property fmtid="{D5CDD505-2E9C-101B-9397-08002B2CF9AE}" pid="10" name="DQCStatus">
    <vt:lpwstr>Green (DQC version 03)</vt:lpwstr>
  </property>
  <property name="OP_sanitized" fmtid="{D5CDD505-2E9C-101B-9397-08002B2CF9AE}" pid="11">
    <vt:lpwstr>True</vt:lpwstr>
  </property>
</Properties>
</file>